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C5F73" w14:textId="77777777" w:rsidR="00754C9A" w:rsidRDefault="00754C9A" w:rsidP="00441B6F">
      <w:pPr>
        <w:pStyle w:val="Title"/>
        <w:spacing w:after="0"/>
        <w:jc w:val="both"/>
        <w:rPr>
          <w:rFonts w:ascii="Arial" w:hAnsi="Arial" w:cs="Arial"/>
        </w:rPr>
      </w:pPr>
    </w:p>
    <w:p w14:paraId="2C2699BE" w14:textId="77777777" w:rsidR="00163BC4" w:rsidRPr="00163BC4" w:rsidRDefault="001B0917" w:rsidP="00441B6F">
      <w:pPr>
        <w:pStyle w:val="Author"/>
        <w:spacing w:line="240" w:lineRule="auto"/>
        <w:rPr>
          <w:rFonts w:ascii="Arial" w:hAnsi="Arial" w:cs="Arial"/>
          <w:bCs/>
          <w:iCs/>
          <w:kern w:val="28"/>
          <w:sz w:val="36"/>
        </w:rPr>
      </w:pPr>
      <w:r w:rsidRPr="001B0917">
        <w:rPr>
          <w:rFonts w:ascii="Arial" w:hAnsi="Arial" w:cs="Arial"/>
          <w:bCs/>
          <w:iCs/>
          <w:kern w:val="28"/>
          <w:sz w:val="36"/>
        </w:rPr>
        <w:t>Integrating Local Wisdom into Science Learning: A Systematic Review of Pedagogical Frameworks and Educational Practices</w:t>
      </w:r>
    </w:p>
    <w:p w14:paraId="5FE4D521" w14:textId="77777777" w:rsidR="00A258C3" w:rsidRPr="00790ADA" w:rsidRDefault="00A258C3" w:rsidP="00441B6F">
      <w:pPr>
        <w:pStyle w:val="Author"/>
        <w:spacing w:line="240" w:lineRule="auto"/>
        <w:jc w:val="both"/>
        <w:rPr>
          <w:rFonts w:ascii="Arial" w:hAnsi="Arial" w:cs="Arial"/>
          <w:sz w:val="36"/>
        </w:rPr>
      </w:pPr>
    </w:p>
    <w:p w14:paraId="617586C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4BFA4F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0CED04B" w14:textId="77777777" w:rsidTr="001E44FE">
        <w:tc>
          <w:tcPr>
            <w:tcW w:w="9576" w:type="dxa"/>
            <w:shd w:val="clear" w:color="auto" w:fill="F2F2F2"/>
          </w:tcPr>
          <w:p w14:paraId="57B03FF2" w14:textId="77777777" w:rsidR="009308B9" w:rsidRPr="009308B9" w:rsidRDefault="009308B9" w:rsidP="009308B9">
            <w:pPr>
              <w:pStyle w:val="Body"/>
              <w:spacing w:after="0"/>
              <w:rPr>
                <w:rFonts w:ascii="Arial" w:eastAsia="Calibri" w:hAnsi="Arial" w:cs="Arial"/>
                <w:szCs w:val="22"/>
              </w:rPr>
            </w:pPr>
            <w:r w:rsidRPr="009308B9">
              <w:rPr>
                <w:rFonts w:ascii="Arial" w:eastAsia="Calibri" w:hAnsi="Arial" w:cs="Arial"/>
                <w:b/>
                <w:bCs/>
                <w:szCs w:val="22"/>
              </w:rPr>
              <w:t>Background:</w:t>
            </w:r>
            <w:r w:rsidRPr="009308B9">
              <w:rPr>
                <w:rFonts w:ascii="Arial" w:eastAsia="Calibri" w:hAnsi="Arial" w:cs="Arial"/>
                <w:szCs w:val="22"/>
              </w:rPr>
              <w:br/>
              <w:t>The integration of local wisdom into science learning has gained increasing attention as an approach to contextualize scientific knowledge and promote sustainable education. However, existing research remains fragmented in its frameworks and practices. This study systematically reviews the evolution, dominant pedagogical models, and educational outcomes of local wisdom–based science learning to establish a comprehensive understanding of its theoretical and practical landscape.</w:t>
            </w:r>
          </w:p>
          <w:p w14:paraId="1F92040D" w14:textId="77777777" w:rsidR="009308B9" w:rsidRPr="009308B9" w:rsidRDefault="009308B9" w:rsidP="009308B9">
            <w:pPr>
              <w:pStyle w:val="Body"/>
              <w:spacing w:after="0"/>
              <w:rPr>
                <w:rFonts w:ascii="Arial" w:eastAsia="Calibri" w:hAnsi="Arial" w:cs="Arial"/>
                <w:szCs w:val="22"/>
              </w:rPr>
            </w:pPr>
            <w:r w:rsidRPr="009308B9">
              <w:rPr>
                <w:rFonts w:ascii="Arial" w:eastAsia="Calibri" w:hAnsi="Arial" w:cs="Arial"/>
                <w:b/>
                <w:bCs/>
                <w:szCs w:val="22"/>
              </w:rPr>
              <w:t>Methods:</w:t>
            </w:r>
            <w:r w:rsidRPr="009308B9">
              <w:rPr>
                <w:rFonts w:ascii="Arial" w:eastAsia="Calibri" w:hAnsi="Arial" w:cs="Arial"/>
                <w:szCs w:val="22"/>
              </w:rPr>
              <w:br/>
              <w:t xml:space="preserve">A systematic literature review (SLR) was conducted in accordance with the PRISMA 2020 guidelines. Data were retrieved from the Scopus database using the query </w:t>
            </w:r>
            <w:r w:rsidRPr="009308B9">
              <w:rPr>
                <w:rFonts w:ascii="Arial" w:eastAsia="Calibri" w:hAnsi="Arial" w:cs="Arial"/>
                <w:i/>
                <w:iCs/>
                <w:szCs w:val="22"/>
              </w:rPr>
              <w:t>TITLE-ABS-KEY (“local wisdom” AND “science learning”)</w:t>
            </w:r>
            <w:r w:rsidRPr="009308B9">
              <w:rPr>
                <w:rFonts w:ascii="Arial" w:eastAsia="Calibri" w:hAnsi="Arial" w:cs="Arial"/>
                <w:szCs w:val="22"/>
              </w:rPr>
              <w:t>, limited to open-access, English-language journal articles published between 2004 and 202</w:t>
            </w:r>
            <w:r>
              <w:rPr>
                <w:rFonts w:ascii="Arial" w:eastAsia="Calibri" w:hAnsi="Arial" w:cs="Arial"/>
                <w:szCs w:val="22"/>
              </w:rPr>
              <w:t>5</w:t>
            </w:r>
            <w:r w:rsidRPr="009308B9">
              <w:rPr>
                <w:rFonts w:ascii="Arial" w:eastAsia="Calibri" w:hAnsi="Arial" w:cs="Arial"/>
                <w:szCs w:val="22"/>
              </w:rPr>
              <w:t xml:space="preserve">. A total of 58 records were identified, screened, and filtered, yielding </w:t>
            </w:r>
            <w:r>
              <w:rPr>
                <w:rFonts w:ascii="Arial" w:eastAsia="Calibri" w:hAnsi="Arial" w:cs="Arial"/>
                <w:szCs w:val="22"/>
              </w:rPr>
              <w:t>17</w:t>
            </w:r>
            <w:r w:rsidRPr="009308B9">
              <w:rPr>
                <w:rFonts w:ascii="Arial" w:eastAsia="Calibri" w:hAnsi="Arial" w:cs="Arial"/>
                <w:szCs w:val="22"/>
              </w:rPr>
              <w:t xml:space="preserve"> eligible articles for full-text analysis. Quantitative bibliometric data (publication year, country, subject area, and keyword trends) were analyzed using </w:t>
            </w:r>
            <w:proofErr w:type="spellStart"/>
            <w:r w:rsidRPr="009308B9">
              <w:rPr>
                <w:rFonts w:ascii="Arial" w:eastAsia="Calibri" w:hAnsi="Arial" w:cs="Arial"/>
                <w:b/>
                <w:bCs/>
                <w:szCs w:val="22"/>
              </w:rPr>
              <w:t>VOSviewer</w:t>
            </w:r>
            <w:proofErr w:type="spellEnd"/>
            <w:r w:rsidRPr="009308B9">
              <w:rPr>
                <w:rFonts w:ascii="Arial" w:eastAsia="Calibri" w:hAnsi="Arial" w:cs="Arial"/>
                <w:b/>
                <w:bCs/>
                <w:szCs w:val="22"/>
              </w:rPr>
              <w:t xml:space="preserve"> 1.6.20</w:t>
            </w:r>
            <w:r w:rsidRPr="009308B9">
              <w:rPr>
                <w:rFonts w:ascii="Arial" w:eastAsia="Calibri" w:hAnsi="Arial" w:cs="Arial"/>
                <w:szCs w:val="22"/>
              </w:rPr>
              <w:t>, while qualitative synthesis identified recurring pedagogical frameworks and instructional patterns.</w:t>
            </w:r>
          </w:p>
          <w:p w14:paraId="3FB23818" w14:textId="77777777" w:rsidR="009308B9" w:rsidRPr="009308B9" w:rsidRDefault="009308B9" w:rsidP="009308B9">
            <w:pPr>
              <w:pStyle w:val="Body"/>
              <w:spacing w:after="0"/>
              <w:rPr>
                <w:rFonts w:ascii="Arial" w:eastAsia="Calibri" w:hAnsi="Arial" w:cs="Arial"/>
                <w:szCs w:val="22"/>
              </w:rPr>
            </w:pPr>
            <w:r w:rsidRPr="009308B9">
              <w:rPr>
                <w:rFonts w:ascii="Arial" w:eastAsia="Calibri" w:hAnsi="Arial" w:cs="Arial"/>
                <w:b/>
                <w:bCs/>
                <w:szCs w:val="22"/>
              </w:rPr>
              <w:t>Results:</w:t>
            </w:r>
            <w:r w:rsidRPr="009308B9">
              <w:rPr>
                <w:rFonts w:ascii="Arial" w:eastAsia="Calibri" w:hAnsi="Arial" w:cs="Arial"/>
                <w:szCs w:val="22"/>
              </w:rPr>
              <w:br/>
              <w:t xml:space="preserve">The review revealed a marked growth in publications after 2020, dominated by studies from Indonesia within the domains of education, environmental science, and sustainability. Five key frameworks emerged: </w:t>
            </w:r>
            <w:r w:rsidRPr="009308B9">
              <w:rPr>
                <w:rFonts w:ascii="Arial" w:eastAsia="Calibri" w:hAnsi="Arial" w:cs="Arial"/>
                <w:i/>
                <w:iCs/>
                <w:szCs w:val="22"/>
              </w:rPr>
              <w:t>(1) Ethnoscience + Inquiry/Discovery</w:t>
            </w:r>
            <w:r w:rsidRPr="009308B9">
              <w:rPr>
                <w:rFonts w:ascii="Arial" w:eastAsia="Calibri" w:hAnsi="Arial" w:cs="Arial"/>
                <w:szCs w:val="22"/>
              </w:rPr>
              <w:t xml:space="preserve">, </w:t>
            </w:r>
            <w:r w:rsidRPr="009308B9">
              <w:rPr>
                <w:rFonts w:ascii="Arial" w:eastAsia="Calibri" w:hAnsi="Arial" w:cs="Arial"/>
                <w:i/>
                <w:iCs/>
                <w:szCs w:val="22"/>
              </w:rPr>
              <w:t>(2) Ethnoscience + STEM/STEAM</w:t>
            </w:r>
            <w:r w:rsidRPr="009308B9">
              <w:rPr>
                <w:rFonts w:ascii="Arial" w:eastAsia="Calibri" w:hAnsi="Arial" w:cs="Arial"/>
                <w:szCs w:val="22"/>
              </w:rPr>
              <w:t xml:space="preserve">, </w:t>
            </w:r>
            <w:r w:rsidRPr="009308B9">
              <w:rPr>
                <w:rFonts w:ascii="Arial" w:eastAsia="Calibri" w:hAnsi="Arial" w:cs="Arial"/>
                <w:i/>
                <w:iCs/>
                <w:szCs w:val="22"/>
              </w:rPr>
              <w:t xml:space="preserve">(3) </w:t>
            </w:r>
            <w:proofErr w:type="spellStart"/>
            <w:r w:rsidRPr="009308B9">
              <w:rPr>
                <w:rFonts w:ascii="Arial" w:eastAsia="Calibri" w:hAnsi="Arial" w:cs="Arial"/>
                <w:i/>
                <w:iCs/>
                <w:szCs w:val="22"/>
              </w:rPr>
              <w:t>Ethnopedagogy</w:t>
            </w:r>
            <w:proofErr w:type="spellEnd"/>
            <w:r w:rsidRPr="009308B9">
              <w:rPr>
                <w:rFonts w:ascii="Arial" w:eastAsia="Calibri" w:hAnsi="Arial" w:cs="Arial"/>
                <w:i/>
                <w:iCs/>
                <w:szCs w:val="22"/>
              </w:rPr>
              <w:t xml:space="preserve"> + Character Education</w:t>
            </w:r>
            <w:r w:rsidRPr="009308B9">
              <w:rPr>
                <w:rFonts w:ascii="Arial" w:eastAsia="Calibri" w:hAnsi="Arial" w:cs="Arial"/>
                <w:szCs w:val="22"/>
              </w:rPr>
              <w:t xml:space="preserve">, </w:t>
            </w:r>
            <w:r w:rsidRPr="009308B9">
              <w:rPr>
                <w:rFonts w:ascii="Arial" w:eastAsia="Calibri" w:hAnsi="Arial" w:cs="Arial"/>
                <w:i/>
                <w:iCs/>
                <w:szCs w:val="22"/>
              </w:rPr>
              <w:t>(4) Ethnoscience + Problem-/Project-Based Learning</w:t>
            </w:r>
            <w:r w:rsidRPr="009308B9">
              <w:rPr>
                <w:rFonts w:ascii="Arial" w:eastAsia="Calibri" w:hAnsi="Arial" w:cs="Arial"/>
                <w:szCs w:val="22"/>
              </w:rPr>
              <w:t xml:space="preserve">, and </w:t>
            </w:r>
            <w:r w:rsidRPr="009308B9">
              <w:rPr>
                <w:rFonts w:ascii="Arial" w:eastAsia="Calibri" w:hAnsi="Arial" w:cs="Arial"/>
                <w:i/>
                <w:iCs/>
                <w:szCs w:val="22"/>
              </w:rPr>
              <w:t>(5) Digital/Game-Based Ethnoscience.</w:t>
            </w:r>
            <w:r w:rsidRPr="009308B9">
              <w:rPr>
                <w:rFonts w:ascii="Arial" w:eastAsia="Calibri" w:hAnsi="Arial" w:cs="Arial"/>
                <w:szCs w:val="22"/>
              </w:rPr>
              <w:t xml:space="preserve"> Thematic analysis indicated a shift toward inclusive, digital, and value-integrated science pedagogy.</w:t>
            </w:r>
          </w:p>
          <w:p w14:paraId="331ED499" w14:textId="71FE5D7C" w:rsidR="00505F06" w:rsidRPr="00BA1B01" w:rsidRDefault="009308B9" w:rsidP="00441B6F">
            <w:pPr>
              <w:pStyle w:val="Body"/>
              <w:spacing w:after="0"/>
              <w:rPr>
                <w:rFonts w:ascii="Arial" w:eastAsia="Calibri" w:hAnsi="Arial" w:cs="Arial"/>
                <w:szCs w:val="22"/>
              </w:rPr>
            </w:pPr>
            <w:r w:rsidRPr="009308B9">
              <w:rPr>
                <w:rFonts w:ascii="Arial" w:eastAsia="Calibri" w:hAnsi="Arial" w:cs="Arial"/>
                <w:b/>
                <w:bCs/>
                <w:szCs w:val="22"/>
              </w:rPr>
              <w:t>Conclusion:</w:t>
            </w:r>
            <w:r w:rsidRPr="009308B9">
              <w:rPr>
                <w:rFonts w:ascii="Arial" w:eastAsia="Calibri" w:hAnsi="Arial" w:cs="Arial"/>
                <w:szCs w:val="22"/>
              </w:rPr>
              <w:br/>
              <w:t>Local wisdom functions as a transformative foundation that connects scientific reasoning with cultural and moral dimensions. Ethnoscience-based learning provides a sustainable pathway for integrating tradition and modernity, aligning with Education for Sustainable Development (ESD) and fostering global citizenship through culturally grounded science education.</w:t>
            </w:r>
            <w:r w:rsidR="00D72E34">
              <w:rPr>
                <w:rFonts w:ascii="Arial" w:eastAsia="Calibri" w:hAnsi="Arial" w:cs="Arial"/>
                <w:szCs w:val="22"/>
              </w:rPr>
              <w:t xml:space="preserve"> </w:t>
            </w:r>
            <w:r w:rsidR="000D6CDB" w:rsidRPr="000D6CDB">
              <w:rPr>
                <w:rFonts w:ascii="Arial" w:eastAsia="Calibri" w:hAnsi="Arial" w:cs="Arial"/>
                <w:szCs w:val="22"/>
              </w:rPr>
              <w:t>The review concludes with recommendations for curriculum design and teacher education programs that promote culturally responsive and sustainability-oriented science learning.</w:t>
            </w:r>
          </w:p>
        </w:tc>
      </w:tr>
    </w:tbl>
    <w:p w14:paraId="59199780" w14:textId="77777777" w:rsidR="00636EB2" w:rsidRDefault="00636EB2" w:rsidP="00441B6F">
      <w:pPr>
        <w:pStyle w:val="Body"/>
        <w:spacing w:after="0"/>
        <w:rPr>
          <w:rFonts w:ascii="Arial" w:hAnsi="Arial" w:cs="Arial"/>
          <w:i/>
        </w:rPr>
      </w:pPr>
    </w:p>
    <w:p w14:paraId="45D5E390" w14:textId="77777777" w:rsidR="00A24E7E" w:rsidRDefault="00A24E7E" w:rsidP="00441B6F">
      <w:pPr>
        <w:pStyle w:val="Body"/>
        <w:spacing w:after="0"/>
        <w:rPr>
          <w:rFonts w:ascii="Arial" w:hAnsi="Arial" w:cs="Arial"/>
          <w:i/>
        </w:rPr>
      </w:pPr>
      <w:r>
        <w:rPr>
          <w:rFonts w:ascii="Arial" w:hAnsi="Arial" w:cs="Arial"/>
          <w:i/>
        </w:rPr>
        <w:t xml:space="preserve">Keywords: </w:t>
      </w:r>
      <w:r w:rsidR="009308B9" w:rsidRPr="009308B9">
        <w:rPr>
          <w:rFonts w:ascii="Arial" w:hAnsi="Arial" w:cs="Arial"/>
          <w:i/>
        </w:rPr>
        <w:t xml:space="preserve">Cultural pedagogy; </w:t>
      </w:r>
      <w:r w:rsidR="00607111">
        <w:rPr>
          <w:rFonts w:ascii="Arial" w:hAnsi="Arial" w:cs="Arial"/>
          <w:i/>
        </w:rPr>
        <w:t xml:space="preserve">educational practices; </w:t>
      </w:r>
      <w:r w:rsidR="009308B9" w:rsidRPr="009308B9">
        <w:rPr>
          <w:rFonts w:ascii="Arial" w:hAnsi="Arial" w:cs="Arial"/>
          <w:i/>
        </w:rPr>
        <w:t xml:space="preserve">Ethnoscience; Local wisdom; Science </w:t>
      </w:r>
      <w:r w:rsidR="00607111">
        <w:rPr>
          <w:rFonts w:ascii="Arial" w:hAnsi="Arial" w:cs="Arial"/>
          <w:i/>
        </w:rPr>
        <w:t>learning</w:t>
      </w:r>
      <w:r w:rsidR="009308B9" w:rsidRPr="009308B9">
        <w:rPr>
          <w:rFonts w:ascii="Arial" w:hAnsi="Arial" w:cs="Arial"/>
          <w:i/>
        </w:rPr>
        <w:t xml:space="preserve">; </w:t>
      </w:r>
    </w:p>
    <w:p w14:paraId="3987F1E4" w14:textId="77777777" w:rsidR="0024282C" w:rsidRDefault="0024282C" w:rsidP="00441B6F">
      <w:pPr>
        <w:pStyle w:val="Body"/>
        <w:spacing w:after="0"/>
        <w:rPr>
          <w:rFonts w:ascii="Arial" w:hAnsi="Arial" w:cs="Arial"/>
          <w:i/>
          <w:sz w:val="18"/>
        </w:rPr>
      </w:pPr>
    </w:p>
    <w:p w14:paraId="2F5784DB" w14:textId="77777777" w:rsidR="00505F06" w:rsidRPr="00A24E7E" w:rsidRDefault="00505F06" w:rsidP="00441B6F">
      <w:pPr>
        <w:pStyle w:val="Body"/>
        <w:spacing w:after="0"/>
        <w:rPr>
          <w:rFonts w:ascii="Arial" w:hAnsi="Arial" w:cs="Arial"/>
          <w:i/>
        </w:rPr>
      </w:pPr>
    </w:p>
    <w:p w14:paraId="4B9094E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4AD6FD6" w14:textId="77777777" w:rsidR="00790ADA" w:rsidRPr="00FB3A86" w:rsidRDefault="00790ADA" w:rsidP="00441B6F">
      <w:pPr>
        <w:pStyle w:val="AbstHead"/>
        <w:spacing w:after="0"/>
        <w:jc w:val="both"/>
        <w:rPr>
          <w:rFonts w:ascii="Arial" w:hAnsi="Arial" w:cs="Arial"/>
        </w:rPr>
      </w:pPr>
    </w:p>
    <w:p w14:paraId="0CA81945" w14:textId="77777777" w:rsidR="001B0917" w:rsidRPr="001B0917" w:rsidRDefault="001B0917" w:rsidP="001B0917">
      <w:pPr>
        <w:pStyle w:val="Body"/>
        <w:spacing w:before="120" w:after="120"/>
        <w:rPr>
          <w:rFonts w:ascii="Arial" w:hAnsi="Arial" w:cs="Arial"/>
        </w:rPr>
      </w:pPr>
      <w:r w:rsidRPr="001B0917">
        <w:rPr>
          <w:rFonts w:ascii="Arial" w:hAnsi="Arial" w:cs="Arial"/>
        </w:rPr>
        <w:t xml:space="preserve">In recent years, the integration of local wisdom into science learning has received growing attention as educators seek to contextualize scientific concepts within learners’ cultural and ecological realities. Global challenges such as environmental degradation, biodiversity loss, </w:t>
      </w:r>
      <w:r w:rsidRPr="001B0917">
        <w:rPr>
          <w:rFonts w:ascii="Arial" w:hAnsi="Arial" w:cs="Arial"/>
        </w:rPr>
        <w:lastRenderedPageBreak/>
        <w:t>and cultural homogenization have underscored the need for education systems that not only transmit scientific knowledge but also sustain local identities and values</w:t>
      </w:r>
      <w:r w:rsidR="009308B9">
        <w:rPr>
          <w:rFonts w:ascii="Arial" w:hAnsi="Arial" w:cs="Arial"/>
        </w:rPr>
        <w:t xml:space="preserve"> </w:t>
      </w:r>
      <w:r w:rsidR="009308B9">
        <w:rPr>
          <w:rFonts w:ascii="Arial" w:hAnsi="Arial" w:cs="Arial"/>
        </w:rPr>
        <w:fldChar w:fldCharType="begin" w:fldLock="1"/>
      </w:r>
      <w:r w:rsidR="009308B9">
        <w:rPr>
          <w:rFonts w:ascii="Arial" w:hAnsi="Arial" w:cs="Arial"/>
        </w:rPr>
        <w:instrText>ADDIN CSL_CITATION {"citationItems":[{"id":"ITEM-1","itemData":{"author":[{"dropping-particle":"","family":"Rizkil","given":"Tufa","non-dropping-particle":"","parse-names":false,"suffix":""}],"container-title":"Journal of Science Education and Environmental Literacy Global","id":"ITEM-1","issue":"1","issued":{"date-parts":[["2025"]]},"page":"1-7","title":"Integration of local wisdom in science learning to improve science literacy of junior high school students","type":"article-journal","volume":"1"},"uris":["http://www.mendeley.com/documents/?uuid=21f9f360-6a3c-4ffc-b1ec-e535fc0ac675"]},{"id":"ITEM-2","itemData":{"DOI":"10.33394/ijete.v1i1.10881","abstract":"In the context of global educational challenges, scientific literacy remains a foundational goal yet is often hindered by traditional teaching methods that lack cultural and contextual relevance. This study addresses the intersection of local wisdom with science education as a strategy to enhance students' scientific literacy, grounded in the belief that culturally resonant teaching can improve learning outcomes. This study explores the impact of integrating local wisdom into science education on enhancing students' scientific literacy. Employing an experimental pretest-posttest control group design, the research involved 86 Indonesian high school students, divided evenly between a control group receiving traditional science instruction and an experimental group whose curriculum was enriched with local wisdom content. Over a six-week period focused on climate change, the experimental group's instruction intertwined indigenous knowledge with scientific concepts, aiming to create a culturally contextualized learning experience. The results, derived from quantitative measures were analyzed using ANOVA and post hoc tests. Findings indicate a statistically significant improvement in the scientific literacy of the experimental group compared to the control group, with the former demonstrating a substantial increase in posttest scores. The study confirms that local wisdom can be a potent tool in science education, leading to higher engagement and improved scientific literacy. This research contributes to the field by providing empirical evidence supporting culturally responsive teaching approaches and underscores the potential of local wisdom in bridging the gap between traditional knowledge systems and scientific methodologies.","author":[{"dropping-particle":"","family":"Verawati","given":"Ni Nyoman Sri Putu","non-dropping-particle":"","parse-names":false,"suffix":""},{"dropping-particle":"","family":"Wahyudi","given":"Wahyudi","non-dropping-particle":"","parse-names":false,"suffix":""}],"container-title":"International Journal of Ethnoscience and Technology in Education","id":"ITEM-2","issue":"1","issued":{"date-parts":[["2024"]]},"page":"42","title":"Raising the Issue of Local Wisdom in Science Learning and Its Impact on Increasing Students' Scientific Literacy","type":"article-journal","volume":"1"},"uris":["http://www.mendeley.com/documents/?uuid=1cc273e3-558b-49d0-a483-1a64e7d1b3c8"]}],"mendeley":{"formattedCitation":"(Rizkil, 2025; Verawati &amp; Wahyudi, 2024)","plainTextFormattedCitation":"(Rizkil, 2025; Verawati &amp; Wahyudi, 2024)","previouslyFormattedCitation":"(Rizkil, 2025; Verawati &amp; Wahyudi, 2024)"},"properties":{"noteIndex":0},"schema":"https://github.com/citation-style-language/schema/raw/master/csl-citation.json"}</w:instrText>
      </w:r>
      <w:r w:rsidR="009308B9">
        <w:rPr>
          <w:rFonts w:ascii="Arial" w:hAnsi="Arial" w:cs="Arial"/>
        </w:rPr>
        <w:fldChar w:fldCharType="separate"/>
      </w:r>
      <w:r w:rsidR="009308B9" w:rsidRPr="009308B9">
        <w:rPr>
          <w:rFonts w:ascii="Arial" w:hAnsi="Arial" w:cs="Arial"/>
          <w:noProof/>
        </w:rPr>
        <w:t>(Rizkil, 2025; Verawati &amp; Wahyudi, 2024)</w:t>
      </w:r>
      <w:r w:rsidR="009308B9">
        <w:rPr>
          <w:rFonts w:ascii="Arial" w:hAnsi="Arial" w:cs="Arial"/>
        </w:rPr>
        <w:fldChar w:fldCharType="end"/>
      </w:r>
      <w:r w:rsidRPr="001B0917">
        <w:rPr>
          <w:rFonts w:ascii="Arial" w:hAnsi="Arial" w:cs="Arial"/>
        </w:rPr>
        <w:t>. The call for culturally responsive and place-based education resonates strongly with the principles of Education for Sustainable Development (ESD) and the Sustainable Development Goals (SDGs), particularly SDG 4 (Quality Education), SDG 13 (Climate Action), and SDG 15 (Life on Land)</w:t>
      </w:r>
      <w:r w:rsidR="009308B9">
        <w:rPr>
          <w:rFonts w:ascii="Arial" w:hAnsi="Arial" w:cs="Arial"/>
        </w:rPr>
        <w:t xml:space="preserve"> </w:t>
      </w:r>
      <w:r w:rsidR="009308B9">
        <w:rPr>
          <w:rFonts w:ascii="Arial" w:hAnsi="Arial" w:cs="Arial"/>
        </w:rPr>
        <w:fldChar w:fldCharType="begin" w:fldLock="1"/>
      </w:r>
      <w:r w:rsidR="009308B9">
        <w:rPr>
          <w:rFonts w:ascii="Arial" w:hAnsi="Arial" w:cs="Arial"/>
        </w:rPr>
        <w:instrText>ADDIN CSL_CITATION {"citationItems":[{"id":"ITEM-1","itemData":{"DOI":"10.1080/13504622.2025.2482743","ISSN":"1350-4622","author":[{"dropping-particle":"","family":"Nguyen","given":"Anh Thu","non-dropping-particle":"","parse-names":false,"suffix":""},{"dropping-particle":"","family":"Latapí","given":"Mauricio","non-dropping-particle":"","parse-names":false,"suffix":""},{"dropping-particle":"","family":"Kemper","given":"Joya A","non-dropping-particle":"","parse-names":false,"suffix":""},{"dropping-particle":"","family":"Berger","given":"Paul","non-dropping-particle":"","parse-names":false,"suffix":""},{"dropping-particle":"","family":"Lam","given":"Hao","non-dropping-particle":"","parse-names":false,"suffix":""}],"container-title":"Environmental Education Research","id":"ITEM-1","issue":"8","issued":{"date-parts":[["2025","8","3"]]},"note":"doi: 10.1080/13504622.2025.2482743","page":"1721-1750","publisher":"Routledge","title":"Sustainability and sustainable development goals in business higher education research: a systematic literature review","type":"article-journal","volume":"31"},"uris":["http://www.mendeley.com/documents/?uuid=bf9a7e0c-40f2-41f1-8bc6-f7deceb1c88b"]},{"id":"ITEM-2","itemData":{"DOI":"10.3390/su17178060","ISBN":"2071-1050","abstract":"Plants are crucial for sustaining community livelihood and should be thoroughly integrated into education; however, students often suffer from Plant Awareness Disparity (PAD). This phenomenon causes students to fail to appreciate the value of plants, often because they fail to notice or value them in their surroundings. Although numerous interventions have been suggested to address PAD, we still lack a comprehensive instrument with which to measure the interconnectedness of plant awareness knowledge and the effectiveness of such interventions. To address this gap, this study developed and validated a new scale to measure plant awareness knowledge in elementary school students. We used the Nipa palm (Nypa fruticans Wurmb) as a specific case study within the Pak Phanang Basin of Nakhon Si Thammarat Province, Thailand. This study was conducted in two phases, following the standards for education and psychology testing. In the first phase, a systematic literature review based on the Plants, People, and Planet (PPP) concept was used to identify the dimensions and components of the scale. In the second phase, the scale was developed, and its construct validity was analyzed through exploratory factor analysis (EFA) and confirmatory factor analysis (CFA). The EFA and CFA provided evidence of a three-factor structure, confirming three distinct yet correlated dimensions of plant knowledge. The three subscales are as follows: Nature of Life, which focuses on students’ knowledge of the physical and biological characteristics of the plant; Interconnectedness of All Things, which measures knowledge of the plant’s relationship with its ecosystem and the community’s way of life; and Greatest Public Benefit, which assesses knowledge of the plant’s economic and cultural value to the community. The scale, comprising 13 items, demonstrated satisfactory internal consistency, with Cronbach’s alpha values above 0.75 across the three subscales. These findings provide educators with a valuable tool for assessing plant awareness and implementing interventions that foster ecological literacy and community sustainability.","author":[{"dropping-particle":"","family":"Compan","given":"Pongpan","non-dropping-particle":"","parse-names":false,"suffix":""},{"dropping-particle":"","family":"Prommachan","given":"Thongchai","non-dropping-particle":"","parse-names":false,"suffix":""},{"dropping-particle":"","family":"Kongyok","given":"Chanakamol","non-dropping-particle":"","parse-names":false,"suffix":""},{"dropping-particle":"","family":"Cheablam","given":"Onanong","non-dropping-particle":"","parse-names":false,"suffix":""},{"dropping-particle":"","family":"Socheath","given":"Mam","non-dropping-particle":"","parse-names":false,"suffix":""}],"container-title":"Sustainability","id":"ITEM-2","issue":"17","issued":{"date-parts":[["2025"]]},"title":"Integrating Local Plant Knowledge into Elementary Curriculum: A Scalable Model for Community Sustainability","type":"article-journal","volume":"17"},"uris":["http://www.mendeley.com/documents/?uuid=fe38f474-b943-4f63-9c24-29ae7d125c2d"]},{"id":"ITEM-3","itemData":{"DOI":"10.3390/su162410813","ISBN":"2071-1050","abstract":"This project studies how to raise awareness of the environment and sustainability among secondary school students. The goal is for them to become aware of their role in transforming the world, in order to integrate the Sustainable Development Goals (SDGs) into students’ daily educational environment. The goal is to attain the highest possible level of diversity in terms of age, possible knowledge of the SDGs, and environmental awareness. Another important factor is geographical distribution, with the inclusion of students from rural and urban schools. The study was developed within the framework of Forest and Sustainability, a project designed for secondary schools in Catalonia, using interactive learning tools. Survey participants (a total of 1106) are asked to choose and prioritize five SDGs. To obtain information on the trends in the responses, the program Minitab Statistical Software (v.22) was used. The SDGs with the highest score are SDG 1 (No Poverty), SDG 2 (Zero Hunger), SDG 3 (Good Health and Well-Being), SDG 5 (Gender Equality), and SDG 16 (Peace, Justice, and Strong Institutions). The humanitarian and health factors concern members of the sample group most, with very interesting results when comparing the responses by gender, educational level, and rural or urban schools’ participants.","author":[{"dropping-particle":"","family":"Mulero","given":"Lorena","non-dropping-particle":"","parse-names":false,"suffix":""},{"dropping-particle":"","family":"Grau","given":"Dolors","non-dropping-particle":"","parse-names":false,"suffix":""},{"dropping-particle":"","family":"Cunill","given":"Jordi","non-dropping-particle":"","parse-names":false,"suffix":""},{"dropping-particle":"","family":"Fàbregas","given":"Anna","non-dropping-particle":"","parse-names":false,"suffix":""},{"dropping-particle":"","family":"Rossell","given":"Josep M","non-dropping-particle":"","parse-names":false,"suffix":""}],"container-title":"Sustainability","id":"ITEM-3","issue":"24","issued":{"date-parts":[["2024"]]},"title":"Promoting and Prioritizing the Sustainable Development Goals in Young People","type":"article-journal","volume":"16"},"uris":["http://www.mendeley.com/documents/?uuid=72172585-d3c4-4175-8a76-38215b815647"]}],"mendeley":{"formattedCitation":"(Compan et al., 2025; Mulero et al., 2024; Nguyen et al., 2025)","plainTextFormattedCitation":"(Compan et al., 2025; Mulero et al., 2024; Nguyen et al., 2025)","previouslyFormattedCitation":"(Compan et al., 2025; Mulero et al., 2024; Nguyen et al., 2025)"},"properties":{"noteIndex":0},"schema":"https://github.com/citation-style-language/schema/raw/master/csl-citation.json"}</w:instrText>
      </w:r>
      <w:r w:rsidR="009308B9">
        <w:rPr>
          <w:rFonts w:ascii="Arial" w:hAnsi="Arial" w:cs="Arial"/>
        </w:rPr>
        <w:fldChar w:fldCharType="separate"/>
      </w:r>
      <w:r w:rsidR="009308B9" w:rsidRPr="009308B9">
        <w:rPr>
          <w:rFonts w:ascii="Arial" w:hAnsi="Arial" w:cs="Arial"/>
          <w:noProof/>
        </w:rPr>
        <w:t>(Compan et al., 2025; Mulero et al., 2024; Nguyen et al., 2025)</w:t>
      </w:r>
      <w:r w:rsidR="009308B9">
        <w:rPr>
          <w:rFonts w:ascii="Arial" w:hAnsi="Arial" w:cs="Arial"/>
        </w:rPr>
        <w:fldChar w:fldCharType="end"/>
      </w:r>
      <w:r w:rsidRPr="001B0917">
        <w:rPr>
          <w:rFonts w:ascii="Arial" w:hAnsi="Arial" w:cs="Arial"/>
        </w:rPr>
        <w:t xml:space="preserve">. Science learning that draws upon local wisdom is increasingly viewed as an avenue for fostering environmental awareness, social responsibility, and scientific literacy aligned with local contexts </w:t>
      </w:r>
      <w:r w:rsidR="009308B9">
        <w:rPr>
          <w:rFonts w:ascii="Arial" w:hAnsi="Arial" w:cs="Arial"/>
        </w:rPr>
        <w:fldChar w:fldCharType="begin" w:fldLock="1"/>
      </w:r>
      <w:r w:rsidR="003E3100">
        <w:rPr>
          <w:rFonts w:ascii="Arial" w:hAnsi="Arial" w:cs="Arial"/>
        </w:rPr>
        <w:instrText>ADDIN CSL_CITATION {"citationItems":[{"id":"ITEM-1","itemData":{"DOI":"10.1016/j.ssaho.2025.101703","ISSN":"25902911","abstract":"Islam, as the second-largest religion in the world, has a crucial relationship with sustainability issues that warrants further research. Publications linking Islam to sustainability over the past few decades are essential to study as a foundation for future research. This study aimed to analyze articles published on Scopus to obtain research trends around the themes of Islam and sustainability. This study used a bibliometric analysis method that adapts the Preferred Reporting Items for Systematic reviews and Meta-Analyses (PRISMA) model. Quantitative data collection was employed, followed by thematic analysis for data interpretation. This bibliometric analysis obtained several interesting findings. The publication trend in the Scopus database has increased significantly since 2008 and peaked in 2023. The theme covers a wide range of disciplines, with dominance in social sciences, arts and humanities, and business management. The most cited articles globally and locally are by Dusuki (2008) and Zagonari (2019). Publications are concentrated in major journals such as Humanomics, Indonesian Journal of Islam and Muslim Societies (IJIMS), and Sustainability. Although Malaysian and Indonesian scientists contribute significantly, only Malaysia stands out in terms of explicit funding support. Keyword and thematic mapping show that while core values like sustainability and Islam are central, there is limited integration of deeper theological principles and empirical environmental practices. Existing publications are driven by the themes of sustainability and sustainable development, while the concept of next generations and philosophical aspects remain niche themes.","author":[{"dropping-particle":"","family":"Husamah","given":"","non-dropping-particle":"","parse-names":false,"suffix":""},{"dropping-particle":"","family":"Rahardjanto","given":"Abdulkadir","non-dropping-particle":"","parse-names":false,"suffix":""},{"dropping-particle":"","family":"Permana","given":"Tutut Indria","non-dropping-particle":"","parse-names":false,"suffix":""},{"dropping-particle":"","family":"Lestari","given":"Nurdiyah","non-dropping-particle":"","parse-names":false,"suffix":""}],"container-title":"Social Sciences and Humanities Open","id":"ITEM-1","issue":"March","issued":{"date-parts":[["2025"]]},"page":"101703","publisher":"Elsevier Ltd","title":"Islam and sustainability issues, how far has the relationship progressed? A bibliometric analysis","type":"article-journal","volume":"12"},"uris":["http://www.mendeley.com/documents/?uuid=167ccc95-7784-4df3-8290-8b53e1212623"]},{"id":"ITEM-2","itemData":{"DOI":"10.33503/ebio.v10i01.998","ISSN":"2528-679X","abstract":"Sustainability competences are essential for addressing complex global environmental, social, and economic challenges. However, tools to accurately assess these competences remain varied and underexplored, necessitating a comprehensive review of existing instruments. This study aims to systematically identify and analyze assessment instruments for sustainability competences through a systematic literature review (SLR). This type of research is a systematic literature review (SLR). The research instrument is an inclusion and exclusion criteria form. Using the Scopus database, articles published between 2010 and 2023 were screened based on inclusion criteria such as relevance to sustainability competences assessment, peer-reviewed status, and language (English). From an initial 234 articles, 11 met the criteria and were analyzed using bibliometric tools and qualitative synthesis guided by five research questions focusing on publication trends, subject areas, geographic distribution, keywords, and instrument characteristics. The results show dominance of Social Sciences in this field, with notable multidisciplinary inputs from Energy and Environmental Sciences. Key themes include teacher self-efficacy, institutional commitment, and educational tailoring, alongside challenges like weak theoretical foundations and limited curricular integration. The study concludes that culturally adapted and context-specific instruments are critical to effectively evaluate sustainability competences. It recommends further research to develop validated, comprehensive tools to support education and policy. This work provides a structured foundation for advancing sustainability competence assessment globally.","author":[{"dropping-particle":"","family":"Rahardjanto","given":"Abdulkadir","non-dropping-particle":"","parse-names":false,"suffix":""},{"dropping-particle":"","family":"Husamah","given":"Husamah","non-dropping-particle":"","parse-names":false,"suffix":""},{"dropping-particle":"","family":"Lestari","given":"Nurdiyah","non-dropping-particle":"","parse-names":false,"suffix":""},{"dropping-particle":"","family":"Hadi","given":"Samsun","non-dropping-particle":"","parse-names":false,"suffix":""},{"dropping-particle":"","family":"Permana","given":"Tutut Indria","non-dropping-particle":"","parse-names":false,"suffix":""}],"container-title":"Edubiotik : Jurnal Pendidikan, Biologi dan Terapan","id":"ITEM-2","issue":"01","issued":{"date-parts":[["2025"]]},"page":"11-26","title":"Assessment instruments for sustainability competences in applied biology: A systematic literature review","type":"article-journal","volume":"10"},"uris":["http://www.mendeley.com/documents/?uuid=91a1d42a-ffec-47ab-b43a-93c6a64af324"]},{"id":"ITEM-3","itemData":{"DOI":"10.21831/jipi.v9i2.60871","ISSN":"2406-9205","abstract":"The aim of this research is to develop an electronic module that integrates STEM and PBL projects to improve students' critical thinking skills. Development research conducted using the ADDIE model. The research was conducted at Muhammadiyah 2 Junior High School (JHS) of Batu. Product trials were carried out involving 25 class VII students. The data collection instrument was carried out using a questionnaire given to media experts, material experts, teachers and students to test the feasibility and practicality of the media, as well as the pretest-posttest to measure students' critical thinking skills. The results of the study show four things: 1) the E-Module learning media is in the very feasible category with a weighting percentage of eligibility, namely 77.5% by media experts and 98% by material experts. 2) E-Module learning media is included in the very practical category by science teachers with a percentage of 97%, and the practical category by students with a percentage of 79%. 3) The results of the implementation show that students are very enthusiastic in participating in learning activities using the E-Module, seen from the percentage of aspects of interest in the media which reaches 86%. 4) E-Module learning media has a significant effect so that it has the potential to improve students' critical thinking skills (Sig = 0.000). Thus, the E-Module with the STEM approach based on the PBL Model can be used in learning environmental pollution material by students.","author":[{"dropping-particle":"","family":"Phandini","given":"Intan","non-dropping-particle":"","parse-names":false,"suffix":""},{"dropping-particle":"","family":"Miharja","given":"Fuad Jaya","non-dropping-particle":"","parse-names":false,"suffix":""},{"dropping-particle":"","family":"Husamah","given":"Husamah","non-dropping-particle":"","parse-names":false,"suffix":""},{"dropping-particle":"","family":"Fauzi","given":"Ahmad","non-dropping-particle":"","parse-names":false,"suffix":""},{"dropping-particle":"","family":"Nuryady","given":"Mohammad Mirza","non-dropping-particle":"","parse-names":false,"suffix":""}],"container-title":"Jurnal Inovasi Pendidikan IPA","id":"ITEM-3","issue":"2","issued":{"date-parts":[["2023"]]},"page":"118-126","title":"STEM-PBL integrative electronic module: Is that effective in improving students’ critical thinking skills?","type":"article-journal","volume":"9"},"uris":["http://www.mendeley.com/documents/?uuid=5277e329-a53e-46e0-bcc9-2968bf0759ab"]},{"id":"ITEM-4","itemData":{"DOI":"10.24042/tadris.v9i2.24288","ISSN":"2301-7562","abstract":"This study investigates Scopus-indexed articles to identify literacy trends that support maritime sustainability and derive key insights for future research and development. Using a PRISMA-based systematic literature review (SLR) combined with thematic analysis, the findings reveal an increasing trend in publications, primarily in the fields of environmental sciences, social sciences, and biology. Highly cited works, such as those by Kelly et al. and Gutierrez and Thornton, highlight dominant research contributions from the United States, the United Kingdom, and the European Union, with the European Union emerging as a key funding source. Six interrelated keywords were identified: sustainability, literacy, education, students, knowledge, and Sustainable Development Goals (SDGs). The review identifies five critical themes: marine sustainability and literacy, education, collaboration and stakeholder engagement, challenges and opportunities in marine resource management, and social awareness. In conclusion, the study underscores the growing importance of publications on maritime sustainability, driven by international collaborations and thematic focus on six central keywords.","author":[{"dropping-particle":"","family":"Husamah","given":"Husamah","non-dropping-particle":"","parse-names":false,"suffix":""},{"dropping-particle":"","family":"Rahardjanto","given":"Abdulkadir","non-dropping-particle":"","parse-names":false,"suffix":""},{"dropping-particle":"","family":"Lestari","given":"Nurdiyah","non-dropping-particle":"","parse-names":false,"suffix":""},{"dropping-particle":"","family":"Permana","given":"Tutut Indria","non-dropping-particle":"","parse-names":false,"suffix":""},{"dropping-particle":"","family":"Hadi","given":"Samsun","non-dropping-particle":"","parse-names":false,"suffix":""}],"container-title":"Tadris: Jurnal Keguruan dan Ilmu Tarbiyah","id":"ITEM-4","issue":"2","issued":{"date-parts":[["2024"]]},"page":"287-308","title":"Supporting Sustainability through Maritime Literacy and Valuable Reflections for the Future: A Systematic Literature Review","type":"article-journal","volume":"9"},"uris":["http://www.mendeley.com/documents/?uuid=4d5540a8-4655-4f5b-858e-6013ae6aff91"]}],"mendeley":{"formattedCitation":"(Husamah et al., 2025, 2024; Phandini et al., 2023; Rahardjanto et al., 2025)","plainTextFormattedCitation":"(Husamah et al., 2025, 2024; Phandini et al., 2023; Rahardjanto et al., 2025)","previouslyFormattedCitation":"(Husamah et al., 2025, 2024; Phandini et al., 2023; Rahardjanto et al., 2025)"},"properties":{"noteIndex":0},"schema":"https://github.com/citation-style-language/schema/raw/master/csl-citation.json"}</w:instrText>
      </w:r>
      <w:r w:rsidR="009308B9">
        <w:rPr>
          <w:rFonts w:ascii="Arial" w:hAnsi="Arial" w:cs="Arial"/>
        </w:rPr>
        <w:fldChar w:fldCharType="separate"/>
      </w:r>
      <w:r w:rsidR="009308B9" w:rsidRPr="009308B9">
        <w:rPr>
          <w:rFonts w:ascii="Arial" w:hAnsi="Arial" w:cs="Arial"/>
          <w:noProof/>
        </w:rPr>
        <w:t>(Husamah et al., 2025, 2024; Phandini et al., 2023; Rahardjanto et al., 2025)</w:t>
      </w:r>
      <w:r w:rsidR="009308B9">
        <w:rPr>
          <w:rFonts w:ascii="Arial" w:hAnsi="Arial" w:cs="Arial"/>
        </w:rPr>
        <w:fldChar w:fldCharType="end"/>
      </w:r>
      <w:r w:rsidRPr="001B0917">
        <w:rPr>
          <w:rFonts w:ascii="Arial" w:hAnsi="Arial" w:cs="Arial"/>
        </w:rPr>
        <w:t>.</w:t>
      </w:r>
    </w:p>
    <w:p w14:paraId="27DE2C35" w14:textId="2DACF123" w:rsidR="001B0917" w:rsidRPr="001B0917" w:rsidRDefault="001B0917" w:rsidP="001B0917">
      <w:pPr>
        <w:pStyle w:val="Body"/>
        <w:spacing w:before="120" w:after="120"/>
        <w:rPr>
          <w:rFonts w:ascii="Arial" w:hAnsi="Arial" w:cs="Arial"/>
        </w:rPr>
      </w:pPr>
      <w:r w:rsidRPr="001B0917">
        <w:rPr>
          <w:rFonts w:ascii="Arial" w:hAnsi="Arial" w:cs="Arial"/>
        </w:rPr>
        <w:t xml:space="preserve">Local wisdom, broadly defined as the accumulated knowledge, practices, and values developed by a community through long-term interaction with its environment, offers rich pedagogical potential. In many indigenous and traditional societies, local wisdom embodies empirical observation, ecological ethics, and problem-solving strategies that parallel scientific inquiry </w:t>
      </w:r>
      <w:r w:rsidR="003E3100" w:rsidRPr="000D6CDB">
        <w:rPr>
          <w:rFonts w:ascii="Arial" w:hAnsi="Arial" w:cs="Arial"/>
        </w:rPr>
        <w:fldChar w:fldCharType="begin" w:fldLock="1"/>
      </w:r>
      <w:r w:rsidR="003E3100" w:rsidRPr="000D6CDB">
        <w:rPr>
          <w:rFonts w:ascii="Arial" w:hAnsi="Arial" w:cs="Arial"/>
        </w:rPr>
        <w:instrText>ADDIN CSL_CITATION {"citationItems":[{"id":"ITEM-1","itemData":{"DOI":"10.29333/ejmste/14152","ISSN":"13058223","abstract":"The theme “local wisdom, sustainability, and education” attracted the attention of researchers, and the number of publications began to increase, making it interesting to study. This systematic literature review (SLR) aims to review various research published in journals indexed in Scopus database related to the theme “local wisdom, sustainability, and education”. The review focuses on publication trends as well as the contributions and recommendations that can be obtained. Disbursement was focused on the largest database in the world (Scopus), where 186 articles were obtained. preferred reporting items for systematic reviews and meta-analysis model was used to obtain suitable articles, so that finally only 10 articles met the criteria to be analyzed. We obtained data that the dominant research was conducted using a qualitative approach or method. There is no dominant author, and all authors are not related to each other. Local wisdom and sustainability “meet” in the word Indonesia, showing Indonesia's position and urgency in this study. The theme “local wisdom, sustainability, and education” is still not an interesting issue asking for international collaboration, so research collaboration is still local. We discuss all the findings. We also discuss the contributions and recommendations of the 10 articles analyzed, which can be grouped into aspects of sustainable agriculture, sustainable watershed management, implementation of environmental education curricula, and teacher professionalism development. Contributions and recommendations are aimed at all aspects of education (both formal, non-formal and informal education). Findings can be a consideration or baseline for researchers to study theme of “local wisdom, sustainability, and education” according to their respective backgrounds and objectives.","author":[{"dropping-particle":"","family":"Lestari","given":"Nurdiyah","non-dropping-particle":"","parse-names":false,"suffix":""},{"dropping-particle":"","family":"P.","given":"","non-dropping-particle":"","parse-names":false,"suffix":""},{"dropping-particle":"","family":"Suyanto","given":"Slamet","non-dropping-particle":"","parse-names":false,"suffix":""}],"container-title":"Eurasia Journal of Mathematics, Science and Technology Education","id":"ITEM-1","issue":"2","issued":{"date-parts":[["2024"]]},"page":"1-19","title":"A systematic literature review about local wisdom and sustainability: Contribution and recommendation to science education","type":"article-journal","volume":"20"},"uris":["http://www.mendeley.com/documents/?uuid=424e4412-4539-46bf-b762-de86a9356631"]},{"id":"ITEM-2","itemData":{"DOI":"10.29303/jppipa.v11i5.11167","ISSN":"2460-2582","abstract":"Strengthening science and environmental education through local wisdom is a strategic approach to creating contextual, relevant, and sustainable learning, particularly within indigenous communities. This study aims to explore how the Bunggu Indigenous Community in Pasangkayu, Indonesia, integrates local wisdom values into the management of science and environmental education. Utilizing a qualitative case study approach, data were collected through in-depth interviews, participatory observations, and document analysis involving traditional leaders, educators, and educational stakeholders. The findings reveal that scientific concepts such as ecology, environmental conservation, natural resource management, and traditional technology are taught through culturally inherited practices. The community's education management combines local wisdom with formal curricula, resulting in adaptive and contextual strategies for science and environmental learning. These findings emphasize that integrating local wisdom into science and environmental education not only enriches the learning process but also strengthens ecological awareness, cultural identity, and community participation in environmental preservation. This study contributes to the development of an education management model that is more responsive to local cultural contexts and highlights the need for educational policies that support local wisdom-based learning.","author":[{"dropping-particle":"","family":"Albar","given":"","non-dropping-particle":"","parse-names":false,"suffix":""},{"dropping-particle":"","family":"Daswati","given":"","non-dropping-particle":"","parse-names":false,"suffix":""},{"dropping-particle":"","family":"Nawawi","given":"Muhammad","non-dropping-particle":"","parse-names":false,"suffix":""},{"dropping-particle":"","family":"Syufri","given":"","non-dropping-particle":"","parse-names":false,"suffix":""}],"container-title":"Jurnal Penelitian Pendidikan IPA","id":"ITEM-2","issue":"5","issued":{"date-parts":[["2025"]]},"page":"408-418","title":"Local Wisdom-Based Science and Environmental Education Management: Perspectives from the Bunggu Indigenous Community","type":"article-journal","volume":"11"},"uris":["http://www.mendeley.com/documents/?uuid=ad758353-c347-40c0-a0af-1f63f69689b6"]}],"mendeley":{"formattedCitation":"(Albar et al., 2025; Lestari et al., 2024)","plainTextFormattedCitation":"(Albar et al., 2025; Lestari et al., 2024)","previouslyFormattedCitation":"(Albar et al., 2025; Lestari et al., 2024)"},"properties":{"noteIndex":0},"schema":"https://github.com/citation-style-language/schema/raw/master/csl-citation.json"}</w:instrText>
      </w:r>
      <w:r w:rsidR="003E3100" w:rsidRPr="000D6CDB">
        <w:rPr>
          <w:rFonts w:ascii="Arial" w:hAnsi="Arial" w:cs="Arial"/>
        </w:rPr>
        <w:fldChar w:fldCharType="separate"/>
      </w:r>
      <w:r w:rsidR="003E3100" w:rsidRPr="000D6CDB">
        <w:rPr>
          <w:rFonts w:ascii="Arial" w:hAnsi="Arial" w:cs="Arial"/>
          <w:noProof/>
        </w:rPr>
        <w:t>(Albar et al., 2025; Lestari et al., 2024</w:t>
      </w:r>
      <w:r w:rsidR="000D6CDB" w:rsidRPr="000D6CDB">
        <w:rPr>
          <w:rFonts w:ascii="Arial" w:hAnsi="Arial" w:cs="Arial"/>
          <w:noProof/>
        </w:rPr>
        <w:t xml:space="preserve">; </w:t>
      </w:r>
      <w:r w:rsidR="000D6CDB" w:rsidRPr="00B32AFE">
        <w:rPr>
          <w:rFonts w:ascii="Arial" w:hAnsi="Arial" w:cs="Arial"/>
          <w:noProof/>
        </w:rPr>
        <w:t>UNESCO, 2022</w:t>
      </w:r>
      <w:r w:rsidR="000D6CDB" w:rsidRPr="000D6CDB">
        <w:rPr>
          <w:rFonts w:ascii="Arial" w:hAnsi="Arial" w:cs="Arial"/>
          <w:noProof/>
        </w:rPr>
        <w:t xml:space="preserve">; </w:t>
      </w:r>
      <w:r w:rsidR="000D6CDB" w:rsidRPr="00B32AFE">
        <w:rPr>
          <w:rFonts w:ascii="Arial" w:hAnsi="Arial" w:cs="Arial"/>
          <w:noProof/>
        </w:rPr>
        <w:t>Eliyahu-Levi &amp; Ganz-Meishar, 2020</w:t>
      </w:r>
      <w:r w:rsidR="003E3100" w:rsidRPr="000D6CDB">
        <w:rPr>
          <w:rFonts w:ascii="Arial" w:hAnsi="Arial" w:cs="Arial"/>
          <w:noProof/>
        </w:rPr>
        <w:t>)</w:t>
      </w:r>
      <w:r w:rsidR="003E3100" w:rsidRPr="000D6CDB">
        <w:rPr>
          <w:rFonts w:ascii="Arial" w:hAnsi="Arial" w:cs="Arial"/>
        </w:rPr>
        <w:fldChar w:fldCharType="end"/>
      </w:r>
      <w:r w:rsidRPr="000D6CDB">
        <w:rPr>
          <w:rFonts w:ascii="Arial" w:hAnsi="Arial" w:cs="Arial"/>
        </w:rPr>
        <w:t>.</w:t>
      </w:r>
      <w:r w:rsidRPr="001B0917">
        <w:rPr>
          <w:rFonts w:ascii="Arial" w:hAnsi="Arial" w:cs="Arial"/>
        </w:rPr>
        <w:t xml:space="preserve"> When appropriately integrated into formal science education, it can serve as a bridge between students’ lived experiences and abstract scientific principles. For instance, local ecological practices such as sustainable farming, herbal medicine, or traditional meteorology can be used as contextual entry points to teach concepts in biology, chemistry, or environmental science. Such integration enhances the relevance of science learning, promotes cultural appreciation, and supports the development of higher-order thinking skills</w:t>
      </w:r>
      <w:r w:rsidR="003E3100">
        <w:rPr>
          <w:rFonts w:ascii="Arial" w:hAnsi="Arial" w:cs="Arial"/>
        </w:rPr>
        <w:t xml:space="preserve"> </w:t>
      </w:r>
      <w:r w:rsidR="003E3100">
        <w:rPr>
          <w:rFonts w:ascii="Arial" w:hAnsi="Arial" w:cs="Arial"/>
        </w:rPr>
        <w:fldChar w:fldCharType="begin" w:fldLock="1"/>
      </w:r>
      <w:r w:rsidR="003E3100">
        <w:rPr>
          <w:rFonts w:ascii="Arial" w:hAnsi="Arial" w:cs="Arial"/>
        </w:rPr>
        <w:instrText>ADDIN CSL_CITATION {"citationItems":[{"id":"ITEM-1","itemData":{"DOI":"10.1186/s12302-021-00552-5","ISSN":"2190-4715","abstract":"Climate change is a problem which is global in nature, and whose effects go across a wide range of disciplines. It is therefore important that this theme is taken into account as part of universities´ teaching and research programs.","author":[{"dropping-particle":"","family":"Leal Filho","given":"Walter","non-dropping-particle":"","parse-names":false,"suffix":""},{"dropping-particle":"","family":"Sima","given":"Mihaela","non-dropping-particle":"","parse-names":false,"suffix":""},{"dropping-particle":"","family":"Sharifi","given":"Ayyoob","non-dropping-particle":"","parse-names":false,"suffix":""},{"dropping-particle":"","family":"Luetz","given":"Johannes M","non-dropping-particle":"","parse-names":false,"suffix":""},{"dropping-particle":"","family":"Salvia","given":"Amanda Lange","non-dropping-particle":"","parse-names":false,"suffix":""},{"dropping-particle":"","family":"Mifsud","given":"Mark","non-dropping-particle":"","parse-names":false,"suffix":""},{"dropping-particle":"","family":"Olooto","given":"Felicia Motunrayo","non-dropping-particle":"","parse-names":false,"suffix":""},{"dropping-particle":"","family":"Djekic","given":"Ilija","non-dropping-particle":"","parse-names":false,"suffix":""},{"dropping-particle":"","family":"Anholon","given":"Rosley","non-dropping-particle":"","parse-names":false,"suffix":""},{"dropping-particle":"","family":"Rampasso","given":"Izabela","non-dropping-particle":"","parse-names":false,"suffix":""},{"dropping-particle":"","family":"Kwabena Donkor","given":"Felix","non-dropping-particle":"","parse-names":false,"suffix":""},{"dropping-particle":"","family":"Dinis","given":"Maria Alzira Pimenta","non-dropping-particle":"","parse-names":false,"suffix":""},{"dropping-particle":"","family":"Klavins","given":"Maris","non-dropping-particle":"","parse-names":false,"suffix":""},{"dropping-particle":"","family":"Finnveden","given":"Göran","non-dropping-particle":"","parse-names":false,"suffix":""},{"dropping-particle":"","family":"Chari","given":"Martin Munashe","non-dropping-particle":"","parse-names":false,"suffix":""},{"dropping-particle":"","family":"Molthan-Hill","given":"Petra","non-dropping-particle":"","parse-names":false,"suffix":""},{"dropping-particle":"","family":"Mifsud","given":"Alexandra","non-dropping-particle":"","parse-names":false,"suffix":""},{"dropping-particle":"","family":"Sen","given":"Salil K","non-dropping-particle":"","parse-names":false,"suffix":""},{"dropping-particle":"","family":"Lokupitiya","given":"Erandathie","non-dropping-particle":"","parse-names":false,"suffix":""}],"container-title":"Environmental Sciences Europe","id":"ITEM-1","issue":"1","issued":{"date-parts":[["2021"]]},"page":"109","title":"Handling climate change education at universities: an overview","type":"article-journal","volume":"33"},"uris":["http://www.mendeley.com/documents/?uuid=045b7ad3-2752-47f0-86ce-793b82a337b1"]},{"id":"ITEM-2","itemData":{"DOI":"https://doi.org/10.1016/j.seares.2023.102449","ISSN":"1385-1101","abstract":"Variations due to climate change like rising sea levels, recurring storm surges and changing wave conditions coupled with unsustainable development along the coast are exacerbating coastal populations' vulnerability to coastal dangers globally. The ecosystem based solution to achieve sustainable development is increasingly advocated in the last two decades to leverage nature's robust adaptive capacity to change and protect people against its negative consequences. Mangroves protect and maintain a rich marine biodiversity in the tropics and subtropics and are crucial carbon sinks. The present study thus analyses mangroves' role as ecosystem-based technique to reduce disaster risk and adapt to climate change using Mauritius, a small island state, as case study, particularly the coastal protective and climate change adaptive capacities of the two local species Rhizophora mucronata Lam. and Bruguiera gymnorrhiza (L.) Lam. The PRISMA (Preferred Reporting Items for Systematic Reviews and Meta-Analyses) guidelines were used to retrieve resources from Google Scholar, Web of Science and ScienceDirect for the 2002 to 2022 period. A total of 41,789 records were identified and through a robust screening and filtering process only 50 studies were deemed relevant to the present study. In this context, key attributes of mangrove forests were found to be in reducing coastal flood risk, sheltering coastal regions during storms and stabilizing the coast. This study lays the foundation to consider Rhizophora and Brugueira as robust nature based solutions for Mauritius which will be of key importance to decision makers, researchers and the public at large to consider restoring degraded mangrove sites and promote ecosystem-based approaches to reduce disaster risk, adapt to climate change, enhance marine spatial planning and better coastal zone management.","author":[{"dropping-particle":"","family":"Sunkur","given":"Reshma","non-dropping-particle":"","parse-names":false,"suffix":""},{"dropping-particle":"","family":"Kantamaneni","given":"Komali","non-dropping-particle":"","parse-names":false,"suffix":""},{"dropping-particle":"","family":"Bokhoree","given":"Chandradeo","non-dropping-particle":"","parse-names":false,"suffix":""},{"dropping-particle":"","family":"Ravan","given":"Shirish","non-dropping-particle":"","parse-names":false,"suffix":""}],"container-title":"Journal of Sea Research","id":"ITEM-2","issued":{"date-parts":[["2023"]]},"page":"102449","title":"Mangroves' role in supporting ecosystem-based techniques to reduce disaster risk and adapt to climate change: A review","type":"article-journal","volume":"196"},"uris":["http://www.mendeley.com/documents/?uuid=2518bb60-284f-47da-9e36-7ef3adc068a0"]},{"id":"ITEM-3","itemData":{"DOI":"10.3390/su12093853","ISBN":"2071-1050","abstract":"There are numerous studies and publications about sustainable agriculture. Many papers argue that sustainable agriculture is necessary, and analyze how this goal could be achieved. At the same time, studies question the sustainability of agriculture. Several obstacles, including theoretical, methodological, personal, and practical issues, hinder or slow down implementation, resulting in the so-called implementation gap. This study addresses potential obstacles that limit the implementation of sustainable agriculture in practice. To overcome the obstacles and to improve implementation, different solutions and actions are required. This study aims to illustrate ways of minimizing or removing obstacles and how to overcome the implementation gap. Unfortunately, the diversity of obstacles and their complexity mean there are no quick and easy solutions. A broader approach that addresses different dimensions and stakeholders is required. Areas of action include institutionalization, assessment and system development, education and capacity building, and social and political support. To realize the suggestions and recommendations and to improve implementation, transdisciplinary work and cooperation between many actors are required.","author":[{"dropping-particle":"","family":"Siebrecht","given":"Norman","non-dropping-particle":"","parse-names":false,"suffix":""}],"container-title":"Sustainability","id":"ITEM-3","issue":"9","issued":{"date-parts":[["2020"]]},"title":"Sustainable Agriculture and Its Implementation Gap—Overcoming Obstacles to Implementation","type":"article-journal","volume":"12"},"uris":["http://www.mendeley.com/documents/?uuid=e31f6776-9064-4b20-97b6-1d260cc5eee9"]},{"id":"ITEM-4","itemData":{"DOI":"10.1186/s43031-024-00111-x","ISSN":"2662-2300","abstract":"Quality science education is crucial in preparing students for real-world challenges by fostering scientific literacy and critical thinking skills. Field trips and work immersion programs support this goal by providing hands-on experiences and real-world applications of scientific concepts, thereby enhancing student engagement and understanding. This autoethnographic study explores the management of school field trips and work immersion programs, emphasising their impact on student engagement and learning outcomes. Through personal experiences and reflective practices, I examine the logistical planning, risk management, and curriculum alignment necessary for successful implementation. The findings highlight how these programs enhance students’ understanding of scientific principles, foster critical thinking, and encourage STEM career interests. Key strategies include collaborative planning, flexibility, and ongoing evaluation, providing insights into optimising educational programs and bridging the gap between classroom learning and real-world application.","author":[{"dropping-particle":"","family":"Acut","given":"Dharel P","non-dropping-particle":"","parse-names":false,"suffix":""}],"container-title":"Disciplinary and Interdisciplinary Science Education Research","id":"ITEM-4","issue":"1","issued":{"date-parts":[["2024"]]},"page":"20","title":"From classroom learning to real-world skills: an autoethnographic account of school field trips and STEM work immersion program management","type":"article-journal","volume":"6"},"uris":["http://www.mendeley.com/documents/?uuid=0132af77-05dc-4c81-b005-d0a61ce6e092"]}],"mendeley":{"formattedCitation":"(Acut, 2024; Leal Filho et al., 2021; Siebrecht, 2020; Sunkur et al., 2023)","plainTextFormattedCitation":"(Acut, 2024; Leal Filho et al., 2021; Siebrecht, 2020; Sunkur et al., 2023)","previouslyFormattedCitation":"(Acut, 2024; Leal Filho et al., 2021; Siebrecht, 2020; Sunkur et al., 2023)"},"properties":{"noteIndex":0},"schema":"https://github.com/citation-style-language/schema/raw/master/csl-citation.json"}</w:instrText>
      </w:r>
      <w:r w:rsidR="003E3100">
        <w:rPr>
          <w:rFonts w:ascii="Arial" w:hAnsi="Arial" w:cs="Arial"/>
        </w:rPr>
        <w:fldChar w:fldCharType="separate"/>
      </w:r>
      <w:r w:rsidR="003E3100" w:rsidRPr="003E3100">
        <w:rPr>
          <w:rFonts w:ascii="Arial" w:hAnsi="Arial" w:cs="Arial"/>
          <w:noProof/>
        </w:rPr>
        <w:t>(Acut, 2024; Leal Filho et al., 2021; Siebrecht, 2020; Sunkur et al., 2023)</w:t>
      </w:r>
      <w:r w:rsidR="003E3100">
        <w:rPr>
          <w:rFonts w:ascii="Arial" w:hAnsi="Arial" w:cs="Arial"/>
        </w:rPr>
        <w:fldChar w:fldCharType="end"/>
      </w:r>
      <w:r w:rsidRPr="001B0917">
        <w:rPr>
          <w:rFonts w:ascii="Arial" w:hAnsi="Arial" w:cs="Arial"/>
        </w:rPr>
        <w:t>.</w:t>
      </w:r>
    </w:p>
    <w:p w14:paraId="1152B351" w14:textId="77777777" w:rsidR="001B0917" w:rsidRPr="001B0917" w:rsidRDefault="001B0917" w:rsidP="001B0917">
      <w:pPr>
        <w:pStyle w:val="Body"/>
        <w:spacing w:before="120" w:after="120"/>
        <w:rPr>
          <w:rFonts w:ascii="Arial" w:hAnsi="Arial" w:cs="Arial"/>
        </w:rPr>
      </w:pPr>
      <w:r w:rsidRPr="001B0917">
        <w:rPr>
          <w:rFonts w:ascii="Arial" w:hAnsi="Arial" w:cs="Arial"/>
        </w:rPr>
        <w:t xml:space="preserve">Despite its potential, integrating local wisdom into science learning presents theoretical and practical challenges. Studies have reported that while many teachers and curriculum developers acknowledge the importance of local wisdom, its implementation in classrooms often remains superficial—limited to anecdotal references or cultural illustrations without deep conceptual connection to scientific content </w:t>
      </w:r>
      <w:r w:rsidR="003E3100">
        <w:rPr>
          <w:rFonts w:ascii="Arial" w:hAnsi="Arial" w:cs="Arial"/>
        </w:rPr>
        <w:fldChar w:fldCharType="begin" w:fldLock="1"/>
      </w:r>
      <w:r w:rsidR="003E3100">
        <w:rPr>
          <w:rFonts w:ascii="Arial" w:hAnsi="Arial" w:cs="Arial"/>
        </w:rPr>
        <w:instrText>ADDIN CSL_CITATION {"citationItems":[{"id":"ITEM-1","itemData":{"DOI":"10.37329/cetta.v8i1.3858","abstract":"This study aims to examine teachers' and students' perspectives on the role of local wisdom in building student character in elementary schools. Using a descriptive method with a qualitative approach, data was collected through in-depth interviews and observations in several elementary schools. Regional Pride by developing a sense of pride in the cultural richness and uniqueness of the Batu region through school projects. This research adopts a descriptive method with a qualitative approach. Data collection involves observation, interviews with teachers and students, and documentation, allowing for direct observation of classroom dynamics and gathering insights from participants. The research follows Miles and Huberman's three streams of activities, beginning with data collection from various sources. The results showed that teachers see local wisdom as an important source of value in character education, as it can strengthen cultural identity and instill positive values among students. Students also recognized the benefits of engaging in local wisdom-based activities, which made students appreciate their own culture more. However, challenges faced include teachers' lack of knowledge about local wisdom and limited resources to integrate it into the curriculum. This study recommends the need for training for teachers and closer collaboration between schools and communities to overcome these obstacles. With the right approach, local wisdom can be effectively integrated in learning, contributing to better character development of students and strengthening their love for local culture.","author":[{"dropping-particle":"","family":"Sofiyah","given":"Raden Ajeng","non-dropping-particle":"","parse-names":false,"suffix":""},{"dropping-particle":"","family":"Suwandayani","given":"Beti Istanti","non-dropping-particle":"","parse-names":false,"suffix":""},{"dropping-particle":"","family":"Kumalasani","given":"Maharani Putri","non-dropping-particle":"","parse-names":false,"suffix":""}],"container-title":"Cetta: Jurnal Ilmu Pendidikan","id":"ITEM-1","issue":"1","issued":{"date-parts":[["2025"]]},"page":"173-182","title":"Characteristics of Local Wisdom in Building Character Based on the Perspectives of Teachers and Students in Batu City Elementary Schools","type":"article-journal","volume":"8"},"uris":["http://www.mendeley.com/documents/?uuid=9666bb5e-e3ce-436d-996a-e7b4398617e6"]},{"id":"ITEM-2","itemData":{"DOI":"10.30596/jcositte.v1i1.xxxx","abstract":"Strengthening civic engagement is very necessary because it has important aspects for improving human resources and also has certain goals that must be achieved for the progress of a nation. The involvement of citizens in social life is the hope for realizing the ideals of society. Civic Engagement is one of the main concepts in Community Civics to be able to participate in public life. Thus, this study aims to provide an overview of how to strengthen Civic Engagement in the younger generation. This study uses a qualitative approach with the library study method, where this research will describe descriptively the strengthening of Civic Engagement in the younger generation. Library research is a research that is used to collect information and data with the help of various kinds of existing materials such as books, news, journals, and so on.","author":[{"dropping-particle":"","family":"Isma","given":"Nurul","non-dropping-particle":"","parse-names":false,"suffix":""},{"dropping-particle":"","family":"Yusuf","given":"Muhammad","non-dropping-particle":"","parse-names":false,"suffix":""}],"container-title":"Jurnal Riset Ilmu Pendidikan","id":"ITEM-2","issue":"1","issued":{"date-parts":[["2025"]]},"page":"211-215","title":"The Influence of the Implementation of Extracurricular Activities of the Islamic Propagation Agency on the Practice of Religious Worship at Mutia Rahma Bulu Cina Middle School , Hamparan Perak District","type":"article-journal","volume":"5"},"uris":["http://www.mendeley.com/documents/?uuid=6f0d9d0b-86ec-4610-afe9-da37f64b3d3f"]},{"id":"ITEM-3","itemData":{"DOI":"10.59944/postaxial.v3i2.444","abstract":"This study explores the integration of local wisdom into 21st-century education within rural classrooms, focusing on how culturally relevant pedagogy can enhance learning experiences and outcomes. By examining the intersection of local knowledge and the 4Cs (Critical Thinking, Communication, Collaboration, and Creativity), the research aims to identify effective instructional strategies and their impact on student engagement and academic success. Through qualitative methods, including interviews with teachers, observations, and community involvement, the study highlights the ways in which local wisdom—such as traditional stories, agricultural practices, and community values—is utilized in teaching practices. The findings suggest that the incorporation of these elements not only fosters deeper connections to the students' cultural identities but also cultivates essential skills for the 21st century. Additionally, the study discusses the challenges faced by educators in implementing these practices, including resource limitations and the need for professional development, while emphasizing the role of the local community in supporting the integration of culture into formal education. Ultimately, the research contributes to a more comprehensive understanding of how localized pedagogical approaches can be leveraged to create more inclusive, relevant, and engaging educational experiences in rural settings.","author":[{"dropping-particle":"","family":"Fitrianto","given":"Ibnu","non-dropping-particle":"","parse-names":false,"suffix":""},{"dropping-particle":"","family":"Farisi","given":"Muhammad","non-dropping-particle":"","parse-names":false,"suffix":""}],"container-title":"International Journal of Post Axial: Futuristic Teaching and Learning","id":"ITEM-3","issue":"2","issued":{"date-parts":[["2025"]]},"page":"109-121","title":"Integrating Local Wisdom into 21st Century Skills: A Contextual Framework for Culturally Relevant Pedagogy in Rural Classrooms","type":"article-journal","volume":"3"},"uris":["http://www.mendeley.com/documents/?uuid=756dc8f2-3758-4d5d-ba4b-ba57539a6d23"]},{"id":"ITEM-4","itemData":{"DOI":"10.1016/j.heliyon.2024.e31370","ISSN":"2405-8440","author":[{"dropping-particle":"","family":"Sakti","given":"Syahria Anggita","non-dropping-particle":"","parse-names":false,"suffix":""},{"dropping-particle":"","family":"Endraswara","given":"Suwardi","non-dropping-particle":"","parse-names":false,"suffix":""},{"dropping-particle":"","family":"Rohman","given":"Arif","non-dropping-particle":"","parse-names":false,"suffix":""}],"container-title":"Heliyon","id":"ITEM-4","issue":"10","issued":{"date-parts":[["2024","5","30"]]},"note":"doi: 10.1016/j.heliyon.2024.e31370","publisher":"Elsevier","title":"Revitalizing local wisdom within character education through ethnopedagogy apporach: A case study on a preschool in Yogyakarta","type":"article-journal","volume":"10"},"uris":["http://www.mendeley.com/documents/?uuid=3296672d-0518-4b24-995b-bd7e1de751a2"]},{"id":"ITEM-5","itemData":{"ISSN":"2964-0687","abstract":"The study aims to explore the implementation of local wisdom in learning in schools in rural areas, focusing on how local Wisdom can be integrated into the learning process to improve the relevance and effectiveness of education. The study reveals the contribution of local wisdom in educating students about identities and traditions of communities, as well as its role in strengthening character education and preserving cultural values in the face of global influence and modern technology. This research is carried out through a literature review, which involves the collection and analysis of secondary data from relevant sources, including scientific journals, articles, research reports, and online sources. Through this method, research identifies, analyzes, and synthesizes findings from previous research related to the implementation of local wisdom in education, especially in rural areas. Research results show that the implementation of local wisdom in learning in rural schools has significant potential in enriching student curricula and learning experiences. Local wisdom, when integrated into learning, can enhance students' understanding of their socio-cultural environment and local history, while facilitating the building of identity and appreciation of cultural heritage. In addition, learning strategies that leverage local wisdom have proven effective in developing students' critical skills, problem-solving skills, and project-based learning relevant to their local context. Obstacles identified include resource shortages, the need for teacher training for innovative learning strategies, and the challenge of integrating local content with national educational standards. The research reaffirms the importance of collaboration between schools, communities, and stakeholders in encouraging and nurturing the implementation of local wisdom in education.","author":[{"dropping-particle":"","family":"Pugu","given":"Melyana R","non-dropping-particle":"","parse-names":false,"suffix":""},{"dropping-particle":"","family":"Nurhayani","given":"Noneng","non-dropping-particle":"","parse-names":false,"suffix":""},{"dropping-particle":"","family":"Asy'ari Politeknik","given":"Farida","non-dropping-particle":"","parse-names":false,"suffix":""},{"dropping-particle":"","family":"Pontianak","given":"Negeri","non-dropping-particle":"","parse-names":false,"suffix":""}],"container-title":"Jurnal Ilmu Pendidikan dan Kearifan Lokal (JIPKL)","id":"ITEM-5","issue":"2","issued":{"date-parts":[["2024"]]},"page":"105-116","title":"Implementation of Local Wisdom in Learning in Schools Around Rural Areas","type":"article-journal","volume":"4"},"uris":["http://www.mendeley.com/documents/?uuid=e6a2a2df-9f7f-4f54-b038-81a18f603918"]}],"mendeley":{"formattedCitation":"(Fitrianto &amp; Farisi, 2025; Isma &amp; Yusuf, 2025; Pugu et al., 2024; Sakti et al., 2024; Sofiyah et al., 2025)","plainTextFormattedCitation":"(Fitrianto &amp; Farisi, 2025; Isma &amp; Yusuf, 2025; Pugu et al., 2024; Sakti et al., 2024; Sofiyah et al., 2025)","previouslyFormattedCitation":"(Fitrianto &amp; Farisi, 2025; Isma &amp; Yusuf, 2025; Pugu et al., 2024; Sakti et al., 2024; Sofiyah et al., 2025)"},"properties":{"noteIndex":0},"schema":"https://github.com/citation-style-language/schema/raw/master/csl-citation.json"}</w:instrText>
      </w:r>
      <w:r w:rsidR="003E3100">
        <w:rPr>
          <w:rFonts w:ascii="Arial" w:hAnsi="Arial" w:cs="Arial"/>
        </w:rPr>
        <w:fldChar w:fldCharType="separate"/>
      </w:r>
      <w:r w:rsidR="003E3100" w:rsidRPr="003E3100">
        <w:rPr>
          <w:rFonts w:ascii="Arial" w:hAnsi="Arial" w:cs="Arial"/>
          <w:noProof/>
        </w:rPr>
        <w:t>(Fitrianto &amp; Farisi, 2025; Isma &amp; Yusuf, 2025; Pugu et al., 2024; Sakti et al., 2024; Sofiyah et al., 2025)</w:t>
      </w:r>
      <w:r w:rsidR="003E3100">
        <w:rPr>
          <w:rFonts w:ascii="Arial" w:hAnsi="Arial" w:cs="Arial"/>
        </w:rPr>
        <w:fldChar w:fldCharType="end"/>
      </w:r>
      <w:r w:rsidRPr="001B0917">
        <w:rPr>
          <w:rFonts w:ascii="Arial" w:hAnsi="Arial" w:cs="Arial"/>
        </w:rPr>
        <w:t>. Moreover, there is still a lack of coherent pedagogical frameworks that systematically guide the process of incorporating local wisdom into curriculum design, instructional strategies, and assessment. The diversity of cultural settings further complicates the creation of universal models, leading to fragmented research findings across regions and disciplines.</w:t>
      </w:r>
    </w:p>
    <w:p w14:paraId="2CB5D789" w14:textId="43631790" w:rsidR="001B0917" w:rsidRPr="001B0917" w:rsidRDefault="001B0917" w:rsidP="001B0917">
      <w:pPr>
        <w:pStyle w:val="Body"/>
        <w:spacing w:before="120" w:after="120"/>
        <w:rPr>
          <w:rFonts w:ascii="Arial" w:hAnsi="Arial" w:cs="Arial"/>
        </w:rPr>
      </w:pPr>
      <w:r w:rsidRPr="001B0917">
        <w:rPr>
          <w:rFonts w:ascii="Arial" w:hAnsi="Arial" w:cs="Arial"/>
        </w:rPr>
        <w:t>Previous reviews have primarily addressed the role of indigenous knowledge in environmental education or sustainability education</w:t>
      </w:r>
      <w:r w:rsidR="003E3100">
        <w:rPr>
          <w:rFonts w:ascii="Arial" w:hAnsi="Arial" w:cs="Arial"/>
        </w:rPr>
        <w:t xml:space="preserve"> </w:t>
      </w:r>
      <w:r w:rsidR="003E3100">
        <w:rPr>
          <w:rFonts w:ascii="Arial" w:hAnsi="Arial" w:cs="Arial"/>
        </w:rPr>
        <w:fldChar w:fldCharType="begin" w:fldLock="1"/>
      </w:r>
      <w:r w:rsidR="003E3100">
        <w:rPr>
          <w:rFonts w:ascii="Arial" w:hAnsi="Arial" w:cs="Arial"/>
        </w:rPr>
        <w:instrText>ADDIN CSL_CITATION {"citationItems":[{"id":"ITEM-1","itemData":{"DOI":"10.1080/13504622.2022.2083081","ISSN":"1350-4622","author":[{"dropping-particle":"","family":"Druker-Ibáñez","given":"Sofía","non-dropping-particle":"","parse-names":false,"suffix":""},{"dropping-particle":"","family":"Cáceres-Jensen","given":"Lizethly","non-dropping-particle":"","parse-names":false,"suffix":""}],"container-title":"Environmental Education Research","id":"ITEM-1","issue":"8","issued":{"date-parts":[["2022","8","1"]]},"note":"doi: 10.1080/13504622.2022.2083081","page":"1209-1236","publisher":"Routledge","title":"Integration of indigenous and local knowledge into sustainability education: a systematic literature review","type":"article-journal","volume":"28"},"uris":["http://www.mendeley.com/documents/?uuid=17220a04-72e5-4046-9ed4-b7b29d5cb6fa"]},{"id":"ITEM-2","itemData":{"DOI":"https://doi.org/10.1016/j.envsci.2025.104119","ISSN":"1462-9011","abstract":"The integration of indigenous knowledge with scientific knowledge has emerged as a key area of interest in various disciplines, including environmental management, agriculture, healthcare, and education. Indigenous knowledge, developed over centuries by Indigenous peoples and local communities, reflects a deep-rooted understanding of local ecosystems, sustainable practices, and holistic approaches to health and development. Meanwhile, scientific knowledge, often seen as more universal and formalized, contributes empirical methodologies and technological advancements. This systematic review explores the importance, challenges, and benefits of integrating these two knowledge systems. By reviewing relevant literature, this paper identifies pathways for successful integration, highlighting case studies from environmental conservation, agriculture, and healthcare that demonstrate the complementary strengths of indigenous and scientific knowledge. The paper concludes that integrating scientific and indigenous knowledge holds great promise for addressing global challenges. Despite obstacles like power disparities and differing epistemologies, effective integration can lead to a comprehensive and lasting solution that promotes equitable collaborations, protects intellectual property, and creates culturally appropriate frameworks. Collaborative research that treats indigenous populations as equal partners ensures innovations are both scientifically and culturally valid. Successful integration therefore requires frameworks sensitive to cultural differences and the social and spiritual aspects of indigenous knowledge, supported by legal and policy measures to safeguard and benefit from indigenous knowledge.","author":[{"dropping-particle":"","family":"Ijatuyi","given":"Enioluwa Jonathan","non-dropping-particle":"","parse-names":false,"suffix":""},{"dropping-particle":"","family":"Lamm","given":"Alexa","non-dropping-particle":"","parse-names":false,"suffix":""},{"dropping-particle":"","family":"Yessoufou","given":"Kowiyou","non-dropping-particle":"","parse-names":false,"suffix":""},{"dropping-particle":"","family":"Suinyuy","given":"Terence","non-dropping-particle":"","parse-names":false,"suffix":""},{"dropping-particle":"","family":"Patrick","given":"Hosea Olayiwola","non-dropping-particle":"","parse-names":false,"suffix":""}],"container-title":"Environmental Science &amp; Policy","id":"ITEM-2","issued":{"date-parts":[["2025"]]},"page":"104119","title":"Integration of indigenous knowledge with scientific knowledge: A systematic review","type":"article-journal","volume":"170"},"uris":["http://www.mendeley.com/documents/?uuid=455736e8-0073-43d8-9892-1357cc3661c7"]},{"id":"ITEM-3","itemData":{"DOI":"10.1080/15595692.2019.1652588","ISSN":"1559-5692","author":[{"dropping-particle":"","family":"Sandoval-Rivera","given":"Juan Carlos A","non-dropping-particle":"","parse-names":false,"suffix":""}],"container-title":"Diaspora, Indigenous, and Minority Education","id":"ITEM-3","issue":"1","issued":{"date-parts":[["2020","1","2"]]},"note":"doi: 10.1080/15595692.2019.1652588","page":"14-24","publisher":"Routledge","title":"Environmental education and indigenous knowledge: Towards the connection of local wisdom with international agendas in the framework of the Sustainable Development Goals (SDGs)","type":"article-journal","volume":"14"},"uris":["http://www.mendeley.com/documents/?uuid=fec38fb8-a3dd-4f3e-95e2-76fea0cc624a"]},{"id":"ITEM-4","itemData":{"DOI":"10.1177/09734082251360875","ISSN":"0973-4082","abstract":"In an era of environmental and social crises, integrating Indigenous knowledge into Education for Sustainable Development is critical for fostering a holistic, inclusive and effective approach to sustainability. This article explores the essential role of Indigenous knowledge in contextualizing education, highlighting its contributions to sustainable resource management, environmental stewardship and cultural preservation. Historically marginalized, Indigenous wisdom offers practical solutions for contemporary global challenges, such as climate change and biodiversity loss. By valuing and incorporating Indigenous perspectives into educational frameworks, education stakeholders can create more robust and culturally relevant learning experiences that empower communities and promote social equity. Examples from various countries, including Zimbabwe, the Philippines, Peru and Canada, illustrate the transformative impact of blending Indigenous and scientific knowledge. The article argues for a paradigm shift in education, emphasizing the importance of respecting and utilizing Indigenous knowledge to achieve a more sustainable and just world for future generations.","author":[{"dropping-particle":"","family":"Manns","given":" Mark","non-dropping-particle":"","parse-names":false,"suffix":""},{"dropping-particle":"","family":"Heiss","given":" Julia","non-dropping-particle":"","parse-names":false,"suffix":""},{"dropping-particle":"","family":"Morohashi","given":" Jun","non-dropping-particle":"","parse-names":false,"suffix":""},{"dropping-particle":"","family":"Loupis","given":" Leila","non-dropping-particle":"","parse-names":false,"suffix":""}],"container-title":"Journal of Education for Sustainable Development","id":"ITEM-4","issued":{"date-parts":[["2025","8","27"]]},"note":"doi: 10.1177/09734082251360875","page":"09734082251360875","publisher":"SAGE Publications India","title":"Harnessing Indigenous Knowledge for Education for Sustainable Development","type":"article-journal"},"uris":["http://www.mendeley.com/documents/?uuid=3260de02-e09b-4131-bf6e-588bb697818d"]}],"mendeley":{"formattedCitation":"(Druker-Ibáñez &amp; Cáceres-Jensen, 2022; Ijatuyi et al., 2025; Manns et al., 2025; Sandoval-Rivera, 2020)","plainTextFormattedCitation":"(Druker-Ibáñez &amp; Cáceres-Jensen, 2022; Ijatuyi et al., 2025; Manns et al., 2025; Sandoval-Rivera, 2020)","previouslyFormattedCitation":"(Druker-Ibáñez &amp; Cáceres-Jensen, 2022; Ijatuyi et al., 2025; Manns et al., 2025; Sandoval-Rivera, 2020)"},"properties":{"noteIndex":0},"schema":"https://github.com/citation-style-language/schema/raw/master/csl-citation.json"}</w:instrText>
      </w:r>
      <w:r w:rsidR="003E3100">
        <w:rPr>
          <w:rFonts w:ascii="Arial" w:hAnsi="Arial" w:cs="Arial"/>
        </w:rPr>
        <w:fldChar w:fldCharType="separate"/>
      </w:r>
      <w:r w:rsidR="003E3100" w:rsidRPr="003E3100">
        <w:rPr>
          <w:rFonts w:ascii="Arial" w:hAnsi="Arial" w:cs="Arial"/>
          <w:noProof/>
        </w:rPr>
        <w:t xml:space="preserve">(Druker-Ibáñez &amp; Cáceres-Jensen, 2022; Ijatuyi et al., 2025; </w:t>
      </w:r>
      <w:r w:rsidR="000D6CDB" w:rsidRPr="000D6CDB">
        <w:rPr>
          <w:rFonts w:ascii="Arial" w:hAnsi="Arial" w:cs="Arial"/>
          <w:noProof/>
        </w:rPr>
        <w:t>Lopez, &amp; Vallejos, 2022</w:t>
      </w:r>
      <w:r w:rsidR="000D6CDB">
        <w:rPr>
          <w:rFonts w:ascii="Arial" w:hAnsi="Arial" w:cs="Arial"/>
          <w:noProof/>
        </w:rPr>
        <w:t xml:space="preserve">; </w:t>
      </w:r>
      <w:r w:rsidR="003E3100" w:rsidRPr="003E3100">
        <w:rPr>
          <w:rFonts w:ascii="Arial" w:hAnsi="Arial" w:cs="Arial"/>
          <w:noProof/>
        </w:rPr>
        <w:t xml:space="preserve">Manns et al., 2025; </w:t>
      </w:r>
      <w:r w:rsidR="000D6CDB" w:rsidRPr="000D6CDB">
        <w:rPr>
          <w:rFonts w:ascii="Arial" w:hAnsi="Arial" w:cs="Arial"/>
          <w:noProof/>
        </w:rPr>
        <w:t>Ogunniyi, 2021</w:t>
      </w:r>
      <w:r w:rsidR="000D6CDB">
        <w:rPr>
          <w:rFonts w:ascii="Arial" w:hAnsi="Arial" w:cs="Arial"/>
          <w:noProof/>
        </w:rPr>
        <w:t xml:space="preserve">; </w:t>
      </w:r>
      <w:r w:rsidR="003E3100" w:rsidRPr="003E3100">
        <w:rPr>
          <w:rFonts w:ascii="Arial" w:hAnsi="Arial" w:cs="Arial"/>
          <w:noProof/>
        </w:rPr>
        <w:t>Sandoval-Rivera, 2020)</w:t>
      </w:r>
      <w:r w:rsidR="003E3100">
        <w:rPr>
          <w:rFonts w:ascii="Arial" w:hAnsi="Arial" w:cs="Arial"/>
        </w:rPr>
        <w:fldChar w:fldCharType="end"/>
      </w:r>
      <w:r w:rsidRPr="001B0917">
        <w:rPr>
          <w:rFonts w:ascii="Arial" w:hAnsi="Arial" w:cs="Arial"/>
        </w:rPr>
        <w:t>. However, a comprehensive synthesis focusing specifically on how local wisdom is pedagogically integrated into science learning—including frameworks, models, strategies, and learning outcomes—remains limited. The need for such a synthesis is critical for identifying effective practices, revealing gaps in theoretical understanding, and proposing future research directions that align with transformative education goals.</w:t>
      </w:r>
    </w:p>
    <w:p w14:paraId="571A6395" w14:textId="77777777" w:rsidR="001B0917" w:rsidRDefault="001B0917" w:rsidP="003E3100">
      <w:pPr>
        <w:pStyle w:val="Body"/>
        <w:spacing w:before="120" w:after="120"/>
        <w:rPr>
          <w:rFonts w:ascii="Arial" w:hAnsi="Arial" w:cs="Arial"/>
        </w:rPr>
      </w:pPr>
      <w:r w:rsidRPr="001B0917">
        <w:rPr>
          <w:rFonts w:ascii="Arial" w:hAnsi="Arial" w:cs="Arial"/>
        </w:rPr>
        <w:t>Therefore, this study aims to systematically review and synthesize the body of knowledge on the integration of local wisdom into science learning. By examining peer-reviewed Scopus-indexed articles that discuss local wisdom and science learning between 2010 and 2025, this review seeks to: (1) identify the dominant pedagogical frameworks employed, (2) analyze educational practices and their outcomes, and (3) map emerging trends and research gaps. The findings are expected to contribute to the development of contextually grounded science education frameworks that honor cultural diversity while promoting scientific competence and sustainability values.</w:t>
      </w:r>
    </w:p>
    <w:p w14:paraId="2A6B298A" w14:textId="77777777" w:rsidR="00790ADA" w:rsidRPr="00FB3A86" w:rsidRDefault="00790ADA" w:rsidP="00441B6F">
      <w:pPr>
        <w:pStyle w:val="Body"/>
        <w:spacing w:after="0"/>
        <w:rPr>
          <w:rFonts w:ascii="Arial" w:hAnsi="Arial" w:cs="Arial"/>
        </w:rPr>
      </w:pPr>
    </w:p>
    <w:p w14:paraId="6C2567E0" w14:textId="77777777"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720EE6EC" w14:textId="77777777" w:rsidR="00790ADA" w:rsidRPr="00FB3A86" w:rsidRDefault="00790ADA" w:rsidP="00441B6F">
      <w:pPr>
        <w:pStyle w:val="AbstHead"/>
        <w:spacing w:after="0"/>
        <w:jc w:val="both"/>
        <w:rPr>
          <w:rFonts w:ascii="Arial" w:hAnsi="Arial" w:cs="Arial"/>
        </w:rPr>
      </w:pPr>
    </w:p>
    <w:p w14:paraId="40BDD0F6" w14:textId="77777777" w:rsidR="001B0917" w:rsidRPr="001B0917" w:rsidRDefault="001B0917" w:rsidP="001B0917">
      <w:pPr>
        <w:pStyle w:val="Body"/>
        <w:spacing w:after="0"/>
        <w:rPr>
          <w:rFonts w:ascii="Arial" w:hAnsi="Arial" w:cs="Arial"/>
          <w:b/>
          <w:sz w:val="22"/>
        </w:rPr>
      </w:pPr>
      <w:r>
        <w:rPr>
          <w:rFonts w:ascii="Arial" w:hAnsi="Arial" w:cs="Arial"/>
          <w:b/>
          <w:sz w:val="22"/>
        </w:rPr>
        <w:t xml:space="preserve">2.1 </w:t>
      </w:r>
      <w:r w:rsidRPr="001B0917">
        <w:rPr>
          <w:rFonts w:ascii="Arial" w:hAnsi="Arial" w:cs="Arial"/>
          <w:b/>
          <w:sz w:val="22"/>
        </w:rPr>
        <w:t>Research Design</w:t>
      </w:r>
    </w:p>
    <w:p w14:paraId="4D06567E" w14:textId="77777777" w:rsidR="001B0917" w:rsidRPr="001B0917" w:rsidRDefault="001B0917" w:rsidP="001B0917">
      <w:pPr>
        <w:pStyle w:val="Body"/>
        <w:spacing w:before="120" w:after="120"/>
        <w:rPr>
          <w:rFonts w:ascii="Arial" w:hAnsi="Arial" w:cs="Arial"/>
        </w:rPr>
      </w:pPr>
      <w:r w:rsidRPr="001B0917">
        <w:rPr>
          <w:rFonts w:ascii="Arial" w:hAnsi="Arial" w:cs="Arial"/>
        </w:rPr>
        <w:t xml:space="preserve">This study employed a </w:t>
      </w:r>
      <w:r w:rsidRPr="001B0917">
        <w:rPr>
          <w:rFonts w:ascii="Arial" w:hAnsi="Arial" w:cs="Arial"/>
          <w:i/>
          <w:iCs/>
        </w:rPr>
        <w:t>Systematic Literature Review (SLR)</w:t>
      </w:r>
      <w:r w:rsidRPr="001B0917">
        <w:rPr>
          <w:rFonts w:ascii="Arial" w:hAnsi="Arial" w:cs="Arial"/>
        </w:rPr>
        <w:t xml:space="preserve"> approach guided by the Preferred Reporting Items for Systematic Reviews and Meta-Analyses (PRISMA 2020) framework. The review combined bibliometric analysis to map publication trends and qualitative synthesis to identify pedagogical frameworks and educational practices related to the integration of local wisdom into science learning. This hybrid design ensured a comprehensive understanding of both the quantitative trends and the conceptual depth of the field.</w:t>
      </w:r>
    </w:p>
    <w:p w14:paraId="0730F38C" w14:textId="77777777" w:rsidR="001B0917" w:rsidRPr="001B0917" w:rsidRDefault="001B0917" w:rsidP="001B0917">
      <w:pPr>
        <w:pStyle w:val="Body"/>
        <w:spacing w:after="0"/>
        <w:rPr>
          <w:rFonts w:ascii="Arial" w:hAnsi="Arial" w:cs="Arial"/>
          <w:b/>
          <w:sz w:val="22"/>
        </w:rPr>
      </w:pPr>
      <w:r w:rsidRPr="001B0917">
        <w:rPr>
          <w:rFonts w:ascii="Arial" w:hAnsi="Arial" w:cs="Arial"/>
          <w:b/>
          <w:sz w:val="22"/>
        </w:rPr>
        <w:t>2.2 Data Source and Search Strategy</w:t>
      </w:r>
    </w:p>
    <w:p w14:paraId="7BFBF82E" w14:textId="77777777" w:rsidR="001B0917" w:rsidRPr="001B0917" w:rsidRDefault="001B0917" w:rsidP="001B0917">
      <w:pPr>
        <w:pStyle w:val="Body"/>
        <w:spacing w:before="120" w:after="120"/>
        <w:rPr>
          <w:rFonts w:ascii="Arial" w:hAnsi="Arial" w:cs="Arial"/>
        </w:rPr>
      </w:pPr>
      <w:r w:rsidRPr="001B0917">
        <w:rPr>
          <w:rFonts w:ascii="Arial" w:hAnsi="Arial" w:cs="Arial"/>
        </w:rPr>
        <w:t>The data were obtained from the Scopus database, which was selected due to its broad and authoritative coverage of peer-reviewed international publications. The search was conducted in October 2025, using the following query string:</w:t>
      </w:r>
      <w:r>
        <w:rPr>
          <w:rFonts w:ascii="Arial" w:hAnsi="Arial" w:cs="Arial"/>
        </w:rPr>
        <w:t xml:space="preserve"> </w:t>
      </w:r>
      <w:r w:rsidRPr="001B0917">
        <w:rPr>
          <w:rFonts w:ascii="Arial" w:hAnsi="Arial" w:cs="Arial"/>
        </w:rPr>
        <w:t>TITLE-ABS-KEY (“local wisdom” AND “Science Learning”) AND (LIMIT-TO (DOCTYPE, “</w:t>
      </w:r>
      <w:proofErr w:type="spellStart"/>
      <w:r w:rsidRPr="001B0917">
        <w:rPr>
          <w:rFonts w:ascii="Arial" w:hAnsi="Arial" w:cs="Arial"/>
        </w:rPr>
        <w:t>ar</w:t>
      </w:r>
      <w:proofErr w:type="spellEnd"/>
      <w:r w:rsidRPr="001B0917">
        <w:rPr>
          <w:rFonts w:ascii="Arial" w:hAnsi="Arial" w:cs="Arial"/>
        </w:rPr>
        <w:t>”))</w:t>
      </w:r>
      <w:r w:rsidR="003E3100">
        <w:rPr>
          <w:rFonts w:ascii="Arial" w:hAnsi="Arial" w:cs="Arial"/>
        </w:rPr>
        <w:t xml:space="preserve"> </w:t>
      </w:r>
      <w:r w:rsidRPr="001B0917">
        <w:rPr>
          <w:rFonts w:ascii="Arial" w:hAnsi="Arial" w:cs="Arial"/>
        </w:rPr>
        <w:t>AND (LIMIT-TO (LANGUAGE, “English”)) AND (LIMIT-TO (OA, “all”)).</w:t>
      </w:r>
      <w:r>
        <w:rPr>
          <w:rFonts w:ascii="Arial" w:hAnsi="Arial" w:cs="Arial"/>
        </w:rPr>
        <w:t xml:space="preserve"> </w:t>
      </w:r>
      <w:r w:rsidRPr="001B0917">
        <w:rPr>
          <w:rFonts w:ascii="Arial" w:hAnsi="Arial" w:cs="Arial"/>
        </w:rPr>
        <w:t>This strategy ensured that only journal articles written in English and indexed in Scopus were included, with the search targeting occurrences of the keywords in the title, abstract, or keywords. The initial search produced 58 records.</w:t>
      </w:r>
    </w:p>
    <w:p w14:paraId="0C6CF101" w14:textId="77777777" w:rsidR="001B0917" w:rsidRPr="001B0917" w:rsidRDefault="001B0917" w:rsidP="001B0917">
      <w:pPr>
        <w:pStyle w:val="Body"/>
        <w:spacing w:after="0"/>
        <w:rPr>
          <w:rFonts w:ascii="Arial" w:hAnsi="Arial" w:cs="Arial"/>
          <w:b/>
          <w:sz w:val="22"/>
        </w:rPr>
      </w:pPr>
      <w:r>
        <w:rPr>
          <w:rFonts w:ascii="Arial" w:hAnsi="Arial" w:cs="Arial"/>
          <w:b/>
          <w:sz w:val="22"/>
        </w:rPr>
        <w:t xml:space="preserve">2.3 </w:t>
      </w:r>
      <w:r w:rsidRPr="001B0917">
        <w:rPr>
          <w:rFonts w:ascii="Arial" w:hAnsi="Arial" w:cs="Arial"/>
          <w:b/>
          <w:sz w:val="22"/>
        </w:rPr>
        <w:t>Screening and Eligibility</w:t>
      </w:r>
    </w:p>
    <w:p w14:paraId="4A66633E" w14:textId="77777777" w:rsidR="001B0917" w:rsidRDefault="001B0917" w:rsidP="001B0917">
      <w:pPr>
        <w:pStyle w:val="Body"/>
        <w:spacing w:before="120" w:after="120"/>
        <w:rPr>
          <w:rFonts w:ascii="Arial" w:hAnsi="Arial" w:cs="Arial"/>
        </w:rPr>
      </w:pPr>
      <w:r w:rsidRPr="001B0917">
        <w:rPr>
          <w:rFonts w:ascii="Arial" w:hAnsi="Arial" w:cs="Arial"/>
        </w:rPr>
        <w:t>The PRISMA-based selection process consisted of four sequential stages—identification, screening, eligibility, and inclusion—as illustrated in Figure 1.</w:t>
      </w:r>
      <w:r>
        <w:rPr>
          <w:rFonts w:ascii="Arial" w:hAnsi="Arial" w:cs="Arial"/>
        </w:rPr>
        <w:t xml:space="preserve"> (1) </w:t>
      </w:r>
      <w:r w:rsidRPr="001B0917">
        <w:rPr>
          <w:rFonts w:ascii="Arial" w:hAnsi="Arial" w:cs="Arial"/>
        </w:rPr>
        <w:t>Identification:</w:t>
      </w:r>
      <w:r w:rsidRPr="001B0917">
        <w:rPr>
          <w:rFonts w:ascii="Arial" w:hAnsi="Arial" w:cs="Arial"/>
        </w:rPr>
        <w:br/>
        <w:t xml:space="preserve">A total of 58 records were retrieved from Scopus using the search string above. These records were exported in </w:t>
      </w:r>
      <w:proofErr w:type="spellStart"/>
      <w:r w:rsidRPr="001B0917">
        <w:rPr>
          <w:rFonts w:ascii="Arial" w:hAnsi="Arial" w:cs="Arial"/>
        </w:rPr>
        <w:t>BibTeX</w:t>
      </w:r>
      <w:proofErr w:type="spellEnd"/>
      <w:r w:rsidRPr="001B0917">
        <w:rPr>
          <w:rFonts w:ascii="Arial" w:hAnsi="Arial" w:cs="Arial"/>
        </w:rPr>
        <w:t xml:space="preserve"> format for further processing and screening.</w:t>
      </w:r>
      <w:r>
        <w:rPr>
          <w:rFonts w:ascii="Arial" w:hAnsi="Arial" w:cs="Arial"/>
        </w:rPr>
        <w:t xml:space="preserve"> (2) </w:t>
      </w:r>
      <w:r w:rsidRPr="001B0917">
        <w:rPr>
          <w:rFonts w:ascii="Arial" w:hAnsi="Arial" w:cs="Arial"/>
        </w:rPr>
        <w:t>Screening:</w:t>
      </w:r>
      <w:r>
        <w:rPr>
          <w:rFonts w:ascii="Arial" w:hAnsi="Arial" w:cs="Arial"/>
        </w:rPr>
        <w:t xml:space="preserve"> </w:t>
      </w:r>
      <w:r w:rsidRPr="001B0917">
        <w:rPr>
          <w:rFonts w:ascii="Arial" w:hAnsi="Arial" w:cs="Arial"/>
        </w:rPr>
        <w:t>Records were screened to include only original research articles. Non-article sources such as conference papers, book chapters, and reviews were excluded (n = 33), leaving 25 original articles.</w:t>
      </w:r>
      <w:r>
        <w:rPr>
          <w:rFonts w:ascii="Arial" w:hAnsi="Arial" w:cs="Arial"/>
        </w:rPr>
        <w:t xml:space="preserve"> (3) </w:t>
      </w:r>
      <w:r w:rsidRPr="001B0917">
        <w:rPr>
          <w:rFonts w:ascii="Arial" w:hAnsi="Arial" w:cs="Arial"/>
        </w:rPr>
        <w:t>Eligibility:</w:t>
      </w:r>
      <w:r>
        <w:rPr>
          <w:rFonts w:ascii="Arial" w:hAnsi="Arial" w:cs="Arial"/>
        </w:rPr>
        <w:t xml:space="preserve"> </w:t>
      </w:r>
      <w:r w:rsidRPr="001B0917">
        <w:rPr>
          <w:rFonts w:ascii="Arial" w:hAnsi="Arial" w:cs="Arial"/>
        </w:rPr>
        <w:t>Articles were filtered by language and accessibility. All remaining 25 records were published in English, and only open access papers were retained to ensure full-text availability. Seven articles that required payment for access (gold or hybrid gold open access) were excluded (n = 7), leaving 18 open-access articles.</w:t>
      </w:r>
      <w:r>
        <w:rPr>
          <w:rFonts w:ascii="Arial" w:hAnsi="Arial" w:cs="Arial"/>
        </w:rPr>
        <w:t xml:space="preserve"> (4) </w:t>
      </w:r>
      <w:r w:rsidRPr="001B0917">
        <w:rPr>
          <w:rFonts w:ascii="Arial" w:hAnsi="Arial" w:cs="Arial"/>
        </w:rPr>
        <w:t>Inclusion:</w:t>
      </w:r>
      <w:r>
        <w:rPr>
          <w:rFonts w:ascii="Arial" w:hAnsi="Arial" w:cs="Arial"/>
        </w:rPr>
        <w:t xml:space="preserve"> </w:t>
      </w:r>
      <w:r w:rsidRPr="001B0917">
        <w:rPr>
          <w:rFonts w:ascii="Arial" w:hAnsi="Arial" w:cs="Arial"/>
        </w:rPr>
        <w:t>Articles published between 2004 and 2024 were then screened based on abstract and full-text relevance to the research theme. One article could not be accessed in full text and was therefore excluded. A final total of 17 articles were included for analysis.</w:t>
      </w:r>
      <w:r>
        <w:rPr>
          <w:rFonts w:ascii="Arial" w:hAnsi="Arial" w:cs="Arial"/>
        </w:rPr>
        <w:t xml:space="preserve"> </w:t>
      </w:r>
      <w:r w:rsidRPr="001B0917">
        <w:rPr>
          <w:rFonts w:ascii="Arial" w:hAnsi="Arial" w:cs="Arial"/>
        </w:rPr>
        <w:t>The PRISMA flow diagram (Figure 1) summarizes this process and the number of studies excluded at each stage.</w:t>
      </w:r>
    </w:p>
    <w:p w14:paraId="54FA1DFC" w14:textId="77777777" w:rsidR="001B0917" w:rsidRDefault="001B0917" w:rsidP="001B0917">
      <w:pPr>
        <w:pStyle w:val="Body"/>
        <w:spacing w:before="120" w:after="120"/>
        <w:rPr>
          <w:rFonts w:ascii="Arial" w:hAnsi="Arial" w:cs="Arial"/>
        </w:rPr>
      </w:pPr>
      <w:r>
        <w:rPr>
          <w:noProof/>
        </w:rPr>
        <w:lastRenderedPageBreak/>
        <w:drawing>
          <wp:inline distT="0" distB="0" distL="0" distR="0" wp14:anchorId="570ABBC6" wp14:editId="51D278E4">
            <wp:extent cx="5162550" cy="3411175"/>
            <wp:effectExtent l="0" t="0" r="0" b="0"/>
            <wp:docPr id="707276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76245" name=""/>
                    <pic:cNvPicPr/>
                  </pic:nvPicPr>
                  <pic:blipFill rotWithShape="1">
                    <a:blip r:embed="rId8"/>
                    <a:srcRect l="16265" t="2589" r="1316" b="971"/>
                    <a:stretch>
                      <a:fillRect/>
                    </a:stretch>
                  </pic:blipFill>
                  <pic:spPr bwMode="auto">
                    <a:xfrm>
                      <a:off x="0" y="0"/>
                      <a:ext cx="5166949" cy="3414082"/>
                    </a:xfrm>
                    <a:prstGeom prst="rect">
                      <a:avLst/>
                    </a:prstGeom>
                    <a:ln>
                      <a:noFill/>
                    </a:ln>
                    <a:extLst>
                      <a:ext uri="{53640926-AAD7-44D8-BBD7-CCE9431645EC}">
                        <a14:shadowObscured xmlns:a14="http://schemas.microsoft.com/office/drawing/2010/main"/>
                      </a:ext>
                    </a:extLst>
                  </pic:spPr>
                </pic:pic>
              </a:graphicData>
            </a:graphic>
          </wp:inline>
        </w:drawing>
      </w:r>
    </w:p>
    <w:p w14:paraId="1A5D2BEF" w14:textId="77777777" w:rsidR="001B0917" w:rsidRDefault="001B0917" w:rsidP="001B0917">
      <w:pPr>
        <w:pStyle w:val="Body"/>
        <w:spacing w:after="0"/>
        <w:rPr>
          <w:rFonts w:ascii="Arial" w:hAnsi="Arial" w:cs="Arial"/>
        </w:rPr>
      </w:pPr>
    </w:p>
    <w:p w14:paraId="036B2C12" w14:textId="7FD1BD31" w:rsidR="001B0917" w:rsidRPr="001B0917" w:rsidRDefault="001B0917" w:rsidP="001B0917">
      <w:pPr>
        <w:pStyle w:val="Body"/>
        <w:spacing w:after="0"/>
        <w:rPr>
          <w:rFonts w:ascii="Arial" w:hAnsi="Arial" w:cs="Arial"/>
          <w:b/>
          <w:bCs/>
        </w:rPr>
      </w:pPr>
      <w:r w:rsidRPr="001B0917">
        <w:rPr>
          <w:rFonts w:ascii="Arial" w:hAnsi="Arial" w:cs="Arial"/>
          <w:b/>
          <w:bCs/>
        </w:rPr>
        <w:t>Fig</w:t>
      </w:r>
      <w:r w:rsidR="000D6CDB">
        <w:rPr>
          <w:rFonts w:ascii="Arial" w:hAnsi="Arial" w:cs="Arial"/>
          <w:b/>
          <w:bCs/>
        </w:rPr>
        <w:t xml:space="preserve">. </w:t>
      </w:r>
      <w:r w:rsidRPr="001B0917">
        <w:rPr>
          <w:rFonts w:ascii="Arial" w:hAnsi="Arial" w:cs="Arial"/>
          <w:b/>
          <w:bCs/>
        </w:rPr>
        <w:t>1. The PRISMA flow diagram</w:t>
      </w:r>
    </w:p>
    <w:p w14:paraId="41866383" w14:textId="77777777" w:rsidR="001B0917" w:rsidRDefault="001B0917" w:rsidP="001B0917">
      <w:pPr>
        <w:pStyle w:val="Body"/>
        <w:spacing w:after="0"/>
        <w:rPr>
          <w:rFonts w:ascii="Arial" w:hAnsi="Arial" w:cs="Arial"/>
          <w:b/>
          <w:sz w:val="22"/>
        </w:rPr>
      </w:pPr>
    </w:p>
    <w:p w14:paraId="5BA48289" w14:textId="77777777" w:rsidR="001B0917" w:rsidRPr="001B0917" w:rsidRDefault="001B0917" w:rsidP="001B0917">
      <w:pPr>
        <w:pStyle w:val="Body"/>
        <w:spacing w:after="0"/>
        <w:rPr>
          <w:rFonts w:ascii="Arial" w:hAnsi="Arial" w:cs="Arial"/>
          <w:b/>
          <w:sz w:val="22"/>
        </w:rPr>
      </w:pPr>
      <w:r>
        <w:rPr>
          <w:rFonts w:ascii="Arial" w:hAnsi="Arial" w:cs="Arial"/>
          <w:b/>
          <w:sz w:val="22"/>
        </w:rPr>
        <w:t xml:space="preserve">2.4 </w:t>
      </w:r>
      <w:r w:rsidRPr="001B0917">
        <w:rPr>
          <w:rFonts w:ascii="Arial" w:hAnsi="Arial" w:cs="Arial"/>
          <w:b/>
          <w:sz w:val="22"/>
        </w:rPr>
        <w:t>Inclusion and Exclusion Criteria</w:t>
      </w:r>
    </w:p>
    <w:p w14:paraId="5130BBD4" w14:textId="77777777" w:rsidR="001B0917" w:rsidRPr="001B0917" w:rsidRDefault="001B0917" w:rsidP="001B0917">
      <w:pPr>
        <w:pStyle w:val="Body"/>
        <w:spacing w:before="120" w:after="120"/>
        <w:rPr>
          <w:rFonts w:ascii="Arial" w:hAnsi="Arial" w:cs="Arial"/>
        </w:rPr>
      </w:pPr>
      <w:r w:rsidRPr="001B0917">
        <w:rPr>
          <w:rFonts w:ascii="Arial" w:hAnsi="Arial" w:cs="Arial"/>
        </w:rPr>
        <w:t xml:space="preserve">To maintain consistency and quality, several inclusion and exclusion criteria were applied. The </w:t>
      </w:r>
      <w:r w:rsidRPr="001B0917">
        <w:rPr>
          <w:rFonts w:ascii="Arial" w:hAnsi="Arial" w:cs="Arial"/>
          <w:b/>
          <w:bCs/>
        </w:rPr>
        <w:t>inclusion criteria</w:t>
      </w:r>
      <w:r w:rsidRPr="001B0917">
        <w:rPr>
          <w:rFonts w:ascii="Arial" w:hAnsi="Arial" w:cs="Arial"/>
        </w:rPr>
        <w:t xml:space="preserve"> required that each publication be a peer-reviewed journal article indexed in Scopus, written in English, explicitly connecting the concepts of local wisdom (or indigenous/local knowledge) and science learning, available as an open-access full-text article, and published between 2004 and 2024. Conversely, the </w:t>
      </w:r>
      <w:r w:rsidRPr="001B0917">
        <w:rPr>
          <w:rFonts w:ascii="Arial" w:hAnsi="Arial" w:cs="Arial"/>
          <w:b/>
          <w:bCs/>
        </w:rPr>
        <w:t>exclusion criteria</w:t>
      </w:r>
      <w:r w:rsidRPr="001B0917">
        <w:rPr>
          <w:rFonts w:ascii="Arial" w:hAnsi="Arial" w:cs="Arial"/>
        </w:rPr>
        <w:t xml:space="preserve"> eliminated non-journal publications such as book chapters, reviews, and conference papers; articles that did not address the pedagogical aspects of science learning; non-open-access papers requiring subscription or payment; and studies that were unavailable in full text.</w:t>
      </w:r>
    </w:p>
    <w:p w14:paraId="55A289BC" w14:textId="77777777" w:rsidR="001B0917" w:rsidRPr="001B0917" w:rsidRDefault="001B0917" w:rsidP="001B0917">
      <w:pPr>
        <w:pStyle w:val="Body"/>
        <w:spacing w:after="0"/>
        <w:ind w:left="720"/>
        <w:rPr>
          <w:rFonts w:ascii="Arial" w:hAnsi="Arial" w:cs="Arial"/>
        </w:rPr>
      </w:pPr>
    </w:p>
    <w:p w14:paraId="578AC358" w14:textId="77777777" w:rsidR="001B0917" w:rsidRPr="001B0917" w:rsidRDefault="001B0917" w:rsidP="001B0917">
      <w:pPr>
        <w:pStyle w:val="Body"/>
        <w:numPr>
          <w:ilvl w:val="1"/>
          <w:numId w:val="37"/>
        </w:numPr>
        <w:spacing w:after="0"/>
        <w:rPr>
          <w:rFonts w:ascii="Arial" w:hAnsi="Arial" w:cs="Arial"/>
          <w:b/>
          <w:sz w:val="22"/>
        </w:rPr>
      </w:pPr>
      <w:r w:rsidRPr="001B0917">
        <w:rPr>
          <w:rFonts w:ascii="Arial" w:hAnsi="Arial" w:cs="Arial"/>
          <w:b/>
          <w:sz w:val="22"/>
        </w:rPr>
        <w:t>Data Extraction and Coding</w:t>
      </w:r>
    </w:p>
    <w:p w14:paraId="0174DCD7" w14:textId="77777777" w:rsidR="001B0917" w:rsidRPr="001B0917" w:rsidRDefault="001B0917" w:rsidP="001B0917">
      <w:pPr>
        <w:pStyle w:val="Body"/>
        <w:spacing w:before="120" w:after="120"/>
        <w:rPr>
          <w:rFonts w:ascii="Arial" w:hAnsi="Arial" w:cs="Arial"/>
        </w:rPr>
      </w:pPr>
      <w:r w:rsidRPr="001B0917">
        <w:rPr>
          <w:rFonts w:ascii="Arial" w:hAnsi="Arial" w:cs="Arial"/>
        </w:rPr>
        <w:t>Data extraction covered two major dimensions:</w:t>
      </w:r>
      <w:r>
        <w:rPr>
          <w:rFonts w:ascii="Arial" w:hAnsi="Arial" w:cs="Arial"/>
        </w:rPr>
        <w:t xml:space="preserve"> (1) </w:t>
      </w:r>
      <w:r w:rsidRPr="001B0917">
        <w:rPr>
          <w:rFonts w:ascii="Arial" w:hAnsi="Arial" w:cs="Arial"/>
          <w:b/>
          <w:bCs/>
        </w:rPr>
        <w:t>Bibliometric data:</w:t>
      </w:r>
      <w:r w:rsidRPr="001B0917">
        <w:rPr>
          <w:rFonts w:ascii="Arial" w:hAnsi="Arial" w:cs="Arial"/>
        </w:rPr>
        <w:t xml:space="preserve"> publication year, country/affiliation, journal source, subject area, and author keywords.</w:t>
      </w:r>
      <w:r>
        <w:rPr>
          <w:rFonts w:ascii="Arial" w:hAnsi="Arial" w:cs="Arial"/>
        </w:rPr>
        <w:t xml:space="preserve"> (2) </w:t>
      </w:r>
      <w:r w:rsidRPr="001B0917">
        <w:rPr>
          <w:rFonts w:ascii="Arial" w:hAnsi="Arial" w:cs="Arial"/>
          <w:b/>
          <w:bCs/>
        </w:rPr>
        <w:t>Qualitative data:</w:t>
      </w:r>
      <w:r w:rsidRPr="001B0917">
        <w:rPr>
          <w:rFonts w:ascii="Arial" w:hAnsi="Arial" w:cs="Arial"/>
        </w:rPr>
        <w:t xml:space="preserve"> pedagogical framework used (e.g., ethnoscience, contextual learning, ESD-based models), educational practices (e.g., project-based, inquiry-based, local-context learning), and reported learning outcomes (e.g., scientific literacy, character values, environmental awareness).</w:t>
      </w:r>
    </w:p>
    <w:p w14:paraId="7B48DDB9" w14:textId="77777777" w:rsidR="001B0917" w:rsidRDefault="001B0917" w:rsidP="001B0917">
      <w:pPr>
        <w:pStyle w:val="Body"/>
        <w:spacing w:before="120" w:after="120"/>
        <w:rPr>
          <w:rFonts w:ascii="Arial" w:hAnsi="Arial" w:cs="Arial"/>
        </w:rPr>
      </w:pPr>
      <w:r w:rsidRPr="001B0917">
        <w:rPr>
          <w:rFonts w:ascii="Arial" w:hAnsi="Arial" w:cs="Arial"/>
        </w:rPr>
        <w:t xml:space="preserve">The dataset was managed and coded using Microsoft Excel and Zotero. For bibliometric visualization, </w:t>
      </w:r>
      <w:proofErr w:type="spellStart"/>
      <w:r w:rsidRPr="001B0917">
        <w:rPr>
          <w:rFonts w:ascii="Arial" w:hAnsi="Arial" w:cs="Arial"/>
        </w:rPr>
        <w:t>VOSviewer</w:t>
      </w:r>
      <w:proofErr w:type="spellEnd"/>
      <w:r w:rsidRPr="001B0917">
        <w:rPr>
          <w:rFonts w:ascii="Arial" w:hAnsi="Arial" w:cs="Arial"/>
        </w:rPr>
        <w:t xml:space="preserve"> 1.6.20 was employed to analyze keyword co-occurrence and thematic clusters. Coding reliability was ensured through independent review and consensus discussion among researchers.</w:t>
      </w:r>
    </w:p>
    <w:p w14:paraId="356EF633" w14:textId="77777777" w:rsidR="00D80993" w:rsidRDefault="00D80993" w:rsidP="001B0917">
      <w:pPr>
        <w:pStyle w:val="Body"/>
        <w:spacing w:before="120" w:after="120"/>
        <w:rPr>
          <w:rFonts w:ascii="Arial" w:hAnsi="Arial" w:cs="Arial"/>
        </w:rPr>
      </w:pPr>
    </w:p>
    <w:p w14:paraId="7CE7C86F" w14:textId="77777777" w:rsidR="00D80993" w:rsidRPr="001B0917" w:rsidRDefault="00D80993" w:rsidP="001B0917">
      <w:pPr>
        <w:pStyle w:val="Body"/>
        <w:spacing w:before="120" w:after="120"/>
        <w:rPr>
          <w:rFonts w:ascii="Arial" w:hAnsi="Arial" w:cs="Arial"/>
        </w:rPr>
      </w:pPr>
    </w:p>
    <w:p w14:paraId="63013638" w14:textId="77777777" w:rsidR="001B0917" w:rsidRPr="001B0917" w:rsidRDefault="001B0917" w:rsidP="001B0917">
      <w:pPr>
        <w:pStyle w:val="Body"/>
        <w:numPr>
          <w:ilvl w:val="1"/>
          <w:numId w:val="37"/>
        </w:numPr>
        <w:spacing w:after="0"/>
        <w:rPr>
          <w:rFonts w:ascii="Arial" w:hAnsi="Arial" w:cs="Arial"/>
          <w:b/>
          <w:sz w:val="22"/>
        </w:rPr>
      </w:pPr>
      <w:r w:rsidRPr="001B0917">
        <w:rPr>
          <w:rFonts w:ascii="Arial" w:hAnsi="Arial" w:cs="Arial"/>
          <w:b/>
          <w:sz w:val="22"/>
        </w:rPr>
        <w:lastRenderedPageBreak/>
        <w:t>Data Analysis</w:t>
      </w:r>
    </w:p>
    <w:p w14:paraId="4089F1C3" w14:textId="67D26974" w:rsidR="001B0917" w:rsidRPr="001B0917" w:rsidRDefault="001B0917" w:rsidP="001B0917">
      <w:pPr>
        <w:pStyle w:val="Body"/>
        <w:spacing w:before="120" w:after="120"/>
        <w:rPr>
          <w:rFonts w:ascii="Arial" w:hAnsi="Arial" w:cs="Arial"/>
        </w:rPr>
      </w:pPr>
      <w:r w:rsidRPr="001B0917">
        <w:rPr>
          <w:rFonts w:ascii="Arial" w:hAnsi="Arial" w:cs="Arial"/>
        </w:rPr>
        <w:t>The analysis proceeded in two integrated phases: (1) Bibliometric Analysis — descriptive statistics were generated to reveal temporal publication trends (documents by year), geographical distribution (documents by country), subject area proportions, and keyword trends. (2) Qualitative Synthesis — a thematic content analysis (Braun &amp; Clarke, 2006) was conducted to identify dominant pedagogical frameworks and patterns of educational practice in integrating local wisdom into science learning. Findings from both phases were then triangulated to construct a holistic picture of the research landscape, theoretical orientations, and implementation strategies in this field.</w:t>
      </w:r>
      <w:r w:rsidR="00D72E34">
        <w:rPr>
          <w:rFonts w:ascii="Arial" w:hAnsi="Arial" w:cs="Arial"/>
        </w:rPr>
        <w:t xml:space="preserve"> </w:t>
      </w:r>
      <w:r w:rsidR="00D72E34" w:rsidRPr="00D72E34">
        <w:rPr>
          <w:rFonts w:ascii="Arial" w:hAnsi="Arial" w:cs="Arial"/>
        </w:rPr>
        <w:t>To ensure reliability, the data coding process was cross-checked independently by two researchers, and minor discrepancies were resolved through discussion until consensus was reached.</w:t>
      </w:r>
    </w:p>
    <w:p w14:paraId="070CA381" w14:textId="77777777" w:rsidR="00790ADA" w:rsidRPr="00FB3A86" w:rsidRDefault="00790ADA" w:rsidP="00441B6F">
      <w:pPr>
        <w:pStyle w:val="Body"/>
        <w:spacing w:after="0"/>
        <w:rPr>
          <w:rFonts w:ascii="Arial" w:hAnsi="Arial" w:cs="Arial"/>
        </w:rPr>
      </w:pPr>
    </w:p>
    <w:p w14:paraId="0AE9414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7A7AEB" w14:textId="77777777" w:rsidR="00790ADA" w:rsidRPr="00FB3A86" w:rsidRDefault="00790ADA" w:rsidP="00441B6F">
      <w:pPr>
        <w:pStyle w:val="Head1"/>
        <w:spacing w:after="0"/>
        <w:jc w:val="both"/>
        <w:rPr>
          <w:rFonts w:ascii="Arial" w:hAnsi="Arial" w:cs="Arial"/>
        </w:rPr>
      </w:pPr>
    </w:p>
    <w:p w14:paraId="42CA4457" w14:textId="77777777" w:rsidR="00D80993" w:rsidRPr="00D80993" w:rsidRDefault="00D80993" w:rsidP="00D80993">
      <w:pPr>
        <w:pStyle w:val="Body"/>
        <w:spacing w:after="0"/>
        <w:rPr>
          <w:rFonts w:ascii="Arial" w:hAnsi="Arial" w:cs="Arial"/>
          <w:b/>
          <w:sz w:val="22"/>
        </w:rPr>
      </w:pPr>
      <w:r w:rsidRPr="00D80993">
        <w:rPr>
          <w:rFonts w:ascii="Arial" w:hAnsi="Arial" w:cs="Arial"/>
          <w:b/>
          <w:sz w:val="22"/>
        </w:rPr>
        <w:t>3.1 Publication Trends</w:t>
      </w:r>
    </w:p>
    <w:p w14:paraId="64AC9592" w14:textId="77777777" w:rsidR="00D80993" w:rsidRPr="00D80993" w:rsidRDefault="00D80993" w:rsidP="00D80993">
      <w:pPr>
        <w:pStyle w:val="Body"/>
        <w:spacing w:before="120" w:after="120"/>
        <w:rPr>
          <w:rFonts w:ascii="Arial" w:hAnsi="Arial" w:cs="Arial"/>
        </w:rPr>
      </w:pPr>
      <w:r w:rsidRPr="00D80993">
        <w:rPr>
          <w:rFonts w:ascii="Arial" w:hAnsi="Arial" w:cs="Arial"/>
        </w:rPr>
        <w:t>To gain a comprehensive understanding of the research landscape, the 17 selected articles were analyzed based on their publication year, country of origin, subject area distribution, and keyword co-occurrence network. These bibliometric indicators reveal how scholarly attention toward the integration of local wisdom into science learning has evolved over time and across regions.</w:t>
      </w:r>
    </w:p>
    <w:p w14:paraId="4BF2E552" w14:textId="77777777" w:rsidR="00D80993" w:rsidRPr="00D80993" w:rsidRDefault="00D80993" w:rsidP="00D80993">
      <w:pPr>
        <w:pStyle w:val="Body"/>
        <w:spacing w:before="120" w:after="120"/>
        <w:rPr>
          <w:rFonts w:ascii="Arial" w:hAnsi="Arial" w:cs="Arial"/>
          <w:b/>
          <w:bCs/>
        </w:rPr>
      </w:pPr>
      <w:r w:rsidRPr="00D80993">
        <w:rPr>
          <w:rFonts w:ascii="Arial" w:hAnsi="Arial" w:cs="Arial"/>
          <w:b/>
          <w:bCs/>
        </w:rPr>
        <w:t>3.1.1 Documents by Year</w:t>
      </w:r>
    </w:p>
    <w:p w14:paraId="4054481E" w14:textId="77777777" w:rsidR="00D80993" w:rsidRDefault="00D80993" w:rsidP="00D80993">
      <w:pPr>
        <w:pStyle w:val="Body"/>
        <w:spacing w:before="120" w:after="120"/>
        <w:rPr>
          <w:rFonts w:ascii="Arial" w:hAnsi="Arial" w:cs="Arial"/>
        </w:rPr>
      </w:pPr>
      <w:r w:rsidRPr="00D80993">
        <w:rPr>
          <w:rFonts w:ascii="Arial" w:hAnsi="Arial" w:cs="Arial"/>
          <w:i/>
          <w:iCs/>
        </w:rPr>
        <w:t>Figure 2</w:t>
      </w:r>
      <w:r w:rsidRPr="00D80993">
        <w:rPr>
          <w:rFonts w:ascii="Arial" w:hAnsi="Arial" w:cs="Arial"/>
        </w:rPr>
        <w:t xml:space="preserve"> presents the annual publication trend of research linking local wisdom and science learning from 2017 to 2025.</w:t>
      </w:r>
      <w:r>
        <w:rPr>
          <w:rFonts w:ascii="Arial" w:hAnsi="Arial" w:cs="Arial"/>
        </w:rPr>
        <w:t xml:space="preserve"> </w:t>
      </w:r>
      <w:r w:rsidRPr="00D80993">
        <w:rPr>
          <w:rFonts w:ascii="Arial" w:hAnsi="Arial" w:cs="Arial"/>
        </w:rPr>
        <w:t>As illustrated, research activity remained minimal between 2017 and 2020, with only one article published in 2017 and no publications from 2018 to 2020. A notable increase began in 2021, followed by a rapid rise in 2022–2025, peaking at five publications per year in both 2024 and 2025.</w:t>
      </w:r>
    </w:p>
    <w:p w14:paraId="7C5F6BC1" w14:textId="77777777" w:rsidR="00D80993" w:rsidRDefault="00D80993" w:rsidP="00D80993">
      <w:pPr>
        <w:pStyle w:val="Body"/>
        <w:spacing w:before="120" w:after="120"/>
        <w:rPr>
          <w:rFonts w:ascii="Arial" w:hAnsi="Arial" w:cs="Arial"/>
        </w:rPr>
      </w:pPr>
    </w:p>
    <w:p w14:paraId="73B5C88A" w14:textId="77777777" w:rsidR="00D80993" w:rsidRDefault="00D80993" w:rsidP="00D80993">
      <w:pPr>
        <w:pStyle w:val="Body"/>
        <w:spacing w:before="120" w:after="120"/>
        <w:rPr>
          <w:rFonts w:ascii="Arial" w:hAnsi="Arial" w:cs="Arial"/>
        </w:rPr>
      </w:pPr>
      <w:r w:rsidRPr="00D80993">
        <w:rPr>
          <w:rFonts w:ascii="Arial" w:hAnsi="Arial" w:cs="Arial"/>
          <w:noProof/>
        </w:rPr>
        <w:drawing>
          <wp:inline distT="0" distB="0" distL="0" distR="0" wp14:anchorId="12749421" wp14:editId="1D636C8A">
            <wp:extent cx="5339052" cy="3257550"/>
            <wp:effectExtent l="0" t="0" r="0" b="0"/>
            <wp:docPr id="3" name="Picture 2">
              <a:extLst xmlns:a="http://schemas.openxmlformats.org/drawingml/2006/main">
                <a:ext uri="{FF2B5EF4-FFF2-40B4-BE49-F238E27FC236}">
                  <a16:creationId xmlns:a16="http://schemas.microsoft.com/office/drawing/2014/main" id="{9BD1968D-9733-F1D6-19D2-FDEE5B9D78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BD1968D-9733-F1D6-19D2-FDEE5B9D7848}"/>
                        </a:ext>
                      </a:extLst>
                    </pic:cNvPr>
                    <pic:cNvPicPr>
                      <a:picLocks noChangeAspect="1"/>
                    </pic:cNvPicPr>
                  </pic:nvPicPr>
                  <pic:blipFill>
                    <a:blip r:embed="rId9"/>
                    <a:srcRect l="35923" t="19517" r="4169" b="15749"/>
                    <a:stretch>
                      <a:fillRect/>
                    </a:stretch>
                  </pic:blipFill>
                  <pic:spPr>
                    <a:xfrm>
                      <a:off x="0" y="0"/>
                      <a:ext cx="5345916" cy="3261738"/>
                    </a:xfrm>
                    <a:prstGeom prst="rect">
                      <a:avLst/>
                    </a:prstGeom>
                  </pic:spPr>
                </pic:pic>
              </a:graphicData>
            </a:graphic>
          </wp:inline>
        </w:drawing>
      </w:r>
    </w:p>
    <w:p w14:paraId="2ACB299E" w14:textId="2C5B84D6" w:rsidR="000D6CDB" w:rsidRPr="00D80993" w:rsidRDefault="000D6CDB" w:rsidP="00D80993">
      <w:pPr>
        <w:pStyle w:val="Body"/>
        <w:spacing w:before="120" w:after="120"/>
        <w:rPr>
          <w:rFonts w:ascii="Arial" w:hAnsi="Arial" w:cs="Arial"/>
          <w:b/>
          <w:bCs/>
        </w:rPr>
      </w:pPr>
      <w:r w:rsidRPr="000D6CDB">
        <w:rPr>
          <w:rFonts w:ascii="Arial" w:hAnsi="Arial" w:cs="Arial"/>
          <w:b/>
          <w:bCs/>
        </w:rPr>
        <w:lastRenderedPageBreak/>
        <w:t>Fig</w:t>
      </w:r>
      <w:r>
        <w:rPr>
          <w:rFonts w:ascii="Arial" w:hAnsi="Arial" w:cs="Arial"/>
          <w:b/>
          <w:bCs/>
        </w:rPr>
        <w:t>.</w:t>
      </w:r>
      <w:r w:rsidRPr="000D6CDB">
        <w:rPr>
          <w:rFonts w:ascii="Arial" w:hAnsi="Arial" w:cs="Arial"/>
          <w:b/>
          <w:bCs/>
        </w:rPr>
        <w:t xml:space="preserve"> 2. Documents by Year of Publication</w:t>
      </w:r>
    </w:p>
    <w:p w14:paraId="3CF36E55" w14:textId="01E7F3DF" w:rsidR="00D80993" w:rsidRPr="00D80993" w:rsidRDefault="00D80993" w:rsidP="00D80993">
      <w:pPr>
        <w:pStyle w:val="Body"/>
        <w:spacing w:before="120" w:after="120"/>
        <w:rPr>
          <w:rFonts w:ascii="Arial" w:hAnsi="Arial" w:cs="Arial"/>
        </w:rPr>
      </w:pPr>
      <w:r w:rsidRPr="00D80993">
        <w:rPr>
          <w:rFonts w:ascii="Arial" w:hAnsi="Arial" w:cs="Arial"/>
        </w:rPr>
        <w:br/>
      </w:r>
      <w:r w:rsidR="00D72E34" w:rsidRPr="00D72E34">
        <w:rPr>
          <w:rFonts w:ascii="Arial" w:hAnsi="Arial" w:cs="Arial"/>
        </w:rPr>
        <w:t>This steady growth reflects an increasing scholarly interest in contextualizing science education. It shows how cultural and local perspectives are being reintroduced into formal science learning</w:t>
      </w:r>
      <w:r w:rsidRPr="00D80993">
        <w:rPr>
          <w:rFonts w:ascii="Arial" w:hAnsi="Arial" w:cs="Arial"/>
        </w:rPr>
        <w:t xml:space="preserve">. The turning point around 2021 coincides with the global expansion of </w:t>
      </w:r>
      <w:r w:rsidRPr="00D80993">
        <w:rPr>
          <w:rFonts w:ascii="Arial" w:hAnsi="Arial" w:cs="Arial"/>
          <w:i/>
          <w:iCs/>
        </w:rPr>
        <w:t>Education for Sustainable Development (ESD)</w:t>
      </w:r>
      <w:r w:rsidRPr="00D80993">
        <w:rPr>
          <w:rFonts w:ascii="Arial" w:hAnsi="Arial" w:cs="Arial"/>
        </w:rPr>
        <w:t xml:space="preserve"> programs and the increasing integration of local culture into school curricula in Southeast Asia. The surge from 2022 onwards also aligns with the post-pandemic emphasis on community-based and culturally rooted education reforms, indicating a paradigm shift from conventional content delivery to </w:t>
      </w:r>
      <w:r w:rsidRPr="00D80993">
        <w:rPr>
          <w:rFonts w:ascii="Arial" w:hAnsi="Arial" w:cs="Arial"/>
          <w:i/>
          <w:iCs/>
        </w:rPr>
        <w:t>contextualized learning</w:t>
      </w:r>
      <w:r w:rsidRPr="00D80993">
        <w:rPr>
          <w:rFonts w:ascii="Arial" w:hAnsi="Arial" w:cs="Arial"/>
        </w:rPr>
        <w:t xml:space="preserve"> that bridges scientific understanding and socio-cultural identity</w:t>
      </w:r>
      <w:r w:rsidR="00571A9A">
        <w:rPr>
          <w:rFonts w:ascii="Arial" w:hAnsi="Arial" w:cs="Arial"/>
        </w:rPr>
        <w:t xml:space="preserve"> </w:t>
      </w:r>
      <w:r w:rsidR="00571A9A">
        <w:rPr>
          <w:rFonts w:ascii="Arial" w:hAnsi="Arial" w:cs="Arial"/>
        </w:rPr>
        <w:fldChar w:fldCharType="begin" w:fldLock="1"/>
      </w:r>
      <w:r w:rsidR="00571A9A">
        <w:rPr>
          <w:rFonts w:ascii="Arial" w:hAnsi="Arial" w:cs="Arial"/>
        </w:rPr>
        <w:instrText>ADDIN CSL_CITATION {"citationItems":[{"id":"ITEM-1","itemData":{"DOI":"https://doi.org/10.1016/j.joitmc.2024.100233","ISSN":"2199-8531","abstract":"This research investigates the relationship between Pedagogical Innovation (PED), Curricular Adaptation (CUR), Local Wisdom Approach (LWA), and Digital Literacy (DIGLI) in Early Childhood Education, aligns with Sustainable Development Goals (SDGs), promoting quality education (SDG 4), fostering cultural inclusion, and advocating for sustainable partnerships to address limitations and enhance global understanding in Banten, Indonesia. Employing a quantitative method, a sample of 220 participants, including teachers, parents, and education stakeholders, was surveyed from July to August 2023. The main findings reveal significant impacts of PED and CUR on both the LWA and DIGLI. Moreover, the LWA mediates the relationships between PED and DIGLI, as well as CUR and DIGLI. Implications of this research highlight the pivotal role of integrating cultural values for optimizing the effects of innovative teaching methods and adaptive curricula on the development of digital literacy skills among young learners. Limitations include the study's geographical specificity to Banten, potential response bias in the self-report survey, and the cross-sectional design limiting temporal insights. Future prospects involve expanding the study's geographical scope, incorporating qualitative methodologies, and conducting longitudinal analyses to provide a more comprehensive understanding of the complex dynamics in Early Childhood Education.","author":[{"dropping-particle":"","family":"Asmayawati","given":"","non-dropping-particle":"","parse-names":false,"suffix":""},{"dropping-particle":"","family":"Yufiarti","given":"","non-dropping-particle":"","parse-names":false,"suffix":""},{"dropping-particle":"","family":"Yetti","given":"Elindra","non-dropping-particle":"","parse-names":false,"suffix":""}],"container-title":"Journal of Open Innovation: Technology, Market, and Complexity","id":"ITEM-1","issue":"1","issued":{"date-parts":[["2024"]]},"page":"100233","title":"Pedagogical innovation and curricular adaptation in enhancing digital literacy: A local wisdom approach for sustainable development in Indonesia context","type":"article-journal","volume":"10"},"uris":["http://www.mendeley.com/documents/?uuid=e57c75a4-99df-4224-ace9-ac427b8fd8dd"]},{"id":"ITEM-2","itemData":{"DOI":"https://doi.org/10.1016/j.heliyon.2023.e16348","ISSN":"2405-8440","abstract":"The adoption of smart digital technologies in the education system has grown exponentially over the years, creating new possibilities to improve teaching and enhance learning. Against this backdrop, the ‘brick-and-mortar’ education approach survives on life support, with digital technologies promoting ubiquitous teaching and learning. Through complexity theory, this study uses an iterative review research approach comprising of nine steps to frame the study of smart digital education. The complexity theory lens provides an appropriate framework to reason about the complexities that surface due to interactions of the elements of smart digital technologies in the education system. The complementary strength of the adopted methodological approach led to multiple discourses on technology-enabled and technology-enhanced learning environments. In particular, four broad themes emerged, which demonstrated the prevalence of various technologies and how they interact as a means of making sense of the emerging digitally-enabled education environment. Through these themes, this paper highlights digitalisation affordances (which include multimodality, a/synchronicity, and new forms of engagement), discusses the key challenges and complexities of digitally enabled education, and advances the discourse on how digitalisation can support and promote inclusivity amidst historic challenges. Finally, it discusses how the advancement of technologies provides a new paradigm of learning, revolutionises knowledge construction, and extends and enriches the ‘brick-and-mortar’ learning environment to enhance the educational experience. As a future research agenda, this paper recommends comprehensive end-to-end programmes and innovative ways to conceptualise and execute digitally-enabled education that provides equity-oriented opportunities for cognitive development.","author":[{"dropping-particle":"","family":"Mhlongo","given":"Siyabonga","non-dropping-particle":"","parse-names":false,"suffix":""},{"dropping-particle":"","family":"Mbatha","given":"Khanyisile","non-dropping-particle":"","parse-names":false,"suffix":""},{"dropping-particle":"","family":"Ramatsetse","given":"Boitumelo","non-dropping-particle":"","parse-names":false,"suffix":""},{"dropping-particle":"","family":"Dlamini","given":"Reuben","non-dropping-particle":"","parse-names":false,"suffix":""}],"container-title":"Heliyon","id":"ITEM-2","issue":"6","issued":{"date-parts":[["2023"]]},"page":"e16348","title":"Challenges, opportunities, and prospects of adopting and using smart digital technologies in learning environments: An iterative review","type":"article-journal","volume":"9"},"uris":["http://www.mendeley.com/documents/?uuid=4b13af31-6ada-40ad-826b-e6b6516f9f74"]},{"id":"ITEM-3","itemData":{"DOI":"10.1177/21582440231154474","ISSN":"2158-2440","abstract":"This research paper seeks to explore a newly proposed model to assist public educational systems with properly integrating digital technology into their currently practiced teaching and learning processes. Digital learning has been adopted for the past two decades under various forms of internet-based learning, such as online learning, e-learning, blended learning, and hybrid learning. However, those practices and initiatives have encountered many obstacles that crippled educational communities in many parts of the world and prevented them from successfully and sustainably integrating digital learning into their systems. Unfortunately, the crisis of the COVID-19 outbreak has clearly revealed the need for immediate action to find effective methods to ensure the quality implementation of digital learning in K-12 education. Consequently, this paper benefits both individuals and governments with successful and sustainable solutions for K-12 education. This proposed digital education shifting (DES) model was constructed based on several learning theories, mainly the cognitive load theory, constructive learning theory, and connectivism theory. To achieve its objectives, this paper adopts a descriptive method by constructing an open-ended questionnaire to collect experts? opinions and suggestions on DES. The results revealed high agreement among experts on DES effectiveness.","author":[{"dropping-particle":"","family":"Aldhafeeri","given":" Fayiz M","non-dropping-particle":"","parse-names":false,"suffix":""},{"dropping-particle":"","family":"Alotaibi","given":" Asmaa A","non-dropping-particle":"","parse-names":false,"suffix":""}],"container-title":"Sage Open","id":"ITEM-3","issue":"1","issued":{"date-parts":[["2023","1","1"]]},"note":"doi: 10.1177/21582440231154474","page":"21582440231154474","publisher":"SAGE Publications","title":"Reimagining Education for Successful and Sustainable Digital Shifting","type":"article-journal","volume":"13"},"uris":["http://www.mendeley.com/documents/?uuid=ac869c2e-54c3-4665-b1e5-2cb69e2297cb"]}],"mendeley":{"formattedCitation":"(Aldhafeeri &amp; Alotaibi, 2023; Asmayawati et al., 2024; Mhlongo et al., 2023)","plainTextFormattedCitation":"(Aldhafeeri &amp; Alotaibi, 2023; Asmayawati et al., 2024; Mhlongo et al., 2023)","previouslyFormattedCitation":"(Aldhafeeri &amp; Alotaibi, 2023; Asmayawati et al., 2024; Mhlongo et al., 2023)"},"properties":{"noteIndex":0},"schema":"https://github.com/citation-style-language/schema/raw/master/csl-citation.json"}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(Aldhafeeri &amp; Alotaibi, 2023; Asmayawati et al., 2024; Mhlongo et al., 2023)</w:t>
      </w:r>
      <w:r w:rsidR="00571A9A">
        <w:rPr>
          <w:rFonts w:ascii="Arial" w:hAnsi="Arial" w:cs="Arial"/>
        </w:rPr>
        <w:fldChar w:fldCharType="end"/>
      </w:r>
      <w:r w:rsidRPr="00D80993">
        <w:rPr>
          <w:rFonts w:ascii="Arial" w:hAnsi="Arial" w:cs="Arial"/>
        </w:rPr>
        <w:t>.</w:t>
      </w:r>
    </w:p>
    <w:p w14:paraId="61DC9854" w14:textId="77777777" w:rsidR="00D80993" w:rsidRPr="00D80993" w:rsidRDefault="00D80993" w:rsidP="00D80993">
      <w:pPr>
        <w:pStyle w:val="Body"/>
        <w:spacing w:before="120" w:after="120"/>
        <w:rPr>
          <w:rFonts w:ascii="Arial" w:hAnsi="Arial" w:cs="Arial"/>
          <w:b/>
          <w:bCs/>
        </w:rPr>
      </w:pPr>
      <w:r w:rsidRPr="00D80993">
        <w:rPr>
          <w:rFonts w:ascii="Arial" w:hAnsi="Arial" w:cs="Arial"/>
          <w:b/>
          <w:bCs/>
        </w:rPr>
        <w:t>3.1.2 Documents by Country</w:t>
      </w:r>
    </w:p>
    <w:p w14:paraId="66CCCC78" w14:textId="77777777" w:rsidR="00D80993" w:rsidRDefault="00D80993" w:rsidP="00D80993">
      <w:pPr>
        <w:pStyle w:val="Body"/>
        <w:spacing w:before="120" w:after="120"/>
        <w:rPr>
          <w:rFonts w:ascii="Arial" w:hAnsi="Arial" w:cs="Arial"/>
        </w:rPr>
      </w:pPr>
      <w:r w:rsidRPr="00D80993">
        <w:rPr>
          <w:rFonts w:ascii="Arial" w:hAnsi="Arial" w:cs="Arial"/>
          <w:i/>
          <w:iCs/>
        </w:rPr>
        <w:t>Figure 3</w:t>
      </w:r>
      <w:r w:rsidRPr="00D80993">
        <w:rPr>
          <w:rFonts w:ascii="Arial" w:hAnsi="Arial" w:cs="Arial"/>
        </w:rPr>
        <w:t xml:space="preserve"> displays the geographical distribution of publications.</w:t>
      </w:r>
      <w:r>
        <w:rPr>
          <w:rFonts w:ascii="Arial" w:hAnsi="Arial" w:cs="Arial"/>
        </w:rPr>
        <w:t xml:space="preserve"> </w:t>
      </w:r>
      <w:r w:rsidRPr="00D80993">
        <w:rPr>
          <w:rFonts w:ascii="Arial" w:hAnsi="Arial" w:cs="Arial"/>
        </w:rPr>
        <w:t>The data reveal a dominant contribution from Indonesia (n = 17), with only isolated studies from Cambodia, Oman, Poland, Saudi Arabia, South Africa, and Thailand, each contributing a single document.</w:t>
      </w:r>
    </w:p>
    <w:p w14:paraId="59CCFE65" w14:textId="77777777" w:rsidR="00D80993" w:rsidRDefault="00D80993" w:rsidP="00D80993">
      <w:pPr>
        <w:pStyle w:val="Body"/>
        <w:spacing w:before="120" w:after="120"/>
        <w:rPr>
          <w:rFonts w:ascii="Arial" w:hAnsi="Arial" w:cs="Arial"/>
        </w:rPr>
      </w:pPr>
      <w:r w:rsidRPr="00D80993">
        <w:rPr>
          <w:rFonts w:ascii="Arial" w:hAnsi="Arial" w:cs="Arial"/>
          <w:noProof/>
        </w:rPr>
        <w:drawing>
          <wp:inline distT="0" distB="0" distL="0" distR="0" wp14:anchorId="0A47A69B" wp14:editId="79CF2BD2">
            <wp:extent cx="5181112" cy="2762250"/>
            <wp:effectExtent l="0" t="0" r="0" b="0"/>
            <wp:docPr id="239428510" name="Picture 2">
              <a:extLst xmlns:a="http://schemas.openxmlformats.org/drawingml/2006/main">
                <a:ext uri="{FF2B5EF4-FFF2-40B4-BE49-F238E27FC236}">
                  <a16:creationId xmlns:a16="http://schemas.microsoft.com/office/drawing/2014/main" id="{1441C0F9-7140-AE6F-B459-6483D3DBDD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441C0F9-7140-AE6F-B459-6483D3DBDDA7}"/>
                        </a:ext>
                      </a:extLst>
                    </pic:cNvPr>
                    <pic:cNvPicPr>
                      <a:picLocks noChangeAspect="1"/>
                    </pic:cNvPicPr>
                  </pic:nvPicPr>
                  <pic:blipFill>
                    <a:blip r:embed="rId10"/>
                    <a:srcRect l="34941" t="26280" r="4060" b="16136"/>
                    <a:stretch>
                      <a:fillRect/>
                    </a:stretch>
                  </pic:blipFill>
                  <pic:spPr>
                    <a:xfrm>
                      <a:off x="0" y="0"/>
                      <a:ext cx="5193377" cy="2768789"/>
                    </a:xfrm>
                    <a:prstGeom prst="rect">
                      <a:avLst/>
                    </a:prstGeom>
                  </pic:spPr>
                </pic:pic>
              </a:graphicData>
            </a:graphic>
          </wp:inline>
        </w:drawing>
      </w:r>
    </w:p>
    <w:p w14:paraId="28484AA0" w14:textId="77777777" w:rsidR="00D80993" w:rsidRPr="00D80993" w:rsidRDefault="00D80993" w:rsidP="00D80993">
      <w:pPr>
        <w:pStyle w:val="Body"/>
        <w:spacing w:before="120" w:after="120"/>
        <w:rPr>
          <w:rFonts w:ascii="Arial" w:hAnsi="Arial" w:cs="Arial"/>
          <w:b/>
          <w:bCs/>
        </w:rPr>
      </w:pPr>
      <w:r w:rsidRPr="00D80993">
        <w:rPr>
          <w:rFonts w:ascii="Arial" w:hAnsi="Arial" w:cs="Arial"/>
          <w:b/>
          <w:bCs/>
        </w:rPr>
        <w:t>Fig. 3. Documents by Country</w:t>
      </w:r>
    </w:p>
    <w:p w14:paraId="78639F1C" w14:textId="77777777" w:rsidR="00D80993" w:rsidRPr="00D80993" w:rsidRDefault="00D80993" w:rsidP="00D80993">
      <w:pPr>
        <w:pStyle w:val="Body"/>
        <w:spacing w:before="120" w:after="120"/>
        <w:rPr>
          <w:rFonts w:ascii="Arial" w:hAnsi="Arial" w:cs="Arial"/>
        </w:rPr>
      </w:pPr>
      <w:r w:rsidRPr="00D80993">
        <w:rPr>
          <w:rFonts w:ascii="Arial" w:hAnsi="Arial" w:cs="Arial"/>
        </w:rPr>
        <w:br/>
        <w:t>Indonesia’s overwhelming representation underscores the country’s rich repository of indigenous knowledge systems (</w:t>
      </w:r>
      <w:proofErr w:type="spellStart"/>
      <w:r w:rsidRPr="00D80993">
        <w:rPr>
          <w:rFonts w:ascii="Arial" w:hAnsi="Arial" w:cs="Arial"/>
          <w:i/>
          <w:iCs/>
        </w:rPr>
        <w:t>kearifan</w:t>
      </w:r>
      <w:proofErr w:type="spellEnd"/>
      <w:r w:rsidRPr="00D80993">
        <w:rPr>
          <w:rFonts w:ascii="Arial" w:hAnsi="Arial" w:cs="Arial"/>
          <w:i/>
          <w:iCs/>
        </w:rPr>
        <w:t xml:space="preserve"> </w:t>
      </w:r>
      <w:proofErr w:type="spellStart"/>
      <w:r w:rsidRPr="00D80993">
        <w:rPr>
          <w:rFonts w:ascii="Arial" w:hAnsi="Arial" w:cs="Arial"/>
          <w:i/>
          <w:iCs/>
        </w:rPr>
        <w:t>lokal</w:t>
      </w:r>
      <w:proofErr w:type="spellEnd"/>
      <w:r w:rsidRPr="00D80993">
        <w:rPr>
          <w:rFonts w:ascii="Arial" w:hAnsi="Arial" w:cs="Arial"/>
        </w:rPr>
        <w:t xml:space="preserve">) and the strong academic discourse surrounding ethnoscience-based education. The prominence of Indonesian scholars also reflects the integration of local wisdom into the </w:t>
      </w:r>
      <w:proofErr w:type="spellStart"/>
      <w:r w:rsidRPr="00D80993">
        <w:rPr>
          <w:rFonts w:ascii="Arial" w:hAnsi="Arial" w:cs="Arial"/>
        </w:rPr>
        <w:t>Kurikulum</w:t>
      </w:r>
      <w:proofErr w:type="spellEnd"/>
      <w:r w:rsidRPr="00D80993">
        <w:rPr>
          <w:rFonts w:ascii="Arial" w:hAnsi="Arial" w:cs="Arial"/>
        </w:rPr>
        <w:t xml:space="preserve"> Merdeka and </w:t>
      </w:r>
      <w:proofErr w:type="spellStart"/>
      <w:r w:rsidRPr="00D80993">
        <w:rPr>
          <w:rFonts w:ascii="Arial" w:hAnsi="Arial" w:cs="Arial"/>
        </w:rPr>
        <w:t>Adiwiyata</w:t>
      </w:r>
      <w:proofErr w:type="spellEnd"/>
      <w:r w:rsidRPr="00D80993">
        <w:rPr>
          <w:rFonts w:ascii="Arial" w:hAnsi="Arial" w:cs="Arial"/>
        </w:rPr>
        <w:t xml:space="preserve"> environmental education programs, which encourage culturally embedded science learning. The limited contributions from other countries suggest that while the concept of local wisdom is globally acknowledged, its systematic integration into science learning remains largely regionalized and underexplored outside the Indonesian context.</w:t>
      </w:r>
    </w:p>
    <w:p w14:paraId="20DBDDD9" w14:textId="77777777" w:rsidR="00D80993" w:rsidRPr="00D80993" w:rsidRDefault="00D80993" w:rsidP="00D80993">
      <w:pPr>
        <w:pStyle w:val="Body"/>
        <w:spacing w:before="120" w:after="120"/>
        <w:rPr>
          <w:rFonts w:ascii="Arial" w:hAnsi="Arial" w:cs="Arial"/>
          <w:b/>
          <w:bCs/>
        </w:rPr>
      </w:pPr>
      <w:r w:rsidRPr="00D80993">
        <w:rPr>
          <w:rFonts w:ascii="Arial" w:hAnsi="Arial" w:cs="Arial"/>
          <w:b/>
          <w:bCs/>
        </w:rPr>
        <w:t>3.1.3 Documents by Subject Area</w:t>
      </w:r>
    </w:p>
    <w:p w14:paraId="2DDA9E3B" w14:textId="77777777" w:rsidR="00D80993" w:rsidRDefault="00D80993" w:rsidP="00D80993">
      <w:pPr>
        <w:pStyle w:val="Body"/>
        <w:spacing w:before="120" w:after="120"/>
        <w:rPr>
          <w:rFonts w:ascii="Arial" w:hAnsi="Arial" w:cs="Arial"/>
        </w:rPr>
      </w:pPr>
      <w:r w:rsidRPr="00D80993">
        <w:rPr>
          <w:rFonts w:ascii="Arial" w:hAnsi="Arial" w:cs="Arial"/>
          <w:i/>
          <w:iCs/>
        </w:rPr>
        <w:t>Figure 4</w:t>
      </w:r>
      <w:r w:rsidRPr="00D80993">
        <w:rPr>
          <w:rFonts w:ascii="Arial" w:hAnsi="Arial" w:cs="Arial"/>
        </w:rPr>
        <w:t xml:space="preserve"> summarizes the subject area distribution of the analyzed articles.</w:t>
      </w:r>
      <w:r>
        <w:rPr>
          <w:rFonts w:ascii="Arial" w:hAnsi="Arial" w:cs="Arial"/>
        </w:rPr>
        <w:t xml:space="preserve"> </w:t>
      </w:r>
      <w:r w:rsidRPr="00D80993">
        <w:rPr>
          <w:rFonts w:ascii="Arial" w:hAnsi="Arial" w:cs="Arial"/>
        </w:rPr>
        <w:t>The majority of studies fall under Social Sciences (57.7%), followed by Environmental Science (11.5%), Computer Science (7.7%), Psychology (7.7%), and smaller proportions in Economics, Medicine, Multidisciplinary studies, and Pharmacology (each 3.8%).</w:t>
      </w:r>
    </w:p>
    <w:p w14:paraId="36F51374" w14:textId="77777777" w:rsidR="00D80993" w:rsidRDefault="00D80993" w:rsidP="00D80993">
      <w:pPr>
        <w:pStyle w:val="Body"/>
        <w:spacing w:before="120" w:after="120"/>
        <w:rPr>
          <w:rFonts w:ascii="Arial" w:hAnsi="Arial" w:cs="Arial"/>
        </w:rPr>
      </w:pPr>
      <w:r w:rsidRPr="00D80993">
        <w:rPr>
          <w:rFonts w:ascii="Arial" w:hAnsi="Arial" w:cs="Arial"/>
          <w:noProof/>
        </w:rPr>
        <w:lastRenderedPageBreak/>
        <w:drawing>
          <wp:inline distT="0" distB="0" distL="0" distR="0" wp14:anchorId="1BD11B3E" wp14:editId="400EC80E">
            <wp:extent cx="5212080" cy="2667635"/>
            <wp:effectExtent l="0" t="0" r="0" b="0"/>
            <wp:docPr id="5" name="Picture 4">
              <a:extLst xmlns:a="http://schemas.openxmlformats.org/drawingml/2006/main">
                <a:ext uri="{FF2B5EF4-FFF2-40B4-BE49-F238E27FC236}">
                  <a16:creationId xmlns:a16="http://schemas.microsoft.com/office/drawing/2014/main" id="{542839EB-080F-9A31-B699-64B8DE6FC0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42839EB-080F-9A31-B699-64B8DE6FC0ED}"/>
                        </a:ext>
                      </a:extLst>
                    </pic:cNvPr>
                    <pic:cNvPicPr>
                      <a:picLocks noChangeAspect="1"/>
                    </pic:cNvPicPr>
                  </pic:nvPicPr>
                  <pic:blipFill>
                    <a:blip r:embed="rId11"/>
                    <a:srcRect l="34723" t="19710" r="5587" b="26184"/>
                    <a:stretch>
                      <a:fillRect/>
                    </a:stretch>
                  </pic:blipFill>
                  <pic:spPr>
                    <a:xfrm>
                      <a:off x="0" y="0"/>
                      <a:ext cx="5212080" cy="2667635"/>
                    </a:xfrm>
                    <a:prstGeom prst="rect">
                      <a:avLst/>
                    </a:prstGeom>
                  </pic:spPr>
                </pic:pic>
              </a:graphicData>
            </a:graphic>
          </wp:inline>
        </w:drawing>
      </w:r>
    </w:p>
    <w:p w14:paraId="72F810B2" w14:textId="77777777" w:rsidR="00D80993" w:rsidRPr="00D80993" w:rsidRDefault="00D80993" w:rsidP="00D80993">
      <w:pPr>
        <w:pStyle w:val="Body"/>
        <w:spacing w:before="120" w:after="120"/>
        <w:rPr>
          <w:rFonts w:ascii="Arial" w:hAnsi="Arial" w:cs="Arial"/>
          <w:b/>
          <w:bCs/>
        </w:rPr>
      </w:pPr>
      <w:r w:rsidRPr="00D80993">
        <w:rPr>
          <w:rFonts w:ascii="Arial" w:hAnsi="Arial" w:cs="Arial"/>
          <w:b/>
          <w:bCs/>
        </w:rPr>
        <w:t xml:space="preserve">Fig. </w:t>
      </w:r>
      <w:r>
        <w:rPr>
          <w:rFonts w:ascii="Arial" w:hAnsi="Arial" w:cs="Arial"/>
          <w:b/>
          <w:bCs/>
        </w:rPr>
        <w:t>4</w:t>
      </w:r>
      <w:r w:rsidRPr="00D80993">
        <w:rPr>
          <w:rFonts w:ascii="Arial" w:hAnsi="Arial" w:cs="Arial"/>
          <w:b/>
          <w:bCs/>
        </w:rPr>
        <w:t>. Documents by Subject Area</w:t>
      </w:r>
    </w:p>
    <w:p w14:paraId="31A5686A" w14:textId="77777777" w:rsidR="00D80993" w:rsidRPr="00D80993" w:rsidRDefault="00D80993" w:rsidP="00D80993">
      <w:pPr>
        <w:pStyle w:val="Body"/>
        <w:spacing w:before="120" w:after="120"/>
        <w:rPr>
          <w:rFonts w:ascii="Arial" w:hAnsi="Arial" w:cs="Arial"/>
        </w:rPr>
      </w:pPr>
      <w:r w:rsidRPr="00D80993">
        <w:rPr>
          <w:rFonts w:ascii="Arial" w:hAnsi="Arial" w:cs="Arial"/>
        </w:rPr>
        <w:br/>
        <w:t xml:space="preserve">The dominance of the social sciences reflects the pedagogical orientation of this research domain, emphasizing education, culture, and social values in science learning. Environmental science’s presence highlights the ecological dimension of local wisdom, where indigenous practices often relate to sustainable resource management and environmental ethics. Interestingly, the emerging inclusion of computer science indicates an emerging trend toward </w:t>
      </w:r>
      <w:r w:rsidRPr="00D80993">
        <w:rPr>
          <w:rFonts w:ascii="Arial" w:hAnsi="Arial" w:cs="Arial"/>
          <w:i/>
          <w:iCs/>
        </w:rPr>
        <w:t>digital ethnoscience</w:t>
      </w:r>
      <w:r w:rsidRPr="00D80993">
        <w:rPr>
          <w:rFonts w:ascii="Arial" w:hAnsi="Arial" w:cs="Arial"/>
        </w:rPr>
        <w:t>—the use of digital media and e-learning tools to preserve and teach local knowledge in science classrooms. This interdisciplinary blend signals a gradual convergence between cultural education, environmental sustainability, and digital transformation in modern pedagogy.</w:t>
      </w:r>
    </w:p>
    <w:p w14:paraId="31A365C7" w14:textId="77777777" w:rsidR="00D80993" w:rsidRPr="00D80993" w:rsidRDefault="00D80993" w:rsidP="00D80993">
      <w:pPr>
        <w:pStyle w:val="Body"/>
        <w:spacing w:before="120" w:after="120"/>
        <w:rPr>
          <w:rFonts w:ascii="Arial" w:hAnsi="Arial" w:cs="Arial"/>
          <w:b/>
          <w:bCs/>
        </w:rPr>
      </w:pPr>
      <w:r w:rsidRPr="00D80993">
        <w:rPr>
          <w:rFonts w:ascii="Arial" w:hAnsi="Arial" w:cs="Arial"/>
          <w:b/>
          <w:bCs/>
        </w:rPr>
        <w:t>3.1.4 Keyword Co-occurrence Analysis</w:t>
      </w:r>
    </w:p>
    <w:p w14:paraId="648450C4" w14:textId="77777777" w:rsidR="00D80993" w:rsidRDefault="00D80993" w:rsidP="00D80993">
      <w:pPr>
        <w:pStyle w:val="Body"/>
        <w:spacing w:before="120" w:after="120"/>
        <w:rPr>
          <w:rFonts w:ascii="Arial" w:hAnsi="Arial" w:cs="Arial"/>
        </w:rPr>
      </w:pPr>
      <w:r w:rsidRPr="00D80993">
        <w:rPr>
          <w:rFonts w:ascii="Arial" w:hAnsi="Arial" w:cs="Arial"/>
          <w:i/>
          <w:iCs/>
        </w:rPr>
        <w:t>Figure 5</w:t>
      </w:r>
      <w:r w:rsidRPr="00D80993">
        <w:rPr>
          <w:rFonts w:ascii="Arial" w:hAnsi="Arial" w:cs="Arial"/>
        </w:rPr>
        <w:t xml:space="preserve"> depicts the </w:t>
      </w:r>
      <w:proofErr w:type="spellStart"/>
      <w:r w:rsidRPr="00D80993">
        <w:rPr>
          <w:rFonts w:ascii="Arial" w:hAnsi="Arial" w:cs="Arial"/>
        </w:rPr>
        <w:t>VOSviewer</w:t>
      </w:r>
      <w:proofErr w:type="spellEnd"/>
      <w:r w:rsidRPr="00D80993">
        <w:rPr>
          <w:rFonts w:ascii="Arial" w:hAnsi="Arial" w:cs="Arial"/>
        </w:rPr>
        <w:t xml:space="preserve"> keyword co-occurrence network visualizing how frequently keywords appear together across the reviewed studies.</w:t>
      </w:r>
      <w:r>
        <w:rPr>
          <w:rFonts w:ascii="Arial" w:hAnsi="Arial" w:cs="Arial"/>
        </w:rPr>
        <w:t xml:space="preserve"> </w:t>
      </w:r>
      <w:r w:rsidRPr="00D80993">
        <w:rPr>
          <w:rFonts w:ascii="Arial" w:hAnsi="Arial" w:cs="Arial"/>
        </w:rPr>
        <w:t>The network reveals two central nodes</w:t>
      </w:r>
      <w:proofErr w:type="gramStart"/>
      <w:r w:rsidRPr="00D80993">
        <w:rPr>
          <w:rFonts w:ascii="Arial" w:hAnsi="Arial" w:cs="Arial"/>
        </w:rPr>
        <w:t>—“</w:t>
      </w:r>
      <w:proofErr w:type="gramEnd"/>
      <w:r w:rsidRPr="00D80993">
        <w:rPr>
          <w:rFonts w:ascii="Arial" w:hAnsi="Arial" w:cs="Arial"/>
        </w:rPr>
        <w:t xml:space="preserve">local wisdom” and “science learning”—surrounded by related clusters. The blue cluster connects </w:t>
      </w:r>
      <w:r w:rsidRPr="00D80993">
        <w:rPr>
          <w:rFonts w:ascii="Arial" w:hAnsi="Arial" w:cs="Arial"/>
          <w:i/>
          <w:iCs/>
        </w:rPr>
        <w:t>local wisdom</w:t>
      </w:r>
      <w:r w:rsidRPr="00D80993">
        <w:rPr>
          <w:rFonts w:ascii="Arial" w:hAnsi="Arial" w:cs="Arial"/>
        </w:rPr>
        <w:t xml:space="preserve"> with community-based and cultural themes such as </w:t>
      </w:r>
      <w:proofErr w:type="spellStart"/>
      <w:r w:rsidRPr="00D80993">
        <w:rPr>
          <w:rFonts w:ascii="Arial" w:hAnsi="Arial" w:cs="Arial"/>
          <w:i/>
          <w:iCs/>
        </w:rPr>
        <w:t>huluhula</w:t>
      </w:r>
      <w:proofErr w:type="spellEnd"/>
      <w:r w:rsidRPr="00D80993">
        <w:rPr>
          <w:rFonts w:ascii="Arial" w:hAnsi="Arial" w:cs="Arial"/>
        </w:rPr>
        <w:t xml:space="preserve">, </w:t>
      </w:r>
      <w:proofErr w:type="spellStart"/>
      <w:r w:rsidRPr="00D80993">
        <w:rPr>
          <w:rFonts w:ascii="Arial" w:hAnsi="Arial" w:cs="Arial"/>
          <w:i/>
          <w:iCs/>
        </w:rPr>
        <w:t>catur</w:t>
      </w:r>
      <w:proofErr w:type="spellEnd"/>
      <w:r w:rsidRPr="00D80993">
        <w:rPr>
          <w:rFonts w:ascii="Arial" w:hAnsi="Arial" w:cs="Arial"/>
          <w:i/>
          <w:iCs/>
        </w:rPr>
        <w:t xml:space="preserve"> </w:t>
      </w:r>
      <w:proofErr w:type="spellStart"/>
      <w:r w:rsidRPr="00D80993">
        <w:rPr>
          <w:rFonts w:ascii="Arial" w:hAnsi="Arial" w:cs="Arial"/>
          <w:i/>
          <w:iCs/>
        </w:rPr>
        <w:t>pramana</w:t>
      </w:r>
      <w:proofErr w:type="spellEnd"/>
      <w:r w:rsidRPr="00D80993">
        <w:rPr>
          <w:rFonts w:ascii="Arial" w:hAnsi="Arial" w:cs="Arial"/>
        </w:rPr>
        <w:t xml:space="preserve">, and </w:t>
      </w:r>
      <w:proofErr w:type="spellStart"/>
      <w:r w:rsidRPr="00D80993">
        <w:rPr>
          <w:rFonts w:ascii="Arial" w:hAnsi="Arial" w:cs="Arial"/>
          <w:i/>
          <w:iCs/>
        </w:rPr>
        <w:t>panggadakkang</w:t>
      </w:r>
      <w:proofErr w:type="spellEnd"/>
      <w:r w:rsidRPr="00D80993">
        <w:rPr>
          <w:rFonts w:ascii="Arial" w:hAnsi="Arial" w:cs="Arial"/>
          <w:i/>
          <w:iCs/>
        </w:rPr>
        <w:t xml:space="preserve"> </w:t>
      </w:r>
      <w:proofErr w:type="spellStart"/>
      <w:r w:rsidRPr="00D80993">
        <w:rPr>
          <w:rFonts w:ascii="Arial" w:hAnsi="Arial" w:cs="Arial"/>
          <w:i/>
          <w:iCs/>
        </w:rPr>
        <w:t>tuparrita</w:t>
      </w:r>
      <w:proofErr w:type="spellEnd"/>
      <w:r w:rsidRPr="00D80993">
        <w:rPr>
          <w:rFonts w:ascii="Arial" w:hAnsi="Arial" w:cs="Arial"/>
        </w:rPr>
        <w:t xml:space="preserve">, reflecting indigenous philosophical constructs. The green cluster is dominated by terms like </w:t>
      </w:r>
      <w:r w:rsidRPr="00D80993">
        <w:rPr>
          <w:rFonts w:ascii="Arial" w:hAnsi="Arial" w:cs="Arial"/>
          <w:i/>
          <w:iCs/>
        </w:rPr>
        <w:t>ethnoscience</w:t>
      </w:r>
      <w:r w:rsidRPr="00D80993">
        <w:rPr>
          <w:rFonts w:ascii="Arial" w:hAnsi="Arial" w:cs="Arial"/>
        </w:rPr>
        <w:t xml:space="preserve">, </w:t>
      </w:r>
      <w:r w:rsidRPr="00D80993">
        <w:rPr>
          <w:rFonts w:ascii="Arial" w:hAnsi="Arial" w:cs="Arial"/>
          <w:i/>
          <w:iCs/>
        </w:rPr>
        <w:t>critical thinking</w:t>
      </w:r>
      <w:r w:rsidRPr="00D80993">
        <w:rPr>
          <w:rFonts w:ascii="Arial" w:hAnsi="Arial" w:cs="Arial"/>
        </w:rPr>
        <w:t xml:space="preserve">, </w:t>
      </w:r>
      <w:r w:rsidRPr="00D80993">
        <w:rPr>
          <w:rFonts w:ascii="Arial" w:hAnsi="Arial" w:cs="Arial"/>
          <w:i/>
          <w:iCs/>
        </w:rPr>
        <w:t>scientific literacy</w:t>
      </w:r>
      <w:r w:rsidRPr="00D80993">
        <w:rPr>
          <w:rFonts w:ascii="Arial" w:hAnsi="Arial" w:cs="Arial"/>
        </w:rPr>
        <w:t xml:space="preserve">, and </w:t>
      </w:r>
      <w:r w:rsidRPr="00D80993">
        <w:rPr>
          <w:rFonts w:ascii="Arial" w:hAnsi="Arial" w:cs="Arial"/>
          <w:i/>
          <w:iCs/>
        </w:rPr>
        <w:t>cultural literacy</w:t>
      </w:r>
      <w:r w:rsidRPr="00D80993">
        <w:rPr>
          <w:rFonts w:ascii="Arial" w:hAnsi="Arial" w:cs="Arial"/>
        </w:rPr>
        <w:t xml:space="preserve">, highlighting the pedagogical focus. The red cluster links </w:t>
      </w:r>
      <w:r w:rsidRPr="00D80993">
        <w:rPr>
          <w:rFonts w:ascii="Arial" w:hAnsi="Arial" w:cs="Arial"/>
          <w:i/>
          <w:iCs/>
        </w:rPr>
        <w:t>learning models</w:t>
      </w:r>
      <w:r w:rsidRPr="00D80993">
        <w:rPr>
          <w:rFonts w:ascii="Arial" w:hAnsi="Arial" w:cs="Arial"/>
        </w:rPr>
        <w:t xml:space="preserve"> with </w:t>
      </w:r>
      <w:r w:rsidRPr="00D80993">
        <w:rPr>
          <w:rFonts w:ascii="Arial" w:hAnsi="Arial" w:cs="Arial"/>
          <w:i/>
          <w:iCs/>
        </w:rPr>
        <w:t>environmental technology</w:t>
      </w:r>
      <w:r w:rsidRPr="00D80993">
        <w:rPr>
          <w:rFonts w:ascii="Arial" w:hAnsi="Arial" w:cs="Arial"/>
        </w:rPr>
        <w:t xml:space="preserve"> and </w:t>
      </w:r>
      <w:r w:rsidRPr="00D80993">
        <w:rPr>
          <w:rFonts w:ascii="Arial" w:hAnsi="Arial" w:cs="Arial"/>
          <w:i/>
          <w:iCs/>
        </w:rPr>
        <w:t>digital platforms</w:t>
      </w:r>
      <w:r w:rsidRPr="00D80993">
        <w:rPr>
          <w:rFonts w:ascii="Arial" w:hAnsi="Arial" w:cs="Arial"/>
        </w:rPr>
        <w:t xml:space="preserve"> (e.g., </w:t>
      </w:r>
      <w:r w:rsidRPr="00D80993">
        <w:rPr>
          <w:rFonts w:ascii="Arial" w:hAnsi="Arial" w:cs="Arial"/>
          <w:i/>
          <w:iCs/>
        </w:rPr>
        <w:t>e-books</w:t>
      </w:r>
      <w:r w:rsidRPr="00D80993">
        <w:rPr>
          <w:rFonts w:ascii="Arial" w:hAnsi="Arial" w:cs="Arial"/>
        </w:rPr>
        <w:t xml:space="preserve">, </w:t>
      </w:r>
      <w:r w:rsidRPr="00D80993">
        <w:rPr>
          <w:rFonts w:ascii="Arial" w:hAnsi="Arial" w:cs="Arial"/>
          <w:i/>
          <w:iCs/>
        </w:rPr>
        <w:t>Google website</w:t>
      </w:r>
      <w:r w:rsidRPr="00D80993">
        <w:rPr>
          <w:rFonts w:ascii="Arial" w:hAnsi="Arial" w:cs="Arial"/>
        </w:rPr>
        <w:t xml:space="preserve">), while smaller clusters (purple and yellow) relate to </w:t>
      </w:r>
      <w:r w:rsidRPr="00D80993">
        <w:rPr>
          <w:rFonts w:ascii="Arial" w:hAnsi="Arial" w:cs="Arial"/>
          <w:i/>
          <w:iCs/>
        </w:rPr>
        <w:t>bibliometric</w:t>
      </w:r>
      <w:r w:rsidRPr="00D80993">
        <w:rPr>
          <w:rFonts w:ascii="Arial" w:hAnsi="Arial" w:cs="Arial"/>
        </w:rPr>
        <w:t xml:space="preserve"> and </w:t>
      </w:r>
      <w:r w:rsidRPr="00D80993">
        <w:rPr>
          <w:rFonts w:ascii="Arial" w:hAnsi="Arial" w:cs="Arial"/>
          <w:i/>
          <w:iCs/>
        </w:rPr>
        <w:t>global diversity</w:t>
      </w:r>
      <w:r w:rsidRPr="00D80993">
        <w:rPr>
          <w:rFonts w:ascii="Arial" w:hAnsi="Arial" w:cs="Arial"/>
        </w:rPr>
        <w:t xml:space="preserve"> themes.</w:t>
      </w:r>
    </w:p>
    <w:p w14:paraId="431B685D" w14:textId="77777777" w:rsidR="00D80993" w:rsidRPr="00D80993" w:rsidRDefault="00D80993" w:rsidP="00D80993">
      <w:pPr>
        <w:pStyle w:val="Body"/>
        <w:spacing w:before="120" w:after="120"/>
        <w:rPr>
          <w:rFonts w:ascii="Arial" w:hAnsi="Arial" w:cs="Arial"/>
        </w:rPr>
      </w:pPr>
      <w:r w:rsidRPr="00D80993">
        <w:rPr>
          <w:rFonts w:ascii="Arial" w:hAnsi="Arial" w:cs="Arial"/>
          <w:noProof/>
        </w:rPr>
        <w:lastRenderedPageBreak/>
        <w:drawing>
          <wp:inline distT="0" distB="0" distL="0" distR="0" wp14:anchorId="121D9336" wp14:editId="13A53518">
            <wp:extent cx="5212080" cy="3667125"/>
            <wp:effectExtent l="0" t="0" r="7620" b="9525"/>
            <wp:docPr id="15937787" name="Content Placeholder 4">
              <a:extLst xmlns:a="http://schemas.openxmlformats.org/drawingml/2006/main">
                <a:ext uri="{FF2B5EF4-FFF2-40B4-BE49-F238E27FC236}">
                  <a16:creationId xmlns:a16="http://schemas.microsoft.com/office/drawing/2014/main" id="{CD3BD5AC-9B6F-F46F-F3DF-48CA257D0F5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CD3BD5AC-9B6F-F46F-F3DF-48CA257D0F5F}"/>
                        </a:ext>
                      </a:extLst>
                    </pic:cNvPr>
                    <pic:cNvPicPr>
                      <a:picLocks noGrp="1"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2080" cy="3667125"/>
                    </a:xfrm>
                    <a:prstGeom prst="rect">
                      <a:avLst/>
                    </a:prstGeom>
                  </pic:spPr>
                </pic:pic>
              </a:graphicData>
            </a:graphic>
          </wp:inline>
        </w:drawing>
      </w:r>
    </w:p>
    <w:p w14:paraId="0D7F869D" w14:textId="77777777" w:rsidR="00D80993" w:rsidRPr="00D80993" w:rsidRDefault="00D80993" w:rsidP="00D80993">
      <w:pPr>
        <w:pStyle w:val="Body"/>
        <w:spacing w:before="120" w:after="120"/>
        <w:rPr>
          <w:rFonts w:ascii="Arial" w:hAnsi="Arial" w:cs="Arial"/>
          <w:b/>
          <w:bCs/>
        </w:rPr>
      </w:pPr>
      <w:r w:rsidRPr="00D80993">
        <w:rPr>
          <w:rFonts w:ascii="Arial" w:hAnsi="Arial" w:cs="Arial"/>
        </w:rPr>
        <w:br/>
      </w:r>
      <w:r w:rsidR="00576FD9" w:rsidRPr="00576FD9">
        <w:rPr>
          <w:rFonts w:ascii="Arial" w:hAnsi="Arial" w:cs="Arial"/>
          <w:b/>
          <w:bCs/>
        </w:rPr>
        <w:t xml:space="preserve">Fig. 5. </w:t>
      </w:r>
      <w:r w:rsidR="00576FD9" w:rsidRPr="00D80993">
        <w:rPr>
          <w:rFonts w:ascii="Arial" w:hAnsi="Arial" w:cs="Arial"/>
          <w:b/>
          <w:bCs/>
        </w:rPr>
        <w:t>Keyword Co-occurrence Analysis</w:t>
      </w:r>
    </w:p>
    <w:p w14:paraId="705BEBCE" w14:textId="77777777" w:rsidR="00D80993" w:rsidRPr="00D80993" w:rsidRDefault="00D80993" w:rsidP="00D80993">
      <w:pPr>
        <w:pStyle w:val="Body"/>
        <w:spacing w:before="120" w:after="120"/>
        <w:rPr>
          <w:rFonts w:ascii="Arial" w:hAnsi="Arial" w:cs="Arial"/>
        </w:rPr>
      </w:pPr>
      <w:r w:rsidRPr="00D80993">
        <w:rPr>
          <w:rFonts w:ascii="Arial" w:hAnsi="Arial" w:cs="Arial"/>
        </w:rPr>
        <w:br/>
        <w:t xml:space="preserve">The keyword map suggests that recent research emphasizes ethnoscience-based pedagogy, cultural and scientific literacy, and the integration of technology in teaching local wisdom. This indicates an ongoing evolution from descriptive documentation of indigenous practices toward transformative learning frameworks that employ digital tools and interdisciplinary strategies. The intersection between </w:t>
      </w:r>
      <w:r w:rsidRPr="00D80993">
        <w:rPr>
          <w:rFonts w:ascii="Arial" w:hAnsi="Arial" w:cs="Arial"/>
          <w:i/>
          <w:iCs/>
        </w:rPr>
        <w:t>ethnoscience</w:t>
      </w:r>
      <w:r w:rsidRPr="00D80993">
        <w:rPr>
          <w:rFonts w:ascii="Arial" w:hAnsi="Arial" w:cs="Arial"/>
        </w:rPr>
        <w:t xml:space="preserve">, </w:t>
      </w:r>
      <w:r w:rsidRPr="00D80993">
        <w:rPr>
          <w:rFonts w:ascii="Arial" w:hAnsi="Arial" w:cs="Arial"/>
          <w:i/>
          <w:iCs/>
        </w:rPr>
        <w:t>critical thinking</w:t>
      </w:r>
      <w:r w:rsidRPr="00D80993">
        <w:rPr>
          <w:rFonts w:ascii="Arial" w:hAnsi="Arial" w:cs="Arial"/>
        </w:rPr>
        <w:t xml:space="preserve">, and </w:t>
      </w:r>
      <w:r w:rsidRPr="00D80993">
        <w:rPr>
          <w:rFonts w:ascii="Arial" w:hAnsi="Arial" w:cs="Arial"/>
          <w:i/>
          <w:iCs/>
        </w:rPr>
        <w:t>STEM education</w:t>
      </w:r>
      <w:r w:rsidRPr="00D80993">
        <w:rPr>
          <w:rFonts w:ascii="Arial" w:hAnsi="Arial" w:cs="Arial"/>
        </w:rPr>
        <w:t xml:space="preserve"> reflects efforts to merge traditional ecological knowledge with modern scientific reasoning—a trend aligned with </w:t>
      </w:r>
      <w:r w:rsidRPr="00D80993">
        <w:rPr>
          <w:rFonts w:ascii="Arial" w:hAnsi="Arial" w:cs="Arial"/>
          <w:i/>
          <w:iCs/>
        </w:rPr>
        <w:t>UNESCO’s ESD 2030 framework</w:t>
      </w:r>
      <w:r w:rsidR="00571A9A">
        <w:rPr>
          <w:rFonts w:ascii="Arial" w:hAnsi="Arial" w:cs="Arial"/>
          <w:i/>
          <w:iCs/>
        </w:rPr>
        <w:t xml:space="preserve"> </w:t>
      </w:r>
      <w:r w:rsidR="00571A9A">
        <w:rPr>
          <w:rFonts w:ascii="Arial" w:hAnsi="Arial" w:cs="Arial"/>
          <w:i/>
          <w:iCs/>
        </w:rPr>
        <w:fldChar w:fldCharType="begin" w:fldLock="1"/>
      </w:r>
      <w:r w:rsidR="00571A9A">
        <w:rPr>
          <w:rFonts w:ascii="Arial" w:hAnsi="Arial" w:cs="Arial"/>
          <w:i/>
          <w:iCs/>
        </w:rPr>
        <w:instrText>ADDIN CSL_CITATION {"citationItems":[{"id":"ITEM-1","itemData":{"DOI":"10.3390/su11216104","ISSN":"20711050","abstract":"The UN 2030 agenda of Sustainable Development Goals (SDGs) envisions a future of inclusive equity, justice and prosperity within environmental limits, and places an important emphasis on education as stated in Goal 4. Education is acknowledged as a means for achieving the remaining Goals, with sustainability as a goal for education in target 4.7. However, the interconnectedness of the SDGs and the complexity of sustainability as a concept make it difficult to relate the SDGs to educational learning outcomes, with what Education for Sustainable Development (ESD) aims to achieve, left in ambiguity. Using systems thinking, we developed a framework that redefines ESD as a tool that can deliver the transformation required for society to reach a sustainable state. Using the SDGs as end points for this state, and through a participatory approach, education stakeholders and learners work together to construct a common vision of sustainability, identify the competences needed, and develop appropriate pedagogies and learning strategies. The framework allows for the development of evaluation tools that can support educational institutions to monitor and manage their progress in transforming societies towards sustainability.","author":[{"dropping-particle":"","family":"Kioupi","given":"Vasiliki","non-dropping-particle":"","parse-names":false,"suffix":""},{"dropping-particle":"","family":"Voulvoulis","given":"Nikolaos","non-dropping-particle":"","parse-names":false,"suffix":""}],"container-title":"Sustainability (Switzerland)","id":"ITEM-1","issue":"21","issued":{"date-parts":[["2019"]]},"page":"6104","title":"Education for sustainable development: A systemic framework for connecting the SDGs to educational outcomes","type":"article-journal","volume":"11"},"uris":["http://www.mendeley.com/documents/?uuid=2c6c5940-94d5-4322-a058-9f46b569ed7b"]}],"mendeley":{"formattedCitation":"(Kioupi &amp; Voulvoulis, 2019)","plainTextFormattedCitation":"(Kioupi &amp; Voulvoulis, 2019)","previouslyFormattedCitation":"(Kioupi &amp; Voulvoulis, 2019)"},"properties":{"noteIndex":0},"schema":"https://github.com/citation-style-language/schema/raw/master/csl-citation.json"}</w:instrText>
      </w:r>
      <w:r w:rsidR="00571A9A">
        <w:rPr>
          <w:rFonts w:ascii="Arial" w:hAnsi="Arial" w:cs="Arial"/>
          <w:i/>
          <w:iCs/>
        </w:rPr>
        <w:fldChar w:fldCharType="separate"/>
      </w:r>
      <w:r w:rsidR="00571A9A" w:rsidRPr="00571A9A">
        <w:rPr>
          <w:rFonts w:ascii="Arial" w:hAnsi="Arial" w:cs="Arial"/>
          <w:iCs/>
          <w:noProof/>
        </w:rPr>
        <w:t>(Kioupi &amp; Voulvoulis, 2019)</w:t>
      </w:r>
      <w:r w:rsidR="00571A9A">
        <w:rPr>
          <w:rFonts w:ascii="Arial" w:hAnsi="Arial" w:cs="Arial"/>
          <w:i/>
          <w:iCs/>
        </w:rPr>
        <w:fldChar w:fldCharType="end"/>
      </w:r>
      <w:r w:rsidRPr="00D80993">
        <w:rPr>
          <w:rFonts w:ascii="Arial" w:hAnsi="Arial" w:cs="Arial"/>
        </w:rPr>
        <w:t>.</w:t>
      </w:r>
    </w:p>
    <w:p w14:paraId="11723593" w14:textId="77777777" w:rsidR="00D80993" w:rsidRPr="00D80993" w:rsidRDefault="00D80993" w:rsidP="00D80993">
      <w:pPr>
        <w:pStyle w:val="Body"/>
        <w:spacing w:before="120" w:after="120"/>
        <w:rPr>
          <w:rFonts w:ascii="Arial" w:hAnsi="Arial" w:cs="Arial"/>
        </w:rPr>
      </w:pPr>
      <w:r w:rsidRPr="00D80993">
        <w:rPr>
          <w:rFonts w:ascii="Arial" w:hAnsi="Arial" w:cs="Arial"/>
        </w:rPr>
        <w:t xml:space="preserve">Moreover, the visualization reveals that Indonesian local concepts (e.g., </w:t>
      </w:r>
      <w:proofErr w:type="spellStart"/>
      <w:r w:rsidRPr="00D80993">
        <w:rPr>
          <w:rFonts w:ascii="Arial" w:hAnsi="Arial" w:cs="Arial"/>
          <w:i/>
          <w:iCs/>
        </w:rPr>
        <w:t>huluhula</w:t>
      </w:r>
      <w:proofErr w:type="spellEnd"/>
      <w:r w:rsidRPr="00D80993">
        <w:rPr>
          <w:rFonts w:ascii="Arial" w:hAnsi="Arial" w:cs="Arial"/>
        </w:rPr>
        <w:t xml:space="preserve">, </w:t>
      </w:r>
      <w:proofErr w:type="spellStart"/>
      <w:r w:rsidRPr="00D80993">
        <w:rPr>
          <w:rFonts w:ascii="Arial" w:hAnsi="Arial" w:cs="Arial"/>
          <w:i/>
          <w:iCs/>
        </w:rPr>
        <w:t>panggadakkang</w:t>
      </w:r>
      <w:proofErr w:type="spellEnd"/>
      <w:r w:rsidRPr="00D80993">
        <w:rPr>
          <w:rFonts w:ascii="Arial" w:hAnsi="Arial" w:cs="Arial"/>
          <w:i/>
          <w:iCs/>
        </w:rPr>
        <w:t xml:space="preserve"> </w:t>
      </w:r>
      <w:proofErr w:type="spellStart"/>
      <w:r w:rsidRPr="00D80993">
        <w:rPr>
          <w:rFonts w:ascii="Arial" w:hAnsi="Arial" w:cs="Arial"/>
          <w:i/>
          <w:iCs/>
        </w:rPr>
        <w:t>tuparrita</w:t>
      </w:r>
      <w:proofErr w:type="spellEnd"/>
      <w:r w:rsidRPr="00D80993">
        <w:rPr>
          <w:rFonts w:ascii="Arial" w:hAnsi="Arial" w:cs="Arial"/>
        </w:rPr>
        <w:t>) are being scientifically contextualized, illustrating how local epistemologies are entering mainstream science education discourse. Such blending of local and global paradigms reinforces the vision of culturally responsive and sustainable education.</w:t>
      </w:r>
    </w:p>
    <w:p w14:paraId="657E0611" w14:textId="77777777" w:rsidR="00D80993" w:rsidRDefault="00D80993" w:rsidP="00D80993">
      <w:pPr>
        <w:pStyle w:val="Body"/>
        <w:spacing w:before="120" w:after="120"/>
        <w:rPr>
          <w:rFonts w:ascii="Arial" w:hAnsi="Arial" w:cs="Arial"/>
        </w:rPr>
      </w:pPr>
      <w:r w:rsidRPr="00D80993">
        <w:rPr>
          <w:rFonts w:ascii="Arial" w:hAnsi="Arial" w:cs="Arial"/>
        </w:rPr>
        <w:t>Overall, the bibliometric patterns demonstrate that research on integrating local wisdom into science learning has expanded significantly over the past decade, driven primarily by Indonesian scholarship and interdisciplinary collaboration. The dominance of social science and education journals reflects the field’s pedagogical core, while the emergence of technology-related and environmental themes signals diversification and innovation in recent years</w:t>
      </w:r>
      <w:r w:rsidR="003E3100">
        <w:rPr>
          <w:rFonts w:ascii="Arial" w:hAnsi="Arial" w:cs="Arial"/>
        </w:rPr>
        <w:t xml:space="preserve"> </w:t>
      </w:r>
      <w:r w:rsidR="003E3100">
        <w:rPr>
          <w:rFonts w:ascii="Arial" w:hAnsi="Arial" w:cs="Arial"/>
        </w:rPr>
        <w:fldChar w:fldCharType="begin" w:fldLock="1"/>
      </w:r>
      <w:r w:rsidR="00571A9A">
        <w:rPr>
          <w:rFonts w:ascii="Arial" w:hAnsi="Arial" w:cs="Arial"/>
        </w:rPr>
        <w:instrText>ADDIN CSL_CITATION {"citationItems":[{"id":"ITEM-1","itemData":{"DOI":"https://doi.org/10.1016/j.eswa.2024.124167","ISSN":"0957-4174","abstract":"Artificial intelligence (AI) in education (AIED) has evolved into a substantial body of literature with diverse perspectives. In this review paper, we seek insights into three critical questions: (1) What are the primary categories of AI applications explored in the education field? (2) What are the predominant research topics and their key findings? (3) What is the status of major research design elements, including guiding theories, methodologies, and research contexts? A bibliometric analysis of 2,223 research articles followed by a content analysis of selected 125 papers reveals a comprehensive conceptual structure of the existing literature. The extant AIED research spans a wide spectrum of applications, encompassing those for adaptive learning and personalized tutoring, intelligent assessment and management, profiling and prediction, and emerging products. Research topics delve into both the technical design of education systems and the examination of the adoption, impacts, and challenges associated with AIED. Furthermore, this review highlights the diverse range of theories applied in the AIED literature, the multidisciplinary nature of publication venues, and underexplored research areas. In sum, this research offers valuable insights for interested scholars to comprehend the current state of AIED research and identify future research opportunities in this dynamic field.","author":[{"dropping-particle":"","family":"Wang","given":"Shan","non-dropping-particle":"","parse-names":false,"suffix":""},{"dropping-particle":"","family":"Wang","given":"Fang","non-dropping-particle":"","parse-names":false,"suffix":""},{"dropping-particle":"","family":"Zhu","given":"Zhen","non-dropping-particle":"","parse-names":false,"suffix":""},{"dropping-particle":"","family":"Wang","given":"Jingxuan","non-dropping-particle":"","parse-names":false,"suffix":""},{"dropping-particle":"","family":"Tran","given":"Tam","non-dropping-particle":"","parse-names":false,"suffix":""},{"dropping-particle":"","family":"Du","given":"Zhao","non-dropping-particle":"","parse-names":false,"suffix":""}],"container-title":"Expert Systems with Applications","id":"ITEM-1","issued":{"date-parts":[["2024"]]},"page":"124167","title":"Artificial intelligence in education: A systematic literature review","type":"article-journal","volume":"252"},"uris":["http://www.mendeley.com/documents/?uuid=f3b95206-9562-4841-a39c-96f174db1646"]},{"id":"ITEM-2","itemData":{"DOI":"10.1080/23311886.2024.2356916","ISSN":"null","author":[{"dropping-particle":"","family":"Alemayehu Tegegn","given":"Dagm","non-dropping-particle":"","parse-names":false,"suffix":""}],"container-title":"Cogent Social Sciences","id":"ITEM-2","issue":"1","issued":{"date-parts":[["2024","12","31"]]},"note":"doi: 10.1080/23311886.2024.2356916","page":"2356916","publisher":"Cogent OA","title":"The role of science and technology in reconstructing human social history: effect of technology change on society","type":"article-journal","volume":"10"},"uris":["http://www.mendeley.com/documents/?uuid=86a2a692-3e5b-487d-b018-a8fc08dec589"]},{"id":"ITEM-3","itemData":{"DOI":"10.1007/s44217-025-00650-z","ISSN":"2731-5525","abstract":"Virtual reality (VR) has emerged as a transformative technology in education, enabling immersive simulations that foster student engagement and improve knowledge retention. This study presents a bibliometric analysis of global trends, research patterns, and challenges related to the integration of VR in educational contexts. Data were collected from the Science Citation Index Expanded (SCIE), Social Sciences Citation Index (SSCI), and Emerging Sources Citation Index (ESCI) within the Web of Science Core Collection, including only articles also indexed in Scopus to ensure high-quality and comprehensive coverage. Of the 1220 articles published between 2010 and 2024, 97 met the inclusion criteria based on relevance, accessibility, and methodological rigor. We performed keyword analysis, citation analysis, and thematic mapping using RStudio and the Bibliometrix package. The findings indicate that the United States, China, and the United Kingdom are the most active contributors to VR research in education. VR has been applied across diverse learning modalities, enriching both formal and informal educational environments. However, its widespread adoption faces several barriers, including high implementation costs, health and safety concerns, limited curricular integration, and insufficient educator training. Proposed solutions include strategic partnerships with technology providers and the use of cloud-based infrastructures to reduce costs and complexity. This study offers actionable insights for educators, policymakers, and developers, providing a robust, data-driven foundation for the effective and equitable integration of VR in education.","author":[{"dropping-particle":"","family":"Samala","given":"Agariadne Dwinggo","non-dropping-particle":"","parse-names":false,"suffix":""},{"dropping-particle":"","family":"Rawas","given":"Soha","non-dropping-particle":"","parse-names":false,"suffix":""},{"dropping-particle":"","family":"Rahmadika","given":"Sandi","non-dropping-particle":"","parse-names":false,"suffix":""},{"dropping-particle":"","family":"Criollo-C","given":"Santiago","non-dropping-particle":"","parse-names":false,"suffix":""},{"dropping-particle":"","family":"Fikri","given":"Ryan","non-dropping-particle":"","parse-names":false,"suffix":""},{"dropping-particle":"","family":"Sandra","given":"Randi Proska","non-dropping-particle":"","parse-names":false,"suffix":""}],"container-title":"Discover Education","id":"ITEM-3","issue":"1","issued":{"date-parts":[["2025"]]},"page":"229","title":"Virtual reality in education: global trends, challenges, and impacts—game changer or passing trend?","type":"article-journal","volume":"4"},"uris":["http://www.mendeley.com/documents/?uuid=0852f243-1eed-4bf9-8173-db14fc6211bb"]},{"id":"ITEM-4","itemData":{"DOI":"https://doi.org/10.1016/j.igd.2024.100173","ISSN":"2949-7531","abstract":"In an era of climate change and increasing global environmental challenges, the importance of integrating sustainability principles into the latest industrial revolution, Industry 5.0, is becoming increasingly critical. This revolution marks a turning point from an industrial approach that focuses on efficiency and automation, to a paradigm that prioritizes collaboration between humans and machines, innovation, and harmonization with the environment. This research examines the dynamic intersection between Industry 5.0 and sustainability, emphasizing how this evolution aims to integrate human creativity and expertise with advanced technological capabilities. This report identifies emerging trends and challenges, with a focus on achieving a sustainable future through innovative practices that balance economic growth and environmental management. This article uses a literature review and multidisciplinary analysis to uncover the untapped potential of Industry 5.0 technologies in driving sustainability initiatives. It aims to enrich academic discourse with fresh insights into aligning these technologies with environmental and social goals, thereby offering practical implications for policy makers, industry leaders and sustainability practitioners.","author":[{"dropping-particle":"","family":"Rame","given":"Rame","non-dropping-particle":"","parse-names":false,"suffix":""},{"dropping-particle":"","family":"Purwanto","given":"Purwanto","non-dropping-particle":"","parse-names":false,"suffix":""},{"dropping-particle":"","family":"Sudarno","given":"Sudarno","non-dropping-particle":"","parse-names":false,"suffix":""}],"container-title":"Innovation and Green Development","id":"ITEM-4","issue":"4","issued":{"date-parts":[["2024"]]},"page":"100173","title":"Industry 5.0 and sustainability: An overview of emerging trends and challenges for a green future","type":"article-journal","volume":"3"},"uris":["http://www.mendeley.com/documents/?uuid=494defd1-d6de-4c4f-b214-4b84456cac90"]}],"mendeley":{"formattedCitation":"(Alemayehu Tegegn, 2024; Rame et al., 2024; Samala et al., 2025; Wang et al., 2024)","plainTextFormattedCitation":"(Alemayehu Tegegn, 2024; Rame et al., 2024; Samala et al., 2025; Wang et al., 2024)","previouslyFormattedCitation":"(Alemayehu Tegegn, 2024; Rame et al., 2024; Samala et al., 2025; Wang et al., 2024)"},"properties":{"noteIndex":0},"schema":"https://github.com/citation-style-language/schema/raw/master/csl-citation.json"}</w:instrText>
      </w:r>
      <w:r w:rsidR="003E3100">
        <w:rPr>
          <w:rFonts w:ascii="Arial" w:hAnsi="Arial" w:cs="Arial"/>
        </w:rPr>
        <w:fldChar w:fldCharType="separate"/>
      </w:r>
      <w:r w:rsidR="003E3100" w:rsidRPr="003E3100">
        <w:rPr>
          <w:rFonts w:ascii="Arial" w:hAnsi="Arial" w:cs="Arial"/>
          <w:noProof/>
        </w:rPr>
        <w:t>(Alemayehu Tegegn, 2024; Rame et al., 2024; Samala et al., 2025; Wang et al., 2024)</w:t>
      </w:r>
      <w:r w:rsidR="003E3100">
        <w:rPr>
          <w:rFonts w:ascii="Arial" w:hAnsi="Arial" w:cs="Arial"/>
        </w:rPr>
        <w:fldChar w:fldCharType="end"/>
      </w:r>
      <w:r w:rsidRPr="00D80993">
        <w:rPr>
          <w:rFonts w:ascii="Arial" w:hAnsi="Arial" w:cs="Arial"/>
        </w:rPr>
        <w:t>. The keyword mapping confirms a conceptual shift toward holistic, culturally grounded, and technology-enhanced science education—bridging local knowledge, sustainability, and scientific literacy.</w:t>
      </w:r>
    </w:p>
    <w:p w14:paraId="2EBBA6D3" w14:textId="77777777" w:rsidR="008B1B16" w:rsidRDefault="008B1B16" w:rsidP="00D80993">
      <w:pPr>
        <w:pStyle w:val="Body"/>
        <w:spacing w:before="120" w:after="120"/>
        <w:rPr>
          <w:rFonts w:ascii="Arial" w:hAnsi="Arial" w:cs="Arial"/>
        </w:rPr>
      </w:pPr>
    </w:p>
    <w:p w14:paraId="6FFBAEA9" w14:textId="77777777" w:rsidR="008B1B16" w:rsidRDefault="008B1B16" w:rsidP="00D80993">
      <w:pPr>
        <w:pStyle w:val="Body"/>
        <w:spacing w:before="120" w:after="120"/>
        <w:rPr>
          <w:rFonts w:ascii="Arial" w:hAnsi="Arial" w:cs="Arial"/>
        </w:rPr>
      </w:pPr>
    </w:p>
    <w:p w14:paraId="25688A93" w14:textId="77777777" w:rsidR="008B1B16" w:rsidRDefault="008B1B16" w:rsidP="00D80993">
      <w:pPr>
        <w:pStyle w:val="Body"/>
        <w:spacing w:before="120" w:after="120"/>
        <w:rPr>
          <w:rFonts w:ascii="Arial" w:hAnsi="Arial" w:cs="Arial"/>
          <w:b/>
          <w:bCs/>
        </w:rPr>
      </w:pPr>
      <w:r w:rsidRPr="00D80993">
        <w:rPr>
          <w:rFonts w:ascii="Arial" w:hAnsi="Arial" w:cs="Arial"/>
          <w:b/>
          <w:bCs/>
        </w:rPr>
        <w:lastRenderedPageBreak/>
        <w:t>3.1.</w:t>
      </w:r>
      <w:r>
        <w:rPr>
          <w:rFonts w:ascii="Arial" w:hAnsi="Arial" w:cs="Arial"/>
          <w:b/>
          <w:bCs/>
        </w:rPr>
        <w:t>5</w:t>
      </w:r>
      <w:r w:rsidRPr="00D80993">
        <w:rPr>
          <w:rFonts w:ascii="Arial" w:hAnsi="Arial" w:cs="Arial"/>
          <w:b/>
          <w:bCs/>
        </w:rPr>
        <w:t xml:space="preserve"> </w:t>
      </w:r>
      <w:r w:rsidRPr="008B1B16">
        <w:rPr>
          <w:rFonts w:ascii="Arial" w:hAnsi="Arial" w:cs="Arial"/>
          <w:b/>
          <w:bCs/>
        </w:rPr>
        <w:t xml:space="preserve">Distribution of Publications by Education Level </w:t>
      </w:r>
    </w:p>
    <w:p w14:paraId="3698E293" w14:textId="77777777" w:rsidR="008B1B16" w:rsidRPr="008B1B16" w:rsidRDefault="008B1B16" w:rsidP="008B1B16">
      <w:pPr>
        <w:pStyle w:val="Body"/>
        <w:spacing w:before="120" w:after="120"/>
        <w:rPr>
          <w:rFonts w:ascii="Arial" w:hAnsi="Arial" w:cs="Arial"/>
        </w:rPr>
      </w:pPr>
      <w:r w:rsidRPr="008B1B16">
        <w:rPr>
          <w:rFonts w:ascii="Arial" w:hAnsi="Arial" w:cs="Arial"/>
        </w:rPr>
        <w:t>The pie chart (Fig. 6) illustrates the proportional focus of thirteen research articles on different educational levels. The analysis reveals that Junior High School (31%) and Higher Education (31%) each contribute the largest share of publications, indicating a balanced emphasis on both secondary education and university-level research. These studies mainly explore ethnoscience integration, local wisdom, and digital learning innovation—reflecting a strong connection between classroom practice and teacher professional development.</w:t>
      </w:r>
    </w:p>
    <w:p w14:paraId="2238EB95" w14:textId="77777777" w:rsidR="008B1B16" w:rsidRDefault="008B1B16" w:rsidP="008B1B16">
      <w:pPr>
        <w:pStyle w:val="Body"/>
        <w:spacing w:before="120" w:after="120"/>
        <w:rPr>
          <w:rFonts w:ascii="Arial" w:hAnsi="Arial" w:cs="Arial"/>
          <w:b/>
          <w:bCs/>
        </w:rPr>
      </w:pPr>
      <w:r>
        <w:rPr>
          <w:noProof/>
        </w:rPr>
        <w:drawing>
          <wp:inline distT="0" distB="0" distL="0" distR="0" wp14:anchorId="43F28F38" wp14:editId="4B6D2558">
            <wp:extent cx="5212080" cy="3298825"/>
            <wp:effectExtent l="0" t="0" r="7620" b="0"/>
            <wp:docPr id="8802930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12080" cy="3298825"/>
                    </a:xfrm>
                    <a:prstGeom prst="rect">
                      <a:avLst/>
                    </a:prstGeom>
                    <a:noFill/>
                    <a:ln>
                      <a:noFill/>
                    </a:ln>
                  </pic:spPr>
                </pic:pic>
              </a:graphicData>
            </a:graphic>
          </wp:inline>
        </w:drawing>
      </w:r>
    </w:p>
    <w:p w14:paraId="7CB28639" w14:textId="77777777" w:rsidR="008B1B16" w:rsidRDefault="008B1B16" w:rsidP="008B1B16">
      <w:pPr>
        <w:pStyle w:val="Body"/>
        <w:spacing w:before="120" w:after="120"/>
        <w:rPr>
          <w:rFonts w:ascii="Arial" w:hAnsi="Arial" w:cs="Arial"/>
          <w:b/>
          <w:bCs/>
        </w:rPr>
      </w:pPr>
      <w:r w:rsidRPr="00576FD9">
        <w:rPr>
          <w:rFonts w:ascii="Arial" w:hAnsi="Arial" w:cs="Arial"/>
          <w:b/>
          <w:bCs/>
        </w:rPr>
        <w:t xml:space="preserve">Fig. </w:t>
      </w:r>
      <w:r>
        <w:rPr>
          <w:rFonts w:ascii="Arial" w:hAnsi="Arial" w:cs="Arial"/>
          <w:b/>
          <w:bCs/>
        </w:rPr>
        <w:t>6</w:t>
      </w:r>
      <w:r w:rsidRPr="00576FD9">
        <w:rPr>
          <w:rFonts w:ascii="Arial" w:hAnsi="Arial" w:cs="Arial"/>
          <w:b/>
          <w:bCs/>
        </w:rPr>
        <w:t xml:space="preserve">. </w:t>
      </w:r>
      <w:r w:rsidRPr="008B1B16">
        <w:rPr>
          <w:rFonts w:ascii="Arial" w:hAnsi="Arial" w:cs="Arial"/>
        </w:rPr>
        <w:t>Distribution of Publications by Education Level (2017–2025)</w:t>
      </w:r>
    </w:p>
    <w:p w14:paraId="67D42367" w14:textId="77777777" w:rsidR="008B1B16" w:rsidRPr="008B1B16" w:rsidRDefault="008B1B16" w:rsidP="008B1B16">
      <w:pPr>
        <w:pStyle w:val="Body"/>
        <w:spacing w:before="120" w:after="120"/>
        <w:rPr>
          <w:rFonts w:ascii="Arial" w:hAnsi="Arial" w:cs="Arial"/>
          <w:b/>
          <w:bCs/>
        </w:rPr>
      </w:pPr>
    </w:p>
    <w:p w14:paraId="505F196F" w14:textId="77777777" w:rsidR="008B1B16" w:rsidRPr="008B1B16" w:rsidRDefault="008B1B16" w:rsidP="008B1B16">
      <w:pPr>
        <w:pStyle w:val="Body"/>
        <w:spacing w:before="120" w:after="120"/>
        <w:rPr>
          <w:rFonts w:ascii="Arial" w:hAnsi="Arial" w:cs="Arial"/>
        </w:rPr>
      </w:pPr>
      <w:r w:rsidRPr="008B1B16">
        <w:rPr>
          <w:rFonts w:ascii="Arial" w:hAnsi="Arial" w:cs="Arial"/>
        </w:rPr>
        <w:t xml:space="preserve">Meanwhile, Elementary School (23%) research shows an increasing trend in recent years, particularly emphasizing </w:t>
      </w:r>
      <w:r w:rsidRPr="008B1B16">
        <w:rPr>
          <w:rFonts w:ascii="Arial" w:hAnsi="Arial" w:cs="Arial"/>
          <w:i/>
          <w:iCs/>
        </w:rPr>
        <w:t>character education, Pancasila Student Profile development,</w:t>
      </w:r>
      <w:r w:rsidRPr="008B1B16">
        <w:rPr>
          <w:rFonts w:ascii="Arial" w:hAnsi="Arial" w:cs="Arial"/>
        </w:rPr>
        <w:t xml:space="preserve"> and </w:t>
      </w:r>
      <w:r w:rsidRPr="008B1B16">
        <w:rPr>
          <w:rFonts w:ascii="Arial" w:hAnsi="Arial" w:cs="Arial"/>
          <w:i/>
          <w:iCs/>
        </w:rPr>
        <w:t>environmentally oriented science learning.</w:t>
      </w:r>
      <w:r w:rsidRPr="008B1B16">
        <w:rPr>
          <w:rFonts w:ascii="Arial" w:hAnsi="Arial" w:cs="Arial"/>
        </w:rPr>
        <w:t xml:space="preserve"> The Elementary Teacher Education (PGSD) category (7%) contributes through module and e-learning development aimed at strengthening pedagogical competence for pre-service teachers. The General / Cross-level (8%) category, represented by bibliometric and comparative studies, provides an overarching framework that connects research findings across all levels.</w:t>
      </w:r>
    </w:p>
    <w:p w14:paraId="6B5F8A31" w14:textId="77777777" w:rsidR="00571A9A" w:rsidRPr="00D80993" w:rsidRDefault="008B1B16" w:rsidP="00D80993">
      <w:pPr>
        <w:pStyle w:val="Body"/>
        <w:spacing w:before="120" w:after="120"/>
        <w:rPr>
          <w:rFonts w:ascii="Arial" w:hAnsi="Arial" w:cs="Arial"/>
        </w:rPr>
      </w:pPr>
      <w:r w:rsidRPr="008B1B16">
        <w:rPr>
          <w:rFonts w:ascii="Arial" w:hAnsi="Arial" w:cs="Arial"/>
        </w:rPr>
        <w:t>Overall, the pie chart underscores a continuum of research focus extending from basic to higher education. It highlights that local wisdom–based science learning has evolved into a systemic educational model, bridging foundational science learning in schools with teacher education and higher academic inquiry, aligning well with SDG 4 (Quality Education) and the Education for Sustainable Development (ESD) framework.</w:t>
      </w:r>
    </w:p>
    <w:p w14:paraId="4B4575F5" w14:textId="77777777" w:rsidR="002519B3" w:rsidRPr="002519B3" w:rsidRDefault="00091805" w:rsidP="00091805">
      <w:pPr>
        <w:pStyle w:val="Body"/>
        <w:rPr>
          <w:rFonts w:ascii="Arial" w:hAnsi="Arial" w:cs="Arial"/>
          <w:b/>
          <w:bCs/>
          <w:sz w:val="22"/>
          <w:szCs w:val="22"/>
        </w:rPr>
      </w:pPr>
      <w:r w:rsidRPr="00091805">
        <w:rPr>
          <w:rFonts w:ascii="Arial" w:hAnsi="Arial" w:cs="Arial"/>
          <w:b/>
          <w:bCs/>
          <w:sz w:val="22"/>
          <w:szCs w:val="22"/>
        </w:rPr>
        <w:t>3.</w:t>
      </w:r>
      <w:r w:rsidR="002519B3" w:rsidRPr="002519B3">
        <w:rPr>
          <w:rFonts w:ascii="Arial" w:hAnsi="Arial" w:cs="Arial"/>
          <w:b/>
          <w:bCs/>
          <w:sz w:val="22"/>
          <w:szCs w:val="22"/>
        </w:rPr>
        <w:t>2 Dominant Pedagogical Frameworks in Local Wisdom–Based Science Learning</w:t>
      </w:r>
    </w:p>
    <w:p w14:paraId="42CB1118" w14:textId="77777777" w:rsidR="002519B3" w:rsidRPr="002519B3" w:rsidRDefault="002519B3" w:rsidP="00091805">
      <w:pPr>
        <w:pStyle w:val="Body"/>
        <w:spacing w:before="120" w:after="120"/>
        <w:rPr>
          <w:rFonts w:ascii="Arial" w:hAnsi="Arial" w:cs="Arial"/>
        </w:rPr>
      </w:pPr>
      <w:r w:rsidRPr="002519B3">
        <w:rPr>
          <w:rFonts w:ascii="Arial" w:hAnsi="Arial" w:cs="Arial"/>
        </w:rPr>
        <w:t>The synthesis of 17 reviewed Scopus-indexed articles reveals five dominant pedagogical frameworks recurring across contexts, with ethnoscience serving as an overarching approach that integrates scientific reasoning, cultural values, and socio-ecological realities.</w:t>
      </w:r>
    </w:p>
    <w:p w14:paraId="035B9E70" w14:textId="77777777" w:rsidR="002519B3" w:rsidRPr="002519B3" w:rsidRDefault="002519B3" w:rsidP="00091805">
      <w:pPr>
        <w:pStyle w:val="Body"/>
        <w:spacing w:before="120" w:after="120"/>
        <w:rPr>
          <w:rFonts w:ascii="Arial" w:hAnsi="Arial" w:cs="Arial"/>
        </w:rPr>
      </w:pPr>
    </w:p>
    <w:p w14:paraId="6CD9E48F" w14:textId="77777777" w:rsidR="002519B3" w:rsidRPr="002519B3" w:rsidRDefault="00091805" w:rsidP="00091805">
      <w:pPr>
        <w:pStyle w:val="Body"/>
        <w:spacing w:before="120" w:after="120"/>
        <w:rPr>
          <w:rFonts w:ascii="Arial" w:hAnsi="Arial" w:cs="Arial"/>
          <w:b/>
          <w:bCs/>
        </w:rPr>
      </w:pPr>
      <w:r>
        <w:rPr>
          <w:rFonts w:ascii="Arial" w:hAnsi="Arial" w:cs="Arial"/>
          <w:b/>
          <w:bCs/>
        </w:rPr>
        <w:t>3.2.1</w:t>
      </w:r>
      <w:r w:rsidR="002519B3" w:rsidRPr="002519B3">
        <w:rPr>
          <w:rFonts w:ascii="Arial" w:hAnsi="Arial" w:cs="Arial"/>
          <w:b/>
          <w:bCs/>
        </w:rPr>
        <w:t xml:space="preserve"> Ethnoscience and Inquiry/Discovery Learning</w:t>
      </w:r>
    </w:p>
    <w:p w14:paraId="7E2232CA" w14:textId="77777777" w:rsidR="002519B3" w:rsidRPr="002519B3" w:rsidRDefault="002519B3" w:rsidP="00091805">
      <w:pPr>
        <w:pStyle w:val="Body"/>
        <w:spacing w:before="120" w:after="120"/>
        <w:rPr>
          <w:rFonts w:ascii="Arial" w:hAnsi="Arial" w:cs="Arial"/>
        </w:rPr>
      </w:pPr>
      <w:r w:rsidRPr="002519B3">
        <w:rPr>
          <w:rFonts w:ascii="Arial" w:hAnsi="Arial" w:cs="Arial"/>
        </w:rPr>
        <w:t xml:space="preserve">Early work by </w:t>
      </w:r>
      <w:r w:rsidR="00571A9A">
        <w:rPr>
          <w:rFonts w:ascii="Arial" w:hAnsi="Arial" w:cs="Arial"/>
        </w:rPr>
        <w:fldChar w:fldCharType="begin" w:fldLock="1"/>
      </w:r>
      <w:r w:rsidR="00571A9A">
        <w:rPr>
          <w:rFonts w:ascii="Arial" w:hAnsi="Arial" w:cs="Arial"/>
        </w:rPr>
        <w:instrText>ADDIN CSL_CITATION {"citationItems":[{"id":"ITEM-1","itemData":{"DOI":"10.15294/jpii.v6i1.7205","ISSN":"23391286 (ISSN); 20894392 (ISSN)","abstract":"This research was conducted to: (1) improve the science domain based learning media which is integrated with appropriate local potention for Science learning material “Object Change Around Us” for students grade VII of Junior High School, (2) know the effectiveness of science based learning media which is integrated with developed local potention to improve science process skill and scientific attitude of students grade VII of Junior High School. This research was a research and development which adapt 4D Thiagarajan model which include four steps, they were: (1) define, (2) design, (3) develop, and (4) disseminate and Borg &amp; Gall development model which was done into 7 steps, they were: (1) research and information collecting, (2) planning, (3) developing preliminarry form of product, (4) preliminary field testing, (5) main product revision, (6) main field testing, and (7) operational product revision. The research result showed thet the science domain based learning media which was integrated with developed local potention were: (1) appropriate to be used for science learning material “Ob-ject Change around us” for students grade VII of JHS, (2) effective to improve science process skill and scientific attitude of students grade VII of JHS. © 2017 Elsevier B.V., All rights reserved.","author":[{"dropping-particle":"","family":"Dwianto","given":"A","non-dropping-particle":"","parse-names":false,"suffix":""},{"dropping-particle":"","family":"Wilujeng","given":"I","non-dropping-particle":"","parse-names":false,"suffix":""},{"dropping-particle":"","family":"Prasetyo","given":"Z K","non-dropping-particle":"","parse-names":false,"suffix":""},{"dropping-particle":"","family":"Suryadarma","given":"I G P","non-dropping-particle":"","parse-names":false,"suffix":""}],"container-title":"Jurnal Pendidikan IPA Indonesia","id":"ITEM-1","issue":"1","issued":{"date-parts":[["2017"]]},"language":"English","note":"Export Date: 22 October 2025; Cited By: 53","page":"23-31","publisher":"Universitas Negeri Semarang","publisher-place":"Universitas Negeri Yogyakarta, Yogyakarta, Indonesia","title":"The development of science domain based learning tool which is integrated with local wisdom to improve science process skill and scientific attitude","type":"article-journal","volume":"6"},"uris":["http://www.mendeley.com/documents/?uuid=e6cf7efe-4b84-4ea5-84e0-d5e5e05177e0"]}],"mendeley":{"formattedCitation":"(Dwianto et al., 2017)","manualFormatting":"Dwianto et al. (2017)","plainTextFormattedCitation":"(Dwianto et al., 2017)","previouslyFormattedCitation":"(Dwianto et al., 2017)"},"properties":{"noteIndex":0},"schema":"https://github.com/citation-style-language/schema/raw/master/csl-citation.json"}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Dwianto et al.</w:t>
      </w:r>
      <w:r w:rsidR="00571A9A">
        <w:rPr>
          <w:rFonts w:ascii="Arial" w:hAnsi="Arial" w:cs="Arial"/>
          <w:noProof/>
        </w:rPr>
        <w:t xml:space="preserve"> (</w:t>
      </w:r>
      <w:r w:rsidR="00571A9A" w:rsidRPr="00571A9A">
        <w:rPr>
          <w:rFonts w:ascii="Arial" w:hAnsi="Arial" w:cs="Arial"/>
          <w:noProof/>
        </w:rPr>
        <w:t>2017)</w:t>
      </w:r>
      <w:r w:rsidR="00571A9A">
        <w:rPr>
          <w:rFonts w:ascii="Arial" w:hAnsi="Arial" w:cs="Arial"/>
        </w:rPr>
        <w:fldChar w:fldCharType="end"/>
      </w:r>
      <w:r w:rsidR="00571A9A">
        <w:rPr>
          <w:rFonts w:ascii="Arial" w:hAnsi="Arial" w:cs="Arial"/>
        </w:rPr>
        <w:t xml:space="preserve"> </w:t>
      </w:r>
      <w:r w:rsidRPr="002519B3">
        <w:rPr>
          <w:rFonts w:ascii="Arial" w:hAnsi="Arial" w:cs="Arial"/>
        </w:rPr>
        <w:t xml:space="preserve">positioned </w:t>
      </w:r>
      <w:r w:rsidRPr="002519B3">
        <w:rPr>
          <w:rFonts w:ascii="Arial" w:hAnsi="Arial" w:cs="Arial"/>
          <w:i/>
          <w:iCs/>
        </w:rPr>
        <w:t>ethnoscience</w:t>
      </w:r>
      <w:r w:rsidRPr="002519B3">
        <w:rPr>
          <w:rFonts w:ascii="Arial" w:hAnsi="Arial" w:cs="Arial"/>
        </w:rPr>
        <w:t xml:space="preserve"> as a strategy grounded in scientific process skills and attitudes among junior high school students through a hybrid 4D Thiagarajan and Borg &amp; Gall development model. The framework emphasized five domains of science learning—knowledge, process, creativity, attitude, and application—and demonstrated effectiveness in enhancing students’ </w:t>
      </w:r>
      <w:r w:rsidRPr="002519B3">
        <w:rPr>
          <w:rFonts w:ascii="Arial" w:hAnsi="Arial" w:cs="Arial"/>
          <w:i/>
          <w:iCs/>
        </w:rPr>
        <w:t>science process skills</w:t>
      </w:r>
      <w:r w:rsidRPr="002519B3">
        <w:rPr>
          <w:rFonts w:ascii="Arial" w:hAnsi="Arial" w:cs="Arial"/>
        </w:rPr>
        <w:t xml:space="preserve"> and </w:t>
      </w:r>
      <w:r w:rsidRPr="002519B3">
        <w:rPr>
          <w:rFonts w:ascii="Arial" w:hAnsi="Arial" w:cs="Arial"/>
          <w:i/>
          <w:iCs/>
        </w:rPr>
        <w:t>scientific attitudes</w:t>
      </w:r>
      <w:r w:rsidRPr="002519B3">
        <w:rPr>
          <w:rFonts w:ascii="Arial" w:hAnsi="Arial" w:cs="Arial"/>
        </w:rPr>
        <w:t xml:space="preserve"> through culturally contextualized materials</w:t>
      </w:r>
      <w:r w:rsidR="00571A9A">
        <w:rPr>
          <w:rFonts w:ascii="Arial" w:hAnsi="Arial" w:cs="Arial"/>
        </w:rPr>
        <w:t>.</w:t>
      </w:r>
    </w:p>
    <w:p w14:paraId="01035E81" w14:textId="77777777" w:rsidR="00091805" w:rsidRPr="002519B3" w:rsidRDefault="002519B3" w:rsidP="00091805">
      <w:pPr>
        <w:pStyle w:val="Body"/>
        <w:spacing w:before="120" w:after="120"/>
        <w:rPr>
          <w:rFonts w:ascii="Arial" w:hAnsi="Arial" w:cs="Arial"/>
        </w:rPr>
      </w:pPr>
      <w:r w:rsidRPr="002519B3">
        <w:rPr>
          <w:rFonts w:ascii="Arial" w:hAnsi="Arial" w:cs="Arial"/>
        </w:rPr>
        <w:t xml:space="preserve">This finding is reinforced by </w:t>
      </w:r>
      <w:r w:rsidR="00571A9A">
        <w:rPr>
          <w:rFonts w:ascii="Arial" w:hAnsi="Arial" w:cs="Arial"/>
        </w:rPr>
        <w:fldChar w:fldCharType="begin" w:fldLock="1"/>
      </w:r>
      <w:r w:rsidR="00571A9A">
        <w:rPr>
          <w:rFonts w:ascii="Arial" w:hAnsi="Arial" w:cs="Arial"/>
        </w:rPr>
        <w:instrText>ADDIN CSL_CITATION {"citationItems":[{"id":"ITEM-1","itemData":{"DOI":"10.22521/edupij.2025.15.96","ISSN":"21470901 (ISSN); 25648020 (ISSN)","abstract":"Background/purpose. One of the skills that students had to master in science learning was science process skills. However, there has not been much research examining these skills in elementary schools, especially those related to practicum guides integrated with local wisdom. Therefore, this study aimed to analyze the effectiveness of a science practicum guide for elementary schools integrated with Catur Pramana to improve students’ science process skills. This guide was developed based on the surrounding environment and the concept of local wisdom in Bali, Indonesia. Materials/methods. This study used a quasi-experimental approach with a one-group pre-test and post-test design involving 94 students as samples. Data were collected through practicum observation sheets and analyzed using gain scores to assess the improvement of students’ science process skills. Results. The analysis's results showed that the practicum guide was effective in improving science process skills, which were included in the moderate category. Furthermore, each indicator of science process skills showed an increase, with each gain score also included in the moderate category. Among the six indicators measured, the prediction indicator had the lowest score compared to the other indicators. Conclusion. The elementary school science practicum guide integrated with Catur Pramana proved effective in improving students’ science process skills. Therefore, this guide was seen as an effective solution to help students develop science process skills in elementary schools. This study also recommended the use of similar guides at higher school levels. © 2025 Elsevier B.V., All rights reserved.","author":[{"dropping-particle":"","family":"Darmayanti","given":"N W S","non-dropping-particle":"","parse-names":false,"suffix":""},{"dropping-particle":"","family":"Alsulami","given":"N M","non-dropping-particle":"","parse-names":false,"suffix":""},{"dropping-particle":"","family":"Pradnyana","given":"P B","non-dropping-particle":"","parse-names":false,"suffix":""},{"dropping-particle":"","family":"Fitriyana","given":"N I","non-dropping-particle":"","parse-names":false,"suffix":""},{"dropping-particle":"","family":"Sueca","given":"I N","non-dropping-particle":"","parse-names":false,"suffix":""},{"dropping-particle":"","family":"Isnawan","given":"M G","non-dropping-particle":"","parse-names":false,"suffix":""}],"container-title":"Educational Process: International Journal","id":"ITEM-1","issued":{"date-parts":[["2025"]]},"language":"English","note":"Export Date: 22 October 2025; Cited By: 0","publisher":"Universitepark","publisher-place":"Markandeya Bali Institute of Technology and Education, The Faculty of Teacher Training and Education, Bali, Indonesia","title":"The Effectiveness of the Environment-Oriented Practicum Guide Integrated with Catur Pramana in Developing Students’ Science Process Skills","type":"article-journal","volume":"15"},"uris":["http://www.mendeley.com/documents/?uuid=93db02d3-ec98-4e88-b93d-66519565d5b4"]}],"mendeley":{"formattedCitation":"(Darmayanti et al., 2025)","manualFormatting":"Darmayanti et al. (2025)","plainTextFormattedCitation":"(Darmayanti et al., 2025)","previouslyFormattedCitation":"(Darmayanti et al., 2025)"},"properties":{"noteIndex":0},"schema":"https://github.com/citation-style-language/schema/raw/master/csl-citation.json"}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Darmayanti et al.</w:t>
      </w:r>
      <w:r w:rsidR="00571A9A">
        <w:rPr>
          <w:rFonts w:ascii="Arial" w:hAnsi="Arial" w:cs="Arial"/>
          <w:noProof/>
        </w:rPr>
        <w:t xml:space="preserve"> (</w:t>
      </w:r>
      <w:r w:rsidR="00571A9A" w:rsidRPr="00571A9A">
        <w:rPr>
          <w:rFonts w:ascii="Arial" w:hAnsi="Arial" w:cs="Arial"/>
          <w:noProof/>
        </w:rPr>
        <w:t>2025)</w:t>
      </w:r>
      <w:r w:rsidR="00571A9A">
        <w:rPr>
          <w:rFonts w:ascii="Arial" w:hAnsi="Arial" w:cs="Arial"/>
        </w:rPr>
        <w:fldChar w:fldCharType="end"/>
      </w:r>
      <w:r w:rsidR="00571A9A">
        <w:rPr>
          <w:rFonts w:ascii="Arial" w:hAnsi="Arial" w:cs="Arial"/>
        </w:rPr>
        <w:t xml:space="preserve">, </w:t>
      </w:r>
      <w:r w:rsidRPr="002519B3">
        <w:rPr>
          <w:rFonts w:ascii="Arial" w:hAnsi="Arial" w:cs="Arial"/>
        </w:rPr>
        <w:t xml:space="preserve">who developed an environment-oriented practicum guide based on the Balinese philosophical construct </w:t>
      </w:r>
      <w:proofErr w:type="spellStart"/>
      <w:r w:rsidRPr="002519B3">
        <w:rPr>
          <w:rFonts w:ascii="Arial" w:hAnsi="Arial" w:cs="Arial"/>
          <w:i/>
          <w:iCs/>
        </w:rPr>
        <w:t>Catur</w:t>
      </w:r>
      <w:proofErr w:type="spellEnd"/>
      <w:r w:rsidRPr="002519B3">
        <w:rPr>
          <w:rFonts w:ascii="Arial" w:hAnsi="Arial" w:cs="Arial"/>
          <w:i/>
          <w:iCs/>
        </w:rPr>
        <w:t xml:space="preserve"> </w:t>
      </w:r>
      <w:proofErr w:type="spellStart"/>
      <w:r w:rsidRPr="002519B3">
        <w:rPr>
          <w:rFonts w:ascii="Arial" w:hAnsi="Arial" w:cs="Arial"/>
          <w:i/>
          <w:iCs/>
        </w:rPr>
        <w:t>Pramana</w:t>
      </w:r>
      <w:proofErr w:type="spellEnd"/>
      <w:r w:rsidRPr="002519B3">
        <w:rPr>
          <w:rFonts w:ascii="Arial" w:hAnsi="Arial" w:cs="Arial"/>
        </w:rPr>
        <w:t xml:space="preserve">—comprising </w:t>
      </w:r>
      <w:proofErr w:type="spellStart"/>
      <w:r w:rsidRPr="002519B3">
        <w:rPr>
          <w:rFonts w:ascii="Arial" w:hAnsi="Arial" w:cs="Arial"/>
          <w:i/>
          <w:iCs/>
        </w:rPr>
        <w:t>pratyaksa</w:t>
      </w:r>
      <w:proofErr w:type="spellEnd"/>
      <w:r w:rsidRPr="002519B3">
        <w:rPr>
          <w:rFonts w:ascii="Arial" w:hAnsi="Arial" w:cs="Arial"/>
        </w:rPr>
        <w:t xml:space="preserve"> (direct perception), </w:t>
      </w:r>
      <w:proofErr w:type="spellStart"/>
      <w:r w:rsidRPr="002519B3">
        <w:rPr>
          <w:rFonts w:ascii="Arial" w:hAnsi="Arial" w:cs="Arial"/>
          <w:i/>
          <w:iCs/>
        </w:rPr>
        <w:t>anumana</w:t>
      </w:r>
      <w:proofErr w:type="spellEnd"/>
      <w:r w:rsidRPr="002519B3">
        <w:rPr>
          <w:rFonts w:ascii="Arial" w:hAnsi="Arial" w:cs="Arial"/>
        </w:rPr>
        <w:t xml:space="preserve"> (inference), </w:t>
      </w:r>
      <w:proofErr w:type="spellStart"/>
      <w:r w:rsidRPr="002519B3">
        <w:rPr>
          <w:rFonts w:ascii="Arial" w:hAnsi="Arial" w:cs="Arial"/>
          <w:i/>
          <w:iCs/>
        </w:rPr>
        <w:t>upamana</w:t>
      </w:r>
      <w:proofErr w:type="spellEnd"/>
      <w:r w:rsidRPr="002519B3">
        <w:rPr>
          <w:rFonts w:ascii="Arial" w:hAnsi="Arial" w:cs="Arial"/>
        </w:rPr>
        <w:t xml:space="preserve"> (comparison), and </w:t>
      </w:r>
      <w:proofErr w:type="spellStart"/>
      <w:r w:rsidRPr="002519B3">
        <w:rPr>
          <w:rFonts w:ascii="Arial" w:hAnsi="Arial" w:cs="Arial"/>
          <w:i/>
          <w:iCs/>
        </w:rPr>
        <w:t>sabda</w:t>
      </w:r>
      <w:proofErr w:type="spellEnd"/>
      <w:r w:rsidRPr="002519B3">
        <w:rPr>
          <w:rFonts w:ascii="Arial" w:hAnsi="Arial" w:cs="Arial"/>
        </w:rPr>
        <w:t xml:space="preserve"> (authoritative testimony). Using a one-group quasi-experimental design, the study reported significant improvement across six indicators of </w:t>
      </w:r>
      <w:r w:rsidRPr="002519B3">
        <w:rPr>
          <w:rFonts w:ascii="Arial" w:hAnsi="Arial" w:cs="Arial"/>
          <w:i/>
          <w:iCs/>
        </w:rPr>
        <w:t>science process skills</w:t>
      </w:r>
      <w:r w:rsidRPr="002519B3">
        <w:rPr>
          <w:rFonts w:ascii="Arial" w:hAnsi="Arial" w:cs="Arial"/>
        </w:rPr>
        <w:t xml:space="preserve"> (moderate category), confirming </w:t>
      </w:r>
      <w:r w:rsidRPr="002519B3">
        <w:rPr>
          <w:rFonts w:ascii="Arial" w:hAnsi="Arial" w:cs="Arial"/>
          <w:i/>
          <w:iCs/>
        </w:rPr>
        <w:t>inquiry–hands-on learning</w:t>
      </w:r>
      <w:r w:rsidRPr="002519B3">
        <w:rPr>
          <w:rFonts w:ascii="Arial" w:hAnsi="Arial" w:cs="Arial"/>
        </w:rPr>
        <w:t xml:space="preserve"> rooted in local wisdom as a dominant pedagogical framework</w:t>
      </w:r>
      <w:r w:rsidR="00571A9A">
        <w:rPr>
          <w:rFonts w:ascii="Arial" w:hAnsi="Arial" w:cs="Arial"/>
        </w:rPr>
        <w:t>.</w:t>
      </w:r>
    </w:p>
    <w:p w14:paraId="794D3CB9" w14:textId="77777777" w:rsidR="002519B3" w:rsidRPr="002519B3" w:rsidRDefault="00091805" w:rsidP="00091805">
      <w:pPr>
        <w:pStyle w:val="Body"/>
        <w:spacing w:before="120" w:after="120"/>
        <w:rPr>
          <w:rFonts w:ascii="Arial" w:hAnsi="Arial" w:cs="Arial"/>
          <w:b/>
          <w:bCs/>
        </w:rPr>
      </w:pPr>
      <w:r>
        <w:rPr>
          <w:rFonts w:ascii="Arial" w:hAnsi="Arial" w:cs="Arial"/>
          <w:b/>
          <w:bCs/>
        </w:rPr>
        <w:t>3.2.2</w:t>
      </w:r>
      <w:r w:rsidR="002519B3" w:rsidRPr="002519B3">
        <w:rPr>
          <w:rFonts w:ascii="Arial" w:hAnsi="Arial" w:cs="Arial"/>
          <w:b/>
          <w:bCs/>
        </w:rPr>
        <w:t xml:space="preserve"> Ethnoscience and STEM/STEAM Integration</w:t>
      </w:r>
    </w:p>
    <w:p w14:paraId="231F7873" w14:textId="77777777" w:rsidR="00091805" w:rsidRPr="002519B3" w:rsidRDefault="002519B3" w:rsidP="00091805">
      <w:pPr>
        <w:pStyle w:val="Body"/>
        <w:spacing w:before="120" w:after="120"/>
        <w:rPr>
          <w:rFonts w:ascii="Arial" w:hAnsi="Arial" w:cs="Arial"/>
        </w:rPr>
      </w:pPr>
      <w:r w:rsidRPr="002519B3">
        <w:rPr>
          <w:rFonts w:ascii="Arial" w:hAnsi="Arial" w:cs="Arial"/>
        </w:rPr>
        <w:t xml:space="preserve">A second major trend involves the hybridization of </w:t>
      </w:r>
      <w:r w:rsidRPr="002519B3">
        <w:rPr>
          <w:rFonts w:ascii="Arial" w:hAnsi="Arial" w:cs="Arial"/>
          <w:i/>
          <w:iCs/>
        </w:rPr>
        <w:t>ethnoscience</w:t>
      </w:r>
      <w:r w:rsidRPr="002519B3">
        <w:rPr>
          <w:rFonts w:ascii="Arial" w:hAnsi="Arial" w:cs="Arial"/>
        </w:rPr>
        <w:t xml:space="preserve"> with STEM/STEAM education to foster interdisciplinary learning and inclusivity. </w:t>
      </w:r>
      <w:r w:rsidR="00571A9A">
        <w:rPr>
          <w:rFonts w:ascii="Arial" w:hAnsi="Arial" w:cs="Arial"/>
        </w:rPr>
        <w:fldChar w:fldCharType="begin" w:fldLock="1"/>
      </w:r>
      <w:r w:rsidR="004D1FB7">
        <w:rPr>
          <w:rFonts w:ascii="Arial" w:hAnsi="Arial" w:cs="Arial"/>
        </w:rPr>
        <w:instrText>ADDIN CSL_CITATION {"citationItems":[{"id":"ITEM-1","itemData":{"DOI":"10.15294/jpii.v14i2.24087","ISSN":"23391286 (ISSN); 20894392 (ISSN)","abstract":"Science learning in public schools should be designed to accommodate both regular students and students with special education needs. This is also one of the implementations of SDG 4, Sustainable Development, specifically related to quality education and inclusive education. This study aims to measure the effectiveness of cooperative learning integrated with local wisdom values of Huyula in improving science concept mastery among regular students and students with special education needs in public schools. The study employs a pre-experimental design with a one-group, pretest-posttest approach. The study was conducted in five schools involving 323 regular students and 12 students with special education needs. The research results on the effectiveness of cooperative learning integrated with the local wisdom values of Huyula showed a significant increase in science concept mastery. This is indicated by the hypothesis test through the Wilcoxon signed-rank test with a value of z =-15.84, through the N-Gain test (high category, average 0.74), and a strong effect size through the rank-biserial correlation value (-1.00). This study concludes that the implementation of science learning integrated with Huyula values and media variety has an influence and is effective in improving the science concept mastery of regular students in the high category and students with special education needs in the medium category. This finding highlights the importance of integrating local wisdom values and media variety in supporting the improvement of science concept mastery through meaningful and inclusive teaching for all students. © 2025 Elsevier B.V., All rights reserved.","author":[{"dropping-particle":"","family":"Odja","given":"A H","non-dropping-particle":"","parse-names":false,"suffix":""},{"dropping-particle":"","family":"Ratha","given":"D","non-dropping-particle":"","parse-names":false,"suffix":""},{"dropping-particle":"","family":"Pikoli","given":"M","non-dropping-particle":"","parse-names":false,"suffix":""},{"dropping-particle":"","family":"Yunus","given":"R","non-dropping-particle":"","parse-names":false,"suffix":""},{"dropping-particle":"","family":"Mohamad","given":"W M","non-dropping-particle":"","parse-names":false,"suffix":""},{"dropping-particle":"","family":"Mursalin","given":"U.","non-dropping-particle":"","parse-names":false,"suffix":""}],"container-title":"Jurnal Pendidikan IPA Indonesia","id":"ITEM-1","issue":"2","issued":{"date-parts":[["2025"]]},"language":"English","note":"Export Date: 22 October 2025; Cited By: 0","page":"282-295","publisher":"Universitas Negeri Semarang","publisher-place":"State University of Gorontalo, Gorontalo, Indonesia","title":"The effectiveness of cooperative learning integrated with Huyula values and variety of media to improve science mastery in inclusive environments","type":"article-journal","volume":"14"},"uris":["http://www.mendeley.com/documents/?uuid=1e67d1a0-cc92-4151-8c38-52bbc27230eb"]}],"mendeley":{"formattedCitation":"(Odja et al., 2025)","manualFormatting":"Odja et al. (2025)","plainTextFormattedCitation":"(Odja et al., 2025)","previouslyFormattedCitation":"(Odja et al., 2025)"},"properties":{"noteIndex":0},"schema":"https://github.com/citation-style-language/schema/raw/master/csl-citation.json"}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Odja et al.</w:t>
      </w:r>
      <w:r w:rsidR="00571A9A">
        <w:rPr>
          <w:rFonts w:ascii="Arial" w:hAnsi="Arial" w:cs="Arial"/>
          <w:noProof/>
        </w:rPr>
        <w:t xml:space="preserve"> (</w:t>
      </w:r>
      <w:r w:rsidR="00571A9A" w:rsidRPr="00571A9A">
        <w:rPr>
          <w:rFonts w:ascii="Arial" w:hAnsi="Arial" w:cs="Arial"/>
          <w:noProof/>
        </w:rPr>
        <w:t>2025)</w:t>
      </w:r>
      <w:r w:rsidR="00571A9A">
        <w:rPr>
          <w:rFonts w:ascii="Arial" w:hAnsi="Arial" w:cs="Arial"/>
        </w:rPr>
        <w:fldChar w:fldCharType="end"/>
      </w:r>
      <w:r w:rsidR="00571A9A">
        <w:rPr>
          <w:rFonts w:ascii="Arial" w:hAnsi="Arial" w:cs="Arial"/>
        </w:rPr>
        <w:t xml:space="preserve"> </w:t>
      </w:r>
      <w:r w:rsidRPr="002519B3">
        <w:rPr>
          <w:rFonts w:ascii="Arial" w:hAnsi="Arial" w:cs="Arial"/>
        </w:rPr>
        <w:t xml:space="preserve">presented an integration of </w:t>
      </w:r>
      <w:r w:rsidRPr="002519B3">
        <w:rPr>
          <w:rFonts w:ascii="Arial" w:hAnsi="Arial" w:cs="Arial"/>
          <w:i/>
          <w:iCs/>
        </w:rPr>
        <w:t>STEM pedagogy</w:t>
      </w:r>
      <w:r w:rsidRPr="002519B3">
        <w:rPr>
          <w:rFonts w:ascii="Arial" w:hAnsi="Arial" w:cs="Arial"/>
        </w:rPr>
        <w:t xml:space="preserve"> with </w:t>
      </w:r>
      <w:proofErr w:type="spellStart"/>
      <w:r w:rsidRPr="002519B3">
        <w:rPr>
          <w:rFonts w:ascii="Arial" w:hAnsi="Arial" w:cs="Arial"/>
          <w:i/>
          <w:iCs/>
        </w:rPr>
        <w:t>Huyula</w:t>
      </w:r>
      <w:proofErr w:type="spellEnd"/>
      <w:r w:rsidRPr="002519B3">
        <w:rPr>
          <w:rFonts w:ascii="Arial" w:hAnsi="Arial" w:cs="Arial"/>
        </w:rPr>
        <w:t xml:space="preserve"> values—Gorontalo’s traditional principles of cooperation, empathy, and social harmony. This combination of </w:t>
      </w:r>
      <w:r w:rsidRPr="002519B3">
        <w:rPr>
          <w:rFonts w:ascii="Arial" w:hAnsi="Arial" w:cs="Arial"/>
          <w:i/>
          <w:iCs/>
        </w:rPr>
        <w:t>local wisdom</w:t>
      </w:r>
      <w:r w:rsidRPr="002519B3">
        <w:rPr>
          <w:rFonts w:ascii="Arial" w:hAnsi="Arial" w:cs="Arial"/>
        </w:rPr>
        <w:t xml:space="preserve"> and </w:t>
      </w:r>
      <w:r w:rsidRPr="002519B3">
        <w:rPr>
          <w:rFonts w:ascii="Arial" w:hAnsi="Arial" w:cs="Arial"/>
          <w:i/>
          <w:iCs/>
        </w:rPr>
        <w:t>cooperative STEM learning</w:t>
      </w:r>
      <w:r w:rsidRPr="002519B3">
        <w:rPr>
          <w:rFonts w:ascii="Arial" w:hAnsi="Arial" w:cs="Arial"/>
        </w:rPr>
        <w:t xml:space="preserve"> significantly enhanced </w:t>
      </w:r>
      <w:r w:rsidRPr="002519B3">
        <w:rPr>
          <w:rFonts w:ascii="Arial" w:hAnsi="Arial" w:cs="Arial"/>
          <w:i/>
          <w:iCs/>
        </w:rPr>
        <w:t>concept mastery</w:t>
      </w:r>
      <w:r w:rsidRPr="002519B3">
        <w:rPr>
          <w:rFonts w:ascii="Arial" w:hAnsi="Arial" w:cs="Arial"/>
        </w:rPr>
        <w:t xml:space="preserve"> (N-Gain = 0.74; large effect size r = –1.00) for both regular students and those with special educational needs, demonstrating the framework’s effectiveness in inclusive settings. The model expands </w:t>
      </w:r>
      <w:r w:rsidRPr="002519B3">
        <w:rPr>
          <w:rFonts w:ascii="Arial" w:hAnsi="Arial" w:cs="Arial"/>
          <w:i/>
          <w:iCs/>
        </w:rPr>
        <w:t>ethnoscience</w:t>
      </w:r>
      <w:r w:rsidRPr="002519B3">
        <w:rPr>
          <w:rFonts w:ascii="Arial" w:hAnsi="Arial" w:cs="Arial"/>
        </w:rPr>
        <w:t xml:space="preserve"> toward inclusive STEM education, aligning with the principles of Sustainable Development Goal 4 (Quality Education), which emphasizes equity and contextual relevance in learning.</w:t>
      </w:r>
    </w:p>
    <w:p w14:paraId="095CA0BB" w14:textId="77777777" w:rsidR="002519B3" w:rsidRPr="002519B3" w:rsidRDefault="00091805" w:rsidP="00091805">
      <w:pPr>
        <w:pStyle w:val="Body"/>
        <w:spacing w:before="120" w:after="120"/>
        <w:rPr>
          <w:rFonts w:ascii="Arial" w:hAnsi="Arial" w:cs="Arial"/>
          <w:b/>
          <w:bCs/>
        </w:rPr>
      </w:pPr>
      <w:r>
        <w:rPr>
          <w:rFonts w:ascii="Arial" w:hAnsi="Arial" w:cs="Arial"/>
          <w:b/>
          <w:bCs/>
        </w:rPr>
        <w:t>3.2.3</w:t>
      </w:r>
      <w:r w:rsidR="002519B3" w:rsidRPr="002519B3">
        <w:rPr>
          <w:rFonts w:ascii="Arial" w:hAnsi="Arial" w:cs="Arial"/>
          <w:b/>
          <w:bCs/>
        </w:rPr>
        <w:t xml:space="preserve"> </w:t>
      </w:r>
      <w:proofErr w:type="spellStart"/>
      <w:r w:rsidR="002519B3" w:rsidRPr="002519B3">
        <w:rPr>
          <w:rFonts w:ascii="Arial" w:hAnsi="Arial" w:cs="Arial"/>
          <w:b/>
          <w:bCs/>
        </w:rPr>
        <w:t>Ethnopedagogy</w:t>
      </w:r>
      <w:proofErr w:type="spellEnd"/>
      <w:r w:rsidR="002519B3" w:rsidRPr="002519B3">
        <w:rPr>
          <w:rFonts w:ascii="Arial" w:hAnsi="Arial" w:cs="Arial"/>
          <w:b/>
          <w:bCs/>
        </w:rPr>
        <w:t xml:space="preserve"> and Character-Based or Value-Oriented Learning</w:t>
      </w:r>
    </w:p>
    <w:p w14:paraId="418EEE51" w14:textId="77777777" w:rsidR="002519B3" w:rsidRPr="002519B3" w:rsidRDefault="002519B3" w:rsidP="00091805">
      <w:pPr>
        <w:pStyle w:val="Body"/>
        <w:spacing w:before="120" w:after="120"/>
        <w:rPr>
          <w:rFonts w:ascii="Arial" w:hAnsi="Arial" w:cs="Arial"/>
        </w:rPr>
      </w:pPr>
      <w:r w:rsidRPr="002519B3">
        <w:rPr>
          <w:rFonts w:ascii="Arial" w:hAnsi="Arial" w:cs="Arial"/>
        </w:rPr>
        <w:t xml:space="preserve">Several studies foreground </w:t>
      </w:r>
      <w:proofErr w:type="spellStart"/>
      <w:r w:rsidRPr="002519B3">
        <w:rPr>
          <w:rFonts w:ascii="Arial" w:hAnsi="Arial" w:cs="Arial"/>
        </w:rPr>
        <w:t>ethnopedagogy</w:t>
      </w:r>
      <w:proofErr w:type="spellEnd"/>
      <w:r w:rsidRPr="002519B3">
        <w:rPr>
          <w:rFonts w:ascii="Arial" w:hAnsi="Arial" w:cs="Arial"/>
        </w:rPr>
        <w:t xml:space="preserve"> as a moral and spiritual dimension within local wisdom-based science education. The </w:t>
      </w:r>
      <w:proofErr w:type="spellStart"/>
      <w:r w:rsidRPr="002519B3">
        <w:rPr>
          <w:rFonts w:ascii="Arial" w:hAnsi="Arial" w:cs="Arial"/>
          <w:i/>
          <w:iCs/>
        </w:rPr>
        <w:t>Catur</w:t>
      </w:r>
      <w:proofErr w:type="spellEnd"/>
      <w:r w:rsidRPr="002519B3">
        <w:rPr>
          <w:rFonts w:ascii="Arial" w:hAnsi="Arial" w:cs="Arial"/>
          <w:i/>
          <w:iCs/>
        </w:rPr>
        <w:t xml:space="preserve"> </w:t>
      </w:r>
      <w:proofErr w:type="spellStart"/>
      <w:r w:rsidRPr="002519B3">
        <w:rPr>
          <w:rFonts w:ascii="Arial" w:hAnsi="Arial" w:cs="Arial"/>
          <w:i/>
          <w:iCs/>
        </w:rPr>
        <w:t>Pramana</w:t>
      </w:r>
      <w:proofErr w:type="spellEnd"/>
      <w:r w:rsidRPr="002519B3">
        <w:rPr>
          <w:rFonts w:ascii="Arial" w:hAnsi="Arial" w:cs="Arial"/>
        </w:rPr>
        <w:t xml:space="preserve"> framework, for instance, not only enhanced </w:t>
      </w:r>
      <w:r w:rsidRPr="002519B3">
        <w:rPr>
          <w:rFonts w:ascii="Arial" w:hAnsi="Arial" w:cs="Arial"/>
          <w:i/>
          <w:iCs/>
        </w:rPr>
        <w:t>4C skills</w:t>
      </w:r>
      <w:r w:rsidRPr="002519B3">
        <w:rPr>
          <w:rFonts w:ascii="Arial" w:hAnsi="Arial" w:cs="Arial"/>
        </w:rPr>
        <w:t xml:space="preserve"> (critical thinking, creativity, collaboration, and communication) but also cultivated scientific habits of mind, linking epistemic inquiry with ethical awareness </w:t>
      </w:r>
      <w:r w:rsidR="00571A9A">
        <w:rPr>
          <w:rFonts w:ascii="Arial" w:hAnsi="Arial" w:cs="Arial"/>
        </w:rPr>
        <w:fldChar w:fldCharType="begin" w:fldLock="1"/>
      </w:r>
      <w:r w:rsidR="00571A9A">
        <w:rPr>
          <w:rFonts w:ascii="Arial" w:hAnsi="Arial" w:cs="Arial"/>
        </w:rPr>
        <w:instrText>ADDIN CSL_CITATION {"citationItems":[{"id":"ITEM-1","itemData":{"DOI":"10.22521/edupij.2025.15.96","ISSN":"21470901 (ISSN); 25648020 (ISSN)","abstract":"Background/purpose. One of the skills that students had to master in science learning was science process skills. However, there has not been much research examining these skills in elementary schools, especially those related to practicum guides integrated with local wisdom. Therefore, this study aimed to analyze the effectiveness of a science practicum guide for elementary schools integrated with Catur Pramana to improve students’ science process skills. This guide was developed based on the surrounding environment and the concept of local wisdom in Bali, Indonesia. Materials/methods. This study used a quasi-experimental approach with a one-group pre-test and post-test design involving 94 students as samples. Data were collected through practicum observation sheets and analyzed using gain scores to assess the improvement of students’ science process skills. Results. The analysis's results showed that the practicum guide was effective in improving science process skills, which were included in the moderate category. Furthermore, each indicator of science process skills showed an increase, with each gain score also included in the moderate category. Among the six indicators measured, the prediction indicator had the lowest score compared to the other indicators. Conclusion. The elementary school science practicum guide integrated with Catur Pramana proved effective in improving students’ science process skills. Therefore, this guide was seen as an effective solution to help students develop science process skills in elementary schools. This study also recommended the use of similar guides at higher school levels. © 2025 Elsevier B.V., All rights reserved.","author":[{"dropping-particle":"","family":"Darmayanti","given":"N W S","non-dropping-particle":"","parse-names":false,"suffix":""},{"dropping-particle":"","family":"Alsulami","given":"N M","non-dropping-particle":"","parse-names":false,"suffix":""},{"dropping-particle":"","family":"Pradnyana","given":"P B","non-dropping-particle":"","parse-names":false,"suffix":""},{"dropping-particle":"","family":"Fitriyana","given":"N I","non-dropping-particle":"","parse-names":false,"suffix":""},{"dropping-particle":"","family":"Sueca","given":"I N","non-dropping-particle":"","parse-names":false,"suffix":""},{"dropping-particle":"","family":"Isnawan","given":"M G","non-dropping-particle":"","parse-names":false,"suffix":""}],"container-title":"Educational Process: International Journal","id":"ITEM-1","issued":{"date-parts":[["2025"]]},"language":"English","note":"Export Date: 22 October 2025; Cited By: 0","publisher":"Universitepark","publisher-place":"Markandeya Bali Institute of Technology and Education, The Faculty of Teacher Training and Education, Bali, Indonesia","title":"The Effectiveness of the Environment-Oriented Practicum Guide Integrated with Catur Pramana in Developing Students’ Science Process Skills","type":"article-journal","volume":"15"},"uris":["http://www.mendeley.com/documents/?uuid=93db02d3-ec98-4e88-b93d-66519565d5b4"]}],"mendeley":{"formattedCitation":"(Darmayanti et al., 2025)","plainTextFormattedCitation":"(Darmayanti et al., 2025)","previouslyFormattedCitation":"(Darmayanti et al., 2025)"},"properties":{"noteIndex":0},"schema":"https://github.com/citation-style-language/schema/raw/master/csl-citation.json"}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(Darmayanti et al., 2025)</w:t>
      </w:r>
      <w:r w:rsidR="00571A9A">
        <w:rPr>
          <w:rFonts w:ascii="Arial" w:hAnsi="Arial" w:cs="Arial"/>
        </w:rPr>
        <w:fldChar w:fldCharType="end"/>
      </w:r>
      <w:r w:rsidRPr="002519B3">
        <w:rPr>
          <w:rFonts w:ascii="Arial" w:hAnsi="Arial" w:cs="Arial"/>
        </w:rPr>
        <w:t xml:space="preserve">. Similarly, the Tri Kaya </w:t>
      </w:r>
      <w:proofErr w:type="spellStart"/>
      <w:r w:rsidRPr="002519B3">
        <w:rPr>
          <w:rFonts w:ascii="Arial" w:hAnsi="Arial" w:cs="Arial"/>
        </w:rPr>
        <w:t>Parisudha</w:t>
      </w:r>
      <w:proofErr w:type="spellEnd"/>
      <w:r w:rsidRPr="002519B3">
        <w:rPr>
          <w:rFonts w:ascii="Arial" w:hAnsi="Arial" w:cs="Arial"/>
        </w:rPr>
        <w:t xml:space="preserve"> philosophy</w:t>
      </w:r>
      <w:proofErr w:type="gramStart"/>
      <w:r w:rsidRPr="002519B3">
        <w:rPr>
          <w:rFonts w:ascii="Arial" w:hAnsi="Arial" w:cs="Arial"/>
        </w:rPr>
        <w:t>—“</w:t>
      </w:r>
      <w:proofErr w:type="gramEnd"/>
      <w:r w:rsidRPr="002519B3">
        <w:rPr>
          <w:rFonts w:ascii="Arial" w:hAnsi="Arial" w:cs="Arial"/>
        </w:rPr>
        <w:t xml:space="preserve">thinking good, speaking good, and acting good”—was employed in </w:t>
      </w:r>
      <w:r w:rsidRPr="002519B3">
        <w:rPr>
          <w:rFonts w:ascii="Arial" w:hAnsi="Arial" w:cs="Arial"/>
          <w:i/>
          <w:iCs/>
        </w:rPr>
        <w:t>self-instruction modules</w:t>
      </w:r>
      <w:r w:rsidRPr="002519B3">
        <w:rPr>
          <w:rFonts w:ascii="Arial" w:hAnsi="Arial" w:cs="Arial"/>
        </w:rPr>
        <w:t xml:space="preserve"> for elementary-level science and social studies to build students’ integrity, reflection, and spirituality.</w:t>
      </w:r>
    </w:p>
    <w:p w14:paraId="1257C460" w14:textId="765ABB77" w:rsidR="00571A9A" w:rsidRPr="002519B3" w:rsidRDefault="002519B3" w:rsidP="00091805">
      <w:pPr>
        <w:pStyle w:val="Body"/>
        <w:spacing w:before="120" w:after="120"/>
        <w:rPr>
          <w:rFonts w:ascii="Arial" w:hAnsi="Arial" w:cs="Arial"/>
        </w:rPr>
      </w:pPr>
      <w:r w:rsidRPr="002519B3">
        <w:rPr>
          <w:rFonts w:ascii="Arial" w:hAnsi="Arial" w:cs="Arial"/>
        </w:rPr>
        <w:t xml:space="preserve">In a parallel effort, </w:t>
      </w:r>
      <w:r w:rsidR="00571A9A">
        <w:rPr>
          <w:rFonts w:ascii="Arial" w:hAnsi="Arial" w:cs="Arial"/>
        </w:rPr>
        <w:fldChar w:fldCharType="begin" w:fldLock="1"/>
      </w:r>
      <w:r w:rsidR="004D1FB7">
        <w:rPr>
          <w:rFonts w:ascii="Arial" w:hAnsi="Arial" w:cs="Arial"/>
        </w:rPr>
        <w:instrText>ADDIN CSL_CITATION {"citationItems":[{"id":"ITEM-1","itemData":{"DOI":"10.22437/jiituj.v9i2.41764","ISSN":"25802240 (ISSN); 25802259 (ISSN)","abstract":"Cultural literacy plays a critical role in developing students’ sense of responsibility, tolerance, and national identity. In the context of 21st-century education, it is a key component of the Pancasila Student Profile, which guides character formation in Indonesian schools. While cultural literacy is often linked with language and social studies, this research explores its integration into science learning in elementary schools. The aim is to identify how cultural values, local wisdom, and scientific inquiry are harmonized to support holistic student development through the Independent Curriculum. This qualitative study employed a phenomenological design, focusing on two Sekolah Penggerak (Driving Schools): Elementary School Muhammadiyah 1 Ketelan and Elementary School Muhammadiyah Plus Malangjiwan. Participants included school principals, teachers, and students. Data collection was conducted through observations and in-depth interviews, using structured interview sheets. Data were analyzed through data reduction, presentation, and conclusion drawing, with validity ensured through source triangulation. The results revealed that cultural literacy was embedded in science learning through the contextualization of scientific concepts with local wisdom such as using traditional tools in experiments, exploring environmental stewardship rooted in local customs, and incorporating indigenous knowledge into ecology topics. Activities like science-based cultural exhibitions, traditional games with scientific principles, and the use of regional languages in science discussions strengthened student engagement and cultural identity. This study offers a novel integration of cultural literacy into science education, demonstrating how localized, culturally responsive teaching can enrich scientific understanding while reinforcing national character in line with the Pancasila Student Profile. © 2025 Elsevier B.V., All rights reserved.","author":[{"dropping-particle":"","family":"Minsih","given":"M","non-dropping-particle":"","parse-names":false,"suffix":""},{"dropping-particle":"","family":"Mujahid","given":"I","non-dropping-particle":"","parse-names":false,"suffix":""},{"dropping-particle":"","family":"Mukminin","given":"A","non-dropping-particle":"","parse-names":false,"suffix":""}],"container-title":"Jurnal Ilmiah Ilmu Terapan Universitas Jambi","id":"ITEM-1","issue":"2","issued":{"date-parts":[["2025"]]},"language":"English","note":"Export Date: 22 October 2025; Cited By: 2","page":"609-618","publisher":"Jambi University","publisher-place":"Universitas Muhammadiyah Surakarta, Surakarta, Indonesia","title":"The integration of culture literacy in strengthening the profile of Pancasila students in science learning for elementary schools","type":"article-journal","volume":"9"},"uris":["http://www.mendeley.com/documents/?uuid=d8b766b0-ba0d-4417-9847-3788811b97fe"]}],"mendeley":{"formattedCitation":"(Minsih et al., 2025)","manualFormatting":"Minsih et al. (2025)","plainTextFormattedCitation":"(Minsih et al., 2025)","previouslyFormattedCitation":"(Minsih et al., 2025)"},"properties":{"noteIndex":0},"schema":"https://github.com/citation-style-language/schema/raw/master/csl-citation.json"}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Minsih et al.</w:t>
      </w:r>
      <w:r w:rsidR="00571A9A">
        <w:rPr>
          <w:rFonts w:ascii="Arial" w:hAnsi="Arial" w:cs="Arial"/>
          <w:noProof/>
        </w:rPr>
        <w:t xml:space="preserve"> (</w:t>
      </w:r>
      <w:r w:rsidR="00571A9A" w:rsidRPr="00571A9A">
        <w:rPr>
          <w:rFonts w:ascii="Arial" w:hAnsi="Arial" w:cs="Arial"/>
          <w:noProof/>
        </w:rPr>
        <w:t>2025)</w:t>
      </w:r>
      <w:r w:rsidR="00571A9A">
        <w:rPr>
          <w:rFonts w:ascii="Arial" w:hAnsi="Arial" w:cs="Arial"/>
        </w:rPr>
        <w:fldChar w:fldCharType="end"/>
      </w:r>
      <w:r w:rsidRPr="002519B3">
        <w:rPr>
          <w:rFonts w:ascii="Arial" w:hAnsi="Arial" w:cs="Arial"/>
        </w:rPr>
        <w:t xml:space="preserve">) integrated </w:t>
      </w:r>
      <w:r w:rsidRPr="002519B3">
        <w:rPr>
          <w:rFonts w:ascii="Arial" w:hAnsi="Arial" w:cs="Arial"/>
          <w:i/>
          <w:iCs/>
        </w:rPr>
        <w:t>cultural literacy</w:t>
      </w:r>
      <w:r w:rsidRPr="002519B3">
        <w:rPr>
          <w:rFonts w:ascii="Arial" w:hAnsi="Arial" w:cs="Arial"/>
        </w:rPr>
        <w:t xml:space="preserve"> within the </w:t>
      </w:r>
      <w:r w:rsidRPr="002519B3">
        <w:rPr>
          <w:rFonts w:ascii="Arial" w:hAnsi="Arial" w:cs="Arial"/>
          <w:i/>
          <w:iCs/>
        </w:rPr>
        <w:t>Pancasila Student Profile</w:t>
      </w:r>
      <w:r w:rsidRPr="002519B3">
        <w:rPr>
          <w:rFonts w:ascii="Arial" w:hAnsi="Arial" w:cs="Arial"/>
        </w:rPr>
        <w:t xml:space="preserve">, embedding traditional games, regional languages, and cultural exhibitions into science learning. Their qualitative findings revealed that </w:t>
      </w:r>
      <w:proofErr w:type="spellStart"/>
      <w:r w:rsidRPr="002519B3">
        <w:rPr>
          <w:rFonts w:ascii="Arial" w:hAnsi="Arial" w:cs="Arial"/>
          <w:i/>
          <w:iCs/>
        </w:rPr>
        <w:t>ethnopedagogical</w:t>
      </w:r>
      <w:proofErr w:type="spellEnd"/>
      <w:r w:rsidRPr="002519B3">
        <w:rPr>
          <w:rFonts w:ascii="Arial" w:hAnsi="Arial" w:cs="Arial"/>
          <w:i/>
          <w:iCs/>
        </w:rPr>
        <w:t xml:space="preserve"> learning</w:t>
      </w:r>
      <w:r w:rsidRPr="002519B3">
        <w:rPr>
          <w:rFonts w:ascii="Arial" w:hAnsi="Arial" w:cs="Arial"/>
        </w:rPr>
        <w:t xml:space="preserve"> enhances students’ sense of identity, tolerance, and civic values while strengthening interdisciplinary understanding.</w:t>
      </w:r>
    </w:p>
    <w:p w14:paraId="4C154242" w14:textId="77777777" w:rsidR="002519B3" w:rsidRPr="002519B3" w:rsidRDefault="00091805" w:rsidP="00091805">
      <w:pPr>
        <w:pStyle w:val="Body"/>
        <w:spacing w:before="120" w:after="120"/>
        <w:rPr>
          <w:rFonts w:ascii="Arial" w:hAnsi="Arial" w:cs="Arial"/>
          <w:b/>
          <w:bCs/>
        </w:rPr>
      </w:pPr>
      <w:r>
        <w:rPr>
          <w:rFonts w:ascii="Arial" w:hAnsi="Arial" w:cs="Arial"/>
          <w:b/>
          <w:bCs/>
        </w:rPr>
        <w:t>3.2.4</w:t>
      </w:r>
      <w:r w:rsidR="002519B3" w:rsidRPr="002519B3">
        <w:rPr>
          <w:rFonts w:ascii="Arial" w:hAnsi="Arial" w:cs="Arial"/>
          <w:b/>
          <w:bCs/>
        </w:rPr>
        <w:t xml:space="preserve"> Ethnoscience and Problem-/Project-Based Learning</w:t>
      </w:r>
    </w:p>
    <w:p w14:paraId="669BBE55" w14:textId="77777777" w:rsidR="002519B3" w:rsidRPr="002519B3" w:rsidRDefault="002519B3" w:rsidP="00091805">
      <w:pPr>
        <w:pStyle w:val="Body"/>
        <w:spacing w:before="120" w:after="120"/>
        <w:rPr>
          <w:rFonts w:ascii="Arial" w:hAnsi="Arial" w:cs="Arial"/>
        </w:rPr>
      </w:pPr>
      <w:r w:rsidRPr="002519B3">
        <w:rPr>
          <w:rFonts w:ascii="Arial" w:hAnsi="Arial" w:cs="Arial"/>
        </w:rPr>
        <w:t>Problem-Based Learning (PBL) and Project-Based Learning (</w:t>
      </w:r>
      <w:proofErr w:type="spellStart"/>
      <w:r w:rsidRPr="002519B3">
        <w:rPr>
          <w:rFonts w:ascii="Arial" w:hAnsi="Arial" w:cs="Arial"/>
        </w:rPr>
        <w:t>PjBL</w:t>
      </w:r>
      <w:proofErr w:type="spellEnd"/>
      <w:r w:rsidRPr="002519B3">
        <w:rPr>
          <w:rFonts w:ascii="Arial" w:hAnsi="Arial" w:cs="Arial"/>
        </w:rPr>
        <w:t xml:space="preserve">) approaches frequently appear as vehicles for applying ethnoscience to real-world contexts. Studies employing </w:t>
      </w:r>
      <w:r w:rsidRPr="002519B3">
        <w:rPr>
          <w:rFonts w:ascii="Arial" w:hAnsi="Arial" w:cs="Arial"/>
          <w:i/>
          <w:iCs/>
        </w:rPr>
        <w:t>Papua-based ethnoscience modules</w:t>
      </w:r>
      <w:r w:rsidRPr="002519B3">
        <w:rPr>
          <w:rFonts w:ascii="Arial" w:hAnsi="Arial" w:cs="Arial"/>
        </w:rPr>
        <w:t xml:space="preserve"> demonstrated significant improvement in students’ conservation attitudes (p &lt; 0.05) by linking local ecological issues with scientific inquiry. These models emphasize </w:t>
      </w:r>
      <w:r w:rsidRPr="002519B3">
        <w:rPr>
          <w:rFonts w:ascii="Arial" w:hAnsi="Arial" w:cs="Arial"/>
          <w:i/>
          <w:iCs/>
        </w:rPr>
        <w:t>authentic learning</w:t>
      </w:r>
      <w:r w:rsidRPr="002519B3">
        <w:rPr>
          <w:rFonts w:ascii="Arial" w:hAnsi="Arial" w:cs="Arial"/>
        </w:rPr>
        <w:t xml:space="preserve"> through problem-solving grounded in community realities, encouraging students to generate sustainable, locally relevant solutions</w:t>
      </w:r>
      <w:r w:rsidR="00571A9A">
        <w:rPr>
          <w:rFonts w:ascii="Arial" w:hAnsi="Arial" w:cs="Arial"/>
        </w:rPr>
        <w:t xml:space="preserve"> </w:t>
      </w:r>
      <w:r w:rsidR="00571A9A">
        <w:rPr>
          <w:rFonts w:ascii="Arial" w:hAnsi="Arial" w:cs="Arial"/>
        </w:rPr>
        <w:fldChar w:fldCharType="begin" w:fldLock="1"/>
      </w:r>
      <w:r w:rsidR="00571A9A">
        <w:rPr>
          <w:rFonts w:ascii="Arial" w:hAnsi="Arial" w:cs="Arial"/>
        </w:rPr>
        <w:instrText>ADDIN CSL_CITATION {"citationItems":[{"id":"ITEM-1","itemData":{"DOI":"10.17275/per.24.10.11.1","ISSN":"21486123 (ISSN)","abstract":"The current state of students' knowledge regarding species diversity, particularly when it comes to endangered local species, is a cause for concern. This problem has resulted in a decline in students' attitudes towards conserving these species. To address these issues, providing students with reading resources that incorporate local wisdom is crucial. This research aims to develop a student book centered around real-world problems and incorporate Papuan local wisdom to enhance students' conservation attitudes. The ADDIE model has been employed to guide the product development process, including trials conducted with junior high school students. The effectiveness of the book was evaluated through questionnaires measuring conservation attitudes, expert validation using validation sheets, and student response questionnaires to assess practicality. The research findings indicate that the student book has been deemed valid by experts. Positive responses from students and teachers regarding the book's ability to optimize conservation attitudes suggest that it meets practical criteria. Moreover, statistically significant differences (p &lt; 0.05) in pre and post attitudes demonstrate that problem-based books integrated with local wisdom effectively empower students' conservation attitudes. The inclusion of information on local wisdom, emphasizing the importance of preserving species, has greatly benefited students by enhancing their knowledge and positively impacting their conservation attitudes. Science teachers can utilize problem-based student books that integrate local wisdom as a powerful tool to enhance their students' conservation attitudes. © 2024 Elsevier B.V., All rights reserved.","author":[{"dropping-particle":"","family":"Damopolii","given":"I","non-dropping-particle":"","parse-names":false,"suffix":""},{"dropping-particle":"","family":"Nunaki","given":"J H","non-dropping-particle":"","parse-names":false,"suffix":""},{"dropping-particle":"","family":"Jeni","given":"J","non-dropping-particle":"","parse-names":false,"suffix":""},{"dropping-particle":"","family":"Rampheri","given":"M B","non-dropping-particle":"","parse-names":false,"suffix":""},{"dropping-particle":"","family":"Ambusaidi","given":"A K","non-dropping-particle":"","parse-names":false,"suffix":""}],"container-title":"Participatory Educational Research","id":"ITEM-1","issue":"1","issued":{"date-parts":[["2024"]]},"language":"English","note":"Export Date: 22 October 2025; Cited By: 9","page":"158-177","publisher":"Ozgen Korkmaz","publisher-place":"Universitas Papua, Department of Biology Education, Manokwari, Indonesia","title":"An Integration of local wisdom into a problem-based student book to Empower Students' Conservation Attitudes","type":"article-journal","volume":"11"},"uris":["http://www.mendeley.com/documents/?uuid=1fbc5974-aaf0-47d1-a9d0-6b4910024cf0"]}],"mendeley":{"formattedCitation":"(Damopolii et al., 2024)","plainTextFormattedCitation":"(Damopolii et al., 2024)","previouslyFormattedCitation":"(Damopolii et al., 2024)"},"properties":{"noteIndex":0},"schema":"https://github.com/citation-style-language/schema/raw/master/csl-citation.json"}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(Damopolii et al., 2024)</w:t>
      </w:r>
      <w:r w:rsidR="00571A9A">
        <w:rPr>
          <w:rFonts w:ascii="Arial" w:hAnsi="Arial" w:cs="Arial"/>
        </w:rPr>
        <w:fldChar w:fldCharType="end"/>
      </w:r>
      <w:r w:rsidRPr="002519B3">
        <w:rPr>
          <w:rFonts w:ascii="Arial" w:hAnsi="Arial" w:cs="Arial"/>
        </w:rPr>
        <w:t>.</w:t>
      </w:r>
    </w:p>
    <w:p w14:paraId="7FE1B358" w14:textId="77777777" w:rsidR="002519B3" w:rsidRPr="002519B3" w:rsidRDefault="00091805" w:rsidP="00091805">
      <w:pPr>
        <w:pStyle w:val="Body"/>
        <w:spacing w:before="120" w:after="120"/>
        <w:rPr>
          <w:rFonts w:ascii="Arial" w:hAnsi="Arial" w:cs="Arial"/>
          <w:b/>
          <w:bCs/>
        </w:rPr>
      </w:pPr>
      <w:r>
        <w:rPr>
          <w:rFonts w:ascii="Arial" w:hAnsi="Arial" w:cs="Arial"/>
          <w:b/>
          <w:bCs/>
        </w:rPr>
        <w:t>3.2.5</w:t>
      </w:r>
      <w:r w:rsidR="002519B3" w:rsidRPr="002519B3">
        <w:rPr>
          <w:rFonts w:ascii="Arial" w:hAnsi="Arial" w:cs="Arial"/>
          <w:b/>
          <w:bCs/>
        </w:rPr>
        <w:t xml:space="preserve"> Digital- and Game-Enhanced Ethnoscience</w:t>
      </w:r>
    </w:p>
    <w:p w14:paraId="10AA2976" w14:textId="77777777" w:rsidR="002519B3" w:rsidRPr="002519B3" w:rsidRDefault="002519B3" w:rsidP="00091805">
      <w:pPr>
        <w:pStyle w:val="Body"/>
        <w:spacing w:before="120" w:after="120"/>
        <w:rPr>
          <w:rFonts w:ascii="Arial" w:hAnsi="Arial" w:cs="Arial"/>
        </w:rPr>
      </w:pPr>
      <w:r w:rsidRPr="002519B3">
        <w:rPr>
          <w:rFonts w:ascii="Arial" w:hAnsi="Arial" w:cs="Arial"/>
        </w:rPr>
        <w:lastRenderedPageBreak/>
        <w:t xml:space="preserve">Digital adaptation represents a recent transformation in the ethnoscience framework. Studies developed e-learning ethnoscience platforms that integrate inquiry cycles with </w:t>
      </w:r>
      <w:r w:rsidRPr="002519B3">
        <w:rPr>
          <w:rFonts w:ascii="Arial" w:hAnsi="Arial" w:cs="Arial"/>
          <w:i/>
          <w:iCs/>
        </w:rPr>
        <w:t>critical thinking development</w:t>
      </w:r>
      <w:r w:rsidRPr="002519B3">
        <w:rPr>
          <w:rFonts w:ascii="Arial" w:hAnsi="Arial" w:cs="Arial"/>
        </w:rPr>
        <w:t xml:space="preserve">, as well as post-pandemic e-books promoting </w:t>
      </w:r>
      <w:r w:rsidRPr="002519B3">
        <w:rPr>
          <w:rFonts w:ascii="Arial" w:hAnsi="Arial" w:cs="Arial"/>
          <w:i/>
          <w:iCs/>
        </w:rPr>
        <w:t>environmental-care attitudes</w:t>
      </w:r>
      <w:r w:rsidRPr="002519B3">
        <w:rPr>
          <w:rFonts w:ascii="Arial" w:hAnsi="Arial" w:cs="Arial"/>
        </w:rPr>
        <w:t xml:space="preserve"> through culturally contextual case studies </w:t>
      </w:r>
      <w:r w:rsidR="00571A9A">
        <w:rPr>
          <w:rFonts w:ascii="Arial" w:hAnsi="Arial" w:cs="Arial"/>
        </w:rPr>
        <w:fldChar w:fldCharType="begin" w:fldLock="1"/>
      </w:r>
      <w:r w:rsidR="00571A9A">
        <w:rPr>
          <w:rFonts w:ascii="Arial" w:hAnsi="Arial" w:cs="Arial"/>
        </w:rPr>
        <w:instrText>ADDIN CSL_CITATION {"citationItems":[{"id":"ITEM-1","itemData":{"DOI":"10.22521/edupij.2025.15.96","ISSN":"21470901 (ISSN); 25648020 (ISSN)","abstract":"Background/purpose. One of the skills that students had to master in science learning was science process skills. However, there has not been much research examining these skills in elementary schools, especially those related to practicum guides integrated with local wisdom. Therefore, this study aimed to analyze the effectiveness of a science practicum guide for elementary schools integrated with Catur Pramana to improve students’ science process skills. This guide was developed based on the surrounding environment and the concept of local wisdom in Bali, Indonesia. Materials/methods. This study used a quasi-experimental approach with a one-group pre-test and post-test design involving 94 students as samples. Data were collected through practicum observation sheets and analyzed using gain scores to assess the improvement of students’ science process skills. Results. The analysis's results showed that the practicum guide was effective in improving science process skills, which were included in the moderate category. Furthermore, each indicator of science process skills showed an increase, with each gain score also included in the moderate category. Among the six indicators measured, the prediction indicator had the lowest score compared to the other indicators. Conclusion. The elementary school science practicum guide integrated with Catur Pramana proved effective in improving students’ science process skills. Therefore, this guide was seen as an effective solution to help students develop science process skills in elementary schools. This study also recommended the use of similar guides at higher school levels. © 2025 Elsevier B.V., All rights reserved.","author":[{"dropping-particle":"","family":"Darmayanti","given":"N W S","non-dropping-particle":"","parse-names":false,"suffix":""},{"dropping-particle":"","family":"Alsulami","given":"N M","non-dropping-particle":"","parse-names":false,"suffix":""},{"dropping-particle":"","family":"Pradnyana","given":"P B","non-dropping-particle":"","parse-names":false,"suffix":""},{"dropping-particle":"","family":"Fitriyana","given":"N I","non-dropping-particle":"","parse-names":false,"suffix":""},{"dropping-particle":"","family":"Sueca","given":"I N","non-dropping-particle":"","parse-names":false,"suffix":""},{"dropping-particle":"","family":"Isnawan","given":"M G","non-dropping-particle":"","parse-names":false,"suffix":""}],"container-title":"Educational Process: International Journal","id":"ITEM-1","issued":{"date-parts":[["2025"]]},"language":"English","note":"Export Date: 22 October 2025; Cited By: 0","publisher":"Universitepark","publisher-place":"Markandeya Bali Institute of Technology and Education, The Faculty of Teacher Training and Education, Bali, Indonesia","title":"The Effectiveness of the Environment-Oriented Practicum Guide Integrated with Catur Pramana in Developing Students’ Science Process Skills","type":"article-journal","volume":"15"},"uris":["http://www.mendeley.com/documents/?uuid=93db02d3-ec98-4e88-b93d-66519565d5b4"]}],"mendeley":{"formattedCitation":"(Darmayanti et al., 2025)","plainTextFormattedCitation":"(Darmayanti et al., 2025)","previouslyFormattedCitation":"(Darmayanti et al., 2025)"},"properties":{"noteIndex":0},"schema":"https://github.com/citation-style-language/schema/raw/master/csl-citation.json"}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(Darmayanti et al., 2025)</w:t>
      </w:r>
      <w:r w:rsidR="00571A9A">
        <w:rPr>
          <w:rFonts w:ascii="Arial" w:hAnsi="Arial" w:cs="Arial"/>
        </w:rPr>
        <w:fldChar w:fldCharType="end"/>
      </w:r>
      <w:r w:rsidRPr="002519B3">
        <w:rPr>
          <w:rFonts w:ascii="Arial" w:hAnsi="Arial" w:cs="Arial"/>
        </w:rPr>
        <w:t xml:space="preserve">. Moreover, </w:t>
      </w:r>
      <w:r w:rsidRPr="002519B3">
        <w:rPr>
          <w:rFonts w:ascii="Arial" w:hAnsi="Arial" w:cs="Arial"/>
          <w:i/>
          <w:iCs/>
        </w:rPr>
        <w:t>game-based ethnoscience</w:t>
      </w:r>
      <w:r w:rsidRPr="002519B3">
        <w:rPr>
          <w:rFonts w:ascii="Arial" w:hAnsi="Arial" w:cs="Arial"/>
        </w:rPr>
        <w:t xml:space="preserve"> innovations—such as the “Mueang Kung Pottery Chessboard Game” from Chiang Mai, Thailand—illustrated learning efficiency of E1/E2 ≈ 80/82 and very high student satisfaction, indicating strong engagement and motivation</w:t>
      </w:r>
      <w:r w:rsidR="00571A9A">
        <w:rPr>
          <w:rFonts w:ascii="Arial" w:hAnsi="Arial" w:cs="Arial"/>
        </w:rPr>
        <w:t xml:space="preserve"> </w:t>
      </w:r>
      <w:r w:rsidR="00571A9A">
        <w:rPr>
          <w:rFonts w:ascii="Arial" w:hAnsi="Arial" w:cs="Arial"/>
        </w:rPr>
        <w:fldChar w:fldCharType="begin" w:fldLock="1"/>
      </w:r>
      <w:r w:rsidR="00571A9A">
        <w:rPr>
          <w:rFonts w:ascii="Arial" w:hAnsi="Arial" w:cs="Arial"/>
        </w:rPr>
        <w:instrText>ADDIN CSL_CITATION {"citationItems":[{"id":"ITEM-1","itemData":{"DOI":"10.5430/JCT.V12N3P58","ISSN":"19272685 (ISSN); 19272677 (ISSN)","abstract":"The research aimed to 1) study science knowledge in local wisdom of Mueang Kung pottery, Chiang Mai province, 2) develop local wisdom-based science learning innovation to promote creative problem-solving skills, and 3) study satisfaction levels of students to local wisdom-based science learning innovation to promote creative problem-solving skills. The research was action research. The sample in the research consisted of: 1) one village scholar of Mueang Kung village, Hang Dong district, Chiang Mai province; 2) experts of local wisdom learning management accounting for 3 people; and 3) third-year students of Chemistry Departments and fourth-year students of Faculty of Education, Chiang Mai Rajabhat University for the academic year of 2020 accounting for 15 people. Purposive sampling was used. The study results revealed that: 1) From the study on scientific knowledge in local wisdom of Mueang Kung pottery, Chiang Mai province, it was found that in the process of producing Baan Mueang Kung pottery of Chiang Mai province, scientific knowledge has been used to be integrated to develop quality pottery. The knowledge found in the community can be used to design local wisdom-based science learning innovation to promote creative problem-solving skills. 2) From developing local wisdom-based science learning innovation to promote creative problem-solving skills, it was found that the learning innovation developed in the form of Splendor Board Game with components, namely (1) cards in various forms, (2) the board for playing the Board Game and (3) rules of playing and there were results of assessing efficiency of the innovation (E1/E2) at the level: 80.22/81.56. This is deemed to have efficiency in implementation for learning. 3) Regarding satisfaction levels of students to local wisdom-based science learning innovation, it was found that the students had satisfaction levels at the highest level. © 2023 Elsevier B.V., All rights reserved.","author":[{"dropping-particle":"","family":"Chaijalearn","given":"Y","non-dropping-particle":"","parse-names":false,"suffix":""},{"dropping-particle":"","family":"Ratchawet","given":"A","non-dropping-particle":"","parse-names":false,"suffix":""},{"dropping-particle":"","family":"Sappan","given":"P","non-dropping-particle":"","parse-names":false,"suffix":""},{"dropping-particle":"","family":"Thanaparn","given":"N","non-dropping-particle":"","parse-names":false,"suffix":""},{"dropping-particle":"","family":"Kaensongsai","given":"J","non-dropping-particle":"","parse-names":false,"suffix":""},{"dropping-particle":"","family":"Intharawiset","given":"T","non-dropping-particle":"","parse-names":false,"suffix":""}],"container-title":"Journal of Curriculum and Teaching","id":"ITEM-1","issue":"3","issued":{"date-parts":[["2023"]]},"language":"English","note":"Export Date: 22 October 2025; Cited By: 2","page":"58-69","publisher":"Sciedu Press","publisher-place":"Thepsatri Rajabhat University, Department of Chemistry, Lopburi, Thailand","title":"Development of Local Wisdom-Based Science Learning Innovation to Promote Creative Problem-solving Skill: Case Study Chessboard Game of Mueang Kung Pottery, Chiang Mai","type":"article-journal","volume":"12"},"uris":["http://www.mendeley.com/documents/?uuid=2e0945f1-fb0f-423b-8312-af3a6bc860b9"]}],"mendeley":{"formattedCitation":"(Chaijalearn et al., 2023)","plainTextFormattedCitation":"(Chaijalearn et al., 2023)","previouslyFormattedCitation":"(Chaijalearn et al., 2023)"},"properties":{"noteIndex":0},"schema":"https://github.com/citation-style-language/schema/raw/master/csl-citation.json"}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(Chaijalearn et al., 2023)</w:t>
      </w:r>
      <w:r w:rsidR="00571A9A">
        <w:rPr>
          <w:rFonts w:ascii="Arial" w:hAnsi="Arial" w:cs="Arial"/>
        </w:rPr>
        <w:fldChar w:fldCharType="end"/>
      </w:r>
      <w:r w:rsidR="00571A9A">
        <w:rPr>
          <w:rFonts w:ascii="Arial" w:hAnsi="Arial" w:cs="Arial"/>
        </w:rPr>
        <w:t>.</w:t>
      </w:r>
    </w:p>
    <w:p w14:paraId="6B055C52" w14:textId="77777777" w:rsidR="00091805" w:rsidRDefault="002519B3" w:rsidP="00091805">
      <w:pPr>
        <w:pStyle w:val="Body"/>
        <w:spacing w:before="120" w:after="120"/>
        <w:rPr>
          <w:rFonts w:ascii="Arial" w:hAnsi="Arial" w:cs="Arial"/>
        </w:rPr>
      </w:pPr>
      <w:r w:rsidRPr="002519B3">
        <w:rPr>
          <w:rFonts w:ascii="Arial" w:hAnsi="Arial" w:cs="Arial"/>
        </w:rPr>
        <w:t>Collectively, these frameworks mark the emergence of gamified and digital ethnoscience pedagogy, merging cultural heritage with modern learning technologies to foster active, meaningful, and sustainable science education.</w:t>
      </w:r>
    </w:p>
    <w:p w14:paraId="47B3A86E" w14:textId="77777777" w:rsidR="00091805" w:rsidRPr="00091805" w:rsidRDefault="00091805" w:rsidP="00091805">
      <w:pPr>
        <w:pStyle w:val="Body"/>
        <w:spacing w:before="120" w:after="120"/>
        <w:rPr>
          <w:rFonts w:ascii="Arial" w:hAnsi="Arial" w:cs="Arial"/>
          <w:b/>
          <w:bCs/>
          <w:sz w:val="22"/>
          <w:szCs w:val="22"/>
        </w:rPr>
      </w:pPr>
      <w:r w:rsidRPr="00091805">
        <w:rPr>
          <w:rFonts w:ascii="Arial" w:hAnsi="Arial" w:cs="Arial"/>
          <w:b/>
          <w:bCs/>
          <w:sz w:val="22"/>
          <w:szCs w:val="22"/>
        </w:rPr>
        <w:t>3.3 Pedagogical Frameworks Analysis</w:t>
      </w:r>
    </w:p>
    <w:p w14:paraId="52515A81" w14:textId="77777777" w:rsidR="00091805" w:rsidRPr="00091805" w:rsidRDefault="00091805" w:rsidP="00091805">
      <w:pPr>
        <w:pStyle w:val="Body"/>
        <w:spacing w:before="120" w:after="120"/>
        <w:rPr>
          <w:rFonts w:ascii="Arial" w:hAnsi="Arial" w:cs="Arial"/>
          <w:b/>
          <w:bCs/>
        </w:rPr>
      </w:pPr>
      <w:r>
        <w:rPr>
          <w:rFonts w:ascii="Arial" w:hAnsi="Arial" w:cs="Arial"/>
          <w:b/>
          <w:bCs/>
        </w:rPr>
        <w:t>3.3.1</w:t>
      </w:r>
      <w:r w:rsidRPr="00091805">
        <w:rPr>
          <w:rFonts w:ascii="Arial" w:hAnsi="Arial" w:cs="Arial"/>
          <w:b/>
          <w:bCs/>
        </w:rPr>
        <w:t xml:space="preserve"> Instructional Practices</w:t>
      </w:r>
    </w:p>
    <w:p w14:paraId="1609D8D6" w14:textId="77777777" w:rsidR="00091805" w:rsidRPr="00091805" w:rsidRDefault="00091805" w:rsidP="00091805">
      <w:pPr>
        <w:pStyle w:val="Body"/>
        <w:spacing w:before="120" w:after="120"/>
        <w:rPr>
          <w:rFonts w:ascii="Arial" w:hAnsi="Arial" w:cs="Arial"/>
        </w:rPr>
      </w:pPr>
      <w:r w:rsidRPr="00091805">
        <w:rPr>
          <w:rFonts w:ascii="Arial" w:hAnsi="Arial" w:cs="Arial"/>
        </w:rPr>
        <w:t>The reviewed studies collectively highlight the centrality of contextualization of scientific concepts, where teachers consistently bridge cultural artefacts such as fishing tools, pottery, and herbal plants to explain physics, chemistry, and biology phenomena. This practice situates science within students’ lived experiences, making abstract concepts more tangible and meaningful.</w:t>
      </w:r>
    </w:p>
    <w:p w14:paraId="12D058A5" w14:textId="77777777" w:rsidR="00091805" w:rsidRPr="00091805" w:rsidRDefault="00091805" w:rsidP="00091805">
      <w:pPr>
        <w:pStyle w:val="Body"/>
        <w:spacing w:before="120" w:after="120"/>
        <w:rPr>
          <w:rFonts w:ascii="Arial" w:hAnsi="Arial" w:cs="Arial"/>
        </w:rPr>
      </w:pPr>
      <w:r w:rsidRPr="00091805">
        <w:rPr>
          <w:rFonts w:ascii="Arial" w:hAnsi="Arial" w:cs="Arial"/>
        </w:rPr>
        <w:t xml:space="preserve">Another recurring practice is the integration of local philosophies into science experimentation. Lessons are reframed as ethical and epistemological inquiries grounded in indigenous wisdom such as </w:t>
      </w:r>
      <w:proofErr w:type="spellStart"/>
      <w:r w:rsidRPr="00091805">
        <w:rPr>
          <w:rFonts w:ascii="Arial" w:hAnsi="Arial" w:cs="Arial"/>
          <w:i/>
          <w:iCs/>
        </w:rPr>
        <w:t>Catur</w:t>
      </w:r>
      <w:proofErr w:type="spellEnd"/>
      <w:r w:rsidRPr="00091805">
        <w:rPr>
          <w:rFonts w:ascii="Arial" w:hAnsi="Arial" w:cs="Arial"/>
          <w:i/>
          <w:iCs/>
        </w:rPr>
        <w:t xml:space="preserve"> </w:t>
      </w:r>
      <w:proofErr w:type="spellStart"/>
      <w:r w:rsidRPr="00091805">
        <w:rPr>
          <w:rFonts w:ascii="Arial" w:hAnsi="Arial" w:cs="Arial"/>
          <w:i/>
          <w:iCs/>
        </w:rPr>
        <w:t>Pramana</w:t>
      </w:r>
      <w:proofErr w:type="spellEnd"/>
      <w:r w:rsidRPr="00091805">
        <w:rPr>
          <w:rFonts w:ascii="Arial" w:hAnsi="Arial" w:cs="Arial"/>
        </w:rPr>
        <w:t>, emphasizing observation, inference, and moral responsibility in scientific processes. This approach not only fosters cognitive understanding but also internalizes ethical dimensions of knowledge</w:t>
      </w:r>
      <w:r w:rsidR="00571A9A">
        <w:rPr>
          <w:rFonts w:ascii="Arial" w:hAnsi="Arial" w:cs="Arial"/>
        </w:rPr>
        <w:t xml:space="preserve"> </w:t>
      </w:r>
      <w:r w:rsidR="00571A9A">
        <w:rPr>
          <w:rFonts w:ascii="Arial" w:hAnsi="Arial" w:cs="Arial"/>
        </w:rPr>
        <w:fldChar w:fldCharType="begin" w:fldLock="1"/>
      </w:r>
      <w:r w:rsidR="00571A9A">
        <w:rPr>
          <w:rFonts w:ascii="Arial" w:hAnsi="Arial" w:cs="Arial"/>
        </w:rPr>
        <w:instrText>ADDIN CSL_CITATION {"citationItems":[{"id":"ITEM-1","itemData":{"DOI":"10.22521/edupij.2025.15.96","ISSN":"21470901 (ISSN); 25648020 (ISSN)","abstract":"Background/purpose. One of the skills that students had to master in science learning was science process skills. However, there has not been much research examining these skills in elementary schools, especially those related to practicum guides integrated with local wisdom. Therefore, this study aimed to analyze the effectiveness of a science practicum guide for elementary schools integrated with Catur Pramana to improve students’ science process skills. This guide was developed based on the surrounding environment and the concept of local wisdom in Bali, Indonesia. Materials/methods. This study used a quasi-experimental approach with a one-group pre-test and post-test design involving 94 students as samples. Data were collected through practicum observation sheets and analyzed using gain scores to assess the improvement of students’ science process skills. Results. The analysis's results showed that the practicum guide was effective in improving science process skills, which were included in the moderate category. Furthermore, each indicator of science process skills showed an increase, with each gain score also included in the moderate category. Among the six indicators measured, the prediction indicator had the lowest score compared to the other indicators. Conclusion. The elementary school science practicum guide integrated with Catur Pramana proved effective in improving students’ science process skills. Therefore, this guide was seen as an effective solution to help students develop science process skills in elementary schools. This study also recommended the use of similar guides at higher school levels. © 2025 Elsevier B.V., All rights reserved.","author":[{"dropping-particle":"","family":"Darmayanti","given":"N W S","non-dropping-particle":"","parse-names":false,"suffix":""},{"dropping-particle":"","family":"Alsulami","given":"N M","non-dropping-particle":"","parse-names":false,"suffix":""},{"dropping-particle":"","family":"Pradnyana","given":"P B","non-dropping-particle":"","parse-names":false,"suffix":""},{"dropping-particle":"","family":"Fitriyana","given":"N I","non-dropping-particle":"","parse-names":false,"suffix":""},{"dropping-particle":"","family":"Sueca","given":"I N","non-dropping-particle":"","parse-names":false,"suffix":""},{"dropping-particle":"","family":"Isnawan","given":"M G","non-dropping-particle":"","parse-names":false,"suffix":""}],"container-title":"Educational Process: International Journal","id":"ITEM-1","issued":{"date-parts":[["2025"]]},"language":"English","note":"Export Date: 22 October 2025; Cited By: 0","publisher":"Universitepark","publisher-place":"Markandeya Bali Institute of Technology and Education, The Faculty of Teacher Training and Education, Bali, Indonesia","title":"The Effectiveness of the Environment-Oriented Practicum Guide Integrated with Catur Pramana in Developing Students’ Science Process Skills","type":"article-journal","volume":"15"},"uris":["http://www.mendeley.com/documents/?uuid=93db02d3-ec98-4e88-b93d-66519565d5b4"]}],"mendeley":{"formattedCitation":"(Darmayanti et al., 2025)","plainTextFormattedCitation":"(Darmayanti et al., 2025)","previouslyFormattedCitation":"(Darmayanti et al., 2025)"},"properties":{"noteIndex":0},"schema":"https://github.com/citation-style-language/schema/raw/master/csl-citation.json"}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(Darmayanti et al., 2025)</w:t>
      </w:r>
      <w:r w:rsidR="00571A9A">
        <w:rPr>
          <w:rFonts w:ascii="Arial" w:hAnsi="Arial" w:cs="Arial"/>
        </w:rPr>
        <w:fldChar w:fldCharType="end"/>
      </w:r>
      <w:r w:rsidRPr="00091805">
        <w:rPr>
          <w:rFonts w:ascii="Arial" w:hAnsi="Arial" w:cs="Arial"/>
        </w:rPr>
        <w:t>.</w:t>
      </w:r>
    </w:p>
    <w:p w14:paraId="5DE56FAE" w14:textId="77777777" w:rsidR="00091805" w:rsidRPr="00091805" w:rsidRDefault="00091805" w:rsidP="00091805">
      <w:pPr>
        <w:pStyle w:val="Body"/>
        <w:spacing w:before="120" w:after="120"/>
        <w:rPr>
          <w:rFonts w:ascii="Arial" w:hAnsi="Arial" w:cs="Arial"/>
        </w:rPr>
      </w:pPr>
      <w:r w:rsidRPr="00091805">
        <w:rPr>
          <w:rFonts w:ascii="Arial" w:hAnsi="Arial" w:cs="Arial"/>
        </w:rPr>
        <w:t xml:space="preserve">Collaborative and inclusive learning emerges as a distinctive practice, particularly through the incorporation of </w:t>
      </w:r>
      <w:proofErr w:type="spellStart"/>
      <w:r w:rsidRPr="00091805">
        <w:rPr>
          <w:rFonts w:ascii="Arial" w:hAnsi="Arial" w:cs="Arial"/>
          <w:i/>
          <w:iCs/>
        </w:rPr>
        <w:t>Huyula</w:t>
      </w:r>
      <w:proofErr w:type="spellEnd"/>
      <w:r w:rsidRPr="00091805">
        <w:rPr>
          <w:rFonts w:ascii="Arial" w:hAnsi="Arial" w:cs="Arial"/>
        </w:rPr>
        <w:t xml:space="preserve"> and </w:t>
      </w:r>
      <w:r w:rsidRPr="00091805">
        <w:rPr>
          <w:rFonts w:ascii="Arial" w:hAnsi="Arial" w:cs="Arial"/>
          <w:i/>
          <w:iCs/>
        </w:rPr>
        <w:t>gotong royong</w:t>
      </w:r>
      <w:r w:rsidRPr="00091805">
        <w:rPr>
          <w:rFonts w:ascii="Arial" w:hAnsi="Arial" w:cs="Arial"/>
        </w:rPr>
        <w:t xml:space="preserve"> values</w:t>
      </w:r>
      <w:r w:rsidR="00571A9A">
        <w:rPr>
          <w:rFonts w:ascii="Arial" w:hAnsi="Arial" w:cs="Arial"/>
        </w:rPr>
        <w:t xml:space="preserve"> </w:t>
      </w:r>
      <w:r w:rsidR="00571A9A">
        <w:rPr>
          <w:rFonts w:ascii="Arial" w:hAnsi="Arial" w:cs="Arial"/>
        </w:rPr>
        <w:fldChar w:fldCharType="begin" w:fldLock="1"/>
      </w:r>
      <w:r w:rsidR="004D1FB7">
        <w:rPr>
          <w:rFonts w:ascii="Arial" w:hAnsi="Arial" w:cs="Arial"/>
        </w:rPr>
        <w:instrText>ADDIN CSL_CITATION {"citationItems":[{"id":"ITEM-1","itemData":{"DOI":"10.15294/jpii.v14i2.24087","ISSN":"23391286 (ISSN); 20894392 (ISSN)","abstract":"Science learning in public schools should be designed to accommodate both regular students and students with special education needs. This is also one of the implementations of SDG 4, Sustainable Development, specifically related to quality education and inclusive education. This study aims to measure the effectiveness of cooperative learning integrated with local wisdom values of Huyula in improving science concept mastery among regular students and students with special education needs in public schools. The study employs a pre-experimental design with a one-group, pretest-posttest approach. The study was conducted in five schools involving 323 regular students and 12 students with special education needs. The research results on the effectiveness of cooperative learning integrated with the local wisdom values of Huyula showed a significant increase in science concept mastery. This is indicated by the hypothesis test through the Wilcoxon signed-rank test with a value of z =-15.84, through the N-Gain test (high category, average 0.74), and a strong effect size through the rank-biserial correlation value (-1.00). This study concludes that the implementation of science learning integrated with Huyula values and media variety has an influence and is effective in improving the science concept mastery of regular students in the high category and students with special education needs in the medium category. This finding highlights the importance of integrating local wisdom values and media variety in supporting the improvement of science concept mastery through meaningful and inclusive teaching for all students. © 2025 Elsevier B.V., All rights reserved.","author":[{"dropping-particle":"","family":"Odja","given":"A H","non-dropping-particle":"","parse-names":false,"suffix":""},{"dropping-particle":"","family":"Ratha","given":"D","non-dropping-particle":"","parse-names":false,"suffix":""},{"dropping-particle":"","family":"Pikoli","given":"M","non-dropping-particle":"","parse-names":false,"suffix":""},{"dropping-particle":"","family":"Yunus","given":"R","non-dropping-particle":"","parse-names":false,"suffix":""},{"dropping-particle":"","family":"Mohamad","given":"W M","non-dropping-particle":"","parse-names":false,"suffix":""},{"dropping-particle":"","family":"Mursalin","given":"U.","non-dropping-particle":"","parse-names":false,"suffix":""}],"container-title":"Jurnal Pendidikan IPA Indonesia","id":"ITEM-1","issue":"2","issued":{"date-parts":[["2025"]]},"language":"English","note":"Export Date: 22 October 2025; Cited By: 0","page":"282-295","publisher":"Universitas Negeri Semarang","publisher-place":"State University of Gorontalo, Gorontalo, Indonesia","title":"The effectiveness of cooperative learning integrated with Huyula values and variety of media to improve science mastery in inclusive environments","type":"article-journal","volume":"14"},"uris":["http://www.mendeley.com/documents/?uuid=1e67d1a0-cc92-4151-8c38-52bbc27230eb"]}],"mendeley":{"formattedCitation":"(Odja et al., 2025)","plainTextFormattedCitation":"(Odja et al., 2025)","previouslyFormattedCitation":"(Odja et al., 2025)"},"properties":{"noteIndex":0},"schema":"https://github.com/citation-style-language/schema/raw/master/csl-citation.json"}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(Odja et al., 2025)</w:t>
      </w:r>
      <w:r w:rsidR="00571A9A">
        <w:rPr>
          <w:rFonts w:ascii="Arial" w:hAnsi="Arial" w:cs="Arial"/>
        </w:rPr>
        <w:fldChar w:fldCharType="end"/>
      </w:r>
      <w:r w:rsidRPr="00091805">
        <w:rPr>
          <w:rFonts w:ascii="Arial" w:hAnsi="Arial" w:cs="Arial"/>
        </w:rPr>
        <w:t>. These foster empathy, cooperation, and peer support in mixed-ability classrooms, aligning with inclusive education principles under SDG 4.</w:t>
      </w:r>
    </w:p>
    <w:p w14:paraId="45FA59D3" w14:textId="77777777" w:rsidR="00091805" w:rsidRPr="00091805" w:rsidRDefault="00091805" w:rsidP="00091805">
      <w:pPr>
        <w:pStyle w:val="Body"/>
        <w:spacing w:before="120" w:after="120"/>
        <w:rPr>
          <w:rFonts w:ascii="Arial" w:hAnsi="Arial" w:cs="Arial"/>
        </w:rPr>
      </w:pPr>
      <w:r w:rsidRPr="00091805">
        <w:rPr>
          <w:rFonts w:ascii="Arial" w:hAnsi="Arial" w:cs="Arial"/>
        </w:rPr>
        <w:t>The use of digital and multimedia tools enhances the accessibility and personalization of learning. Digital modules, e-books, and online inquiry environments facilitate self-paced exploration and foster independent learning habits among students</w:t>
      </w:r>
      <w:r w:rsidR="00571A9A">
        <w:rPr>
          <w:rFonts w:ascii="Arial" w:hAnsi="Arial" w:cs="Arial"/>
        </w:rPr>
        <w:t xml:space="preserve"> </w:t>
      </w:r>
      <w:r w:rsidR="00571A9A">
        <w:rPr>
          <w:rFonts w:ascii="Arial" w:hAnsi="Arial" w:cs="Arial"/>
        </w:rPr>
        <w:fldChar w:fldCharType="begin" w:fldLock="1"/>
      </w:r>
      <w:r w:rsidR="004D1FB7">
        <w:rPr>
          <w:rFonts w:ascii="Arial" w:hAnsi="Arial" w:cs="Arial"/>
        </w:rPr>
        <w:instrText>ADDIN CSL_CITATION {"citationItems":[{"id":"ITEM-1","itemData":{"DOI":"10.24857/rgsa.v18n8-062","ISSN":"1981982X (ISSN)","abstract":"Objective: This research aims to produce a social science learning model based on pangngadakkang tupanrita by using digital resources that are feasible, practical and effective to increase the prosocial behavior of elementary school students Theoretical Framework: One of the causes of low prosocial behavior is the lack of learning material that contains this topic coupled with learning models that are not applied appropriately so that students' understanding of the concepts does not reach the application stage Method: This research is research and development of the Borg, Gall, and Gall model which consists of ten steps Results and Discussion: The results of the study are based on the identification of the needs of Sanrobone State Elementary School students, it was found that low prosocial behavior requires a learning model that is able to improve students' prosocial behavior at each activity step and a social studies learning model based on pangngadakkang tupanrita is very feasible, very practical, used and quite effective to improve the prosocial behavior of elementary school students in South Sulawesi Province. Research Implications: Teaching local wisdom to students through digital resources can enhance their learning process and help them understand traditional culture and values. In addition, this research also shows how this paradigm can enhance prosocial behavior, shape students' personalities, foster stronger social bonds, and prepare them to participate responsibly in society. Originality/Value: It enriches the curriculum with information from local customs and culture by combining local knowledge with digital learning tools. With an emphasis on improving prosocial behavior, the program broadens students' understanding of cultural heritage. © 2024 Elsevier B.V., All rights reserved.","author":[{"dropping-particle":"","family":"Budiningsih","given":"C A","non-dropping-particle":"","parse-names":false,"suffix":""},{"dropping-particle":"","family":"Suwarjo","given":"S","non-dropping-particle":"","parse-names":false,"suffix":""},{"dropping-particle":"","family":"Puspitasari","given":"E","non-dropping-particle":"","parse-names":false,"suffix":""},{"dropping-particle":"","family":"Harefa","given":"E","non-dropping-particle":"","parse-names":false,"suffix":""}],"container-title":"Revista de Gestao Social e Ambiental","id":"ITEM-1","issue":"8","issued":{"date-parts":[["2024"]]},"language":"English","note":"Export Date: 22 October 2025; Cited By: 0","publisher":"ANPAD - Associacao Nacional de Pos-Graduacao e Pesquisa em Administracao","publisher-place":"Universitas Negeri Yogyakarta, Yogyakarta, Indonesia","title":"Development of a social sciences learning model based on local wisdom pangngadakkang tupanrita by utilizing digital resources to improve prosocial behavior of elementary school: Students South Sulawesi Province, Indonesia","type":"article-journal","volume":"18"},"uris":["http://www.mendeley.com/documents/?uuid=8fde695b-144b-4b2e-93a4-a1ed63aea709"]},{"id":"ITEM-2","itemData":{"DOI":"10.20448/jeelr.v10i4.5233","ISSN":"24109991 (ISSN); 25180169 (ISSN)","abstract":"Inquiry-based learning overcomes the gap between the acquisition of knowledge through discovery though it is not always directly proportional to students' development of critical thinking (CT). Knowledge about the real-world contexts in which children will learn is the first step in cultivating CT in science learning. Science inquiry is most relevant when it is linked to the cultural context and local wisdom in which students are growing and developing. On one hand, the current focus of learning is on digital systems which can also provide opportunities to enhance CT. The current study aims to implement a blend of inquiry-based learning and Ethnoscience on a digital learning platform (e-learning) and assess its effect on the pre-service science teachers’ (PSTs) CT abilities. The study is conducted using an experimental method involving PSTs as participants. Several valid test instruments are employed to measure CT skills and the results are analyzed. According to the study's findings, there have been notable advancements in CT due to the digital learning platform's dynamic fusion of Ethnoscience and inquiry. This study demonstrates that the dynamic blend of Ethnoscience and inquiry in a digital learning platform can serve as a cutting-edge learning method for empowering CT particularly in future science teachers. © 2024 Elsevier B.V., All rights reserved.","author":[{"dropping-particle":"","family":"Prayogi","given":"S","non-dropping-particle":"","parse-names":false,"suffix":""},{"dropping-particle":"","family":"Ahzan","given":"S","non-dropping-particle":"","parse-names":false,"suffix":""},{"dropping-particle":"","family":"Rokhmat","given":"J","non-dropping-particle":"","parse-names":false,"suffix":""},{"dropping-particle":"","family":"Verawati","given":"N.N.S.P.","non-dropping-particle":"","parse-names":false,"suffix":""}],"container-title":"Journal of Education and e-Learning Research","id":"ITEM-2","issue":"4","issued":{"date-parts":[["2023"]]},"language":"English","note":"Export Date: 22 October 2025; Cited By: 7","page":"819-828","publisher":"Asian Online Journal Publishing Group","publisher-place":"Universitas Pendidikan Mandalika, Mataram, Indonesia","title":"Dynamic blend of ethnoscience and inquiry in a digital learning platform (e-learning) for empowering future science educators' critical thinking","type":"article-journal","volume":"10"},"uris":["http://www.mendeley.com/documents/?uuid=19f3f60e-a18c-46cf-9533-a9f2bc2aebd4"]}],"mendeley":{"formattedCitation":"(Budiningsih et al., 2024; Prayogi et al., 2023)","plainTextFormattedCitation":"(Budiningsih et al., 2024; Prayogi et al., 2023)","previouslyFormattedCitation":"(Budiningsih et al., 2024; Prayogi et al., 2023)"},"properties":{"noteIndex":0},"schema":"https://github.com/citation-style-language/schema/raw/master/csl-citation.json"}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(Budiningsih et al., 2024; Prayogi et al., 2023)</w:t>
      </w:r>
      <w:r w:rsidR="00571A9A">
        <w:rPr>
          <w:rFonts w:ascii="Arial" w:hAnsi="Arial" w:cs="Arial"/>
        </w:rPr>
        <w:fldChar w:fldCharType="end"/>
      </w:r>
      <w:r w:rsidRPr="00091805">
        <w:rPr>
          <w:rFonts w:ascii="Arial" w:hAnsi="Arial" w:cs="Arial"/>
        </w:rPr>
        <w:t>.</w:t>
      </w:r>
    </w:p>
    <w:p w14:paraId="0B5D699C" w14:textId="78B8F6CB" w:rsidR="00571A9A" w:rsidRPr="00091805" w:rsidRDefault="00091805" w:rsidP="00091805">
      <w:pPr>
        <w:pStyle w:val="Body"/>
        <w:spacing w:before="120" w:after="120"/>
        <w:rPr>
          <w:rFonts w:ascii="Arial" w:hAnsi="Arial" w:cs="Arial"/>
        </w:rPr>
      </w:pPr>
      <w:r w:rsidRPr="00091805">
        <w:rPr>
          <w:rFonts w:ascii="Arial" w:hAnsi="Arial" w:cs="Arial"/>
        </w:rPr>
        <w:t>Community engagement serves as a pedagogical bridge between formal and informal education. Cultural exhibitions, eco-projects, and field-based science activities connect school-based learning with societal contexts, strengthening civic awareness and environmental stewardship</w:t>
      </w:r>
      <w:r w:rsidR="00571A9A">
        <w:rPr>
          <w:rFonts w:ascii="Arial" w:hAnsi="Arial" w:cs="Arial"/>
        </w:rPr>
        <w:t xml:space="preserve"> </w:t>
      </w:r>
      <w:r w:rsidR="00571A9A">
        <w:rPr>
          <w:rFonts w:ascii="Arial" w:hAnsi="Arial" w:cs="Arial"/>
        </w:rPr>
        <w:fldChar w:fldCharType="begin" w:fldLock="1"/>
      </w:r>
      <w:r w:rsidR="004D1FB7">
        <w:rPr>
          <w:rFonts w:ascii="Arial" w:hAnsi="Arial" w:cs="Arial"/>
        </w:rPr>
        <w:instrText>ADDIN CSL_CITATION {"citationItems":[{"id":"ITEM-1","itemData":{"DOI":"10.5430/JCT.V12N3P58","ISSN":"19272685 (ISSN); 19272677 (ISSN)","abstract":"The research aimed to 1) study science knowledge in local wisdom of Mueang Kung pottery, Chiang Mai province, 2) develop local wisdom-based science learning innovation to promote creative problem-solving skills, and 3) study satisfaction levels of students to local wisdom-based science learning innovation to promote creative problem-solving skills. The research was action research. The sample in the research consisted of: 1) one village scholar of Mueang Kung village, Hang Dong district, Chiang Mai province; 2) experts of local wisdom learning management accounting for 3 people; and 3) third-year students of Chemistry Departments and fourth-year students of Faculty of Education, Chiang Mai Rajabhat University for the academic year of 2020 accounting for 15 people. Purposive sampling was used. The study results revealed that: 1) From the study on scientific knowledge in local wisdom of Mueang Kung pottery, Chiang Mai province, it was found that in the process of producing Baan Mueang Kung pottery of Chiang Mai province, scientific knowledge has been used to be integrated to develop quality pottery. The knowledge found in the community can be used to design local wisdom-based science learning innovation to promote creative problem-solving skills. 2) From developing local wisdom-based science learning innovation to promote creative problem-solving skills, it was found that the learning innovation developed in the form of Splendor Board Game with components, namely (1) cards in various forms, (2) the board for playing the Board Game and (3) rules of playing and there were results of assessing efficiency of the innovation (E1/E2) at the level: 80.22/81.56. This is deemed to have efficiency in implementation for learning. 3) Regarding satisfaction levels of students to local wisdom-based science learning innovation, it was found that the students had satisfaction levels at the highest level. © 2023 Elsevier B.V., All rights reserved.","author":[{"dropping-particle":"","family":"Chaijalearn","given":"Y","non-dropping-particle":"","parse-names":false,"suffix":""},{"dropping-particle":"","family":"Ratchawet","given":"A","non-dropping-particle":"","parse-names":false,"suffix":""},{"dropping-particle":"","family":"Sappan","given":"P","non-dropping-particle":"","parse-names":false,"suffix":""},{"dropping-particle":"","family":"Thanaparn","given":"N","non-dropping-particle":"","parse-names":false,"suffix":""},{"dropping-particle":"","family":"Kaensongsai","given":"J","non-dropping-particle":"","parse-names":false,"suffix":""},{"dropping-particle":"","family":"Intharawiset","given":"T","non-dropping-particle":"","parse-names":false,"suffix":""}],"container-title":"Journal of Curriculum and Teaching","id":"ITEM-1","issue":"3","issued":{"date-parts":[["2023"]]},"language":"English","note":"Export Date: 22 October 2025; Cited By: 2","page":"58-69","publisher":"Sciedu Press","publisher-place":"Thepsatri Rajabhat University, Department of Chemistry, Lopburi, Thailand","title":"Development of Local Wisdom-Based Science Learning Innovation to Promote Creative Problem-solving Skill: Case Study Chessboard Game of Mueang Kung Pottery, Chiang Mai","type":"article-journal","volume":"12"},"uris":["http://www.mendeley.com/documents/?uuid=2e0945f1-fb0f-423b-8312-af3a6bc860b9"]},{"id":"ITEM-2","itemData":{"DOI":"10.5530/pj.2021.13.29","ISSN":"09753575 (ISSN)","abstract":"Indonesia is one of the countries that has the largest tropical forest land in the world, this makes Indonesia rich in diversity of flora and fauna.This diversity produces a variety of cultures, traditions and local wisdom. One of the local wisdoms of the people of West Sumatra is the use and utilization of the biodiversity around it as a medicine for various diseases. The type of medicinal plant that is the focus of this research is the type of Akar Kuning plant (Arcangelisia flava Merr.). This research is an educational research conducted using an ethnoscience approach, meaning that it is based on the indigenous knowledge of the local community. This study aims to reconstruct knowledge from a cultural / community perspective in the health sector. which later will become a knowledge with scientific explanation. The data were obtained through direct observation to the research location regarding indigenous knowledge about the Akar Kuning plant and also based on laboratory test data on antibacterial activity carried out in the biology laboratory of Semarang State University. All data obtained will be analyzed and also strengthened by various sources. The analysis concluded that the Akar Kuning (Arcangelisia flava Merr.) Plant contains bioactive compounds that act as antibacterials, thus inhibiting bacterial growth.This is evidenced by the inhibition zone diameter data produced during laboratory tests showing the results that the Yellow Root plant extract (Arcangelisia flava Merr). © 2021 Elsevier B.V., All rights reserved.","author":[{"dropping-particle":"","family":"Diliarosta","given":"S","non-dropping-particle":"","parse-names":false,"suffix":""},{"dropping-particle":"","family":"Sudarmin","given":"S","non-dropping-particle":"","parse-names":false,"suffix":""},{"dropping-particle":"","family":"Efendi","given":"A","non-dropping-particle":"","parse-names":false,"suffix":""},{"dropping-particle":"","family":"Dillasamola","given":"D","non-dropping-particle":"","parse-names":false,"suffix":""},{"dropping-particle":"","family":"Oktomalioputri","given":"B","non-dropping-particle":"","parse-names":false,"suffix":""},{"dropping-particle":"","family":"Ramadhani","given":"R","non-dropping-particle":"","parse-names":false,"suffix":""}],"container-title":"Pharmacognosy Journal","id":"ITEM-2","issue":"1","issued":{"date-parts":[["2021"]]},"language":"English","note":"Export Date: 22 October 2025; Cited By: 11","page":"206-211","publisher":"EManuscript Technologies","publisher-place":"Universitas Negeri Padang, Department of Science Education, Padang, Indonesia","title":"Reconstruction and scientific explanation of akar kuning (Arcangelisia flava Merr.) from west sumatra as ethnomedicine and source of science learning","type":"article-journal","volume":"13"},"uris":["http://www.mendeley.com/documents/?uuid=03a93b28-46c5-4365-a82d-cd32a0cc9baa"]}],"mendeley":{"formattedCitation":"(Chaijalearn et al., 2023; Diliarosta et al., 2021)","plainTextFormattedCitation":"(Chaijalearn et al., 2023; Diliarosta et al., 2021)","previouslyFormattedCitation":"(Chaijalearn et al., 2023; Diliarosta et al., 2021)"},"properties":{"noteIndex":0},"schema":"https://github.com/citation-style-language/schema/raw/master/csl-citation.json"}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(Chaijalearn et al., 2023; Diliarosta et al., 2021)</w:t>
      </w:r>
      <w:r w:rsidR="00571A9A">
        <w:rPr>
          <w:rFonts w:ascii="Arial" w:hAnsi="Arial" w:cs="Arial"/>
        </w:rPr>
        <w:fldChar w:fldCharType="end"/>
      </w:r>
      <w:r w:rsidRPr="00091805">
        <w:rPr>
          <w:rFonts w:ascii="Arial" w:hAnsi="Arial" w:cs="Arial"/>
        </w:rPr>
        <w:t>.</w:t>
      </w:r>
    </w:p>
    <w:p w14:paraId="19A93B40" w14:textId="77777777" w:rsidR="00091805" w:rsidRPr="00091805" w:rsidRDefault="00091805" w:rsidP="00091805">
      <w:pPr>
        <w:pStyle w:val="Body"/>
        <w:spacing w:before="120" w:after="120"/>
        <w:rPr>
          <w:rFonts w:ascii="Arial" w:hAnsi="Arial" w:cs="Arial"/>
          <w:b/>
          <w:bCs/>
        </w:rPr>
      </w:pPr>
      <w:r>
        <w:rPr>
          <w:rFonts w:ascii="Arial" w:hAnsi="Arial" w:cs="Arial"/>
          <w:b/>
          <w:bCs/>
        </w:rPr>
        <w:t>3.3.2</w:t>
      </w:r>
      <w:r w:rsidRPr="00091805">
        <w:rPr>
          <w:rFonts w:ascii="Arial" w:hAnsi="Arial" w:cs="Arial"/>
          <w:b/>
          <w:bCs/>
        </w:rPr>
        <w:t xml:space="preserve"> Documented Outcomes</w:t>
      </w:r>
    </w:p>
    <w:p w14:paraId="0C52B4DC" w14:textId="77777777" w:rsidR="00091805" w:rsidRPr="00091805" w:rsidRDefault="00091805" w:rsidP="00091805">
      <w:pPr>
        <w:pStyle w:val="Body"/>
        <w:spacing w:before="120" w:after="120"/>
        <w:rPr>
          <w:rFonts w:ascii="Arial" w:hAnsi="Arial" w:cs="Arial"/>
        </w:rPr>
      </w:pPr>
      <w:r w:rsidRPr="00091805">
        <w:rPr>
          <w:rFonts w:ascii="Arial" w:hAnsi="Arial" w:cs="Arial"/>
        </w:rPr>
        <w:t>Before discussing the quantitative outcomes, it is crucial to emphasize that the studies under review consistently demonstrate improvements across cognitive, affective, and psychomotor domains. These effects are not limited to academic achievement but extend to behavioral change and character development. The following table summarizes the core findings of learning outcomes from each pedagogical framework.</w:t>
      </w:r>
    </w:p>
    <w:p w14:paraId="5BF10EA6" w14:textId="6AE0BE7B" w:rsidR="00091805" w:rsidRPr="00091805" w:rsidRDefault="000D6CDB" w:rsidP="00091805">
      <w:pPr>
        <w:pStyle w:val="Body"/>
        <w:spacing w:after="0"/>
        <w:rPr>
          <w:rFonts w:ascii="Arial" w:hAnsi="Arial" w:cs="Arial"/>
        </w:rPr>
      </w:pPr>
      <w:r w:rsidRPr="000D6CDB">
        <w:rPr>
          <w:rFonts w:ascii="Arial" w:hAnsi="Arial" w:cs="Arial"/>
          <w:b/>
          <w:bCs/>
        </w:rPr>
        <w:t>Table 1. Summary of Learning Outcomes in Local Wisdom–Based Science Learning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8"/>
        <w:gridCol w:w="2360"/>
        <w:gridCol w:w="3440"/>
      </w:tblGrid>
      <w:tr w:rsidR="00091805" w:rsidRPr="00091805" w14:paraId="1ACB8149" w14:textId="77777777" w:rsidTr="00091805">
        <w:trPr>
          <w:tblCellSpacing w:w="15" w:type="dxa"/>
        </w:trPr>
        <w:tc>
          <w:tcPr>
            <w:tcW w:w="0" w:type="auto"/>
            <w:tcBorders>
              <w:top w:val="single" w:sz="4" w:space="0" w:color="auto"/>
              <w:bottom w:val="single" w:sz="4" w:space="0" w:color="auto"/>
            </w:tcBorders>
            <w:vAlign w:val="center"/>
            <w:hideMark/>
          </w:tcPr>
          <w:p w14:paraId="49CBCF05" w14:textId="77777777" w:rsidR="00091805" w:rsidRPr="00091805" w:rsidRDefault="00091805" w:rsidP="00091805">
            <w:pPr>
              <w:pStyle w:val="Body"/>
              <w:spacing w:after="0"/>
              <w:rPr>
                <w:rFonts w:ascii="Arial" w:hAnsi="Arial" w:cs="Arial"/>
                <w:b/>
                <w:bCs/>
              </w:rPr>
            </w:pPr>
            <w:r w:rsidRPr="00091805">
              <w:rPr>
                <w:rFonts w:ascii="Arial" w:hAnsi="Arial" w:cs="Arial"/>
                <w:b/>
                <w:bCs/>
              </w:rPr>
              <w:t>Learning Outcome</w:t>
            </w:r>
          </w:p>
        </w:tc>
        <w:tc>
          <w:tcPr>
            <w:tcW w:w="0" w:type="auto"/>
            <w:tcBorders>
              <w:top w:val="single" w:sz="4" w:space="0" w:color="auto"/>
              <w:bottom w:val="single" w:sz="4" w:space="0" w:color="auto"/>
            </w:tcBorders>
            <w:vAlign w:val="center"/>
            <w:hideMark/>
          </w:tcPr>
          <w:p w14:paraId="2AD1CF0E" w14:textId="77777777" w:rsidR="00091805" w:rsidRPr="00091805" w:rsidRDefault="00091805" w:rsidP="00091805">
            <w:pPr>
              <w:pStyle w:val="Body"/>
              <w:spacing w:after="0"/>
              <w:rPr>
                <w:rFonts w:ascii="Arial" w:hAnsi="Arial" w:cs="Arial"/>
                <w:b/>
                <w:bCs/>
              </w:rPr>
            </w:pPr>
            <w:r w:rsidRPr="00091805">
              <w:rPr>
                <w:rFonts w:ascii="Arial" w:hAnsi="Arial" w:cs="Arial"/>
                <w:b/>
                <w:bCs/>
              </w:rPr>
              <w:t>Representative Model</w:t>
            </w:r>
          </w:p>
        </w:tc>
        <w:tc>
          <w:tcPr>
            <w:tcW w:w="0" w:type="auto"/>
            <w:tcBorders>
              <w:top w:val="single" w:sz="4" w:space="0" w:color="auto"/>
              <w:bottom w:val="single" w:sz="4" w:space="0" w:color="auto"/>
            </w:tcBorders>
            <w:vAlign w:val="center"/>
            <w:hideMark/>
          </w:tcPr>
          <w:p w14:paraId="4E011690" w14:textId="77777777" w:rsidR="00091805" w:rsidRPr="00091805" w:rsidRDefault="00091805" w:rsidP="00091805">
            <w:pPr>
              <w:pStyle w:val="Body"/>
              <w:spacing w:after="0"/>
              <w:rPr>
                <w:rFonts w:ascii="Arial" w:hAnsi="Arial" w:cs="Arial"/>
                <w:b/>
                <w:bCs/>
              </w:rPr>
            </w:pPr>
            <w:r w:rsidRPr="00091805">
              <w:rPr>
                <w:rFonts w:ascii="Arial" w:hAnsi="Arial" w:cs="Arial"/>
                <w:b/>
                <w:bCs/>
              </w:rPr>
              <w:t>Result/Effect Size</w:t>
            </w:r>
          </w:p>
        </w:tc>
      </w:tr>
      <w:tr w:rsidR="00091805" w:rsidRPr="00091805" w14:paraId="667889BE" w14:textId="77777777">
        <w:trPr>
          <w:tblCellSpacing w:w="15" w:type="dxa"/>
        </w:trPr>
        <w:tc>
          <w:tcPr>
            <w:tcW w:w="0" w:type="auto"/>
            <w:vAlign w:val="center"/>
            <w:hideMark/>
          </w:tcPr>
          <w:p w14:paraId="0C2B8160" w14:textId="77777777" w:rsidR="00091805" w:rsidRPr="00091805" w:rsidRDefault="00091805" w:rsidP="00091805">
            <w:pPr>
              <w:pStyle w:val="Body"/>
              <w:spacing w:after="0"/>
              <w:rPr>
                <w:rFonts w:ascii="Arial" w:hAnsi="Arial" w:cs="Arial"/>
              </w:rPr>
            </w:pPr>
            <w:r w:rsidRPr="00091805">
              <w:rPr>
                <w:rFonts w:ascii="Arial" w:hAnsi="Arial" w:cs="Arial"/>
              </w:rPr>
              <w:t>Science Process Skills</w:t>
            </w:r>
          </w:p>
        </w:tc>
        <w:tc>
          <w:tcPr>
            <w:tcW w:w="0" w:type="auto"/>
            <w:vAlign w:val="center"/>
            <w:hideMark/>
          </w:tcPr>
          <w:p w14:paraId="7C0EE7A9" w14:textId="77777777" w:rsidR="00091805" w:rsidRPr="00091805" w:rsidRDefault="00091805" w:rsidP="00091805">
            <w:pPr>
              <w:pStyle w:val="Body"/>
              <w:spacing w:after="0"/>
              <w:rPr>
                <w:rFonts w:ascii="Arial" w:hAnsi="Arial" w:cs="Arial"/>
              </w:rPr>
            </w:pPr>
            <w:proofErr w:type="spellStart"/>
            <w:r w:rsidRPr="00091805">
              <w:rPr>
                <w:rFonts w:ascii="Arial" w:hAnsi="Arial" w:cs="Arial"/>
              </w:rPr>
              <w:t>Catur</w:t>
            </w:r>
            <w:proofErr w:type="spellEnd"/>
            <w:r w:rsidRPr="00091805">
              <w:rPr>
                <w:rFonts w:ascii="Arial" w:hAnsi="Arial" w:cs="Arial"/>
              </w:rPr>
              <w:t xml:space="preserve"> </w:t>
            </w:r>
            <w:proofErr w:type="spellStart"/>
            <w:r w:rsidRPr="00091805">
              <w:rPr>
                <w:rFonts w:ascii="Arial" w:hAnsi="Arial" w:cs="Arial"/>
              </w:rPr>
              <w:t>Pramana</w:t>
            </w:r>
            <w:proofErr w:type="spellEnd"/>
            <w:r w:rsidRPr="00091805">
              <w:rPr>
                <w:rFonts w:ascii="Arial" w:hAnsi="Arial" w:cs="Arial"/>
              </w:rPr>
              <w:t xml:space="preserve"> Practicum</w:t>
            </w:r>
          </w:p>
        </w:tc>
        <w:tc>
          <w:tcPr>
            <w:tcW w:w="0" w:type="auto"/>
            <w:vAlign w:val="center"/>
            <w:hideMark/>
          </w:tcPr>
          <w:p w14:paraId="62DA298A" w14:textId="77777777" w:rsidR="00091805" w:rsidRPr="00091805" w:rsidRDefault="00091805" w:rsidP="00091805">
            <w:pPr>
              <w:pStyle w:val="Body"/>
              <w:spacing w:after="0"/>
              <w:rPr>
                <w:rFonts w:ascii="Arial" w:hAnsi="Arial" w:cs="Arial"/>
              </w:rPr>
            </w:pPr>
            <w:r w:rsidRPr="00091805">
              <w:rPr>
                <w:rFonts w:ascii="Arial" w:hAnsi="Arial" w:cs="Arial"/>
              </w:rPr>
              <w:t>Moderate gains across all indicators</w:t>
            </w:r>
          </w:p>
        </w:tc>
      </w:tr>
      <w:tr w:rsidR="00091805" w:rsidRPr="00091805" w14:paraId="216082AE" w14:textId="77777777">
        <w:trPr>
          <w:tblCellSpacing w:w="15" w:type="dxa"/>
        </w:trPr>
        <w:tc>
          <w:tcPr>
            <w:tcW w:w="0" w:type="auto"/>
            <w:vAlign w:val="center"/>
            <w:hideMark/>
          </w:tcPr>
          <w:p w14:paraId="39492C78" w14:textId="77777777" w:rsidR="00091805" w:rsidRPr="00091805" w:rsidRDefault="00091805" w:rsidP="00091805">
            <w:pPr>
              <w:pStyle w:val="Body"/>
              <w:spacing w:after="0"/>
              <w:rPr>
                <w:rFonts w:ascii="Arial" w:hAnsi="Arial" w:cs="Arial"/>
              </w:rPr>
            </w:pPr>
            <w:r w:rsidRPr="00091805">
              <w:rPr>
                <w:rFonts w:ascii="Arial" w:hAnsi="Arial" w:cs="Arial"/>
              </w:rPr>
              <w:t>Scientific Attitude</w:t>
            </w:r>
          </w:p>
        </w:tc>
        <w:tc>
          <w:tcPr>
            <w:tcW w:w="0" w:type="auto"/>
            <w:vAlign w:val="center"/>
            <w:hideMark/>
          </w:tcPr>
          <w:p w14:paraId="473BC764" w14:textId="77777777" w:rsidR="00091805" w:rsidRPr="00091805" w:rsidRDefault="00091805" w:rsidP="00091805">
            <w:pPr>
              <w:pStyle w:val="Body"/>
              <w:spacing w:after="0"/>
              <w:rPr>
                <w:rFonts w:ascii="Arial" w:hAnsi="Arial" w:cs="Arial"/>
              </w:rPr>
            </w:pPr>
            <w:r w:rsidRPr="00091805">
              <w:rPr>
                <w:rFonts w:ascii="Arial" w:hAnsi="Arial" w:cs="Arial"/>
              </w:rPr>
              <w:t>Science Domain + Local Wisdom</w:t>
            </w:r>
          </w:p>
        </w:tc>
        <w:tc>
          <w:tcPr>
            <w:tcW w:w="0" w:type="auto"/>
            <w:vAlign w:val="center"/>
            <w:hideMark/>
          </w:tcPr>
          <w:p w14:paraId="5B5D3253" w14:textId="77777777" w:rsidR="00091805" w:rsidRPr="00091805" w:rsidRDefault="00091805" w:rsidP="00091805">
            <w:pPr>
              <w:pStyle w:val="Body"/>
              <w:spacing w:after="0"/>
              <w:rPr>
                <w:rFonts w:ascii="Arial" w:hAnsi="Arial" w:cs="Arial"/>
              </w:rPr>
            </w:pPr>
            <w:r w:rsidRPr="00091805">
              <w:rPr>
                <w:rFonts w:ascii="Arial" w:hAnsi="Arial" w:cs="Arial"/>
              </w:rPr>
              <w:t>Significant affective improvement</w:t>
            </w:r>
          </w:p>
        </w:tc>
      </w:tr>
      <w:tr w:rsidR="00091805" w:rsidRPr="00091805" w14:paraId="10A31764" w14:textId="77777777">
        <w:trPr>
          <w:tblCellSpacing w:w="15" w:type="dxa"/>
        </w:trPr>
        <w:tc>
          <w:tcPr>
            <w:tcW w:w="0" w:type="auto"/>
            <w:vAlign w:val="center"/>
            <w:hideMark/>
          </w:tcPr>
          <w:p w14:paraId="0E820F9A" w14:textId="77777777" w:rsidR="00091805" w:rsidRPr="00091805" w:rsidRDefault="00091805" w:rsidP="00091805">
            <w:pPr>
              <w:pStyle w:val="Body"/>
              <w:spacing w:after="0"/>
              <w:rPr>
                <w:rFonts w:ascii="Arial" w:hAnsi="Arial" w:cs="Arial"/>
              </w:rPr>
            </w:pPr>
            <w:r w:rsidRPr="00091805">
              <w:rPr>
                <w:rFonts w:ascii="Arial" w:hAnsi="Arial" w:cs="Arial"/>
              </w:rPr>
              <w:lastRenderedPageBreak/>
              <w:t>Critical Thinking &amp; Cultural Literacy</w:t>
            </w:r>
          </w:p>
        </w:tc>
        <w:tc>
          <w:tcPr>
            <w:tcW w:w="0" w:type="auto"/>
            <w:vAlign w:val="center"/>
            <w:hideMark/>
          </w:tcPr>
          <w:p w14:paraId="2E9D37E0" w14:textId="77777777" w:rsidR="00091805" w:rsidRPr="00091805" w:rsidRDefault="00091805" w:rsidP="00091805">
            <w:pPr>
              <w:pStyle w:val="Body"/>
              <w:spacing w:after="0"/>
              <w:rPr>
                <w:rFonts w:ascii="Arial" w:hAnsi="Arial" w:cs="Arial"/>
              </w:rPr>
            </w:pPr>
            <w:r w:rsidRPr="00091805">
              <w:rPr>
                <w:rFonts w:ascii="Arial" w:hAnsi="Arial" w:cs="Arial"/>
              </w:rPr>
              <w:t>STEM + Ethnoscience</w:t>
            </w:r>
          </w:p>
        </w:tc>
        <w:tc>
          <w:tcPr>
            <w:tcW w:w="0" w:type="auto"/>
            <w:vAlign w:val="center"/>
            <w:hideMark/>
          </w:tcPr>
          <w:p w14:paraId="6075574D" w14:textId="77777777" w:rsidR="00091805" w:rsidRPr="00091805" w:rsidRDefault="00091805" w:rsidP="00091805">
            <w:pPr>
              <w:pStyle w:val="Body"/>
              <w:spacing w:after="0"/>
              <w:rPr>
                <w:rFonts w:ascii="Arial" w:hAnsi="Arial" w:cs="Arial"/>
              </w:rPr>
            </w:pPr>
            <w:r w:rsidRPr="00091805">
              <w:rPr>
                <w:rFonts w:ascii="Arial" w:hAnsi="Arial" w:cs="Arial"/>
              </w:rPr>
              <w:t>ΔCT +19.8, ΔCL +16.9 (p &lt; 0.005)</w:t>
            </w:r>
          </w:p>
        </w:tc>
      </w:tr>
      <w:tr w:rsidR="00091805" w:rsidRPr="00091805" w14:paraId="09FFF78B" w14:textId="77777777">
        <w:trPr>
          <w:tblCellSpacing w:w="15" w:type="dxa"/>
        </w:trPr>
        <w:tc>
          <w:tcPr>
            <w:tcW w:w="0" w:type="auto"/>
            <w:vAlign w:val="center"/>
            <w:hideMark/>
          </w:tcPr>
          <w:p w14:paraId="5BC518D0" w14:textId="77777777" w:rsidR="00091805" w:rsidRPr="00091805" w:rsidRDefault="00091805" w:rsidP="00091805">
            <w:pPr>
              <w:pStyle w:val="Body"/>
              <w:spacing w:after="0"/>
              <w:rPr>
                <w:rFonts w:ascii="Arial" w:hAnsi="Arial" w:cs="Arial"/>
              </w:rPr>
            </w:pPr>
            <w:r w:rsidRPr="00091805">
              <w:rPr>
                <w:rFonts w:ascii="Arial" w:hAnsi="Arial" w:cs="Arial"/>
              </w:rPr>
              <w:t>Conservation Attitude</w:t>
            </w:r>
          </w:p>
        </w:tc>
        <w:tc>
          <w:tcPr>
            <w:tcW w:w="0" w:type="auto"/>
            <w:vAlign w:val="center"/>
            <w:hideMark/>
          </w:tcPr>
          <w:p w14:paraId="3355DA53" w14:textId="77777777" w:rsidR="00091805" w:rsidRPr="00091805" w:rsidRDefault="00091805" w:rsidP="00091805">
            <w:pPr>
              <w:pStyle w:val="Body"/>
              <w:spacing w:after="0"/>
              <w:rPr>
                <w:rFonts w:ascii="Arial" w:hAnsi="Arial" w:cs="Arial"/>
              </w:rPr>
            </w:pPr>
            <w:r w:rsidRPr="00091805">
              <w:rPr>
                <w:rFonts w:ascii="Arial" w:hAnsi="Arial" w:cs="Arial"/>
              </w:rPr>
              <w:t>PBL + Papua Context</w:t>
            </w:r>
          </w:p>
        </w:tc>
        <w:tc>
          <w:tcPr>
            <w:tcW w:w="0" w:type="auto"/>
            <w:vAlign w:val="center"/>
            <w:hideMark/>
          </w:tcPr>
          <w:p w14:paraId="7FA5782B" w14:textId="77777777" w:rsidR="00091805" w:rsidRPr="00091805" w:rsidRDefault="00091805" w:rsidP="00091805">
            <w:pPr>
              <w:pStyle w:val="Body"/>
              <w:spacing w:after="0"/>
              <w:rPr>
                <w:rFonts w:ascii="Arial" w:hAnsi="Arial" w:cs="Arial"/>
              </w:rPr>
            </w:pPr>
            <w:r w:rsidRPr="00091805">
              <w:rPr>
                <w:rFonts w:ascii="Arial" w:hAnsi="Arial" w:cs="Arial"/>
              </w:rPr>
              <w:t>Effective (p &lt; 0.05)</w:t>
            </w:r>
          </w:p>
        </w:tc>
      </w:tr>
      <w:tr w:rsidR="00091805" w:rsidRPr="00091805" w14:paraId="6C2F4320" w14:textId="77777777">
        <w:trPr>
          <w:tblCellSpacing w:w="15" w:type="dxa"/>
        </w:trPr>
        <w:tc>
          <w:tcPr>
            <w:tcW w:w="0" w:type="auto"/>
            <w:vAlign w:val="center"/>
            <w:hideMark/>
          </w:tcPr>
          <w:p w14:paraId="3BC854F5" w14:textId="77777777" w:rsidR="00091805" w:rsidRPr="00091805" w:rsidRDefault="00091805" w:rsidP="00091805">
            <w:pPr>
              <w:pStyle w:val="Body"/>
              <w:spacing w:after="0"/>
              <w:rPr>
                <w:rFonts w:ascii="Arial" w:hAnsi="Arial" w:cs="Arial"/>
              </w:rPr>
            </w:pPr>
            <w:r w:rsidRPr="00091805">
              <w:rPr>
                <w:rFonts w:ascii="Arial" w:hAnsi="Arial" w:cs="Arial"/>
              </w:rPr>
              <w:t>Science Concept Mastery</w:t>
            </w:r>
          </w:p>
        </w:tc>
        <w:tc>
          <w:tcPr>
            <w:tcW w:w="0" w:type="auto"/>
            <w:vAlign w:val="center"/>
            <w:hideMark/>
          </w:tcPr>
          <w:p w14:paraId="0F6FFD18" w14:textId="77777777" w:rsidR="00091805" w:rsidRPr="00091805" w:rsidRDefault="00091805" w:rsidP="00091805">
            <w:pPr>
              <w:pStyle w:val="Body"/>
              <w:spacing w:after="0"/>
              <w:rPr>
                <w:rFonts w:ascii="Arial" w:hAnsi="Arial" w:cs="Arial"/>
              </w:rPr>
            </w:pPr>
            <w:r w:rsidRPr="00091805">
              <w:rPr>
                <w:rFonts w:ascii="Arial" w:hAnsi="Arial" w:cs="Arial"/>
              </w:rPr>
              <w:t xml:space="preserve">Cooperative + </w:t>
            </w:r>
            <w:proofErr w:type="spellStart"/>
            <w:r w:rsidRPr="00091805">
              <w:rPr>
                <w:rFonts w:ascii="Arial" w:hAnsi="Arial" w:cs="Arial"/>
              </w:rPr>
              <w:t>Huyula</w:t>
            </w:r>
            <w:proofErr w:type="spellEnd"/>
          </w:p>
        </w:tc>
        <w:tc>
          <w:tcPr>
            <w:tcW w:w="0" w:type="auto"/>
            <w:vAlign w:val="center"/>
            <w:hideMark/>
          </w:tcPr>
          <w:p w14:paraId="564D3D23" w14:textId="77777777" w:rsidR="00091805" w:rsidRPr="00091805" w:rsidRDefault="00091805" w:rsidP="00091805">
            <w:pPr>
              <w:pStyle w:val="Body"/>
              <w:spacing w:after="0"/>
              <w:rPr>
                <w:rFonts w:ascii="Arial" w:hAnsi="Arial" w:cs="Arial"/>
              </w:rPr>
            </w:pPr>
            <w:r w:rsidRPr="00091805">
              <w:rPr>
                <w:rFonts w:ascii="Arial" w:hAnsi="Arial" w:cs="Arial"/>
              </w:rPr>
              <w:t>High N-Gain = 0.74, strong effect size</w:t>
            </w:r>
          </w:p>
        </w:tc>
      </w:tr>
      <w:tr w:rsidR="00091805" w:rsidRPr="00091805" w14:paraId="3883EA23" w14:textId="77777777">
        <w:trPr>
          <w:tblCellSpacing w:w="15" w:type="dxa"/>
        </w:trPr>
        <w:tc>
          <w:tcPr>
            <w:tcW w:w="0" w:type="auto"/>
            <w:vAlign w:val="center"/>
            <w:hideMark/>
          </w:tcPr>
          <w:p w14:paraId="6C2F138A" w14:textId="77777777" w:rsidR="00091805" w:rsidRPr="00091805" w:rsidRDefault="00091805" w:rsidP="00091805">
            <w:pPr>
              <w:pStyle w:val="Body"/>
              <w:spacing w:after="0"/>
              <w:rPr>
                <w:rFonts w:ascii="Arial" w:hAnsi="Arial" w:cs="Arial"/>
              </w:rPr>
            </w:pPr>
            <w:r w:rsidRPr="00091805">
              <w:rPr>
                <w:rFonts w:ascii="Arial" w:hAnsi="Arial" w:cs="Arial"/>
              </w:rPr>
              <w:t>Environmental Care</w:t>
            </w:r>
          </w:p>
        </w:tc>
        <w:tc>
          <w:tcPr>
            <w:tcW w:w="0" w:type="auto"/>
            <w:vAlign w:val="center"/>
            <w:hideMark/>
          </w:tcPr>
          <w:p w14:paraId="650D8B25" w14:textId="77777777" w:rsidR="00091805" w:rsidRPr="00091805" w:rsidRDefault="00091805" w:rsidP="00091805">
            <w:pPr>
              <w:pStyle w:val="Body"/>
              <w:spacing w:after="0"/>
              <w:rPr>
                <w:rFonts w:ascii="Arial" w:hAnsi="Arial" w:cs="Arial"/>
              </w:rPr>
            </w:pPr>
            <w:r w:rsidRPr="00091805">
              <w:rPr>
                <w:rFonts w:ascii="Arial" w:hAnsi="Arial" w:cs="Arial"/>
              </w:rPr>
              <w:t>e-Book Innovation</w:t>
            </w:r>
          </w:p>
        </w:tc>
        <w:tc>
          <w:tcPr>
            <w:tcW w:w="0" w:type="auto"/>
            <w:vAlign w:val="center"/>
            <w:hideMark/>
          </w:tcPr>
          <w:p w14:paraId="539FE794" w14:textId="77777777" w:rsidR="00091805" w:rsidRPr="00091805" w:rsidRDefault="00091805" w:rsidP="00091805">
            <w:pPr>
              <w:pStyle w:val="Body"/>
              <w:spacing w:after="0"/>
              <w:rPr>
                <w:rFonts w:ascii="Arial" w:hAnsi="Arial" w:cs="Arial"/>
              </w:rPr>
            </w:pPr>
            <w:r w:rsidRPr="00091805">
              <w:rPr>
                <w:rFonts w:ascii="Arial" w:hAnsi="Arial" w:cs="Arial"/>
              </w:rPr>
              <w:t>Effect size = 0.63</w:t>
            </w:r>
          </w:p>
        </w:tc>
      </w:tr>
      <w:tr w:rsidR="00091805" w:rsidRPr="00091805" w14:paraId="168AAB9F" w14:textId="77777777">
        <w:trPr>
          <w:tblCellSpacing w:w="15" w:type="dxa"/>
        </w:trPr>
        <w:tc>
          <w:tcPr>
            <w:tcW w:w="0" w:type="auto"/>
            <w:vAlign w:val="center"/>
            <w:hideMark/>
          </w:tcPr>
          <w:p w14:paraId="37BA2498" w14:textId="77777777" w:rsidR="00091805" w:rsidRPr="00091805" w:rsidRDefault="00091805" w:rsidP="00091805">
            <w:pPr>
              <w:pStyle w:val="Body"/>
              <w:spacing w:after="0"/>
              <w:rPr>
                <w:rFonts w:ascii="Arial" w:hAnsi="Arial" w:cs="Arial"/>
              </w:rPr>
            </w:pPr>
            <w:r w:rsidRPr="00091805">
              <w:rPr>
                <w:rFonts w:ascii="Arial" w:hAnsi="Arial" w:cs="Arial"/>
              </w:rPr>
              <w:t>Engagement &amp; Satisfaction</w:t>
            </w:r>
          </w:p>
        </w:tc>
        <w:tc>
          <w:tcPr>
            <w:tcW w:w="0" w:type="auto"/>
            <w:vAlign w:val="center"/>
            <w:hideMark/>
          </w:tcPr>
          <w:p w14:paraId="7B1AB9ED" w14:textId="77777777" w:rsidR="00091805" w:rsidRPr="00091805" w:rsidRDefault="00091805" w:rsidP="00091805">
            <w:pPr>
              <w:pStyle w:val="Body"/>
              <w:spacing w:after="0"/>
              <w:rPr>
                <w:rFonts w:ascii="Arial" w:hAnsi="Arial" w:cs="Arial"/>
              </w:rPr>
            </w:pPr>
            <w:r w:rsidRPr="00091805">
              <w:rPr>
                <w:rFonts w:ascii="Arial" w:hAnsi="Arial" w:cs="Arial"/>
              </w:rPr>
              <w:t>Pottery Chessboard Game</w:t>
            </w:r>
          </w:p>
        </w:tc>
        <w:tc>
          <w:tcPr>
            <w:tcW w:w="0" w:type="auto"/>
            <w:vAlign w:val="center"/>
            <w:hideMark/>
          </w:tcPr>
          <w:p w14:paraId="4B5BA9B7" w14:textId="77777777" w:rsidR="00091805" w:rsidRPr="00091805" w:rsidRDefault="00091805" w:rsidP="00091805">
            <w:pPr>
              <w:pStyle w:val="Body"/>
              <w:spacing w:after="0"/>
              <w:rPr>
                <w:rFonts w:ascii="Arial" w:hAnsi="Arial" w:cs="Arial"/>
              </w:rPr>
            </w:pPr>
            <w:r w:rsidRPr="00091805">
              <w:rPr>
                <w:rFonts w:ascii="Arial" w:hAnsi="Arial" w:cs="Arial"/>
              </w:rPr>
              <w:t>E1/E2 ≈ 80/82</w:t>
            </w:r>
          </w:p>
        </w:tc>
      </w:tr>
      <w:tr w:rsidR="00091805" w:rsidRPr="00091805" w14:paraId="303B881F" w14:textId="77777777">
        <w:trPr>
          <w:tblCellSpacing w:w="15" w:type="dxa"/>
        </w:trPr>
        <w:tc>
          <w:tcPr>
            <w:tcW w:w="0" w:type="auto"/>
            <w:vAlign w:val="center"/>
            <w:hideMark/>
          </w:tcPr>
          <w:p w14:paraId="60E6B9F1" w14:textId="77777777" w:rsidR="00091805" w:rsidRPr="00091805" w:rsidRDefault="00091805" w:rsidP="00091805">
            <w:pPr>
              <w:pStyle w:val="Body"/>
              <w:spacing w:after="0"/>
              <w:rPr>
                <w:rFonts w:ascii="Arial" w:hAnsi="Arial" w:cs="Arial"/>
              </w:rPr>
            </w:pPr>
            <w:r w:rsidRPr="00091805">
              <w:rPr>
                <w:rFonts w:ascii="Arial" w:hAnsi="Arial" w:cs="Arial"/>
              </w:rPr>
              <w:t>Cultural Identity</w:t>
            </w:r>
          </w:p>
        </w:tc>
        <w:tc>
          <w:tcPr>
            <w:tcW w:w="0" w:type="auto"/>
            <w:vAlign w:val="center"/>
            <w:hideMark/>
          </w:tcPr>
          <w:p w14:paraId="0E7841D3" w14:textId="77777777" w:rsidR="00091805" w:rsidRPr="00091805" w:rsidRDefault="00091805" w:rsidP="00091805">
            <w:pPr>
              <w:pStyle w:val="Body"/>
              <w:spacing w:after="0"/>
              <w:rPr>
                <w:rFonts w:ascii="Arial" w:hAnsi="Arial" w:cs="Arial"/>
              </w:rPr>
            </w:pPr>
            <w:r w:rsidRPr="00091805">
              <w:rPr>
                <w:rFonts w:ascii="Arial" w:hAnsi="Arial" w:cs="Arial"/>
              </w:rPr>
              <w:t>Cultural Literacy Integration</w:t>
            </w:r>
          </w:p>
        </w:tc>
        <w:tc>
          <w:tcPr>
            <w:tcW w:w="0" w:type="auto"/>
            <w:vAlign w:val="center"/>
            <w:hideMark/>
          </w:tcPr>
          <w:p w14:paraId="3681E503" w14:textId="77777777" w:rsidR="00091805" w:rsidRPr="00091805" w:rsidRDefault="00091805" w:rsidP="00091805">
            <w:pPr>
              <w:pStyle w:val="Body"/>
              <w:spacing w:after="0"/>
              <w:rPr>
                <w:rFonts w:ascii="Arial" w:hAnsi="Arial" w:cs="Arial"/>
              </w:rPr>
            </w:pPr>
            <w:r w:rsidRPr="00091805">
              <w:rPr>
                <w:rFonts w:ascii="Arial" w:hAnsi="Arial" w:cs="Arial"/>
              </w:rPr>
              <w:t>Reinforced belonging and tolerance</w:t>
            </w:r>
          </w:p>
        </w:tc>
      </w:tr>
      <w:tr w:rsidR="00091805" w:rsidRPr="00091805" w14:paraId="7AC62A0E" w14:textId="77777777" w:rsidTr="00091805">
        <w:trPr>
          <w:tblCellSpacing w:w="15" w:type="dxa"/>
        </w:trPr>
        <w:tc>
          <w:tcPr>
            <w:tcW w:w="0" w:type="auto"/>
            <w:tcBorders>
              <w:bottom w:val="single" w:sz="4" w:space="0" w:color="auto"/>
            </w:tcBorders>
            <w:vAlign w:val="center"/>
            <w:hideMark/>
          </w:tcPr>
          <w:p w14:paraId="76E1D38B" w14:textId="77777777" w:rsidR="00091805" w:rsidRPr="00091805" w:rsidRDefault="00091805" w:rsidP="00091805">
            <w:pPr>
              <w:pStyle w:val="Body"/>
              <w:spacing w:after="0"/>
              <w:rPr>
                <w:rFonts w:ascii="Arial" w:hAnsi="Arial" w:cs="Arial"/>
              </w:rPr>
            </w:pPr>
            <w:r w:rsidRPr="00091805">
              <w:rPr>
                <w:rFonts w:ascii="Arial" w:hAnsi="Arial" w:cs="Arial"/>
              </w:rPr>
              <w:t>Science Literacy</w:t>
            </w:r>
          </w:p>
        </w:tc>
        <w:tc>
          <w:tcPr>
            <w:tcW w:w="0" w:type="auto"/>
            <w:tcBorders>
              <w:bottom w:val="single" w:sz="4" w:space="0" w:color="auto"/>
            </w:tcBorders>
            <w:vAlign w:val="center"/>
            <w:hideMark/>
          </w:tcPr>
          <w:p w14:paraId="507D63DF" w14:textId="77777777" w:rsidR="00091805" w:rsidRPr="00091805" w:rsidRDefault="00091805" w:rsidP="00091805">
            <w:pPr>
              <w:pStyle w:val="Body"/>
              <w:spacing w:after="0"/>
              <w:rPr>
                <w:rFonts w:ascii="Arial" w:hAnsi="Arial" w:cs="Arial"/>
              </w:rPr>
            </w:pPr>
            <w:r w:rsidRPr="00091805">
              <w:rPr>
                <w:rFonts w:ascii="Arial" w:hAnsi="Arial" w:cs="Arial"/>
              </w:rPr>
              <w:t>Ethnoscience SLR (2014–2024)</w:t>
            </w:r>
          </w:p>
        </w:tc>
        <w:tc>
          <w:tcPr>
            <w:tcW w:w="0" w:type="auto"/>
            <w:tcBorders>
              <w:bottom w:val="single" w:sz="4" w:space="0" w:color="auto"/>
            </w:tcBorders>
            <w:vAlign w:val="center"/>
            <w:hideMark/>
          </w:tcPr>
          <w:p w14:paraId="756D3CE6" w14:textId="77777777" w:rsidR="00091805" w:rsidRPr="00091805" w:rsidRDefault="00091805" w:rsidP="00091805">
            <w:pPr>
              <w:pStyle w:val="Body"/>
              <w:spacing w:after="0"/>
              <w:rPr>
                <w:rFonts w:ascii="Arial" w:hAnsi="Arial" w:cs="Arial"/>
              </w:rPr>
            </w:pPr>
            <w:r w:rsidRPr="00091805">
              <w:rPr>
                <w:rFonts w:ascii="Arial" w:hAnsi="Arial" w:cs="Arial"/>
              </w:rPr>
              <w:t>Enhanced scientific, cultural, and environmental literacy</w:t>
            </w:r>
          </w:p>
        </w:tc>
      </w:tr>
    </w:tbl>
    <w:p w14:paraId="1F484782" w14:textId="77777777" w:rsidR="00091805" w:rsidRDefault="00091805" w:rsidP="00091805">
      <w:pPr>
        <w:pStyle w:val="Body"/>
        <w:spacing w:after="0"/>
        <w:rPr>
          <w:rFonts w:ascii="Arial" w:hAnsi="Arial" w:cs="Arial"/>
          <w:b/>
          <w:bCs/>
        </w:rPr>
      </w:pPr>
    </w:p>
    <w:p w14:paraId="32EC19C6" w14:textId="77777777" w:rsidR="00091805" w:rsidRDefault="00091805" w:rsidP="00091805">
      <w:pPr>
        <w:pStyle w:val="Body"/>
        <w:spacing w:after="0"/>
        <w:rPr>
          <w:rFonts w:ascii="Arial" w:hAnsi="Arial" w:cs="Arial"/>
        </w:rPr>
      </w:pPr>
      <w:r w:rsidRPr="00091805">
        <w:rPr>
          <w:rFonts w:ascii="Arial" w:hAnsi="Arial" w:cs="Arial"/>
        </w:rPr>
        <w:t xml:space="preserve">The results indicate that integrating local wisdom consistently enhances both scientific understanding and socio-cultural awareness. The combination of </w:t>
      </w:r>
      <w:r w:rsidRPr="00091805">
        <w:rPr>
          <w:rFonts w:ascii="Arial" w:hAnsi="Arial" w:cs="Arial"/>
          <w:i/>
          <w:iCs/>
        </w:rPr>
        <w:t>ethnoscience</w:t>
      </w:r>
      <w:r w:rsidRPr="00091805">
        <w:rPr>
          <w:rFonts w:ascii="Arial" w:hAnsi="Arial" w:cs="Arial"/>
        </w:rPr>
        <w:t xml:space="preserve"> and </w:t>
      </w:r>
      <w:r w:rsidRPr="00091805">
        <w:rPr>
          <w:rFonts w:ascii="Arial" w:hAnsi="Arial" w:cs="Arial"/>
          <w:i/>
          <w:iCs/>
        </w:rPr>
        <w:t>STEM</w:t>
      </w:r>
      <w:r w:rsidRPr="00091805">
        <w:rPr>
          <w:rFonts w:ascii="Arial" w:hAnsi="Arial" w:cs="Arial"/>
        </w:rPr>
        <w:t xml:space="preserve"> frameworks yields the highest cognitive gains, while character-oriented models such as </w:t>
      </w:r>
      <w:r w:rsidRPr="00091805">
        <w:rPr>
          <w:rFonts w:ascii="Arial" w:hAnsi="Arial" w:cs="Arial"/>
          <w:i/>
          <w:iCs/>
        </w:rPr>
        <w:t xml:space="preserve">Tri Kaya </w:t>
      </w:r>
      <w:proofErr w:type="spellStart"/>
      <w:r w:rsidRPr="00091805">
        <w:rPr>
          <w:rFonts w:ascii="Arial" w:hAnsi="Arial" w:cs="Arial"/>
          <w:i/>
          <w:iCs/>
        </w:rPr>
        <w:t>Parisudha</w:t>
      </w:r>
      <w:proofErr w:type="spellEnd"/>
      <w:r w:rsidRPr="00091805">
        <w:rPr>
          <w:rFonts w:ascii="Arial" w:hAnsi="Arial" w:cs="Arial"/>
        </w:rPr>
        <w:t xml:space="preserve"> and </w:t>
      </w:r>
      <w:proofErr w:type="spellStart"/>
      <w:r w:rsidRPr="00091805">
        <w:rPr>
          <w:rFonts w:ascii="Arial" w:hAnsi="Arial" w:cs="Arial"/>
          <w:i/>
          <w:iCs/>
        </w:rPr>
        <w:t>Catur</w:t>
      </w:r>
      <w:proofErr w:type="spellEnd"/>
      <w:r w:rsidRPr="00091805">
        <w:rPr>
          <w:rFonts w:ascii="Arial" w:hAnsi="Arial" w:cs="Arial"/>
          <w:i/>
          <w:iCs/>
        </w:rPr>
        <w:t xml:space="preserve"> </w:t>
      </w:r>
      <w:proofErr w:type="spellStart"/>
      <w:r w:rsidRPr="00091805">
        <w:rPr>
          <w:rFonts w:ascii="Arial" w:hAnsi="Arial" w:cs="Arial"/>
          <w:i/>
          <w:iCs/>
        </w:rPr>
        <w:t>Pramana</w:t>
      </w:r>
      <w:proofErr w:type="spellEnd"/>
      <w:r w:rsidRPr="00091805">
        <w:rPr>
          <w:rFonts w:ascii="Arial" w:hAnsi="Arial" w:cs="Arial"/>
        </w:rPr>
        <w:t xml:space="preserve"> demonstrate strong affective outcomes. Game-based and digital approaches sustain engagement and broaden inclusivity, especially in post-pandemic education. Collectively, these outcomes reaffirm that contextualized learning grounded in cultural identity produces holistic growth in students—intellectually, emotionally, and ethically.</w:t>
      </w:r>
    </w:p>
    <w:p w14:paraId="26A588B6" w14:textId="77777777" w:rsidR="00091805" w:rsidRPr="00091805" w:rsidRDefault="00091805" w:rsidP="00091805">
      <w:pPr>
        <w:pStyle w:val="Body"/>
        <w:spacing w:after="0"/>
        <w:rPr>
          <w:rFonts w:ascii="Arial" w:hAnsi="Arial" w:cs="Arial"/>
        </w:rPr>
      </w:pPr>
    </w:p>
    <w:p w14:paraId="377A8868" w14:textId="77777777" w:rsidR="00091805" w:rsidRPr="00091805" w:rsidRDefault="00091805" w:rsidP="00091805">
      <w:pPr>
        <w:pStyle w:val="Body"/>
        <w:spacing w:after="0"/>
        <w:rPr>
          <w:rFonts w:ascii="Arial" w:hAnsi="Arial" w:cs="Arial"/>
          <w:b/>
          <w:bCs/>
        </w:rPr>
      </w:pPr>
      <w:r>
        <w:rPr>
          <w:rFonts w:ascii="Arial" w:hAnsi="Arial" w:cs="Arial"/>
          <w:b/>
          <w:bCs/>
        </w:rPr>
        <w:t>3.3.3</w:t>
      </w:r>
      <w:r w:rsidRPr="00091805">
        <w:rPr>
          <w:rFonts w:ascii="Arial" w:hAnsi="Arial" w:cs="Arial"/>
          <w:b/>
          <w:bCs/>
        </w:rPr>
        <w:t xml:space="preserve"> Cross-Cutting Insights</w:t>
      </w:r>
    </w:p>
    <w:p w14:paraId="72CFD2E6" w14:textId="77777777" w:rsidR="00091805" w:rsidRPr="00091805" w:rsidRDefault="00091805" w:rsidP="00091805">
      <w:pPr>
        <w:pStyle w:val="Body"/>
        <w:numPr>
          <w:ilvl w:val="0"/>
          <w:numId w:val="38"/>
        </w:numPr>
        <w:spacing w:after="0"/>
        <w:ind w:left="284" w:hanging="284"/>
        <w:rPr>
          <w:rFonts w:ascii="Arial" w:hAnsi="Arial" w:cs="Arial"/>
        </w:rPr>
      </w:pPr>
      <w:r w:rsidRPr="00091805">
        <w:rPr>
          <w:rFonts w:ascii="Arial" w:hAnsi="Arial" w:cs="Arial"/>
        </w:rPr>
        <w:t xml:space="preserve">Pedagogical Convergence: All reviewed frameworks converge on </w:t>
      </w:r>
      <w:r w:rsidRPr="00091805">
        <w:rPr>
          <w:rFonts w:ascii="Arial" w:hAnsi="Arial" w:cs="Arial"/>
          <w:i/>
          <w:iCs/>
        </w:rPr>
        <w:t>contextual inquiry</w:t>
      </w:r>
      <w:r w:rsidRPr="00091805">
        <w:rPr>
          <w:rFonts w:ascii="Arial" w:hAnsi="Arial" w:cs="Arial"/>
        </w:rPr>
        <w:t xml:space="preserve"> that integrates scientific reasoning with socio-cultural meaning. This synthesis transforms classrooms into culturally resonant laboratories where science is both universal and locally grounded.</w:t>
      </w:r>
    </w:p>
    <w:p w14:paraId="29DAA895" w14:textId="77777777" w:rsidR="00091805" w:rsidRPr="00091805" w:rsidRDefault="00091805" w:rsidP="00091805">
      <w:pPr>
        <w:pStyle w:val="Body"/>
        <w:numPr>
          <w:ilvl w:val="0"/>
          <w:numId w:val="38"/>
        </w:numPr>
        <w:spacing w:after="0"/>
        <w:ind w:left="284" w:hanging="284"/>
        <w:rPr>
          <w:rFonts w:ascii="Arial" w:hAnsi="Arial" w:cs="Arial"/>
        </w:rPr>
      </w:pPr>
      <w:r w:rsidRPr="00091805">
        <w:rPr>
          <w:rFonts w:ascii="Arial" w:hAnsi="Arial" w:cs="Arial"/>
        </w:rPr>
        <w:t>Transformative Outcomes: The reviewed literature reveals that learning outcomes transcend cognitive mastery. Students not only gain knowledge but also develop moral, ecological, and civic consciousness—key attributes for sustainable citizenship.</w:t>
      </w:r>
    </w:p>
    <w:p w14:paraId="44822CAD" w14:textId="77777777" w:rsidR="00091805" w:rsidRPr="00091805" w:rsidRDefault="00091805" w:rsidP="00091805">
      <w:pPr>
        <w:pStyle w:val="Body"/>
        <w:numPr>
          <w:ilvl w:val="0"/>
          <w:numId w:val="38"/>
        </w:numPr>
        <w:spacing w:after="0"/>
        <w:ind w:left="284" w:hanging="284"/>
        <w:rPr>
          <w:rFonts w:ascii="Arial" w:hAnsi="Arial" w:cs="Arial"/>
        </w:rPr>
      </w:pPr>
      <w:r w:rsidRPr="00091805">
        <w:rPr>
          <w:rFonts w:ascii="Arial" w:hAnsi="Arial" w:cs="Arial"/>
        </w:rPr>
        <w:t xml:space="preserve">Emerging Methodologies: Post-2020 studies reflect a paradigm shift toward </w:t>
      </w:r>
      <w:r w:rsidRPr="00091805">
        <w:rPr>
          <w:rFonts w:ascii="Arial" w:hAnsi="Arial" w:cs="Arial"/>
          <w:i/>
          <w:iCs/>
        </w:rPr>
        <w:t>digital ethnoscience</w:t>
      </w:r>
      <w:r w:rsidRPr="00091805">
        <w:rPr>
          <w:rFonts w:ascii="Arial" w:hAnsi="Arial" w:cs="Arial"/>
        </w:rPr>
        <w:t xml:space="preserve"> and </w:t>
      </w:r>
      <w:r w:rsidRPr="00091805">
        <w:rPr>
          <w:rFonts w:ascii="Arial" w:hAnsi="Arial" w:cs="Arial"/>
          <w:i/>
          <w:iCs/>
        </w:rPr>
        <w:t>inclusive pedagogical design</w:t>
      </w:r>
      <w:r w:rsidRPr="00091805">
        <w:rPr>
          <w:rFonts w:ascii="Arial" w:hAnsi="Arial" w:cs="Arial"/>
        </w:rPr>
        <w:t>. The incorporation of virtual laboratories, multimedia ethnoscience materials, and digital storytelling enhances participation and critical reflection.</w:t>
      </w:r>
    </w:p>
    <w:p w14:paraId="50F8CCCD" w14:textId="77777777" w:rsidR="00091805" w:rsidRPr="00091805" w:rsidRDefault="00091805" w:rsidP="00091805">
      <w:pPr>
        <w:pStyle w:val="Body"/>
        <w:numPr>
          <w:ilvl w:val="0"/>
          <w:numId w:val="38"/>
        </w:numPr>
        <w:spacing w:after="0"/>
        <w:ind w:left="284" w:hanging="284"/>
        <w:rPr>
          <w:rFonts w:ascii="Arial" w:hAnsi="Arial" w:cs="Arial"/>
        </w:rPr>
      </w:pPr>
      <w:r w:rsidRPr="00091805">
        <w:rPr>
          <w:rFonts w:ascii="Arial" w:hAnsi="Arial" w:cs="Arial"/>
        </w:rPr>
        <w:t>Global Perspective: Although dominated by Indonesian scholarship, emerging contributions from Thailand, Oman, and South Africa demonstrate the scalability of ethnoscience-based education across diverse cultural contexts. This suggests the growing recognition of local wisdom as a universal resource for scientific inquiry and sustainable development.</w:t>
      </w:r>
    </w:p>
    <w:p w14:paraId="73D5BA26" w14:textId="77777777" w:rsidR="00091805" w:rsidRDefault="00091805" w:rsidP="00441B6F">
      <w:pPr>
        <w:pStyle w:val="ConcHead"/>
        <w:spacing w:after="0"/>
        <w:jc w:val="both"/>
        <w:rPr>
          <w:rFonts w:ascii="Arial" w:hAnsi="Arial" w:cs="Arial"/>
        </w:rPr>
      </w:pPr>
    </w:p>
    <w:p w14:paraId="6953304C" w14:textId="77777777"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70D469" w14:textId="77777777" w:rsidR="00091805" w:rsidRPr="00091805" w:rsidRDefault="00091805" w:rsidP="00091805">
      <w:pPr>
        <w:pStyle w:val="Body"/>
        <w:spacing w:before="120" w:after="120"/>
        <w:rPr>
          <w:rFonts w:ascii="Arial" w:hAnsi="Arial" w:cs="Arial"/>
        </w:rPr>
      </w:pPr>
      <w:r w:rsidRPr="00091805">
        <w:rPr>
          <w:rFonts w:ascii="Arial" w:hAnsi="Arial" w:cs="Arial"/>
        </w:rPr>
        <w:t>This systematic review reveals that integrating local wisdom into science learning fosters a multidimensional transformation in both pedagogy and learner outcomes. Ethnoscience serves as a meta-framework that bridges scientific inquiry with cultural, moral, and environmental consciousness, creating learning experiences that are both intellectually rigorous and socially grounded. Across the 17 reviewed studies, hybrid models—combining ethnoscience with inquiry, STEM, problem-based, and digital learning—consistently demonstrated significant gains in students’ science process skills, critical thinking, cultural literacy, and environmental care attitudes. These outcomes affirm that culturally responsive science education strengthens not only students’ conceptual mastery but also their sense of identity, ethics, and sustainability awareness.</w:t>
      </w:r>
      <w:r>
        <w:rPr>
          <w:rFonts w:ascii="Arial" w:hAnsi="Arial" w:cs="Arial"/>
        </w:rPr>
        <w:t xml:space="preserve"> </w:t>
      </w:r>
      <w:r w:rsidRPr="00091805">
        <w:rPr>
          <w:rFonts w:ascii="Arial" w:hAnsi="Arial" w:cs="Arial"/>
        </w:rPr>
        <w:t xml:space="preserve">Beyond cognitive and affective improvements, the synthesis highlights an ongoing pedagogical evolution toward inclusivity and technological </w:t>
      </w:r>
      <w:r w:rsidRPr="00091805">
        <w:rPr>
          <w:rFonts w:ascii="Arial" w:hAnsi="Arial" w:cs="Arial"/>
        </w:rPr>
        <w:lastRenderedPageBreak/>
        <w:t>adaptability. The integration of digital and game-based ethnoscience, as well as cooperative and value-oriented learning models, indicates a paradigm shift toward meaningful, context-driven education aligned with the Sustainable Development Goals (SDG 4 and SDG 13). Collectively, these findings suggest that local wisdom is not a peripheral cultural artifact but a living epistemic source that can transform how science is taught and experienced across global and local settings.</w:t>
      </w:r>
    </w:p>
    <w:p w14:paraId="7E91A332" w14:textId="6C600F0C" w:rsidR="00091805" w:rsidRDefault="000D6CDB" w:rsidP="00091805">
      <w:pPr>
        <w:pStyle w:val="Body"/>
        <w:spacing w:before="120" w:after="120"/>
        <w:rPr>
          <w:rFonts w:ascii="Arial" w:hAnsi="Arial" w:cs="Arial"/>
        </w:rPr>
      </w:pPr>
      <w:r w:rsidRPr="000D6CDB">
        <w:rPr>
          <w:rFonts w:ascii="Arial" w:hAnsi="Arial" w:cs="Arial"/>
        </w:rPr>
        <w:t>This review bridges culture and science by demonstrating how local wisdom can serve as a pedagogical foundation for contextual and sustainable science education.</w:t>
      </w:r>
      <w:r>
        <w:rPr>
          <w:rFonts w:ascii="Arial" w:hAnsi="Arial" w:cs="Arial"/>
        </w:rPr>
        <w:t xml:space="preserve"> </w:t>
      </w:r>
      <w:r w:rsidR="00091805" w:rsidRPr="00091805">
        <w:rPr>
          <w:rFonts w:ascii="Arial" w:hAnsi="Arial" w:cs="Arial"/>
        </w:rPr>
        <w:t xml:space="preserve">Building on these insights, future research should expand the scope of ethnoscience-based learning through longitudinal, cross-national, and multi-disciplinary studies. Investigations should employ mixed methods and AI-supported analytics to track the long-term effects of local wisdom integration on scientific literacy, environmental ethics, and socio-emotional resilience. Moreover, curriculum developers and policymakers should embed ethnoscience principles systematically within the national and regional curriculum frameworks, aligning them with the </w:t>
      </w:r>
      <w:r w:rsidR="00091805" w:rsidRPr="00091805">
        <w:rPr>
          <w:rFonts w:ascii="Arial" w:hAnsi="Arial" w:cs="Arial"/>
          <w:i/>
          <w:iCs/>
        </w:rPr>
        <w:t>Education for Sustainable Development (ESD)</w:t>
      </w:r>
      <w:r w:rsidR="00091805" w:rsidRPr="00091805">
        <w:rPr>
          <w:rFonts w:ascii="Arial" w:hAnsi="Arial" w:cs="Arial"/>
        </w:rPr>
        <w:t xml:space="preserve"> and </w:t>
      </w:r>
      <w:r w:rsidR="00091805" w:rsidRPr="00091805">
        <w:rPr>
          <w:rFonts w:ascii="Arial" w:hAnsi="Arial" w:cs="Arial"/>
          <w:i/>
          <w:iCs/>
        </w:rPr>
        <w:t>Pancasila Student Profile</w:t>
      </w:r>
      <w:r w:rsidR="00091805" w:rsidRPr="00091805">
        <w:rPr>
          <w:rFonts w:ascii="Arial" w:hAnsi="Arial" w:cs="Arial"/>
        </w:rPr>
        <w:t xml:space="preserve"> agendas.</w:t>
      </w:r>
      <w:r w:rsidR="00091805">
        <w:rPr>
          <w:rFonts w:ascii="Arial" w:hAnsi="Arial" w:cs="Arial"/>
        </w:rPr>
        <w:t xml:space="preserve"> </w:t>
      </w:r>
      <w:r w:rsidR="00091805" w:rsidRPr="00091805">
        <w:rPr>
          <w:rFonts w:ascii="Arial" w:hAnsi="Arial" w:cs="Arial"/>
        </w:rPr>
        <w:t>In practice, teacher education programs must emphasize culturally responsive pedagogy by providing pre-service and in-service training focused on developing ethnoscience-based materials, local contextual assessment tools, and digital learning innovations. Strengthening partnerships among schools, local communities, and indigenous knowledge holders is also essential to ensure authenticity and sustainability. Ultimately, the success of ethnoscience education lies in its ability to produce scientifically literate citizens who are culturally rooted, ethically grounded, and globally aware.</w:t>
      </w:r>
    </w:p>
    <w:p w14:paraId="25B64D4D" w14:textId="77777777" w:rsidR="000D6CDB" w:rsidRDefault="000D6CDB" w:rsidP="00091805">
      <w:pPr>
        <w:pStyle w:val="Body"/>
        <w:spacing w:before="120" w:after="120"/>
        <w:rPr>
          <w:rFonts w:ascii="Arial" w:hAnsi="Arial" w:cs="Arial"/>
        </w:rPr>
      </w:pPr>
      <w:r w:rsidRPr="000D6CDB">
        <w:rPr>
          <w:rFonts w:ascii="Arial" w:hAnsi="Arial" w:cs="Arial"/>
          <w:b/>
          <w:bCs/>
        </w:rPr>
        <w:t>Limitations and Future Research</w:t>
      </w:r>
    </w:p>
    <w:p w14:paraId="14B9A96C" w14:textId="3E142403" w:rsidR="000D6CDB" w:rsidRDefault="000D6CDB" w:rsidP="00091805">
      <w:pPr>
        <w:pStyle w:val="Body"/>
        <w:spacing w:before="120" w:after="120"/>
        <w:rPr>
          <w:rFonts w:ascii="Arial" w:hAnsi="Arial" w:cs="Arial"/>
        </w:rPr>
      </w:pPr>
      <w:r w:rsidRPr="000D6CDB">
        <w:rPr>
          <w:rFonts w:ascii="Arial" w:hAnsi="Arial" w:cs="Arial"/>
        </w:rPr>
        <w:t>This review was limited to Scopus-indexed, English-language, open-access articles, which may not capture relevant local-language publications or regional case studies. Future research should expand database coverage, include grey literature, and adopt mixed bibliometric–meta-analytic approaches to capture a broader picture of local wisdom integration in science education globally.</w:t>
      </w:r>
    </w:p>
    <w:p w14:paraId="06345375" w14:textId="77777777" w:rsidR="00D72E34" w:rsidRDefault="00D72E34" w:rsidP="00091805">
      <w:pPr>
        <w:pStyle w:val="Body"/>
        <w:spacing w:before="120" w:after="120"/>
        <w:rPr>
          <w:rFonts w:ascii="Arial" w:hAnsi="Arial" w:cs="Arial"/>
        </w:rPr>
      </w:pPr>
      <w:r w:rsidRPr="00D72E34">
        <w:rPr>
          <w:rFonts w:ascii="Arial" w:hAnsi="Arial" w:cs="Arial"/>
          <w:b/>
          <w:bCs/>
        </w:rPr>
        <w:t>Practical and Policy Implications</w:t>
      </w:r>
    </w:p>
    <w:p w14:paraId="7270AA51" w14:textId="0821728D" w:rsidR="00A17476" w:rsidRDefault="00D72E34" w:rsidP="00091805">
      <w:pPr>
        <w:pStyle w:val="Body"/>
        <w:spacing w:before="120" w:after="120"/>
        <w:rPr>
          <w:rFonts w:ascii="Arial" w:hAnsi="Arial" w:cs="Arial"/>
        </w:rPr>
      </w:pPr>
      <w:r w:rsidRPr="00D72E34">
        <w:rPr>
          <w:rFonts w:ascii="Arial" w:hAnsi="Arial" w:cs="Arial"/>
        </w:rPr>
        <w:t xml:space="preserve">The findings of this review provide actionable insights for educators, curriculum developers, and policymakers. Teachers should integrate ethnoscience-based modules and community engagement projects into their daily teaching to bridge scientific and cultural learning. Curriculum authorities are encouraged to embed local wisdom into national and regional science education frameworks, ensuring that learning outcomes include sustainability competencies and cultural literacy. Furthermore, policymakers can leverage these insights to </w:t>
      </w:r>
      <w:bookmarkStart w:id="0" w:name="_GoBack"/>
      <w:bookmarkEnd w:id="0"/>
      <w:r w:rsidRPr="00D72E34">
        <w:rPr>
          <w:rFonts w:ascii="Arial" w:hAnsi="Arial" w:cs="Arial"/>
        </w:rPr>
        <w:t>support teacher professional development, particularly in designing culturally responsive STEM education aligned with ESD 2030 goals.</w:t>
      </w:r>
    </w:p>
    <w:p w14:paraId="76FF20E3" w14:textId="77777777" w:rsidR="00A17476" w:rsidRPr="00B32AFE" w:rsidRDefault="00A17476" w:rsidP="00A17476">
      <w:pPr>
        <w:rPr>
          <w:rFonts w:ascii="Arial" w:eastAsia="Calibri" w:hAnsi="Arial" w:cs="Arial"/>
          <w:b/>
          <w:kern w:val="2"/>
        </w:rPr>
      </w:pPr>
      <w:bookmarkStart w:id="1" w:name="_Hlk197682619"/>
      <w:bookmarkStart w:id="2" w:name="_Hlk180402183"/>
      <w:bookmarkStart w:id="3" w:name="_Hlk183680988"/>
      <w:bookmarkStart w:id="4" w:name="_Hlk197351200"/>
      <w:r w:rsidRPr="00B32AFE">
        <w:rPr>
          <w:rFonts w:ascii="Arial" w:eastAsia="Calibri" w:hAnsi="Arial" w:cs="Arial"/>
          <w:b/>
          <w:kern w:val="2"/>
        </w:rPr>
        <w:t>Disclaimer (Artificial intelligence)</w:t>
      </w:r>
    </w:p>
    <w:p w14:paraId="600ACD64" w14:textId="77777777" w:rsidR="000D6CDB" w:rsidRPr="00B32AFE" w:rsidRDefault="000D6CDB" w:rsidP="000D6CDB">
      <w:pPr>
        <w:rPr>
          <w:rFonts w:ascii="Arial" w:eastAsia="Calibri" w:hAnsi="Arial" w:cs="Arial"/>
          <w:kern w:val="2"/>
        </w:rPr>
      </w:pPr>
      <w:r w:rsidRPr="00B32AFE">
        <w:rPr>
          <w:rFonts w:ascii="Arial" w:eastAsia="Calibri" w:hAnsi="Arial" w:cs="Arial"/>
          <w:kern w:val="2"/>
        </w:rPr>
        <w:t>The authors hereby declare that generative AI technology was used during the writing and editing of this manuscript. The assistance was limited to language refinement, structural organization, and formatting consistency. All intellectual and conceptual contributions—including the research design, data analysis, interpretation, and final approval—were solely conducted by the authors.</w:t>
      </w:r>
    </w:p>
    <w:p w14:paraId="197656F6" w14:textId="77777777" w:rsidR="000D6CDB" w:rsidRPr="00B32AFE" w:rsidRDefault="000D6CDB" w:rsidP="000D6CDB">
      <w:pPr>
        <w:rPr>
          <w:rFonts w:ascii="Arial" w:eastAsia="Calibri" w:hAnsi="Arial" w:cs="Arial"/>
          <w:kern w:val="2"/>
        </w:rPr>
      </w:pPr>
      <w:r w:rsidRPr="00B32AFE">
        <w:rPr>
          <w:rFonts w:ascii="Arial" w:eastAsia="Calibri" w:hAnsi="Arial" w:cs="Arial"/>
          <w:kern w:val="2"/>
        </w:rPr>
        <w:t>Details of AI usage:</w:t>
      </w:r>
    </w:p>
    <w:p w14:paraId="6BF2E8D7" w14:textId="77777777" w:rsidR="000D6CDB" w:rsidRPr="00B32AFE" w:rsidRDefault="000D6CDB" w:rsidP="000D6CDB">
      <w:pPr>
        <w:numPr>
          <w:ilvl w:val="0"/>
          <w:numId w:val="39"/>
        </w:numPr>
        <w:rPr>
          <w:rFonts w:ascii="Arial" w:eastAsia="Calibri" w:hAnsi="Arial" w:cs="Arial"/>
          <w:kern w:val="2"/>
        </w:rPr>
      </w:pPr>
      <w:r w:rsidRPr="00B32AFE">
        <w:rPr>
          <w:rFonts w:ascii="Arial" w:eastAsia="Calibri" w:hAnsi="Arial" w:cs="Arial"/>
          <w:b/>
          <w:bCs/>
          <w:kern w:val="2"/>
        </w:rPr>
        <w:t>Technology Used:</w:t>
      </w:r>
      <w:r w:rsidRPr="00B32AFE">
        <w:rPr>
          <w:rFonts w:ascii="Arial" w:eastAsia="Calibri" w:hAnsi="Arial" w:cs="Arial"/>
          <w:kern w:val="2"/>
        </w:rPr>
        <w:t xml:space="preserve"> ChatGPT (GPT-5 model, OpenAI, 2025).</w:t>
      </w:r>
    </w:p>
    <w:p w14:paraId="60DB7943" w14:textId="77777777" w:rsidR="000D6CDB" w:rsidRPr="00B32AFE" w:rsidRDefault="000D6CDB" w:rsidP="000D6CDB">
      <w:pPr>
        <w:numPr>
          <w:ilvl w:val="0"/>
          <w:numId w:val="39"/>
        </w:numPr>
        <w:rPr>
          <w:rFonts w:ascii="Arial" w:eastAsia="Calibri" w:hAnsi="Arial" w:cs="Arial"/>
          <w:kern w:val="2"/>
        </w:rPr>
      </w:pPr>
      <w:r w:rsidRPr="00B32AFE">
        <w:rPr>
          <w:rFonts w:ascii="Arial" w:eastAsia="Calibri" w:hAnsi="Arial" w:cs="Arial"/>
          <w:b/>
          <w:bCs/>
          <w:kern w:val="2"/>
        </w:rPr>
        <w:t>Purpose of Use:</w:t>
      </w:r>
      <w:r w:rsidRPr="00B32AFE">
        <w:rPr>
          <w:rFonts w:ascii="Arial" w:eastAsia="Calibri" w:hAnsi="Arial" w:cs="Arial"/>
          <w:kern w:val="2"/>
        </w:rPr>
        <w:t xml:space="preserve"> To assist in improving academic writing style, grammar accuracy, and clarity of expression, as well as to structure reviewer responses and summarize methodological sections in clear scholarly English.</w:t>
      </w:r>
    </w:p>
    <w:p w14:paraId="5EC7F49A" w14:textId="77777777" w:rsidR="000D6CDB" w:rsidRPr="00B32AFE" w:rsidRDefault="000D6CDB" w:rsidP="000D6CDB">
      <w:pPr>
        <w:numPr>
          <w:ilvl w:val="0"/>
          <w:numId w:val="39"/>
        </w:numPr>
        <w:rPr>
          <w:rFonts w:ascii="Arial" w:eastAsia="Calibri" w:hAnsi="Arial" w:cs="Arial"/>
          <w:kern w:val="2"/>
        </w:rPr>
      </w:pPr>
      <w:r w:rsidRPr="00B32AFE">
        <w:rPr>
          <w:rFonts w:ascii="Arial" w:eastAsia="Calibri" w:hAnsi="Arial" w:cs="Arial"/>
          <w:b/>
          <w:bCs/>
          <w:kern w:val="2"/>
        </w:rPr>
        <w:t>Scope and Human Oversight:</w:t>
      </w:r>
      <w:r w:rsidRPr="00B32AFE">
        <w:rPr>
          <w:rFonts w:ascii="Arial" w:eastAsia="Calibri" w:hAnsi="Arial" w:cs="Arial"/>
          <w:kern w:val="2"/>
        </w:rPr>
        <w:t xml:space="preserve"> The authors carefully reviewed, edited, and validated all AI-generated suggestions to ensure factual accuracy, originality, and </w:t>
      </w:r>
      <w:r w:rsidRPr="00B32AFE">
        <w:rPr>
          <w:rFonts w:ascii="Arial" w:eastAsia="Calibri" w:hAnsi="Arial" w:cs="Arial"/>
          <w:kern w:val="2"/>
        </w:rPr>
        <w:lastRenderedPageBreak/>
        <w:t>alignment with the intended meaning. No AI system contributed to data analysis, result interpretation, or scientific conclusions.</w:t>
      </w:r>
    </w:p>
    <w:bookmarkEnd w:id="1"/>
    <w:bookmarkEnd w:id="2"/>
    <w:bookmarkEnd w:id="3"/>
    <w:bookmarkEnd w:id="4"/>
    <w:p w14:paraId="1EDDFB92" w14:textId="77777777" w:rsidR="004D1FB7" w:rsidRDefault="004D1FB7" w:rsidP="00441B6F">
      <w:pPr>
        <w:pStyle w:val="ReferHead"/>
        <w:spacing w:after="0"/>
        <w:jc w:val="both"/>
        <w:rPr>
          <w:rFonts w:ascii="Arial" w:hAnsi="Arial" w:cs="Arial"/>
          <w:b w:val="0"/>
          <w:caps w:val="0"/>
          <w:sz w:val="20"/>
        </w:rPr>
      </w:pPr>
    </w:p>
    <w:p w14:paraId="4508DB0B" w14:textId="77777777" w:rsidR="004D1FB7" w:rsidRPr="004D1FB7" w:rsidRDefault="004D1FB7" w:rsidP="00441B6F">
      <w:pPr>
        <w:pStyle w:val="ReferHead"/>
        <w:spacing w:after="0"/>
        <w:jc w:val="both"/>
        <w:rPr>
          <w:rFonts w:ascii="Arial" w:hAnsi="Arial" w:cs="Arial"/>
        </w:rPr>
      </w:pPr>
      <w:r w:rsidRPr="00FB3A86">
        <w:rPr>
          <w:rFonts w:ascii="Arial" w:hAnsi="Arial" w:cs="Arial"/>
        </w:rPr>
        <w:t>References</w:t>
      </w:r>
    </w:p>
    <w:p w14:paraId="7FC80803" w14:textId="77777777" w:rsidR="004D1FB7" w:rsidRDefault="004D1FB7" w:rsidP="00441B6F">
      <w:pPr>
        <w:pStyle w:val="ReferHead"/>
        <w:spacing w:after="0"/>
        <w:jc w:val="both"/>
        <w:rPr>
          <w:rFonts w:ascii="Arial" w:hAnsi="Arial" w:cs="Arial"/>
          <w:b w:val="0"/>
          <w:caps w:val="0"/>
          <w:sz w:val="20"/>
        </w:rPr>
      </w:pPr>
    </w:p>
    <w:p w14:paraId="37E8652F" w14:textId="77777777" w:rsidR="004D1FB7" w:rsidRPr="004D1FB7" w:rsidRDefault="004D1FB7" w:rsidP="004D1FB7">
      <w:pPr>
        <w:widowControl w:val="0"/>
        <w:autoSpaceDE w:val="0"/>
        <w:autoSpaceDN w:val="0"/>
        <w:adjustRightInd w:val="0"/>
        <w:ind w:left="480" w:hanging="480"/>
        <w:rPr>
          <w:rFonts w:ascii="Arial" w:hAnsi="Arial" w:cs="Arial"/>
          <w:noProof/>
        </w:rPr>
      </w:pPr>
      <w:r>
        <w:rPr>
          <w:rFonts w:ascii="Arial" w:hAnsi="Arial" w:cs="Arial"/>
          <w:b/>
          <w:caps/>
        </w:rPr>
        <w:fldChar w:fldCharType="begin" w:fldLock="1"/>
      </w:r>
      <w:r w:rsidRPr="004D1FB7">
        <w:rPr>
          <w:rFonts w:ascii="Arial" w:hAnsi="Arial" w:cs="Arial"/>
          <w:b/>
          <w:caps/>
        </w:rPr>
        <w:instrText xml:space="preserve">ADDIN Mendeley Bibliography CSL_BIBLIOGRAPHY </w:instrText>
      </w:r>
      <w:r>
        <w:rPr>
          <w:rFonts w:ascii="Arial" w:hAnsi="Arial" w:cs="Arial"/>
          <w:b/>
          <w:caps/>
        </w:rPr>
        <w:fldChar w:fldCharType="separate"/>
      </w:r>
      <w:r w:rsidRPr="004D1FB7">
        <w:rPr>
          <w:rFonts w:ascii="Arial" w:hAnsi="Arial" w:cs="Arial"/>
          <w:noProof/>
        </w:rPr>
        <w:t xml:space="preserve">Acut, D. P. (2024). From classroom learning to real-world skills: an autoethnographic account of school field trips and STEM work immersion program management. </w:t>
      </w:r>
      <w:r w:rsidRPr="004D1FB7">
        <w:rPr>
          <w:rFonts w:ascii="Arial" w:hAnsi="Arial" w:cs="Arial"/>
          <w:i/>
          <w:iCs/>
          <w:noProof/>
        </w:rPr>
        <w:t>Disciplinary and Interdisciplinary Science Education Research</w:t>
      </w:r>
      <w:r w:rsidRPr="004D1FB7">
        <w:rPr>
          <w:rFonts w:ascii="Arial" w:hAnsi="Arial" w:cs="Arial"/>
          <w:noProof/>
        </w:rPr>
        <w:t xml:space="preserve">, </w:t>
      </w:r>
      <w:r w:rsidRPr="004D1FB7">
        <w:rPr>
          <w:rFonts w:ascii="Arial" w:hAnsi="Arial" w:cs="Arial"/>
          <w:i/>
          <w:iCs/>
          <w:noProof/>
        </w:rPr>
        <w:t>6</w:t>
      </w:r>
      <w:r w:rsidRPr="004D1FB7">
        <w:rPr>
          <w:rFonts w:ascii="Arial" w:hAnsi="Arial" w:cs="Arial"/>
          <w:noProof/>
        </w:rPr>
        <w:t>(1), 20. https://doi.org/10.1186/s43031-024-00111-x</w:t>
      </w:r>
    </w:p>
    <w:p w14:paraId="697E8CEB"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Albar, Daswati, Nawawi, M., &amp; Syufri. (2025). Local Wisdom-Based Science and Environmental Education Management: Perspectives from the Bunggu Indigenous Community. </w:t>
      </w:r>
      <w:r w:rsidRPr="004D1FB7">
        <w:rPr>
          <w:rFonts w:ascii="Arial" w:hAnsi="Arial" w:cs="Arial"/>
          <w:i/>
          <w:iCs/>
          <w:noProof/>
        </w:rPr>
        <w:t>Jurnal Penelitian Pendidikan IPA</w:t>
      </w:r>
      <w:r w:rsidRPr="004D1FB7">
        <w:rPr>
          <w:rFonts w:ascii="Arial" w:hAnsi="Arial" w:cs="Arial"/>
          <w:noProof/>
        </w:rPr>
        <w:t xml:space="preserve">, </w:t>
      </w:r>
      <w:r w:rsidRPr="004D1FB7">
        <w:rPr>
          <w:rFonts w:ascii="Arial" w:hAnsi="Arial" w:cs="Arial"/>
          <w:i/>
          <w:iCs/>
          <w:noProof/>
        </w:rPr>
        <w:t>11</w:t>
      </w:r>
      <w:r w:rsidRPr="004D1FB7">
        <w:rPr>
          <w:rFonts w:ascii="Arial" w:hAnsi="Arial" w:cs="Arial"/>
          <w:noProof/>
        </w:rPr>
        <w:t>(5), 408–418. https://doi.org/10.29303/jppipa.v11i5.11167</w:t>
      </w:r>
    </w:p>
    <w:p w14:paraId="36F11333"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Aldhafeeri,  Fayiz M, &amp; Alotaibi,  Asmaa A. (2023). Reimagining Education for Successful and Sustainable Digital Shifting. </w:t>
      </w:r>
      <w:r w:rsidRPr="004D1FB7">
        <w:rPr>
          <w:rFonts w:ascii="Arial" w:hAnsi="Arial" w:cs="Arial"/>
          <w:i/>
          <w:iCs/>
          <w:noProof/>
        </w:rPr>
        <w:t>Sage Open</w:t>
      </w:r>
      <w:r w:rsidRPr="004D1FB7">
        <w:rPr>
          <w:rFonts w:ascii="Arial" w:hAnsi="Arial" w:cs="Arial"/>
          <w:noProof/>
        </w:rPr>
        <w:t xml:space="preserve">, </w:t>
      </w:r>
      <w:r w:rsidRPr="004D1FB7">
        <w:rPr>
          <w:rFonts w:ascii="Arial" w:hAnsi="Arial" w:cs="Arial"/>
          <w:i/>
          <w:iCs/>
          <w:noProof/>
        </w:rPr>
        <w:t>13</w:t>
      </w:r>
      <w:r w:rsidRPr="004D1FB7">
        <w:rPr>
          <w:rFonts w:ascii="Arial" w:hAnsi="Arial" w:cs="Arial"/>
          <w:noProof/>
        </w:rPr>
        <w:t>(1), 21582440231154470. https://doi.org/10.1177/21582440231154474</w:t>
      </w:r>
    </w:p>
    <w:p w14:paraId="597A60B8"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Alemayehu Tegegn, D. (2024). The role of science and technology in reconstructing human social history: effect of technology change on society. </w:t>
      </w:r>
      <w:r w:rsidRPr="004D1FB7">
        <w:rPr>
          <w:rFonts w:ascii="Arial" w:hAnsi="Arial" w:cs="Arial"/>
          <w:i/>
          <w:iCs/>
          <w:noProof/>
        </w:rPr>
        <w:t>Cogent Social Sciences</w:t>
      </w:r>
      <w:r w:rsidRPr="004D1FB7">
        <w:rPr>
          <w:rFonts w:ascii="Arial" w:hAnsi="Arial" w:cs="Arial"/>
          <w:noProof/>
        </w:rPr>
        <w:t xml:space="preserve">, </w:t>
      </w:r>
      <w:r w:rsidRPr="004D1FB7">
        <w:rPr>
          <w:rFonts w:ascii="Arial" w:hAnsi="Arial" w:cs="Arial"/>
          <w:i/>
          <w:iCs/>
          <w:noProof/>
        </w:rPr>
        <w:t>10</w:t>
      </w:r>
      <w:r w:rsidRPr="004D1FB7">
        <w:rPr>
          <w:rFonts w:ascii="Arial" w:hAnsi="Arial" w:cs="Arial"/>
          <w:noProof/>
        </w:rPr>
        <w:t>(1), 2356916. https://doi.org/10.1080/23311886.2024.2356916</w:t>
      </w:r>
    </w:p>
    <w:p w14:paraId="46DD60D7"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Asmayawati, Yufiarti, &amp; Yetti, E. (2024). Pedagogical innovation and curricular adaptation in enhancing digital literacy: A local wisdom approach for sustainable development in Indonesia context. </w:t>
      </w:r>
      <w:r w:rsidRPr="004D1FB7">
        <w:rPr>
          <w:rFonts w:ascii="Arial" w:hAnsi="Arial" w:cs="Arial"/>
          <w:i/>
          <w:iCs/>
          <w:noProof/>
        </w:rPr>
        <w:t>Journal of Open Innovation: Technology, Market, and Complexity</w:t>
      </w:r>
      <w:r w:rsidRPr="004D1FB7">
        <w:rPr>
          <w:rFonts w:ascii="Arial" w:hAnsi="Arial" w:cs="Arial"/>
          <w:noProof/>
        </w:rPr>
        <w:t xml:space="preserve">, </w:t>
      </w:r>
      <w:r w:rsidRPr="004D1FB7">
        <w:rPr>
          <w:rFonts w:ascii="Arial" w:hAnsi="Arial" w:cs="Arial"/>
          <w:i/>
          <w:iCs/>
          <w:noProof/>
        </w:rPr>
        <w:t>10</w:t>
      </w:r>
      <w:r w:rsidRPr="004D1FB7">
        <w:rPr>
          <w:rFonts w:ascii="Arial" w:hAnsi="Arial" w:cs="Arial"/>
          <w:noProof/>
        </w:rPr>
        <w:t>(1), 100233. https://doi.org/https://doi.org/10.1016/j.joitmc.2024.100233</w:t>
      </w:r>
    </w:p>
    <w:p w14:paraId="35D8E475"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Budiningsih, C. A., Suwarjo, S., Puspitasari, E., &amp; Harefa, E. (2024). Development of a social sciences learning model based on local wisdom pangngadakkang tupanrita by utilizing digital resources to improve prosocial behavior of elementary school: Students South Sulawesi Province, Indonesia. </w:t>
      </w:r>
      <w:r w:rsidRPr="004D1FB7">
        <w:rPr>
          <w:rFonts w:ascii="Arial" w:hAnsi="Arial" w:cs="Arial"/>
          <w:i/>
          <w:iCs/>
          <w:noProof/>
        </w:rPr>
        <w:t>Revista de Gestao Social e Ambiental</w:t>
      </w:r>
      <w:r w:rsidRPr="004D1FB7">
        <w:rPr>
          <w:rFonts w:ascii="Arial" w:hAnsi="Arial" w:cs="Arial"/>
          <w:noProof/>
        </w:rPr>
        <w:t xml:space="preserve">, </w:t>
      </w:r>
      <w:r w:rsidRPr="004D1FB7">
        <w:rPr>
          <w:rFonts w:ascii="Arial" w:hAnsi="Arial" w:cs="Arial"/>
          <w:i/>
          <w:iCs/>
          <w:noProof/>
        </w:rPr>
        <w:t>18</w:t>
      </w:r>
      <w:r w:rsidRPr="004D1FB7">
        <w:rPr>
          <w:rFonts w:ascii="Arial" w:hAnsi="Arial" w:cs="Arial"/>
          <w:noProof/>
        </w:rPr>
        <w:t>(8). https://doi.org/10.24857/rgsa.v18n8-062</w:t>
      </w:r>
    </w:p>
    <w:p w14:paraId="5CC139DD"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Chaijalearn, Y., Ratchawet, A., Sappan, P., Thanaparn, N., Kaensongsai, J., &amp; Intharawiset, T. (2023). Development of Local Wisdom-Based Science Learning Innovation to Promote Creative Problem-solving Skill: Case Study Chessboard Game of Mueang Kung Pottery, Chiang Mai. </w:t>
      </w:r>
      <w:r w:rsidRPr="004D1FB7">
        <w:rPr>
          <w:rFonts w:ascii="Arial" w:hAnsi="Arial" w:cs="Arial"/>
          <w:i/>
          <w:iCs/>
          <w:noProof/>
        </w:rPr>
        <w:t>Journal of Curriculum and Teaching</w:t>
      </w:r>
      <w:r w:rsidRPr="004D1FB7">
        <w:rPr>
          <w:rFonts w:ascii="Arial" w:hAnsi="Arial" w:cs="Arial"/>
          <w:noProof/>
        </w:rPr>
        <w:t xml:space="preserve">, </w:t>
      </w:r>
      <w:r w:rsidRPr="004D1FB7">
        <w:rPr>
          <w:rFonts w:ascii="Arial" w:hAnsi="Arial" w:cs="Arial"/>
          <w:i/>
          <w:iCs/>
          <w:noProof/>
        </w:rPr>
        <w:t>12</w:t>
      </w:r>
      <w:r w:rsidRPr="004D1FB7">
        <w:rPr>
          <w:rFonts w:ascii="Arial" w:hAnsi="Arial" w:cs="Arial"/>
          <w:noProof/>
        </w:rPr>
        <w:t>(3), 58–69. https://doi.org/10.5430/JCT.V12N3P58</w:t>
      </w:r>
    </w:p>
    <w:p w14:paraId="7BD5B98F"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Compan, P., Prommachan, T., Kongyok, C., Cheablam, O., &amp; Socheath, M. (2025). Integrating Local Plant Knowledge into Elementary Curriculum: A Scalable Model for Community Sustainability. </w:t>
      </w:r>
      <w:r w:rsidRPr="004D1FB7">
        <w:rPr>
          <w:rFonts w:ascii="Arial" w:hAnsi="Arial" w:cs="Arial"/>
          <w:i/>
          <w:iCs/>
          <w:noProof/>
        </w:rPr>
        <w:t>Sustainability</w:t>
      </w:r>
      <w:r w:rsidRPr="004D1FB7">
        <w:rPr>
          <w:rFonts w:ascii="Arial" w:hAnsi="Arial" w:cs="Arial"/>
          <w:noProof/>
        </w:rPr>
        <w:t xml:space="preserve">, </w:t>
      </w:r>
      <w:r w:rsidRPr="004D1FB7">
        <w:rPr>
          <w:rFonts w:ascii="Arial" w:hAnsi="Arial" w:cs="Arial"/>
          <w:i/>
          <w:iCs/>
          <w:noProof/>
        </w:rPr>
        <w:t>17</w:t>
      </w:r>
      <w:r w:rsidRPr="004D1FB7">
        <w:rPr>
          <w:rFonts w:ascii="Arial" w:hAnsi="Arial" w:cs="Arial"/>
          <w:noProof/>
        </w:rPr>
        <w:t>(17). https://doi.org/10.3390/su17178060</w:t>
      </w:r>
    </w:p>
    <w:p w14:paraId="513CA0D4"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Damopolii, I., Nunaki, J. H., Jeni, J., Rampheri, M. B., &amp; Ambusaidi, A. K. (2024). An Integration of local wisdom into a problem-based student book to Empower Students’ Conservation Attitudes. </w:t>
      </w:r>
      <w:r w:rsidRPr="004D1FB7">
        <w:rPr>
          <w:rFonts w:ascii="Arial" w:hAnsi="Arial" w:cs="Arial"/>
          <w:i/>
          <w:iCs/>
          <w:noProof/>
        </w:rPr>
        <w:t>Participatory Educational Research</w:t>
      </w:r>
      <w:r w:rsidRPr="004D1FB7">
        <w:rPr>
          <w:rFonts w:ascii="Arial" w:hAnsi="Arial" w:cs="Arial"/>
          <w:noProof/>
        </w:rPr>
        <w:t xml:space="preserve">, </w:t>
      </w:r>
      <w:r w:rsidRPr="004D1FB7">
        <w:rPr>
          <w:rFonts w:ascii="Arial" w:hAnsi="Arial" w:cs="Arial"/>
          <w:i/>
          <w:iCs/>
          <w:noProof/>
        </w:rPr>
        <w:t>11</w:t>
      </w:r>
      <w:r w:rsidRPr="004D1FB7">
        <w:rPr>
          <w:rFonts w:ascii="Arial" w:hAnsi="Arial" w:cs="Arial"/>
          <w:noProof/>
        </w:rPr>
        <w:t>(1), 158–177. https://doi.org/10.17275/per.24.10.11.1</w:t>
      </w:r>
    </w:p>
    <w:p w14:paraId="1DF2C4DA"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Darmayanti, N. W. S., Alsulami, N. M., Pradnyana, P. B., Fitriyana, N. I., Sueca, I. N., &amp; Isnawan, M. G. (2025). The Effectiveness of the Environment-Oriented Practicum Guide Integrated with Catur Pramana in Developing Students’ Science Process Skills. </w:t>
      </w:r>
      <w:r w:rsidRPr="004D1FB7">
        <w:rPr>
          <w:rFonts w:ascii="Arial" w:hAnsi="Arial" w:cs="Arial"/>
          <w:i/>
          <w:iCs/>
          <w:noProof/>
        </w:rPr>
        <w:t>Educational Process: International Journal</w:t>
      </w:r>
      <w:r w:rsidRPr="004D1FB7">
        <w:rPr>
          <w:rFonts w:ascii="Arial" w:hAnsi="Arial" w:cs="Arial"/>
          <w:noProof/>
        </w:rPr>
        <w:t xml:space="preserve">, </w:t>
      </w:r>
      <w:r w:rsidRPr="004D1FB7">
        <w:rPr>
          <w:rFonts w:ascii="Arial" w:hAnsi="Arial" w:cs="Arial"/>
          <w:i/>
          <w:iCs/>
          <w:noProof/>
        </w:rPr>
        <w:t>15</w:t>
      </w:r>
      <w:r w:rsidRPr="004D1FB7">
        <w:rPr>
          <w:rFonts w:ascii="Arial" w:hAnsi="Arial" w:cs="Arial"/>
          <w:noProof/>
        </w:rPr>
        <w:t>. https://doi.org/10.22521/edupij.2025.15.96</w:t>
      </w:r>
    </w:p>
    <w:p w14:paraId="05769EE3"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Diliarosta, S., Sudarmin, S., Efendi, A., Dillasamola, D., Oktomalioputri, B., &amp; Ramadhani, R. (2021). Reconstruction and scientific explanation of akar kuning (Arcangelisia flava Merr.) from west sumatra as ethnomedicine and source of science learning. </w:t>
      </w:r>
      <w:r w:rsidRPr="004D1FB7">
        <w:rPr>
          <w:rFonts w:ascii="Arial" w:hAnsi="Arial" w:cs="Arial"/>
          <w:i/>
          <w:iCs/>
          <w:noProof/>
        </w:rPr>
        <w:t>Pharmacognosy Journal</w:t>
      </w:r>
      <w:r w:rsidRPr="004D1FB7">
        <w:rPr>
          <w:rFonts w:ascii="Arial" w:hAnsi="Arial" w:cs="Arial"/>
          <w:noProof/>
        </w:rPr>
        <w:t xml:space="preserve">, </w:t>
      </w:r>
      <w:r w:rsidRPr="004D1FB7">
        <w:rPr>
          <w:rFonts w:ascii="Arial" w:hAnsi="Arial" w:cs="Arial"/>
          <w:i/>
          <w:iCs/>
          <w:noProof/>
        </w:rPr>
        <w:t>13</w:t>
      </w:r>
      <w:r w:rsidRPr="004D1FB7">
        <w:rPr>
          <w:rFonts w:ascii="Arial" w:hAnsi="Arial" w:cs="Arial"/>
          <w:noProof/>
        </w:rPr>
        <w:t>(1), 206–211. https://doi.org/10.5530/pj.2021.13.29</w:t>
      </w:r>
    </w:p>
    <w:p w14:paraId="32BA2D14"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Druker-Ibáñez, S., &amp; Cáceres-Jensen, L. (2022). Integration of indigenous and local knowledge into sustainability education: a systematic literature review. </w:t>
      </w:r>
      <w:r w:rsidRPr="004D1FB7">
        <w:rPr>
          <w:rFonts w:ascii="Arial" w:hAnsi="Arial" w:cs="Arial"/>
          <w:i/>
          <w:iCs/>
          <w:noProof/>
        </w:rPr>
        <w:t>Environmental Education Research</w:t>
      </w:r>
      <w:r w:rsidRPr="004D1FB7">
        <w:rPr>
          <w:rFonts w:ascii="Arial" w:hAnsi="Arial" w:cs="Arial"/>
          <w:noProof/>
        </w:rPr>
        <w:t xml:space="preserve">, </w:t>
      </w:r>
      <w:r w:rsidRPr="004D1FB7">
        <w:rPr>
          <w:rFonts w:ascii="Arial" w:hAnsi="Arial" w:cs="Arial"/>
          <w:i/>
          <w:iCs/>
          <w:noProof/>
        </w:rPr>
        <w:t>28</w:t>
      </w:r>
      <w:r w:rsidRPr="004D1FB7">
        <w:rPr>
          <w:rFonts w:ascii="Arial" w:hAnsi="Arial" w:cs="Arial"/>
          <w:noProof/>
        </w:rPr>
        <w:t>(8), 1209–1236. https://doi.org/10.1080/13504622.2022.2083081</w:t>
      </w:r>
    </w:p>
    <w:p w14:paraId="2B601E1A"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lastRenderedPageBreak/>
        <w:t xml:space="preserve">Dwianto, A., Wilujeng, I., Prasetyo, Z. K., &amp; Suryadarma, I. G. P. (2017). The development of science domain based learning tool which is integrated with local wisdom to improve science process skill and scientific attitude. </w:t>
      </w:r>
      <w:r w:rsidRPr="004D1FB7">
        <w:rPr>
          <w:rFonts w:ascii="Arial" w:hAnsi="Arial" w:cs="Arial"/>
          <w:i/>
          <w:iCs/>
          <w:noProof/>
        </w:rPr>
        <w:t>Jurnal Pendidikan IPA Indonesia</w:t>
      </w:r>
      <w:r w:rsidRPr="004D1FB7">
        <w:rPr>
          <w:rFonts w:ascii="Arial" w:hAnsi="Arial" w:cs="Arial"/>
          <w:noProof/>
        </w:rPr>
        <w:t xml:space="preserve">, </w:t>
      </w:r>
      <w:r w:rsidRPr="004D1FB7">
        <w:rPr>
          <w:rFonts w:ascii="Arial" w:hAnsi="Arial" w:cs="Arial"/>
          <w:i/>
          <w:iCs/>
          <w:noProof/>
        </w:rPr>
        <w:t>6</w:t>
      </w:r>
      <w:r w:rsidRPr="004D1FB7">
        <w:rPr>
          <w:rFonts w:ascii="Arial" w:hAnsi="Arial" w:cs="Arial"/>
          <w:noProof/>
        </w:rPr>
        <w:t>(1), 23–31. https://doi.org/10.15294/jpii.v6i1.7205</w:t>
      </w:r>
    </w:p>
    <w:p w14:paraId="77D81CFA" w14:textId="3ED467EB" w:rsidR="000D6CDB" w:rsidRDefault="000D6CDB" w:rsidP="004D1FB7">
      <w:pPr>
        <w:widowControl w:val="0"/>
        <w:autoSpaceDE w:val="0"/>
        <w:autoSpaceDN w:val="0"/>
        <w:adjustRightInd w:val="0"/>
        <w:ind w:left="480" w:hanging="480"/>
        <w:rPr>
          <w:rFonts w:ascii="Arial" w:hAnsi="Arial" w:cs="Arial"/>
          <w:noProof/>
        </w:rPr>
      </w:pPr>
      <w:r w:rsidRPr="000D6CDB">
        <w:rPr>
          <w:rFonts w:ascii="Arial" w:hAnsi="Arial" w:cs="Arial"/>
          <w:noProof/>
        </w:rPr>
        <w:t xml:space="preserve">Eliyahu-Levi, D., &amp; Ganz-Meishar, M. (2020). Designing pedagogical practices for teaching in educational spaces culturally and linguistically diverse. </w:t>
      </w:r>
      <w:r w:rsidRPr="000D6CDB">
        <w:rPr>
          <w:rFonts w:ascii="Arial" w:hAnsi="Arial" w:cs="Arial"/>
          <w:i/>
          <w:iCs/>
          <w:noProof/>
        </w:rPr>
        <w:t>Journal of New Approaches in Educational Research, 9</w:t>
      </w:r>
      <w:r w:rsidRPr="000D6CDB">
        <w:rPr>
          <w:rFonts w:ascii="Arial" w:hAnsi="Arial" w:cs="Arial"/>
          <w:noProof/>
        </w:rPr>
        <w:t>(1), 74–90. https://doi.org/10.7821/naer.2020.1.449</w:t>
      </w:r>
    </w:p>
    <w:p w14:paraId="216F8A03" w14:textId="44F4A12D"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Fitrianto, I., &amp; Farisi, M. (2025). Integrating Local Wisdom into 21st Century Skills: A Contextual Framework for Culturally Relevant Pedagogy in Rural Classrooms. </w:t>
      </w:r>
      <w:r w:rsidRPr="004D1FB7">
        <w:rPr>
          <w:rFonts w:ascii="Arial" w:hAnsi="Arial" w:cs="Arial"/>
          <w:i/>
          <w:iCs/>
          <w:noProof/>
        </w:rPr>
        <w:t>International Journal of Post Axial: Futuristic Teaching and Learning</w:t>
      </w:r>
      <w:r w:rsidRPr="004D1FB7">
        <w:rPr>
          <w:rFonts w:ascii="Arial" w:hAnsi="Arial" w:cs="Arial"/>
          <w:noProof/>
        </w:rPr>
        <w:t xml:space="preserve">, </w:t>
      </w:r>
      <w:r w:rsidRPr="004D1FB7">
        <w:rPr>
          <w:rFonts w:ascii="Arial" w:hAnsi="Arial" w:cs="Arial"/>
          <w:i/>
          <w:iCs/>
          <w:noProof/>
        </w:rPr>
        <w:t>3</w:t>
      </w:r>
      <w:r w:rsidRPr="004D1FB7">
        <w:rPr>
          <w:rFonts w:ascii="Arial" w:hAnsi="Arial" w:cs="Arial"/>
          <w:noProof/>
        </w:rPr>
        <w:t>(2), 109–121. https://doi.org/10.59944/postaxial.v3i2.444</w:t>
      </w:r>
    </w:p>
    <w:p w14:paraId="4F0E6244"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Husamah, H., Rahardjanto, A., Lestari, N., Permana, T. I., &amp; Hadi, S. (2024). Supporting Sustainability through Maritime Literacy and Valuable Reflections for the Future: A Systematic Literature Review. </w:t>
      </w:r>
      <w:r w:rsidRPr="004D1FB7">
        <w:rPr>
          <w:rFonts w:ascii="Arial" w:hAnsi="Arial" w:cs="Arial"/>
          <w:i/>
          <w:iCs/>
          <w:noProof/>
        </w:rPr>
        <w:t>Tadris: Jurnal Keguruan Dan Ilmu Tarbiyah</w:t>
      </w:r>
      <w:r w:rsidRPr="004D1FB7">
        <w:rPr>
          <w:rFonts w:ascii="Arial" w:hAnsi="Arial" w:cs="Arial"/>
          <w:noProof/>
        </w:rPr>
        <w:t xml:space="preserve">, </w:t>
      </w:r>
      <w:r w:rsidRPr="004D1FB7">
        <w:rPr>
          <w:rFonts w:ascii="Arial" w:hAnsi="Arial" w:cs="Arial"/>
          <w:i/>
          <w:iCs/>
          <w:noProof/>
        </w:rPr>
        <w:t>9</w:t>
      </w:r>
      <w:r w:rsidRPr="004D1FB7">
        <w:rPr>
          <w:rFonts w:ascii="Arial" w:hAnsi="Arial" w:cs="Arial"/>
          <w:noProof/>
        </w:rPr>
        <w:t>(2), 287–308. https://doi.org/10.24042/tadris.v9i2.24288</w:t>
      </w:r>
    </w:p>
    <w:p w14:paraId="75DCA7FC"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Husamah, Rahardjanto, A., Permana, T. I., &amp; Lestari, N. (2025). Islam and sustainability issues, how far has the relationship progressed? A bibliometric analysis. </w:t>
      </w:r>
      <w:r w:rsidRPr="004D1FB7">
        <w:rPr>
          <w:rFonts w:ascii="Arial" w:hAnsi="Arial" w:cs="Arial"/>
          <w:i/>
          <w:iCs/>
          <w:noProof/>
        </w:rPr>
        <w:t>Social Sciences and Humanities Open</w:t>
      </w:r>
      <w:r w:rsidRPr="004D1FB7">
        <w:rPr>
          <w:rFonts w:ascii="Arial" w:hAnsi="Arial" w:cs="Arial"/>
          <w:noProof/>
        </w:rPr>
        <w:t xml:space="preserve">, </w:t>
      </w:r>
      <w:r w:rsidRPr="004D1FB7">
        <w:rPr>
          <w:rFonts w:ascii="Arial" w:hAnsi="Arial" w:cs="Arial"/>
          <w:i/>
          <w:iCs/>
          <w:noProof/>
        </w:rPr>
        <w:t>12</w:t>
      </w:r>
      <w:r w:rsidRPr="004D1FB7">
        <w:rPr>
          <w:rFonts w:ascii="Arial" w:hAnsi="Arial" w:cs="Arial"/>
          <w:noProof/>
        </w:rPr>
        <w:t>(March), 101703. https://doi.org/10.1016/j.ssaho.2025.101703</w:t>
      </w:r>
    </w:p>
    <w:p w14:paraId="2D257438"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Ijatuyi, E. J., Lamm, A., Yessoufou, K., Suinyuy, T., &amp; Patrick, H. O. (2025). Integration of indigenous knowledge with scientific knowledge: A systematic review. </w:t>
      </w:r>
      <w:r w:rsidRPr="004D1FB7">
        <w:rPr>
          <w:rFonts w:ascii="Arial" w:hAnsi="Arial" w:cs="Arial"/>
          <w:i/>
          <w:iCs/>
          <w:noProof/>
        </w:rPr>
        <w:t>Environmental Science &amp; Policy</w:t>
      </w:r>
      <w:r w:rsidRPr="004D1FB7">
        <w:rPr>
          <w:rFonts w:ascii="Arial" w:hAnsi="Arial" w:cs="Arial"/>
          <w:noProof/>
        </w:rPr>
        <w:t xml:space="preserve">, </w:t>
      </w:r>
      <w:r w:rsidRPr="004D1FB7">
        <w:rPr>
          <w:rFonts w:ascii="Arial" w:hAnsi="Arial" w:cs="Arial"/>
          <w:i/>
          <w:iCs/>
          <w:noProof/>
        </w:rPr>
        <w:t>170</w:t>
      </w:r>
      <w:r w:rsidRPr="004D1FB7">
        <w:rPr>
          <w:rFonts w:ascii="Arial" w:hAnsi="Arial" w:cs="Arial"/>
          <w:noProof/>
        </w:rPr>
        <w:t>, 104119. https://doi.org/https://doi.org/10.1016/j.envsci.2025.104119</w:t>
      </w:r>
    </w:p>
    <w:p w14:paraId="10E863FC"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Isma, N., &amp; Yusuf, M. (2025). The Influence of the Implementation of Extracurricular Activities of the Islamic Propagation Agency on the Practice of Religious Worship at Mutia Rahma Bulu Cina Middle School , Hamparan Perak District. </w:t>
      </w:r>
      <w:r w:rsidRPr="004D1FB7">
        <w:rPr>
          <w:rFonts w:ascii="Arial" w:hAnsi="Arial" w:cs="Arial"/>
          <w:i/>
          <w:iCs/>
          <w:noProof/>
        </w:rPr>
        <w:t>Jurnal Riset Ilmu Pendidikan</w:t>
      </w:r>
      <w:r w:rsidRPr="004D1FB7">
        <w:rPr>
          <w:rFonts w:ascii="Arial" w:hAnsi="Arial" w:cs="Arial"/>
          <w:noProof/>
        </w:rPr>
        <w:t xml:space="preserve">, </w:t>
      </w:r>
      <w:r w:rsidRPr="004D1FB7">
        <w:rPr>
          <w:rFonts w:ascii="Arial" w:hAnsi="Arial" w:cs="Arial"/>
          <w:i/>
          <w:iCs/>
          <w:noProof/>
        </w:rPr>
        <w:t>5</w:t>
      </w:r>
      <w:r w:rsidRPr="004D1FB7">
        <w:rPr>
          <w:rFonts w:ascii="Arial" w:hAnsi="Arial" w:cs="Arial"/>
          <w:noProof/>
        </w:rPr>
        <w:t>(1), 211–215. https://doi.org/10.30596/jcositte.v1i1.xxxx</w:t>
      </w:r>
    </w:p>
    <w:p w14:paraId="3E5073A5"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Kioupi, V., &amp; Voulvoulis, N. (2019). Education for sustainable development: A systemic framework for connecting the SDGs to educational outcomes. </w:t>
      </w:r>
      <w:r w:rsidRPr="004D1FB7">
        <w:rPr>
          <w:rFonts w:ascii="Arial" w:hAnsi="Arial" w:cs="Arial"/>
          <w:i/>
          <w:iCs/>
          <w:noProof/>
        </w:rPr>
        <w:t>Sustainability (Switzerland)</w:t>
      </w:r>
      <w:r w:rsidRPr="004D1FB7">
        <w:rPr>
          <w:rFonts w:ascii="Arial" w:hAnsi="Arial" w:cs="Arial"/>
          <w:noProof/>
        </w:rPr>
        <w:t xml:space="preserve">, </w:t>
      </w:r>
      <w:r w:rsidRPr="004D1FB7">
        <w:rPr>
          <w:rFonts w:ascii="Arial" w:hAnsi="Arial" w:cs="Arial"/>
          <w:i/>
          <w:iCs/>
          <w:noProof/>
        </w:rPr>
        <w:t>11</w:t>
      </w:r>
      <w:r w:rsidRPr="004D1FB7">
        <w:rPr>
          <w:rFonts w:ascii="Arial" w:hAnsi="Arial" w:cs="Arial"/>
          <w:noProof/>
        </w:rPr>
        <w:t>(21), 6104. https://doi.org/10.3390/su11216104</w:t>
      </w:r>
    </w:p>
    <w:p w14:paraId="2F714427"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Leal Filho, W., Sima, M., Sharifi, A., Luetz, J. M., Salvia, A. L., Mifsud, M., Olooto, F. M., Djekic, I., Anholon, R., Rampasso, I., Kwabena Donkor, F., Dinis, M. A. P., Klavins, M., Finnveden, G., Chari, M. M., Molthan-Hill, P., Mifsud, A., Sen, S. K., &amp; Lokupitiya, E. (2021). Handling climate change education at universities: an overview. </w:t>
      </w:r>
      <w:r w:rsidRPr="004D1FB7">
        <w:rPr>
          <w:rFonts w:ascii="Arial" w:hAnsi="Arial" w:cs="Arial"/>
          <w:i/>
          <w:iCs/>
          <w:noProof/>
        </w:rPr>
        <w:t>Environmental Sciences Europe</w:t>
      </w:r>
      <w:r w:rsidRPr="004D1FB7">
        <w:rPr>
          <w:rFonts w:ascii="Arial" w:hAnsi="Arial" w:cs="Arial"/>
          <w:noProof/>
        </w:rPr>
        <w:t xml:space="preserve">, </w:t>
      </w:r>
      <w:r w:rsidRPr="004D1FB7">
        <w:rPr>
          <w:rFonts w:ascii="Arial" w:hAnsi="Arial" w:cs="Arial"/>
          <w:i/>
          <w:iCs/>
          <w:noProof/>
        </w:rPr>
        <w:t>33</w:t>
      </w:r>
      <w:r w:rsidRPr="004D1FB7">
        <w:rPr>
          <w:rFonts w:ascii="Arial" w:hAnsi="Arial" w:cs="Arial"/>
          <w:noProof/>
        </w:rPr>
        <w:t>(1), 109. https://doi.org/10.1186/s12302-021-00552-5</w:t>
      </w:r>
    </w:p>
    <w:p w14:paraId="27506363"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Lestari, N., P., &amp; Suyanto, S. (2024). A systematic literature review about local wisdom and sustainability: Contribution and recommendation to science education. </w:t>
      </w:r>
      <w:r w:rsidRPr="004D1FB7">
        <w:rPr>
          <w:rFonts w:ascii="Arial" w:hAnsi="Arial" w:cs="Arial"/>
          <w:i/>
          <w:iCs/>
          <w:noProof/>
        </w:rPr>
        <w:t>Eurasia Journal of Mathematics, Science and Technology Education</w:t>
      </w:r>
      <w:r w:rsidRPr="004D1FB7">
        <w:rPr>
          <w:rFonts w:ascii="Arial" w:hAnsi="Arial" w:cs="Arial"/>
          <w:noProof/>
        </w:rPr>
        <w:t xml:space="preserve">, </w:t>
      </w:r>
      <w:r w:rsidRPr="004D1FB7">
        <w:rPr>
          <w:rFonts w:ascii="Arial" w:hAnsi="Arial" w:cs="Arial"/>
          <w:i/>
          <w:iCs/>
          <w:noProof/>
        </w:rPr>
        <w:t>20</w:t>
      </w:r>
      <w:r w:rsidRPr="004D1FB7">
        <w:rPr>
          <w:rFonts w:ascii="Arial" w:hAnsi="Arial" w:cs="Arial"/>
          <w:noProof/>
        </w:rPr>
        <w:t>(2), 1–19. https://doi.org/10.29333/ejmste/14152</w:t>
      </w:r>
    </w:p>
    <w:p w14:paraId="3EE99F1E" w14:textId="77777777" w:rsidR="000D6CDB" w:rsidRDefault="000D6CDB" w:rsidP="004D1FB7">
      <w:pPr>
        <w:widowControl w:val="0"/>
        <w:autoSpaceDE w:val="0"/>
        <w:autoSpaceDN w:val="0"/>
        <w:adjustRightInd w:val="0"/>
        <w:ind w:left="480" w:hanging="480"/>
        <w:rPr>
          <w:rFonts w:ascii="Arial" w:hAnsi="Arial" w:cs="Arial"/>
          <w:noProof/>
        </w:rPr>
      </w:pPr>
      <w:r w:rsidRPr="000D6CDB">
        <w:rPr>
          <w:rFonts w:ascii="Arial" w:hAnsi="Arial" w:cs="Arial"/>
          <w:noProof/>
        </w:rPr>
        <w:t xml:space="preserve">Lopez, L. M., &amp; Vallejos, V. (2022). Indigenous knowledge and science education in the Amazon: Toward sustainable and intercultural learning. </w:t>
      </w:r>
      <w:r w:rsidRPr="000D6CDB">
        <w:rPr>
          <w:rFonts w:ascii="Arial" w:hAnsi="Arial" w:cs="Arial"/>
          <w:i/>
          <w:iCs/>
          <w:noProof/>
        </w:rPr>
        <w:t>Environmental Education Research</w:t>
      </w:r>
      <w:r w:rsidRPr="000D6CDB">
        <w:rPr>
          <w:rFonts w:ascii="Arial" w:hAnsi="Arial" w:cs="Arial"/>
          <w:noProof/>
        </w:rPr>
        <w:t>, 28(9), 1291–1308.</w:t>
      </w:r>
    </w:p>
    <w:p w14:paraId="520190ED" w14:textId="50E6BCE6"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Manns,  Mark, Heiss,  Julia, Morohashi,  Jun, &amp; Loupis,  Leila. (2025). Harnessing Indigenous Knowledge for Education for Sustainable Development. </w:t>
      </w:r>
      <w:r w:rsidRPr="004D1FB7">
        <w:rPr>
          <w:rFonts w:ascii="Arial" w:hAnsi="Arial" w:cs="Arial"/>
          <w:i/>
          <w:iCs/>
          <w:noProof/>
        </w:rPr>
        <w:t>Journal of Education for Sustainable Development</w:t>
      </w:r>
      <w:r w:rsidRPr="004D1FB7">
        <w:rPr>
          <w:rFonts w:ascii="Arial" w:hAnsi="Arial" w:cs="Arial"/>
          <w:noProof/>
        </w:rPr>
        <w:t>, 09734082251360875. https://doi.org/10.1177/09734082251360875</w:t>
      </w:r>
    </w:p>
    <w:p w14:paraId="2121A446"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Mhlongo, S., Mbatha, K., Ramatsetse, B., &amp; Dlamini, R. (2023). Challenges, opportunities, and prospects of adopting and using smart digital technologies in learning environments: An iterative review. </w:t>
      </w:r>
      <w:r w:rsidRPr="004D1FB7">
        <w:rPr>
          <w:rFonts w:ascii="Arial" w:hAnsi="Arial" w:cs="Arial"/>
          <w:i/>
          <w:iCs/>
          <w:noProof/>
        </w:rPr>
        <w:t>Heliyon</w:t>
      </w:r>
      <w:r w:rsidRPr="004D1FB7">
        <w:rPr>
          <w:rFonts w:ascii="Arial" w:hAnsi="Arial" w:cs="Arial"/>
          <w:noProof/>
        </w:rPr>
        <w:t xml:space="preserve">, </w:t>
      </w:r>
      <w:r w:rsidRPr="004D1FB7">
        <w:rPr>
          <w:rFonts w:ascii="Arial" w:hAnsi="Arial" w:cs="Arial"/>
          <w:i/>
          <w:iCs/>
          <w:noProof/>
        </w:rPr>
        <w:t>9</w:t>
      </w:r>
      <w:r w:rsidRPr="004D1FB7">
        <w:rPr>
          <w:rFonts w:ascii="Arial" w:hAnsi="Arial" w:cs="Arial"/>
          <w:noProof/>
        </w:rPr>
        <w:t>(6), e16348. https://doi.org/https://doi.org/10.1016/j.heliyon.2023.e16348</w:t>
      </w:r>
    </w:p>
    <w:p w14:paraId="22A7D28B"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Minsih, M., Mujahid, I., &amp; Mukminin, A. (2025). The integration of culture literacy in strengthening the profile of Pancasila students in science learning for elementary schools. </w:t>
      </w:r>
      <w:r w:rsidRPr="004D1FB7">
        <w:rPr>
          <w:rFonts w:ascii="Arial" w:hAnsi="Arial" w:cs="Arial"/>
          <w:i/>
          <w:iCs/>
          <w:noProof/>
        </w:rPr>
        <w:t>Jurnal Ilmiah Ilmu Terapan Universitas Jambi</w:t>
      </w:r>
      <w:r w:rsidRPr="004D1FB7">
        <w:rPr>
          <w:rFonts w:ascii="Arial" w:hAnsi="Arial" w:cs="Arial"/>
          <w:noProof/>
        </w:rPr>
        <w:t xml:space="preserve">, </w:t>
      </w:r>
      <w:r w:rsidRPr="004D1FB7">
        <w:rPr>
          <w:rFonts w:ascii="Arial" w:hAnsi="Arial" w:cs="Arial"/>
          <w:i/>
          <w:iCs/>
          <w:noProof/>
        </w:rPr>
        <w:t>9</w:t>
      </w:r>
      <w:r w:rsidRPr="004D1FB7">
        <w:rPr>
          <w:rFonts w:ascii="Arial" w:hAnsi="Arial" w:cs="Arial"/>
          <w:noProof/>
        </w:rPr>
        <w:t xml:space="preserve">(2), 609–618. </w:t>
      </w:r>
      <w:r w:rsidRPr="004D1FB7">
        <w:rPr>
          <w:rFonts w:ascii="Arial" w:hAnsi="Arial" w:cs="Arial"/>
          <w:noProof/>
        </w:rPr>
        <w:lastRenderedPageBreak/>
        <w:t>https://doi.org/10.22437/jiituj.v9i2.41764</w:t>
      </w:r>
    </w:p>
    <w:p w14:paraId="1B44F26B"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Mulero, L., Grau, D., Cunill, J., Fàbregas, A., &amp; Rossell, J. M. (2024). Promoting and Prioritizing the Sustainable Development Goals in Young People. </w:t>
      </w:r>
      <w:r w:rsidRPr="004D1FB7">
        <w:rPr>
          <w:rFonts w:ascii="Arial" w:hAnsi="Arial" w:cs="Arial"/>
          <w:i/>
          <w:iCs/>
          <w:noProof/>
        </w:rPr>
        <w:t>Sustainability</w:t>
      </w:r>
      <w:r w:rsidRPr="004D1FB7">
        <w:rPr>
          <w:rFonts w:ascii="Arial" w:hAnsi="Arial" w:cs="Arial"/>
          <w:noProof/>
        </w:rPr>
        <w:t xml:space="preserve">, </w:t>
      </w:r>
      <w:r w:rsidRPr="004D1FB7">
        <w:rPr>
          <w:rFonts w:ascii="Arial" w:hAnsi="Arial" w:cs="Arial"/>
          <w:i/>
          <w:iCs/>
          <w:noProof/>
        </w:rPr>
        <w:t>16</w:t>
      </w:r>
      <w:r w:rsidRPr="004D1FB7">
        <w:rPr>
          <w:rFonts w:ascii="Arial" w:hAnsi="Arial" w:cs="Arial"/>
          <w:noProof/>
        </w:rPr>
        <w:t>(24). https://doi.org/10.3390/su162410813</w:t>
      </w:r>
    </w:p>
    <w:p w14:paraId="3F14B722"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Nguyen, A. T., Latapí, M., Kemper, J. A., Berger, P., &amp; Lam, H. (2025). Sustainability and sustainable development goals in business higher education research: a systematic literature review. </w:t>
      </w:r>
      <w:r w:rsidRPr="004D1FB7">
        <w:rPr>
          <w:rFonts w:ascii="Arial" w:hAnsi="Arial" w:cs="Arial"/>
          <w:i/>
          <w:iCs/>
          <w:noProof/>
        </w:rPr>
        <w:t>Environmental Education Research</w:t>
      </w:r>
      <w:r w:rsidRPr="004D1FB7">
        <w:rPr>
          <w:rFonts w:ascii="Arial" w:hAnsi="Arial" w:cs="Arial"/>
          <w:noProof/>
        </w:rPr>
        <w:t xml:space="preserve">, </w:t>
      </w:r>
      <w:r w:rsidRPr="004D1FB7">
        <w:rPr>
          <w:rFonts w:ascii="Arial" w:hAnsi="Arial" w:cs="Arial"/>
          <w:i/>
          <w:iCs/>
          <w:noProof/>
        </w:rPr>
        <w:t>31</w:t>
      </w:r>
      <w:r w:rsidRPr="004D1FB7">
        <w:rPr>
          <w:rFonts w:ascii="Arial" w:hAnsi="Arial" w:cs="Arial"/>
          <w:noProof/>
        </w:rPr>
        <w:t>(8), 1721–1750. https://doi.org/10.1080/13504622.2025.2482743</w:t>
      </w:r>
    </w:p>
    <w:p w14:paraId="18C2590A"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Odja, A. H., Ratha, D., Pikoli, M., Yunus, R., Mohamad, W. M., &amp; Mursalin,  u. (2025). The effectiveness of cooperative learning integrated with Huyula values and variety of media to improve science mastery in inclusive environments. </w:t>
      </w:r>
      <w:r w:rsidRPr="004D1FB7">
        <w:rPr>
          <w:rFonts w:ascii="Arial" w:hAnsi="Arial" w:cs="Arial"/>
          <w:i/>
          <w:iCs/>
          <w:noProof/>
        </w:rPr>
        <w:t>Jurnal Pendidikan IPA Indonesia</w:t>
      </w:r>
      <w:r w:rsidRPr="004D1FB7">
        <w:rPr>
          <w:rFonts w:ascii="Arial" w:hAnsi="Arial" w:cs="Arial"/>
          <w:noProof/>
        </w:rPr>
        <w:t xml:space="preserve">, </w:t>
      </w:r>
      <w:r w:rsidRPr="004D1FB7">
        <w:rPr>
          <w:rFonts w:ascii="Arial" w:hAnsi="Arial" w:cs="Arial"/>
          <w:i/>
          <w:iCs/>
          <w:noProof/>
        </w:rPr>
        <w:t>14</w:t>
      </w:r>
      <w:r w:rsidRPr="004D1FB7">
        <w:rPr>
          <w:rFonts w:ascii="Arial" w:hAnsi="Arial" w:cs="Arial"/>
          <w:noProof/>
        </w:rPr>
        <w:t>(2), 282–295. https://doi.org/10.15294/jpii.v14i2.24087</w:t>
      </w:r>
    </w:p>
    <w:p w14:paraId="110F33A3" w14:textId="77777777" w:rsidR="000D6CDB" w:rsidRDefault="000D6CDB" w:rsidP="004D1FB7">
      <w:pPr>
        <w:widowControl w:val="0"/>
        <w:autoSpaceDE w:val="0"/>
        <w:autoSpaceDN w:val="0"/>
        <w:adjustRightInd w:val="0"/>
        <w:ind w:left="480" w:hanging="480"/>
        <w:rPr>
          <w:rFonts w:ascii="Arial" w:hAnsi="Arial" w:cs="Arial"/>
          <w:noProof/>
        </w:rPr>
      </w:pPr>
      <w:r w:rsidRPr="000D6CDB">
        <w:rPr>
          <w:rFonts w:ascii="Arial" w:hAnsi="Arial" w:cs="Arial"/>
          <w:noProof/>
        </w:rPr>
        <w:t xml:space="preserve">Ogunniyi, M. B. (2021). Integrating indigenous knowledge systems with science teaching in Africa: Prospects and challenges. </w:t>
      </w:r>
      <w:r w:rsidRPr="000D6CDB">
        <w:rPr>
          <w:rFonts w:ascii="Arial" w:hAnsi="Arial" w:cs="Arial"/>
          <w:i/>
          <w:iCs/>
          <w:noProof/>
        </w:rPr>
        <w:t>International Journal of Science Education</w:t>
      </w:r>
      <w:r w:rsidRPr="000D6CDB">
        <w:rPr>
          <w:rFonts w:ascii="Arial" w:hAnsi="Arial" w:cs="Arial"/>
          <w:noProof/>
        </w:rPr>
        <w:t>, 43(10), 1621–1638.</w:t>
      </w:r>
    </w:p>
    <w:p w14:paraId="72DE8542" w14:textId="325F676B"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Phandini, I., Miharja, F. J., Husamah, H., Fauzi, A., &amp; Nuryady, M. M. (2023). STEM-PBL integrative electronic module: Is that effective in improving students’ critical thinking skills? </w:t>
      </w:r>
      <w:r w:rsidRPr="004D1FB7">
        <w:rPr>
          <w:rFonts w:ascii="Arial" w:hAnsi="Arial" w:cs="Arial"/>
          <w:i/>
          <w:iCs/>
          <w:noProof/>
        </w:rPr>
        <w:t>Jurnal Inovasi Pendidikan IPA</w:t>
      </w:r>
      <w:r w:rsidRPr="004D1FB7">
        <w:rPr>
          <w:rFonts w:ascii="Arial" w:hAnsi="Arial" w:cs="Arial"/>
          <w:noProof/>
        </w:rPr>
        <w:t xml:space="preserve">, </w:t>
      </w:r>
      <w:r w:rsidRPr="004D1FB7">
        <w:rPr>
          <w:rFonts w:ascii="Arial" w:hAnsi="Arial" w:cs="Arial"/>
          <w:i/>
          <w:iCs/>
          <w:noProof/>
        </w:rPr>
        <w:t>9</w:t>
      </w:r>
      <w:r w:rsidRPr="004D1FB7">
        <w:rPr>
          <w:rFonts w:ascii="Arial" w:hAnsi="Arial" w:cs="Arial"/>
          <w:noProof/>
        </w:rPr>
        <w:t>(2), 118–126. https://doi.org/10.21831/jipi.v9i2.60871</w:t>
      </w:r>
    </w:p>
    <w:p w14:paraId="5DAB30C2"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Prayogi, S., Ahzan, S., Rokhmat, J., &amp; Verawati, N. N. S. P. (2023). Dynamic blend of ethnoscience and inquiry in a digital learning platform (e-learning) for empowering future science educators’ critical thinking. </w:t>
      </w:r>
      <w:r w:rsidRPr="004D1FB7">
        <w:rPr>
          <w:rFonts w:ascii="Arial" w:hAnsi="Arial" w:cs="Arial"/>
          <w:i/>
          <w:iCs/>
          <w:noProof/>
        </w:rPr>
        <w:t>Journal of Education and E-Learning Research</w:t>
      </w:r>
      <w:r w:rsidRPr="004D1FB7">
        <w:rPr>
          <w:rFonts w:ascii="Arial" w:hAnsi="Arial" w:cs="Arial"/>
          <w:noProof/>
        </w:rPr>
        <w:t xml:space="preserve">, </w:t>
      </w:r>
      <w:r w:rsidRPr="004D1FB7">
        <w:rPr>
          <w:rFonts w:ascii="Arial" w:hAnsi="Arial" w:cs="Arial"/>
          <w:i/>
          <w:iCs/>
          <w:noProof/>
        </w:rPr>
        <w:t>10</w:t>
      </w:r>
      <w:r w:rsidRPr="004D1FB7">
        <w:rPr>
          <w:rFonts w:ascii="Arial" w:hAnsi="Arial" w:cs="Arial"/>
          <w:noProof/>
        </w:rPr>
        <w:t>(4), 819–828. https://doi.org/10.20448/jeelr.v10i4.5233</w:t>
      </w:r>
    </w:p>
    <w:p w14:paraId="0B7A5F04"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Pugu, M. R., Nurhayani, N., Asy’ari Politeknik, F., &amp; Pontianak, N. (2024). Implementation of Local Wisdom in Learning in Schools Around Rural Areas. </w:t>
      </w:r>
      <w:r w:rsidRPr="004D1FB7">
        <w:rPr>
          <w:rFonts w:ascii="Arial" w:hAnsi="Arial" w:cs="Arial"/>
          <w:i/>
          <w:iCs/>
          <w:noProof/>
        </w:rPr>
        <w:t>Jurnal Ilmu Pendidikan Dan Kearifan Lokal (JIPKL)</w:t>
      </w:r>
      <w:r w:rsidRPr="004D1FB7">
        <w:rPr>
          <w:rFonts w:ascii="Arial" w:hAnsi="Arial" w:cs="Arial"/>
          <w:noProof/>
        </w:rPr>
        <w:t xml:space="preserve">, </w:t>
      </w:r>
      <w:r w:rsidRPr="004D1FB7">
        <w:rPr>
          <w:rFonts w:ascii="Arial" w:hAnsi="Arial" w:cs="Arial"/>
          <w:i/>
          <w:iCs/>
          <w:noProof/>
        </w:rPr>
        <w:t>4</w:t>
      </w:r>
      <w:r w:rsidRPr="004D1FB7">
        <w:rPr>
          <w:rFonts w:ascii="Arial" w:hAnsi="Arial" w:cs="Arial"/>
          <w:noProof/>
        </w:rPr>
        <w:t>(2), 105–116.</w:t>
      </w:r>
    </w:p>
    <w:p w14:paraId="709BDC70"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Rahardjanto, A., Husamah, H., Lestari, N., Hadi, S., &amp; Permana, T. I. (2025). Assessment instruments for sustainability competences in applied biology: A systematic literature review. </w:t>
      </w:r>
      <w:r w:rsidRPr="004D1FB7">
        <w:rPr>
          <w:rFonts w:ascii="Arial" w:hAnsi="Arial" w:cs="Arial"/>
          <w:i/>
          <w:iCs/>
          <w:noProof/>
        </w:rPr>
        <w:t>Edubiotik : Jurnal Pendidikan, Biologi Dan Terapan</w:t>
      </w:r>
      <w:r w:rsidRPr="004D1FB7">
        <w:rPr>
          <w:rFonts w:ascii="Arial" w:hAnsi="Arial" w:cs="Arial"/>
          <w:noProof/>
        </w:rPr>
        <w:t xml:space="preserve">, </w:t>
      </w:r>
      <w:r w:rsidRPr="004D1FB7">
        <w:rPr>
          <w:rFonts w:ascii="Arial" w:hAnsi="Arial" w:cs="Arial"/>
          <w:i/>
          <w:iCs/>
          <w:noProof/>
        </w:rPr>
        <w:t>10</w:t>
      </w:r>
      <w:r w:rsidRPr="004D1FB7">
        <w:rPr>
          <w:rFonts w:ascii="Arial" w:hAnsi="Arial" w:cs="Arial"/>
          <w:noProof/>
        </w:rPr>
        <w:t>(01), 11–26. https://doi.org/10.33503/ebio.v10i01.998</w:t>
      </w:r>
    </w:p>
    <w:p w14:paraId="2664B98A"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Rame, R., Purwanto, P., &amp; Sudarno, S. (2024). Industry 5.0 and sustainability: An overview of emerging trends and challenges for a green future. </w:t>
      </w:r>
      <w:r w:rsidRPr="004D1FB7">
        <w:rPr>
          <w:rFonts w:ascii="Arial" w:hAnsi="Arial" w:cs="Arial"/>
          <w:i/>
          <w:iCs/>
          <w:noProof/>
        </w:rPr>
        <w:t>Innovation and Green Development</w:t>
      </w:r>
      <w:r w:rsidRPr="004D1FB7">
        <w:rPr>
          <w:rFonts w:ascii="Arial" w:hAnsi="Arial" w:cs="Arial"/>
          <w:noProof/>
        </w:rPr>
        <w:t xml:space="preserve">, </w:t>
      </w:r>
      <w:r w:rsidRPr="004D1FB7">
        <w:rPr>
          <w:rFonts w:ascii="Arial" w:hAnsi="Arial" w:cs="Arial"/>
          <w:i/>
          <w:iCs/>
          <w:noProof/>
        </w:rPr>
        <w:t>3</w:t>
      </w:r>
      <w:r w:rsidRPr="004D1FB7">
        <w:rPr>
          <w:rFonts w:ascii="Arial" w:hAnsi="Arial" w:cs="Arial"/>
          <w:noProof/>
        </w:rPr>
        <w:t>(4), 100173. https://doi.org/https://doi.org/10.1016/j.igd.2024.100173</w:t>
      </w:r>
    </w:p>
    <w:p w14:paraId="012E9890"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Rizkil, T. (2025). Integration of local wisdom in science learning to improve science literacy of junior high school students. </w:t>
      </w:r>
      <w:r w:rsidRPr="004D1FB7">
        <w:rPr>
          <w:rFonts w:ascii="Arial" w:hAnsi="Arial" w:cs="Arial"/>
          <w:i/>
          <w:iCs/>
          <w:noProof/>
        </w:rPr>
        <w:t>Journal of Science Education and Environmental Literacy Global</w:t>
      </w:r>
      <w:r w:rsidRPr="004D1FB7">
        <w:rPr>
          <w:rFonts w:ascii="Arial" w:hAnsi="Arial" w:cs="Arial"/>
          <w:noProof/>
        </w:rPr>
        <w:t xml:space="preserve">, </w:t>
      </w:r>
      <w:r w:rsidRPr="004D1FB7">
        <w:rPr>
          <w:rFonts w:ascii="Arial" w:hAnsi="Arial" w:cs="Arial"/>
          <w:i/>
          <w:iCs/>
          <w:noProof/>
        </w:rPr>
        <w:t>1</w:t>
      </w:r>
      <w:r w:rsidRPr="004D1FB7">
        <w:rPr>
          <w:rFonts w:ascii="Arial" w:hAnsi="Arial" w:cs="Arial"/>
          <w:noProof/>
        </w:rPr>
        <w:t>(1), 1–7.</w:t>
      </w:r>
    </w:p>
    <w:p w14:paraId="739F6CFA"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Sakti, S. A., Endraswara, S., &amp; Rohman, A. (2024). Revitalizing local wisdom within character education through ethnopedagogy apporach: A case study on a preschool in Yogyakarta. </w:t>
      </w:r>
      <w:r w:rsidRPr="004D1FB7">
        <w:rPr>
          <w:rFonts w:ascii="Arial" w:hAnsi="Arial" w:cs="Arial"/>
          <w:i/>
          <w:iCs/>
          <w:noProof/>
        </w:rPr>
        <w:t>Heliyon</w:t>
      </w:r>
      <w:r w:rsidRPr="004D1FB7">
        <w:rPr>
          <w:rFonts w:ascii="Arial" w:hAnsi="Arial" w:cs="Arial"/>
          <w:noProof/>
        </w:rPr>
        <w:t xml:space="preserve">, </w:t>
      </w:r>
      <w:r w:rsidRPr="004D1FB7">
        <w:rPr>
          <w:rFonts w:ascii="Arial" w:hAnsi="Arial" w:cs="Arial"/>
          <w:i/>
          <w:iCs/>
          <w:noProof/>
        </w:rPr>
        <w:t>10</w:t>
      </w:r>
      <w:r w:rsidRPr="004D1FB7">
        <w:rPr>
          <w:rFonts w:ascii="Arial" w:hAnsi="Arial" w:cs="Arial"/>
          <w:noProof/>
        </w:rPr>
        <w:t>(10). https://doi.org/10.1016/j.heliyon.2024.e31370</w:t>
      </w:r>
    </w:p>
    <w:p w14:paraId="4624BA84"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Samala, A. D., Rawas, S., Rahmadika, S., Criollo-C, S., Fikri, R., &amp; Sandra, R. P. (2025). Virtual reality in education: global trends, challenges, and impacts—game changer or passing trend? </w:t>
      </w:r>
      <w:r w:rsidRPr="004D1FB7">
        <w:rPr>
          <w:rFonts w:ascii="Arial" w:hAnsi="Arial" w:cs="Arial"/>
          <w:i/>
          <w:iCs/>
          <w:noProof/>
        </w:rPr>
        <w:t>Discover Education</w:t>
      </w:r>
      <w:r w:rsidRPr="004D1FB7">
        <w:rPr>
          <w:rFonts w:ascii="Arial" w:hAnsi="Arial" w:cs="Arial"/>
          <w:noProof/>
        </w:rPr>
        <w:t xml:space="preserve">, </w:t>
      </w:r>
      <w:r w:rsidRPr="004D1FB7">
        <w:rPr>
          <w:rFonts w:ascii="Arial" w:hAnsi="Arial" w:cs="Arial"/>
          <w:i/>
          <w:iCs/>
          <w:noProof/>
        </w:rPr>
        <w:t>4</w:t>
      </w:r>
      <w:r w:rsidRPr="004D1FB7">
        <w:rPr>
          <w:rFonts w:ascii="Arial" w:hAnsi="Arial" w:cs="Arial"/>
          <w:noProof/>
        </w:rPr>
        <w:t>(1), 229. https://doi.org/10.1007/s44217-025-00650-z</w:t>
      </w:r>
    </w:p>
    <w:p w14:paraId="0A143D89"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Sandoval-Rivera, J. C. A. (2020). Environmental education and indigenous knowledge: Towards the connection of local wisdom with international agendas in the framework of the Sustainable Development Goals (SDGs). </w:t>
      </w:r>
      <w:r w:rsidRPr="004D1FB7">
        <w:rPr>
          <w:rFonts w:ascii="Arial" w:hAnsi="Arial" w:cs="Arial"/>
          <w:i/>
          <w:iCs/>
          <w:noProof/>
        </w:rPr>
        <w:t>Diaspora, Indigenous, and Minority Education</w:t>
      </w:r>
      <w:r w:rsidRPr="004D1FB7">
        <w:rPr>
          <w:rFonts w:ascii="Arial" w:hAnsi="Arial" w:cs="Arial"/>
          <w:noProof/>
        </w:rPr>
        <w:t xml:space="preserve">, </w:t>
      </w:r>
      <w:r w:rsidRPr="004D1FB7">
        <w:rPr>
          <w:rFonts w:ascii="Arial" w:hAnsi="Arial" w:cs="Arial"/>
          <w:i/>
          <w:iCs/>
          <w:noProof/>
        </w:rPr>
        <w:t>14</w:t>
      </w:r>
      <w:r w:rsidRPr="004D1FB7">
        <w:rPr>
          <w:rFonts w:ascii="Arial" w:hAnsi="Arial" w:cs="Arial"/>
          <w:noProof/>
        </w:rPr>
        <w:t>(1), 14–24. https://doi.org/10.1080/15595692.2019.1652588</w:t>
      </w:r>
    </w:p>
    <w:p w14:paraId="4589739B"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Siebrecht, N. (2020). Sustainable Agriculture and Its Implementation Gap—Overcoming Obstacles to Implementation. </w:t>
      </w:r>
      <w:r w:rsidRPr="004D1FB7">
        <w:rPr>
          <w:rFonts w:ascii="Arial" w:hAnsi="Arial" w:cs="Arial"/>
          <w:i/>
          <w:iCs/>
          <w:noProof/>
        </w:rPr>
        <w:t>Sustainability</w:t>
      </w:r>
      <w:r w:rsidRPr="004D1FB7">
        <w:rPr>
          <w:rFonts w:ascii="Arial" w:hAnsi="Arial" w:cs="Arial"/>
          <w:noProof/>
        </w:rPr>
        <w:t xml:space="preserve">, </w:t>
      </w:r>
      <w:r w:rsidRPr="004D1FB7">
        <w:rPr>
          <w:rFonts w:ascii="Arial" w:hAnsi="Arial" w:cs="Arial"/>
          <w:i/>
          <w:iCs/>
          <w:noProof/>
        </w:rPr>
        <w:t>12</w:t>
      </w:r>
      <w:r w:rsidRPr="004D1FB7">
        <w:rPr>
          <w:rFonts w:ascii="Arial" w:hAnsi="Arial" w:cs="Arial"/>
          <w:noProof/>
        </w:rPr>
        <w:t>(9). https://doi.org/10.3390/su12093853</w:t>
      </w:r>
    </w:p>
    <w:p w14:paraId="4524DC0C"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Sofiyah, R. A., Suwandayani, B. I., &amp; Kumalasani, M. P. (2025). Characteristics of Local Wisdom in Building Character Based on the Perspectives of Teachers and Students in Batu City Elementary Schools. </w:t>
      </w:r>
      <w:r w:rsidRPr="004D1FB7">
        <w:rPr>
          <w:rFonts w:ascii="Arial" w:hAnsi="Arial" w:cs="Arial"/>
          <w:i/>
          <w:iCs/>
          <w:noProof/>
        </w:rPr>
        <w:t>Cetta: Jurnal Ilmu Pendidikan</w:t>
      </w:r>
      <w:r w:rsidRPr="004D1FB7">
        <w:rPr>
          <w:rFonts w:ascii="Arial" w:hAnsi="Arial" w:cs="Arial"/>
          <w:noProof/>
        </w:rPr>
        <w:t xml:space="preserve">, </w:t>
      </w:r>
      <w:r w:rsidRPr="004D1FB7">
        <w:rPr>
          <w:rFonts w:ascii="Arial" w:hAnsi="Arial" w:cs="Arial"/>
          <w:i/>
          <w:iCs/>
          <w:noProof/>
        </w:rPr>
        <w:t>8</w:t>
      </w:r>
      <w:r w:rsidRPr="004D1FB7">
        <w:rPr>
          <w:rFonts w:ascii="Arial" w:hAnsi="Arial" w:cs="Arial"/>
          <w:noProof/>
        </w:rPr>
        <w:t>(1), 173–182. https://doi.org/10.37329/cetta.v8i1.3858</w:t>
      </w:r>
    </w:p>
    <w:p w14:paraId="321A90ED"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lastRenderedPageBreak/>
        <w:t xml:space="preserve">Sunkur, R., Kantamaneni, K., Bokhoree, C., &amp; Ravan, S. (2023). Mangroves’ role in supporting ecosystem-based techniques to reduce disaster risk and adapt to climate change: A review. </w:t>
      </w:r>
      <w:r w:rsidRPr="004D1FB7">
        <w:rPr>
          <w:rFonts w:ascii="Arial" w:hAnsi="Arial" w:cs="Arial"/>
          <w:i/>
          <w:iCs/>
          <w:noProof/>
        </w:rPr>
        <w:t>Journal of Sea Research</w:t>
      </w:r>
      <w:r w:rsidRPr="004D1FB7">
        <w:rPr>
          <w:rFonts w:ascii="Arial" w:hAnsi="Arial" w:cs="Arial"/>
          <w:noProof/>
        </w:rPr>
        <w:t xml:space="preserve">, </w:t>
      </w:r>
      <w:r w:rsidRPr="004D1FB7">
        <w:rPr>
          <w:rFonts w:ascii="Arial" w:hAnsi="Arial" w:cs="Arial"/>
          <w:i/>
          <w:iCs/>
          <w:noProof/>
        </w:rPr>
        <w:t>196</w:t>
      </w:r>
      <w:r w:rsidRPr="004D1FB7">
        <w:rPr>
          <w:rFonts w:ascii="Arial" w:hAnsi="Arial" w:cs="Arial"/>
          <w:noProof/>
        </w:rPr>
        <w:t>, 102449. https://doi.org/https://doi.org/10.1016/j.seares.2023.102449</w:t>
      </w:r>
    </w:p>
    <w:p w14:paraId="640D39C3" w14:textId="20472BB9" w:rsidR="000D6CDB" w:rsidRDefault="000D6CDB" w:rsidP="004D1FB7">
      <w:pPr>
        <w:widowControl w:val="0"/>
        <w:autoSpaceDE w:val="0"/>
        <w:autoSpaceDN w:val="0"/>
        <w:adjustRightInd w:val="0"/>
        <w:ind w:left="480" w:hanging="480"/>
        <w:rPr>
          <w:rFonts w:ascii="Arial" w:hAnsi="Arial" w:cs="Arial"/>
          <w:noProof/>
        </w:rPr>
      </w:pPr>
      <w:r w:rsidRPr="000D6CDB">
        <w:rPr>
          <w:rFonts w:ascii="Arial" w:hAnsi="Arial" w:cs="Arial"/>
          <w:noProof/>
        </w:rPr>
        <w:t xml:space="preserve">UNESCO. (2022). </w:t>
      </w:r>
      <w:r w:rsidRPr="000D6CDB">
        <w:rPr>
          <w:rFonts w:ascii="Arial" w:hAnsi="Arial" w:cs="Arial"/>
          <w:i/>
          <w:iCs/>
          <w:noProof/>
        </w:rPr>
        <w:t>Reimagining our futures together: A new social contract for education.</w:t>
      </w:r>
      <w:r w:rsidRPr="000D6CDB">
        <w:rPr>
          <w:rFonts w:ascii="Arial" w:hAnsi="Arial" w:cs="Arial"/>
          <w:noProof/>
        </w:rPr>
        <w:t xml:space="preserve"> Paris: UNESCO.</w:t>
      </w:r>
    </w:p>
    <w:p w14:paraId="4036A266" w14:textId="64928535"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Verawati, N. N. S. P., &amp; Wahyudi, W. (2024). Raising the Issue of Local Wisdom in Science Learning and Its Impact on Increasing Students’ Scientific Literacy. </w:t>
      </w:r>
      <w:r w:rsidRPr="004D1FB7">
        <w:rPr>
          <w:rFonts w:ascii="Arial" w:hAnsi="Arial" w:cs="Arial"/>
          <w:i/>
          <w:iCs/>
          <w:noProof/>
        </w:rPr>
        <w:t>International Journal of Ethnoscience and Technology in Education</w:t>
      </w:r>
      <w:r w:rsidRPr="004D1FB7">
        <w:rPr>
          <w:rFonts w:ascii="Arial" w:hAnsi="Arial" w:cs="Arial"/>
          <w:noProof/>
        </w:rPr>
        <w:t xml:space="preserve">, </w:t>
      </w:r>
      <w:r w:rsidRPr="004D1FB7">
        <w:rPr>
          <w:rFonts w:ascii="Arial" w:hAnsi="Arial" w:cs="Arial"/>
          <w:i/>
          <w:iCs/>
          <w:noProof/>
        </w:rPr>
        <w:t>1</w:t>
      </w:r>
      <w:r w:rsidRPr="004D1FB7">
        <w:rPr>
          <w:rFonts w:ascii="Arial" w:hAnsi="Arial" w:cs="Arial"/>
          <w:noProof/>
        </w:rPr>
        <w:t>(1), 42. https://doi.org/10.33394/ijete.v1i1.10881</w:t>
      </w:r>
    </w:p>
    <w:p w14:paraId="0B00F5C7"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Wang, S., Wang, F., Zhu, Z., Wang, J., Tran, T., &amp; Du, Z. (2024). Artificial intelligence in education: A systematic literature review. </w:t>
      </w:r>
      <w:r w:rsidRPr="004D1FB7">
        <w:rPr>
          <w:rFonts w:ascii="Arial" w:hAnsi="Arial" w:cs="Arial"/>
          <w:i/>
          <w:iCs/>
          <w:noProof/>
        </w:rPr>
        <w:t>Expert Systems with Applications</w:t>
      </w:r>
      <w:r w:rsidRPr="004D1FB7">
        <w:rPr>
          <w:rFonts w:ascii="Arial" w:hAnsi="Arial" w:cs="Arial"/>
          <w:noProof/>
        </w:rPr>
        <w:t xml:space="preserve">, </w:t>
      </w:r>
      <w:r w:rsidRPr="004D1FB7">
        <w:rPr>
          <w:rFonts w:ascii="Arial" w:hAnsi="Arial" w:cs="Arial"/>
          <w:i/>
          <w:iCs/>
          <w:noProof/>
        </w:rPr>
        <w:t>252</w:t>
      </w:r>
      <w:r w:rsidRPr="004D1FB7">
        <w:rPr>
          <w:rFonts w:ascii="Arial" w:hAnsi="Arial" w:cs="Arial"/>
          <w:noProof/>
        </w:rPr>
        <w:t>, 124167. https://doi.org/https://doi.org/10.1016/j.eswa.2024.124167</w:t>
      </w:r>
    </w:p>
    <w:p w14:paraId="3EE19B26" w14:textId="77777777" w:rsidR="00091805" w:rsidRPr="004D1FB7" w:rsidRDefault="004D1FB7" w:rsidP="00441B6F">
      <w:pPr>
        <w:pStyle w:val="ReferHead"/>
        <w:spacing w:after="0"/>
        <w:jc w:val="both"/>
        <w:rPr>
          <w:rFonts w:ascii="Arial" w:hAnsi="Arial" w:cs="Arial"/>
          <w:b w:val="0"/>
          <w:caps w:val="0"/>
          <w:sz w:val="20"/>
        </w:rPr>
      </w:pPr>
      <w:r>
        <w:rPr>
          <w:rFonts w:ascii="Arial" w:hAnsi="Arial" w:cs="Arial"/>
          <w:b w:val="0"/>
          <w:caps w:val="0"/>
          <w:sz w:val="20"/>
        </w:rPr>
        <w:fldChar w:fldCharType="end"/>
      </w:r>
    </w:p>
    <w:p w14:paraId="7009E20F" w14:textId="77777777" w:rsidR="004D4277" w:rsidRDefault="004D4277" w:rsidP="00441B6F">
      <w:pPr>
        <w:pStyle w:val="Appendix"/>
        <w:spacing w:after="0"/>
        <w:jc w:val="both"/>
        <w:rPr>
          <w:rFonts w:ascii="Arial" w:hAnsi="Arial" w:cs="Arial"/>
          <w:b w:val="0"/>
        </w:rPr>
      </w:pPr>
    </w:p>
    <w:p w14:paraId="463250CF" w14:textId="77777777" w:rsidR="001B0917" w:rsidRPr="00FB3A86" w:rsidRDefault="001B0917" w:rsidP="00441B6F">
      <w:pPr>
        <w:pStyle w:val="Appendix"/>
        <w:spacing w:after="0"/>
        <w:jc w:val="both"/>
        <w:rPr>
          <w:rFonts w:ascii="Arial" w:hAnsi="Arial" w:cs="Arial"/>
          <w:b w:val="0"/>
        </w:rPr>
        <w:sectPr w:rsidR="001B0917" w:rsidRPr="00FB3A86" w:rsidSect="0000718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2016" w:bottom="2016" w:left="2016" w:header="720" w:footer="1123" w:gutter="0"/>
          <w:cols w:space="720"/>
          <w:docGrid w:linePitch="272"/>
        </w:sectPr>
      </w:pPr>
    </w:p>
    <w:p w14:paraId="1352FCAE" w14:textId="77777777" w:rsidR="00B01FCD" w:rsidRPr="00FB3A86" w:rsidRDefault="00B01FCD" w:rsidP="00441B6F">
      <w:pPr>
        <w:pStyle w:val="Appendix"/>
        <w:spacing w:after="0"/>
        <w:jc w:val="both"/>
        <w:rPr>
          <w:rFonts w:ascii="Arial" w:hAnsi="Arial" w:cs="Arial"/>
          <w:b w:val="0"/>
        </w:rPr>
      </w:pPr>
    </w:p>
    <w:sectPr w:rsidR="00B01FCD" w:rsidRPr="00FB3A86" w:rsidSect="0000718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F5E52" w14:textId="77777777" w:rsidR="000A7A47" w:rsidRDefault="000A7A47" w:rsidP="00C37E61">
      <w:r>
        <w:separator/>
      </w:r>
    </w:p>
  </w:endnote>
  <w:endnote w:type="continuationSeparator" w:id="0">
    <w:p w14:paraId="2D5985C2" w14:textId="77777777" w:rsidR="000A7A47" w:rsidRDefault="000A7A4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BD90" w14:textId="77777777" w:rsidR="006812B3" w:rsidRDefault="00681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81C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06EAA" w14:textId="77777777" w:rsidR="006812B3" w:rsidRDefault="00681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B78D9" w14:textId="77777777" w:rsidR="000A7A47" w:rsidRDefault="000A7A47" w:rsidP="00C37E61">
      <w:r>
        <w:separator/>
      </w:r>
    </w:p>
  </w:footnote>
  <w:footnote w:type="continuationSeparator" w:id="0">
    <w:p w14:paraId="1569D3E7" w14:textId="77777777" w:rsidR="000A7A47" w:rsidRDefault="000A7A4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207BC" w14:textId="38E2DBA7" w:rsidR="006812B3" w:rsidRDefault="000A7A47">
    <w:pPr>
      <w:pStyle w:val="Header"/>
    </w:pPr>
    <w:r>
      <w:rPr>
        <w:noProof/>
      </w:rPr>
      <w:pict w14:anchorId="5EDBF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56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F3074" w14:textId="0A6AA667" w:rsidR="006812B3" w:rsidRDefault="000A7A47">
    <w:pPr>
      <w:pStyle w:val="Header"/>
    </w:pPr>
    <w:r>
      <w:rPr>
        <w:noProof/>
      </w:rPr>
      <w:pict w14:anchorId="1890E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56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7290C" w14:textId="064975D3" w:rsidR="006812B3" w:rsidRDefault="000A7A47">
    <w:pPr>
      <w:pStyle w:val="Header"/>
    </w:pPr>
    <w:r>
      <w:rPr>
        <w:noProof/>
      </w:rPr>
      <w:pict w14:anchorId="5CA02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56359"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D143CD"/>
    <w:multiLevelType w:val="multilevel"/>
    <w:tmpl w:val="8F80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0B0179"/>
    <w:multiLevelType w:val="multilevel"/>
    <w:tmpl w:val="729C48D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E18D4"/>
    <w:multiLevelType w:val="multilevel"/>
    <w:tmpl w:val="8B9C8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F67520"/>
    <w:multiLevelType w:val="hybridMultilevel"/>
    <w:tmpl w:val="8690CB6C"/>
    <w:lvl w:ilvl="0" w:tplc="3CA86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5483707"/>
    <w:multiLevelType w:val="multilevel"/>
    <w:tmpl w:val="A51A8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B5798F"/>
    <w:multiLevelType w:val="multilevel"/>
    <w:tmpl w:val="5EB2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1363B"/>
    <w:multiLevelType w:val="multilevel"/>
    <w:tmpl w:val="66EE4A1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F17BA6"/>
    <w:multiLevelType w:val="multilevel"/>
    <w:tmpl w:val="CCDE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4AB4FF2"/>
    <w:multiLevelType w:val="multilevel"/>
    <w:tmpl w:val="6778C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4"/>
  </w:num>
  <w:num w:numId="10">
    <w:abstractNumId w:val="2"/>
  </w:num>
  <w:num w:numId="11">
    <w:abstractNumId w:val="27"/>
  </w:num>
  <w:num w:numId="12">
    <w:abstractNumId w:val="3"/>
  </w:num>
  <w:num w:numId="13">
    <w:abstractNumId w:val="25"/>
  </w:num>
  <w:num w:numId="14">
    <w:abstractNumId w:val="10"/>
  </w:num>
  <w:num w:numId="15">
    <w:abstractNumId w:val="30"/>
  </w:num>
  <w:num w:numId="16">
    <w:abstractNumId w:val="5"/>
  </w:num>
  <w:num w:numId="17">
    <w:abstractNumId w:val="31"/>
  </w:num>
  <w:num w:numId="18">
    <w:abstractNumId w:val="18"/>
  </w:num>
  <w:num w:numId="19">
    <w:abstractNumId w:val="37"/>
  </w:num>
  <w:num w:numId="20">
    <w:abstractNumId w:val="14"/>
  </w:num>
  <w:num w:numId="21">
    <w:abstractNumId w:val="11"/>
  </w:num>
  <w:num w:numId="22">
    <w:abstractNumId w:val="17"/>
  </w:num>
  <w:num w:numId="23">
    <w:abstractNumId w:val="28"/>
  </w:num>
  <w:num w:numId="24">
    <w:abstractNumId w:val="35"/>
  </w:num>
  <w:num w:numId="25">
    <w:abstractNumId w:val="4"/>
  </w:num>
  <w:num w:numId="26">
    <w:abstractNumId w:val="24"/>
  </w:num>
  <w:num w:numId="27">
    <w:abstractNumId w:val="29"/>
  </w:num>
  <w:num w:numId="28">
    <w:abstractNumId w:val="36"/>
  </w:num>
  <w:num w:numId="29">
    <w:abstractNumId w:val="33"/>
  </w:num>
  <w:num w:numId="30">
    <w:abstractNumId w:val="12"/>
  </w:num>
  <w:num w:numId="31">
    <w:abstractNumId w:val="13"/>
  </w:num>
  <w:num w:numId="32">
    <w:abstractNumId w:val="20"/>
  </w:num>
  <w:num w:numId="33">
    <w:abstractNumId w:val="22"/>
  </w:num>
  <w:num w:numId="34">
    <w:abstractNumId w:val="19"/>
  </w:num>
  <w:num w:numId="35">
    <w:abstractNumId w:val="6"/>
  </w:num>
  <w:num w:numId="36">
    <w:abstractNumId w:val="21"/>
  </w:num>
  <w:num w:numId="37">
    <w:abstractNumId w:val="8"/>
  </w:num>
  <w:num w:numId="38">
    <w:abstractNumId w:val="1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187"/>
    <w:rsid w:val="00030174"/>
    <w:rsid w:val="0004579C"/>
    <w:rsid w:val="000462CA"/>
    <w:rsid w:val="00091805"/>
    <w:rsid w:val="00091FC8"/>
    <w:rsid w:val="000A47FA"/>
    <w:rsid w:val="000A65D3"/>
    <w:rsid w:val="000A7A47"/>
    <w:rsid w:val="000B1E33"/>
    <w:rsid w:val="000C76C0"/>
    <w:rsid w:val="000D689F"/>
    <w:rsid w:val="000D6CDB"/>
    <w:rsid w:val="000E7B7B"/>
    <w:rsid w:val="000E7D62"/>
    <w:rsid w:val="00100ACE"/>
    <w:rsid w:val="00103357"/>
    <w:rsid w:val="00123C9F"/>
    <w:rsid w:val="00126190"/>
    <w:rsid w:val="00130F17"/>
    <w:rsid w:val="001320BF"/>
    <w:rsid w:val="00163BC4"/>
    <w:rsid w:val="00191062"/>
    <w:rsid w:val="00192B72"/>
    <w:rsid w:val="001A29D8"/>
    <w:rsid w:val="001A5CAA"/>
    <w:rsid w:val="001B0427"/>
    <w:rsid w:val="001B0917"/>
    <w:rsid w:val="001D3A51"/>
    <w:rsid w:val="001E10D2"/>
    <w:rsid w:val="001E25B4"/>
    <w:rsid w:val="001E44FE"/>
    <w:rsid w:val="00200595"/>
    <w:rsid w:val="00204835"/>
    <w:rsid w:val="00231920"/>
    <w:rsid w:val="0023195C"/>
    <w:rsid w:val="0024282C"/>
    <w:rsid w:val="002460DC"/>
    <w:rsid w:val="00250985"/>
    <w:rsid w:val="002519B3"/>
    <w:rsid w:val="002556F6"/>
    <w:rsid w:val="00283105"/>
    <w:rsid w:val="00284C4C"/>
    <w:rsid w:val="00287E68"/>
    <w:rsid w:val="00296529"/>
    <w:rsid w:val="002B27FB"/>
    <w:rsid w:val="002B685A"/>
    <w:rsid w:val="002C2C4B"/>
    <w:rsid w:val="002C57D2"/>
    <w:rsid w:val="002C64D3"/>
    <w:rsid w:val="002E0D56"/>
    <w:rsid w:val="002E777C"/>
    <w:rsid w:val="002F5C67"/>
    <w:rsid w:val="00315186"/>
    <w:rsid w:val="0033343E"/>
    <w:rsid w:val="003512C2"/>
    <w:rsid w:val="0036223F"/>
    <w:rsid w:val="00371FB6"/>
    <w:rsid w:val="003763C1"/>
    <w:rsid w:val="00376BBE"/>
    <w:rsid w:val="0039224F"/>
    <w:rsid w:val="003A43A4"/>
    <w:rsid w:val="003A7E18"/>
    <w:rsid w:val="003C4C86"/>
    <w:rsid w:val="003C6258"/>
    <w:rsid w:val="003E2904"/>
    <w:rsid w:val="003E3100"/>
    <w:rsid w:val="00401927"/>
    <w:rsid w:val="0041027F"/>
    <w:rsid w:val="00412475"/>
    <w:rsid w:val="00423789"/>
    <w:rsid w:val="00440F43"/>
    <w:rsid w:val="00441B6F"/>
    <w:rsid w:val="00446221"/>
    <w:rsid w:val="00450E62"/>
    <w:rsid w:val="004539DB"/>
    <w:rsid w:val="00471A80"/>
    <w:rsid w:val="004D1FB7"/>
    <w:rsid w:val="004D2241"/>
    <w:rsid w:val="004D305E"/>
    <w:rsid w:val="004D4277"/>
    <w:rsid w:val="00502516"/>
    <w:rsid w:val="00505F06"/>
    <w:rsid w:val="00506828"/>
    <w:rsid w:val="0053056E"/>
    <w:rsid w:val="00552242"/>
    <w:rsid w:val="00554FDA"/>
    <w:rsid w:val="00571A9A"/>
    <w:rsid w:val="00576FD9"/>
    <w:rsid w:val="005C784C"/>
    <w:rsid w:val="005D17F6"/>
    <w:rsid w:val="005D7CF6"/>
    <w:rsid w:val="005E5539"/>
    <w:rsid w:val="0060243E"/>
    <w:rsid w:val="00602BF5"/>
    <w:rsid w:val="00607111"/>
    <w:rsid w:val="00617FDD"/>
    <w:rsid w:val="00633614"/>
    <w:rsid w:val="00633F68"/>
    <w:rsid w:val="00636EB2"/>
    <w:rsid w:val="006375B8"/>
    <w:rsid w:val="00655713"/>
    <w:rsid w:val="0066510A"/>
    <w:rsid w:val="00673F9F"/>
    <w:rsid w:val="006812B3"/>
    <w:rsid w:val="00683F50"/>
    <w:rsid w:val="00686953"/>
    <w:rsid w:val="00687DEA"/>
    <w:rsid w:val="00687E67"/>
    <w:rsid w:val="006967F7"/>
    <w:rsid w:val="006A250C"/>
    <w:rsid w:val="006B21D3"/>
    <w:rsid w:val="006B57D0"/>
    <w:rsid w:val="006B659B"/>
    <w:rsid w:val="006D30FF"/>
    <w:rsid w:val="006D6940"/>
    <w:rsid w:val="006F11EC"/>
    <w:rsid w:val="0070082C"/>
    <w:rsid w:val="007369E6"/>
    <w:rsid w:val="00746E59"/>
    <w:rsid w:val="007478D0"/>
    <w:rsid w:val="00754C9A"/>
    <w:rsid w:val="0075599A"/>
    <w:rsid w:val="00761D52"/>
    <w:rsid w:val="0077749E"/>
    <w:rsid w:val="00783C21"/>
    <w:rsid w:val="00790ADA"/>
    <w:rsid w:val="00795773"/>
    <w:rsid w:val="007D2288"/>
    <w:rsid w:val="007E088F"/>
    <w:rsid w:val="007F7B32"/>
    <w:rsid w:val="00804BC2"/>
    <w:rsid w:val="0081431A"/>
    <w:rsid w:val="0083216F"/>
    <w:rsid w:val="00860000"/>
    <w:rsid w:val="00863BD3"/>
    <w:rsid w:val="008641ED"/>
    <w:rsid w:val="00866D66"/>
    <w:rsid w:val="008671C6"/>
    <w:rsid w:val="00875803"/>
    <w:rsid w:val="008B1B16"/>
    <w:rsid w:val="008B459E"/>
    <w:rsid w:val="008E13AE"/>
    <w:rsid w:val="008E1506"/>
    <w:rsid w:val="008E710C"/>
    <w:rsid w:val="008F69D6"/>
    <w:rsid w:val="00902823"/>
    <w:rsid w:val="009147E7"/>
    <w:rsid w:val="00915CA6"/>
    <w:rsid w:val="00927834"/>
    <w:rsid w:val="009308B9"/>
    <w:rsid w:val="009500A6"/>
    <w:rsid w:val="00957C18"/>
    <w:rsid w:val="009659BA"/>
    <w:rsid w:val="00983040"/>
    <w:rsid w:val="009B3FB9"/>
    <w:rsid w:val="009C2465"/>
    <w:rsid w:val="009D2020"/>
    <w:rsid w:val="009D35A0"/>
    <w:rsid w:val="009D7EB7"/>
    <w:rsid w:val="009E048A"/>
    <w:rsid w:val="009E08E9"/>
    <w:rsid w:val="009E3DB9"/>
    <w:rsid w:val="009E6E35"/>
    <w:rsid w:val="009F0EDA"/>
    <w:rsid w:val="00A03B96"/>
    <w:rsid w:val="00A05B19"/>
    <w:rsid w:val="00A1134E"/>
    <w:rsid w:val="00A17476"/>
    <w:rsid w:val="00A24E7E"/>
    <w:rsid w:val="00A258C3"/>
    <w:rsid w:val="00A347C0"/>
    <w:rsid w:val="00A51431"/>
    <w:rsid w:val="00A539AD"/>
    <w:rsid w:val="00A92425"/>
    <w:rsid w:val="00A94063"/>
    <w:rsid w:val="00AA6219"/>
    <w:rsid w:val="00AA74E0"/>
    <w:rsid w:val="00AB703F"/>
    <w:rsid w:val="00AC6BB8"/>
    <w:rsid w:val="00AE008F"/>
    <w:rsid w:val="00B01FCD"/>
    <w:rsid w:val="00B1776C"/>
    <w:rsid w:val="00B32AFE"/>
    <w:rsid w:val="00B52583"/>
    <w:rsid w:val="00B52896"/>
    <w:rsid w:val="00B95236"/>
    <w:rsid w:val="00B96BD9"/>
    <w:rsid w:val="00BA1B01"/>
    <w:rsid w:val="00BA2641"/>
    <w:rsid w:val="00BB37AA"/>
    <w:rsid w:val="00BC53A0"/>
    <w:rsid w:val="00BD5A97"/>
    <w:rsid w:val="00BE62AD"/>
    <w:rsid w:val="00BF121F"/>
    <w:rsid w:val="00BF1F80"/>
    <w:rsid w:val="00C166EF"/>
    <w:rsid w:val="00C17EB0"/>
    <w:rsid w:val="00C27F5F"/>
    <w:rsid w:val="00C30A0F"/>
    <w:rsid w:val="00C37E61"/>
    <w:rsid w:val="00C70F1B"/>
    <w:rsid w:val="00C71A47"/>
    <w:rsid w:val="00C7464C"/>
    <w:rsid w:val="00C85588"/>
    <w:rsid w:val="00CD12BA"/>
    <w:rsid w:val="00CD6755"/>
    <w:rsid w:val="00CD6856"/>
    <w:rsid w:val="00CE0089"/>
    <w:rsid w:val="00CE11DE"/>
    <w:rsid w:val="00CE793C"/>
    <w:rsid w:val="00CF193C"/>
    <w:rsid w:val="00D173F1"/>
    <w:rsid w:val="00D72E34"/>
    <w:rsid w:val="00D74CB0"/>
    <w:rsid w:val="00D75753"/>
    <w:rsid w:val="00D80993"/>
    <w:rsid w:val="00D8295D"/>
    <w:rsid w:val="00DC2A65"/>
    <w:rsid w:val="00DE15F0"/>
    <w:rsid w:val="00DE5663"/>
    <w:rsid w:val="00DE78AA"/>
    <w:rsid w:val="00E053D0"/>
    <w:rsid w:val="00E15994"/>
    <w:rsid w:val="00E2143E"/>
    <w:rsid w:val="00E3114E"/>
    <w:rsid w:val="00E31A70"/>
    <w:rsid w:val="00E35B02"/>
    <w:rsid w:val="00E66496"/>
    <w:rsid w:val="00E66B35"/>
    <w:rsid w:val="00E66E10"/>
    <w:rsid w:val="00E769F6"/>
    <w:rsid w:val="00E8407C"/>
    <w:rsid w:val="00E84F3C"/>
    <w:rsid w:val="00EA012C"/>
    <w:rsid w:val="00EC6A55"/>
    <w:rsid w:val="00ED0288"/>
    <w:rsid w:val="00EE15E4"/>
    <w:rsid w:val="00EE52CB"/>
    <w:rsid w:val="00EF581D"/>
    <w:rsid w:val="00EF7FD8"/>
    <w:rsid w:val="00F06F59"/>
    <w:rsid w:val="00F13FE3"/>
    <w:rsid w:val="00F17988"/>
    <w:rsid w:val="00F469F0"/>
    <w:rsid w:val="00F53273"/>
    <w:rsid w:val="00F72E38"/>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74649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519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B09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D809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B091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D80993"/>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2519B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0462CA"/>
    <w:pPr>
      <w:ind w:left="720"/>
      <w:contextualSpacing/>
    </w:pPr>
  </w:style>
  <w:style w:type="paragraph" w:styleId="Revision">
    <w:name w:val="Revision"/>
    <w:hidden/>
    <w:uiPriority w:val="99"/>
    <w:semiHidden/>
    <w:rsid w:val="00100AC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4DEE3-7F54-4EF5-8D9A-946865B2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TotalTime>
  <Pages>17</Pages>
  <Words>24988</Words>
  <Characters>142436</Characters>
  <Application>Microsoft Office Word</Application>
  <DocSecurity>0</DocSecurity>
  <Lines>1186</Lines>
  <Paragraphs>334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167090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41</cp:revision>
  <cp:lastPrinted>1999-07-06T11:00:00Z</cp:lastPrinted>
  <dcterms:created xsi:type="dcterms:W3CDTF">2025-11-02T12:20:00Z</dcterms:created>
  <dcterms:modified xsi:type="dcterms:W3CDTF">2025-11-07T06:49:00Z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http://www.zotero.org/styles/council-of-science-editors-alphabetical</vt:lpwstr>
  </property>
  <property fmtid="{D5CDD505-2E9C-101B-9397-08002B2CF9AE}" pid="5" name="Mendeley Recent Style Name 1_1">
    <vt:lpwstr>Council of Science Editors, Citation-Name (numeric, sorted alphabetically)</vt:lpwstr>
  </property>
  <property fmtid="{D5CDD505-2E9C-101B-9397-08002B2CF9AE}" pid="6" name="Mendeley Recent Style Id 2_1">
    <vt:lpwstr>http://www.zotero.org/styles/elsevier-vancouver-author-date</vt:lpwstr>
  </property>
  <property fmtid="{D5CDD505-2E9C-101B-9397-08002B2CF9AE}" pid="7" name="Mendeley Recent Style Name 2_1">
    <vt:lpwstr>Elsevier - Vancouver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http://www.zotero.org/styles/mary-ann-liebert-vancouver</vt:lpwstr>
  </property>
  <property fmtid="{D5CDD505-2E9C-101B-9397-08002B2CF9AE}" pid="13" name="Mendeley Recent Style Name 5_1">
    <vt:lpwstr>Mary Ann Liebert - Vancouver</vt:lpwstr>
  </property>
  <property fmtid="{D5CDD505-2E9C-101B-9397-08002B2CF9AE}" pid="14" name="Mendeley Recent Style Id 6_1">
    <vt:lpwstr>http://www.zotero.org/styles/medizinische-universitat-innsbruck-vancouver</vt:lpwstr>
  </property>
  <property fmtid="{D5CDD505-2E9C-101B-9397-08002B2CF9AE}" pid="15" name="Mendeley Recent Style Name 6_1">
    <vt:lpwstr>Medizinische Universität Innsbruck - Vancouver (Deutsch)</vt:lpwstr>
  </property>
  <property fmtid="{D5CDD505-2E9C-101B-9397-08002B2CF9AE}" pid="16" name="Mendeley Recent Style Id 7_1">
    <vt:lpwstr>http://www.zotero.org/styles/nature-publishing-group-vancouver</vt:lpwstr>
  </property>
  <property fmtid="{D5CDD505-2E9C-101B-9397-08002B2CF9AE}" pid="17" name="Mendeley Recent Style Name 7_1">
    <vt:lpwstr>Nature Publishing Group - Vancouver</vt:lpwstr>
  </property>
  <property fmtid="{D5CDD505-2E9C-101B-9397-08002B2CF9AE}" pid="18" name="Mendeley Recent Style Id 8_1">
    <vt:lpwstr>http://www.zotero.org/styles/springer-basic-brackets-no-et-al-alphabetical</vt:lpwstr>
  </property>
  <property fmtid="{D5CDD505-2E9C-101B-9397-08002B2CF9AE}" pid="19" name="Mendeley Recent Style Name 8_1">
    <vt:lpwstr>Springer - Basic (numeric, brackets, no "et al.", alphabetical)</vt:lpwstr>
  </property>
  <property fmtid="{D5CDD505-2E9C-101B-9397-08002B2CF9AE}" pid="20" name="Mendeley Recent Style Id 9_1">
    <vt:lpwstr>http://www.zotero.org/styles/serbian-archives-of-medicine</vt:lpwstr>
  </property>
  <property fmtid="{D5CDD505-2E9C-101B-9397-08002B2CF9AE}" pid="21" name="Mendeley Recent Style Name 9_1">
    <vt:lpwstr>Vancouver - Serbian Archives of Medicine</vt:lpwstr>
  </property>
  <property fmtid="{D5CDD505-2E9C-101B-9397-08002B2CF9AE}" pid="22" name="Mendeley Document_1">
    <vt:lpwstr>True</vt:lpwstr>
  </property>
  <property fmtid="{D5CDD505-2E9C-101B-9397-08002B2CF9AE}" pid="23" name="Mendeley Unique User Id_1">
    <vt:lpwstr>1c3d96d5-2cb9-33ce-8ba8-efeb22e52b68</vt:lpwstr>
  </property>
  <property fmtid="{D5CDD505-2E9C-101B-9397-08002B2CF9AE}" pid="24" name="Mendeley Citation Style_1">
    <vt:lpwstr>http://www.zotero.org/styles/apa</vt:lpwstr>
  </property>
</Properties>
</file>