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88971" w14:textId="16DBADC6" w:rsidR="00163BC4" w:rsidRPr="00147425" w:rsidRDefault="00FE696A" w:rsidP="00441B6F">
      <w:pPr>
        <w:pStyle w:val="Author"/>
        <w:spacing w:line="240" w:lineRule="auto"/>
        <w:rPr>
          <w:rFonts w:cs="Arial"/>
          <w:bCs/>
          <w:iCs/>
          <w:kern w:val="28"/>
          <w:sz w:val="36"/>
        </w:rPr>
      </w:pPr>
      <w:r w:rsidRPr="00FE696A">
        <w:rPr>
          <w:rFonts w:cs="Arial"/>
          <w:bCs/>
          <w:iCs/>
          <w:kern w:val="28"/>
          <w:sz w:val="36"/>
        </w:rPr>
        <w:t>Invisible Dispossessions</w:t>
      </w:r>
      <w:r>
        <w:rPr>
          <w:rFonts w:cs="Arial"/>
          <w:bCs/>
          <w:iCs/>
          <w:kern w:val="28"/>
          <w:sz w:val="36"/>
        </w:rPr>
        <w:t>:</w:t>
      </w:r>
      <w:r w:rsidRPr="00FE696A">
        <w:rPr>
          <w:rFonts w:cs="Arial"/>
          <w:bCs/>
          <w:iCs/>
          <w:kern w:val="28"/>
          <w:sz w:val="36"/>
        </w:rPr>
        <w:t xml:space="preserve"> Gendered Impacts of Urban Land-Use Change on Food Security in Sub-Saharan Africa</w:t>
      </w:r>
    </w:p>
    <w:p w14:paraId="006DBA42" w14:textId="77777777" w:rsidR="00FE696A" w:rsidRDefault="00FE696A" w:rsidP="00390F88">
      <w:pPr>
        <w:pStyle w:val="Author"/>
        <w:ind w:firstLine="360"/>
        <w:jc w:val="left"/>
        <w:rPr>
          <w:rFonts w:cs="Arial"/>
          <w:bCs/>
        </w:rPr>
      </w:pPr>
      <w:bookmarkStart w:id="0" w:name="_Hlk202935923"/>
    </w:p>
    <w:bookmarkEnd w:id="0"/>
    <w:p w14:paraId="792BBB0B" w14:textId="6F1C8872" w:rsidR="0069375E" w:rsidRPr="00147425" w:rsidRDefault="0069375E" w:rsidP="00441B6F">
      <w:pPr>
        <w:pStyle w:val="Copyright"/>
        <w:spacing w:after="0" w:line="240" w:lineRule="auto"/>
        <w:rPr>
          <w:rFonts w:cs="Arial"/>
        </w:rPr>
        <w:sectPr w:rsidR="0069375E" w:rsidRPr="00147425" w:rsidSect="00BC2A78">
          <w:headerReference w:type="even" r:id="rId8"/>
          <w:headerReference w:type="default" r:id="rId9"/>
          <w:headerReference w:type="first" r:id="rId10"/>
          <w:footerReference w:type="first" r:id="rId11"/>
          <w:pgSz w:w="12240" w:h="15840" w:code="1"/>
          <w:pgMar w:top="1440" w:right="2019" w:bottom="2019" w:left="2019" w:header="720" w:footer="1298" w:gutter="0"/>
          <w:lnNumType w:countBy="1" w:restart="continuous"/>
          <w:cols w:space="720"/>
          <w:docGrid w:linePitch="272"/>
        </w:sectPr>
      </w:pPr>
    </w:p>
    <w:p w14:paraId="7422DCFB" w14:textId="77777777" w:rsidR="000E04A6" w:rsidRPr="00147425" w:rsidRDefault="000E04A6" w:rsidP="00F25357">
      <w:pPr>
        <w:pStyle w:val="AbstHead"/>
        <w:spacing w:after="0"/>
        <w:rPr>
          <w:rFonts w:cs="Arial"/>
        </w:rPr>
      </w:pPr>
      <w:bookmarkStart w:id="1" w:name="_Hlk202936020"/>
      <w:r w:rsidRPr="00147425">
        <w:rPr>
          <w:rFonts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47425" w14:paraId="40C3EFF3" w14:textId="77777777" w:rsidTr="00F25357">
        <w:tc>
          <w:tcPr>
            <w:tcW w:w="8424" w:type="dxa"/>
            <w:shd w:val="clear" w:color="auto" w:fill="CCFFCC"/>
          </w:tcPr>
          <w:bookmarkEnd w:id="1"/>
          <w:p w14:paraId="4E1DC569" w14:textId="1186AAE2" w:rsidR="00762F39" w:rsidRPr="00F25357" w:rsidRDefault="009F3CB4" w:rsidP="00F25357">
            <w:r w:rsidRPr="00F25357">
              <w:rPr>
                <w:b/>
                <w:bCs/>
              </w:rPr>
              <w:t>The background</w:t>
            </w:r>
            <w:r w:rsidRPr="00F25357">
              <w:t xml:space="preserve"> of this study </w:t>
            </w:r>
            <w:r w:rsidR="00AB62D0" w:rsidRPr="00F25357">
              <w:t xml:space="preserve">is the </w:t>
            </w:r>
            <w:r w:rsidRPr="00F25357">
              <w:t>recogni</w:t>
            </w:r>
            <w:r w:rsidR="00AB62D0" w:rsidRPr="00F25357">
              <w:t>tion</w:t>
            </w:r>
            <w:r w:rsidRPr="00F25357">
              <w:t xml:space="preserve"> that </w:t>
            </w:r>
            <w:r w:rsidR="00AB62D0" w:rsidRPr="00F25357">
              <w:t>a</w:t>
            </w:r>
            <w:r w:rsidR="00762F39" w:rsidRPr="00F25357">
              <w:t>s cities in sub-Saharan Africa continue to grow at a rapid rate, the urban development of peri-urban agricultural zones has important implications for the food system and livelihoods. Such impacts are thoroughly gendered in nature but the relationship between Land-use Change, Food Security, and Gender Inequality is an under researched domain.</w:t>
            </w:r>
          </w:p>
          <w:p w14:paraId="68EE3A74" w14:textId="77777777" w:rsidR="00762F39" w:rsidRPr="00F25357" w:rsidRDefault="00762F39" w:rsidP="00F25357"/>
          <w:p w14:paraId="283F109A" w14:textId="67A784DD" w:rsidR="00762F39" w:rsidRPr="00F25357" w:rsidRDefault="00762F39" w:rsidP="00F25357">
            <w:r w:rsidRPr="00F25357">
              <w:rPr>
                <w:b/>
                <w:bCs/>
              </w:rPr>
              <w:t>Th</w:t>
            </w:r>
            <w:r w:rsidR="009F3CB4" w:rsidRPr="00F25357">
              <w:rPr>
                <w:b/>
                <w:bCs/>
              </w:rPr>
              <w:t>e research aim</w:t>
            </w:r>
            <w:r w:rsidR="00AB62D0" w:rsidRPr="00F25357">
              <w:rPr>
                <w:b/>
                <w:bCs/>
              </w:rPr>
              <w:t>ed</w:t>
            </w:r>
            <w:r w:rsidR="009F3CB4" w:rsidRPr="00F25357">
              <w:t xml:space="preserve"> to</w:t>
            </w:r>
            <w:r w:rsidRPr="00F25357">
              <w:t xml:space="preserve"> examine the effects of urban land use change and the influence of gender, specifically in sub-Saharan Africa, highlighting the relationship between spatial change and women's accessibility to land, food provisioning, as well as food system agency.</w:t>
            </w:r>
          </w:p>
          <w:p w14:paraId="250C833C" w14:textId="77777777" w:rsidR="00762F39" w:rsidRPr="00F25357" w:rsidRDefault="00762F39" w:rsidP="00F25357"/>
          <w:p w14:paraId="0860BBA2" w14:textId="1568AF76" w:rsidR="00762F39" w:rsidRPr="00F25357" w:rsidRDefault="009F3CB4" w:rsidP="00F25357">
            <w:r w:rsidRPr="00F25357">
              <w:rPr>
                <w:b/>
                <w:bCs/>
              </w:rPr>
              <w:t>The method</w:t>
            </w:r>
            <w:r w:rsidRPr="00F25357">
              <w:t xml:space="preserve"> </w:t>
            </w:r>
            <w:r w:rsidR="00ED0C90" w:rsidRPr="00F25357">
              <w:t>us</w:t>
            </w:r>
            <w:r w:rsidRPr="00F25357">
              <w:t xml:space="preserve">ed </w:t>
            </w:r>
            <w:r w:rsidR="00884C2C" w:rsidRPr="00F25357">
              <w:t xml:space="preserve">was </w:t>
            </w:r>
            <w:r w:rsidRPr="00F25357">
              <w:t>a</w:t>
            </w:r>
            <w:r w:rsidR="00762F39" w:rsidRPr="00F25357">
              <w:t xml:space="preserve"> </w:t>
            </w:r>
            <w:r w:rsidR="00AF2412" w:rsidRPr="00F25357">
              <w:t xml:space="preserve">systematic review, which led to a </w:t>
            </w:r>
            <w:r w:rsidR="00762F39" w:rsidRPr="00F25357">
              <w:t>thorough search of the peer-reviewed and grey literature using Scopus</w:t>
            </w:r>
            <w:r w:rsidR="004D32F1" w:rsidRPr="00F25357">
              <w:t>,</w:t>
            </w:r>
            <w:r w:rsidR="00762F39" w:rsidRPr="00F25357">
              <w:t xml:space="preserve"> Web of Science, Google Scholar, and IFPRI and FAO institutional repositories</w:t>
            </w:r>
            <w:r w:rsidR="00884C2C" w:rsidRPr="00F25357">
              <w:t>, adhering to the PRISMA guidelines for systematic review</w:t>
            </w:r>
            <w:r w:rsidR="00762F39" w:rsidRPr="00F25357">
              <w:t>. The inclusion criteria contained studies published between the years 2000 and 2024 that examined</w:t>
            </w:r>
            <w:r w:rsidR="00144061" w:rsidRPr="00F25357">
              <w:t xml:space="preserve"> </w:t>
            </w:r>
            <w:r w:rsidR="00A974D2" w:rsidRPr="00F25357">
              <w:t>six themes Tenure Security, Land Governance,</w:t>
            </w:r>
            <w:r w:rsidR="009B178A" w:rsidRPr="00F25357">
              <w:t xml:space="preserve"> </w:t>
            </w:r>
            <w:r w:rsidR="00A974D2" w:rsidRPr="00F25357">
              <w:t xml:space="preserve">Spatial Exclusion, Nutrition Inequality, Gender/Public Norms, and Economic Empowerment </w:t>
            </w:r>
            <w:r w:rsidR="00762F39" w:rsidRPr="00F25357">
              <w:t>in Sub-Saharan Africa</w:t>
            </w:r>
            <w:r w:rsidR="00144061" w:rsidRPr="00F25357">
              <w:t xml:space="preserve"> </w:t>
            </w:r>
            <w:r w:rsidR="00762F39" w:rsidRPr="00F25357">
              <w:t>contexts. Data w</w:t>
            </w:r>
            <w:r w:rsidR="00144061" w:rsidRPr="00F25357">
              <w:t>as</w:t>
            </w:r>
            <w:r w:rsidR="00762F39" w:rsidRPr="00F25357">
              <w:t xml:space="preserve"> </w:t>
            </w:r>
            <w:r w:rsidR="00144061" w:rsidRPr="00F25357">
              <w:t>synthesized</w:t>
            </w:r>
            <w:r w:rsidR="00762F39" w:rsidRPr="00F25357">
              <w:t xml:space="preserve"> thematically utilizing a two-layered theoretical perspective.</w:t>
            </w:r>
          </w:p>
          <w:p w14:paraId="5579F814" w14:textId="77777777" w:rsidR="00144061" w:rsidRPr="00F25357" w:rsidRDefault="00144061" w:rsidP="00F25357"/>
          <w:p w14:paraId="6F4D2D0A" w14:textId="3FB0BE70" w:rsidR="00762F39" w:rsidRPr="00F25357" w:rsidRDefault="00762F39" w:rsidP="00F25357">
            <w:r w:rsidRPr="00F25357">
              <w:rPr>
                <w:b/>
                <w:bCs/>
              </w:rPr>
              <w:t>The results</w:t>
            </w:r>
            <w:r w:rsidRPr="00F25357">
              <w:t xml:space="preserve"> revealed a more profound understanding achieved through the creation of a </w:t>
            </w:r>
            <w:r w:rsidR="009B178A" w:rsidRPr="00F25357">
              <w:t>c</w:t>
            </w:r>
            <w:r w:rsidR="009B178A" w:rsidRPr="00F25357">
              <w:rPr>
                <w:rFonts w:cs="Arial"/>
              </w:rPr>
              <w:t>ombined theoretical-conceptual framework on invisible dispossessions,</w:t>
            </w:r>
            <w:r w:rsidR="00144061" w:rsidRPr="00F25357">
              <w:t xml:space="preserve"> </w:t>
            </w:r>
            <w:r w:rsidRPr="00F25357">
              <w:t>in addressing the land-related problems that fall heavily on the female population because of land-use change due to</w:t>
            </w:r>
            <w:r w:rsidR="00144061" w:rsidRPr="00F25357">
              <w:t xml:space="preserve"> </w:t>
            </w:r>
            <w:r w:rsidRPr="00F25357">
              <w:t>insecure tenure status, socio-spatial marginalization, and exclusion from urban planning</w:t>
            </w:r>
            <w:r w:rsidR="00144061" w:rsidRPr="00F25357">
              <w:t xml:space="preserve"> </w:t>
            </w:r>
            <w:r w:rsidRPr="00F25357">
              <w:t>processes. In addition, loss of access to arable land</w:t>
            </w:r>
            <w:r w:rsidR="00144061" w:rsidRPr="00F25357">
              <w:t>,</w:t>
            </w:r>
            <w:r w:rsidRPr="00F25357">
              <w:t xml:space="preserve"> informal food </w:t>
            </w:r>
            <w:r w:rsidR="00144061" w:rsidRPr="00F25357">
              <w:t xml:space="preserve">markets, and reduced household nutrition </w:t>
            </w:r>
            <w:r w:rsidRPr="00F25357">
              <w:t>were disclosed.</w:t>
            </w:r>
          </w:p>
          <w:p w14:paraId="7EC5C846" w14:textId="5EFEC074" w:rsidR="00762F39" w:rsidRPr="00F25357" w:rsidRDefault="00762F39" w:rsidP="00F25357">
            <w:r w:rsidRPr="00F25357">
              <w:t>.</w:t>
            </w:r>
          </w:p>
          <w:p w14:paraId="4239DC44" w14:textId="5D98AF7A" w:rsidR="00B8606E" w:rsidRPr="00147425" w:rsidRDefault="00762F39" w:rsidP="00F25357">
            <w:pPr>
              <w:rPr>
                <w:rFonts w:eastAsia="Calibri" w:cs="Arial"/>
                <w:szCs w:val="22"/>
              </w:rPr>
            </w:pPr>
            <w:r w:rsidRPr="00F25357">
              <w:rPr>
                <w:rFonts w:cs="Arial"/>
              </w:rPr>
              <w:t>Urban land use planning practices in sub-Saharan Africa perpetuate gender disparities related to food</w:t>
            </w:r>
            <w:r w:rsidR="003D28C3" w:rsidRPr="00F25357">
              <w:rPr>
                <w:rFonts w:cs="Arial"/>
              </w:rPr>
              <w:t xml:space="preserve"> </w:t>
            </w:r>
            <w:r w:rsidRPr="00F25357">
              <w:rPr>
                <w:rFonts w:cs="Arial"/>
              </w:rPr>
              <w:t>systems. Closing the gaps demand a gender-sensitive approach to spatial planning and tenure security</w:t>
            </w:r>
            <w:r w:rsidR="003D28C3" w:rsidRPr="00F25357">
              <w:rPr>
                <w:rFonts w:cs="Arial"/>
              </w:rPr>
              <w:t xml:space="preserve"> r</w:t>
            </w:r>
            <w:r w:rsidRPr="00F25357">
              <w:rPr>
                <w:rFonts w:cs="Arial"/>
              </w:rPr>
              <w:t>eforms and the integration of food provisioning systems with urban development principles.</w:t>
            </w:r>
            <w:r w:rsidR="009B38CC" w:rsidRPr="00F25357">
              <w:rPr>
                <w:rFonts w:cs="Arial"/>
              </w:rPr>
              <w:t xml:space="preserve"> The policies include (1) s</w:t>
            </w:r>
            <w:r w:rsidR="00B8606E" w:rsidRPr="00F25357">
              <w:rPr>
                <w:rFonts w:cs="Arial"/>
              </w:rPr>
              <w:t>trengthen</w:t>
            </w:r>
            <w:r w:rsidR="009B38CC" w:rsidRPr="00F25357">
              <w:rPr>
                <w:rFonts w:cs="Arial"/>
              </w:rPr>
              <w:t>ing</w:t>
            </w:r>
            <w:r w:rsidR="00B8606E" w:rsidRPr="00F25357">
              <w:rPr>
                <w:rFonts w:cs="Arial"/>
              </w:rPr>
              <w:t xml:space="preserve"> </w:t>
            </w:r>
            <w:r w:rsidR="009B38CC" w:rsidRPr="00F25357">
              <w:rPr>
                <w:rFonts w:cs="Arial"/>
              </w:rPr>
              <w:t>l</w:t>
            </w:r>
            <w:r w:rsidR="00B8606E" w:rsidRPr="00F25357">
              <w:rPr>
                <w:rFonts w:cs="Arial"/>
              </w:rPr>
              <w:t xml:space="preserve">egal </w:t>
            </w:r>
            <w:r w:rsidR="009B38CC" w:rsidRPr="00F25357">
              <w:rPr>
                <w:rFonts w:cs="Arial"/>
              </w:rPr>
              <w:t>t</w:t>
            </w:r>
            <w:r w:rsidR="00B8606E" w:rsidRPr="00F25357">
              <w:rPr>
                <w:rFonts w:cs="Arial"/>
              </w:rPr>
              <w:t xml:space="preserve">enure </w:t>
            </w:r>
            <w:r w:rsidR="009B38CC" w:rsidRPr="00F25357">
              <w:rPr>
                <w:rFonts w:cs="Arial"/>
              </w:rPr>
              <w:t>p</w:t>
            </w:r>
            <w:r w:rsidR="00B8606E" w:rsidRPr="00F25357">
              <w:rPr>
                <w:rFonts w:cs="Arial"/>
              </w:rPr>
              <w:t>rotections</w:t>
            </w:r>
            <w:r w:rsidR="009B38CC" w:rsidRPr="00F25357">
              <w:rPr>
                <w:rFonts w:cs="Arial"/>
              </w:rPr>
              <w:t>, (2) institutionalize gender in urban planning, and (3) empowering women food entrepreneurs.</w:t>
            </w:r>
          </w:p>
        </w:tc>
      </w:tr>
    </w:tbl>
    <w:p w14:paraId="37D90F8D" w14:textId="77777777" w:rsidR="00636EB2" w:rsidRPr="00147425" w:rsidRDefault="00636EB2" w:rsidP="00441B6F">
      <w:pPr>
        <w:pStyle w:val="Body"/>
        <w:spacing w:after="0"/>
        <w:rPr>
          <w:rFonts w:cs="Arial"/>
          <w:i/>
        </w:rPr>
      </w:pPr>
    </w:p>
    <w:p w14:paraId="1F1E62B6" w14:textId="6B941902" w:rsidR="00995F19" w:rsidRDefault="00995F19" w:rsidP="00995F19">
      <w:pPr>
        <w:pStyle w:val="Body"/>
        <w:rPr>
          <w:rFonts w:cs="Arial"/>
          <w:i/>
        </w:rPr>
      </w:pPr>
      <w:bookmarkStart w:id="2" w:name="_Hlk201780888"/>
      <w:r w:rsidRPr="00147425">
        <w:rPr>
          <w:rFonts w:cs="Arial"/>
          <w:b/>
          <w:bCs/>
          <w:i/>
        </w:rPr>
        <w:t xml:space="preserve">Keywords: </w:t>
      </w:r>
      <w:r w:rsidR="003D28C3" w:rsidRPr="003D28C3">
        <w:rPr>
          <w:rFonts w:cs="Arial"/>
          <w:i/>
        </w:rPr>
        <w:t>Gendered land access, urban sprawl, food security, feminist political ecology, peri-urban agriculture, SDG 11, sub-Saharan Africa</w:t>
      </w:r>
      <w:r w:rsidR="003D28C3">
        <w:rPr>
          <w:rFonts w:cs="Arial"/>
          <w:i/>
        </w:rPr>
        <w:t>.</w:t>
      </w:r>
    </w:p>
    <w:p w14:paraId="159434A7" w14:textId="77777777" w:rsidR="00C73010" w:rsidRDefault="00C73010" w:rsidP="00F25357">
      <w:pPr>
        <w:rPr>
          <w:rFonts w:cs="Arial"/>
          <w:i/>
        </w:rPr>
      </w:pPr>
    </w:p>
    <w:p w14:paraId="222B3D80" w14:textId="77777777" w:rsidR="00C73010" w:rsidRDefault="00C73010" w:rsidP="00995F19">
      <w:pPr>
        <w:pStyle w:val="Body"/>
        <w:rPr>
          <w:rFonts w:cs="Arial"/>
          <w:i/>
        </w:rPr>
      </w:pPr>
    </w:p>
    <w:p w14:paraId="7F403BFC" w14:textId="77777777" w:rsidR="00C73010" w:rsidRDefault="00C73010" w:rsidP="00995F19">
      <w:pPr>
        <w:pStyle w:val="Body"/>
        <w:rPr>
          <w:rFonts w:cs="Arial"/>
          <w:i/>
        </w:rPr>
      </w:pPr>
    </w:p>
    <w:p w14:paraId="1931304C" w14:textId="77777777" w:rsidR="00C73010" w:rsidRPr="00147425" w:rsidRDefault="00C73010" w:rsidP="00995F19">
      <w:pPr>
        <w:pStyle w:val="Body"/>
        <w:rPr>
          <w:rFonts w:cs="Arial"/>
          <w:i/>
        </w:rPr>
      </w:pPr>
    </w:p>
    <w:p w14:paraId="577CE4CA" w14:textId="08F8BBF8" w:rsidR="00B71837" w:rsidRPr="00147425" w:rsidRDefault="00902823" w:rsidP="0090529E">
      <w:pPr>
        <w:pStyle w:val="A1"/>
        <w:numPr>
          <w:ilvl w:val="0"/>
          <w:numId w:val="0"/>
        </w:numPr>
        <w:ind w:left="284" w:hanging="284"/>
      </w:pPr>
      <w:bookmarkStart w:id="3" w:name="_Hlk213525318"/>
      <w:bookmarkEnd w:id="2"/>
      <w:r w:rsidRPr="00147425">
        <w:lastRenderedPageBreak/>
        <w:t xml:space="preserve">1. </w:t>
      </w:r>
      <w:r w:rsidR="00B71837" w:rsidRPr="00147425">
        <w:t>Introduction</w:t>
      </w:r>
    </w:p>
    <w:p w14:paraId="3DA5288D" w14:textId="0A49976B" w:rsidR="000052C2" w:rsidRDefault="000052C2" w:rsidP="00FF48EC">
      <w:pPr>
        <w:pStyle w:val="A2"/>
        <w:numPr>
          <w:ilvl w:val="0"/>
          <w:numId w:val="0"/>
        </w:numPr>
        <w:jc w:val="both"/>
        <w:rPr>
          <w:b w:val="0"/>
          <w:sz w:val="20"/>
        </w:rPr>
      </w:pPr>
      <w:r w:rsidRPr="000052C2">
        <w:rPr>
          <w:b w:val="0"/>
          <w:sz w:val="20"/>
        </w:rPr>
        <w:t xml:space="preserve">Urbanization in sub-Saharan Africa has been occurring at a rate unprecedented in history, </w:t>
      </w:r>
      <w:r w:rsidR="003507B5">
        <w:rPr>
          <w:b w:val="0"/>
          <w:sz w:val="20"/>
        </w:rPr>
        <w:t xml:space="preserve">and </w:t>
      </w:r>
      <w:r w:rsidRPr="000052C2">
        <w:rPr>
          <w:b w:val="0"/>
          <w:sz w:val="20"/>
        </w:rPr>
        <w:t xml:space="preserve">expected to rise from 472 million in 2020 to over 1 billion by 2050 (UN-Habitat 2022). This has been predominantly driven by the horizontal expansion of peri-urban and rural areas with little or no regulation. This has led to the development of a landscape characterized by the conglomeration of informal settlements, business ventures, and infrastructure development that increasingly uses arable land. The peri-urban area </w:t>
      </w:r>
      <w:r w:rsidR="009376E5">
        <w:rPr>
          <w:b w:val="0"/>
          <w:sz w:val="20"/>
        </w:rPr>
        <w:t>plays</w:t>
      </w:r>
      <w:r w:rsidRPr="000052C2">
        <w:rPr>
          <w:b w:val="0"/>
          <w:sz w:val="20"/>
        </w:rPr>
        <w:t xml:space="preserve"> a vital role in the food chain. </w:t>
      </w:r>
      <w:r w:rsidR="009376E5">
        <w:rPr>
          <w:b w:val="0"/>
          <w:sz w:val="20"/>
        </w:rPr>
        <w:t xml:space="preserve">They </w:t>
      </w:r>
      <w:r w:rsidRPr="000052C2">
        <w:rPr>
          <w:b w:val="0"/>
          <w:sz w:val="20"/>
        </w:rPr>
        <w:t>have long been identified as very important hubs for the production of goods like vegetables, meat products, and cereals for the consumption of city inhabitants (</w:t>
      </w:r>
      <w:proofErr w:type="spellStart"/>
      <w:r w:rsidRPr="000052C2">
        <w:rPr>
          <w:b w:val="0"/>
          <w:sz w:val="20"/>
        </w:rPr>
        <w:t>Ayambire</w:t>
      </w:r>
      <w:proofErr w:type="spellEnd"/>
      <w:r w:rsidRPr="000052C2">
        <w:rPr>
          <w:b w:val="0"/>
          <w:sz w:val="20"/>
        </w:rPr>
        <w:t xml:space="preserve"> et al., 2019).</w:t>
      </w:r>
    </w:p>
    <w:p w14:paraId="5BB745DC" w14:textId="1A6B7FD4" w:rsidR="007921EC" w:rsidRPr="00EE2750" w:rsidRDefault="007921EC" w:rsidP="00FF48EC">
      <w:pPr>
        <w:pStyle w:val="A2"/>
        <w:numPr>
          <w:ilvl w:val="0"/>
          <w:numId w:val="0"/>
        </w:numPr>
        <w:jc w:val="both"/>
        <w:rPr>
          <w:b w:val="0"/>
          <w:sz w:val="20"/>
        </w:rPr>
      </w:pPr>
      <w:r w:rsidRPr="007921EC">
        <w:rPr>
          <w:b w:val="0"/>
          <w:sz w:val="20"/>
        </w:rPr>
        <w:t xml:space="preserve">Significantly, the main stock of </w:t>
      </w:r>
      <w:proofErr w:type="spellStart"/>
      <w:r w:rsidRPr="007921EC">
        <w:rPr>
          <w:b w:val="0"/>
          <w:sz w:val="20"/>
        </w:rPr>
        <w:t>labour</w:t>
      </w:r>
      <w:proofErr w:type="spellEnd"/>
      <w:r w:rsidRPr="007921EC">
        <w:rPr>
          <w:b w:val="0"/>
          <w:sz w:val="20"/>
        </w:rPr>
        <w:t xml:space="preserve"> participating in such spaces consists of women as cultivators of small plots of land, vendors in open markets, and as caretakers responsible for the preparation of food (FAO, 2011; </w:t>
      </w:r>
      <w:proofErr w:type="spellStart"/>
      <w:r w:rsidRPr="007921EC">
        <w:rPr>
          <w:b w:val="0"/>
          <w:sz w:val="20"/>
        </w:rPr>
        <w:t>Tacoli</w:t>
      </w:r>
      <w:proofErr w:type="spellEnd"/>
      <w:r w:rsidRPr="007921EC">
        <w:rPr>
          <w:b w:val="0"/>
          <w:sz w:val="20"/>
        </w:rPr>
        <w:t xml:space="preserve"> and </w:t>
      </w:r>
      <w:proofErr w:type="spellStart"/>
      <w:r w:rsidRPr="007921EC">
        <w:rPr>
          <w:b w:val="0"/>
          <w:sz w:val="20"/>
        </w:rPr>
        <w:t>Vorley</w:t>
      </w:r>
      <w:proofErr w:type="spellEnd"/>
      <w:r w:rsidRPr="007921EC">
        <w:rPr>
          <w:b w:val="0"/>
          <w:sz w:val="20"/>
        </w:rPr>
        <w:t>, 2015). Nonetheless, the changing land uses in urban areas increasingly negate the above functions through the disempowerment of the</w:t>
      </w:r>
      <w:r w:rsidR="009376E5">
        <w:rPr>
          <w:b w:val="0"/>
          <w:sz w:val="20"/>
        </w:rPr>
        <w:t xml:space="preserve">, </w:t>
      </w:r>
      <w:r w:rsidRPr="007921EC">
        <w:rPr>
          <w:b w:val="0"/>
          <w:sz w:val="20"/>
        </w:rPr>
        <w:t>women</w:t>
      </w:r>
      <w:r w:rsidR="009376E5">
        <w:rPr>
          <w:b w:val="0"/>
          <w:sz w:val="20"/>
        </w:rPr>
        <w:t xml:space="preserve">’s </w:t>
      </w:r>
      <w:r w:rsidRPr="007921EC">
        <w:rPr>
          <w:b w:val="0"/>
          <w:sz w:val="20"/>
        </w:rPr>
        <w:t>land resources</w:t>
      </w:r>
      <w:r w:rsidR="009376E5">
        <w:rPr>
          <w:b w:val="0"/>
          <w:sz w:val="20"/>
        </w:rPr>
        <w:t>,</w:t>
      </w:r>
      <w:r w:rsidRPr="007921EC">
        <w:rPr>
          <w:b w:val="0"/>
          <w:sz w:val="20"/>
        </w:rPr>
        <w:t xml:space="preserve"> and the changing geography of food access. Counterintuitively, the relationship between land use change and food insecurity has been considered as a</w:t>
      </w:r>
      <w:r w:rsidR="002B5BF2">
        <w:rPr>
          <w:b w:val="0"/>
          <w:sz w:val="20"/>
        </w:rPr>
        <w:t xml:space="preserve"> </w:t>
      </w:r>
      <w:r w:rsidRPr="007921EC">
        <w:rPr>
          <w:b w:val="0"/>
          <w:sz w:val="20"/>
        </w:rPr>
        <w:t xml:space="preserve">gender-blind (gender neutral) concern in the discourse of urban planning. Mainstream approaches to urban planning in the context of Africa hardly account for the role of the </w:t>
      </w:r>
      <w:r w:rsidRPr="00EE2750">
        <w:rPr>
          <w:b w:val="0"/>
          <w:sz w:val="20"/>
        </w:rPr>
        <w:t>commodification of land resources and planning systems</w:t>
      </w:r>
      <w:r w:rsidR="002B5BF2" w:rsidRPr="00EE2750">
        <w:rPr>
          <w:b w:val="0"/>
          <w:sz w:val="20"/>
        </w:rPr>
        <w:t>, thereby</w:t>
      </w:r>
      <w:r w:rsidRPr="00EE2750">
        <w:rPr>
          <w:b w:val="0"/>
          <w:sz w:val="20"/>
        </w:rPr>
        <w:t xml:space="preserve"> undermining the role of women in the food sector (</w:t>
      </w:r>
      <w:proofErr w:type="spellStart"/>
      <w:r w:rsidRPr="00EE2750">
        <w:rPr>
          <w:b w:val="0"/>
          <w:sz w:val="20"/>
        </w:rPr>
        <w:t>Odeny</w:t>
      </w:r>
      <w:proofErr w:type="spellEnd"/>
      <w:r w:rsidRPr="00EE2750">
        <w:rPr>
          <w:b w:val="0"/>
          <w:sz w:val="20"/>
        </w:rPr>
        <w:t xml:space="preserve"> 2013; </w:t>
      </w:r>
      <w:proofErr w:type="spellStart"/>
      <w:r w:rsidRPr="00EE2750">
        <w:rPr>
          <w:b w:val="0"/>
          <w:sz w:val="20"/>
        </w:rPr>
        <w:t>Njoh</w:t>
      </w:r>
      <w:proofErr w:type="spellEnd"/>
      <w:r w:rsidRPr="00EE2750">
        <w:rPr>
          <w:b w:val="0"/>
          <w:sz w:val="20"/>
        </w:rPr>
        <w:t xml:space="preserve"> et al., 2016; </w:t>
      </w:r>
      <w:proofErr w:type="spellStart"/>
      <w:r w:rsidRPr="00EE2750">
        <w:rPr>
          <w:b w:val="0"/>
          <w:sz w:val="20"/>
        </w:rPr>
        <w:t>Nchanji</w:t>
      </w:r>
      <w:proofErr w:type="spellEnd"/>
      <w:r w:rsidRPr="00EE2750">
        <w:rPr>
          <w:b w:val="0"/>
          <w:sz w:val="20"/>
        </w:rPr>
        <w:t xml:space="preserve"> et al., 2023).</w:t>
      </w:r>
    </w:p>
    <w:p w14:paraId="275CA283" w14:textId="3668D2E0" w:rsidR="000C0991" w:rsidRDefault="007921EC" w:rsidP="00FF48EC">
      <w:pPr>
        <w:pStyle w:val="A2"/>
        <w:numPr>
          <w:ilvl w:val="0"/>
          <w:numId w:val="0"/>
        </w:numPr>
        <w:jc w:val="both"/>
        <w:rPr>
          <w:b w:val="0"/>
          <w:sz w:val="20"/>
        </w:rPr>
      </w:pPr>
      <w:r w:rsidRPr="00EE2750">
        <w:rPr>
          <w:b w:val="0"/>
          <w:sz w:val="20"/>
        </w:rPr>
        <w:t xml:space="preserve">The two most pervasive paradigms of </w:t>
      </w:r>
      <w:proofErr w:type="spellStart"/>
      <w:r w:rsidRPr="00EE2750">
        <w:rPr>
          <w:b w:val="0"/>
          <w:sz w:val="20"/>
        </w:rPr>
        <w:t>urbanisation</w:t>
      </w:r>
      <w:proofErr w:type="spellEnd"/>
      <w:r w:rsidRPr="00EE2750">
        <w:rPr>
          <w:b w:val="0"/>
          <w:sz w:val="20"/>
        </w:rPr>
        <w:t xml:space="preserve"> in the African context tend to promote economic development and th</w:t>
      </w:r>
      <w:r w:rsidR="002B5BF2" w:rsidRPr="00EE2750">
        <w:rPr>
          <w:b w:val="0"/>
          <w:sz w:val="20"/>
        </w:rPr>
        <w:t>at</w:t>
      </w:r>
      <w:r w:rsidRPr="00EE2750">
        <w:rPr>
          <w:b w:val="0"/>
          <w:sz w:val="20"/>
        </w:rPr>
        <w:t xml:space="preserve"> of infrastructure as more important than other aspects like equity and the sustainable use of natural resources (Watson 2013). Within the paradigmatic structure mentioned above, the role of gender tends to remain at the margins of the conversation related to the use of the land and tends not to play a pivotal role as a core dimension related to access. However, existing studies that tend to </w:t>
      </w:r>
      <w:r w:rsidR="006B2548" w:rsidRPr="00EE2750">
        <w:rPr>
          <w:b w:val="0"/>
          <w:sz w:val="20"/>
        </w:rPr>
        <w:t xml:space="preserve">                                                                                                                                                                                                                                                                                                                                                                                                                                                                                                                                                                                                             </w:t>
      </w:r>
      <w:r w:rsidRPr="00EE2750">
        <w:rPr>
          <w:b w:val="0"/>
          <w:sz w:val="20"/>
        </w:rPr>
        <w:t>validate empirical assertions have clearly shown the following: Women tend to lack access to the use of land. They tend not to remain involved as pivotal stakeholders during the planning phase</w:t>
      </w:r>
      <w:r w:rsidR="008A060B" w:rsidRPr="00EE2750">
        <w:rPr>
          <w:b w:val="0"/>
          <w:sz w:val="20"/>
        </w:rPr>
        <w:t>, as well as disengage from stakeholder roles in the development of peri-urban food systems (</w:t>
      </w:r>
      <w:proofErr w:type="spellStart"/>
      <w:r w:rsidR="008A060B" w:rsidRPr="00EE2750">
        <w:rPr>
          <w:b w:val="0"/>
          <w:sz w:val="20"/>
        </w:rPr>
        <w:t>Mutopo</w:t>
      </w:r>
      <w:proofErr w:type="spellEnd"/>
      <w:r w:rsidR="008A060B" w:rsidRPr="00EE2750">
        <w:rPr>
          <w:b w:val="0"/>
          <w:sz w:val="20"/>
        </w:rPr>
        <w:t xml:space="preserve">, 2011; Owusu </w:t>
      </w:r>
      <w:proofErr w:type="spellStart"/>
      <w:r w:rsidR="008A060B" w:rsidRPr="00EE2750">
        <w:rPr>
          <w:b w:val="0"/>
          <w:sz w:val="20"/>
        </w:rPr>
        <w:t>Twum</w:t>
      </w:r>
      <w:proofErr w:type="spellEnd"/>
      <w:r w:rsidR="008A060B" w:rsidRPr="00EE2750">
        <w:rPr>
          <w:b w:val="0"/>
          <w:sz w:val="20"/>
        </w:rPr>
        <w:t xml:space="preserve"> et al., 2020; </w:t>
      </w:r>
      <w:proofErr w:type="spellStart"/>
      <w:r w:rsidR="008A060B" w:rsidRPr="00EE2750">
        <w:rPr>
          <w:b w:val="0"/>
          <w:sz w:val="20"/>
        </w:rPr>
        <w:t>Nchanji</w:t>
      </w:r>
      <w:proofErr w:type="spellEnd"/>
      <w:r w:rsidR="008A060B" w:rsidRPr="00EE2750">
        <w:rPr>
          <w:b w:val="0"/>
          <w:sz w:val="20"/>
        </w:rPr>
        <w:t xml:space="preserve"> et al., 2023). </w:t>
      </w:r>
      <w:r w:rsidRPr="00EE2750">
        <w:rPr>
          <w:b w:val="0"/>
          <w:sz w:val="20"/>
        </w:rPr>
        <w:t xml:space="preserve">The initial scan </w:t>
      </w:r>
      <w:r w:rsidR="005D5990" w:rsidRPr="00EE2750">
        <w:rPr>
          <w:b w:val="0"/>
          <w:sz w:val="20"/>
        </w:rPr>
        <w:t>for</w:t>
      </w:r>
      <w:r w:rsidRPr="00EE2750">
        <w:rPr>
          <w:b w:val="0"/>
          <w:sz w:val="20"/>
        </w:rPr>
        <w:t xml:space="preserve"> pre-existing knowledge </w:t>
      </w:r>
      <w:r w:rsidR="008A060B" w:rsidRPr="00EE2750">
        <w:rPr>
          <w:b w:val="0"/>
          <w:sz w:val="20"/>
        </w:rPr>
        <w:t xml:space="preserve">in this </w:t>
      </w:r>
      <w:r w:rsidRPr="00EE2750">
        <w:rPr>
          <w:b w:val="0"/>
          <w:sz w:val="20"/>
        </w:rPr>
        <w:t xml:space="preserve">area identified the lack of comprehensive syntheses related to the pivotal role of the effects of land use changes as mentioned above. </w:t>
      </w:r>
      <w:r w:rsidR="000C0991" w:rsidRPr="00EE2750">
        <w:rPr>
          <w:b w:val="0"/>
          <w:sz w:val="20"/>
        </w:rPr>
        <w:t>In cases where the</w:t>
      </w:r>
      <w:r w:rsidR="000C0991" w:rsidRPr="000C0991">
        <w:rPr>
          <w:b w:val="0"/>
          <w:sz w:val="20"/>
        </w:rPr>
        <w:t xml:space="preserve"> topic of gender </w:t>
      </w:r>
      <w:r w:rsidR="005D5990">
        <w:rPr>
          <w:b w:val="0"/>
          <w:sz w:val="20"/>
        </w:rPr>
        <w:t>wa</w:t>
      </w:r>
      <w:r w:rsidR="000C0991" w:rsidRPr="000C0991">
        <w:rPr>
          <w:b w:val="0"/>
          <w:sz w:val="20"/>
        </w:rPr>
        <w:t>s considered, it happen</w:t>
      </w:r>
      <w:r w:rsidR="005D5990">
        <w:rPr>
          <w:b w:val="0"/>
          <w:sz w:val="20"/>
        </w:rPr>
        <w:t>ed</w:t>
      </w:r>
      <w:r w:rsidR="000C0991" w:rsidRPr="000C0991">
        <w:rPr>
          <w:b w:val="0"/>
          <w:sz w:val="20"/>
        </w:rPr>
        <w:t xml:space="preserve"> in the context of studies that </w:t>
      </w:r>
      <w:r w:rsidR="005D5990">
        <w:rPr>
          <w:b w:val="0"/>
          <w:sz w:val="20"/>
        </w:rPr>
        <w:t>we</w:t>
      </w:r>
      <w:r w:rsidR="000C0991" w:rsidRPr="000C0991">
        <w:rPr>
          <w:b w:val="0"/>
          <w:sz w:val="20"/>
        </w:rPr>
        <w:t xml:space="preserve">re exclusively focused on rural agriculture or informality in urban areas, but </w:t>
      </w:r>
      <w:r w:rsidR="00150B73">
        <w:rPr>
          <w:b w:val="0"/>
          <w:sz w:val="20"/>
        </w:rPr>
        <w:t>did</w:t>
      </w:r>
      <w:r w:rsidR="000C0991" w:rsidRPr="000C0991">
        <w:rPr>
          <w:b w:val="0"/>
          <w:sz w:val="20"/>
        </w:rPr>
        <w:t xml:space="preserve"> not link the transitional geography between the two spheres (HLPE 2024).</w:t>
      </w:r>
    </w:p>
    <w:p w14:paraId="7AD2579B" w14:textId="0280EDA4" w:rsidR="00150B73" w:rsidRPr="00FF48EC" w:rsidRDefault="000C0991" w:rsidP="00FF48EC">
      <w:pPr>
        <w:pStyle w:val="A2"/>
        <w:numPr>
          <w:ilvl w:val="0"/>
          <w:numId w:val="0"/>
        </w:numPr>
        <w:jc w:val="both"/>
        <w:rPr>
          <w:b w:val="0"/>
          <w:sz w:val="20"/>
        </w:rPr>
      </w:pPr>
      <w:r w:rsidRPr="000C0991">
        <w:rPr>
          <w:b w:val="0"/>
          <w:sz w:val="20"/>
        </w:rPr>
        <w:t>This review fills this important</w:t>
      </w:r>
      <w:r w:rsidR="00357A90">
        <w:rPr>
          <w:b w:val="0"/>
          <w:sz w:val="20"/>
        </w:rPr>
        <w:t xml:space="preserve"> </w:t>
      </w:r>
      <w:r w:rsidRPr="000C0991">
        <w:rPr>
          <w:b w:val="0"/>
          <w:sz w:val="20"/>
        </w:rPr>
        <w:t>lacuna by systematically synthesizing the available evidence with regard to the gender implications</w:t>
      </w:r>
      <w:r w:rsidR="00357A90">
        <w:rPr>
          <w:b w:val="0"/>
          <w:sz w:val="20"/>
        </w:rPr>
        <w:t xml:space="preserve"> </w:t>
      </w:r>
      <w:r w:rsidRPr="000C0991">
        <w:rPr>
          <w:b w:val="0"/>
          <w:sz w:val="20"/>
        </w:rPr>
        <w:t>of urban land-use change and food security in sub-Saharan Africa. Its specific aim is to review the empirical evidence available that has investigated the effect of urban land-use change on the availability of food-producing land for</w:t>
      </w:r>
      <w:r w:rsidR="00357A90">
        <w:rPr>
          <w:b w:val="0"/>
          <w:sz w:val="20"/>
        </w:rPr>
        <w:t xml:space="preserve"> </w:t>
      </w:r>
      <w:r w:rsidRPr="000C0991">
        <w:rPr>
          <w:b w:val="0"/>
          <w:sz w:val="20"/>
        </w:rPr>
        <w:t>women in sub-Saharan African cities and the geographies of exclusion where</w:t>
      </w:r>
      <w:r w:rsidR="00357A90">
        <w:rPr>
          <w:b w:val="0"/>
          <w:sz w:val="20"/>
        </w:rPr>
        <w:t xml:space="preserve"> </w:t>
      </w:r>
      <w:r w:rsidRPr="000C0991">
        <w:rPr>
          <w:b w:val="0"/>
          <w:sz w:val="20"/>
        </w:rPr>
        <w:t>by</w:t>
      </w:r>
      <w:r w:rsidR="00357A90">
        <w:rPr>
          <w:b w:val="0"/>
          <w:sz w:val="20"/>
        </w:rPr>
        <w:t xml:space="preserve"> </w:t>
      </w:r>
      <w:r w:rsidRPr="000C0991">
        <w:rPr>
          <w:b w:val="0"/>
          <w:sz w:val="20"/>
        </w:rPr>
        <w:t xml:space="preserve">women are marginalized in the food systems of cities. </w:t>
      </w:r>
      <w:r w:rsidR="00150B73" w:rsidRPr="00150B73">
        <w:rPr>
          <w:b w:val="0"/>
          <w:sz w:val="20"/>
        </w:rPr>
        <w:t>This review engages with the nexus of Sustainable Development Goals 2 (Zero Hunger), 5 (Gender Equality), and 11 (Sustainable Cities and Communities).</w:t>
      </w:r>
    </w:p>
    <w:p w14:paraId="49416BD9" w14:textId="77777777" w:rsidR="0090529E" w:rsidRDefault="0090529E" w:rsidP="002F3A1D">
      <w:pPr>
        <w:pStyle w:val="A2"/>
        <w:numPr>
          <w:ilvl w:val="1"/>
          <w:numId w:val="2"/>
        </w:numPr>
      </w:pPr>
      <w:bookmarkStart w:id="4" w:name="_Hlk202949807"/>
      <w:r w:rsidRPr="00373A27">
        <w:t>Theoretical Framework</w:t>
      </w:r>
    </w:p>
    <w:p w14:paraId="1D13CCA0" w14:textId="0B82C5BD" w:rsidR="000C0991" w:rsidRDefault="00137C29" w:rsidP="00B77B18">
      <w:pPr>
        <w:pStyle w:val="A2"/>
        <w:numPr>
          <w:ilvl w:val="0"/>
          <w:numId w:val="0"/>
        </w:numPr>
        <w:jc w:val="both"/>
        <w:rPr>
          <w:b w:val="0"/>
        </w:rPr>
      </w:pPr>
      <w:r w:rsidRPr="00BD64B6">
        <w:rPr>
          <w:b w:val="0"/>
          <w:sz w:val="20"/>
        </w:rPr>
        <w:t xml:space="preserve">This review employed a two-tiered theoretical framework to critically analyze the role of gendered experiences of urban land-use change and food insecurity in Sub-Saharan Africa. On the fundamental level (tier one), the lens of the Feminist Political Ecology (FPE) </w:t>
      </w:r>
      <w:r w:rsidRPr="00BD64B6">
        <w:rPr>
          <w:b w:val="0"/>
          <w:sz w:val="20"/>
        </w:rPr>
        <w:lastRenderedPageBreak/>
        <w:t xml:space="preserve">perspective enables the fundamental analysis of the role of the politics of gender in the construction of land and resource access (Rocheleau et al., 2013). </w:t>
      </w:r>
    </w:p>
    <w:p w14:paraId="47D2E58E" w14:textId="77777777" w:rsidR="0090529E" w:rsidRPr="00734AC9" w:rsidRDefault="0090529E" w:rsidP="00734AC9">
      <w:pPr>
        <w:pStyle w:val="A2"/>
        <w:numPr>
          <w:ilvl w:val="0"/>
          <w:numId w:val="0"/>
        </w:numPr>
        <w:ind w:left="425" w:hanging="425"/>
      </w:pPr>
      <w:r w:rsidRPr="00734AC9">
        <w:t>Table 1: Theoretical Framework</w:t>
      </w:r>
    </w:p>
    <w:tbl>
      <w:tblPr>
        <w:tblStyle w:val="TableGrid2"/>
        <w:tblW w:w="5000" w:type="pct"/>
        <w:tblLook w:val="04A0" w:firstRow="1" w:lastRow="0" w:firstColumn="1" w:lastColumn="0" w:noHBand="0" w:noVBand="1"/>
      </w:tblPr>
      <w:tblGrid>
        <w:gridCol w:w="494"/>
        <w:gridCol w:w="1641"/>
        <w:gridCol w:w="2208"/>
        <w:gridCol w:w="2399"/>
        <w:gridCol w:w="1450"/>
      </w:tblGrid>
      <w:tr w:rsidR="0090529E" w14:paraId="50543376" w14:textId="77777777" w:rsidTr="0090529E">
        <w:trPr>
          <w:trHeight w:hRule="exact" w:val="454"/>
        </w:trPr>
        <w:tc>
          <w:tcPr>
            <w:tcW w:w="494" w:type="dxa"/>
            <w:vAlign w:val="center"/>
          </w:tcPr>
          <w:p w14:paraId="58DE80A5" w14:textId="77777777" w:rsidR="0090529E" w:rsidRPr="00C222BA" w:rsidRDefault="0090529E" w:rsidP="0090529E">
            <w:pPr>
              <w:spacing w:line="216" w:lineRule="auto"/>
              <w:ind w:left="0"/>
              <w:jc w:val="left"/>
              <w:rPr>
                <w:rFonts w:cs="Arial"/>
                <w:b/>
                <w:bCs/>
                <w:sz w:val="20"/>
                <w:szCs w:val="20"/>
              </w:rPr>
            </w:pPr>
            <w:r w:rsidRPr="00C222BA">
              <w:rPr>
                <w:rFonts w:cs="Arial"/>
                <w:b/>
                <w:bCs/>
                <w:sz w:val="20"/>
                <w:szCs w:val="20"/>
              </w:rPr>
              <w:t>SN</w:t>
            </w:r>
          </w:p>
        </w:tc>
        <w:tc>
          <w:tcPr>
            <w:tcW w:w="1641" w:type="dxa"/>
            <w:vAlign w:val="center"/>
          </w:tcPr>
          <w:p w14:paraId="6AFA2A08" w14:textId="77777777" w:rsidR="0090529E" w:rsidRPr="00C222BA" w:rsidRDefault="0090529E" w:rsidP="0090529E">
            <w:pPr>
              <w:spacing w:line="216" w:lineRule="auto"/>
              <w:jc w:val="center"/>
              <w:rPr>
                <w:rFonts w:cs="Arial"/>
                <w:b/>
                <w:bCs/>
                <w:sz w:val="20"/>
                <w:szCs w:val="20"/>
              </w:rPr>
            </w:pPr>
            <w:r w:rsidRPr="00C222BA">
              <w:rPr>
                <w:rFonts w:cs="Arial"/>
                <w:b/>
                <w:bCs/>
                <w:sz w:val="20"/>
                <w:szCs w:val="20"/>
              </w:rPr>
              <w:t>Theory / Framework</w:t>
            </w:r>
          </w:p>
        </w:tc>
        <w:tc>
          <w:tcPr>
            <w:tcW w:w="2296" w:type="dxa"/>
            <w:vAlign w:val="center"/>
          </w:tcPr>
          <w:p w14:paraId="1A2B6AEC" w14:textId="77777777" w:rsidR="0090529E" w:rsidRPr="00C222BA" w:rsidRDefault="0090529E" w:rsidP="0090529E">
            <w:pPr>
              <w:spacing w:line="216" w:lineRule="auto"/>
              <w:jc w:val="center"/>
              <w:rPr>
                <w:rFonts w:cs="Arial"/>
                <w:b/>
                <w:bCs/>
                <w:sz w:val="20"/>
                <w:szCs w:val="20"/>
              </w:rPr>
            </w:pPr>
            <w:r w:rsidRPr="00C222BA">
              <w:rPr>
                <w:rFonts w:cs="Arial"/>
                <w:b/>
                <w:bCs/>
                <w:sz w:val="20"/>
                <w:szCs w:val="20"/>
              </w:rPr>
              <w:t>Emphasis</w:t>
            </w:r>
          </w:p>
        </w:tc>
        <w:tc>
          <w:tcPr>
            <w:tcW w:w="2510" w:type="dxa"/>
            <w:vAlign w:val="center"/>
          </w:tcPr>
          <w:p w14:paraId="0EB19683" w14:textId="77777777" w:rsidR="0090529E" w:rsidRPr="00C222BA" w:rsidRDefault="0090529E" w:rsidP="0090529E">
            <w:pPr>
              <w:pStyle w:val="ListParagraph"/>
              <w:spacing w:line="216" w:lineRule="auto"/>
              <w:ind w:left="0"/>
              <w:jc w:val="center"/>
              <w:rPr>
                <w:rFonts w:cs="Arial"/>
                <w:b/>
                <w:bCs/>
                <w:sz w:val="20"/>
                <w:szCs w:val="20"/>
              </w:rPr>
            </w:pPr>
            <w:r w:rsidRPr="00C222BA">
              <w:rPr>
                <w:rFonts w:cs="Arial"/>
                <w:b/>
                <w:bCs/>
                <w:sz w:val="20"/>
                <w:szCs w:val="20"/>
              </w:rPr>
              <w:t>Relevance</w:t>
            </w:r>
          </w:p>
        </w:tc>
        <w:tc>
          <w:tcPr>
            <w:tcW w:w="1257" w:type="dxa"/>
            <w:vAlign w:val="center"/>
          </w:tcPr>
          <w:p w14:paraId="4DE7CA99" w14:textId="77777777" w:rsidR="0090529E" w:rsidRPr="00C222BA" w:rsidRDefault="0090529E" w:rsidP="0090529E">
            <w:pPr>
              <w:pStyle w:val="ListParagraph"/>
              <w:spacing w:line="216" w:lineRule="auto"/>
              <w:ind w:left="0"/>
              <w:jc w:val="center"/>
              <w:rPr>
                <w:rFonts w:cs="Arial"/>
                <w:b/>
                <w:bCs/>
                <w:sz w:val="20"/>
                <w:szCs w:val="20"/>
              </w:rPr>
            </w:pPr>
            <w:r w:rsidRPr="00C222BA">
              <w:rPr>
                <w:rFonts w:cs="Arial"/>
                <w:b/>
                <w:bCs/>
                <w:sz w:val="20"/>
                <w:szCs w:val="20"/>
              </w:rPr>
              <w:t>Issues</w:t>
            </w:r>
          </w:p>
        </w:tc>
      </w:tr>
      <w:tr w:rsidR="0090529E" w:rsidRPr="009A2AA6" w14:paraId="35D46AF7" w14:textId="77777777" w:rsidTr="00164E6B">
        <w:trPr>
          <w:trHeight w:hRule="exact" w:val="1247"/>
        </w:trPr>
        <w:tc>
          <w:tcPr>
            <w:tcW w:w="494" w:type="dxa"/>
            <w:shd w:val="clear" w:color="auto" w:fill="FDE9D9" w:themeFill="accent6" w:themeFillTint="33"/>
            <w:vAlign w:val="center"/>
          </w:tcPr>
          <w:p w14:paraId="49471494"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1.</w:t>
            </w:r>
          </w:p>
        </w:tc>
        <w:tc>
          <w:tcPr>
            <w:tcW w:w="1641" w:type="dxa"/>
            <w:shd w:val="clear" w:color="auto" w:fill="FDE9D9" w:themeFill="accent6" w:themeFillTint="33"/>
            <w:vAlign w:val="center"/>
          </w:tcPr>
          <w:p w14:paraId="39737643" w14:textId="77777777" w:rsidR="00150B73" w:rsidRDefault="0090529E" w:rsidP="009E7099">
            <w:pPr>
              <w:pStyle w:val="ListParagraph"/>
              <w:spacing w:line="216" w:lineRule="auto"/>
              <w:ind w:left="0"/>
              <w:jc w:val="left"/>
              <w:rPr>
                <w:rFonts w:cs="Arial"/>
                <w:sz w:val="20"/>
                <w:szCs w:val="20"/>
              </w:rPr>
            </w:pPr>
            <w:r w:rsidRPr="00C222BA">
              <w:rPr>
                <w:rFonts w:cs="Arial"/>
                <w:sz w:val="20"/>
                <w:szCs w:val="20"/>
              </w:rPr>
              <w:t xml:space="preserve">Feminist Political Ecology </w:t>
            </w:r>
          </w:p>
          <w:p w14:paraId="46ED3C05" w14:textId="158F671D" w:rsidR="0090529E" w:rsidRPr="00C222BA" w:rsidRDefault="0090529E" w:rsidP="009E7099">
            <w:pPr>
              <w:pStyle w:val="ListParagraph"/>
              <w:spacing w:line="216" w:lineRule="auto"/>
              <w:ind w:left="0"/>
              <w:jc w:val="left"/>
              <w:rPr>
                <w:rFonts w:cs="Arial"/>
                <w:sz w:val="20"/>
                <w:szCs w:val="20"/>
              </w:rPr>
            </w:pPr>
            <w:r w:rsidRPr="00C222BA">
              <w:rPr>
                <w:rFonts w:cs="Arial"/>
                <w:b/>
                <w:bCs/>
                <w:sz w:val="20"/>
                <w:szCs w:val="20"/>
              </w:rPr>
              <w:t>(FPE)</w:t>
            </w:r>
          </w:p>
        </w:tc>
        <w:tc>
          <w:tcPr>
            <w:tcW w:w="2296" w:type="dxa"/>
            <w:shd w:val="clear" w:color="auto" w:fill="FDE9D9" w:themeFill="accent6" w:themeFillTint="33"/>
            <w:vAlign w:val="center"/>
          </w:tcPr>
          <w:p w14:paraId="162465E2"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 xml:space="preserve">How gender, education, class, and power affect access to and control over natural resources. </w:t>
            </w:r>
          </w:p>
        </w:tc>
        <w:tc>
          <w:tcPr>
            <w:tcW w:w="2510" w:type="dxa"/>
            <w:shd w:val="clear" w:color="auto" w:fill="FDE9D9" w:themeFill="accent6" w:themeFillTint="33"/>
            <w:vAlign w:val="center"/>
          </w:tcPr>
          <w:p w14:paraId="0D654F52"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Explain how urban land-use change disproportionately impacts women’s access to land and food.</w:t>
            </w:r>
          </w:p>
        </w:tc>
        <w:tc>
          <w:tcPr>
            <w:tcW w:w="1257" w:type="dxa"/>
            <w:shd w:val="clear" w:color="auto" w:fill="FDE9D9" w:themeFill="accent6" w:themeFillTint="33"/>
            <w:vAlign w:val="center"/>
          </w:tcPr>
          <w:p w14:paraId="02A0A375"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Women, Economy, Ecology,</w:t>
            </w:r>
          </w:p>
          <w:p w14:paraId="67AB687D"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Politics.</w:t>
            </w:r>
          </w:p>
        </w:tc>
      </w:tr>
      <w:tr w:rsidR="0090529E" w14:paraId="10BEEDF2" w14:textId="77777777" w:rsidTr="00164E6B">
        <w:trPr>
          <w:trHeight w:hRule="exact" w:val="1474"/>
        </w:trPr>
        <w:tc>
          <w:tcPr>
            <w:tcW w:w="494" w:type="dxa"/>
            <w:shd w:val="clear" w:color="auto" w:fill="FDE9D9" w:themeFill="accent6" w:themeFillTint="33"/>
            <w:vAlign w:val="center"/>
          </w:tcPr>
          <w:p w14:paraId="31185142"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2.</w:t>
            </w:r>
          </w:p>
        </w:tc>
        <w:tc>
          <w:tcPr>
            <w:tcW w:w="1641" w:type="dxa"/>
            <w:shd w:val="clear" w:color="auto" w:fill="FDE9D9" w:themeFill="accent6" w:themeFillTint="33"/>
            <w:vAlign w:val="center"/>
          </w:tcPr>
          <w:p w14:paraId="0CF22E6A"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 xml:space="preserve">Political Economy of Land </w:t>
            </w:r>
          </w:p>
          <w:p w14:paraId="41EB5F64" w14:textId="77777777" w:rsidR="0090529E" w:rsidRPr="00C222BA" w:rsidRDefault="0090529E" w:rsidP="009E7099">
            <w:pPr>
              <w:pStyle w:val="ListParagraph"/>
              <w:spacing w:line="216" w:lineRule="auto"/>
              <w:ind w:left="0"/>
              <w:jc w:val="left"/>
              <w:rPr>
                <w:rFonts w:cs="Arial"/>
                <w:b/>
                <w:bCs/>
                <w:sz w:val="20"/>
                <w:szCs w:val="20"/>
              </w:rPr>
            </w:pPr>
            <w:r w:rsidRPr="00C222BA">
              <w:rPr>
                <w:rFonts w:cs="Arial"/>
                <w:b/>
                <w:bCs/>
                <w:sz w:val="20"/>
                <w:szCs w:val="20"/>
              </w:rPr>
              <w:t>(PEL)</w:t>
            </w:r>
          </w:p>
        </w:tc>
        <w:tc>
          <w:tcPr>
            <w:tcW w:w="2296" w:type="dxa"/>
            <w:shd w:val="clear" w:color="auto" w:fill="FDE9D9" w:themeFill="accent6" w:themeFillTint="33"/>
            <w:vAlign w:val="center"/>
          </w:tcPr>
          <w:p w14:paraId="7DB752B8"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Reveals land-use change in broader political and economic processes (commodification of land).</w:t>
            </w:r>
          </w:p>
        </w:tc>
        <w:tc>
          <w:tcPr>
            <w:tcW w:w="2510" w:type="dxa"/>
            <w:shd w:val="clear" w:color="auto" w:fill="FDE9D9" w:themeFill="accent6" w:themeFillTint="33"/>
            <w:vAlign w:val="center"/>
          </w:tcPr>
          <w:p w14:paraId="7CED6369" w14:textId="2D1E3579"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 xml:space="preserve">Probes how </w:t>
            </w:r>
            <w:r w:rsidR="00164E6B" w:rsidRPr="00C222BA">
              <w:rPr>
                <w:rFonts w:cs="Arial"/>
                <w:sz w:val="20"/>
                <w:szCs w:val="20"/>
              </w:rPr>
              <w:t xml:space="preserve">land tenure </w:t>
            </w:r>
            <w:r w:rsidR="00164E6B">
              <w:rPr>
                <w:rFonts w:cs="Arial"/>
                <w:sz w:val="20"/>
                <w:szCs w:val="20"/>
              </w:rPr>
              <w:t xml:space="preserve">&amp; </w:t>
            </w:r>
            <w:r w:rsidRPr="00C222BA">
              <w:rPr>
                <w:rFonts w:cs="Arial"/>
                <w:sz w:val="20"/>
                <w:szCs w:val="20"/>
              </w:rPr>
              <w:t xml:space="preserve">urbanization </w:t>
            </w:r>
            <w:r w:rsidR="00164E6B">
              <w:rPr>
                <w:rFonts w:cs="Arial"/>
                <w:sz w:val="20"/>
                <w:szCs w:val="20"/>
              </w:rPr>
              <w:t>p</w:t>
            </w:r>
            <w:r w:rsidRPr="00C222BA">
              <w:rPr>
                <w:rFonts w:cs="Arial"/>
                <w:sz w:val="20"/>
                <w:szCs w:val="20"/>
              </w:rPr>
              <w:t xml:space="preserve">olicies marginalize women in agriculture </w:t>
            </w:r>
            <w:r w:rsidR="00164E6B">
              <w:rPr>
                <w:rFonts w:cs="Arial"/>
                <w:sz w:val="20"/>
                <w:szCs w:val="20"/>
              </w:rPr>
              <w:t>&amp;</w:t>
            </w:r>
            <w:r w:rsidRPr="00C222BA">
              <w:rPr>
                <w:rFonts w:cs="Arial"/>
                <w:sz w:val="20"/>
                <w:szCs w:val="20"/>
              </w:rPr>
              <w:t xml:space="preserve"> food systems to benefit elite groups.</w:t>
            </w:r>
          </w:p>
        </w:tc>
        <w:tc>
          <w:tcPr>
            <w:tcW w:w="1257" w:type="dxa"/>
            <w:shd w:val="clear" w:color="auto" w:fill="FDE9D9" w:themeFill="accent6" w:themeFillTint="33"/>
            <w:vAlign w:val="center"/>
          </w:tcPr>
          <w:p w14:paraId="3A0BBC0A"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Women, Economy, Ecology,</w:t>
            </w:r>
          </w:p>
          <w:p w14:paraId="6F39A013"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Politics.</w:t>
            </w:r>
          </w:p>
        </w:tc>
      </w:tr>
      <w:tr w:rsidR="0090529E" w14:paraId="5FC4D05F" w14:textId="77777777" w:rsidTr="0090529E">
        <w:trPr>
          <w:trHeight w:hRule="exact" w:val="1701"/>
        </w:trPr>
        <w:tc>
          <w:tcPr>
            <w:tcW w:w="494" w:type="dxa"/>
            <w:shd w:val="clear" w:color="auto" w:fill="FDE9D9" w:themeFill="accent6" w:themeFillTint="33"/>
            <w:vAlign w:val="center"/>
          </w:tcPr>
          <w:p w14:paraId="07BB05E7"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3.</w:t>
            </w:r>
          </w:p>
        </w:tc>
        <w:tc>
          <w:tcPr>
            <w:tcW w:w="1641" w:type="dxa"/>
            <w:shd w:val="clear" w:color="auto" w:fill="FDE9D9" w:themeFill="accent6" w:themeFillTint="33"/>
            <w:vAlign w:val="center"/>
          </w:tcPr>
          <w:p w14:paraId="2CDE301B"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Intersectionality Theory</w:t>
            </w:r>
          </w:p>
          <w:p w14:paraId="62E856B2" w14:textId="77777777" w:rsidR="0090529E" w:rsidRPr="00C222BA" w:rsidRDefault="0090529E" w:rsidP="009E7099">
            <w:pPr>
              <w:pStyle w:val="ListParagraph"/>
              <w:spacing w:line="216" w:lineRule="auto"/>
              <w:ind w:left="0"/>
              <w:jc w:val="left"/>
              <w:rPr>
                <w:rFonts w:cs="Arial"/>
                <w:sz w:val="20"/>
                <w:szCs w:val="20"/>
              </w:rPr>
            </w:pPr>
            <w:r w:rsidRPr="00C222BA">
              <w:rPr>
                <w:rFonts w:cs="Arial"/>
                <w:b/>
                <w:bCs/>
                <w:sz w:val="20"/>
                <w:szCs w:val="20"/>
              </w:rPr>
              <w:t>(IT)</w:t>
            </w:r>
          </w:p>
        </w:tc>
        <w:tc>
          <w:tcPr>
            <w:tcW w:w="2296" w:type="dxa"/>
            <w:shd w:val="clear" w:color="auto" w:fill="FDE9D9" w:themeFill="accent6" w:themeFillTint="33"/>
            <w:vAlign w:val="center"/>
          </w:tcPr>
          <w:p w14:paraId="0652D12B" w14:textId="7B284154"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Explains how multiple social groups, like race, class, and gender, overlap to create experiences of discrimination or disadvantage.</w:t>
            </w:r>
          </w:p>
        </w:tc>
        <w:tc>
          <w:tcPr>
            <w:tcW w:w="2510" w:type="dxa"/>
            <w:shd w:val="clear" w:color="auto" w:fill="FDE9D9" w:themeFill="accent6" w:themeFillTint="33"/>
            <w:vAlign w:val="center"/>
          </w:tcPr>
          <w:p w14:paraId="322F24AE"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Recounts why in peri-urban areas, single mothers face more severe consequences of land dispossession than other women.</w:t>
            </w:r>
          </w:p>
        </w:tc>
        <w:tc>
          <w:tcPr>
            <w:tcW w:w="1257" w:type="dxa"/>
            <w:shd w:val="clear" w:color="auto" w:fill="FDE9D9" w:themeFill="accent6" w:themeFillTint="33"/>
            <w:vAlign w:val="center"/>
          </w:tcPr>
          <w:p w14:paraId="559EFAAE"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Women, Economy, Ecology,</w:t>
            </w:r>
          </w:p>
          <w:p w14:paraId="4F03CC63"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Politics.</w:t>
            </w:r>
          </w:p>
        </w:tc>
      </w:tr>
      <w:tr w:rsidR="0090529E" w14:paraId="4F8582A5" w14:textId="77777777" w:rsidTr="0090529E">
        <w:trPr>
          <w:trHeight w:hRule="exact" w:val="1562"/>
        </w:trPr>
        <w:tc>
          <w:tcPr>
            <w:tcW w:w="494" w:type="dxa"/>
            <w:shd w:val="clear" w:color="auto" w:fill="D6E3BC" w:themeFill="accent3" w:themeFillTint="66"/>
            <w:vAlign w:val="center"/>
          </w:tcPr>
          <w:p w14:paraId="1C7AC79F"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4.</w:t>
            </w:r>
          </w:p>
        </w:tc>
        <w:tc>
          <w:tcPr>
            <w:tcW w:w="1641" w:type="dxa"/>
            <w:shd w:val="clear" w:color="auto" w:fill="D6E3BC" w:themeFill="accent3" w:themeFillTint="66"/>
            <w:vAlign w:val="center"/>
          </w:tcPr>
          <w:p w14:paraId="2D48E2F3"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Urban Political Ecology</w:t>
            </w:r>
          </w:p>
          <w:p w14:paraId="603742FE" w14:textId="77777777" w:rsidR="0090529E" w:rsidRPr="00C222BA" w:rsidRDefault="0090529E" w:rsidP="009E7099">
            <w:pPr>
              <w:pStyle w:val="ListParagraph"/>
              <w:spacing w:line="216" w:lineRule="auto"/>
              <w:ind w:left="0"/>
              <w:jc w:val="left"/>
              <w:rPr>
                <w:rFonts w:cs="Arial"/>
                <w:b/>
                <w:bCs/>
                <w:sz w:val="20"/>
                <w:szCs w:val="20"/>
              </w:rPr>
            </w:pPr>
            <w:r w:rsidRPr="00C222BA">
              <w:rPr>
                <w:rFonts w:cs="Arial"/>
                <w:b/>
                <w:bCs/>
                <w:sz w:val="20"/>
                <w:szCs w:val="20"/>
              </w:rPr>
              <w:t>(UPE)</w:t>
            </w:r>
          </w:p>
        </w:tc>
        <w:tc>
          <w:tcPr>
            <w:tcW w:w="2296" w:type="dxa"/>
            <w:shd w:val="clear" w:color="auto" w:fill="D6E3BC" w:themeFill="accent3" w:themeFillTint="66"/>
            <w:vAlign w:val="center"/>
          </w:tcPr>
          <w:p w14:paraId="4311E563"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It explains how urban land-use change affects ecological outcomes and social inequalities.</w:t>
            </w:r>
          </w:p>
        </w:tc>
        <w:tc>
          <w:tcPr>
            <w:tcW w:w="2510" w:type="dxa"/>
            <w:shd w:val="clear" w:color="auto" w:fill="D6E3BC" w:themeFill="accent3" w:themeFillTint="66"/>
            <w:vAlign w:val="center"/>
          </w:tcPr>
          <w:p w14:paraId="2099DC03"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Depicts how infrastructure development alters access to water, urban food systems, and women's livelihoods.</w:t>
            </w:r>
          </w:p>
        </w:tc>
        <w:tc>
          <w:tcPr>
            <w:tcW w:w="1257" w:type="dxa"/>
            <w:shd w:val="clear" w:color="auto" w:fill="D6E3BC" w:themeFill="accent3" w:themeFillTint="66"/>
            <w:vAlign w:val="center"/>
          </w:tcPr>
          <w:p w14:paraId="499A18C9"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Women, Economy, Ecology,</w:t>
            </w:r>
          </w:p>
          <w:p w14:paraId="37B5AB9D"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Politics.</w:t>
            </w:r>
          </w:p>
        </w:tc>
      </w:tr>
      <w:tr w:rsidR="0090529E" w14:paraId="6A323AF0" w14:textId="77777777" w:rsidTr="0090529E">
        <w:trPr>
          <w:trHeight w:hRule="exact" w:val="1701"/>
        </w:trPr>
        <w:tc>
          <w:tcPr>
            <w:tcW w:w="494" w:type="dxa"/>
            <w:shd w:val="clear" w:color="auto" w:fill="D6E3BC" w:themeFill="accent3" w:themeFillTint="66"/>
            <w:vAlign w:val="center"/>
          </w:tcPr>
          <w:p w14:paraId="4FF1E143"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5.</w:t>
            </w:r>
          </w:p>
        </w:tc>
        <w:tc>
          <w:tcPr>
            <w:tcW w:w="1641" w:type="dxa"/>
            <w:shd w:val="clear" w:color="auto" w:fill="D6E3BC" w:themeFill="accent3" w:themeFillTint="66"/>
            <w:vAlign w:val="center"/>
          </w:tcPr>
          <w:p w14:paraId="0D5BA1B5"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Sustainable Livelihoods Framework</w:t>
            </w:r>
          </w:p>
          <w:p w14:paraId="0F57527B" w14:textId="77777777" w:rsidR="0090529E" w:rsidRPr="00C222BA" w:rsidRDefault="0090529E" w:rsidP="009E7099">
            <w:pPr>
              <w:pStyle w:val="ListParagraph"/>
              <w:spacing w:line="216" w:lineRule="auto"/>
              <w:ind w:left="0"/>
              <w:jc w:val="left"/>
              <w:rPr>
                <w:rFonts w:cs="Arial"/>
                <w:b/>
                <w:bCs/>
                <w:sz w:val="20"/>
                <w:szCs w:val="20"/>
              </w:rPr>
            </w:pPr>
            <w:r w:rsidRPr="00C222BA">
              <w:rPr>
                <w:rFonts w:cs="Arial"/>
                <w:b/>
                <w:bCs/>
                <w:sz w:val="20"/>
                <w:szCs w:val="20"/>
              </w:rPr>
              <w:t>(SLF)</w:t>
            </w:r>
          </w:p>
        </w:tc>
        <w:tc>
          <w:tcPr>
            <w:tcW w:w="2296" w:type="dxa"/>
            <w:shd w:val="clear" w:color="auto" w:fill="D6E3BC" w:themeFill="accent3" w:themeFillTint="66"/>
            <w:vAlign w:val="center"/>
          </w:tcPr>
          <w:p w14:paraId="2403F53A" w14:textId="5492AB2B"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 xml:space="preserve">A holistic, people-centered approach, that influence people's ability to secure a sustainable living. </w:t>
            </w:r>
          </w:p>
        </w:tc>
        <w:tc>
          <w:tcPr>
            <w:tcW w:w="2510" w:type="dxa"/>
            <w:shd w:val="clear" w:color="auto" w:fill="D6E3BC" w:themeFill="accent3" w:themeFillTint="66"/>
            <w:vAlign w:val="center"/>
          </w:tcPr>
          <w:p w14:paraId="46E382EB"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Reveals how urban expansion affect women-headed households, reduce access to land and food security.</w:t>
            </w:r>
          </w:p>
        </w:tc>
        <w:tc>
          <w:tcPr>
            <w:tcW w:w="1257" w:type="dxa"/>
            <w:shd w:val="clear" w:color="auto" w:fill="D6E3BC" w:themeFill="accent3" w:themeFillTint="66"/>
            <w:vAlign w:val="center"/>
          </w:tcPr>
          <w:p w14:paraId="21224AD6"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Women,</w:t>
            </w:r>
          </w:p>
          <w:p w14:paraId="3B9DC8F0"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Economy,</w:t>
            </w:r>
          </w:p>
          <w:p w14:paraId="2F3266D2"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Livelihoods.</w:t>
            </w:r>
          </w:p>
          <w:p w14:paraId="3B9F52A4" w14:textId="77777777" w:rsidR="0090529E" w:rsidRPr="00C222BA" w:rsidRDefault="0090529E" w:rsidP="009E7099">
            <w:pPr>
              <w:pStyle w:val="ListParagraph"/>
              <w:spacing w:line="216" w:lineRule="auto"/>
              <w:ind w:left="0"/>
              <w:jc w:val="left"/>
              <w:rPr>
                <w:rFonts w:cs="Arial"/>
                <w:sz w:val="20"/>
                <w:szCs w:val="20"/>
              </w:rPr>
            </w:pPr>
          </w:p>
        </w:tc>
      </w:tr>
      <w:tr w:rsidR="0090529E" w14:paraId="52903EDC" w14:textId="77777777" w:rsidTr="0090529E">
        <w:trPr>
          <w:trHeight w:hRule="exact" w:val="1134"/>
        </w:trPr>
        <w:tc>
          <w:tcPr>
            <w:tcW w:w="494" w:type="dxa"/>
            <w:shd w:val="clear" w:color="auto" w:fill="D6E3BC" w:themeFill="accent3" w:themeFillTint="66"/>
            <w:vAlign w:val="center"/>
          </w:tcPr>
          <w:p w14:paraId="240BEF77"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6.</w:t>
            </w:r>
          </w:p>
        </w:tc>
        <w:tc>
          <w:tcPr>
            <w:tcW w:w="1641" w:type="dxa"/>
            <w:shd w:val="clear" w:color="auto" w:fill="D6E3BC" w:themeFill="accent3" w:themeFillTint="66"/>
            <w:vAlign w:val="center"/>
          </w:tcPr>
          <w:p w14:paraId="78EE7FBE"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 xml:space="preserve">Gender and Development </w:t>
            </w:r>
            <w:r w:rsidRPr="00C222BA">
              <w:rPr>
                <w:rFonts w:cs="Arial"/>
                <w:b/>
                <w:bCs/>
                <w:sz w:val="20"/>
                <w:szCs w:val="20"/>
              </w:rPr>
              <w:t>(GAD)</w:t>
            </w:r>
            <w:r w:rsidRPr="00C222BA">
              <w:rPr>
                <w:rFonts w:cs="Arial"/>
                <w:sz w:val="20"/>
                <w:szCs w:val="20"/>
              </w:rPr>
              <w:t xml:space="preserve"> </w:t>
            </w:r>
          </w:p>
        </w:tc>
        <w:tc>
          <w:tcPr>
            <w:tcW w:w="2296" w:type="dxa"/>
            <w:shd w:val="clear" w:color="auto" w:fill="D6E3BC" w:themeFill="accent3" w:themeFillTint="66"/>
            <w:vAlign w:val="center"/>
          </w:tcPr>
          <w:p w14:paraId="70A7A238"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How development policies and practices affect men and women differently.</w:t>
            </w:r>
          </w:p>
        </w:tc>
        <w:tc>
          <w:tcPr>
            <w:tcW w:w="2510" w:type="dxa"/>
            <w:shd w:val="clear" w:color="auto" w:fill="D6E3BC" w:themeFill="accent3" w:themeFillTint="66"/>
            <w:vAlign w:val="center"/>
          </w:tcPr>
          <w:p w14:paraId="6A072478"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Explains how urban land policies avoid or fortify gender inequalities in food production.</w:t>
            </w:r>
          </w:p>
        </w:tc>
        <w:tc>
          <w:tcPr>
            <w:tcW w:w="1257" w:type="dxa"/>
            <w:shd w:val="clear" w:color="auto" w:fill="D6E3BC" w:themeFill="accent3" w:themeFillTint="66"/>
            <w:vAlign w:val="center"/>
          </w:tcPr>
          <w:p w14:paraId="2F0EFF9D"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Women,</w:t>
            </w:r>
          </w:p>
          <w:p w14:paraId="6D70F2B7"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Development.</w:t>
            </w:r>
          </w:p>
          <w:p w14:paraId="211C37AA" w14:textId="77777777" w:rsidR="0090529E" w:rsidRPr="00C222BA" w:rsidRDefault="0090529E" w:rsidP="009E7099">
            <w:pPr>
              <w:pStyle w:val="ListParagraph"/>
              <w:spacing w:line="216" w:lineRule="auto"/>
              <w:ind w:left="0"/>
              <w:jc w:val="left"/>
              <w:rPr>
                <w:rFonts w:cs="Arial"/>
                <w:sz w:val="20"/>
                <w:szCs w:val="20"/>
              </w:rPr>
            </w:pPr>
          </w:p>
        </w:tc>
      </w:tr>
      <w:tr w:rsidR="0090529E" w14:paraId="6DFC0F62" w14:textId="77777777" w:rsidTr="0090529E">
        <w:trPr>
          <w:trHeight w:hRule="exact" w:val="1427"/>
        </w:trPr>
        <w:tc>
          <w:tcPr>
            <w:tcW w:w="494" w:type="dxa"/>
            <w:shd w:val="clear" w:color="auto" w:fill="D6E3BC" w:themeFill="accent3" w:themeFillTint="66"/>
            <w:vAlign w:val="center"/>
          </w:tcPr>
          <w:p w14:paraId="02C8706B"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7.</w:t>
            </w:r>
          </w:p>
        </w:tc>
        <w:tc>
          <w:tcPr>
            <w:tcW w:w="1641" w:type="dxa"/>
            <w:shd w:val="clear" w:color="auto" w:fill="D6E3BC" w:themeFill="accent3" w:themeFillTint="66"/>
            <w:vAlign w:val="center"/>
          </w:tcPr>
          <w:p w14:paraId="5E8D5AF6"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 xml:space="preserve">Food Sovereignty and Food Justice </w:t>
            </w:r>
          </w:p>
          <w:p w14:paraId="6FE78202" w14:textId="77777777" w:rsidR="0090529E" w:rsidRPr="00C222BA" w:rsidRDefault="0090529E" w:rsidP="009E7099">
            <w:pPr>
              <w:pStyle w:val="ListParagraph"/>
              <w:spacing w:line="216" w:lineRule="auto"/>
              <w:ind w:left="0"/>
              <w:jc w:val="left"/>
              <w:rPr>
                <w:rFonts w:cs="Arial"/>
                <w:b/>
                <w:bCs/>
                <w:sz w:val="20"/>
                <w:szCs w:val="20"/>
              </w:rPr>
            </w:pPr>
            <w:r w:rsidRPr="00C222BA">
              <w:rPr>
                <w:rFonts w:cs="Arial"/>
                <w:b/>
                <w:bCs/>
                <w:sz w:val="20"/>
                <w:szCs w:val="20"/>
              </w:rPr>
              <w:t>(FSFJ)</w:t>
            </w:r>
          </w:p>
        </w:tc>
        <w:tc>
          <w:tcPr>
            <w:tcW w:w="2296" w:type="dxa"/>
            <w:shd w:val="clear" w:color="auto" w:fill="D6E3BC" w:themeFill="accent3" w:themeFillTint="66"/>
            <w:vAlign w:val="center"/>
          </w:tcPr>
          <w:p w14:paraId="1F737420" w14:textId="5F6BF59C"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 xml:space="preserve">Interrelated platitudes focused on transforming food systems to be more sustainable and equitable. </w:t>
            </w:r>
          </w:p>
        </w:tc>
        <w:tc>
          <w:tcPr>
            <w:tcW w:w="2510" w:type="dxa"/>
            <w:shd w:val="clear" w:color="auto" w:fill="D6E3BC" w:themeFill="accent3" w:themeFillTint="66"/>
            <w:vAlign w:val="center"/>
          </w:tcPr>
          <w:p w14:paraId="2B3AAA98"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Upholds local control of food systems, especially for women in informal urban settlements.</w:t>
            </w:r>
          </w:p>
        </w:tc>
        <w:tc>
          <w:tcPr>
            <w:tcW w:w="1257" w:type="dxa"/>
            <w:shd w:val="clear" w:color="auto" w:fill="D6E3BC" w:themeFill="accent3" w:themeFillTint="66"/>
            <w:vAlign w:val="center"/>
          </w:tcPr>
          <w:p w14:paraId="04AF6130"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Women, Economy, Ecology,</w:t>
            </w:r>
          </w:p>
          <w:p w14:paraId="57302B5A" w14:textId="77777777" w:rsidR="0090529E" w:rsidRPr="00C222BA" w:rsidRDefault="0090529E" w:rsidP="009E7099">
            <w:pPr>
              <w:pStyle w:val="ListParagraph"/>
              <w:spacing w:line="216" w:lineRule="auto"/>
              <w:ind w:left="0"/>
              <w:jc w:val="left"/>
              <w:rPr>
                <w:rFonts w:cs="Arial"/>
                <w:sz w:val="20"/>
                <w:szCs w:val="20"/>
              </w:rPr>
            </w:pPr>
            <w:r w:rsidRPr="00C222BA">
              <w:rPr>
                <w:rFonts w:cs="Arial"/>
                <w:sz w:val="20"/>
                <w:szCs w:val="20"/>
              </w:rPr>
              <w:t>Politics.</w:t>
            </w:r>
          </w:p>
        </w:tc>
      </w:tr>
    </w:tbl>
    <w:p w14:paraId="1113451A" w14:textId="14A6D236" w:rsidR="0090529E" w:rsidRDefault="0090529E" w:rsidP="0090529E">
      <w:pPr>
        <w:spacing w:before="120" w:after="120" w:line="360" w:lineRule="auto"/>
        <w:jc w:val="center"/>
        <w:rPr>
          <w:rFonts w:cs="Arial"/>
          <w:i/>
          <w:iCs/>
        </w:rPr>
      </w:pPr>
      <w:r w:rsidRPr="00932292">
        <w:rPr>
          <w:rFonts w:cs="Arial"/>
          <w:i/>
          <w:iCs/>
        </w:rPr>
        <w:t>Source: Authors’ Construct</w:t>
      </w:r>
      <w:r w:rsidR="00FF5320">
        <w:rPr>
          <w:rFonts w:cs="Arial"/>
          <w:i/>
          <w:iCs/>
        </w:rPr>
        <w:t xml:space="preserve"> (2025)</w:t>
      </w:r>
    </w:p>
    <w:p w14:paraId="462355F8" w14:textId="09F9B127" w:rsidR="00B77B18" w:rsidRPr="00BD64B6" w:rsidRDefault="00B77B18" w:rsidP="00B77B18">
      <w:pPr>
        <w:pStyle w:val="A2"/>
        <w:numPr>
          <w:ilvl w:val="0"/>
          <w:numId w:val="0"/>
        </w:numPr>
        <w:jc w:val="both"/>
        <w:rPr>
          <w:b w:val="0"/>
          <w:sz w:val="20"/>
        </w:rPr>
      </w:pPr>
      <w:r w:rsidRPr="00BD64B6">
        <w:rPr>
          <w:b w:val="0"/>
          <w:sz w:val="20"/>
        </w:rPr>
        <w:lastRenderedPageBreak/>
        <w:t xml:space="preserve">In order to find the broader structural context of the aforementioned experiences involving land use in the city, the </w:t>
      </w:r>
      <w:r w:rsidR="00682B30" w:rsidRPr="00BD64B6">
        <w:rPr>
          <w:b w:val="0"/>
          <w:sz w:val="20"/>
        </w:rPr>
        <w:t xml:space="preserve">perspective </w:t>
      </w:r>
      <w:r w:rsidR="00682B30">
        <w:rPr>
          <w:b w:val="0"/>
          <w:sz w:val="20"/>
        </w:rPr>
        <w:t xml:space="preserve">of the </w:t>
      </w:r>
      <w:r w:rsidRPr="00BD64B6">
        <w:rPr>
          <w:b w:val="0"/>
          <w:sz w:val="20"/>
        </w:rPr>
        <w:t>Political Economy of Land (PEL) illustrates how the commodification processes driven by the development of the urban sectors continue to disempower females involved in food systems (</w:t>
      </w:r>
      <w:proofErr w:type="spellStart"/>
      <w:r w:rsidRPr="00BD64B6">
        <w:rPr>
          <w:b w:val="0"/>
          <w:sz w:val="20"/>
        </w:rPr>
        <w:t>Gyapong</w:t>
      </w:r>
      <w:proofErr w:type="spellEnd"/>
      <w:r w:rsidRPr="00BD64B6">
        <w:rPr>
          <w:b w:val="0"/>
          <w:sz w:val="20"/>
        </w:rPr>
        <w:t xml:space="preserve"> 2021). Another layer of the theoretical perspective – the Intersectionality Theory (IT), (</w:t>
      </w:r>
      <w:proofErr w:type="spellStart"/>
      <w:r w:rsidRPr="00BD64B6">
        <w:rPr>
          <w:b w:val="0"/>
          <w:sz w:val="20"/>
        </w:rPr>
        <w:t>Chigbu</w:t>
      </w:r>
      <w:proofErr w:type="spellEnd"/>
      <w:r w:rsidRPr="00BD64B6">
        <w:rPr>
          <w:b w:val="0"/>
          <w:sz w:val="20"/>
        </w:rPr>
        <w:t xml:space="preserve">, </w:t>
      </w:r>
      <w:proofErr w:type="spellStart"/>
      <w:r w:rsidRPr="00BD64B6">
        <w:rPr>
          <w:b w:val="0"/>
          <w:sz w:val="20"/>
        </w:rPr>
        <w:t>Paradza</w:t>
      </w:r>
      <w:proofErr w:type="spellEnd"/>
      <w:r w:rsidRPr="00BD64B6">
        <w:rPr>
          <w:b w:val="0"/>
          <w:sz w:val="20"/>
        </w:rPr>
        <w:t xml:space="preserve"> &amp; </w:t>
      </w:r>
      <w:proofErr w:type="spellStart"/>
      <w:r w:rsidRPr="00BD64B6">
        <w:rPr>
          <w:b w:val="0"/>
          <w:sz w:val="20"/>
        </w:rPr>
        <w:t>Dachaga</w:t>
      </w:r>
      <w:proofErr w:type="spellEnd"/>
      <w:r w:rsidRPr="00BD64B6">
        <w:rPr>
          <w:b w:val="0"/>
          <w:sz w:val="20"/>
        </w:rPr>
        <w:t xml:space="preserve"> 2019), expands the aforementioned perspective to incorporate aspects of multiple intersections like class and marital status.</w:t>
      </w:r>
    </w:p>
    <w:p w14:paraId="54A5DFB0" w14:textId="4844EECA" w:rsidR="00B77B18" w:rsidRDefault="00B77B18" w:rsidP="00B77B18">
      <w:pPr>
        <w:pStyle w:val="A3"/>
        <w:numPr>
          <w:ilvl w:val="0"/>
          <w:numId w:val="0"/>
        </w:numPr>
        <w:jc w:val="both"/>
        <w:rPr>
          <w:b w:val="0"/>
          <w:u w:val="none"/>
        </w:rPr>
      </w:pPr>
      <w:r w:rsidRPr="00137C29">
        <w:rPr>
          <w:b w:val="0"/>
          <w:u w:val="none"/>
        </w:rPr>
        <w:t xml:space="preserve">Urban Political Ecology (UPE) focuses on the ecologically disruptive effects of infrastructure construction (Heynen, Kaika, and Swyngedouw 2006); Sustainable Livelihoods Framework (SLF) outlines the resilience aspects at the household level (Chambers and Conway 1992); Gender and Development (GAD) critically addresses policy neglected aspects in urban planning (Moser 1993); Food Sovereignty and Food Justice (FSFJ) outlines normatively appropriate alternatives for a more just and equity-based food systems (Patel 2009). This framework together provides a comprehensive understanding at multiple levels of how the transformation of urban land goes unnoticed in its dispossession of women and how the food security landscape in Sub-Saharan Africa gets altered. The overlap represents the area of focus for the research: ‘Invisible Dispossessions’, where each of the seven theories has been positioned </w:t>
      </w:r>
      <w:r w:rsidR="00682B30">
        <w:rPr>
          <w:b w:val="0"/>
          <w:u w:val="none"/>
        </w:rPr>
        <w:t>at</w:t>
      </w:r>
      <w:r w:rsidRPr="00137C29">
        <w:rPr>
          <w:b w:val="0"/>
          <w:u w:val="none"/>
        </w:rPr>
        <w:t xml:space="preserve"> two levels to highlight the gender aspects of the land transformation and food insecurity in Sub-Saharan Africa.</w:t>
      </w:r>
    </w:p>
    <w:p w14:paraId="1FFBF797" w14:textId="66450595" w:rsidR="000665D6" w:rsidRPr="000665D6" w:rsidRDefault="000665D6" w:rsidP="00B175FD">
      <w:pPr>
        <w:pStyle w:val="A1"/>
        <w:rPr>
          <w:szCs w:val="22"/>
        </w:rPr>
      </w:pPr>
      <w:bookmarkStart w:id="5" w:name="_Hlk212645079"/>
      <w:bookmarkEnd w:id="4"/>
      <w:r w:rsidRPr="000665D6">
        <w:rPr>
          <w:szCs w:val="22"/>
          <w:lang w:val="en-GB"/>
        </w:rPr>
        <w:t>LITERATURE REVIEW</w:t>
      </w:r>
      <w:bookmarkEnd w:id="5"/>
    </w:p>
    <w:p w14:paraId="6C2A3E69" w14:textId="379C1CDF" w:rsidR="00391462" w:rsidRPr="00AC7D08" w:rsidRDefault="00391462" w:rsidP="00B175FD">
      <w:pPr>
        <w:pStyle w:val="Body"/>
        <w:spacing w:before="180" w:after="60"/>
        <w:rPr>
          <w:rFonts w:cs="Arial"/>
        </w:rPr>
      </w:pPr>
      <w:r w:rsidRPr="00391462">
        <w:rPr>
          <w:rFonts w:cs="Arial"/>
        </w:rPr>
        <w:t>The reviewed literature appears to represent a growing but disjointed academic effort at understanding the gender dimensions of the effects of urban land-use change and its influence on food security in Africa.</w:t>
      </w:r>
    </w:p>
    <w:p w14:paraId="33976178" w14:textId="21CD23AB" w:rsidR="000665D6" w:rsidRDefault="000665D6" w:rsidP="00B175FD">
      <w:pPr>
        <w:pStyle w:val="A2"/>
      </w:pPr>
      <w:r w:rsidRPr="000665D6">
        <w:t xml:space="preserve">Women’s Land Tenure Insecurity </w:t>
      </w:r>
    </w:p>
    <w:p w14:paraId="66B88C63" w14:textId="18A9FDDB" w:rsidR="00C16406" w:rsidRPr="00FF5320" w:rsidRDefault="00BA0DFA" w:rsidP="00391462">
      <w:pPr>
        <w:pStyle w:val="A2"/>
        <w:numPr>
          <w:ilvl w:val="0"/>
          <w:numId w:val="0"/>
        </w:numPr>
        <w:ind w:left="425" w:hanging="425"/>
        <w:rPr>
          <w:sz w:val="20"/>
        </w:rPr>
      </w:pPr>
      <w:r>
        <w:rPr>
          <w:noProof/>
        </w:rPr>
        <w:drawing>
          <wp:anchor distT="0" distB="0" distL="114300" distR="114300" simplePos="0" relativeHeight="251658240" behindDoc="0" locked="0" layoutInCell="1" allowOverlap="1" wp14:anchorId="0174285F" wp14:editId="6201C5FC">
            <wp:simplePos x="0" y="0"/>
            <wp:positionH relativeFrom="column">
              <wp:posOffset>1242060</wp:posOffset>
            </wp:positionH>
            <wp:positionV relativeFrom="paragraph">
              <wp:posOffset>342265</wp:posOffset>
            </wp:positionV>
            <wp:extent cx="2266950" cy="1724025"/>
            <wp:effectExtent l="0" t="0" r="0" b="9525"/>
            <wp:wrapTopAndBottom/>
            <wp:docPr id="2" name="Picture 2" descr="https://ars.els-cdn.com/content/image/1-s2.0-S0264837719310853-gr1_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s.els-cdn.com/content/image/1-s2.0-S0264837719310853-gr1_lr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6950"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6406" w:rsidRPr="00FF5320">
        <w:rPr>
          <w:sz w:val="20"/>
        </w:rPr>
        <w:t xml:space="preserve">Figure 1: Conceptual Framework to </w:t>
      </w:r>
      <w:proofErr w:type="spellStart"/>
      <w:r w:rsidR="00C16406" w:rsidRPr="00FF5320">
        <w:rPr>
          <w:sz w:val="20"/>
        </w:rPr>
        <w:t>analyse</w:t>
      </w:r>
      <w:proofErr w:type="spellEnd"/>
      <w:r w:rsidR="00C16406" w:rsidRPr="00FF5320">
        <w:rPr>
          <w:sz w:val="20"/>
        </w:rPr>
        <w:t xml:space="preserve"> women’s land tenure security</w:t>
      </w:r>
    </w:p>
    <w:p w14:paraId="5CDCD868" w14:textId="1C90D1C3" w:rsidR="00C16406" w:rsidRDefault="00C16406" w:rsidP="00C16406">
      <w:pPr>
        <w:pStyle w:val="A2"/>
        <w:numPr>
          <w:ilvl w:val="0"/>
          <w:numId w:val="0"/>
        </w:numPr>
        <w:jc w:val="center"/>
        <w:rPr>
          <w:b w:val="0"/>
          <w:bCs/>
          <w:i/>
          <w:iCs/>
          <w:sz w:val="20"/>
        </w:rPr>
      </w:pPr>
      <w:r w:rsidRPr="00C16406">
        <w:rPr>
          <w:b w:val="0"/>
          <w:bCs/>
          <w:i/>
          <w:iCs/>
          <w:sz w:val="20"/>
        </w:rPr>
        <w:t xml:space="preserve">Source: (Doss &amp; </w:t>
      </w:r>
      <w:proofErr w:type="spellStart"/>
      <w:r w:rsidRPr="00C16406">
        <w:rPr>
          <w:b w:val="0"/>
          <w:bCs/>
          <w:i/>
          <w:iCs/>
          <w:sz w:val="20"/>
        </w:rPr>
        <w:t>Meinzen</w:t>
      </w:r>
      <w:proofErr w:type="spellEnd"/>
      <w:r w:rsidRPr="00C16406">
        <w:rPr>
          <w:b w:val="0"/>
          <w:bCs/>
          <w:i/>
          <w:iCs/>
          <w:sz w:val="20"/>
        </w:rPr>
        <w:t>-Dick, 2020)</w:t>
      </w:r>
    </w:p>
    <w:p w14:paraId="00A7B9AF" w14:textId="32DFCEC4" w:rsidR="00B77B18" w:rsidRDefault="00B77B18" w:rsidP="00B77B18">
      <w:pPr>
        <w:pStyle w:val="A2"/>
        <w:numPr>
          <w:ilvl w:val="0"/>
          <w:numId w:val="0"/>
        </w:numPr>
        <w:jc w:val="both"/>
        <w:rPr>
          <w:b w:val="0"/>
          <w:sz w:val="20"/>
        </w:rPr>
      </w:pPr>
      <w:r w:rsidRPr="00391462">
        <w:rPr>
          <w:b w:val="0"/>
          <w:sz w:val="20"/>
        </w:rPr>
        <w:t xml:space="preserve">A conceptual framework presented in Figure 1 above has been employed by Doss &amp; </w:t>
      </w:r>
      <w:proofErr w:type="spellStart"/>
      <w:r w:rsidRPr="00391462">
        <w:rPr>
          <w:b w:val="0"/>
          <w:sz w:val="20"/>
        </w:rPr>
        <w:t>Meinzen</w:t>
      </w:r>
      <w:proofErr w:type="spellEnd"/>
      <w:r w:rsidRPr="00391462">
        <w:rPr>
          <w:b w:val="0"/>
          <w:sz w:val="20"/>
        </w:rPr>
        <w:t xml:space="preserve">-Dick (2020) to analyze the land tenure security of women. For the purpose of comparison of the tenure security of women across locations, it is required that information about the context, threats and opportunities associated with the tenure security of women, the action arena encompassing the individuals involved in shaping the tenure security of women as well as the resources employed for such purposes should be available (Doss &amp; </w:t>
      </w:r>
      <w:proofErr w:type="spellStart"/>
      <w:r w:rsidRPr="00391462">
        <w:rPr>
          <w:b w:val="0"/>
          <w:sz w:val="20"/>
        </w:rPr>
        <w:t>Meinzen</w:t>
      </w:r>
      <w:proofErr w:type="spellEnd"/>
      <w:r w:rsidRPr="00391462">
        <w:rPr>
          <w:b w:val="0"/>
          <w:sz w:val="20"/>
        </w:rPr>
        <w:t>-Dick, 2020).</w:t>
      </w:r>
      <w:r>
        <w:rPr>
          <w:b w:val="0"/>
          <w:sz w:val="20"/>
        </w:rPr>
        <w:t xml:space="preserve"> </w:t>
      </w:r>
      <w:proofErr w:type="spellStart"/>
      <w:r w:rsidRPr="00391462">
        <w:rPr>
          <w:b w:val="0"/>
          <w:sz w:val="20"/>
        </w:rPr>
        <w:t>Mutopo</w:t>
      </w:r>
      <w:proofErr w:type="spellEnd"/>
      <w:r w:rsidRPr="00391462">
        <w:rPr>
          <w:b w:val="0"/>
          <w:sz w:val="20"/>
        </w:rPr>
        <w:t xml:space="preserve"> (2011) explains the ways in which Zimbabwe’s land reform program impacted the higher percentage of disempowered women </w:t>
      </w:r>
      <w:r w:rsidR="00910371">
        <w:rPr>
          <w:b w:val="0"/>
          <w:sz w:val="20"/>
        </w:rPr>
        <w:t>who had been affected by</w:t>
      </w:r>
      <w:r w:rsidRPr="00391462">
        <w:rPr>
          <w:b w:val="0"/>
          <w:sz w:val="20"/>
        </w:rPr>
        <w:t xml:space="preserve"> the patriarchal nature of the land allocation program. In peri-urban locations where the acquisition of the land is </w:t>
      </w:r>
      <w:r w:rsidRPr="00391462">
        <w:rPr>
          <w:b w:val="0"/>
          <w:sz w:val="20"/>
        </w:rPr>
        <w:lastRenderedPageBreak/>
        <w:t>informal or through custom law, the female population is the first to lose their access to the land as the locations get reclassified as urban zones. According to RRI (2017), the same situation affects many countries in Africa.</w:t>
      </w:r>
    </w:p>
    <w:p w14:paraId="66B738F9" w14:textId="18C0C67D" w:rsidR="00C16406" w:rsidRPr="00147425" w:rsidRDefault="00C16406" w:rsidP="000915A9">
      <w:pPr>
        <w:pStyle w:val="A2"/>
      </w:pPr>
      <w:r w:rsidRPr="00C16406">
        <w:t>Displacement from Informal Food Markets</w:t>
      </w:r>
    </w:p>
    <w:p w14:paraId="395694AE" w14:textId="3BFDCEF8" w:rsidR="00391462" w:rsidRPr="00AC7D08" w:rsidRDefault="00A10249" w:rsidP="00AC7D08">
      <w:pPr>
        <w:pStyle w:val="A2"/>
        <w:numPr>
          <w:ilvl w:val="0"/>
          <w:numId w:val="0"/>
        </w:numPr>
        <w:jc w:val="both"/>
        <w:rPr>
          <w:b w:val="0"/>
          <w:sz w:val="20"/>
        </w:rPr>
      </w:pPr>
      <w:r w:rsidRPr="00A10249">
        <w:rPr>
          <w:b w:val="0"/>
          <w:sz w:val="20"/>
        </w:rPr>
        <w:t xml:space="preserve">Research by </w:t>
      </w:r>
      <w:proofErr w:type="spellStart"/>
      <w:r w:rsidRPr="00A10249">
        <w:rPr>
          <w:b w:val="0"/>
          <w:sz w:val="20"/>
        </w:rPr>
        <w:t>Tacoli</w:t>
      </w:r>
      <w:proofErr w:type="spellEnd"/>
      <w:r w:rsidRPr="00A10249">
        <w:rPr>
          <w:b w:val="0"/>
          <w:sz w:val="20"/>
        </w:rPr>
        <w:t xml:space="preserve"> and </w:t>
      </w:r>
      <w:proofErr w:type="spellStart"/>
      <w:r w:rsidRPr="00A10249">
        <w:rPr>
          <w:b w:val="0"/>
          <w:sz w:val="20"/>
        </w:rPr>
        <w:t>Vorley</w:t>
      </w:r>
      <w:proofErr w:type="spellEnd"/>
      <w:r w:rsidRPr="00A10249">
        <w:rPr>
          <w:b w:val="0"/>
          <w:sz w:val="20"/>
        </w:rPr>
        <w:t xml:space="preserve"> (2015) and Okoye (2020) highlights the displacement of women from both agricultural land and informal markets, driven by zoning regulations and urban gentrification that lead to market closures and demolitions (Spire &amp; Choplin, 2018).</w:t>
      </w:r>
    </w:p>
    <w:p w14:paraId="736DB501" w14:textId="57DF1656" w:rsidR="00C16406" w:rsidRDefault="00C16406" w:rsidP="000915A9">
      <w:pPr>
        <w:pStyle w:val="A2"/>
      </w:pPr>
      <w:r w:rsidRPr="00C16406">
        <w:t xml:space="preserve">Food System Restructuring and Spatial </w:t>
      </w:r>
      <w:proofErr w:type="spellStart"/>
      <w:r w:rsidRPr="00C16406">
        <w:t>Marginalisation</w:t>
      </w:r>
      <w:proofErr w:type="spellEnd"/>
    </w:p>
    <w:p w14:paraId="3D27AACA" w14:textId="0D80E97C" w:rsidR="00CE79D3" w:rsidRPr="00AC7D08" w:rsidRDefault="00CE79D3" w:rsidP="00AC7D08">
      <w:pPr>
        <w:pStyle w:val="A2"/>
        <w:numPr>
          <w:ilvl w:val="0"/>
          <w:numId w:val="0"/>
        </w:numPr>
        <w:jc w:val="both"/>
        <w:rPr>
          <w:b w:val="0"/>
          <w:sz w:val="20"/>
        </w:rPr>
      </w:pPr>
      <w:bookmarkStart w:id="6" w:name="_Hlk212655975"/>
      <w:r w:rsidRPr="00CE79D3">
        <w:rPr>
          <w:b w:val="0"/>
          <w:sz w:val="20"/>
        </w:rPr>
        <w:t xml:space="preserve">Peri-urban agricultural systems in Ghana are deteriorating due to real estate development, as noted by </w:t>
      </w:r>
      <w:proofErr w:type="spellStart"/>
      <w:r w:rsidRPr="00CE79D3">
        <w:rPr>
          <w:b w:val="0"/>
          <w:sz w:val="20"/>
        </w:rPr>
        <w:t>Cofie</w:t>
      </w:r>
      <w:proofErr w:type="spellEnd"/>
      <w:r w:rsidRPr="00CE79D3">
        <w:rPr>
          <w:b w:val="0"/>
          <w:sz w:val="20"/>
        </w:rPr>
        <w:t xml:space="preserve"> (2015) and </w:t>
      </w:r>
      <w:proofErr w:type="spellStart"/>
      <w:r w:rsidRPr="00CE79D3">
        <w:rPr>
          <w:b w:val="0"/>
          <w:sz w:val="20"/>
        </w:rPr>
        <w:t>Adarkwah</w:t>
      </w:r>
      <w:proofErr w:type="spellEnd"/>
      <w:r w:rsidRPr="00CE79D3">
        <w:rPr>
          <w:b w:val="0"/>
          <w:sz w:val="20"/>
        </w:rPr>
        <w:t xml:space="preserve"> et al. (2018). </w:t>
      </w:r>
      <w:r>
        <w:rPr>
          <w:b w:val="0"/>
          <w:sz w:val="20"/>
        </w:rPr>
        <w:t xml:space="preserve">As a result of this, women have lost both water and land resources. </w:t>
      </w:r>
      <w:r w:rsidRPr="00CE79D3">
        <w:rPr>
          <w:b w:val="0"/>
          <w:sz w:val="20"/>
        </w:rPr>
        <w:t>These patterns support the existence of gender differences in household nutritional disparity. According to FAO (2011), strategies and policies have disregarded women's essential role in the food system.</w:t>
      </w:r>
    </w:p>
    <w:bookmarkEnd w:id="6"/>
    <w:p w14:paraId="7D85309C" w14:textId="1DEA8837" w:rsidR="00C16406" w:rsidRDefault="00D85543" w:rsidP="000915A9">
      <w:pPr>
        <w:pStyle w:val="A2"/>
      </w:pPr>
      <w:r w:rsidRPr="00D85543">
        <w:t>Policy Blind Spots and Planning Exclusion</w:t>
      </w:r>
    </w:p>
    <w:p w14:paraId="5FF7B70F" w14:textId="780B60AE" w:rsidR="006E06E1" w:rsidRPr="00822396" w:rsidRDefault="006E06E1" w:rsidP="00822396">
      <w:pPr>
        <w:pStyle w:val="A2"/>
        <w:numPr>
          <w:ilvl w:val="0"/>
          <w:numId w:val="0"/>
        </w:numPr>
        <w:jc w:val="both"/>
        <w:rPr>
          <w:b w:val="0"/>
          <w:sz w:val="20"/>
        </w:rPr>
      </w:pPr>
      <w:r w:rsidRPr="006E06E1">
        <w:rPr>
          <w:b w:val="0"/>
          <w:sz w:val="20"/>
        </w:rPr>
        <w:t xml:space="preserve">The absence of both gender and food security components in the strategic vision of the planning frameworks is a significant issue raised </w:t>
      </w:r>
      <w:r w:rsidR="00EB6C26">
        <w:rPr>
          <w:b w:val="0"/>
          <w:sz w:val="20"/>
        </w:rPr>
        <w:t xml:space="preserve">by </w:t>
      </w:r>
      <w:proofErr w:type="spellStart"/>
      <w:r w:rsidR="00EB6C26" w:rsidRPr="00CE79D3">
        <w:rPr>
          <w:b w:val="0"/>
          <w:sz w:val="20"/>
        </w:rPr>
        <w:t>Cofie</w:t>
      </w:r>
      <w:proofErr w:type="spellEnd"/>
      <w:r w:rsidR="00EB6C26" w:rsidRPr="00CE79D3">
        <w:rPr>
          <w:b w:val="0"/>
          <w:sz w:val="20"/>
        </w:rPr>
        <w:t xml:space="preserve"> (2015) and </w:t>
      </w:r>
      <w:proofErr w:type="spellStart"/>
      <w:r w:rsidR="00EB6C26" w:rsidRPr="00CE79D3">
        <w:rPr>
          <w:b w:val="0"/>
          <w:sz w:val="20"/>
        </w:rPr>
        <w:t>Adarkwah</w:t>
      </w:r>
      <w:proofErr w:type="spellEnd"/>
      <w:r w:rsidR="00EB6C26" w:rsidRPr="00CE79D3">
        <w:rPr>
          <w:b w:val="0"/>
          <w:sz w:val="20"/>
        </w:rPr>
        <w:t xml:space="preserve"> et al. (2018)</w:t>
      </w:r>
      <w:r w:rsidRPr="006E06E1">
        <w:rPr>
          <w:b w:val="0"/>
          <w:sz w:val="20"/>
        </w:rPr>
        <w:t xml:space="preserve">. For example, </w:t>
      </w:r>
      <w:proofErr w:type="spellStart"/>
      <w:r w:rsidRPr="006E06E1">
        <w:rPr>
          <w:b w:val="0"/>
          <w:sz w:val="20"/>
        </w:rPr>
        <w:t>Odeny</w:t>
      </w:r>
      <w:proofErr w:type="spellEnd"/>
      <w:r w:rsidRPr="006E06E1">
        <w:rPr>
          <w:b w:val="0"/>
          <w:sz w:val="20"/>
        </w:rPr>
        <w:t xml:space="preserve"> (2013) and Watson (2013) contend that the absence of legal means to protect women's land rights can prolong the loss.</w:t>
      </w:r>
    </w:p>
    <w:p w14:paraId="3C226A76" w14:textId="1EC82F0F" w:rsidR="00C16406" w:rsidRDefault="00D85543" w:rsidP="000915A9">
      <w:pPr>
        <w:pStyle w:val="A2"/>
      </w:pPr>
      <w:r w:rsidRPr="00D85543">
        <w:t xml:space="preserve">Development of Theoretical-Conceptual Framework </w:t>
      </w:r>
    </w:p>
    <w:p w14:paraId="34DC0404" w14:textId="77777777" w:rsidR="003A54B7" w:rsidRDefault="007F27A0" w:rsidP="007F27A0">
      <w:pPr>
        <w:pStyle w:val="A2"/>
        <w:numPr>
          <w:ilvl w:val="0"/>
          <w:numId w:val="0"/>
        </w:numPr>
        <w:jc w:val="both"/>
        <w:rPr>
          <w:b w:val="0"/>
          <w:sz w:val="20"/>
        </w:rPr>
      </w:pPr>
      <w:r w:rsidRPr="007F27A0">
        <w:rPr>
          <w:b w:val="0"/>
          <w:sz w:val="20"/>
        </w:rPr>
        <w:t xml:space="preserve">The conceptual framework created by Doss &amp; </w:t>
      </w:r>
      <w:proofErr w:type="spellStart"/>
      <w:r w:rsidRPr="007F27A0">
        <w:rPr>
          <w:b w:val="0"/>
          <w:sz w:val="20"/>
        </w:rPr>
        <w:t>Meinzen</w:t>
      </w:r>
      <w:proofErr w:type="spellEnd"/>
      <w:r w:rsidRPr="007F27A0">
        <w:rPr>
          <w:b w:val="0"/>
          <w:sz w:val="20"/>
        </w:rPr>
        <w:t xml:space="preserve">-Dick (2020) can be used as a convenient means to explain the land tenure security of women. The relationships and complexities between the ‘invisible dispossessions’ must instead be addressed utilizing a broader conceptual framework. There are 2 groups of theories. The first group of theories encompasses the red circular </w:t>
      </w:r>
      <w:r w:rsidR="003A54B7">
        <w:rPr>
          <w:b w:val="0"/>
          <w:sz w:val="20"/>
        </w:rPr>
        <w:t>shape</w:t>
      </w:r>
      <w:r w:rsidRPr="007F27A0">
        <w:rPr>
          <w:b w:val="0"/>
          <w:sz w:val="20"/>
        </w:rPr>
        <w:t xml:space="preserve">s. These represent basic theories as well as the fundamental solutions for the invisible dispossessions. The other group of theories encompasses the blue rectangular </w:t>
      </w:r>
      <w:r w:rsidR="003A54B7">
        <w:rPr>
          <w:b w:val="0"/>
          <w:sz w:val="20"/>
        </w:rPr>
        <w:t>shape</w:t>
      </w:r>
      <w:r w:rsidRPr="007F27A0">
        <w:rPr>
          <w:b w:val="0"/>
          <w:sz w:val="20"/>
        </w:rPr>
        <w:t>s. These represent the supporting theories as well as the</w:t>
      </w:r>
      <w:r w:rsidR="003A54B7">
        <w:rPr>
          <w:b w:val="0"/>
          <w:sz w:val="20"/>
        </w:rPr>
        <w:t>ir</w:t>
      </w:r>
      <w:r w:rsidRPr="007F27A0">
        <w:rPr>
          <w:b w:val="0"/>
          <w:sz w:val="20"/>
        </w:rPr>
        <w:t xml:space="preserve"> solutions. The purple </w:t>
      </w:r>
      <w:r w:rsidR="003A54B7">
        <w:rPr>
          <w:b w:val="0"/>
          <w:sz w:val="20"/>
        </w:rPr>
        <w:t>shape</w:t>
      </w:r>
      <w:r w:rsidRPr="007F27A0">
        <w:rPr>
          <w:b w:val="0"/>
          <w:sz w:val="20"/>
        </w:rPr>
        <w:t xml:space="preserve"> represents the </w:t>
      </w:r>
      <w:r w:rsidR="003A54B7">
        <w:rPr>
          <w:b w:val="0"/>
          <w:sz w:val="20"/>
        </w:rPr>
        <w:t xml:space="preserve">resultant </w:t>
      </w:r>
      <w:r w:rsidRPr="007F27A0">
        <w:rPr>
          <w:b w:val="0"/>
          <w:sz w:val="20"/>
        </w:rPr>
        <w:t>effect</w:t>
      </w:r>
      <w:r w:rsidR="003A54B7">
        <w:rPr>
          <w:b w:val="0"/>
          <w:sz w:val="20"/>
        </w:rPr>
        <w:t xml:space="preserve"> of both the fundamental and supporting theories</w:t>
      </w:r>
      <w:r w:rsidRPr="007F27A0">
        <w:rPr>
          <w:b w:val="0"/>
          <w:sz w:val="20"/>
        </w:rPr>
        <w:t>.</w:t>
      </w:r>
      <w:r w:rsidR="00BA0DFA">
        <w:rPr>
          <w:b w:val="0"/>
          <w:sz w:val="20"/>
        </w:rPr>
        <w:t xml:space="preserve"> </w:t>
      </w:r>
    </w:p>
    <w:p w14:paraId="4A9FFA43" w14:textId="76714808" w:rsidR="003A54B7" w:rsidRDefault="007F27A0" w:rsidP="00116F6F">
      <w:pPr>
        <w:pStyle w:val="A2"/>
        <w:keepNext w:val="0"/>
        <w:widowControl w:val="0"/>
        <w:numPr>
          <w:ilvl w:val="0"/>
          <w:numId w:val="0"/>
        </w:numPr>
        <w:jc w:val="both"/>
        <w:rPr>
          <w:b w:val="0"/>
          <w:sz w:val="20"/>
        </w:rPr>
      </w:pPr>
      <w:r w:rsidRPr="007F27A0">
        <w:rPr>
          <w:b w:val="0"/>
          <w:sz w:val="20"/>
        </w:rPr>
        <w:t xml:space="preserve">This framework proposes the Combined Theoretical-Conceptual Framework (CIF) that combines a set of seven interrelated theories to analyze the structural and differential aspects of invisible dispossessions. This framework has been </w:t>
      </w:r>
      <w:r w:rsidR="003A54B7">
        <w:rPr>
          <w:b w:val="0"/>
          <w:sz w:val="20"/>
        </w:rPr>
        <w:t>develop</w:t>
      </w:r>
      <w:r w:rsidRPr="007F27A0">
        <w:rPr>
          <w:b w:val="0"/>
          <w:sz w:val="20"/>
        </w:rPr>
        <w:t>ed based on the context of Feminist Political Ecology (FPE), thereby incorporating the structural, gendered, and inter-sectional realms of the concept of dispossession.</w:t>
      </w:r>
      <w:r w:rsidR="00BA0DFA">
        <w:rPr>
          <w:b w:val="0"/>
          <w:sz w:val="20"/>
        </w:rPr>
        <w:t xml:space="preserve"> </w:t>
      </w:r>
      <w:r w:rsidRPr="007F27A0">
        <w:rPr>
          <w:b w:val="0"/>
          <w:sz w:val="20"/>
        </w:rPr>
        <w:t xml:space="preserve">In essence, FPE (Rocheleau et al., 1996) offers the conceptual focal point, highlighting the links between the Gender-Environment-Power complex and the mediation of access to and control over resources. Intersectionality Theory (Crenshaw 1989) acts as the differentiator. In this case, the intersecting nature of different factors like Gender-Class-ethnicity explains the cumulative effect of vulnerabilities. Political Ecology of Land (PEL) </w:t>
      </w:r>
      <w:r w:rsidR="003A54B7" w:rsidRPr="007F27A0">
        <w:rPr>
          <w:b w:val="0"/>
          <w:sz w:val="20"/>
        </w:rPr>
        <w:t xml:space="preserve">acts as the skeleton </w:t>
      </w:r>
      <w:r w:rsidRPr="007F27A0">
        <w:rPr>
          <w:b w:val="0"/>
          <w:sz w:val="20"/>
        </w:rPr>
        <w:t>(Zoomers 2010; Borras and Franco 2012). In this regard, the commodification and management of land resources form the core dispossession strategy. Sustainable Livelihoods Framework (SLF) (Chambers and Conway 1992; Scoones 1998) and Gender and Development (GAD)</w:t>
      </w:r>
      <w:r w:rsidR="003A54B7">
        <w:rPr>
          <w:b w:val="0"/>
          <w:sz w:val="20"/>
        </w:rPr>
        <w:t xml:space="preserve"> </w:t>
      </w:r>
      <w:r w:rsidRPr="007F27A0">
        <w:rPr>
          <w:b w:val="0"/>
          <w:sz w:val="20"/>
        </w:rPr>
        <w:t>approaches (Moser 1993; Razavi and Miller 1995) form the additional components of the ISF. In this case, the strategies for adaptation and empowerment act as the main mediation factor.</w:t>
      </w:r>
    </w:p>
    <w:p w14:paraId="450805C1" w14:textId="77777777" w:rsidR="00652F2E" w:rsidRDefault="00652F2E" w:rsidP="00116F6F">
      <w:pPr>
        <w:pStyle w:val="A2"/>
        <w:keepNext w:val="0"/>
        <w:widowControl w:val="0"/>
        <w:numPr>
          <w:ilvl w:val="0"/>
          <w:numId w:val="0"/>
        </w:numPr>
        <w:jc w:val="both"/>
        <w:rPr>
          <w:b w:val="0"/>
          <w:sz w:val="20"/>
        </w:rPr>
      </w:pPr>
    </w:p>
    <w:p w14:paraId="0A292E7E" w14:textId="4169BB20" w:rsidR="00652F2E" w:rsidRDefault="00652F2E" w:rsidP="00116F6F">
      <w:pPr>
        <w:pStyle w:val="A2"/>
        <w:keepNext w:val="0"/>
        <w:widowControl w:val="0"/>
        <w:numPr>
          <w:ilvl w:val="0"/>
          <w:numId w:val="0"/>
        </w:numPr>
        <w:jc w:val="both"/>
        <w:rPr>
          <w:bCs/>
          <w:sz w:val="20"/>
        </w:rPr>
      </w:pPr>
      <w:r w:rsidRPr="00D85543">
        <w:rPr>
          <w:bCs/>
          <w:sz w:val="20"/>
        </w:rPr>
        <w:lastRenderedPageBreak/>
        <w:t>Figure 2: Combined Theoretical-Conceptual Framework on ‘invisible dispossessions’</w:t>
      </w:r>
    </w:p>
    <w:p w14:paraId="0963BF17" w14:textId="7413C7E5" w:rsidR="0085640B" w:rsidRDefault="007B4463" w:rsidP="00116F6F">
      <w:pPr>
        <w:pStyle w:val="A2"/>
        <w:keepNext w:val="0"/>
        <w:widowControl w:val="0"/>
        <w:numPr>
          <w:ilvl w:val="0"/>
          <w:numId w:val="0"/>
        </w:numPr>
        <w:jc w:val="both"/>
        <w:rPr>
          <w:b w:val="0"/>
          <w:sz w:val="20"/>
        </w:rPr>
      </w:pPr>
      <w:r w:rsidRPr="007B4463">
        <w:rPr>
          <w:b w:val="0"/>
          <w:noProof/>
          <w:sz w:val="20"/>
        </w:rPr>
        <w:drawing>
          <wp:inline distT="0" distB="0" distL="0" distR="0" wp14:anchorId="35E89AE6" wp14:editId="0FC024E5">
            <wp:extent cx="7163277" cy="5007809"/>
            <wp:effectExtent l="0" t="8255" r="0" b="0"/>
            <wp:docPr id="1338644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44617" name=""/>
                    <pic:cNvPicPr/>
                  </pic:nvPicPr>
                  <pic:blipFill>
                    <a:blip r:embed="rId13"/>
                    <a:stretch>
                      <a:fillRect/>
                    </a:stretch>
                  </pic:blipFill>
                  <pic:spPr>
                    <a:xfrm rot="16200000">
                      <a:off x="0" y="0"/>
                      <a:ext cx="7217414" cy="5045656"/>
                    </a:xfrm>
                    <a:prstGeom prst="rect">
                      <a:avLst/>
                    </a:prstGeom>
                  </pic:spPr>
                </pic:pic>
              </a:graphicData>
            </a:graphic>
          </wp:inline>
        </w:drawing>
      </w:r>
    </w:p>
    <w:p w14:paraId="489F64D9" w14:textId="66E4A99C" w:rsidR="00FF5320" w:rsidRPr="00932292" w:rsidRDefault="00FF5320" w:rsidP="00F25357">
      <w:pPr>
        <w:pStyle w:val="NormalWeb"/>
        <w:spacing w:before="0" w:beforeAutospacing="0" w:after="0" w:afterAutospacing="0"/>
        <w:jc w:val="center"/>
        <w:rPr>
          <w:rFonts w:cs="Arial"/>
          <w:i/>
          <w:iCs/>
        </w:rPr>
      </w:pPr>
      <w:r w:rsidRPr="00932292">
        <w:rPr>
          <w:rFonts w:cs="Arial"/>
          <w:i/>
          <w:iCs/>
        </w:rPr>
        <w:t>Source: Authors’ Construct</w:t>
      </w:r>
      <w:r>
        <w:rPr>
          <w:rFonts w:cs="Arial"/>
          <w:i/>
          <w:iCs/>
        </w:rPr>
        <w:t xml:space="preserve"> (2025)</w:t>
      </w:r>
    </w:p>
    <w:p w14:paraId="5F57241E" w14:textId="19BCAEC4" w:rsidR="009347AF" w:rsidRPr="009347AF" w:rsidRDefault="00EB6C26" w:rsidP="009347AF">
      <w:pPr>
        <w:pStyle w:val="A2"/>
        <w:numPr>
          <w:ilvl w:val="0"/>
          <w:numId w:val="0"/>
        </w:numPr>
        <w:jc w:val="both"/>
        <w:rPr>
          <w:b w:val="0"/>
          <w:sz w:val="20"/>
        </w:rPr>
      </w:pPr>
      <w:r>
        <w:rPr>
          <w:b w:val="0"/>
          <w:sz w:val="20"/>
        </w:rPr>
        <w:lastRenderedPageBreak/>
        <w:t xml:space="preserve">In </w:t>
      </w:r>
      <w:r w:rsidR="009347AF" w:rsidRPr="009347AF">
        <w:rPr>
          <w:b w:val="0"/>
          <w:sz w:val="20"/>
        </w:rPr>
        <w:t>Urban Political Ecology (UPE)</w:t>
      </w:r>
      <w:r>
        <w:rPr>
          <w:b w:val="0"/>
          <w:sz w:val="20"/>
        </w:rPr>
        <w:t>,</w:t>
      </w:r>
      <w:r w:rsidR="009347AF" w:rsidRPr="009347AF">
        <w:rPr>
          <w:b w:val="0"/>
          <w:sz w:val="20"/>
        </w:rPr>
        <w:t xml:space="preserve"> (Heynen et al., 2006</w:t>
      </w:r>
      <w:r>
        <w:rPr>
          <w:b w:val="0"/>
          <w:sz w:val="20"/>
        </w:rPr>
        <w:t xml:space="preserve"> and </w:t>
      </w:r>
      <w:r w:rsidR="009347AF" w:rsidRPr="009347AF">
        <w:rPr>
          <w:b w:val="0"/>
          <w:sz w:val="20"/>
        </w:rPr>
        <w:t>Lawhon et al., 2013) take the analysis further to the spatial dimension of the city, unpacking how regimes of infrastructure and planning produce socio-environmental injustices. Finally, Food Sovereignty and Food Justice (FSFJ) as a perspective introduces the aspect of livelihoods and governance</w:t>
      </w:r>
      <w:r>
        <w:rPr>
          <w:b w:val="0"/>
          <w:sz w:val="20"/>
        </w:rPr>
        <w:t xml:space="preserve"> </w:t>
      </w:r>
      <w:r w:rsidRPr="009347AF">
        <w:rPr>
          <w:b w:val="0"/>
          <w:sz w:val="20"/>
        </w:rPr>
        <w:t>(Patel 2009; Holt-Giménez and Shattuck 2011)</w:t>
      </w:r>
      <w:r w:rsidR="009347AF" w:rsidRPr="009347AF">
        <w:rPr>
          <w:b w:val="0"/>
          <w:sz w:val="20"/>
        </w:rPr>
        <w:t>.</w:t>
      </w:r>
    </w:p>
    <w:p w14:paraId="2D116D30" w14:textId="170BC1B3" w:rsidR="009347AF" w:rsidRPr="009347AF" w:rsidRDefault="009347AF" w:rsidP="00EB6C26">
      <w:pPr>
        <w:pStyle w:val="A2"/>
        <w:shd w:val="clear" w:color="auto" w:fill="D9FFD9"/>
      </w:pPr>
      <w:r w:rsidRPr="009347AF">
        <w:t>Recent African Literature on Feminist Urban Planning (2020–2024)</w:t>
      </w:r>
    </w:p>
    <w:p w14:paraId="7B9BA555" w14:textId="77777777" w:rsidR="007B54CC" w:rsidRDefault="009347AF" w:rsidP="00EB6C26">
      <w:pPr>
        <w:pStyle w:val="A2"/>
        <w:numPr>
          <w:ilvl w:val="0"/>
          <w:numId w:val="0"/>
        </w:numPr>
        <w:shd w:val="clear" w:color="auto" w:fill="D9FFD9"/>
        <w:jc w:val="both"/>
        <w:rPr>
          <w:b w:val="0"/>
          <w:sz w:val="20"/>
        </w:rPr>
      </w:pPr>
      <w:r w:rsidRPr="009347AF">
        <w:rPr>
          <w:b w:val="0"/>
          <w:sz w:val="20"/>
        </w:rPr>
        <w:t xml:space="preserve">Recent African feminist urban planning literature reveals how gendered dispossession is embedded in spatial design, land governance, and urban policy. Feminist Africa (2024) emphasizes that post-pandemic urban recovery efforts have largely ignored women’s spatial needs, reinforcing tenure insecurity and economic marginalization (Feminist Africa, 2024). This aligns with Deka’s (2024) pan-African review, which identifies persistent legal and cultural barriers to women’s land ownership, particularly in urbanizing zones where customary tenure systems are displaced. </w:t>
      </w:r>
      <w:proofErr w:type="spellStart"/>
      <w:r w:rsidRPr="009347AF">
        <w:rPr>
          <w:b w:val="0"/>
          <w:sz w:val="20"/>
        </w:rPr>
        <w:t>Lawanson</w:t>
      </w:r>
      <w:proofErr w:type="spellEnd"/>
      <w:r w:rsidRPr="009347AF">
        <w:rPr>
          <w:b w:val="0"/>
          <w:sz w:val="20"/>
        </w:rPr>
        <w:t xml:space="preserve"> et al. (2023) argue that mobility planning in African cities often excludes gendered perspectives, resulting in spatial exclusion and reduced access to food markets and services. Their policy analysis in </w:t>
      </w:r>
      <w:r w:rsidR="00EB6C26" w:rsidRPr="009347AF">
        <w:rPr>
          <w:b w:val="0"/>
          <w:sz w:val="20"/>
        </w:rPr>
        <w:t xml:space="preserve">Ghana and </w:t>
      </w:r>
      <w:r w:rsidRPr="009347AF">
        <w:rPr>
          <w:b w:val="0"/>
          <w:sz w:val="20"/>
        </w:rPr>
        <w:t xml:space="preserve">Nigeria shows that infrastructure regimes reinforce gender/public norms that limit women’s visibility and agency in urban space. </w:t>
      </w:r>
    </w:p>
    <w:p w14:paraId="10969F8F" w14:textId="5D17F840" w:rsidR="009347AF" w:rsidRDefault="009347AF" w:rsidP="00EB6C26">
      <w:pPr>
        <w:pStyle w:val="A2"/>
        <w:numPr>
          <w:ilvl w:val="0"/>
          <w:numId w:val="0"/>
        </w:numPr>
        <w:shd w:val="clear" w:color="auto" w:fill="D9FFD9"/>
        <w:jc w:val="both"/>
        <w:rPr>
          <w:b w:val="0"/>
          <w:sz w:val="20"/>
        </w:rPr>
      </w:pPr>
      <w:r w:rsidRPr="009347AF">
        <w:rPr>
          <w:b w:val="0"/>
          <w:sz w:val="20"/>
        </w:rPr>
        <w:t xml:space="preserve">Similarly, the LUDI Report (2020) highlights how urban design fails to incorporate safety and accessibility for women, reinforcing spatial exclusion and tenure insecurity in South African and Nigerian cities. Maina et al. (2024) provide case studies from Kenya and Zimbabwe showing how land redistribution programs, while ostensibly progressive, often reproduce patriarchal land governance structures. Their work maps the intersection of land commodification and gendered access, reinforcing the relevance of Political Ecology of Land (PEL) and Gender and Development (GAD) frameworks in analyzing invisible dispossessions. Oxfam Africa (2024) underscores the role of civil society in advocating for gender-equitable land reform. Their policy brief links economic empowerment to spatial justice, arguing that land rights must be reframed through feminist and intersectional lenses to address structural exclusion. </w:t>
      </w:r>
    </w:p>
    <w:p w14:paraId="78AE601C" w14:textId="358B17A5" w:rsidR="001675BF" w:rsidRPr="00091284" w:rsidRDefault="001675BF" w:rsidP="00EB6C26">
      <w:pPr>
        <w:pStyle w:val="A2"/>
        <w:numPr>
          <w:ilvl w:val="0"/>
          <w:numId w:val="0"/>
        </w:numPr>
        <w:shd w:val="clear" w:color="auto" w:fill="D9FFD9"/>
        <w:ind w:left="425" w:hanging="425"/>
        <w:rPr>
          <w:bCs/>
        </w:rPr>
      </w:pPr>
      <w:r w:rsidRPr="00091284">
        <w:rPr>
          <w:bCs/>
          <w:sz w:val="20"/>
        </w:rPr>
        <w:t xml:space="preserve">Table </w:t>
      </w:r>
      <w:r w:rsidR="00091284" w:rsidRPr="00091284">
        <w:rPr>
          <w:bCs/>
          <w:sz w:val="20"/>
        </w:rPr>
        <w:t>2:</w:t>
      </w:r>
      <w:r w:rsidRPr="00091284">
        <w:rPr>
          <w:bCs/>
          <w:sz w:val="20"/>
        </w:rPr>
        <w:t xml:space="preserve"> </w:t>
      </w:r>
      <w:r w:rsidRPr="00091284">
        <w:rPr>
          <w:bCs/>
        </w:rPr>
        <w:t>Recent African Literature per themes (2020–2024)</w:t>
      </w:r>
    </w:p>
    <w:p w14:paraId="0AC4DFCB" w14:textId="296DB85D" w:rsidR="001675BF" w:rsidRDefault="001675BF" w:rsidP="00EB6C26">
      <w:pPr>
        <w:pStyle w:val="A2"/>
        <w:numPr>
          <w:ilvl w:val="0"/>
          <w:numId w:val="0"/>
        </w:numPr>
        <w:shd w:val="clear" w:color="auto" w:fill="D9FFD9"/>
        <w:jc w:val="both"/>
        <w:rPr>
          <w:b w:val="0"/>
          <w:sz w:val="20"/>
        </w:rPr>
      </w:pPr>
      <w:r>
        <w:rPr>
          <w:b w:val="0"/>
          <w:noProof/>
          <w:sz w:val="20"/>
        </w:rPr>
        <w:drawing>
          <wp:inline distT="0" distB="0" distL="0" distR="0" wp14:anchorId="5A4A6184" wp14:editId="7A9A41F3">
            <wp:extent cx="5108575" cy="2286000"/>
            <wp:effectExtent l="0" t="0" r="0" b="0"/>
            <wp:docPr id="4305134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8575" cy="2286000"/>
                    </a:xfrm>
                    <a:prstGeom prst="rect">
                      <a:avLst/>
                    </a:prstGeom>
                    <a:noFill/>
                  </pic:spPr>
                </pic:pic>
              </a:graphicData>
            </a:graphic>
          </wp:inline>
        </w:drawing>
      </w:r>
    </w:p>
    <w:p w14:paraId="3E9C96A8" w14:textId="20FE4E24" w:rsidR="001675BF" w:rsidRPr="001675BF" w:rsidRDefault="001675BF" w:rsidP="00EB6C26">
      <w:pPr>
        <w:pStyle w:val="A2"/>
        <w:numPr>
          <w:ilvl w:val="0"/>
          <w:numId w:val="0"/>
        </w:numPr>
        <w:shd w:val="clear" w:color="auto" w:fill="D9FFD9"/>
        <w:jc w:val="center"/>
        <w:rPr>
          <w:b w:val="0"/>
          <w:i/>
          <w:iCs/>
          <w:sz w:val="20"/>
        </w:rPr>
      </w:pPr>
      <w:r w:rsidRPr="001675BF">
        <w:rPr>
          <w:b w:val="0"/>
          <w:i/>
          <w:iCs/>
          <w:sz w:val="20"/>
        </w:rPr>
        <w:t xml:space="preserve">Source: </w:t>
      </w:r>
      <w:proofErr w:type="spellStart"/>
      <w:r w:rsidRPr="001675BF">
        <w:rPr>
          <w:b w:val="0"/>
          <w:i/>
          <w:iCs/>
          <w:sz w:val="20"/>
        </w:rPr>
        <w:t>Authours</w:t>
      </w:r>
      <w:proofErr w:type="spellEnd"/>
      <w:r w:rsidRPr="001675BF">
        <w:rPr>
          <w:b w:val="0"/>
          <w:i/>
          <w:iCs/>
          <w:sz w:val="20"/>
        </w:rPr>
        <w:t>’ construct, (2025)</w:t>
      </w:r>
    </w:p>
    <w:p w14:paraId="6B36282C" w14:textId="7404861A" w:rsidR="008A2E00" w:rsidRDefault="008A2E00" w:rsidP="00EB6C26">
      <w:pPr>
        <w:pStyle w:val="A2"/>
        <w:numPr>
          <w:ilvl w:val="0"/>
          <w:numId w:val="0"/>
        </w:numPr>
        <w:shd w:val="clear" w:color="auto" w:fill="D9FFD9"/>
        <w:jc w:val="both"/>
        <w:rPr>
          <w:b w:val="0"/>
          <w:sz w:val="20"/>
        </w:rPr>
      </w:pPr>
      <w:r>
        <w:rPr>
          <w:b w:val="0"/>
          <w:sz w:val="20"/>
        </w:rPr>
        <w:t xml:space="preserve">In table 2, 6 articles/reports touching on 6 themes, reveal a total mention 25 out of the 36 possible outcomes (approximately 70%). While only one article mentioned all 6 themes, it is </w:t>
      </w:r>
      <w:r>
        <w:rPr>
          <w:b w:val="0"/>
          <w:sz w:val="20"/>
        </w:rPr>
        <w:lastRenderedPageBreak/>
        <w:t>important to recognize that ‘Gender Public Norms’ was mentioned by all authors, underscoring its significance. Tenure Security and Land Governance</w:t>
      </w:r>
      <w:r w:rsidR="001C32EC">
        <w:rPr>
          <w:b w:val="0"/>
          <w:sz w:val="20"/>
        </w:rPr>
        <w:t xml:space="preserve"> scored 83% mention, followed by Economic Empowerment with 67%. This shows how the issues of women land dispossession are serious and should be urgently addressed.</w:t>
      </w:r>
    </w:p>
    <w:p w14:paraId="38AC21FA" w14:textId="4E5D453E" w:rsidR="007B19E3" w:rsidRDefault="008A2E00" w:rsidP="00EB6C26">
      <w:pPr>
        <w:pStyle w:val="A2"/>
        <w:numPr>
          <w:ilvl w:val="0"/>
          <w:numId w:val="0"/>
        </w:numPr>
        <w:shd w:val="clear" w:color="auto" w:fill="D9FFD9"/>
        <w:jc w:val="both"/>
        <w:rPr>
          <w:b w:val="0"/>
          <w:sz w:val="20"/>
        </w:rPr>
      </w:pPr>
      <w:r>
        <w:rPr>
          <w:b w:val="0"/>
          <w:sz w:val="20"/>
        </w:rPr>
        <w:t>T</w:t>
      </w:r>
      <w:r w:rsidR="009347AF" w:rsidRPr="009347AF">
        <w:rPr>
          <w:b w:val="0"/>
          <w:sz w:val="20"/>
        </w:rPr>
        <w:t>ogether, these works reinforce the Combined Theoretical-Conceptual Framework (CIF) by grounding its macro-structural and eco-gendered components in contemporary African scholarship. They validate the use of Feminist Political Ecology (FPE), Urban Political Ecology (UPE), as well as vulnerabilities of Intersectionality Theory (IT) and those related to the resilience of living activities (SLF and FSFJ), in analyzing how gendered dispossession unfolds across urban land-use change, food systems, and planning regimes.</w:t>
      </w:r>
    </w:p>
    <w:p w14:paraId="7B440E84" w14:textId="1744208A" w:rsidR="00D17351" w:rsidRPr="00B175FD" w:rsidRDefault="00D17351" w:rsidP="00D17351">
      <w:pPr>
        <w:pStyle w:val="A1"/>
      </w:pPr>
      <w:r w:rsidRPr="00B175FD">
        <w:t>METHODOLOGY</w:t>
      </w:r>
    </w:p>
    <w:p w14:paraId="356B54E2" w14:textId="741B3732" w:rsidR="00095442" w:rsidRPr="00095442" w:rsidRDefault="00095442" w:rsidP="007F7A5F">
      <w:pPr>
        <w:pStyle w:val="A2"/>
        <w:numPr>
          <w:ilvl w:val="0"/>
          <w:numId w:val="0"/>
        </w:numPr>
        <w:jc w:val="both"/>
        <w:rPr>
          <w:b w:val="0"/>
          <w:sz w:val="20"/>
        </w:rPr>
      </w:pPr>
      <w:r w:rsidRPr="00095442">
        <w:rPr>
          <w:b w:val="0"/>
          <w:sz w:val="20"/>
        </w:rPr>
        <w:t xml:space="preserve">This systematic review adheres to the guidelines of the Preferred Reporting Items for Systematic Reviews and Meta-Analyses (PRISMA) 2020 as shown in Figure </w:t>
      </w:r>
      <w:r w:rsidR="001C32EC">
        <w:rPr>
          <w:b w:val="0"/>
          <w:sz w:val="20"/>
        </w:rPr>
        <w:t>3</w:t>
      </w:r>
      <w:r w:rsidRPr="00095442">
        <w:rPr>
          <w:b w:val="0"/>
          <w:sz w:val="20"/>
        </w:rPr>
        <w:t xml:space="preserve"> below. This framework is aimed at enhancing the transparency and replicability of the review as per the requirements described in Page et al. (2021). This review uses a qualitative approach to synthesizing the results. The review encompasses both peer-reviewed as well as the gray literature published between January 2000 and </w:t>
      </w:r>
      <w:r w:rsidR="00C635AA">
        <w:rPr>
          <w:b w:val="0"/>
          <w:sz w:val="20"/>
        </w:rPr>
        <w:t xml:space="preserve">December </w:t>
      </w:r>
      <w:r w:rsidRPr="00095442">
        <w:rPr>
          <w:b w:val="0"/>
          <w:sz w:val="20"/>
        </w:rPr>
        <w:t>2024.</w:t>
      </w:r>
      <w:r w:rsidR="00F1711A">
        <w:rPr>
          <w:b w:val="0"/>
          <w:sz w:val="20"/>
        </w:rPr>
        <w:t xml:space="preserve"> </w:t>
      </w:r>
      <w:r w:rsidRPr="00095442">
        <w:rPr>
          <w:b w:val="0"/>
          <w:sz w:val="20"/>
        </w:rPr>
        <w:t xml:space="preserve">An extensive search </w:t>
      </w:r>
      <w:r w:rsidR="00393612">
        <w:rPr>
          <w:b w:val="0"/>
          <w:sz w:val="20"/>
        </w:rPr>
        <w:t>w</w:t>
      </w:r>
      <w:r w:rsidRPr="00095442">
        <w:rPr>
          <w:b w:val="0"/>
          <w:sz w:val="20"/>
        </w:rPr>
        <w:t xml:space="preserve">as carried out using the following academic and gray literature databases: Google Scholar, Scopus, Web of Science, IFPRI and FAO databases. </w:t>
      </w:r>
      <w:r w:rsidR="00393612" w:rsidRPr="00F1711A">
        <w:rPr>
          <w:b w:val="0"/>
          <w:sz w:val="20"/>
          <w:highlight w:val="green"/>
        </w:rPr>
        <w:t>Th</w:t>
      </w:r>
      <w:r w:rsidR="00123259" w:rsidRPr="00F1711A">
        <w:rPr>
          <w:b w:val="0"/>
          <w:sz w:val="20"/>
          <w:highlight w:val="green"/>
        </w:rPr>
        <w:t xml:space="preserve">e search </w:t>
      </w:r>
      <w:r w:rsidR="00393612" w:rsidRPr="00F1711A">
        <w:rPr>
          <w:b w:val="0"/>
          <w:sz w:val="20"/>
          <w:highlight w:val="green"/>
        </w:rPr>
        <w:t>did not exclusively include AJOL databases</w:t>
      </w:r>
      <w:r w:rsidR="00A43EF1" w:rsidRPr="00F1711A">
        <w:rPr>
          <w:b w:val="0"/>
          <w:sz w:val="20"/>
          <w:highlight w:val="green"/>
        </w:rPr>
        <w:t>. T</w:t>
      </w:r>
      <w:r w:rsidR="00123259" w:rsidRPr="00F1711A">
        <w:rPr>
          <w:b w:val="0"/>
          <w:sz w:val="20"/>
          <w:highlight w:val="green"/>
        </w:rPr>
        <w:t>hey overlapped with</w:t>
      </w:r>
      <w:r w:rsidR="00393612" w:rsidRPr="00F1711A">
        <w:rPr>
          <w:b w:val="0"/>
          <w:sz w:val="20"/>
          <w:highlight w:val="green"/>
        </w:rPr>
        <w:t xml:space="preserve"> those already stated</w:t>
      </w:r>
      <w:r w:rsidR="00123259" w:rsidRPr="00F1711A">
        <w:rPr>
          <w:b w:val="0"/>
          <w:sz w:val="20"/>
          <w:highlight w:val="green"/>
        </w:rPr>
        <w:t xml:space="preserve">. </w:t>
      </w:r>
      <w:r w:rsidR="00A43EF1" w:rsidRPr="00F1711A">
        <w:rPr>
          <w:b w:val="0"/>
          <w:sz w:val="20"/>
          <w:highlight w:val="green"/>
        </w:rPr>
        <w:t>K</w:t>
      </w:r>
      <w:r w:rsidRPr="00F1711A">
        <w:rPr>
          <w:b w:val="0"/>
          <w:sz w:val="20"/>
          <w:highlight w:val="green"/>
        </w:rPr>
        <w:t xml:space="preserve">eywords </w:t>
      </w:r>
      <w:r w:rsidR="00A43EF1" w:rsidRPr="00F1711A">
        <w:rPr>
          <w:b w:val="0"/>
          <w:sz w:val="20"/>
          <w:highlight w:val="green"/>
        </w:rPr>
        <w:t>for the search string</w:t>
      </w:r>
      <w:r w:rsidRPr="00F1711A">
        <w:rPr>
          <w:b w:val="0"/>
          <w:sz w:val="20"/>
          <w:highlight w:val="green"/>
        </w:rPr>
        <w:t xml:space="preserve"> were: </w:t>
      </w:r>
      <w:r w:rsidR="00A43EF1" w:rsidRPr="00F1711A">
        <w:rPr>
          <w:b w:val="0"/>
          <w:sz w:val="20"/>
          <w:highlight w:val="green"/>
        </w:rPr>
        <w:t>“land use change” AND “female-headed households” AND “food insecurity” AND “SSA”</w:t>
      </w:r>
      <w:r w:rsidR="00EF3E73" w:rsidRPr="00F1711A">
        <w:rPr>
          <w:b w:val="0"/>
          <w:sz w:val="20"/>
          <w:highlight w:val="green"/>
        </w:rPr>
        <w:t>.</w:t>
      </w:r>
    </w:p>
    <w:p w14:paraId="72163F72" w14:textId="47AC15E8" w:rsidR="00095442" w:rsidRDefault="00095442" w:rsidP="00095442">
      <w:pPr>
        <w:pStyle w:val="A2"/>
        <w:numPr>
          <w:ilvl w:val="0"/>
          <w:numId w:val="0"/>
        </w:numPr>
        <w:jc w:val="both"/>
        <w:rPr>
          <w:b w:val="0"/>
          <w:sz w:val="20"/>
        </w:rPr>
      </w:pPr>
      <w:r w:rsidRPr="00095442">
        <w:rPr>
          <w:b w:val="0"/>
          <w:sz w:val="20"/>
        </w:rPr>
        <w:t xml:space="preserve">The inclusion criteria included the following: empirical or theoretical studies published between 2000 and 2024; peer-reviewed journal articles, book chapters, policy documents, and theses; studies conducted in the sub-Saharan African countries; and the article must refer to at least two of the following: land-use change, gender issues, or food security. </w:t>
      </w:r>
      <w:r w:rsidR="00B74A75" w:rsidRPr="00B74A75">
        <w:rPr>
          <w:b w:val="0"/>
          <w:sz w:val="20"/>
        </w:rPr>
        <w:t>Studies were excluded if they fell outside the geographic scope defined for this review or focused exclusively on rural agricultural interventions.</w:t>
      </w:r>
      <w:r w:rsidR="00F1711A">
        <w:rPr>
          <w:b w:val="0"/>
          <w:sz w:val="20"/>
        </w:rPr>
        <w:t xml:space="preserve"> </w:t>
      </w:r>
      <w:r w:rsidRPr="00095442">
        <w:rPr>
          <w:b w:val="0"/>
          <w:sz w:val="20"/>
        </w:rPr>
        <w:t xml:space="preserve">The initial search produced 372 records. After removing the duplication and applying the title/abstract screening, 102 studies were thoroughly examined. Finally, 56 studies were chosen for a thorough review. Every eligible study among the 56 studies used a specially designed 3-point quality-scored rubric stemming from the </w:t>
      </w:r>
      <w:r w:rsidRPr="00AF18EF">
        <w:rPr>
          <w:b w:val="0"/>
          <w:sz w:val="20"/>
          <w:highlight w:val="green"/>
        </w:rPr>
        <w:t>MMAT and the JBI rubric</w:t>
      </w:r>
      <w:r w:rsidRPr="00095442">
        <w:rPr>
          <w:b w:val="0"/>
          <w:sz w:val="20"/>
        </w:rPr>
        <w:t xml:space="preserve"> shown below in Table </w:t>
      </w:r>
      <w:r w:rsidR="006E0C39">
        <w:rPr>
          <w:b w:val="0"/>
          <w:sz w:val="20"/>
        </w:rPr>
        <w:t>3</w:t>
      </w:r>
      <w:r w:rsidRPr="00095442">
        <w:rPr>
          <w:b w:val="0"/>
          <w:sz w:val="20"/>
        </w:rPr>
        <w:t>.</w:t>
      </w:r>
    </w:p>
    <w:p w14:paraId="4A6C4670" w14:textId="1706784E" w:rsidR="00D17351" w:rsidRPr="00357A90" w:rsidRDefault="00220A5A" w:rsidP="00D17351">
      <w:pPr>
        <w:spacing w:before="100" w:beforeAutospacing="1" w:after="100" w:afterAutospacing="1" w:line="360" w:lineRule="auto"/>
        <w:outlineLvl w:val="3"/>
        <w:rPr>
          <w:rFonts w:cs="Arial"/>
          <w:b/>
          <w:bCs/>
        </w:rPr>
      </w:pPr>
      <w:r w:rsidRPr="00357A90">
        <w:rPr>
          <w:rFonts w:cs="Arial"/>
          <w:b/>
          <w:bCs/>
        </w:rPr>
        <w:t xml:space="preserve">Table </w:t>
      </w:r>
      <w:r w:rsidR="00091284">
        <w:rPr>
          <w:rFonts w:cs="Arial"/>
          <w:b/>
          <w:bCs/>
        </w:rPr>
        <w:t>3</w:t>
      </w:r>
      <w:r w:rsidRPr="00357A90">
        <w:rPr>
          <w:rFonts w:cs="Arial"/>
          <w:b/>
          <w:bCs/>
        </w:rPr>
        <w:t>: Quality Appraisal</w:t>
      </w:r>
    </w:p>
    <w:tbl>
      <w:tblPr>
        <w:tblStyle w:val="TableGrid"/>
        <w:tblW w:w="7088" w:type="dxa"/>
        <w:jc w:val="center"/>
        <w:tblLayout w:type="fixed"/>
        <w:tblLook w:val="04A0" w:firstRow="1" w:lastRow="0" w:firstColumn="1" w:lastColumn="0" w:noHBand="0" w:noVBand="1"/>
      </w:tblPr>
      <w:tblGrid>
        <w:gridCol w:w="6254"/>
        <w:gridCol w:w="834"/>
      </w:tblGrid>
      <w:tr w:rsidR="00220A5A" w:rsidRPr="00AE3C63" w14:paraId="20759BDF" w14:textId="77777777" w:rsidTr="001675BF">
        <w:trPr>
          <w:trHeight w:hRule="exact" w:val="397"/>
          <w:jc w:val="center"/>
        </w:trPr>
        <w:tc>
          <w:tcPr>
            <w:tcW w:w="6254" w:type="dxa"/>
            <w:vAlign w:val="center"/>
            <w:hideMark/>
          </w:tcPr>
          <w:p w14:paraId="64F62CC5" w14:textId="77777777" w:rsidR="00220A5A" w:rsidRPr="0049622C" w:rsidRDefault="00220A5A" w:rsidP="0049622C">
            <w:pPr>
              <w:pStyle w:val="A1"/>
              <w:numPr>
                <w:ilvl w:val="0"/>
                <w:numId w:val="0"/>
              </w:numPr>
              <w:spacing w:before="0" w:after="0"/>
              <w:jc w:val="center"/>
              <w:rPr>
                <w:rFonts w:eastAsia="Times New Roman"/>
                <w:bCs/>
                <w:caps w:val="0"/>
                <w:sz w:val="20"/>
                <w:szCs w:val="20"/>
              </w:rPr>
            </w:pPr>
            <w:r w:rsidRPr="0049622C">
              <w:rPr>
                <w:rFonts w:eastAsia="Times New Roman"/>
                <w:bCs/>
                <w:caps w:val="0"/>
                <w:sz w:val="20"/>
                <w:szCs w:val="20"/>
              </w:rPr>
              <w:t>Criterion</w:t>
            </w:r>
          </w:p>
        </w:tc>
        <w:tc>
          <w:tcPr>
            <w:tcW w:w="834" w:type="dxa"/>
            <w:vAlign w:val="center"/>
            <w:hideMark/>
          </w:tcPr>
          <w:p w14:paraId="53207D59" w14:textId="77777777" w:rsidR="00220A5A" w:rsidRPr="0049622C" w:rsidRDefault="00220A5A" w:rsidP="00220A5A">
            <w:pPr>
              <w:pStyle w:val="A1"/>
              <w:numPr>
                <w:ilvl w:val="0"/>
                <w:numId w:val="0"/>
              </w:numPr>
              <w:spacing w:before="0" w:after="0"/>
              <w:jc w:val="center"/>
              <w:rPr>
                <w:rFonts w:eastAsia="Times New Roman"/>
                <w:bCs/>
                <w:caps w:val="0"/>
                <w:sz w:val="20"/>
                <w:szCs w:val="20"/>
              </w:rPr>
            </w:pPr>
            <w:r w:rsidRPr="0049622C">
              <w:rPr>
                <w:rFonts w:eastAsia="Times New Roman"/>
                <w:bCs/>
                <w:caps w:val="0"/>
                <w:sz w:val="20"/>
                <w:szCs w:val="20"/>
              </w:rPr>
              <w:t>Score</w:t>
            </w:r>
          </w:p>
        </w:tc>
      </w:tr>
      <w:tr w:rsidR="00220A5A" w:rsidRPr="00AE3C63" w14:paraId="1E22E0C3" w14:textId="77777777" w:rsidTr="001675BF">
        <w:trPr>
          <w:trHeight w:hRule="exact" w:val="397"/>
          <w:jc w:val="center"/>
        </w:trPr>
        <w:tc>
          <w:tcPr>
            <w:tcW w:w="6254" w:type="dxa"/>
            <w:vAlign w:val="center"/>
            <w:hideMark/>
          </w:tcPr>
          <w:p w14:paraId="5AE97A00" w14:textId="77777777" w:rsidR="00220A5A" w:rsidRPr="00AE3C63" w:rsidRDefault="00220A5A" w:rsidP="00220A5A">
            <w:pPr>
              <w:pStyle w:val="A1"/>
              <w:numPr>
                <w:ilvl w:val="0"/>
                <w:numId w:val="0"/>
              </w:numPr>
              <w:spacing w:before="0" w:after="0"/>
              <w:rPr>
                <w:rFonts w:eastAsia="Times New Roman"/>
                <w:b w:val="0"/>
                <w:caps w:val="0"/>
                <w:sz w:val="20"/>
                <w:szCs w:val="20"/>
              </w:rPr>
            </w:pPr>
            <w:r w:rsidRPr="00AE3C63">
              <w:rPr>
                <w:rFonts w:eastAsia="Times New Roman"/>
                <w:b w:val="0"/>
                <w:caps w:val="0"/>
                <w:sz w:val="20"/>
                <w:szCs w:val="20"/>
              </w:rPr>
              <w:t>Clearly defined objectives and relevance to the research question</w:t>
            </w:r>
          </w:p>
        </w:tc>
        <w:tc>
          <w:tcPr>
            <w:tcW w:w="834" w:type="dxa"/>
            <w:vAlign w:val="center"/>
            <w:hideMark/>
          </w:tcPr>
          <w:p w14:paraId="49FA307C" w14:textId="77777777" w:rsidR="00220A5A" w:rsidRPr="00AE3C63" w:rsidRDefault="00220A5A" w:rsidP="00220A5A">
            <w:pPr>
              <w:pStyle w:val="A1"/>
              <w:numPr>
                <w:ilvl w:val="0"/>
                <w:numId w:val="0"/>
              </w:numPr>
              <w:spacing w:before="0" w:after="0"/>
              <w:jc w:val="center"/>
              <w:rPr>
                <w:rFonts w:eastAsia="Times New Roman"/>
                <w:b w:val="0"/>
                <w:caps w:val="0"/>
                <w:sz w:val="20"/>
                <w:szCs w:val="20"/>
              </w:rPr>
            </w:pPr>
            <w:r w:rsidRPr="00AE3C63">
              <w:rPr>
                <w:rFonts w:eastAsia="Times New Roman"/>
                <w:b w:val="0"/>
                <w:caps w:val="0"/>
                <w:sz w:val="20"/>
                <w:szCs w:val="20"/>
              </w:rPr>
              <w:t>1</w:t>
            </w:r>
          </w:p>
        </w:tc>
      </w:tr>
      <w:tr w:rsidR="00220A5A" w:rsidRPr="00AE3C63" w14:paraId="5689C31A" w14:textId="77777777" w:rsidTr="001675BF">
        <w:trPr>
          <w:trHeight w:hRule="exact" w:val="397"/>
          <w:jc w:val="center"/>
        </w:trPr>
        <w:tc>
          <w:tcPr>
            <w:tcW w:w="6254" w:type="dxa"/>
            <w:vAlign w:val="center"/>
            <w:hideMark/>
          </w:tcPr>
          <w:p w14:paraId="3B1558E7" w14:textId="77777777" w:rsidR="00220A5A" w:rsidRPr="00AE3C63" w:rsidRDefault="00220A5A" w:rsidP="00220A5A">
            <w:pPr>
              <w:pStyle w:val="A1"/>
              <w:numPr>
                <w:ilvl w:val="0"/>
                <w:numId w:val="0"/>
              </w:numPr>
              <w:spacing w:before="0" w:after="0"/>
              <w:rPr>
                <w:rFonts w:eastAsia="Times New Roman"/>
                <w:b w:val="0"/>
                <w:caps w:val="0"/>
                <w:sz w:val="20"/>
                <w:szCs w:val="20"/>
              </w:rPr>
            </w:pPr>
            <w:r w:rsidRPr="00AE3C63">
              <w:rPr>
                <w:rFonts w:eastAsia="Times New Roman"/>
                <w:b w:val="0"/>
                <w:caps w:val="0"/>
                <w:sz w:val="20"/>
                <w:szCs w:val="20"/>
              </w:rPr>
              <w:t>Use of empirical or systematic methods (not anecdotal)</w:t>
            </w:r>
          </w:p>
        </w:tc>
        <w:tc>
          <w:tcPr>
            <w:tcW w:w="834" w:type="dxa"/>
            <w:vAlign w:val="center"/>
            <w:hideMark/>
          </w:tcPr>
          <w:p w14:paraId="3D007B5F" w14:textId="77777777" w:rsidR="00220A5A" w:rsidRPr="00AE3C63" w:rsidRDefault="00220A5A" w:rsidP="00220A5A">
            <w:pPr>
              <w:pStyle w:val="A1"/>
              <w:numPr>
                <w:ilvl w:val="0"/>
                <w:numId w:val="0"/>
              </w:numPr>
              <w:spacing w:before="0" w:after="0"/>
              <w:jc w:val="center"/>
              <w:rPr>
                <w:rFonts w:eastAsia="Times New Roman"/>
                <w:b w:val="0"/>
                <w:caps w:val="0"/>
                <w:sz w:val="20"/>
                <w:szCs w:val="20"/>
              </w:rPr>
            </w:pPr>
            <w:r w:rsidRPr="00AE3C63">
              <w:rPr>
                <w:rFonts w:eastAsia="Times New Roman"/>
                <w:b w:val="0"/>
                <w:caps w:val="0"/>
                <w:sz w:val="20"/>
                <w:szCs w:val="20"/>
              </w:rPr>
              <w:t>1</w:t>
            </w:r>
          </w:p>
        </w:tc>
      </w:tr>
      <w:tr w:rsidR="00220A5A" w:rsidRPr="00AE3C63" w14:paraId="2749005A" w14:textId="77777777" w:rsidTr="001675BF">
        <w:trPr>
          <w:trHeight w:hRule="exact" w:val="397"/>
          <w:jc w:val="center"/>
        </w:trPr>
        <w:tc>
          <w:tcPr>
            <w:tcW w:w="6254" w:type="dxa"/>
            <w:vAlign w:val="center"/>
            <w:hideMark/>
          </w:tcPr>
          <w:p w14:paraId="7E0EA33E" w14:textId="77777777" w:rsidR="00220A5A" w:rsidRPr="00AE3C63" w:rsidRDefault="00220A5A" w:rsidP="00220A5A">
            <w:pPr>
              <w:pStyle w:val="A1"/>
              <w:numPr>
                <w:ilvl w:val="0"/>
                <w:numId w:val="0"/>
              </w:numPr>
              <w:spacing w:before="0" w:after="0"/>
              <w:rPr>
                <w:rFonts w:eastAsia="Times New Roman"/>
                <w:b w:val="0"/>
                <w:caps w:val="0"/>
                <w:sz w:val="20"/>
                <w:szCs w:val="20"/>
              </w:rPr>
            </w:pPr>
            <w:r w:rsidRPr="00AE3C63">
              <w:rPr>
                <w:rFonts w:eastAsia="Times New Roman"/>
                <w:b w:val="0"/>
                <w:caps w:val="0"/>
                <w:sz w:val="20"/>
                <w:szCs w:val="20"/>
              </w:rPr>
              <w:t>Transparent presentation of findings and thematic clarity</w:t>
            </w:r>
          </w:p>
        </w:tc>
        <w:tc>
          <w:tcPr>
            <w:tcW w:w="834" w:type="dxa"/>
            <w:vAlign w:val="center"/>
            <w:hideMark/>
          </w:tcPr>
          <w:p w14:paraId="129989D2" w14:textId="77777777" w:rsidR="00220A5A" w:rsidRPr="00AE3C63" w:rsidRDefault="00220A5A" w:rsidP="00220A5A">
            <w:pPr>
              <w:pStyle w:val="A1"/>
              <w:numPr>
                <w:ilvl w:val="0"/>
                <w:numId w:val="0"/>
              </w:numPr>
              <w:spacing w:before="0" w:after="0"/>
              <w:jc w:val="center"/>
              <w:rPr>
                <w:rFonts w:eastAsia="Times New Roman"/>
                <w:b w:val="0"/>
                <w:caps w:val="0"/>
                <w:sz w:val="20"/>
                <w:szCs w:val="20"/>
              </w:rPr>
            </w:pPr>
            <w:r w:rsidRPr="00AE3C63">
              <w:rPr>
                <w:rFonts w:eastAsia="Times New Roman"/>
                <w:b w:val="0"/>
                <w:caps w:val="0"/>
                <w:sz w:val="20"/>
                <w:szCs w:val="20"/>
              </w:rPr>
              <w:t>1</w:t>
            </w:r>
          </w:p>
        </w:tc>
      </w:tr>
    </w:tbl>
    <w:p w14:paraId="3F632F13" w14:textId="77777777" w:rsidR="0073541D" w:rsidRPr="00E82D6E" w:rsidRDefault="0073541D" w:rsidP="0073541D">
      <w:pPr>
        <w:spacing w:before="80"/>
        <w:jc w:val="center"/>
        <w:rPr>
          <w:rFonts w:ascii="Times New Roman" w:hAnsi="Times New Roman"/>
          <w:i/>
          <w:iCs/>
          <w:sz w:val="24"/>
          <w:szCs w:val="24"/>
        </w:rPr>
      </w:pPr>
      <w:r w:rsidRPr="00E82D6E">
        <w:rPr>
          <w:rFonts w:ascii="Times New Roman" w:hAnsi="Times New Roman"/>
          <w:i/>
          <w:iCs/>
          <w:sz w:val="24"/>
          <w:szCs w:val="24"/>
        </w:rPr>
        <w:t>Source: Authors’ Construct</w:t>
      </w:r>
      <w:r>
        <w:rPr>
          <w:rFonts w:ascii="Times New Roman" w:hAnsi="Times New Roman"/>
          <w:i/>
          <w:iCs/>
          <w:sz w:val="24"/>
          <w:szCs w:val="24"/>
        </w:rPr>
        <w:t xml:space="preserve"> (2025)</w:t>
      </w:r>
    </w:p>
    <w:p w14:paraId="76630C6E" w14:textId="77777777" w:rsidR="001675BF" w:rsidRDefault="001675BF" w:rsidP="0073541D">
      <w:pPr>
        <w:rPr>
          <w:lang/>
        </w:rPr>
      </w:pPr>
    </w:p>
    <w:p w14:paraId="03727BFB" w14:textId="770BEBE2" w:rsidR="001675BF" w:rsidRDefault="001675BF" w:rsidP="00B74A75">
      <w:pPr>
        <w:shd w:val="clear" w:color="auto" w:fill="D9FFD9"/>
      </w:pPr>
      <w:r w:rsidRPr="0073541D">
        <w:rPr>
          <w:lang/>
        </w:rPr>
        <w:t xml:space="preserve">Independently, two reviewers with high understanding of the subject area, and </w:t>
      </w:r>
      <w:r w:rsidR="00B74A75">
        <w:rPr>
          <w:lang/>
        </w:rPr>
        <w:t xml:space="preserve">with </w:t>
      </w:r>
      <w:r w:rsidRPr="0073541D">
        <w:rPr>
          <w:lang/>
        </w:rPr>
        <w:t xml:space="preserve">methodical competence scored each of the 56 studies. </w:t>
      </w:r>
      <w:r w:rsidRPr="0073541D">
        <w:rPr>
          <w:b/>
          <w:bCs/>
          <w:lang/>
        </w:rPr>
        <w:t>Inter-rater reliability</w:t>
      </w:r>
      <w:r w:rsidRPr="0073541D">
        <w:rPr>
          <w:lang/>
        </w:rPr>
        <w:t xml:space="preserve"> was calculated using </w:t>
      </w:r>
      <w:r w:rsidRPr="0073541D">
        <w:rPr>
          <w:b/>
          <w:bCs/>
          <w:lang/>
        </w:rPr>
        <w:t xml:space="preserve">Cohen’s kappa. </w:t>
      </w:r>
      <w:r w:rsidRPr="00B74A75">
        <w:t xml:space="preserve">The obtained </w:t>
      </w:r>
      <w:r w:rsidRPr="0073541D">
        <w:rPr>
          <w:rFonts w:ascii="MV Boli" w:hAnsi="MV Boli" w:cs="MV Boli"/>
          <w:b/>
          <w:bCs/>
          <w:lang/>
        </w:rPr>
        <w:t>k</w:t>
      </w:r>
      <w:r w:rsidRPr="0073541D">
        <w:rPr>
          <w:rFonts w:ascii="Times New Roman" w:hAnsi="Times New Roman"/>
          <w:lang/>
        </w:rPr>
        <w:t xml:space="preserve"> </w:t>
      </w:r>
      <w:r w:rsidRPr="00B74A75">
        <w:t>value</w:t>
      </w:r>
      <w:r w:rsidRPr="0073541D">
        <w:rPr>
          <w:lang/>
        </w:rPr>
        <w:t xml:space="preserve"> was </w:t>
      </w:r>
      <w:r w:rsidRPr="0073541D">
        <w:rPr>
          <w:b/>
          <w:bCs/>
          <w:lang/>
        </w:rPr>
        <w:t>0.80)</w:t>
      </w:r>
      <w:r w:rsidRPr="0073541D">
        <w:rPr>
          <w:lang/>
        </w:rPr>
        <w:t xml:space="preserve">, indicating a high acceptance response for ‘substantial agreement’ category. Studies scoring </w:t>
      </w:r>
      <w:r w:rsidRPr="0073541D">
        <w:rPr>
          <w:b/>
          <w:bCs/>
          <w:lang/>
        </w:rPr>
        <w:t>2 or more</w:t>
      </w:r>
      <w:r w:rsidRPr="0073541D">
        <w:rPr>
          <w:lang/>
        </w:rPr>
        <w:t xml:space="preserve"> were included in the final </w:t>
      </w:r>
      <w:r w:rsidRPr="0073541D">
        <w:rPr>
          <w:lang/>
        </w:rPr>
        <w:lastRenderedPageBreak/>
        <w:t>synthesis (</w:t>
      </w:r>
      <w:r w:rsidRPr="0073541D">
        <w:rPr>
          <w:b/>
          <w:bCs/>
          <w:lang/>
        </w:rPr>
        <w:t xml:space="preserve">n = </w:t>
      </w:r>
      <w:r w:rsidRPr="0073541D">
        <w:rPr>
          <w:lang/>
        </w:rPr>
        <w:t xml:space="preserve">44); </w:t>
      </w:r>
      <w:r w:rsidRPr="0073541D">
        <w:t xml:space="preserve">The 12 studies were excluded due to the lack of </w:t>
      </w:r>
      <w:proofErr w:type="spellStart"/>
      <w:r w:rsidRPr="0073541D">
        <w:t>rigour</w:t>
      </w:r>
      <w:proofErr w:type="spellEnd"/>
      <w:r w:rsidRPr="0073541D">
        <w:t xml:space="preserve"> in the method used or because the studies were irrelevant to the topic of the gender-land-food nexus.</w:t>
      </w:r>
    </w:p>
    <w:p w14:paraId="4B01E001" w14:textId="77777777" w:rsidR="00EF3E73" w:rsidRDefault="00EF3E73" w:rsidP="0073541D"/>
    <w:p w14:paraId="7162F694" w14:textId="5BB92675" w:rsidR="00D17351" w:rsidRPr="00F159E2" w:rsidRDefault="00D17351" w:rsidP="00D17351">
      <w:pPr>
        <w:spacing w:before="100" w:beforeAutospacing="1" w:after="100" w:afterAutospacing="1" w:line="360" w:lineRule="auto"/>
        <w:rPr>
          <w:rFonts w:cs="Arial"/>
          <w:b/>
          <w:bCs/>
        </w:rPr>
      </w:pPr>
      <w:r w:rsidRPr="00F159E2">
        <w:rPr>
          <w:rFonts w:cs="Arial"/>
          <w:b/>
          <w:bCs/>
        </w:rPr>
        <w:t xml:space="preserve">Figure </w:t>
      </w:r>
      <w:r w:rsidR="009330E1">
        <w:rPr>
          <w:rFonts w:cs="Arial"/>
          <w:b/>
          <w:bCs/>
        </w:rPr>
        <w:t>3</w:t>
      </w:r>
      <w:r w:rsidRPr="00F159E2">
        <w:rPr>
          <w:rFonts w:cs="Arial"/>
          <w:b/>
          <w:bCs/>
        </w:rPr>
        <w:t>: PRISMA Flowchart</w:t>
      </w:r>
      <w:r w:rsidR="007B4463">
        <w:rPr>
          <w:rFonts w:cs="Arial"/>
          <w:b/>
          <w:bCs/>
        </w:rPr>
        <w:t xml:space="preserve"> for the review</w:t>
      </w:r>
      <w:r w:rsidR="007A2F4A">
        <w:rPr>
          <w:rFonts w:cs="Arial"/>
          <w:b/>
          <w:bCs/>
        </w:rPr>
        <w:t>.</w:t>
      </w:r>
    </w:p>
    <w:p w14:paraId="7C9A77BC" w14:textId="77777777" w:rsidR="00D17351" w:rsidRDefault="00D17351" w:rsidP="0073541D">
      <w:pPr>
        <w:jc w:val="center"/>
        <w:outlineLvl w:val="3"/>
        <w:rPr>
          <w:rFonts w:ascii="Times New Roman" w:hAnsi="Times New Roman"/>
          <w:b/>
          <w:bCs/>
          <w:sz w:val="24"/>
          <w:szCs w:val="24"/>
        </w:rPr>
      </w:pPr>
      <w:r w:rsidRPr="002325FD">
        <w:rPr>
          <w:rFonts w:ascii="Times New Roman" w:hAnsi="Times New Roman"/>
          <w:b/>
          <w:bCs/>
          <w:noProof/>
          <w:sz w:val="24"/>
          <w:szCs w:val="24"/>
        </w:rPr>
        <w:drawing>
          <wp:inline distT="0" distB="0" distL="0" distR="0" wp14:anchorId="351CC64F" wp14:editId="04737F3D">
            <wp:extent cx="5563380" cy="6463863"/>
            <wp:effectExtent l="0" t="0" r="0" b="4445"/>
            <wp:docPr id="153973728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63380" cy="6463863"/>
                    </a:xfrm>
                    <a:prstGeom prst="rect">
                      <a:avLst/>
                    </a:prstGeom>
                    <a:noFill/>
                    <a:ln>
                      <a:noFill/>
                    </a:ln>
                  </pic:spPr>
                </pic:pic>
              </a:graphicData>
            </a:graphic>
          </wp:inline>
        </w:drawing>
      </w:r>
    </w:p>
    <w:p w14:paraId="42DC28F2" w14:textId="1C1B5DA6" w:rsidR="00D17351" w:rsidRPr="00E82D6E" w:rsidRDefault="00D17351" w:rsidP="00D17351">
      <w:pPr>
        <w:spacing w:before="80"/>
        <w:jc w:val="center"/>
        <w:rPr>
          <w:rFonts w:ascii="Times New Roman" w:hAnsi="Times New Roman"/>
          <w:i/>
          <w:iCs/>
          <w:sz w:val="24"/>
          <w:szCs w:val="24"/>
        </w:rPr>
      </w:pPr>
      <w:r w:rsidRPr="00E82D6E">
        <w:rPr>
          <w:rFonts w:ascii="Times New Roman" w:hAnsi="Times New Roman"/>
          <w:i/>
          <w:iCs/>
          <w:sz w:val="24"/>
          <w:szCs w:val="24"/>
        </w:rPr>
        <w:t>Source: Authors’ Construct</w:t>
      </w:r>
      <w:r w:rsidR="0059467D">
        <w:rPr>
          <w:rFonts w:ascii="Times New Roman" w:hAnsi="Times New Roman"/>
          <w:i/>
          <w:iCs/>
          <w:sz w:val="24"/>
          <w:szCs w:val="24"/>
        </w:rPr>
        <w:t xml:space="preserve"> (2025)</w:t>
      </w:r>
    </w:p>
    <w:p w14:paraId="30BA9DD5" w14:textId="38417CCB" w:rsidR="003C7FAE" w:rsidRDefault="003C7FAE" w:rsidP="0073541D">
      <w:pPr>
        <w:rPr>
          <w:lang/>
        </w:rPr>
        <w:sectPr w:rsidR="003C7FAE" w:rsidSect="003C7FAE">
          <w:type w:val="continuous"/>
          <w:pgSz w:w="12240" w:h="15840"/>
          <w:pgMar w:top="1440" w:right="2019" w:bottom="2019" w:left="2019" w:header="720" w:footer="1123" w:gutter="0"/>
          <w:lnNumType w:countBy="1" w:restart="continuous"/>
          <w:cols w:space="720"/>
          <w:docGrid w:linePitch="272"/>
        </w:sectPr>
      </w:pPr>
    </w:p>
    <w:p w14:paraId="4D16471A" w14:textId="20815F49" w:rsidR="00D86012" w:rsidRDefault="00D86012" w:rsidP="00D86012">
      <w:pPr>
        <w:spacing w:line="360" w:lineRule="auto"/>
      </w:pPr>
      <w:r>
        <w:rPr>
          <w:b/>
        </w:rPr>
        <w:lastRenderedPageBreak/>
        <w:t xml:space="preserve">Table </w:t>
      </w:r>
      <w:r w:rsidR="006E0C39">
        <w:rPr>
          <w:b/>
        </w:rPr>
        <w:t xml:space="preserve">4: </w:t>
      </w:r>
      <w:r>
        <w:rPr>
          <w:b/>
        </w:rPr>
        <w:t>S</w:t>
      </w:r>
      <w:r w:rsidRPr="00D86012">
        <w:rPr>
          <w:b/>
        </w:rPr>
        <w:t>ummary of included studies by country, method and focus</w:t>
      </w:r>
      <w:r>
        <w:rPr>
          <w:b/>
        </w:rPr>
        <w:t>.</w:t>
      </w:r>
    </w:p>
    <w:tbl>
      <w:tblPr>
        <w:tblStyle w:val="TableGrid"/>
        <w:tblW w:w="11907"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1"/>
        <w:gridCol w:w="2159"/>
        <w:gridCol w:w="2856"/>
        <w:gridCol w:w="1710"/>
        <w:gridCol w:w="4561"/>
      </w:tblGrid>
      <w:tr w:rsidR="003C7FAE" w:rsidRPr="003C6720" w14:paraId="22D80C30" w14:textId="77777777" w:rsidTr="00D86012">
        <w:trPr>
          <w:trHeight w:hRule="exact" w:val="567"/>
        </w:trPr>
        <w:tc>
          <w:tcPr>
            <w:tcW w:w="621" w:type="dxa"/>
            <w:tcBorders>
              <w:top w:val="single" w:sz="12" w:space="0" w:color="auto"/>
              <w:left w:val="nil"/>
              <w:bottom w:val="single" w:sz="12" w:space="0" w:color="auto"/>
              <w:right w:val="nil"/>
            </w:tcBorders>
            <w:shd w:val="clear" w:color="auto" w:fill="B6FF9F"/>
            <w:vAlign w:val="center"/>
          </w:tcPr>
          <w:p w14:paraId="3A179789" w14:textId="77777777" w:rsidR="003C7FAE" w:rsidRPr="00D86012" w:rsidRDefault="003C7FAE" w:rsidP="00434380">
            <w:pPr>
              <w:jc w:val="center"/>
              <w:rPr>
                <w:rFonts w:cs="Arial"/>
                <w:b/>
                <w:bCs/>
                <w:i/>
                <w:iCs/>
                <w:sz w:val="24"/>
                <w:szCs w:val="24"/>
              </w:rPr>
            </w:pPr>
            <w:r w:rsidRPr="00D86012">
              <w:rPr>
                <w:rFonts w:cs="Arial"/>
                <w:b/>
                <w:bCs/>
                <w:i/>
                <w:iCs/>
                <w:sz w:val="24"/>
                <w:szCs w:val="24"/>
              </w:rPr>
              <w:t>SN</w:t>
            </w:r>
          </w:p>
        </w:tc>
        <w:tc>
          <w:tcPr>
            <w:tcW w:w="2159" w:type="dxa"/>
            <w:tcBorders>
              <w:top w:val="single" w:sz="12" w:space="0" w:color="auto"/>
              <w:left w:val="nil"/>
              <w:bottom w:val="single" w:sz="12" w:space="0" w:color="auto"/>
              <w:right w:val="nil"/>
            </w:tcBorders>
            <w:shd w:val="clear" w:color="auto" w:fill="B6FF9F"/>
            <w:vAlign w:val="center"/>
          </w:tcPr>
          <w:p w14:paraId="361D3FAE" w14:textId="77777777" w:rsidR="003C7FAE" w:rsidRPr="00A56AA1" w:rsidRDefault="003C7FAE" w:rsidP="00434380">
            <w:pPr>
              <w:jc w:val="center"/>
              <w:rPr>
                <w:rFonts w:cs="Arial"/>
                <w:b/>
                <w:bCs/>
                <w:sz w:val="24"/>
                <w:szCs w:val="24"/>
              </w:rPr>
            </w:pPr>
            <w:r w:rsidRPr="00A56AA1">
              <w:rPr>
                <w:rFonts w:cs="Arial"/>
                <w:b/>
                <w:bCs/>
                <w:sz w:val="24"/>
                <w:szCs w:val="24"/>
              </w:rPr>
              <w:t>Article</w:t>
            </w:r>
          </w:p>
        </w:tc>
        <w:tc>
          <w:tcPr>
            <w:tcW w:w="2856" w:type="dxa"/>
            <w:tcBorders>
              <w:top w:val="single" w:sz="12" w:space="0" w:color="auto"/>
              <w:left w:val="nil"/>
              <w:bottom w:val="single" w:sz="12" w:space="0" w:color="auto"/>
              <w:right w:val="nil"/>
            </w:tcBorders>
            <w:shd w:val="clear" w:color="auto" w:fill="B6FF9F"/>
            <w:vAlign w:val="center"/>
          </w:tcPr>
          <w:p w14:paraId="1B20D90B" w14:textId="77777777" w:rsidR="003C7FAE" w:rsidRPr="00A56AA1" w:rsidRDefault="003C7FAE" w:rsidP="00434380">
            <w:pPr>
              <w:jc w:val="center"/>
              <w:rPr>
                <w:rFonts w:cs="Arial"/>
                <w:b/>
                <w:bCs/>
                <w:sz w:val="24"/>
                <w:szCs w:val="24"/>
              </w:rPr>
            </w:pPr>
            <w:r w:rsidRPr="00A56AA1">
              <w:rPr>
                <w:rFonts w:cs="Arial"/>
                <w:b/>
                <w:bCs/>
                <w:sz w:val="24"/>
                <w:szCs w:val="24"/>
              </w:rPr>
              <w:t>Country</w:t>
            </w:r>
          </w:p>
        </w:tc>
        <w:tc>
          <w:tcPr>
            <w:tcW w:w="1710" w:type="dxa"/>
            <w:tcBorders>
              <w:top w:val="single" w:sz="12" w:space="0" w:color="auto"/>
              <w:left w:val="nil"/>
              <w:bottom w:val="single" w:sz="12" w:space="0" w:color="auto"/>
              <w:right w:val="nil"/>
            </w:tcBorders>
            <w:shd w:val="clear" w:color="auto" w:fill="B6FF9F"/>
            <w:vAlign w:val="center"/>
          </w:tcPr>
          <w:p w14:paraId="563344E0" w14:textId="007591FD" w:rsidR="003C7FAE" w:rsidRPr="00A56AA1" w:rsidRDefault="003C7FAE" w:rsidP="00434380">
            <w:pPr>
              <w:jc w:val="center"/>
              <w:rPr>
                <w:rFonts w:cs="Arial"/>
                <w:b/>
                <w:bCs/>
                <w:sz w:val="24"/>
                <w:szCs w:val="24"/>
              </w:rPr>
            </w:pPr>
            <w:r w:rsidRPr="00A56AA1">
              <w:rPr>
                <w:rFonts w:cs="Arial"/>
                <w:b/>
                <w:bCs/>
                <w:sz w:val="24"/>
                <w:szCs w:val="24"/>
              </w:rPr>
              <w:t>Method</w:t>
            </w:r>
          </w:p>
        </w:tc>
        <w:tc>
          <w:tcPr>
            <w:tcW w:w="4561" w:type="dxa"/>
            <w:tcBorders>
              <w:top w:val="single" w:sz="12" w:space="0" w:color="auto"/>
              <w:left w:val="nil"/>
              <w:bottom w:val="single" w:sz="12" w:space="0" w:color="auto"/>
              <w:right w:val="nil"/>
            </w:tcBorders>
            <w:shd w:val="clear" w:color="auto" w:fill="B6FF9F"/>
            <w:vAlign w:val="center"/>
          </w:tcPr>
          <w:p w14:paraId="07E622F7" w14:textId="77777777" w:rsidR="003C7FAE" w:rsidRPr="00A56AA1" w:rsidRDefault="003C7FAE" w:rsidP="00434380">
            <w:pPr>
              <w:jc w:val="center"/>
              <w:rPr>
                <w:rFonts w:cs="Arial"/>
                <w:b/>
                <w:bCs/>
                <w:sz w:val="24"/>
                <w:szCs w:val="24"/>
              </w:rPr>
            </w:pPr>
            <w:r w:rsidRPr="00A56AA1">
              <w:rPr>
                <w:rFonts w:cs="Arial"/>
                <w:b/>
                <w:bCs/>
                <w:sz w:val="24"/>
                <w:szCs w:val="24"/>
              </w:rPr>
              <w:t>Focus</w:t>
            </w:r>
          </w:p>
        </w:tc>
      </w:tr>
      <w:tr w:rsidR="003C7FAE" w:rsidRPr="003C6720" w14:paraId="17027C27" w14:textId="77777777" w:rsidTr="00D86012">
        <w:trPr>
          <w:trHeight w:hRule="exact" w:val="454"/>
        </w:trPr>
        <w:tc>
          <w:tcPr>
            <w:tcW w:w="621" w:type="dxa"/>
            <w:tcBorders>
              <w:top w:val="single" w:sz="12" w:space="0" w:color="auto"/>
            </w:tcBorders>
            <w:shd w:val="clear" w:color="auto" w:fill="FFFFFF"/>
            <w:vAlign w:val="center"/>
          </w:tcPr>
          <w:p w14:paraId="55585897"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tcBorders>
              <w:top w:val="single" w:sz="12" w:space="0" w:color="auto"/>
            </w:tcBorders>
            <w:shd w:val="clear" w:color="auto" w:fill="FFFFFF"/>
            <w:vAlign w:val="center"/>
          </w:tcPr>
          <w:p w14:paraId="394B79D0" w14:textId="77777777" w:rsidR="003C7FAE" w:rsidRPr="003C6720" w:rsidRDefault="003C7FAE" w:rsidP="00434380">
            <w:pPr>
              <w:jc w:val="left"/>
              <w:rPr>
                <w:rFonts w:cs="Arial"/>
                <w:sz w:val="20"/>
                <w:szCs w:val="20"/>
              </w:rPr>
            </w:pPr>
            <w:r w:rsidRPr="003C6720">
              <w:rPr>
                <w:rFonts w:cs="Arial"/>
                <w:sz w:val="20"/>
                <w:szCs w:val="20"/>
              </w:rPr>
              <w:t>Danso et al., 2004</w:t>
            </w:r>
          </w:p>
        </w:tc>
        <w:tc>
          <w:tcPr>
            <w:tcW w:w="2856" w:type="dxa"/>
            <w:tcBorders>
              <w:top w:val="single" w:sz="12" w:space="0" w:color="auto"/>
            </w:tcBorders>
            <w:shd w:val="clear" w:color="auto" w:fill="FFFFFF"/>
            <w:vAlign w:val="center"/>
          </w:tcPr>
          <w:p w14:paraId="1F8CFC0D" w14:textId="77777777" w:rsidR="003C7FAE" w:rsidRPr="00B05A87" w:rsidRDefault="003C7FAE" w:rsidP="00434380">
            <w:pPr>
              <w:jc w:val="left"/>
              <w:rPr>
                <w:rFonts w:cs="Arial"/>
                <w:sz w:val="20"/>
                <w:szCs w:val="20"/>
              </w:rPr>
            </w:pPr>
            <w:r w:rsidRPr="003C6720">
              <w:rPr>
                <w:rFonts w:cs="Arial"/>
                <w:sz w:val="20"/>
                <w:szCs w:val="20"/>
              </w:rPr>
              <w:t>Ghana</w:t>
            </w:r>
          </w:p>
        </w:tc>
        <w:tc>
          <w:tcPr>
            <w:tcW w:w="1710" w:type="dxa"/>
            <w:tcBorders>
              <w:top w:val="single" w:sz="12" w:space="0" w:color="auto"/>
            </w:tcBorders>
            <w:shd w:val="clear" w:color="auto" w:fill="FFFFFF"/>
            <w:vAlign w:val="center"/>
          </w:tcPr>
          <w:p w14:paraId="7EAE503E" w14:textId="77777777" w:rsidR="003C7FAE" w:rsidRPr="003C6720" w:rsidRDefault="003C7FAE" w:rsidP="00434380">
            <w:pPr>
              <w:jc w:val="left"/>
              <w:rPr>
                <w:rFonts w:cs="Arial"/>
                <w:sz w:val="20"/>
                <w:szCs w:val="20"/>
              </w:rPr>
            </w:pPr>
            <w:r w:rsidRPr="003C6720">
              <w:rPr>
                <w:rFonts w:cs="Arial"/>
                <w:sz w:val="20"/>
                <w:szCs w:val="20"/>
              </w:rPr>
              <w:t>Case Study</w:t>
            </w:r>
          </w:p>
        </w:tc>
        <w:tc>
          <w:tcPr>
            <w:tcW w:w="4561" w:type="dxa"/>
            <w:tcBorders>
              <w:top w:val="single" w:sz="12" w:space="0" w:color="auto"/>
            </w:tcBorders>
            <w:shd w:val="clear" w:color="auto" w:fill="FFFFFF"/>
            <w:vAlign w:val="center"/>
          </w:tcPr>
          <w:p w14:paraId="00494C58" w14:textId="77777777" w:rsidR="003C7FAE" w:rsidRDefault="003C7FAE" w:rsidP="00434380">
            <w:pPr>
              <w:jc w:val="left"/>
              <w:rPr>
                <w:rFonts w:cs="Arial"/>
                <w:sz w:val="20"/>
                <w:szCs w:val="20"/>
              </w:rPr>
            </w:pPr>
            <w:r w:rsidRPr="003C6720">
              <w:rPr>
                <w:rFonts w:cs="Arial"/>
                <w:sz w:val="20"/>
                <w:szCs w:val="20"/>
              </w:rPr>
              <w:t>Gender and Urban Agriculture</w:t>
            </w:r>
          </w:p>
        </w:tc>
      </w:tr>
      <w:tr w:rsidR="00D86012" w:rsidRPr="003C6720" w14:paraId="25641078" w14:textId="77777777" w:rsidTr="00D86012">
        <w:trPr>
          <w:trHeight w:hRule="exact" w:val="1134"/>
        </w:trPr>
        <w:tc>
          <w:tcPr>
            <w:tcW w:w="621" w:type="dxa"/>
            <w:shd w:val="clear" w:color="auto" w:fill="FFFFFF"/>
            <w:vAlign w:val="center"/>
          </w:tcPr>
          <w:p w14:paraId="55618FC7" w14:textId="77777777" w:rsidR="003C7FAE" w:rsidRPr="00D86012" w:rsidRDefault="003C7FAE" w:rsidP="003C7FAE">
            <w:pPr>
              <w:pStyle w:val="ListParagraph"/>
              <w:numPr>
                <w:ilvl w:val="0"/>
                <w:numId w:val="6"/>
              </w:numPr>
              <w:ind w:left="0" w:firstLine="0"/>
              <w:jc w:val="center"/>
              <w:rPr>
                <w:rFonts w:cs="Arial"/>
                <w:b/>
                <w:bCs/>
                <w:i/>
                <w:iCs/>
                <w:sz w:val="20"/>
                <w:szCs w:val="20"/>
              </w:rPr>
            </w:pPr>
          </w:p>
        </w:tc>
        <w:tc>
          <w:tcPr>
            <w:tcW w:w="2159" w:type="dxa"/>
            <w:shd w:val="clear" w:color="auto" w:fill="FFFFFF"/>
            <w:vAlign w:val="center"/>
          </w:tcPr>
          <w:p w14:paraId="1AD5A290" w14:textId="77777777" w:rsidR="003C7FAE" w:rsidRPr="003C6720" w:rsidRDefault="003C7FAE" w:rsidP="00434380">
            <w:pPr>
              <w:jc w:val="left"/>
              <w:rPr>
                <w:rFonts w:cs="Arial"/>
                <w:sz w:val="20"/>
                <w:szCs w:val="20"/>
              </w:rPr>
            </w:pPr>
            <w:proofErr w:type="spellStart"/>
            <w:r w:rsidRPr="003C6720">
              <w:rPr>
                <w:rFonts w:cs="Arial"/>
                <w:sz w:val="20"/>
                <w:szCs w:val="20"/>
              </w:rPr>
              <w:t>Mougeot</w:t>
            </w:r>
            <w:proofErr w:type="spellEnd"/>
            <w:r w:rsidRPr="003C6720">
              <w:rPr>
                <w:rFonts w:cs="Arial"/>
                <w:sz w:val="20"/>
                <w:szCs w:val="20"/>
              </w:rPr>
              <w:t>, 2005</w:t>
            </w:r>
          </w:p>
        </w:tc>
        <w:tc>
          <w:tcPr>
            <w:tcW w:w="2856" w:type="dxa"/>
            <w:shd w:val="clear" w:color="auto" w:fill="FFFFFF"/>
            <w:vAlign w:val="center"/>
          </w:tcPr>
          <w:p w14:paraId="10CA2F21" w14:textId="77777777" w:rsidR="003C7FAE" w:rsidRPr="00B05A87" w:rsidRDefault="003C7FAE" w:rsidP="00434380">
            <w:pPr>
              <w:jc w:val="left"/>
              <w:rPr>
                <w:rFonts w:cs="Arial"/>
                <w:sz w:val="20"/>
                <w:szCs w:val="20"/>
              </w:rPr>
            </w:pPr>
            <w:r w:rsidRPr="00B05A87">
              <w:rPr>
                <w:rFonts w:cs="Arial"/>
                <w:sz w:val="20"/>
                <w:szCs w:val="20"/>
              </w:rPr>
              <w:t>Botswana,</w:t>
            </w:r>
            <w:r>
              <w:rPr>
                <w:rFonts w:cs="Arial"/>
                <w:sz w:val="20"/>
                <w:szCs w:val="20"/>
              </w:rPr>
              <w:t xml:space="preserve"> </w:t>
            </w:r>
            <w:r w:rsidRPr="00B05A87">
              <w:rPr>
                <w:rFonts w:cs="Arial"/>
                <w:sz w:val="20"/>
                <w:szCs w:val="20"/>
              </w:rPr>
              <w:t xml:space="preserve">Côte d'Ivoire, Namibia, Togo, Tunisia, </w:t>
            </w:r>
          </w:p>
          <w:p w14:paraId="377EBD09" w14:textId="77777777" w:rsidR="003C7FAE" w:rsidRPr="00B05A87" w:rsidRDefault="003C7FAE" w:rsidP="00434380">
            <w:pPr>
              <w:jc w:val="left"/>
              <w:rPr>
                <w:rFonts w:cs="Arial"/>
                <w:sz w:val="20"/>
                <w:szCs w:val="20"/>
              </w:rPr>
            </w:pPr>
            <w:r w:rsidRPr="00B05A87">
              <w:rPr>
                <w:rFonts w:cs="Arial"/>
                <w:sz w:val="20"/>
                <w:szCs w:val="20"/>
              </w:rPr>
              <w:t>Zimbabwe,</w:t>
            </w:r>
            <w:r>
              <w:rPr>
                <w:rFonts w:cs="Arial"/>
                <w:sz w:val="20"/>
                <w:szCs w:val="20"/>
              </w:rPr>
              <w:t xml:space="preserve"> </w:t>
            </w:r>
            <w:r w:rsidRPr="00B05A87">
              <w:rPr>
                <w:rFonts w:cs="Arial"/>
                <w:sz w:val="20"/>
                <w:szCs w:val="20"/>
              </w:rPr>
              <w:t xml:space="preserve">Argentina, </w:t>
            </w:r>
          </w:p>
          <w:p w14:paraId="1426D704" w14:textId="77777777" w:rsidR="003C7FAE" w:rsidRPr="003C6720" w:rsidRDefault="003C7FAE" w:rsidP="00434380">
            <w:pPr>
              <w:jc w:val="left"/>
              <w:rPr>
                <w:rFonts w:cs="Arial"/>
                <w:sz w:val="20"/>
                <w:szCs w:val="20"/>
              </w:rPr>
            </w:pPr>
            <w:r w:rsidRPr="00B05A87">
              <w:rPr>
                <w:rFonts w:cs="Arial"/>
                <w:sz w:val="20"/>
                <w:szCs w:val="20"/>
              </w:rPr>
              <w:t>Cuba, England</w:t>
            </w:r>
            <w:r>
              <w:rPr>
                <w:rFonts w:cs="Arial"/>
                <w:sz w:val="20"/>
                <w:szCs w:val="20"/>
              </w:rPr>
              <w:t xml:space="preserve">, and </w:t>
            </w:r>
            <w:r w:rsidRPr="00B05A87">
              <w:rPr>
                <w:rFonts w:cs="Arial"/>
                <w:sz w:val="20"/>
                <w:szCs w:val="20"/>
              </w:rPr>
              <w:t>France</w:t>
            </w:r>
            <w:r>
              <w:rPr>
                <w:rFonts w:cs="Arial"/>
                <w:sz w:val="20"/>
                <w:szCs w:val="20"/>
              </w:rPr>
              <w:t>.</w:t>
            </w:r>
          </w:p>
        </w:tc>
        <w:tc>
          <w:tcPr>
            <w:tcW w:w="1710" w:type="dxa"/>
            <w:shd w:val="clear" w:color="auto" w:fill="FFFFFF"/>
            <w:vAlign w:val="center"/>
          </w:tcPr>
          <w:p w14:paraId="311378A4" w14:textId="77777777" w:rsidR="003C7FAE" w:rsidRDefault="003C7FAE" w:rsidP="00434380">
            <w:pPr>
              <w:jc w:val="left"/>
              <w:rPr>
                <w:rFonts w:cs="Arial"/>
                <w:sz w:val="20"/>
                <w:szCs w:val="20"/>
              </w:rPr>
            </w:pPr>
            <w:r w:rsidRPr="003C6720">
              <w:rPr>
                <w:rFonts w:cs="Arial"/>
                <w:sz w:val="20"/>
                <w:szCs w:val="20"/>
              </w:rPr>
              <w:t xml:space="preserve">Statistical </w:t>
            </w:r>
          </w:p>
          <w:p w14:paraId="5307EA4B" w14:textId="77777777" w:rsidR="003C7FAE" w:rsidRPr="003C6720" w:rsidRDefault="003C7FAE" w:rsidP="00434380">
            <w:pPr>
              <w:jc w:val="left"/>
              <w:rPr>
                <w:rFonts w:cs="Arial"/>
                <w:sz w:val="20"/>
                <w:szCs w:val="20"/>
              </w:rPr>
            </w:pPr>
            <w:r w:rsidRPr="003C6720">
              <w:rPr>
                <w:rFonts w:cs="Arial"/>
                <w:sz w:val="20"/>
                <w:szCs w:val="20"/>
              </w:rPr>
              <w:t>Analysis</w:t>
            </w:r>
          </w:p>
        </w:tc>
        <w:tc>
          <w:tcPr>
            <w:tcW w:w="4561" w:type="dxa"/>
            <w:shd w:val="clear" w:color="auto" w:fill="FFFFFF"/>
            <w:vAlign w:val="center"/>
          </w:tcPr>
          <w:p w14:paraId="71B41A5B" w14:textId="77777777" w:rsidR="003C7FAE" w:rsidRPr="003C6720" w:rsidRDefault="003C7FAE" w:rsidP="00434380">
            <w:pPr>
              <w:jc w:val="left"/>
              <w:rPr>
                <w:rFonts w:cs="Arial"/>
                <w:sz w:val="20"/>
                <w:szCs w:val="20"/>
              </w:rPr>
            </w:pPr>
            <w:r>
              <w:rPr>
                <w:rFonts w:cs="Arial"/>
                <w:sz w:val="20"/>
                <w:szCs w:val="20"/>
              </w:rPr>
              <w:t>U</w:t>
            </w:r>
            <w:r w:rsidRPr="003C6720">
              <w:rPr>
                <w:rFonts w:cs="Arial"/>
                <w:sz w:val="20"/>
                <w:szCs w:val="20"/>
              </w:rPr>
              <w:t>rban agriculture</w:t>
            </w:r>
            <w:r>
              <w:rPr>
                <w:rFonts w:cs="Arial"/>
                <w:sz w:val="20"/>
                <w:szCs w:val="20"/>
              </w:rPr>
              <w:t>.</w:t>
            </w:r>
          </w:p>
        </w:tc>
      </w:tr>
      <w:tr w:rsidR="00D86012" w:rsidRPr="003C6720" w14:paraId="16E4C4D0" w14:textId="77777777" w:rsidTr="00D86012">
        <w:trPr>
          <w:trHeight w:hRule="exact" w:val="680"/>
        </w:trPr>
        <w:tc>
          <w:tcPr>
            <w:tcW w:w="621" w:type="dxa"/>
            <w:shd w:val="clear" w:color="auto" w:fill="FFFFFF"/>
            <w:vAlign w:val="center"/>
          </w:tcPr>
          <w:p w14:paraId="0AD8855E" w14:textId="77777777" w:rsidR="003C7FAE" w:rsidRPr="00D86012" w:rsidRDefault="003C7FAE" w:rsidP="003C7FAE">
            <w:pPr>
              <w:pStyle w:val="ListParagraph"/>
              <w:numPr>
                <w:ilvl w:val="0"/>
                <w:numId w:val="6"/>
              </w:numPr>
              <w:ind w:left="0" w:firstLine="0"/>
              <w:jc w:val="center"/>
              <w:rPr>
                <w:rFonts w:cs="Arial"/>
                <w:b/>
                <w:bCs/>
                <w:i/>
                <w:iCs/>
                <w:sz w:val="20"/>
                <w:szCs w:val="20"/>
              </w:rPr>
            </w:pPr>
          </w:p>
        </w:tc>
        <w:tc>
          <w:tcPr>
            <w:tcW w:w="2159" w:type="dxa"/>
            <w:shd w:val="clear" w:color="auto" w:fill="FFFFFF"/>
            <w:vAlign w:val="center"/>
          </w:tcPr>
          <w:p w14:paraId="2F811C59" w14:textId="77777777" w:rsidR="003C7FAE" w:rsidRPr="003C6720" w:rsidRDefault="003C7FAE" w:rsidP="00434380">
            <w:pPr>
              <w:jc w:val="left"/>
              <w:rPr>
                <w:rFonts w:cs="Arial"/>
                <w:sz w:val="20"/>
                <w:szCs w:val="20"/>
              </w:rPr>
            </w:pPr>
            <w:r w:rsidRPr="003C6720">
              <w:rPr>
                <w:rFonts w:cs="Arial"/>
                <w:sz w:val="20"/>
                <w:szCs w:val="20"/>
              </w:rPr>
              <w:t>Havorka and Lee-Smith, 2006</w:t>
            </w:r>
          </w:p>
        </w:tc>
        <w:tc>
          <w:tcPr>
            <w:tcW w:w="2856" w:type="dxa"/>
            <w:shd w:val="clear" w:color="auto" w:fill="FFFFFF"/>
            <w:vAlign w:val="center"/>
          </w:tcPr>
          <w:p w14:paraId="07295AD3" w14:textId="77777777" w:rsidR="003C7FAE" w:rsidRPr="003C6720" w:rsidRDefault="003C7FAE" w:rsidP="00434380">
            <w:pPr>
              <w:jc w:val="left"/>
              <w:rPr>
                <w:rFonts w:cs="Arial"/>
                <w:sz w:val="20"/>
                <w:szCs w:val="20"/>
              </w:rPr>
            </w:pPr>
            <w:r w:rsidRPr="003C6720">
              <w:rPr>
                <w:rFonts w:cs="Arial"/>
                <w:sz w:val="20"/>
                <w:szCs w:val="20"/>
              </w:rPr>
              <w:t>N/A</w:t>
            </w:r>
          </w:p>
        </w:tc>
        <w:tc>
          <w:tcPr>
            <w:tcW w:w="1710" w:type="dxa"/>
            <w:shd w:val="clear" w:color="auto" w:fill="FFFFFF"/>
            <w:vAlign w:val="center"/>
          </w:tcPr>
          <w:p w14:paraId="588E17FC" w14:textId="77777777" w:rsidR="003C7FAE" w:rsidRPr="003C6720" w:rsidRDefault="003C7FAE" w:rsidP="00434380">
            <w:pPr>
              <w:jc w:val="left"/>
              <w:rPr>
                <w:rFonts w:cs="Arial"/>
                <w:sz w:val="20"/>
                <w:szCs w:val="20"/>
              </w:rPr>
            </w:pPr>
            <w:r>
              <w:rPr>
                <w:rFonts w:cs="Arial"/>
                <w:sz w:val="20"/>
                <w:szCs w:val="20"/>
              </w:rPr>
              <w:t>Case Study</w:t>
            </w:r>
          </w:p>
        </w:tc>
        <w:tc>
          <w:tcPr>
            <w:tcW w:w="4561" w:type="dxa"/>
            <w:shd w:val="clear" w:color="auto" w:fill="FFFFFF"/>
            <w:vAlign w:val="center"/>
          </w:tcPr>
          <w:p w14:paraId="5E3AF563" w14:textId="77777777" w:rsidR="003C7FAE" w:rsidRPr="003C6720" w:rsidRDefault="003C7FAE" w:rsidP="00434380">
            <w:pPr>
              <w:jc w:val="left"/>
              <w:rPr>
                <w:rFonts w:cs="Arial"/>
                <w:sz w:val="20"/>
                <w:szCs w:val="20"/>
              </w:rPr>
            </w:pPr>
            <w:r>
              <w:rPr>
                <w:rFonts w:cs="Arial"/>
                <w:sz w:val="20"/>
                <w:szCs w:val="20"/>
              </w:rPr>
              <w:t>G</w:t>
            </w:r>
            <w:r w:rsidRPr="003C6720">
              <w:rPr>
                <w:rFonts w:cs="Arial"/>
                <w:sz w:val="20"/>
                <w:szCs w:val="20"/>
              </w:rPr>
              <w:t>endered perspective of urban food security.</w:t>
            </w:r>
          </w:p>
        </w:tc>
      </w:tr>
      <w:tr w:rsidR="00D86012" w:rsidRPr="003C6720" w14:paraId="197A159B" w14:textId="77777777" w:rsidTr="00D86012">
        <w:trPr>
          <w:trHeight w:hRule="exact" w:val="680"/>
        </w:trPr>
        <w:tc>
          <w:tcPr>
            <w:tcW w:w="621" w:type="dxa"/>
            <w:shd w:val="clear" w:color="auto" w:fill="FFFFFF"/>
            <w:vAlign w:val="center"/>
          </w:tcPr>
          <w:p w14:paraId="615F1DFA" w14:textId="77777777" w:rsidR="003C7FAE" w:rsidRPr="00D86012" w:rsidRDefault="003C7FAE" w:rsidP="003C7FAE">
            <w:pPr>
              <w:pStyle w:val="ListParagraph"/>
              <w:numPr>
                <w:ilvl w:val="0"/>
                <w:numId w:val="6"/>
              </w:numPr>
              <w:ind w:left="0" w:firstLine="0"/>
              <w:jc w:val="center"/>
              <w:rPr>
                <w:rFonts w:cs="Arial"/>
                <w:b/>
                <w:bCs/>
                <w:i/>
                <w:iCs/>
                <w:sz w:val="20"/>
                <w:szCs w:val="20"/>
              </w:rPr>
            </w:pPr>
          </w:p>
        </w:tc>
        <w:tc>
          <w:tcPr>
            <w:tcW w:w="2159" w:type="dxa"/>
            <w:shd w:val="clear" w:color="auto" w:fill="FFFFFF"/>
            <w:vAlign w:val="center"/>
          </w:tcPr>
          <w:p w14:paraId="190DE56D" w14:textId="77777777" w:rsidR="003C7FAE" w:rsidRPr="003C6720" w:rsidRDefault="003C7FAE" w:rsidP="00434380">
            <w:pPr>
              <w:jc w:val="left"/>
              <w:rPr>
                <w:rFonts w:cs="Arial"/>
                <w:sz w:val="20"/>
                <w:szCs w:val="20"/>
              </w:rPr>
            </w:pPr>
            <w:r w:rsidRPr="003C6720">
              <w:rPr>
                <w:rFonts w:cs="Arial"/>
                <w:sz w:val="20"/>
                <w:szCs w:val="20"/>
              </w:rPr>
              <w:t>Quan and Payne, 2008 (UN Habitat)</w:t>
            </w:r>
          </w:p>
        </w:tc>
        <w:tc>
          <w:tcPr>
            <w:tcW w:w="2856" w:type="dxa"/>
            <w:shd w:val="clear" w:color="auto" w:fill="FFFFFF"/>
            <w:vAlign w:val="center"/>
          </w:tcPr>
          <w:p w14:paraId="452745C3" w14:textId="77777777" w:rsidR="003C7FAE" w:rsidRPr="003C6720" w:rsidRDefault="003C7FAE" w:rsidP="00434380">
            <w:pPr>
              <w:jc w:val="left"/>
              <w:rPr>
                <w:rFonts w:cs="Arial"/>
                <w:sz w:val="20"/>
                <w:szCs w:val="20"/>
              </w:rPr>
            </w:pPr>
            <w:r w:rsidRPr="00FE3278">
              <w:rPr>
                <w:rFonts w:cs="Arial"/>
                <w:sz w:val="20"/>
                <w:szCs w:val="20"/>
              </w:rPr>
              <w:t>N/A</w:t>
            </w:r>
          </w:p>
        </w:tc>
        <w:tc>
          <w:tcPr>
            <w:tcW w:w="1710" w:type="dxa"/>
            <w:shd w:val="clear" w:color="auto" w:fill="FFFFFF"/>
            <w:vAlign w:val="center"/>
          </w:tcPr>
          <w:p w14:paraId="0EAC2867" w14:textId="77777777" w:rsidR="003C7FAE" w:rsidRPr="00493106" w:rsidRDefault="003C7FAE" w:rsidP="00434380">
            <w:pPr>
              <w:jc w:val="left"/>
              <w:rPr>
                <w:rFonts w:cs="Arial"/>
                <w:sz w:val="20"/>
                <w:szCs w:val="20"/>
              </w:rPr>
            </w:pPr>
            <w:r w:rsidRPr="00493106">
              <w:rPr>
                <w:rFonts w:cs="Arial"/>
                <w:sz w:val="20"/>
                <w:szCs w:val="20"/>
              </w:rPr>
              <w:t>N/A</w:t>
            </w:r>
          </w:p>
        </w:tc>
        <w:tc>
          <w:tcPr>
            <w:tcW w:w="4561" w:type="dxa"/>
            <w:shd w:val="clear" w:color="auto" w:fill="FFFFFF"/>
            <w:vAlign w:val="center"/>
          </w:tcPr>
          <w:p w14:paraId="7D96B3BB" w14:textId="77777777" w:rsidR="003C7FAE" w:rsidRPr="00493106" w:rsidRDefault="003C7FAE" w:rsidP="00434380">
            <w:pPr>
              <w:jc w:val="left"/>
              <w:rPr>
                <w:rFonts w:cs="Arial"/>
                <w:sz w:val="20"/>
                <w:szCs w:val="20"/>
              </w:rPr>
            </w:pPr>
            <w:r w:rsidRPr="00E30E0F">
              <w:rPr>
                <w:rFonts w:cs="Arial"/>
                <w:sz w:val="20"/>
                <w:szCs w:val="20"/>
              </w:rPr>
              <w:t>Secure land rights, gender discrimination, social exclusion, and wider inequalities.</w:t>
            </w:r>
          </w:p>
        </w:tc>
      </w:tr>
      <w:tr w:rsidR="003C7FAE" w:rsidRPr="003C6720" w14:paraId="6660420B" w14:textId="77777777" w:rsidTr="00D86012">
        <w:trPr>
          <w:trHeight w:hRule="exact" w:val="907"/>
        </w:trPr>
        <w:tc>
          <w:tcPr>
            <w:tcW w:w="621" w:type="dxa"/>
            <w:shd w:val="clear" w:color="auto" w:fill="EFFFEF"/>
            <w:vAlign w:val="center"/>
          </w:tcPr>
          <w:p w14:paraId="7B9B9AC5"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EFFFEF"/>
            <w:vAlign w:val="center"/>
          </w:tcPr>
          <w:p w14:paraId="1B8D7200" w14:textId="77777777" w:rsidR="003C7FAE" w:rsidRDefault="003C7FAE" w:rsidP="00434380">
            <w:pPr>
              <w:jc w:val="left"/>
              <w:rPr>
                <w:rFonts w:cs="Arial"/>
                <w:sz w:val="20"/>
                <w:szCs w:val="20"/>
              </w:rPr>
            </w:pPr>
            <w:r w:rsidRPr="003C6720">
              <w:rPr>
                <w:rFonts w:cs="Arial"/>
                <w:sz w:val="20"/>
                <w:szCs w:val="20"/>
              </w:rPr>
              <w:t xml:space="preserve">Thompson, </w:t>
            </w:r>
          </w:p>
          <w:p w14:paraId="1C5B3C59" w14:textId="77777777" w:rsidR="003C7FAE" w:rsidRDefault="003C7FAE" w:rsidP="00434380">
            <w:pPr>
              <w:jc w:val="left"/>
              <w:rPr>
                <w:rFonts w:cs="Arial"/>
                <w:sz w:val="20"/>
                <w:szCs w:val="20"/>
              </w:rPr>
            </w:pPr>
            <w:proofErr w:type="spellStart"/>
            <w:r w:rsidRPr="003C6720">
              <w:rPr>
                <w:rFonts w:cs="Arial"/>
                <w:sz w:val="20"/>
                <w:szCs w:val="20"/>
              </w:rPr>
              <w:t>Berrang</w:t>
            </w:r>
            <w:proofErr w:type="spellEnd"/>
            <w:r w:rsidRPr="003C6720">
              <w:rPr>
                <w:rFonts w:cs="Arial"/>
                <w:sz w:val="20"/>
                <w:szCs w:val="20"/>
              </w:rPr>
              <w:t xml:space="preserve">-Ford and </w:t>
            </w:r>
          </w:p>
          <w:p w14:paraId="7326EDB5" w14:textId="77777777" w:rsidR="003C7FAE" w:rsidRPr="003C6720" w:rsidRDefault="003C7FAE" w:rsidP="00434380">
            <w:pPr>
              <w:jc w:val="left"/>
              <w:rPr>
                <w:rFonts w:cs="Arial"/>
                <w:sz w:val="20"/>
                <w:szCs w:val="20"/>
              </w:rPr>
            </w:pPr>
            <w:r w:rsidRPr="003C6720">
              <w:rPr>
                <w:rFonts w:cs="Arial"/>
                <w:sz w:val="20"/>
                <w:szCs w:val="20"/>
              </w:rPr>
              <w:t>Ford, 2010</w:t>
            </w:r>
          </w:p>
        </w:tc>
        <w:tc>
          <w:tcPr>
            <w:tcW w:w="2856" w:type="dxa"/>
            <w:shd w:val="clear" w:color="auto" w:fill="EFFFEF"/>
            <w:vAlign w:val="center"/>
          </w:tcPr>
          <w:p w14:paraId="377A2E9E" w14:textId="77777777" w:rsidR="003C7FAE" w:rsidRPr="003C6720" w:rsidRDefault="003C7FAE" w:rsidP="00434380">
            <w:pPr>
              <w:jc w:val="left"/>
              <w:rPr>
                <w:rFonts w:cs="Arial"/>
                <w:sz w:val="20"/>
                <w:szCs w:val="20"/>
              </w:rPr>
            </w:pPr>
            <w:r w:rsidRPr="003C6720">
              <w:rPr>
                <w:rFonts w:cs="Arial"/>
                <w:sz w:val="20"/>
                <w:szCs w:val="20"/>
              </w:rPr>
              <w:t>Sub-Saharan Africa (SSA)</w:t>
            </w:r>
          </w:p>
        </w:tc>
        <w:tc>
          <w:tcPr>
            <w:tcW w:w="1710" w:type="dxa"/>
            <w:shd w:val="clear" w:color="auto" w:fill="EFFFEF"/>
            <w:vAlign w:val="center"/>
          </w:tcPr>
          <w:p w14:paraId="655B3298" w14:textId="77777777" w:rsidR="003C7FAE" w:rsidRDefault="003C7FAE" w:rsidP="00434380">
            <w:pPr>
              <w:jc w:val="left"/>
              <w:rPr>
                <w:rFonts w:cs="Arial"/>
                <w:sz w:val="20"/>
                <w:szCs w:val="20"/>
              </w:rPr>
            </w:pPr>
            <w:r w:rsidRPr="003C6720">
              <w:rPr>
                <w:rFonts w:cs="Arial"/>
                <w:sz w:val="20"/>
                <w:szCs w:val="20"/>
              </w:rPr>
              <w:t xml:space="preserve">Systematic </w:t>
            </w:r>
          </w:p>
          <w:p w14:paraId="76B0F131" w14:textId="77777777" w:rsidR="003C7FAE" w:rsidRDefault="003C7FAE" w:rsidP="00434380">
            <w:pPr>
              <w:jc w:val="left"/>
              <w:rPr>
                <w:rFonts w:cs="Arial"/>
                <w:sz w:val="20"/>
                <w:szCs w:val="20"/>
              </w:rPr>
            </w:pPr>
            <w:r w:rsidRPr="003C6720">
              <w:rPr>
                <w:rFonts w:cs="Arial"/>
                <w:sz w:val="20"/>
                <w:szCs w:val="20"/>
              </w:rPr>
              <w:t xml:space="preserve">Literature </w:t>
            </w:r>
          </w:p>
          <w:p w14:paraId="7D21EE4A" w14:textId="77777777" w:rsidR="003C7FAE" w:rsidRPr="003C6720" w:rsidRDefault="003C7FAE" w:rsidP="00434380">
            <w:pPr>
              <w:jc w:val="left"/>
              <w:rPr>
                <w:rFonts w:cs="Arial"/>
                <w:sz w:val="20"/>
                <w:szCs w:val="20"/>
              </w:rPr>
            </w:pPr>
            <w:r w:rsidRPr="003C6720">
              <w:rPr>
                <w:rFonts w:cs="Arial"/>
                <w:sz w:val="20"/>
                <w:szCs w:val="20"/>
              </w:rPr>
              <w:t>Review</w:t>
            </w:r>
          </w:p>
        </w:tc>
        <w:tc>
          <w:tcPr>
            <w:tcW w:w="4561" w:type="dxa"/>
            <w:shd w:val="clear" w:color="auto" w:fill="EFFFEF"/>
            <w:vAlign w:val="center"/>
          </w:tcPr>
          <w:p w14:paraId="19BF9914" w14:textId="77777777" w:rsidR="003C7FAE" w:rsidRPr="003C6720" w:rsidRDefault="003C7FAE" w:rsidP="00434380">
            <w:pPr>
              <w:jc w:val="left"/>
              <w:rPr>
                <w:rFonts w:cs="Arial"/>
                <w:sz w:val="20"/>
                <w:szCs w:val="20"/>
              </w:rPr>
            </w:pPr>
            <w:r w:rsidRPr="00E30E0F">
              <w:rPr>
                <w:rFonts w:cs="Arial"/>
                <w:sz w:val="20"/>
                <w:szCs w:val="20"/>
              </w:rPr>
              <w:t>Climate change and food security.</w:t>
            </w:r>
          </w:p>
        </w:tc>
      </w:tr>
      <w:tr w:rsidR="003C7FAE" w:rsidRPr="003C6720" w14:paraId="62237864" w14:textId="77777777" w:rsidTr="00D86012">
        <w:trPr>
          <w:trHeight w:hRule="exact" w:val="1134"/>
        </w:trPr>
        <w:tc>
          <w:tcPr>
            <w:tcW w:w="621" w:type="dxa"/>
            <w:shd w:val="clear" w:color="auto" w:fill="EFFFEF"/>
            <w:vAlign w:val="center"/>
          </w:tcPr>
          <w:p w14:paraId="15D29F87"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EFFFEF"/>
            <w:vAlign w:val="center"/>
          </w:tcPr>
          <w:p w14:paraId="4C3EB75D" w14:textId="77777777" w:rsidR="003C7FAE" w:rsidRPr="003C6720" w:rsidRDefault="003C7FAE" w:rsidP="00434380">
            <w:pPr>
              <w:jc w:val="left"/>
              <w:rPr>
                <w:rFonts w:cs="Arial"/>
                <w:sz w:val="20"/>
                <w:szCs w:val="20"/>
              </w:rPr>
            </w:pPr>
            <w:r w:rsidRPr="003C6720">
              <w:rPr>
                <w:rFonts w:cs="Arial"/>
                <w:sz w:val="20"/>
                <w:szCs w:val="20"/>
              </w:rPr>
              <w:t>McNicoll, 2011</w:t>
            </w:r>
          </w:p>
        </w:tc>
        <w:tc>
          <w:tcPr>
            <w:tcW w:w="2856" w:type="dxa"/>
            <w:shd w:val="clear" w:color="auto" w:fill="EFFFEF"/>
            <w:vAlign w:val="center"/>
          </w:tcPr>
          <w:p w14:paraId="1D0D42E7" w14:textId="77777777" w:rsidR="003C7FAE" w:rsidRPr="003C6720" w:rsidRDefault="003C7FAE" w:rsidP="00434380">
            <w:pPr>
              <w:jc w:val="left"/>
              <w:rPr>
                <w:rFonts w:cs="Arial"/>
                <w:sz w:val="20"/>
                <w:szCs w:val="20"/>
              </w:rPr>
            </w:pPr>
            <w:r w:rsidRPr="003C6720">
              <w:rPr>
                <w:rFonts w:cs="Arial"/>
                <w:sz w:val="20"/>
                <w:szCs w:val="20"/>
              </w:rPr>
              <w:t>N/A</w:t>
            </w:r>
          </w:p>
        </w:tc>
        <w:tc>
          <w:tcPr>
            <w:tcW w:w="1710" w:type="dxa"/>
            <w:shd w:val="clear" w:color="auto" w:fill="EFFFEF"/>
            <w:vAlign w:val="center"/>
          </w:tcPr>
          <w:p w14:paraId="20CC62C6" w14:textId="77777777" w:rsidR="003C7FAE" w:rsidRPr="00FE3278" w:rsidRDefault="003C7FAE" w:rsidP="00434380">
            <w:pPr>
              <w:jc w:val="left"/>
              <w:rPr>
                <w:rFonts w:cs="Arial"/>
                <w:sz w:val="20"/>
                <w:szCs w:val="20"/>
              </w:rPr>
            </w:pPr>
            <w:r w:rsidRPr="00FE3278">
              <w:rPr>
                <w:rFonts w:cs="Arial"/>
                <w:sz w:val="20"/>
                <w:szCs w:val="20"/>
              </w:rPr>
              <w:t xml:space="preserve">Gender </w:t>
            </w:r>
          </w:p>
          <w:p w14:paraId="5BF60B03" w14:textId="77777777" w:rsidR="003C7FAE" w:rsidRPr="00FE3278" w:rsidRDefault="003C7FAE" w:rsidP="00434380">
            <w:pPr>
              <w:jc w:val="left"/>
              <w:rPr>
                <w:rFonts w:cs="Arial"/>
                <w:sz w:val="20"/>
                <w:szCs w:val="20"/>
              </w:rPr>
            </w:pPr>
            <w:r w:rsidRPr="00FE3278">
              <w:rPr>
                <w:rFonts w:cs="Arial"/>
                <w:sz w:val="20"/>
                <w:szCs w:val="20"/>
              </w:rPr>
              <w:t xml:space="preserve">Case </w:t>
            </w:r>
          </w:p>
          <w:p w14:paraId="09115E11" w14:textId="77777777" w:rsidR="003C7FAE" w:rsidRPr="00FE3278" w:rsidRDefault="003C7FAE" w:rsidP="00434380">
            <w:pPr>
              <w:jc w:val="left"/>
              <w:rPr>
                <w:rFonts w:cs="Arial"/>
                <w:sz w:val="20"/>
                <w:szCs w:val="20"/>
              </w:rPr>
            </w:pPr>
            <w:r w:rsidRPr="00FE3278">
              <w:rPr>
                <w:rFonts w:cs="Arial"/>
                <w:sz w:val="20"/>
                <w:szCs w:val="20"/>
              </w:rPr>
              <w:t xml:space="preserve">Study </w:t>
            </w:r>
          </w:p>
          <w:p w14:paraId="7A525BD5" w14:textId="77777777" w:rsidR="003C7FAE" w:rsidRPr="003C6720" w:rsidRDefault="003C7FAE" w:rsidP="00434380">
            <w:pPr>
              <w:jc w:val="left"/>
              <w:rPr>
                <w:rFonts w:cs="Arial"/>
                <w:sz w:val="20"/>
                <w:szCs w:val="20"/>
              </w:rPr>
            </w:pPr>
            <w:r w:rsidRPr="00FE3278">
              <w:rPr>
                <w:rFonts w:cs="Arial"/>
                <w:sz w:val="20"/>
                <w:szCs w:val="20"/>
              </w:rPr>
              <w:t>Analysis</w:t>
            </w:r>
          </w:p>
        </w:tc>
        <w:tc>
          <w:tcPr>
            <w:tcW w:w="4561" w:type="dxa"/>
            <w:shd w:val="clear" w:color="auto" w:fill="EFFFEF"/>
            <w:vAlign w:val="center"/>
          </w:tcPr>
          <w:p w14:paraId="4499FA48" w14:textId="77777777" w:rsidR="003C7FAE" w:rsidRPr="003C6720" w:rsidRDefault="003C7FAE" w:rsidP="00434380">
            <w:pPr>
              <w:jc w:val="left"/>
              <w:rPr>
                <w:rFonts w:cs="Arial"/>
                <w:sz w:val="20"/>
                <w:szCs w:val="20"/>
              </w:rPr>
            </w:pPr>
            <w:r>
              <w:rPr>
                <w:rFonts w:cs="Arial"/>
                <w:sz w:val="20"/>
                <w:szCs w:val="20"/>
              </w:rPr>
              <w:t>I</w:t>
            </w:r>
            <w:r w:rsidRPr="003C6720">
              <w:rPr>
                <w:rFonts w:cs="Arial"/>
                <w:sz w:val="20"/>
                <w:szCs w:val="20"/>
              </w:rPr>
              <w:t>mportance of integrating gender into decision-making in urban agriculture and food security</w:t>
            </w:r>
            <w:r>
              <w:rPr>
                <w:rFonts w:cs="Arial"/>
                <w:sz w:val="20"/>
                <w:szCs w:val="20"/>
              </w:rPr>
              <w:t>, and</w:t>
            </w:r>
            <w:r w:rsidRPr="003C6720">
              <w:rPr>
                <w:rFonts w:cs="Arial"/>
                <w:sz w:val="20"/>
                <w:szCs w:val="20"/>
              </w:rPr>
              <w:t xml:space="preserve"> on women's roles and the need for gender analysis. </w:t>
            </w:r>
          </w:p>
        </w:tc>
      </w:tr>
      <w:tr w:rsidR="003C7FAE" w:rsidRPr="003C6720" w14:paraId="753BC33D" w14:textId="77777777" w:rsidTr="00D86012">
        <w:trPr>
          <w:trHeight w:hRule="exact" w:val="680"/>
        </w:trPr>
        <w:tc>
          <w:tcPr>
            <w:tcW w:w="621" w:type="dxa"/>
            <w:shd w:val="clear" w:color="auto" w:fill="EFFFEF"/>
            <w:vAlign w:val="center"/>
          </w:tcPr>
          <w:p w14:paraId="05CE852D"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EFFFEF"/>
            <w:vAlign w:val="center"/>
          </w:tcPr>
          <w:p w14:paraId="5ED7B197" w14:textId="77777777" w:rsidR="003C7FAE" w:rsidRPr="003C6720" w:rsidRDefault="003C7FAE" w:rsidP="00434380">
            <w:pPr>
              <w:jc w:val="left"/>
              <w:rPr>
                <w:rFonts w:cs="Arial"/>
                <w:sz w:val="20"/>
                <w:szCs w:val="20"/>
              </w:rPr>
            </w:pPr>
            <w:r w:rsidRPr="003C6720">
              <w:rPr>
                <w:rFonts w:cs="Arial"/>
                <w:sz w:val="20"/>
                <w:szCs w:val="20"/>
              </w:rPr>
              <w:t>Ali, Deininger, and Goldstein, 2012</w:t>
            </w:r>
          </w:p>
        </w:tc>
        <w:tc>
          <w:tcPr>
            <w:tcW w:w="2856" w:type="dxa"/>
            <w:shd w:val="clear" w:color="auto" w:fill="EFFFEF"/>
            <w:vAlign w:val="center"/>
          </w:tcPr>
          <w:p w14:paraId="13C4C812" w14:textId="77777777" w:rsidR="003C7FAE" w:rsidRPr="003C6720" w:rsidRDefault="003C7FAE" w:rsidP="00434380">
            <w:pPr>
              <w:jc w:val="left"/>
              <w:rPr>
                <w:rFonts w:cs="Arial"/>
                <w:sz w:val="20"/>
                <w:szCs w:val="20"/>
              </w:rPr>
            </w:pPr>
            <w:r w:rsidRPr="003C6720">
              <w:rPr>
                <w:rFonts w:cs="Arial"/>
                <w:sz w:val="20"/>
                <w:szCs w:val="20"/>
              </w:rPr>
              <w:t>Sub-Saharan Africa (SSA)</w:t>
            </w:r>
          </w:p>
        </w:tc>
        <w:tc>
          <w:tcPr>
            <w:tcW w:w="1710" w:type="dxa"/>
            <w:shd w:val="clear" w:color="auto" w:fill="EFFFEF"/>
            <w:vAlign w:val="center"/>
          </w:tcPr>
          <w:p w14:paraId="7F3C28B0" w14:textId="77777777" w:rsidR="003C7FAE" w:rsidRPr="003C6720" w:rsidRDefault="003C7FAE" w:rsidP="00434380">
            <w:pPr>
              <w:jc w:val="left"/>
              <w:rPr>
                <w:rFonts w:cs="Arial"/>
                <w:sz w:val="20"/>
                <w:szCs w:val="20"/>
              </w:rPr>
            </w:pPr>
            <w:r w:rsidRPr="003C6720">
              <w:rPr>
                <w:rFonts w:cs="Arial"/>
                <w:sz w:val="20"/>
                <w:szCs w:val="20"/>
              </w:rPr>
              <w:t xml:space="preserve">Econometric </w:t>
            </w:r>
          </w:p>
        </w:tc>
        <w:tc>
          <w:tcPr>
            <w:tcW w:w="4561" w:type="dxa"/>
            <w:shd w:val="clear" w:color="auto" w:fill="EFFFEF"/>
            <w:vAlign w:val="center"/>
          </w:tcPr>
          <w:p w14:paraId="41F1D316" w14:textId="77777777" w:rsidR="003C7FAE" w:rsidRPr="003C6720" w:rsidRDefault="003C7FAE" w:rsidP="00434380">
            <w:pPr>
              <w:jc w:val="left"/>
              <w:rPr>
                <w:rFonts w:cs="Arial"/>
                <w:sz w:val="20"/>
                <w:szCs w:val="20"/>
              </w:rPr>
            </w:pPr>
            <w:r>
              <w:rPr>
                <w:rFonts w:cs="Arial"/>
                <w:sz w:val="20"/>
                <w:szCs w:val="20"/>
              </w:rPr>
              <w:t>E</w:t>
            </w:r>
            <w:r w:rsidRPr="003C6720">
              <w:rPr>
                <w:rFonts w:cs="Arial"/>
                <w:sz w:val="20"/>
                <w:szCs w:val="20"/>
              </w:rPr>
              <w:t xml:space="preserve">nvironmental and gender impacts of land tenure regularization in Africa. </w:t>
            </w:r>
          </w:p>
        </w:tc>
      </w:tr>
      <w:tr w:rsidR="003C7FAE" w:rsidRPr="003C6720" w14:paraId="12F82EC4" w14:textId="77777777" w:rsidTr="00D86012">
        <w:trPr>
          <w:trHeight w:hRule="exact" w:val="907"/>
        </w:trPr>
        <w:tc>
          <w:tcPr>
            <w:tcW w:w="621" w:type="dxa"/>
            <w:shd w:val="clear" w:color="auto" w:fill="EFFFEF"/>
            <w:vAlign w:val="center"/>
          </w:tcPr>
          <w:p w14:paraId="10BDE99C"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EFFFEF"/>
            <w:vAlign w:val="center"/>
          </w:tcPr>
          <w:p w14:paraId="60B7AF41" w14:textId="77777777" w:rsidR="003C7FAE" w:rsidRPr="003C6720" w:rsidRDefault="003C7FAE" w:rsidP="00434380">
            <w:pPr>
              <w:jc w:val="left"/>
              <w:rPr>
                <w:rFonts w:cs="Arial"/>
                <w:sz w:val="20"/>
                <w:szCs w:val="20"/>
              </w:rPr>
            </w:pPr>
            <w:r w:rsidRPr="003C6720">
              <w:rPr>
                <w:rFonts w:cs="Arial"/>
                <w:sz w:val="20"/>
                <w:szCs w:val="20"/>
              </w:rPr>
              <w:t>Battersby, 2013</w:t>
            </w:r>
          </w:p>
        </w:tc>
        <w:tc>
          <w:tcPr>
            <w:tcW w:w="2856" w:type="dxa"/>
            <w:shd w:val="clear" w:color="auto" w:fill="EFFFEF"/>
            <w:vAlign w:val="center"/>
          </w:tcPr>
          <w:p w14:paraId="01CB498D" w14:textId="77777777" w:rsidR="003C7FAE" w:rsidRPr="003C6720" w:rsidRDefault="003C7FAE" w:rsidP="00434380">
            <w:pPr>
              <w:jc w:val="left"/>
              <w:rPr>
                <w:rFonts w:cs="Arial"/>
                <w:sz w:val="20"/>
                <w:szCs w:val="20"/>
              </w:rPr>
            </w:pPr>
            <w:r w:rsidRPr="003C6720">
              <w:rPr>
                <w:rFonts w:cs="Arial"/>
                <w:sz w:val="20"/>
                <w:szCs w:val="20"/>
              </w:rPr>
              <w:t>Sub-Saharan Africa (SSA)</w:t>
            </w:r>
          </w:p>
        </w:tc>
        <w:tc>
          <w:tcPr>
            <w:tcW w:w="1710" w:type="dxa"/>
            <w:shd w:val="clear" w:color="auto" w:fill="EFFFEF"/>
            <w:vAlign w:val="center"/>
          </w:tcPr>
          <w:p w14:paraId="6ED16024" w14:textId="77777777" w:rsidR="003C7FAE" w:rsidRDefault="003C7FAE" w:rsidP="00434380">
            <w:pPr>
              <w:jc w:val="left"/>
              <w:rPr>
                <w:rFonts w:cs="Arial"/>
                <w:sz w:val="20"/>
                <w:szCs w:val="20"/>
              </w:rPr>
            </w:pPr>
            <w:r w:rsidRPr="003C6720">
              <w:rPr>
                <w:rFonts w:cs="Arial"/>
                <w:sz w:val="20"/>
                <w:szCs w:val="20"/>
              </w:rPr>
              <w:t xml:space="preserve">Historical and </w:t>
            </w:r>
          </w:p>
          <w:p w14:paraId="71622E94" w14:textId="77777777" w:rsidR="003C7FAE" w:rsidRDefault="003C7FAE" w:rsidP="00434380">
            <w:pPr>
              <w:jc w:val="left"/>
              <w:rPr>
                <w:rFonts w:cs="Arial"/>
                <w:sz w:val="20"/>
                <w:szCs w:val="20"/>
              </w:rPr>
            </w:pPr>
            <w:r w:rsidRPr="003C6720">
              <w:rPr>
                <w:rFonts w:cs="Arial"/>
                <w:sz w:val="20"/>
                <w:szCs w:val="20"/>
              </w:rPr>
              <w:t xml:space="preserve">Political </w:t>
            </w:r>
          </w:p>
          <w:p w14:paraId="5EA1CB17" w14:textId="77777777" w:rsidR="003C7FAE" w:rsidRPr="003C6720" w:rsidRDefault="003C7FAE" w:rsidP="00434380">
            <w:pPr>
              <w:jc w:val="left"/>
              <w:rPr>
                <w:rFonts w:cs="Arial"/>
                <w:sz w:val="20"/>
                <w:szCs w:val="20"/>
              </w:rPr>
            </w:pPr>
            <w:r w:rsidRPr="003C6720">
              <w:rPr>
                <w:rFonts w:cs="Arial"/>
                <w:sz w:val="20"/>
                <w:szCs w:val="20"/>
              </w:rPr>
              <w:t xml:space="preserve">Analysis </w:t>
            </w:r>
          </w:p>
        </w:tc>
        <w:tc>
          <w:tcPr>
            <w:tcW w:w="4561" w:type="dxa"/>
            <w:shd w:val="clear" w:color="auto" w:fill="EFFFEF"/>
            <w:vAlign w:val="center"/>
          </w:tcPr>
          <w:p w14:paraId="7FF91DC6" w14:textId="77777777" w:rsidR="003C7FAE" w:rsidRPr="003C6720" w:rsidRDefault="003C7FAE" w:rsidP="00434380">
            <w:pPr>
              <w:jc w:val="left"/>
              <w:rPr>
                <w:rFonts w:cs="Arial"/>
                <w:sz w:val="20"/>
                <w:szCs w:val="20"/>
              </w:rPr>
            </w:pPr>
            <w:r>
              <w:rPr>
                <w:rFonts w:cs="Arial"/>
                <w:sz w:val="20"/>
                <w:szCs w:val="20"/>
              </w:rPr>
              <w:t>G</w:t>
            </w:r>
            <w:r w:rsidRPr="003C6720">
              <w:rPr>
                <w:rFonts w:cs="Arial"/>
                <w:sz w:val="20"/>
                <w:szCs w:val="20"/>
              </w:rPr>
              <w:t>eneral review of urban food security research in the region.</w:t>
            </w:r>
          </w:p>
        </w:tc>
      </w:tr>
      <w:tr w:rsidR="003C7FAE" w:rsidRPr="003C6720" w14:paraId="0DA71D31" w14:textId="77777777" w:rsidTr="00D86012">
        <w:trPr>
          <w:trHeight w:hRule="exact" w:val="680"/>
        </w:trPr>
        <w:tc>
          <w:tcPr>
            <w:tcW w:w="621" w:type="dxa"/>
            <w:shd w:val="clear" w:color="auto" w:fill="EFFFEF"/>
            <w:vAlign w:val="center"/>
          </w:tcPr>
          <w:p w14:paraId="5626D62A"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EFFFEF"/>
            <w:vAlign w:val="center"/>
          </w:tcPr>
          <w:p w14:paraId="2AF2F59B" w14:textId="77777777" w:rsidR="003C7FAE" w:rsidRPr="003C6720" w:rsidRDefault="003C7FAE" w:rsidP="00434380">
            <w:pPr>
              <w:jc w:val="left"/>
              <w:rPr>
                <w:rFonts w:cs="Arial"/>
                <w:sz w:val="20"/>
                <w:szCs w:val="20"/>
              </w:rPr>
            </w:pPr>
            <w:r w:rsidRPr="003C6720">
              <w:rPr>
                <w:rFonts w:cs="Arial"/>
                <w:sz w:val="20"/>
                <w:szCs w:val="20"/>
              </w:rPr>
              <w:t>Domenech, 2013</w:t>
            </w:r>
          </w:p>
        </w:tc>
        <w:tc>
          <w:tcPr>
            <w:tcW w:w="2856" w:type="dxa"/>
            <w:shd w:val="clear" w:color="auto" w:fill="EFFFEF"/>
            <w:vAlign w:val="center"/>
          </w:tcPr>
          <w:p w14:paraId="45C507CF" w14:textId="77777777" w:rsidR="003C7FAE" w:rsidRPr="003C6720" w:rsidRDefault="003C7FAE" w:rsidP="00434380">
            <w:pPr>
              <w:jc w:val="left"/>
              <w:rPr>
                <w:rFonts w:cs="Arial"/>
                <w:sz w:val="20"/>
                <w:szCs w:val="20"/>
              </w:rPr>
            </w:pPr>
            <w:r w:rsidRPr="003C6720">
              <w:rPr>
                <w:rFonts w:cs="Arial"/>
                <w:sz w:val="20"/>
                <w:szCs w:val="20"/>
              </w:rPr>
              <w:t>Africa south of the Sahara</w:t>
            </w:r>
          </w:p>
        </w:tc>
        <w:tc>
          <w:tcPr>
            <w:tcW w:w="1710" w:type="dxa"/>
            <w:shd w:val="clear" w:color="auto" w:fill="EFFFEF"/>
            <w:vAlign w:val="center"/>
          </w:tcPr>
          <w:p w14:paraId="32C97B7F" w14:textId="77777777" w:rsidR="003C7FAE" w:rsidRPr="003F4532" w:rsidRDefault="003C7FAE" w:rsidP="00434380">
            <w:pPr>
              <w:jc w:val="left"/>
              <w:rPr>
                <w:rFonts w:cs="Arial"/>
                <w:sz w:val="20"/>
                <w:szCs w:val="20"/>
              </w:rPr>
            </w:pPr>
            <w:r w:rsidRPr="003F4532">
              <w:rPr>
                <w:rFonts w:cs="Arial"/>
                <w:sz w:val="20"/>
                <w:szCs w:val="20"/>
              </w:rPr>
              <w:t>Literature</w:t>
            </w:r>
          </w:p>
          <w:p w14:paraId="7693952B" w14:textId="77777777" w:rsidR="003C7FAE" w:rsidRPr="003C6720" w:rsidRDefault="003C7FAE" w:rsidP="00434380">
            <w:pPr>
              <w:jc w:val="left"/>
              <w:rPr>
                <w:rFonts w:cs="Arial"/>
                <w:sz w:val="20"/>
                <w:szCs w:val="20"/>
              </w:rPr>
            </w:pPr>
            <w:r w:rsidRPr="003F4532">
              <w:rPr>
                <w:rFonts w:cs="Arial"/>
                <w:sz w:val="20"/>
                <w:szCs w:val="20"/>
              </w:rPr>
              <w:t xml:space="preserve">Review </w:t>
            </w:r>
          </w:p>
        </w:tc>
        <w:tc>
          <w:tcPr>
            <w:tcW w:w="4561" w:type="dxa"/>
            <w:shd w:val="clear" w:color="auto" w:fill="EFFFEF"/>
            <w:vAlign w:val="center"/>
          </w:tcPr>
          <w:p w14:paraId="16CE9141" w14:textId="77777777" w:rsidR="003C7FAE" w:rsidRPr="003C6720" w:rsidRDefault="003C7FAE" w:rsidP="00434380">
            <w:pPr>
              <w:jc w:val="left"/>
              <w:rPr>
                <w:rFonts w:cs="Arial"/>
                <w:sz w:val="20"/>
                <w:szCs w:val="20"/>
              </w:rPr>
            </w:pPr>
            <w:r>
              <w:rPr>
                <w:rFonts w:cs="Arial"/>
                <w:sz w:val="20"/>
                <w:szCs w:val="20"/>
              </w:rPr>
              <w:t>H</w:t>
            </w:r>
            <w:r w:rsidRPr="003C6720">
              <w:rPr>
                <w:rFonts w:cs="Arial"/>
                <w:sz w:val="20"/>
                <w:szCs w:val="20"/>
              </w:rPr>
              <w:t>ealth, nutrition, and gender linkages of irrigation deployment in the region.</w:t>
            </w:r>
          </w:p>
        </w:tc>
      </w:tr>
      <w:tr w:rsidR="003C7FAE" w:rsidRPr="003C6720" w14:paraId="202C5351" w14:textId="77777777" w:rsidTr="00D86012">
        <w:trPr>
          <w:trHeight w:hRule="exact" w:val="1134"/>
        </w:trPr>
        <w:tc>
          <w:tcPr>
            <w:tcW w:w="621" w:type="dxa"/>
            <w:shd w:val="clear" w:color="auto" w:fill="EFFFEF"/>
            <w:vAlign w:val="center"/>
          </w:tcPr>
          <w:p w14:paraId="5F17AB94" w14:textId="77777777" w:rsidR="003C7FAE" w:rsidRPr="00D86012" w:rsidRDefault="003C7FAE" w:rsidP="003C7FAE">
            <w:pPr>
              <w:pStyle w:val="ListParagraph"/>
              <w:numPr>
                <w:ilvl w:val="0"/>
                <w:numId w:val="6"/>
              </w:numPr>
              <w:ind w:left="0" w:firstLine="0"/>
              <w:jc w:val="center"/>
              <w:rPr>
                <w:rFonts w:cs="Arial"/>
                <w:b/>
                <w:bCs/>
                <w:i/>
                <w:iCs/>
                <w:sz w:val="20"/>
                <w:szCs w:val="20"/>
              </w:rPr>
            </w:pPr>
          </w:p>
        </w:tc>
        <w:tc>
          <w:tcPr>
            <w:tcW w:w="2159" w:type="dxa"/>
            <w:shd w:val="clear" w:color="auto" w:fill="EFFFEF"/>
            <w:vAlign w:val="center"/>
          </w:tcPr>
          <w:p w14:paraId="2A1E313F" w14:textId="77777777" w:rsidR="003C7FAE" w:rsidRPr="003C6720" w:rsidRDefault="003C7FAE" w:rsidP="00434380">
            <w:pPr>
              <w:jc w:val="left"/>
              <w:rPr>
                <w:rFonts w:cs="Arial"/>
                <w:sz w:val="20"/>
                <w:szCs w:val="20"/>
              </w:rPr>
            </w:pPr>
            <w:r w:rsidRPr="003C6720">
              <w:rPr>
                <w:rFonts w:cs="Arial"/>
                <w:sz w:val="20"/>
                <w:szCs w:val="20"/>
              </w:rPr>
              <w:t>Doss et al. 2013</w:t>
            </w:r>
          </w:p>
        </w:tc>
        <w:tc>
          <w:tcPr>
            <w:tcW w:w="2856" w:type="dxa"/>
            <w:shd w:val="clear" w:color="auto" w:fill="EFFFEF"/>
            <w:vAlign w:val="center"/>
          </w:tcPr>
          <w:p w14:paraId="6354079D" w14:textId="77777777" w:rsidR="003C7FAE" w:rsidRPr="003C6720" w:rsidRDefault="003C7FAE" w:rsidP="00434380">
            <w:pPr>
              <w:jc w:val="left"/>
              <w:rPr>
                <w:rFonts w:cs="Arial"/>
                <w:sz w:val="20"/>
                <w:szCs w:val="20"/>
              </w:rPr>
            </w:pPr>
            <w:r w:rsidRPr="003C6720">
              <w:rPr>
                <w:rFonts w:cs="Arial"/>
                <w:sz w:val="20"/>
                <w:szCs w:val="20"/>
              </w:rPr>
              <w:t>Africa</w:t>
            </w:r>
          </w:p>
        </w:tc>
        <w:tc>
          <w:tcPr>
            <w:tcW w:w="1710" w:type="dxa"/>
            <w:shd w:val="clear" w:color="auto" w:fill="EFFFEF"/>
            <w:vAlign w:val="center"/>
          </w:tcPr>
          <w:p w14:paraId="29B5080D" w14:textId="77777777" w:rsidR="003C7FAE" w:rsidRDefault="003C7FAE" w:rsidP="00434380">
            <w:pPr>
              <w:jc w:val="left"/>
              <w:rPr>
                <w:rFonts w:cs="Arial"/>
                <w:sz w:val="20"/>
                <w:szCs w:val="20"/>
              </w:rPr>
            </w:pPr>
            <w:r w:rsidRPr="003C6720">
              <w:rPr>
                <w:rFonts w:cs="Arial"/>
                <w:sz w:val="20"/>
                <w:szCs w:val="20"/>
              </w:rPr>
              <w:t xml:space="preserve">Conceptual </w:t>
            </w:r>
          </w:p>
          <w:p w14:paraId="2102916C" w14:textId="77777777" w:rsidR="003C7FAE" w:rsidRDefault="003C7FAE" w:rsidP="00434380">
            <w:pPr>
              <w:jc w:val="left"/>
              <w:rPr>
                <w:rFonts w:cs="Arial"/>
                <w:sz w:val="20"/>
                <w:szCs w:val="20"/>
              </w:rPr>
            </w:pPr>
            <w:r w:rsidRPr="003C6720">
              <w:rPr>
                <w:rFonts w:cs="Arial"/>
                <w:sz w:val="20"/>
                <w:szCs w:val="20"/>
              </w:rPr>
              <w:t>Discussion</w:t>
            </w:r>
            <w:r>
              <w:rPr>
                <w:rFonts w:cs="Arial"/>
                <w:sz w:val="20"/>
                <w:szCs w:val="20"/>
              </w:rPr>
              <w:t xml:space="preserve"> </w:t>
            </w:r>
            <w:r w:rsidRPr="003C6720">
              <w:rPr>
                <w:rFonts w:cs="Arial"/>
                <w:sz w:val="20"/>
                <w:szCs w:val="20"/>
              </w:rPr>
              <w:t xml:space="preserve">and Systematic </w:t>
            </w:r>
          </w:p>
          <w:p w14:paraId="7A91A6A3" w14:textId="77777777" w:rsidR="003C7FAE" w:rsidRPr="003C6720" w:rsidRDefault="003C7FAE" w:rsidP="00434380">
            <w:pPr>
              <w:jc w:val="left"/>
              <w:rPr>
                <w:rFonts w:cs="Arial"/>
                <w:sz w:val="20"/>
                <w:szCs w:val="20"/>
              </w:rPr>
            </w:pPr>
            <w:r w:rsidRPr="003C6720">
              <w:rPr>
                <w:rFonts w:cs="Arial"/>
                <w:sz w:val="20"/>
                <w:szCs w:val="20"/>
              </w:rPr>
              <w:t xml:space="preserve">review </w:t>
            </w:r>
          </w:p>
        </w:tc>
        <w:tc>
          <w:tcPr>
            <w:tcW w:w="4561" w:type="dxa"/>
            <w:shd w:val="clear" w:color="auto" w:fill="EFFFEF"/>
            <w:vAlign w:val="center"/>
          </w:tcPr>
          <w:p w14:paraId="40B2A337" w14:textId="77777777" w:rsidR="003C7FAE" w:rsidRPr="003C6720" w:rsidRDefault="003C7FAE" w:rsidP="00434380">
            <w:pPr>
              <w:jc w:val="left"/>
              <w:rPr>
                <w:rFonts w:cs="Arial"/>
                <w:sz w:val="20"/>
                <w:szCs w:val="20"/>
              </w:rPr>
            </w:pPr>
            <w:r>
              <w:rPr>
                <w:rFonts w:cs="Arial"/>
                <w:sz w:val="20"/>
                <w:szCs w:val="20"/>
              </w:rPr>
              <w:t>G</w:t>
            </w:r>
            <w:r w:rsidRPr="003C6720">
              <w:rPr>
                <w:rFonts w:cs="Arial"/>
                <w:sz w:val="20"/>
                <w:szCs w:val="20"/>
              </w:rPr>
              <w:t>ender inequalities in land ownership and control in Africa, challenging myths and providing new statistics.</w:t>
            </w:r>
          </w:p>
        </w:tc>
      </w:tr>
      <w:tr w:rsidR="003C7FAE" w:rsidRPr="003C6720" w14:paraId="4C91FA05" w14:textId="77777777" w:rsidTr="00D86012">
        <w:trPr>
          <w:trHeight w:hRule="exact" w:val="907"/>
        </w:trPr>
        <w:tc>
          <w:tcPr>
            <w:tcW w:w="621" w:type="dxa"/>
            <w:shd w:val="clear" w:color="auto" w:fill="EFFFEF"/>
            <w:vAlign w:val="center"/>
          </w:tcPr>
          <w:p w14:paraId="5F851833" w14:textId="77777777" w:rsidR="003C7FAE" w:rsidRPr="00D86012" w:rsidRDefault="003C7FAE" w:rsidP="003C7FAE">
            <w:pPr>
              <w:pStyle w:val="ListParagraph"/>
              <w:numPr>
                <w:ilvl w:val="0"/>
                <w:numId w:val="6"/>
              </w:numPr>
              <w:ind w:left="0" w:firstLine="0"/>
              <w:jc w:val="center"/>
              <w:rPr>
                <w:rFonts w:cs="Arial"/>
                <w:b/>
                <w:bCs/>
                <w:i/>
                <w:iCs/>
                <w:sz w:val="20"/>
                <w:szCs w:val="20"/>
              </w:rPr>
            </w:pPr>
          </w:p>
        </w:tc>
        <w:tc>
          <w:tcPr>
            <w:tcW w:w="2159" w:type="dxa"/>
            <w:shd w:val="clear" w:color="auto" w:fill="EFFFEF"/>
            <w:vAlign w:val="center"/>
          </w:tcPr>
          <w:p w14:paraId="0FFE4B33" w14:textId="77777777" w:rsidR="003C7FAE" w:rsidRPr="003C6720" w:rsidRDefault="003C7FAE" w:rsidP="00434380">
            <w:pPr>
              <w:jc w:val="left"/>
              <w:rPr>
                <w:rFonts w:cs="Arial"/>
                <w:sz w:val="20"/>
                <w:szCs w:val="20"/>
              </w:rPr>
            </w:pPr>
            <w:r w:rsidRPr="003C6720">
              <w:rPr>
                <w:rFonts w:cs="Arial"/>
                <w:sz w:val="20"/>
                <w:szCs w:val="20"/>
              </w:rPr>
              <w:t>Stewart et al. 2013</w:t>
            </w:r>
          </w:p>
        </w:tc>
        <w:tc>
          <w:tcPr>
            <w:tcW w:w="2856" w:type="dxa"/>
            <w:shd w:val="clear" w:color="auto" w:fill="EFFFEF"/>
            <w:vAlign w:val="center"/>
          </w:tcPr>
          <w:p w14:paraId="2997A1DF" w14:textId="77777777" w:rsidR="003C7FAE" w:rsidRPr="003C6720" w:rsidRDefault="003C7FAE" w:rsidP="00434380">
            <w:pPr>
              <w:jc w:val="left"/>
              <w:rPr>
                <w:rFonts w:cs="Arial"/>
                <w:sz w:val="20"/>
                <w:szCs w:val="20"/>
              </w:rPr>
            </w:pPr>
            <w:r w:rsidRPr="003C6720">
              <w:rPr>
                <w:rFonts w:cs="Arial"/>
                <w:sz w:val="20"/>
                <w:szCs w:val="20"/>
              </w:rPr>
              <w:t>Low and middle-income countries; Johannesburg, South Africa; Accra, Ghana</w:t>
            </w:r>
          </w:p>
        </w:tc>
        <w:tc>
          <w:tcPr>
            <w:tcW w:w="1710" w:type="dxa"/>
            <w:shd w:val="clear" w:color="auto" w:fill="EFFFEF"/>
            <w:vAlign w:val="center"/>
          </w:tcPr>
          <w:p w14:paraId="3929A049" w14:textId="77777777" w:rsidR="003C7FAE" w:rsidRDefault="003C7FAE" w:rsidP="00434380">
            <w:pPr>
              <w:jc w:val="left"/>
              <w:rPr>
                <w:rFonts w:cs="Arial"/>
                <w:sz w:val="20"/>
                <w:szCs w:val="20"/>
              </w:rPr>
            </w:pPr>
            <w:r w:rsidRPr="003C6720">
              <w:rPr>
                <w:rFonts w:cs="Arial"/>
                <w:sz w:val="20"/>
                <w:szCs w:val="20"/>
              </w:rPr>
              <w:t xml:space="preserve">Systematic </w:t>
            </w:r>
          </w:p>
          <w:p w14:paraId="0CF6D3CF" w14:textId="77777777" w:rsidR="003C7FAE" w:rsidRPr="003C6720" w:rsidRDefault="003C7FAE" w:rsidP="00434380">
            <w:pPr>
              <w:jc w:val="left"/>
              <w:rPr>
                <w:rFonts w:cs="Arial"/>
                <w:sz w:val="20"/>
                <w:szCs w:val="20"/>
              </w:rPr>
            </w:pPr>
            <w:r>
              <w:rPr>
                <w:rFonts w:cs="Arial"/>
                <w:sz w:val="20"/>
                <w:szCs w:val="20"/>
              </w:rPr>
              <w:t>R</w:t>
            </w:r>
            <w:r w:rsidRPr="003C6720">
              <w:rPr>
                <w:rFonts w:cs="Arial"/>
                <w:sz w:val="20"/>
                <w:szCs w:val="20"/>
              </w:rPr>
              <w:t xml:space="preserve">eview </w:t>
            </w:r>
          </w:p>
        </w:tc>
        <w:tc>
          <w:tcPr>
            <w:tcW w:w="4561" w:type="dxa"/>
            <w:shd w:val="clear" w:color="auto" w:fill="EFFFEF"/>
            <w:vAlign w:val="center"/>
          </w:tcPr>
          <w:p w14:paraId="74286405" w14:textId="77777777" w:rsidR="003C7FAE" w:rsidRPr="003C6720" w:rsidRDefault="003C7FAE" w:rsidP="00434380">
            <w:pPr>
              <w:jc w:val="left"/>
              <w:rPr>
                <w:rFonts w:cs="Arial"/>
                <w:sz w:val="20"/>
                <w:szCs w:val="20"/>
              </w:rPr>
            </w:pPr>
            <w:r>
              <w:rPr>
                <w:rFonts w:cs="Arial"/>
                <w:sz w:val="20"/>
                <w:szCs w:val="20"/>
              </w:rPr>
              <w:t>I</w:t>
            </w:r>
            <w:r w:rsidRPr="003C6720">
              <w:rPr>
                <w:rFonts w:cs="Arial"/>
                <w:sz w:val="20"/>
                <w:szCs w:val="20"/>
              </w:rPr>
              <w:t>mpacts of urban agriculture programs on food security in low and middle-income countries.</w:t>
            </w:r>
          </w:p>
        </w:tc>
      </w:tr>
      <w:tr w:rsidR="003C7FAE" w:rsidRPr="003C6720" w14:paraId="2F5DEA27" w14:textId="77777777" w:rsidTr="00D86012">
        <w:trPr>
          <w:trHeight w:hRule="exact" w:val="907"/>
        </w:trPr>
        <w:tc>
          <w:tcPr>
            <w:tcW w:w="621" w:type="dxa"/>
            <w:shd w:val="clear" w:color="auto" w:fill="EFFFEF"/>
            <w:vAlign w:val="center"/>
          </w:tcPr>
          <w:p w14:paraId="1731625E"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EFFFEF"/>
            <w:vAlign w:val="center"/>
          </w:tcPr>
          <w:p w14:paraId="5C976DBD" w14:textId="77777777" w:rsidR="003C7FAE" w:rsidRDefault="003C7FAE" w:rsidP="00434380">
            <w:pPr>
              <w:jc w:val="left"/>
              <w:rPr>
                <w:rFonts w:cs="Arial"/>
                <w:sz w:val="20"/>
                <w:szCs w:val="20"/>
              </w:rPr>
            </w:pPr>
            <w:r w:rsidRPr="003C6720">
              <w:rPr>
                <w:rFonts w:cs="Arial"/>
                <w:sz w:val="20"/>
                <w:szCs w:val="20"/>
              </w:rPr>
              <w:t xml:space="preserve">Doss, Summerfield </w:t>
            </w:r>
          </w:p>
          <w:p w14:paraId="3859D157" w14:textId="77777777" w:rsidR="003C7FAE" w:rsidRPr="003C6720" w:rsidRDefault="003C7FAE" w:rsidP="00434380">
            <w:pPr>
              <w:jc w:val="left"/>
              <w:rPr>
                <w:rFonts w:cs="Arial"/>
                <w:sz w:val="20"/>
                <w:szCs w:val="20"/>
              </w:rPr>
            </w:pPr>
            <w:r w:rsidRPr="003C6720">
              <w:rPr>
                <w:rFonts w:cs="Arial"/>
                <w:sz w:val="20"/>
                <w:szCs w:val="20"/>
              </w:rPr>
              <w:t>and Tsikata, 2014</w:t>
            </w:r>
          </w:p>
        </w:tc>
        <w:tc>
          <w:tcPr>
            <w:tcW w:w="2856" w:type="dxa"/>
            <w:shd w:val="clear" w:color="auto" w:fill="EFFFEF"/>
            <w:vAlign w:val="center"/>
          </w:tcPr>
          <w:p w14:paraId="68C0BCBC" w14:textId="77777777" w:rsidR="003C7FAE" w:rsidRPr="003C6720" w:rsidRDefault="003C7FAE" w:rsidP="00434380">
            <w:pPr>
              <w:jc w:val="left"/>
              <w:rPr>
                <w:rFonts w:cs="Arial"/>
                <w:sz w:val="20"/>
                <w:szCs w:val="20"/>
              </w:rPr>
            </w:pPr>
            <w:r w:rsidRPr="003C6720">
              <w:rPr>
                <w:rFonts w:cs="Arial"/>
                <w:sz w:val="20"/>
                <w:szCs w:val="20"/>
              </w:rPr>
              <w:t xml:space="preserve">Low- and middle-income countries </w:t>
            </w:r>
          </w:p>
        </w:tc>
        <w:tc>
          <w:tcPr>
            <w:tcW w:w="1710" w:type="dxa"/>
            <w:shd w:val="clear" w:color="auto" w:fill="EFFFEF"/>
            <w:vAlign w:val="center"/>
          </w:tcPr>
          <w:p w14:paraId="45157919" w14:textId="77777777" w:rsidR="003C7FAE" w:rsidRDefault="003C7FAE" w:rsidP="00434380">
            <w:pPr>
              <w:jc w:val="left"/>
              <w:rPr>
                <w:rFonts w:cs="Arial"/>
                <w:sz w:val="20"/>
                <w:szCs w:val="20"/>
              </w:rPr>
            </w:pPr>
            <w:r>
              <w:rPr>
                <w:rFonts w:cs="Arial"/>
                <w:sz w:val="20"/>
                <w:szCs w:val="20"/>
              </w:rPr>
              <w:t>Q</w:t>
            </w:r>
            <w:r w:rsidRPr="003C6720">
              <w:rPr>
                <w:rFonts w:cs="Arial"/>
                <w:sz w:val="20"/>
                <w:szCs w:val="20"/>
              </w:rPr>
              <w:t xml:space="preserve">ualitative </w:t>
            </w:r>
          </w:p>
          <w:p w14:paraId="63D39723" w14:textId="77777777" w:rsidR="003C7FAE" w:rsidRDefault="003C7FAE" w:rsidP="00434380">
            <w:pPr>
              <w:jc w:val="left"/>
              <w:rPr>
                <w:rFonts w:cs="Arial"/>
                <w:sz w:val="20"/>
                <w:szCs w:val="20"/>
              </w:rPr>
            </w:pPr>
            <w:r w:rsidRPr="003C6720">
              <w:rPr>
                <w:rFonts w:cs="Arial"/>
                <w:sz w:val="20"/>
                <w:szCs w:val="20"/>
              </w:rPr>
              <w:t xml:space="preserve">Literature </w:t>
            </w:r>
          </w:p>
          <w:p w14:paraId="4759F880" w14:textId="77777777" w:rsidR="003C7FAE" w:rsidRPr="003C6720" w:rsidRDefault="003C7FAE" w:rsidP="00434380">
            <w:pPr>
              <w:jc w:val="left"/>
              <w:rPr>
                <w:rFonts w:cs="Arial"/>
                <w:sz w:val="20"/>
                <w:szCs w:val="20"/>
              </w:rPr>
            </w:pPr>
            <w:r w:rsidRPr="003C6720">
              <w:rPr>
                <w:rFonts w:cs="Arial"/>
                <w:sz w:val="20"/>
                <w:szCs w:val="20"/>
              </w:rPr>
              <w:t>Review</w:t>
            </w:r>
          </w:p>
        </w:tc>
        <w:tc>
          <w:tcPr>
            <w:tcW w:w="4561" w:type="dxa"/>
            <w:shd w:val="clear" w:color="auto" w:fill="EFFFEF"/>
            <w:vAlign w:val="center"/>
          </w:tcPr>
          <w:p w14:paraId="619F17B8" w14:textId="77777777" w:rsidR="003C7FAE" w:rsidRPr="003C6720" w:rsidRDefault="003C7FAE" w:rsidP="00434380">
            <w:pPr>
              <w:jc w:val="left"/>
              <w:rPr>
                <w:rFonts w:cs="Arial"/>
                <w:color w:val="131314"/>
                <w:sz w:val="20"/>
                <w:szCs w:val="20"/>
                <w:shd w:val="clear" w:color="auto" w:fill="FFFFFF"/>
              </w:rPr>
            </w:pPr>
            <w:r>
              <w:rPr>
                <w:rFonts w:cs="Arial"/>
                <w:sz w:val="20"/>
                <w:szCs w:val="20"/>
              </w:rPr>
              <w:t>G</w:t>
            </w:r>
            <w:r w:rsidRPr="003C6720">
              <w:rPr>
                <w:rFonts w:cs="Arial"/>
                <w:sz w:val="20"/>
                <w:szCs w:val="20"/>
              </w:rPr>
              <w:t>endered effects of large-scale land acquisitions on food security in sub-Saharan Africa</w:t>
            </w:r>
            <w:r>
              <w:rPr>
                <w:rFonts w:cs="Arial"/>
                <w:sz w:val="20"/>
                <w:szCs w:val="20"/>
              </w:rPr>
              <w:t>.</w:t>
            </w:r>
          </w:p>
        </w:tc>
      </w:tr>
      <w:tr w:rsidR="003C7FAE" w:rsidRPr="003C6720" w14:paraId="3C44EC7C" w14:textId="77777777" w:rsidTr="00D86012">
        <w:trPr>
          <w:trHeight w:hRule="exact" w:val="907"/>
        </w:trPr>
        <w:tc>
          <w:tcPr>
            <w:tcW w:w="621" w:type="dxa"/>
            <w:shd w:val="clear" w:color="auto" w:fill="EFFFEF"/>
            <w:vAlign w:val="center"/>
          </w:tcPr>
          <w:p w14:paraId="40EC9AC2"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EFFFEF"/>
            <w:vAlign w:val="center"/>
          </w:tcPr>
          <w:p w14:paraId="4FF9CDFB" w14:textId="77777777" w:rsidR="003C7FAE" w:rsidRPr="003C6720" w:rsidRDefault="003C7FAE" w:rsidP="00434380">
            <w:pPr>
              <w:jc w:val="left"/>
              <w:rPr>
                <w:rFonts w:cs="Arial"/>
                <w:sz w:val="20"/>
                <w:szCs w:val="20"/>
              </w:rPr>
            </w:pPr>
            <w:r w:rsidRPr="003C6720">
              <w:rPr>
                <w:rFonts w:cs="Arial"/>
                <w:sz w:val="20"/>
                <w:szCs w:val="20"/>
              </w:rPr>
              <w:t>Korth et al. 2014</w:t>
            </w:r>
          </w:p>
        </w:tc>
        <w:tc>
          <w:tcPr>
            <w:tcW w:w="2856" w:type="dxa"/>
            <w:shd w:val="clear" w:color="auto" w:fill="EFFFEF"/>
            <w:vAlign w:val="center"/>
          </w:tcPr>
          <w:p w14:paraId="3D5FF74B" w14:textId="77777777" w:rsidR="003C7FAE" w:rsidRPr="003C6720" w:rsidRDefault="003C7FAE" w:rsidP="00434380">
            <w:pPr>
              <w:jc w:val="left"/>
              <w:rPr>
                <w:rFonts w:cs="Arial"/>
                <w:sz w:val="20"/>
                <w:szCs w:val="20"/>
              </w:rPr>
            </w:pPr>
            <w:r w:rsidRPr="003C6720">
              <w:rPr>
                <w:rFonts w:cs="Arial"/>
                <w:sz w:val="20"/>
                <w:szCs w:val="20"/>
              </w:rPr>
              <w:t>Low and middle-income countries, particularly in west and east Africa.</w:t>
            </w:r>
          </w:p>
        </w:tc>
        <w:tc>
          <w:tcPr>
            <w:tcW w:w="1710" w:type="dxa"/>
            <w:shd w:val="clear" w:color="auto" w:fill="EFFFEF"/>
            <w:vAlign w:val="center"/>
          </w:tcPr>
          <w:p w14:paraId="259EBB4F" w14:textId="77777777" w:rsidR="003C7FAE" w:rsidRDefault="003C7FAE" w:rsidP="00434380">
            <w:pPr>
              <w:jc w:val="left"/>
              <w:rPr>
                <w:rFonts w:cs="Arial"/>
                <w:sz w:val="20"/>
                <w:szCs w:val="20"/>
              </w:rPr>
            </w:pPr>
            <w:r w:rsidRPr="003C6720">
              <w:rPr>
                <w:rFonts w:cs="Arial"/>
                <w:sz w:val="20"/>
                <w:szCs w:val="20"/>
              </w:rPr>
              <w:t xml:space="preserve">Systematic </w:t>
            </w:r>
          </w:p>
          <w:p w14:paraId="55848EFA" w14:textId="77777777" w:rsidR="003C7FAE" w:rsidRDefault="003C7FAE" w:rsidP="00434380">
            <w:pPr>
              <w:jc w:val="left"/>
              <w:rPr>
                <w:rFonts w:cs="Arial"/>
                <w:sz w:val="20"/>
                <w:szCs w:val="20"/>
              </w:rPr>
            </w:pPr>
            <w:r w:rsidRPr="003C6720">
              <w:rPr>
                <w:rFonts w:cs="Arial"/>
                <w:sz w:val="20"/>
                <w:szCs w:val="20"/>
              </w:rPr>
              <w:t xml:space="preserve">Literature </w:t>
            </w:r>
          </w:p>
          <w:p w14:paraId="596DFF62" w14:textId="77777777" w:rsidR="003C7FAE" w:rsidRPr="003C6720" w:rsidRDefault="003C7FAE" w:rsidP="00434380">
            <w:pPr>
              <w:jc w:val="left"/>
              <w:rPr>
                <w:rFonts w:cs="Arial"/>
                <w:sz w:val="20"/>
                <w:szCs w:val="20"/>
              </w:rPr>
            </w:pPr>
            <w:r w:rsidRPr="003C6720">
              <w:rPr>
                <w:rFonts w:cs="Arial"/>
                <w:sz w:val="20"/>
                <w:szCs w:val="20"/>
              </w:rPr>
              <w:t>Review</w:t>
            </w:r>
          </w:p>
        </w:tc>
        <w:tc>
          <w:tcPr>
            <w:tcW w:w="4561" w:type="dxa"/>
            <w:shd w:val="clear" w:color="auto" w:fill="EFFFEF"/>
            <w:vAlign w:val="center"/>
          </w:tcPr>
          <w:p w14:paraId="6BEB4863" w14:textId="77777777" w:rsidR="003C7FAE" w:rsidRPr="003C6720" w:rsidRDefault="003C7FAE" w:rsidP="00434380">
            <w:pPr>
              <w:jc w:val="left"/>
              <w:rPr>
                <w:rFonts w:cs="Arial"/>
                <w:sz w:val="20"/>
                <w:szCs w:val="20"/>
              </w:rPr>
            </w:pPr>
            <w:r>
              <w:rPr>
                <w:rFonts w:cs="Arial"/>
                <w:sz w:val="20"/>
                <w:szCs w:val="20"/>
              </w:rPr>
              <w:t>U</w:t>
            </w:r>
            <w:r w:rsidRPr="003C6720">
              <w:rPr>
                <w:rFonts w:cs="Arial"/>
                <w:sz w:val="20"/>
                <w:szCs w:val="20"/>
              </w:rPr>
              <w:t>rban agriculture, food security in low and middle-income countries.</w:t>
            </w:r>
          </w:p>
        </w:tc>
      </w:tr>
      <w:tr w:rsidR="003C7FAE" w:rsidRPr="003C6720" w14:paraId="5729A23C" w14:textId="77777777" w:rsidTr="00D86012">
        <w:trPr>
          <w:trHeight w:hRule="exact" w:val="680"/>
        </w:trPr>
        <w:tc>
          <w:tcPr>
            <w:tcW w:w="621" w:type="dxa"/>
            <w:shd w:val="clear" w:color="auto" w:fill="EFFFEF"/>
            <w:vAlign w:val="center"/>
          </w:tcPr>
          <w:p w14:paraId="3B3127E4"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EFFFEF"/>
            <w:vAlign w:val="center"/>
          </w:tcPr>
          <w:p w14:paraId="67D41D4F" w14:textId="77777777" w:rsidR="003C7FAE" w:rsidRPr="003C6720" w:rsidRDefault="003C7FAE" w:rsidP="00434380">
            <w:pPr>
              <w:jc w:val="left"/>
              <w:rPr>
                <w:rFonts w:cs="Arial"/>
                <w:sz w:val="20"/>
                <w:szCs w:val="20"/>
              </w:rPr>
            </w:pPr>
            <w:r w:rsidRPr="003C6720">
              <w:rPr>
                <w:rFonts w:cs="Arial"/>
                <w:sz w:val="20"/>
                <w:szCs w:val="20"/>
              </w:rPr>
              <w:t>Alemu 2015</w:t>
            </w:r>
          </w:p>
        </w:tc>
        <w:tc>
          <w:tcPr>
            <w:tcW w:w="2856" w:type="dxa"/>
            <w:shd w:val="clear" w:color="auto" w:fill="EFFFEF"/>
            <w:vAlign w:val="center"/>
          </w:tcPr>
          <w:p w14:paraId="4F75447A" w14:textId="77777777" w:rsidR="003C7FAE" w:rsidRPr="003C6720" w:rsidRDefault="003C7FAE" w:rsidP="00434380">
            <w:pPr>
              <w:jc w:val="left"/>
              <w:rPr>
                <w:rFonts w:cs="Arial"/>
                <w:sz w:val="20"/>
                <w:szCs w:val="20"/>
              </w:rPr>
            </w:pPr>
            <w:r w:rsidRPr="003C6720">
              <w:rPr>
                <w:rFonts w:cs="Arial"/>
                <w:sz w:val="20"/>
                <w:szCs w:val="20"/>
              </w:rPr>
              <w:t>Africa, Ethiopia</w:t>
            </w:r>
          </w:p>
        </w:tc>
        <w:tc>
          <w:tcPr>
            <w:tcW w:w="1710" w:type="dxa"/>
            <w:shd w:val="clear" w:color="auto" w:fill="EFFFEF"/>
            <w:vAlign w:val="center"/>
          </w:tcPr>
          <w:p w14:paraId="60D0E1EC" w14:textId="77777777" w:rsidR="003C7FAE" w:rsidRPr="00493106" w:rsidRDefault="003C7FAE" w:rsidP="00434380">
            <w:pPr>
              <w:jc w:val="left"/>
              <w:rPr>
                <w:rFonts w:cs="Arial"/>
                <w:sz w:val="20"/>
                <w:szCs w:val="20"/>
              </w:rPr>
            </w:pPr>
            <w:r w:rsidRPr="00493106">
              <w:rPr>
                <w:rFonts w:cs="Arial"/>
                <w:sz w:val="20"/>
                <w:szCs w:val="20"/>
              </w:rPr>
              <w:t xml:space="preserve">Systematic </w:t>
            </w:r>
          </w:p>
          <w:p w14:paraId="48780043" w14:textId="77777777" w:rsidR="003C7FAE" w:rsidRPr="00493106" w:rsidRDefault="003C7FAE" w:rsidP="00434380">
            <w:pPr>
              <w:jc w:val="left"/>
              <w:rPr>
                <w:rFonts w:cs="Arial"/>
                <w:sz w:val="20"/>
                <w:szCs w:val="20"/>
              </w:rPr>
            </w:pPr>
            <w:r w:rsidRPr="00493106">
              <w:rPr>
                <w:rFonts w:cs="Arial"/>
                <w:sz w:val="20"/>
                <w:szCs w:val="20"/>
              </w:rPr>
              <w:t xml:space="preserve">Review </w:t>
            </w:r>
          </w:p>
        </w:tc>
        <w:tc>
          <w:tcPr>
            <w:tcW w:w="4561" w:type="dxa"/>
            <w:shd w:val="clear" w:color="auto" w:fill="EFFFEF"/>
            <w:noWrap/>
            <w:vAlign w:val="center"/>
          </w:tcPr>
          <w:p w14:paraId="3EAEE8E6" w14:textId="77777777" w:rsidR="003C7FAE" w:rsidRPr="00493106" w:rsidRDefault="003C7FAE" w:rsidP="00434380">
            <w:pPr>
              <w:jc w:val="left"/>
              <w:rPr>
                <w:rFonts w:cs="Arial"/>
                <w:sz w:val="20"/>
                <w:szCs w:val="20"/>
              </w:rPr>
            </w:pPr>
            <w:r w:rsidRPr="00493106">
              <w:rPr>
                <w:rFonts w:cs="Arial"/>
                <w:sz w:val="20"/>
                <w:szCs w:val="20"/>
              </w:rPr>
              <w:t>Women's insecure land tenure and property rights in Africa, household food security.</w:t>
            </w:r>
          </w:p>
        </w:tc>
      </w:tr>
      <w:tr w:rsidR="003C7FAE" w:rsidRPr="003C6720" w14:paraId="560D59DB" w14:textId="77777777" w:rsidTr="00D86012">
        <w:trPr>
          <w:trHeight w:hRule="exact" w:val="907"/>
        </w:trPr>
        <w:tc>
          <w:tcPr>
            <w:tcW w:w="621" w:type="dxa"/>
            <w:shd w:val="clear" w:color="auto" w:fill="EFFFEF"/>
            <w:vAlign w:val="center"/>
          </w:tcPr>
          <w:p w14:paraId="7341BA1A"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EFFFEF"/>
            <w:vAlign w:val="center"/>
          </w:tcPr>
          <w:p w14:paraId="3B8D5D46" w14:textId="77777777" w:rsidR="003C7FAE" w:rsidRPr="003C6720" w:rsidRDefault="003C7FAE" w:rsidP="00434380">
            <w:pPr>
              <w:jc w:val="left"/>
              <w:rPr>
                <w:rFonts w:cs="Arial"/>
                <w:sz w:val="20"/>
                <w:szCs w:val="20"/>
              </w:rPr>
            </w:pPr>
            <w:proofErr w:type="spellStart"/>
            <w:r w:rsidRPr="003C6720">
              <w:rPr>
                <w:rFonts w:cs="Arial"/>
                <w:sz w:val="20"/>
                <w:szCs w:val="20"/>
              </w:rPr>
              <w:t>Arisunta</w:t>
            </w:r>
            <w:proofErr w:type="spellEnd"/>
            <w:r w:rsidRPr="003C6720">
              <w:rPr>
                <w:rFonts w:cs="Arial"/>
                <w:sz w:val="20"/>
                <w:szCs w:val="20"/>
              </w:rPr>
              <w:t>, 2015</w:t>
            </w:r>
          </w:p>
        </w:tc>
        <w:tc>
          <w:tcPr>
            <w:tcW w:w="2856" w:type="dxa"/>
            <w:shd w:val="clear" w:color="auto" w:fill="EFFFEF"/>
            <w:vAlign w:val="center"/>
          </w:tcPr>
          <w:p w14:paraId="39401A93" w14:textId="77777777" w:rsidR="003C7FAE" w:rsidRPr="003C6720" w:rsidRDefault="003C7FAE" w:rsidP="00434380">
            <w:pPr>
              <w:jc w:val="left"/>
              <w:rPr>
                <w:rFonts w:cs="Arial"/>
                <w:sz w:val="20"/>
                <w:szCs w:val="20"/>
              </w:rPr>
            </w:pPr>
            <w:r w:rsidRPr="003C6720">
              <w:rPr>
                <w:rFonts w:cs="Arial"/>
                <w:sz w:val="20"/>
                <w:szCs w:val="20"/>
              </w:rPr>
              <w:t>Zimbabwe</w:t>
            </w:r>
          </w:p>
        </w:tc>
        <w:tc>
          <w:tcPr>
            <w:tcW w:w="1710" w:type="dxa"/>
            <w:shd w:val="clear" w:color="auto" w:fill="EFFFEF"/>
            <w:vAlign w:val="center"/>
          </w:tcPr>
          <w:p w14:paraId="6B485291" w14:textId="77777777" w:rsidR="003C7FAE" w:rsidRDefault="003C7FAE" w:rsidP="00434380">
            <w:pPr>
              <w:jc w:val="left"/>
              <w:rPr>
                <w:rFonts w:cs="Arial"/>
                <w:sz w:val="20"/>
                <w:szCs w:val="20"/>
              </w:rPr>
            </w:pPr>
            <w:r w:rsidRPr="003C6720">
              <w:rPr>
                <w:rFonts w:cs="Arial"/>
                <w:sz w:val="20"/>
                <w:szCs w:val="20"/>
              </w:rPr>
              <w:t xml:space="preserve">Systematic </w:t>
            </w:r>
          </w:p>
          <w:p w14:paraId="5094645C" w14:textId="77777777" w:rsidR="003C7FAE" w:rsidRPr="003C6720" w:rsidRDefault="003C7FAE" w:rsidP="00434380">
            <w:pPr>
              <w:jc w:val="left"/>
              <w:rPr>
                <w:rFonts w:cs="Arial"/>
                <w:sz w:val="20"/>
                <w:szCs w:val="20"/>
              </w:rPr>
            </w:pPr>
            <w:r w:rsidRPr="003C6720">
              <w:rPr>
                <w:rFonts w:cs="Arial"/>
                <w:sz w:val="20"/>
                <w:szCs w:val="20"/>
              </w:rPr>
              <w:t xml:space="preserve">Review </w:t>
            </w:r>
          </w:p>
        </w:tc>
        <w:tc>
          <w:tcPr>
            <w:tcW w:w="4561" w:type="dxa"/>
            <w:shd w:val="clear" w:color="auto" w:fill="EFFFEF"/>
            <w:vAlign w:val="center"/>
          </w:tcPr>
          <w:p w14:paraId="67DAF59C" w14:textId="77777777" w:rsidR="003C7FAE" w:rsidRPr="003C6720" w:rsidRDefault="003C7FAE" w:rsidP="00434380">
            <w:pPr>
              <w:jc w:val="left"/>
              <w:rPr>
                <w:rFonts w:cs="Arial"/>
                <w:sz w:val="20"/>
                <w:szCs w:val="20"/>
              </w:rPr>
            </w:pPr>
            <w:r>
              <w:rPr>
                <w:rFonts w:cs="Arial"/>
                <w:sz w:val="20"/>
                <w:szCs w:val="20"/>
              </w:rPr>
              <w:t>C</w:t>
            </w:r>
            <w:r w:rsidRPr="003C6720">
              <w:rPr>
                <w:rFonts w:cs="Arial"/>
                <w:sz w:val="20"/>
                <w:szCs w:val="20"/>
              </w:rPr>
              <w:t>hanges in land tenure and rights, women's agricultural productivity, food security and poverty in Zimbabwe.</w:t>
            </w:r>
          </w:p>
        </w:tc>
      </w:tr>
      <w:tr w:rsidR="003C7FAE" w:rsidRPr="003C6720" w14:paraId="7AB00E28" w14:textId="77777777" w:rsidTr="00D86012">
        <w:trPr>
          <w:trHeight w:hRule="exact" w:val="680"/>
        </w:trPr>
        <w:tc>
          <w:tcPr>
            <w:tcW w:w="621" w:type="dxa"/>
            <w:shd w:val="clear" w:color="auto" w:fill="EFFFEF"/>
            <w:vAlign w:val="center"/>
          </w:tcPr>
          <w:p w14:paraId="593D0DE2"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EFFFEF"/>
            <w:vAlign w:val="center"/>
          </w:tcPr>
          <w:p w14:paraId="164A8373" w14:textId="77777777" w:rsidR="003C7FAE" w:rsidRPr="003C6720" w:rsidRDefault="003C7FAE" w:rsidP="00434380">
            <w:pPr>
              <w:jc w:val="left"/>
              <w:rPr>
                <w:rFonts w:cs="Arial"/>
                <w:sz w:val="20"/>
                <w:szCs w:val="20"/>
              </w:rPr>
            </w:pPr>
            <w:r w:rsidRPr="003C6720">
              <w:rPr>
                <w:rFonts w:cs="Arial"/>
                <w:sz w:val="20"/>
                <w:szCs w:val="20"/>
              </w:rPr>
              <w:t>Chop et al., 2017</w:t>
            </w:r>
          </w:p>
        </w:tc>
        <w:tc>
          <w:tcPr>
            <w:tcW w:w="2856" w:type="dxa"/>
            <w:shd w:val="clear" w:color="auto" w:fill="EFFFEF"/>
            <w:vAlign w:val="center"/>
          </w:tcPr>
          <w:p w14:paraId="43A19F47" w14:textId="77777777" w:rsidR="003C7FAE" w:rsidRPr="003C6720" w:rsidRDefault="003C7FAE" w:rsidP="00434380">
            <w:pPr>
              <w:jc w:val="left"/>
              <w:rPr>
                <w:rFonts w:cs="Arial"/>
                <w:sz w:val="20"/>
                <w:szCs w:val="20"/>
              </w:rPr>
            </w:pPr>
            <w:r w:rsidRPr="00CE3923">
              <w:rPr>
                <w:rFonts w:cs="Arial"/>
                <w:sz w:val="20"/>
                <w:szCs w:val="20"/>
              </w:rPr>
              <w:t>DR Congo</w:t>
            </w:r>
            <w:r>
              <w:rPr>
                <w:rFonts w:cs="Arial"/>
                <w:sz w:val="20"/>
                <w:szCs w:val="20"/>
              </w:rPr>
              <w:t xml:space="preserve">, </w:t>
            </w:r>
            <w:r w:rsidRPr="00CE3923">
              <w:rPr>
                <w:rFonts w:cs="Arial"/>
                <w:sz w:val="20"/>
                <w:szCs w:val="20"/>
              </w:rPr>
              <w:t>Swaziland</w:t>
            </w:r>
            <w:r>
              <w:rPr>
                <w:rFonts w:cs="Arial"/>
                <w:sz w:val="20"/>
                <w:szCs w:val="20"/>
              </w:rPr>
              <w:t xml:space="preserve">, </w:t>
            </w:r>
            <w:r w:rsidRPr="00CE3923">
              <w:rPr>
                <w:rFonts w:cs="Arial"/>
                <w:sz w:val="20"/>
                <w:szCs w:val="20"/>
              </w:rPr>
              <w:t>Uganda</w:t>
            </w:r>
            <w:r>
              <w:rPr>
                <w:rFonts w:cs="Arial"/>
                <w:sz w:val="20"/>
                <w:szCs w:val="20"/>
              </w:rPr>
              <w:t xml:space="preserve">, </w:t>
            </w:r>
            <w:r w:rsidRPr="00CE3923">
              <w:rPr>
                <w:rFonts w:cs="Arial"/>
                <w:sz w:val="20"/>
                <w:szCs w:val="20"/>
              </w:rPr>
              <w:t>Zambia</w:t>
            </w:r>
            <w:r>
              <w:rPr>
                <w:rFonts w:cs="Arial"/>
                <w:sz w:val="20"/>
                <w:szCs w:val="20"/>
              </w:rPr>
              <w:t>, Canada</w:t>
            </w:r>
          </w:p>
        </w:tc>
        <w:tc>
          <w:tcPr>
            <w:tcW w:w="1710" w:type="dxa"/>
            <w:shd w:val="clear" w:color="auto" w:fill="EFFFEF"/>
            <w:vAlign w:val="center"/>
          </w:tcPr>
          <w:p w14:paraId="2A685218" w14:textId="77777777" w:rsidR="003C7FAE" w:rsidRDefault="003C7FAE" w:rsidP="00434380">
            <w:pPr>
              <w:jc w:val="left"/>
              <w:rPr>
                <w:rFonts w:cs="Arial"/>
                <w:sz w:val="20"/>
                <w:szCs w:val="20"/>
              </w:rPr>
            </w:pPr>
            <w:r w:rsidRPr="003C6720">
              <w:rPr>
                <w:rFonts w:cs="Arial"/>
                <w:sz w:val="20"/>
                <w:szCs w:val="20"/>
              </w:rPr>
              <w:t xml:space="preserve">Systematic </w:t>
            </w:r>
          </w:p>
          <w:p w14:paraId="7F221A63" w14:textId="77777777" w:rsidR="003C7FAE" w:rsidRPr="003C6720" w:rsidRDefault="003C7FAE" w:rsidP="00434380">
            <w:pPr>
              <w:jc w:val="left"/>
              <w:rPr>
                <w:rFonts w:cs="Arial"/>
                <w:sz w:val="20"/>
                <w:szCs w:val="20"/>
              </w:rPr>
            </w:pPr>
            <w:r w:rsidRPr="003C6720">
              <w:rPr>
                <w:rFonts w:cs="Arial"/>
                <w:sz w:val="20"/>
                <w:szCs w:val="20"/>
              </w:rPr>
              <w:t>Review</w:t>
            </w:r>
          </w:p>
        </w:tc>
        <w:tc>
          <w:tcPr>
            <w:tcW w:w="4561" w:type="dxa"/>
            <w:shd w:val="clear" w:color="auto" w:fill="EFFFEF"/>
            <w:vAlign w:val="center"/>
          </w:tcPr>
          <w:p w14:paraId="5A5B4698" w14:textId="77777777" w:rsidR="003C7FAE" w:rsidRPr="003C6720" w:rsidRDefault="003C7FAE" w:rsidP="00434380">
            <w:pPr>
              <w:jc w:val="left"/>
              <w:rPr>
                <w:rFonts w:cs="Arial"/>
                <w:sz w:val="20"/>
                <w:szCs w:val="20"/>
              </w:rPr>
            </w:pPr>
            <w:r>
              <w:rPr>
                <w:rFonts w:cs="Arial"/>
                <w:sz w:val="20"/>
                <w:szCs w:val="20"/>
              </w:rPr>
              <w:t>F</w:t>
            </w:r>
            <w:r w:rsidRPr="003C6720">
              <w:rPr>
                <w:rFonts w:cs="Arial"/>
                <w:sz w:val="20"/>
                <w:szCs w:val="20"/>
              </w:rPr>
              <w:t>ood insecurity</w:t>
            </w:r>
            <w:r>
              <w:rPr>
                <w:rFonts w:cs="Arial"/>
                <w:sz w:val="20"/>
                <w:szCs w:val="20"/>
              </w:rPr>
              <w:t>.</w:t>
            </w:r>
            <w:r w:rsidRPr="003C6720">
              <w:rPr>
                <w:rFonts w:cs="Arial"/>
                <w:sz w:val="20"/>
                <w:szCs w:val="20"/>
              </w:rPr>
              <w:t xml:space="preserve"> </w:t>
            </w:r>
          </w:p>
        </w:tc>
      </w:tr>
      <w:tr w:rsidR="003C7FAE" w:rsidRPr="003C6720" w14:paraId="6960F881" w14:textId="77777777" w:rsidTr="00D86012">
        <w:trPr>
          <w:trHeight w:hRule="exact" w:val="907"/>
        </w:trPr>
        <w:tc>
          <w:tcPr>
            <w:tcW w:w="621" w:type="dxa"/>
            <w:shd w:val="clear" w:color="auto" w:fill="EFFFEF"/>
            <w:vAlign w:val="center"/>
          </w:tcPr>
          <w:p w14:paraId="4F1C05AC"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EFFFEF"/>
            <w:vAlign w:val="center"/>
          </w:tcPr>
          <w:p w14:paraId="01127C1E" w14:textId="77777777" w:rsidR="003C7FAE" w:rsidRPr="003C6720" w:rsidRDefault="003C7FAE" w:rsidP="00434380">
            <w:pPr>
              <w:jc w:val="left"/>
              <w:rPr>
                <w:rFonts w:cs="Arial"/>
                <w:sz w:val="20"/>
                <w:szCs w:val="20"/>
              </w:rPr>
            </w:pPr>
            <w:r w:rsidRPr="003C6720">
              <w:rPr>
                <w:rFonts w:cs="Arial"/>
                <w:sz w:val="20"/>
                <w:szCs w:val="20"/>
              </w:rPr>
              <w:t>Levien, 2017</w:t>
            </w:r>
          </w:p>
        </w:tc>
        <w:tc>
          <w:tcPr>
            <w:tcW w:w="2856" w:type="dxa"/>
            <w:shd w:val="clear" w:color="auto" w:fill="EFFFEF"/>
            <w:vAlign w:val="center"/>
          </w:tcPr>
          <w:p w14:paraId="3D303C34" w14:textId="77777777" w:rsidR="003C7FAE" w:rsidRPr="003C6720" w:rsidRDefault="003C7FAE" w:rsidP="00434380">
            <w:pPr>
              <w:jc w:val="left"/>
              <w:rPr>
                <w:rFonts w:cs="Arial"/>
                <w:sz w:val="20"/>
                <w:szCs w:val="20"/>
              </w:rPr>
            </w:pPr>
            <w:r w:rsidRPr="003C6720">
              <w:rPr>
                <w:rFonts w:cs="Arial"/>
                <w:sz w:val="20"/>
                <w:szCs w:val="20"/>
              </w:rPr>
              <w:t>Sub-Saharan Africa, focusing in particular on East and West African countries</w:t>
            </w:r>
          </w:p>
        </w:tc>
        <w:tc>
          <w:tcPr>
            <w:tcW w:w="1710" w:type="dxa"/>
            <w:shd w:val="clear" w:color="auto" w:fill="EFFFEF"/>
            <w:vAlign w:val="center"/>
          </w:tcPr>
          <w:p w14:paraId="7E825E4C" w14:textId="77777777" w:rsidR="003C7FAE" w:rsidRDefault="003C7FAE" w:rsidP="00434380">
            <w:pPr>
              <w:jc w:val="left"/>
              <w:rPr>
                <w:rFonts w:cs="Arial"/>
                <w:sz w:val="20"/>
                <w:szCs w:val="20"/>
              </w:rPr>
            </w:pPr>
            <w:r w:rsidRPr="003C6720">
              <w:rPr>
                <w:rFonts w:cs="Arial"/>
                <w:sz w:val="20"/>
                <w:szCs w:val="20"/>
              </w:rPr>
              <w:t>Literature</w:t>
            </w:r>
          </w:p>
          <w:p w14:paraId="6A6872E2" w14:textId="77777777" w:rsidR="003C7FAE" w:rsidRDefault="003C7FAE" w:rsidP="00434380">
            <w:pPr>
              <w:jc w:val="left"/>
              <w:rPr>
                <w:rFonts w:cs="Arial"/>
                <w:sz w:val="20"/>
                <w:szCs w:val="20"/>
              </w:rPr>
            </w:pPr>
            <w:r w:rsidRPr="003C6720">
              <w:rPr>
                <w:rFonts w:cs="Arial"/>
                <w:sz w:val="20"/>
                <w:szCs w:val="20"/>
              </w:rPr>
              <w:t xml:space="preserve">Review </w:t>
            </w:r>
          </w:p>
          <w:p w14:paraId="440C29E2" w14:textId="77777777" w:rsidR="003C7FAE" w:rsidRPr="003C6720" w:rsidRDefault="003C7FAE" w:rsidP="00434380">
            <w:pPr>
              <w:jc w:val="left"/>
              <w:rPr>
                <w:rFonts w:cs="Arial"/>
                <w:sz w:val="20"/>
                <w:szCs w:val="20"/>
              </w:rPr>
            </w:pPr>
          </w:p>
        </w:tc>
        <w:tc>
          <w:tcPr>
            <w:tcW w:w="4561" w:type="dxa"/>
            <w:shd w:val="clear" w:color="auto" w:fill="EFFFEF"/>
            <w:vAlign w:val="center"/>
          </w:tcPr>
          <w:p w14:paraId="21AF9E84" w14:textId="77777777" w:rsidR="003C7FAE" w:rsidRPr="003C6720" w:rsidRDefault="003C7FAE" w:rsidP="00434380">
            <w:pPr>
              <w:jc w:val="left"/>
              <w:rPr>
                <w:rFonts w:cs="Arial"/>
                <w:sz w:val="20"/>
                <w:szCs w:val="20"/>
              </w:rPr>
            </w:pPr>
            <w:r>
              <w:rPr>
                <w:rFonts w:cs="Arial"/>
                <w:sz w:val="20"/>
                <w:szCs w:val="20"/>
              </w:rPr>
              <w:t>G</w:t>
            </w:r>
            <w:r w:rsidRPr="003C6720">
              <w:rPr>
                <w:rFonts w:cs="Arial"/>
                <w:sz w:val="20"/>
                <w:szCs w:val="20"/>
              </w:rPr>
              <w:t>endered impacts of urban land-use change and dispossession on food security in Sub-Saharan Africa.</w:t>
            </w:r>
          </w:p>
        </w:tc>
      </w:tr>
      <w:tr w:rsidR="003C7FAE" w:rsidRPr="003C6720" w14:paraId="088FB291" w14:textId="77777777" w:rsidTr="00D86012">
        <w:trPr>
          <w:trHeight w:hRule="exact" w:val="680"/>
        </w:trPr>
        <w:tc>
          <w:tcPr>
            <w:tcW w:w="621" w:type="dxa"/>
            <w:shd w:val="clear" w:color="auto" w:fill="EFFFEF"/>
            <w:vAlign w:val="center"/>
          </w:tcPr>
          <w:p w14:paraId="482A62CD"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EFFFEF"/>
            <w:vAlign w:val="center"/>
          </w:tcPr>
          <w:p w14:paraId="1D1D2891" w14:textId="77777777" w:rsidR="003C7FAE" w:rsidRPr="003C6720" w:rsidRDefault="003C7FAE" w:rsidP="00434380">
            <w:pPr>
              <w:jc w:val="left"/>
              <w:rPr>
                <w:rFonts w:cs="Arial"/>
                <w:sz w:val="20"/>
                <w:szCs w:val="20"/>
              </w:rPr>
            </w:pPr>
            <w:r w:rsidRPr="003C6720">
              <w:rPr>
                <w:rFonts w:cs="Arial"/>
                <w:sz w:val="20"/>
                <w:szCs w:val="20"/>
              </w:rPr>
              <w:t>Karg and Drechsel, 2018</w:t>
            </w:r>
          </w:p>
        </w:tc>
        <w:tc>
          <w:tcPr>
            <w:tcW w:w="2856" w:type="dxa"/>
            <w:shd w:val="clear" w:color="auto" w:fill="EFFFEF"/>
            <w:vAlign w:val="center"/>
          </w:tcPr>
          <w:p w14:paraId="02AA1134" w14:textId="77777777" w:rsidR="003C7FAE" w:rsidRPr="003C6720" w:rsidRDefault="003C7FAE" w:rsidP="00434380">
            <w:pPr>
              <w:jc w:val="left"/>
              <w:rPr>
                <w:rFonts w:cs="Arial"/>
                <w:sz w:val="20"/>
                <w:szCs w:val="20"/>
              </w:rPr>
            </w:pPr>
            <w:r w:rsidRPr="003C6720">
              <w:rPr>
                <w:rFonts w:cs="Arial"/>
                <w:sz w:val="20"/>
                <w:szCs w:val="20"/>
              </w:rPr>
              <w:t>Burkina Faso</w:t>
            </w:r>
            <w:r>
              <w:rPr>
                <w:rFonts w:cs="Arial"/>
                <w:sz w:val="20"/>
                <w:szCs w:val="20"/>
              </w:rPr>
              <w:t xml:space="preserve"> and </w:t>
            </w:r>
            <w:r w:rsidRPr="003C6720">
              <w:rPr>
                <w:rFonts w:cs="Arial"/>
                <w:sz w:val="20"/>
                <w:szCs w:val="20"/>
              </w:rPr>
              <w:t>Ghana</w:t>
            </w:r>
          </w:p>
        </w:tc>
        <w:tc>
          <w:tcPr>
            <w:tcW w:w="1710" w:type="dxa"/>
            <w:shd w:val="clear" w:color="auto" w:fill="EFFFEF"/>
            <w:vAlign w:val="center"/>
          </w:tcPr>
          <w:p w14:paraId="5162B927" w14:textId="77777777" w:rsidR="003C7FAE" w:rsidRPr="003C6720" w:rsidRDefault="003C7FAE" w:rsidP="00434380">
            <w:pPr>
              <w:jc w:val="left"/>
              <w:rPr>
                <w:rFonts w:cs="Arial"/>
                <w:sz w:val="20"/>
                <w:szCs w:val="20"/>
              </w:rPr>
            </w:pPr>
            <w:r w:rsidRPr="003C6720">
              <w:rPr>
                <w:rFonts w:cs="Arial"/>
                <w:sz w:val="20"/>
                <w:szCs w:val="20"/>
              </w:rPr>
              <w:t>N/A</w:t>
            </w:r>
          </w:p>
        </w:tc>
        <w:tc>
          <w:tcPr>
            <w:tcW w:w="4561" w:type="dxa"/>
            <w:shd w:val="clear" w:color="auto" w:fill="EFFFEF"/>
            <w:vAlign w:val="center"/>
          </w:tcPr>
          <w:p w14:paraId="5365EF07" w14:textId="77777777" w:rsidR="003C7FAE" w:rsidRPr="003C6720" w:rsidRDefault="003C7FAE" w:rsidP="00434380">
            <w:pPr>
              <w:jc w:val="left"/>
              <w:rPr>
                <w:rFonts w:cs="Arial"/>
                <w:sz w:val="20"/>
                <w:szCs w:val="20"/>
              </w:rPr>
            </w:pPr>
            <w:r w:rsidRPr="003C6720">
              <w:rPr>
                <w:rFonts w:cs="Arial"/>
                <w:sz w:val="20"/>
                <w:szCs w:val="20"/>
              </w:rPr>
              <w:t>West African urban food systems.</w:t>
            </w:r>
          </w:p>
        </w:tc>
      </w:tr>
      <w:tr w:rsidR="003C7FAE" w:rsidRPr="003C6720" w14:paraId="1E1664A1" w14:textId="77777777" w:rsidTr="00D86012">
        <w:trPr>
          <w:trHeight w:hRule="exact" w:val="907"/>
        </w:trPr>
        <w:tc>
          <w:tcPr>
            <w:tcW w:w="621" w:type="dxa"/>
            <w:shd w:val="clear" w:color="auto" w:fill="EFFFEF"/>
            <w:vAlign w:val="center"/>
          </w:tcPr>
          <w:p w14:paraId="0BC2220C"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EFFFEF"/>
            <w:vAlign w:val="center"/>
          </w:tcPr>
          <w:p w14:paraId="31A0D0C5" w14:textId="77777777" w:rsidR="003C7FAE" w:rsidRPr="003C6720" w:rsidRDefault="003C7FAE" w:rsidP="00434380">
            <w:pPr>
              <w:jc w:val="left"/>
              <w:rPr>
                <w:rFonts w:cs="Arial"/>
                <w:sz w:val="20"/>
                <w:szCs w:val="20"/>
              </w:rPr>
            </w:pPr>
            <w:proofErr w:type="spellStart"/>
            <w:r w:rsidRPr="003C6720">
              <w:rPr>
                <w:rFonts w:cs="Arial"/>
                <w:sz w:val="20"/>
                <w:szCs w:val="20"/>
              </w:rPr>
              <w:t>Boneya</w:t>
            </w:r>
            <w:proofErr w:type="spellEnd"/>
            <w:r w:rsidRPr="003C6720">
              <w:rPr>
                <w:rFonts w:cs="Arial"/>
                <w:sz w:val="20"/>
                <w:szCs w:val="20"/>
              </w:rPr>
              <w:t xml:space="preserve">, Ahmed, and </w:t>
            </w:r>
            <w:proofErr w:type="spellStart"/>
            <w:r w:rsidRPr="003C6720">
              <w:rPr>
                <w:rFonts w:cs="Arial"/>
                <w:sz w:val="20"/>
                <w:szCs w:val="20"/>
              </w:rPr>
              <w:t>Yalew</w:t>
            </w:r>
            <w:proofErr w:type="spellEnd"/>
            <w:r w:rsidRPr="003C6720">
              <w:rPr>
                <w:rFonts w:cs="Arial"/>
                <w:sz w:val="20"/>
                <w:szCs w:val="20"/>
              </w:rPr>
              <w:t>, 2019</w:t>
            </w:r>
          </w:p>
        </w:tc>
        <w:tc>
          <w:tcPr>
            <w:tcW w:w="2856" w:type="dxa"/>
            <w:shd w:val="clear" w:color="auto" w:fill="EFFFEF"/>
            <w:vAlign w:val="center"/>
          </w:tcPr>
          <w:p w14:paraId="0175E811" w14:textId="77777777" w:rsidR="003C7FAE" w:rsidRPr="003C6720" w:rsidRDefault="003C7FAE" w:rsidP="00434380">
            <w:pPr>
              <w:jc w:val="left"/>
              <w:rPr>
                <w:rFonts w:cs="Arial"/>
                <w:sz w:val="20"/>
                <w:szCs w:val="20"/>
              </w:rPr>
            </w:pPr>
            <w:r w:rsidRPr="00E30E0F">
              <w:rPr>
                <w:rFonts w:cs="Arial"/>
                <w:sz w:val="20"/>
                <w:szCs w:val="20"/>
              </w:rPr>
              <w:t>Ethiopia, Senegal, Uganda, Brazil</w:t>
            </w:r>
            <w:r>
              <w:rPr>
                <w:rFonts w:cs="Arial"/>
                <w:sz w:val="20"/>
                <w:szCs w:val="20"/>
              </w:rPr>
              <w:t>,</w:t>
            </w:r>
            <w:r w:rsidRPr="00E30E0F">
              <w:rPr>
                <w:rFonts w:cs="Arial"/>
                <w:sz w:val="20"/>
                <w:szCs w:val="20"/>
              </w:rPr>
              <w:t xml:space="preserve"> Canada, United States, India, Russia, </w:t>
            </w:r>
          </w:p>
        </w:tc>
        <w:tc>
          <w:tcPr>
            <w:tcW w:w="1710" w:type="dxa"/>
            <w:shd w:val="clear" w:color="auto" w:fill="EFFFEF"/>
            <w:vAlign w:val="center"/>
          </w:tcPr>
          <w:p w14:paraId="23548721" w14:textId="77777777" w:rsidR="003C7FAE" w:rsidRDefault="003C7FAE" w:rsidP="00434380">
            <w:pPr>
              <w:jc w:val="left"/>
              <w:rPr>
                <w:rFonts w:cs="Arial"/>
                <w:sz w:val="20"/>
                <w:szCs w:val="20"/>
              </w:rPr>
            </w:pPr>
            <w:r w:rsidRPr="003C6720">
              <w:rPr>
                <w:rFonts w:cs="Arial"/>
                <w:sz w:val="20"/>
                <w:szCs w:val="20"/>
              </w:rPr>
              <w:t xml:space="preserve">Systematic </w:t>
            </w:r>
          </w:p>
          <w:p w14:paraId="7CD0C43E" w14:textId="77777777" w:rsidR="003C7FAE" w:rsidRPr="003C6720" w:rsidRDefault="003C7FAE" w:rsidP="00434380">
            <w:pPr>
              <w:jc w:val="left"/>
              <w:rPr>
                <w:rFonts w:cs="Arial"/>
                <w:sz w:val="20"/>
                <w:szCs w:val="20"/>
              </w:rPr>
            </w:pPr>
            <w:r w:rsidRPr="003C6720">
              <w:rPr>
                <w:rFonts w:cs="Arial"/>
                <w:sz w:val="20"/>
                <w:szCs w:val="20"/>
              </w:rPr>
              <w:t>Review and Meta-Analysis</w:t>
            </w:r>
          </w:p>
        </w:tc>
        <w:tc>
          <w:tcPr>
            <w:tcW w:w="4561" w:type="dxa"/>
            <w:shd w:val="clear" w:color="auto" w:fill="EFFFEF"/>
            <w:vAlign w:val="center"/>
          </w:tcPr>
          <w:p w14:paraId="70058042" w14:textId="77777777" w:rsidR="003C7FAE" w:rsidRPr="003C6720" w:rsidRDefault="003C7FAE" w:rsidP="00434380">
            <w:pPr>
              <w:jc w:val="left"/>
              <w:rPr>
                <w:rFonts w:cs="Arial"/>
                <w:sz w:val="20"/>
                <w:szCs w:val="20"/>
              </w:rPr>
            </w:pPr>
            <w:r w:rsidRPr="00E30E0F">
              <w:rPr>
                <w:rFonts w:cs="Arial"/>
                <w:sz w:val="20"/>
                <w:szCs w:val="20"/>
              </w:rPr>
              <w:t xml:space="preserve">Effect of gender on food insecurity. </w:t>
            </w:r>
          </w:p>
        </w:tc>
      </w:tr>
      <w:tr w:rsidR="003C7FAE" w:rsidRPr="003C6720" w14:paraId="6D2364DF" w14:textId="77777777" w:rsidTr="00D86012">
        <w:trPr>
          <w:trHeight w:hRule="exact" w:val="680"/>
        </w:trPr>
        <w:tc>
          <w:tcPr>
            <w:tcW w:w="621" w:type="dxa"/>
            <w:shd w:val="clear" w:color="auto" w:fill="EFFFEF"/>
            <w:vAlign w:val="center"/>
          </w:tcPr>
          <w:p w14:paraId="5C1F49AE"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EFFFEF"/>
            <w:vAlign w:val="center"/>
          </w:tcPr>
          <w:p w14:paraId="375A8635" w14:textId="77777777" w:rsidR="003C7FAE" w:rsidRPr="003C6720" w:rsidRDefault="003C7FAE" w:rsidP="00434380">
            <w:pPr>
              <w:jc w:val="left"/>
              <w:rPr>
                <w:rFonts w:cs="Arial"/>
                <w:sz w:val="20"/>
                <w:szCs w:val="20"/>
              </w:rPr>
            </w:pPr>
            <w:proofErr w:type="spellStart"/>
            <w:r w:rsidRPr="003C6720">
              <w:rPr>
                <w:rFonts w:cs="Arial"/>
                <w:sz w:val="20"/>
                <w:szCs w:val="20"/>
              </w:rPr>
              <w:t>Jarzebski</w:t>
            </w:r>
            <w:proofErr w:type="spellEnd"/>
            <w:r w:rsidRPr="003C6720">
              <w:rPr>
                <w:rFonts w:cs="Arial"/>
                <w:sz w:val="20"/>
                <w:szCs w:val="20"/>
              </w:rPr>
              <w:t xml:space="preserve"> et al., 2019</w:t>
            </w:r>
          </w:p>
        </w:tc>
        <w:tc>
          <w:tcPr>
            <w:tcW w:w="2856" w:type="dxa"/>
            <w:shd w:val="clear" w:color="auto" w:fill="EFFFEF"/>
            <w:vAlign w:val="center"/>
          </w:tcPr>
          <w:p w14:paraId="26DB6B9C" w14:textId="77777777" w:rsidR="003C7FAE" w:rsidRPr="003C6720" w:rsidRDefault="003C7FAE" w:rsidP="00434380">
            <w:pPr>
              <w:jc w:val="left"/>
              <w:rPr>
                <w:rFonts w:cs="Arial"/>
                <w:sz w:val="20"/>
                <w:szCs w:val="20"/>
              </w:rPr>
            </w:pPr>
            <w:r w:rsidRPr="003C6720">
              <w:rPr>
                <w:rFonts w:cs="Arial"/>
                <w:sz w:val="20"/>
                <w:szCs w:val="20"/>
              </w:rPr>
              <w:t>Sub-Saharan Africa (SSA)</w:t>
            </w:r>
          </w:p>
        </w:tc>
        <w:tc>
          <w:tcPr>
            <w:tcW w:w="1710" w:type="dxa"/>
            <w:shd w:val="clear" w:color="auto" w:fill="EFFFEF"/>
            <w:vAlign w:val="center"/>
          </w:tcPr>
          <w:p w14:paraId="4ABBF6AB" w14:textId="77777777" w:rsidR="003C7FAE" w:rsidRDefault="003C7FAE" w:rsidP="00434380">
            <w:pPr>
              <w:jc w:val="left"/>
              <w:rPr>
                <w:rFonts w:cs="Arial"/>
                <w:sz w:val="20"/>
                <w:szCs w:val="20"/>
              </w:rPr>
            </w:pPr>
            <w:r w:rsidRPr="003C6720">
              <w:rPr>
                <w:rFonts w:cs="Arial"/>
                <w:sz w:val="20"/>
                <w:szCs w:val="20"/>
              </w:rPr>
              <w:t xml:space="preserve">Systematic </w:t>
            </w:r>
          </w:p>
          <w:p w14:paraId="27F2E466" w14:textId="77777777" w:rsidR="003C7FAE" w:rsidRPr="003C6720" w:rsidRDefault="003C7FAE" w:rsidP="00434380">
            <w:pPr>
              <w:jc w:val="left"/>
              <w:rPr>
                <w:rFonts w:cs="Arial"/>
                <w:sz w:val="20"/>
                <w:szCs w:val="20"/>
              </w:rPr>
            </w:pPr>
            <w:r w:rsidRPr="003C6720">
              <w:rPr>
                <w:rFonts w:cs="Arial"/>
                <w:sz w:val="20"/>
                <w:szCs w:val="20"/>
              </w:rPr>
              <w:t>Review</w:t>
            </w:r>
          </w:p>
        </w:tc>
        <w:tc>
          <w:tcPr>
            <w:tcW w:w="4561" w:type="dxa"/>
            <w:shd w:val="clear" w:color="auto" w:fill="EFFFEF"/>
            <w:vAlign w:val="center"/>
          </w:tcPr>
          <w:p w14:paraId="2C30F493" w14:textId="77777777" w:rsidR="003C7FAE" w:rsidRPr="003C6720" w:rsidRDefault="003C7FAE" w:rsidP="00434380">
            <w:pPr>
              <w:jc w:val="left"/>
              <w:rPr>
                <w:rFonts w:cs="Arial"/>
                <w:sz w:val="20"/>
                <w:szCs w:val="20"/>
              </w:rPr>
            </w:pPr>
            <w:r w:rsidRPr="003C6720">
              <w:rPr>
                <w:rFonts w:cs="Arial"/>
                <w:sz w:val="20"/>
                <w:szCs w:val="20"/>
              </w:rPr>
              <w:t xml:space="preserve"> </w:t>
            </w:r>
            <w:r>
              <w:rPr>
                <w:rFonts w:cs="Arial"/>
                <w:sz w:val="20"/>
                <w:szCs w:val="20"/>
              </w:rPr>
              <w:t>F</w:t>
            </w:r>
            <w:r w:rsidRPr="003C6720">
              <w:rPr>
                <w:rFonts w:cs="Arial"/>
                <w:sz w:val="20"/>
                <w:szCs w:val="20"/>
              </w:rPr>
              <w:t>ood security in sub-Saharan Africa.</w:t>
            </w:r>
          </w:p>
        </w:tc>
      </w:tr>
      <w:tr w:rsidR="003C7FAE" w:rsidRPr="003C6720" w14:paraId="2BD522C6" w14:textId="77777777" w:rsidTr="00D86012">
        <w:trPr>
          <w:trHeight w:hRule="exact" w:val="907"/>
        </w:trPr>
        <w:tc>
          <w:tcPr>
            <w:tcW w:w="621" w:type="dxa"/>
            <w:shd w:val="clear" w:color="auto" w:fill="EFFFEF"/>
            <w:vAlign w:val="center"/>
          </w:tcPr>
          <w:p w14:paraId="01E1A511"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EFFFEF"/>
            <w:vAlign w:val="center"/>
          </w:tcPr>
          <w:p w14:paraId="48863FF0" w14:textId="77777777" w:rsidR="003C7FAE" w:rsidRPr="003C6720" w:rsidRDefault="003C7FAE" w:rsidP="00434380">
            <w:pPr>
              <w:jc w:val="left"/>
              <w:rPr>
                <w:rFonts w:cs="Arial"/>
                <w:sz w:val="20"/>
                <w:szCs w:val="20"/>
              </w:rPr>
            </w:pPr>
            <w:proofErr w:type="spellStart"/>
            <w:r w:rsidRPr="003C6720">
              <w:rPr>
                <w:rFonts w:cs="Arial"/>
                <w:sz w:val="20"/>
                <w:szCs w:val="20"/>
              </w:rPr>
              <w:t>Titz</w:t>
            </w:r>
            <w:proofErr w:type="spellEnd"/>
            <w:r w:rsidRPr="003C6720">
              <w:rPr>
                <w:rFonts w:cs="Arial"/>
                <w:sz w:val="20"/>
                <w:szCs w:val="20"/>
              </w:rPr>
              <w:t xml:space="preserve"> and </w:t>
            </w:r>
            <w:proofErr w:type="spellStart"/>
            <w:r w:rsidRPr="003C6720">
              <w:rPr>
                <w:rFonts w:cs="Arial"/>
                <w:sz w:val="20"/>
                <w:szCs w:val="20"/>
              </w:rPr>
              <w:t>Chiotha</w:t>
            </w:r>
            <w:proofErr w:type="spellEnd"/>
            <w:r w:rsidRPr="003C6720">
              <w:rPr>
                <w:rFonts w:cs="Arial"/>
                <w:sz w:val="20"/>
                <w:szCs w:val="20"/>
              </w:rPr>
              <w:t>, 2019</w:t>
            </w:r>
          </w:p>
        </w:tc>
        <w:tc>
          <w:tcPr>
            <w:tcW w:w="2856" w:type="dxa"/>
            <w:shd w:val="clear" w:color="auto" w:fill="EFFFEF"/>
            <w:vAlign w:val="center"/>
          </w:tcPr>
          <w:p w14:paraId="614FADF5" w14:textId="77777777" w:rsidR="003C7FAE" w:rsidRPr="003C6720" w:rsidRDefault="003C7FAE" w:rsidP="00434380">
            <w:pPr>
              <w:jc w:val="left"/>
              <w:rPr>
                <w:rFonts w:cs="Arial"/>
                <w:sz w:val="20"/>
                <w:szCs w:val="20"/>
              </w:rPr>
            </w:pPr>
            <w:r w:rsidRPr="003C6720">
              <w:rPr>
                <w:rFonts w:cs="Arial"/>
                <w:sz w:val="20"/>
                <w:szCs w:val="20"/>
              </w:rPr>
              <w:t>Southern and Eastern Africa</w:t>
            </w:r>
          </w:p>
        </w:tc>
        <w:tc>
          <w:tcPr>
            <w:tcW w:w="1710" w:type="dxa"/>
            <w:shd w:val="clear" w:color="auto" w:fill="EFFFEF"/>
            <w:vAlign w:val="center"/>
          </w:tcPr>
          <w:p w14:paraId="48D183B1" w14:textId="77777777" w:rsidR="003C7FAE" w:rsidRDefault="003C7FAE" w:rsidP="00434380">
            <w:pPr>
              <w:jc w:val="left"/>
              <w:rPr>
                <w:rFonts w:cs="Arial"/>
                <w:sz w:val="20"/>
                <w:szCs w:val="20"/>
              </w:rPr>
            </w:pPr>
            <w:r w:rsidRPr="003C6720">
              <w:rPr>
                <w:rFonts w:cs="Arial"/>
                <w:sz w:val="20"/>
                <w:szCs w:val="20"/>
              </w:rPr>
              <w:t xml:space="preserve">Literature </w:t>
            </w:r>
          </w:p>
          <w:p w14:paraId="28B60886" w14:textId="77777777" w:rsidR="003C7FAE" w:rsidRPr="003C6720" w:rsidRDefault="003C7FAE" w:rsidP="00434380">
            <w:pPr>
              <w:jc w:val="left"/>
              <w:rPr>
                <w:rFonts w:cs="Arial"/>
                <w:sz w:val="20"/>
                <w:szCs w:val="20"/>
              </w:rPr>
            </w:pPr>
            <w:r w:rsidRPr="003C6720">
              <w:rPr>
                <w:rFonts w:cs="Arial"/>
                <w:sz w:val="20"/>
                <w:szCs w:val="20"/>
              </w:rPr>
              <w:t>Review</w:t>
            </w:r>
          </w:p>
        </w:tc>
        <w:tc>
          <w:tcPr>
            <w:tcW w:w="4561" w:type="dxa"/>
            <w:shd w:val="clear" w:color="auto" w:fill="EFFFEF"/>
            <w:vAlign w:val="center"/>
          </w:tcPr>
          <w:p w14:paraId="6A71D3BE" w14:textId="77777777" w:rsidR="003C7FAE" w:rsidRPr="003C6720" w:rsidRDefault="003C7FAE" w:rsidP="00434380">
            <w:pPr>
              <w:jc w:val="left"/>
              <w:rPr>
                <w:rFonts w:cs="Arial"/>
                <w:sz w:val="20"/>
                <w:szCs w:val="20"/>
              </w:rPr>
            </w:pPr>
            <w:r>
              <w:rPr>
                <w:rFonts w:cs="Arial"/>
                <w:sz w:val="20"/>
                <w:szCs w:val="20"/>
              </w:rPr>
              <w:t>P</w:t>
            </w:r>
            <w:r w:rsidRPr="003C6720">
              <w:rPr>
                <w:rFonts w:cs="Arial"/>
                <w:sz w:val="20"/>
                <w:szCs w:val="20"/>
              </w:rPr>
              <w:t>otential of green infrastructure to address urban challenges in Southern and Eastern Africa.</w:t>
            </w:r>
          </w:p>
        </w:tc>
      </w:tr>
      <w:tr w:rsidR="003C7FAE" w:rsidRPr="003C6720" w14:paraId="4942A6F1" w14:textId="77777777" w:rsidTr="00D86012">
        <w:trPr>
          <w:trHeight w:hRule="exact" w:val="907"/>
        </w:trPr>
        <w:tc>
          <w:tcPr>
            <w:tcW w:w="621" w:type="dxa"/>
            <w:shd w:val="clear" w:color="auto" w:fill="D9FFD9"/>
            <w:vAlign w:val="center"/>
          </w:tcPr>
          <w:p w14:paraId="2AA3DE59"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D9FFD9"/>
            <w:vAlign w:val="center"/>
          </w:tcPr>
          <w:p w14:paraId="6B95BCB1" w14:textId="77777777" w:rsidR="003C7FAE" w:rsidRPr="003C6720" w:rsidRDefault="003C7FAE" w:rsidP="00434380">
            <w:pPr>
              <w:jc w:val="left"/>
              <w:rPr>
                <w:rFonts w:cs="Arial"/>
                <w:sz w:val="20"/>
                <w:szCs w:val="20"/>
              </w:rPr>
            </w:pPr>
            <w:proofErr w:type="spellStart"/>
            <w:r w:rsidRPr="003C6720">
              <w:rPr>
                <w:rFonts w:cs="Arial"/>
                <w:sz w:val="20"/>
                <w:szCs w:val="20"/>
              </w:rPr>
              <w:t>Bachange</w:t>
            </w:r>
            <w:proofErr w:type="spellEnd"/>
            <w:r w:rsidRPr="003C6720">
              <w:rPr>
                <w:rFonts w:cs="Arial"/>
                <w:sz w:val="20"/>
                <w:szCs w:val="20"/>
              </w:rPr>
              <w:t>, 2020</w:t>
            </w:r>
          </w:p>
        </w:tc>
        <w:tc>
          <w:tcPr>
            <w:tcW w:w="2856" w:type="dxa"/>
            <w:shd w:val="clear" w:color="auto" w:fill="D9FFD9"/>
            <w:vAlign w:val="center"/>
          </w:tcPr>
          <w:p w14:paraId="6A74D3A0" w14:textId="77777777" w:rsidR="003C7FAE" w:rsidRPr="003C6720" w:rsidRDefault="003C7FAE" w:rsidP="00434380">
            <w:pPr>
              <w:jc w:val="left"/>
              <w:rPr>
                <w:rFonts w:cs="Arial"/>
                <w:sz w:val="20"/>
                <w:szCs w:val="20"/>
              </w:rPr>
            </w:pPr>
            <w:r w:rsidRPr="003C6720">
              <w:rPr>
                <w:rFonts w:cs="Arial"/>
                <w:sz w:val="20"/>
                <w:szCs w:val="20"/>
              </w:rPr>
              <w:t>Cameroon</w:t>
            </w:r>
          </w:p>
        </w:tc>
        <w:tc>
          <w:tcPr>
            <w:tcW w:w="1710" w:type="dxa"/>
            <w:shd w:val="clear" w:color="auto" w:fill="D9FFD9"/>
            <w:vAlign w:val="center"/>
          </w:tcPr>
          <w:p w14:paraId="1EE78EBF" w14:textId="77777777" w:rsidR="003C7FAE" w:rsidRPr="003C6720" w:rsidRDefault="003C7FAE" w:rsidP="00434380">
            <w:pPr>
              <w:jc w:val="left"/>
              <w:rPr>
                <w:rFonts w:cs="Arial"/>
                <w:sz w:val="20"/>
                <w:szCs w:val="20"/>
              </w:rPr>
            </w:pPr>
            <w:r w:rsidRPr="003C6720">
              <w:rPr>
                <w:rFonts w:cs="Arial"/>
                <w:sz w:val="20"/>
                <w:szCs w:val="20"/>
              </w:rPr>
              <w:t>Scoping Study</w:t>
            </w:r>
          </w:p>
        </w:tc>
        <w:tc>
          <w:tcPr>
            <w:tcW w:w="4561" w:type="dxa"/>
            <w:shd w:val="clear" w:color="auto" w:fill="D9FFD9"/>
            <w:vAlign w:val="center"/>
          </w:tcPr>
          <w:p w14:paraId="345C0543" w14:textId="77777777" w:rsidR="003C7FAE" w:rsidRDefault="003C7FAE" w:rsidP="00434380">
            <w:pPr>
              <w:jc w:val="left"/>
              <w:rPr>
                <w:rFonts w:cs="Arial"/>
                <w:sz w:val="20"/>
                <w:szCs w:val="20"/>
              </w:rPr>
            </w:pPr>
            <w:r w:rsidRPr="003C6720">
              <w:rPr>
                <w:rFonts w:cs="Arial"/>
                <w:sz w:val="20"/>
                <w:szCs w:val="20"/>
              </w:rPr>
              <w:t>Gender-insensitive land tenure reforms in Cameroon, food insecurity, women's access to</w:t>
            </w:r>
            <w:r>
              <w:rPr>
                <w:rFonts w:cs="Arial"/>
                <w:sz w:val="20"/>
                <w:szCs w:val="20"/>
              </w:rPr>
              <w:t xml:space="preserve">, </w:t>
            </w:r>
            <w:r w:rsidRPr="003C6720">
              <w:rPr>
                <w:rFonts w:cs="Arial"/>
                <w:sz w:val="20"/>
                <w:szCs w:val="20"/>
              </w:rPr>
              <w:t>and control over land.</w:t>
            </w:r>
          </w:p>
        </w:tc>
      </w:tr>
      <w:tr w:rsidR="003C7FAE" w:rsidRPr="003C6720" w14:paraId="1FF64EAF" w14:textId="77777777" w:rsidTr="00D86012">
        <w:trPr>
          <w:trHeight w:hRule="exact" w:val="907"/>
        </w:trPr>
        <w:tc>
          <w:tcPr>
            <w:tcW w:w="621" w:type="dxa"/>
            <w:shd w:val="clear" w:color="auto" w:fill="D9FFD9"/>
            <w:vAlign w:val="center"/>
          </w:tcPr>
          <w:p w14:paraId="1D0B4FF5"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D9FFD9"/>
            <w:vAlign w:val="center"/>
          </w:tcPr>
          <w:p w14:paraId="56072CC4" w14:textId="77777777" w:rsidR="003C7FAE" w:rsidRPr="003C6720" w:rsidRDefault="003C7FAE" w:rsidP="00434380">
            <w:pPr>
              <w:jc w:val="left"/>
              <w:rPr>
                <w:rFonts w:cs="Arial"/>
                <w:sz w:val="20"/>
                <w:szCs w:val="20"/>
              </w:rPr>
            </w:pPr>
            <w:r w:rsidRPr="003C6720">
              <w:rPr>
                <w:rFonts w:cs="Arial"/>
                <w:sz w:val="20"/>
                <w:szCs w:val="20"/>
              </w:rPr>
              <w:t>Davies et al., 2020</w:t>
            </w:r>
          </w:p>
        </w:tc>
        <w:tc>
          <w:tcPr>
            <w:tcW w:w="2856" w:type="dxa"/>
            <w:shd w:val="clear" w:color="auto" w:fill="D9FFD9"/>
            <w:vAlign w:val="center"/>
          </w:tcPr>
          <w:p w14:paraId="6C4D2EF8" w14:textId="77777777" w:rsidR="003C7FAE" w:rsidRPr="003C6720" w:rsidRDefault="003C7FAE" w:rsidP="00434380">
            <w:pPr>
              <w:jc w:val="left"/>
              <w:rPr>
                <w:rFonts w:cs="Arial"/>
                <w:sz w:val="20"/>
                <w:szCs w:val="20"/>
              </w:rPr>
            </w:pPr>
            <w:r w:rsidRPr="003C6720">
              <w:rPr>
                <w:rFonts w:cs="Arial"/>
                <w:sz w:val="20"/>
                <w:szCs w:val="20"/>
              </w:rPr>
              <w:t xml:space="preserve">Kenya </w:t>
            </w:r>
            <w:r>
              <w:rPr>
                <w:rFonts w:cs="Arial"/>
                <w:sz w:val="20"/>
                <w:szCs w:val="20"/>
              </w:rPr>
              <w:t xml:space="preserve">and </w:t>
            </w:r>
            <w:r w:rsidRPr="003C6720">
              <w:rPr>
                <w:rFonts w:cs="Arial"/>
                <w:sz w:val="20"/>
                <w:szCs w:val="20"/>
              </w:rPr>
              <w:t xml:space="preserve">Zambia </w:t>
            </w:r>
          </w:p>
        </w:tc>
        <w:tc>
          <w:tcPr>
            <w:tcW w:w="1710" w:type="dxa"/>
            <w:shd w:val="clear" w:color="auto" w:fill="D9FFD9"/>
            <w:vAlign w:val="center"/>
          </w:tcPr>
          <w:p w14:paraId="680FE324" w14:textId="77777777" w:rsidR="003C7FAE" w:rsidRDefault="003C7FAE" w:rsidP="00434380">
            <w:pPr>
              <w:jc w:val="left"/>
              <w:rPr>
                <w:rFonts w:cs="Arial"/>
                <w:sz w:val="20"/>
                <w:szCs w:val="20"/>
              </w:rPr>
            </w:pPr>
            <w:r w:rsidRPr="003C6720">
              <w:rPr>
                <w:rFonts w:cs="Arial"/>
                <w:sz w:val="20"/>
                <w:szCs w:val="20"/>
              </w:rPr>
              <w:t xml:space="preserve">Survey </w:t>
            </w:r>
            <w:r>
              <w:rPr>
                <w:rFonts w:cs="Arial"/>
                <w:sz w:val="20"/>
                <w:szCs w:val="20"/>
              </w:rPr>
              <w:t>D</w:t>
            </w:r>
            <w:r w:rsidRPr="003C6720">
              <w:rPr>
                <w:rFonts w:cs="Arial"/>
                <w:sz w:val="20"/>
                <w:szCs w:val="20"/>
              </w:rPr>
              <w:t xml:space="preserve">ata </w:t>
            </w:r>
          </w:p>
          <w:p w14:paraId="4489D071" w14:textId="77777777" w:rsidR="003C7FAE" w:rsidRPr="003C6720" w:rsidRDefault="003C7FAE" w:rsidP="00434380">
            <w:pPr>
              <w:jc w:val="left"/>
              <w:rPr>
                <w:rFonts w:cs="Arial"/>
                <w:sz w:val="20"/>
                <w:szCs w:val="20"/>
              </w:rPr>
            </w:pPr>
            <w:r w:rsidRPr="003C6720">
              <w:rPr>
                <w:rFonts w:cs="Arial"/>
                <w:sz w:val="20"/>
                <w:szCs w:val="20"/>
              </w:rPr>
              <w:t>Collection</w:t>
            </w:r>
          </w:p>
        </w:tc>
        <w:tc>
          <w:tcPr>
            <w:tcW w:w="4561" w:type="dxa"/>
            <w:shd w:val="clear" w:color="auto" w:fill="D9FFD9"/>
            <w:vAlign w:val="center"/>
          </w:tcPr>
          <w:p w14:paraId="760E5C42" w14:textId="77777777" w:rsidR="003C7FAE" w:rsidRDefault="003C7FAE" w:rsidP="00434380">
            <w:pPr>
              <w:jc w:val="left"/>
              <w:rPr>
                <w:rFonts w:cs="Arial"/>
                <w:sz w:val="20"/>
                <w:szCs w:val="20"/>
              </w:rPr>
            </w:pPr>
            <w:r w:rsidRPr="003C6720">
              <w:rPr>
                <w:rFonts w:cs="Arial"/>
                <w:sz w:val="20"/>
                <w:szCs w:val="20"/>
              </w:rPr>
              <w:t>Barriers to urban agriculture in sub-Saharan Africa, settlement formality, property rights, and distance from food retailers.</w:t>
            </w:r>
          </w:p>
        </w:tc>
      </w:tr>
      <w:tr w:rsidR="003C7FAE" w:rsidRPr="003C6720" w14:paraId="0EBE30E0" w14:textId="77777777" w:rsidTr="00D86012">
        <w:trPr>
          <w:trHeight w:hRule="exact" w:val="680"/>
        </w:trPr>
        <w:tc>
          <w:tcPr>
            <w:tcW w:w="621" w:type="dxa"/>
            <w:shd w:val="clear" w:color="auto" w:fill="D9FFD9"/>
            <w:vAlign w:val="center"/>
          </w:tcPr>
          <w:p w14:paraId="4735490B"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D9FFD9"/>
            <w:vAlign w:val="center"/>
          </w:tcPr>
          <w:p w14:paraId="6240110C" w14:textId="77777777" w:rsidR="003C7FAE" w:rsidRPr="003C6720" w:rsidRDefault="003C7FAE" w:rsidP="00434380">
            <w:pPr>
              <w:jc w:val="left"/>
              <w:rPr>
                <w:rFonts w:cs="Arial"/>
                <w:sz w:val="20"/>
                <w:szCs w:val="20"/>
              </w:rPr>
            </w:pPr>
            <w:r w:rsidRPr="003C6720">
              <w:rPr>
                <w:rFonts w:cs="Arial"/>
                <w:sz w:val="20"/>
                <w:szCs w:val="20"/>
              </w:rPr>
              <w:t>Djurfeldt, 2020</w:t>
            </w:r>
          </w:p>
        </w:tc>
        <w:tc>
          <w:tcPr>
            <w:tcW w:w="2856" w:type="dxa"/>
            <w:shd w:val="clear" w:color="auto" w:fill="D9FFD9"/>
            <w:vAlign w:val="center"/>
          </w:tcPr>
          <w:p w14:paraId="4EDAE255" w14:textId="77777777" w:rsidR="003C7FAE" w:rsidRPr="003C6720" w:rsidRDefault="003C7FAE" w:rsidP="00434380">
            <w:pPr>
              <w:jc w:val="left"/>
              <w:rPr>
                <w:rFonts w:cs="Arial"/>
                <w:sz w:val="20"/>
                <w:szCs w:val="20"/>
              </w:rPr>
            </w:pPr>
            <w:r w:rsidRPr="003C6720">
              <w:rPr>
                <w:rFonts w:cs="Arial"/>
                <w:sz w:val="20"/>
                <w:szCs w:val="20"/>
              </w:rPr>
              <w:t>Kenya, Rwanda, Uganda</w:t>
            </w:r>
          </w:p>
        </w:tc>
        <w:tc>
          <w:tcPr>
            <w:tcW w:w="1710" w:type="dxa"/>
            <w:shd w:val="clear" w:color="auto" w:fill="D9FFD9"/>
            <w:vAlign w:val="center"/>
          </w:tcPr>
          <w:p w14:paraId="3E29C313" w14:textId="77777777" w:rsidR="003C7FAE" w:rsidRDefault="003C7FAE" w:rsidP="00434380">
            <w:pPr>
              <w:jc w:val="left"/>
              <w:rPr>
                <w:rFonts w:cs="Arial"/>
                <w:sz w:val="20"/>
                <w:szCs w:val="20"/>
              </w:rPr>
            </w:pPr>
            <w:r w:rsidRPr="003C6720">
              <w:rPr>
                <w:rFonts w:cs="Arial"/>
                <w:sz w:val="20"/>
                <w:szCs w:val="20"/>
              </w:rPr>
              <w:t xml:space="preserve">Systematic </w:t>
            </w:r>
          </w:p>
          <w:p w14:paraId="632D94D4" w14:textId="77777777" w:rsidR="003C7FAE" w:rsidRPr="003C6720" w:rsidRDefault="003C7FAE" w:rsidP="00434380">
            <w:pPr>
              <w:jc w:val="left"/>
              <w:rPr>
                <w:rFonts w:cs="Arial"/>
                <w:sz w:val="20"/>
                <w:szCs w:val="20"/>
              </w:rPr>
            </w:pPr>
            <w:r w:rsidRPr="003C6720">
              <w:rPr>
                <w:rFonts w:cs="Arial"/>
                <w:sz w:val="20"/>
                <w:szCs w:val="20"/>
              </w:rPr>
              <w:t>Review</w:t>
            </w:r>
          </w:p>
        </w:tc>
        <w:tc>
          <w:tcPr>
            <w:tcW w:w="4561" w:type="dxa"/>
            <w:shd w:val="clear" w:color="auto" w:fill="D9FFD9"/>
            <w:vAlign w:val="center"/>
          </w:tcPr>
          <w:p w14:paraId="66B37C8E" w14:textId="77777777" w:rsidR="003C7FAE" w:rsidRDefault="003C7FAE" w:rsidP="00434380">
            <w:pPr>
              <w:jc w:val="left"/>
              <w:rPr>
                <w:rFonts w:cs="Arial"/>
                <w:sz w:val="20"/>
                <w:szCs w:val="20"/>
              </w:rPr>
            </w:pPr>
            <w:r>
              <w:rPr>
                <w:rFonts w:cs="Arial"/>
                <w:sz w:val="20"/>
                <w:szCs w:val="20"/>
              </w:rPr>
              <w:t>L</w:t>
            </w:r>
            <w:r w:rsidRPr="003C6720">
              <w:rPr>
                <w:rFonts w:cs="Arial"/>
                <w:sz w:val="20"/>
                <w:szCs w:val="20"/>
              </w:rPr>
              <w:t>egal reforms and social norms around women's land rights in Kenya, Rwanda and Uganda.</w:t>
            </w:r>
          </w:p>
        </w:tc>
      </w:tr>
      <w:tr w:rsidR="003C7FAE" w:rsidRPr="003C6720" w14:paraId="67DF9CCF" w14:textId="77777777" w:rsidTr="00D86012">
        <w:trPr>
          <w:trHeight w:hRule="exact" w:val="680"/>
        </w:trPr>
        <w:tc>
          <w:tcPr>
            <w:tcW w:w="621" w:type="dxa"/>
            <w:shd w:val="clear" w:color="auto" w:fill="D9FFD9"/>
            <w:vAlign w:val="center"/>
          </w:tcPr>
          <w:p w14:paraId="3165BA52"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D9FFD9"/>
            <w:vAlign w:val="center"/>
          </w:tcPr>
          <w:p w14:paraId="26A9B76E" w14:textId="77777777" w:rsidR="003C7FAE" w:rsidRPr="003C6720" w:rsidRDefault="003C7FAE" w:rsidP="00434380">
            <w:pPr>
              <w:jc w:val="left"/>
              <w:rPr>
                <w:rFonts w:cs="Arial"/>
                <w:sz w:val="20"/>
                <w:szCs w:val="20"/>
              </w:rPr>
            </w:pPr>
            <w:proofErr w:type="spellStart"/>
            <w:r w:rsidRPr="003C6720">
              <w:rPr>
                <w:rFonts w:cs="Arial"/>
                <w:sz w:val="20"/>
                <w:szCs w:val="20"/>
              </w:rPr>
              <w:t>Negesse</w:t>
            </w:r>
            <w:proofErr w:type="spellEnd"/>
            <w:r w:rsidRPr="003C6720">
              <w:rPr>
                <w:rFonts w:cs="Arial"/>
                <w:sz w:val="20"/>
                <w:szCs w:val="20"/>
              </w:rPr>
              <w:t xml:space="preserve"> et al., 2020</w:t>
            </w:r>
          </w:p>
        </w:tc>
        <w:tc>
          <w:tcPr>
            <w:tcW w:w="2856" w:type="dxa"/>
            <w:shd w:val="clear" w:color="auto" w:fill="D9FFD9"/>
            <w:vAlign w:val="center"/>
          </w:tcPr>
          <w:p w14:paraId="57EEB00E" w14:textId="77777777" w:rsidR="003C7FAE" w:rsidRPr="003C6720" w:rsidRDefault="003C7FAE" w:rsidP="00434380">
            <w:pPr>
              <w:jc w:val="left"/>
              <w:rPr>
                <w:rFonts w:cs="Arial"/>
                <w:sz w:val="20"/>
                <w:szCs w:val="20"/>
              </w:rPr>
            </w:pPr>
            <w:r w:rsidRPr="003C6720">
              <w:rPr>
                <w:rFonts w:cs="Arial"/>
                <w:sz w:val="20"/>
                <w:szCs w:val="20"/>
              </w:rPr>
              <w:t>Ethiopia</w:t>
            </w:r>
          </w:p>
        </w:tc>
        <w:tc>
          <w:tcPr>
            <w:tcW w:w="1710" w:type="dxa"/>
            <w:shd w:val="clear" w:color="auto" w:fill="D9FFD9"/>
            <w:vAlign w:val="center"/>
          </w:tcPr>
          <w:p w14:paraId="7AE4F2A8" w14:textId="77777777" w:rsidR="003C7FAE" w:rsidRDefault="003C7FAE" w:rsidP="00434380">
            <w:pPr>
              <w:jc w:val="left"/>
              <w:rPr>
                <w:rFonts w:cs="Arial"/>
                <w:sz w:val="20"/>
                <w:szCs w:val="20"/>
              </w:rPr>
            </w:pPr>
            <w:r w:rsidRPr="003C6720">
              <w:rPr>
                <w:rFonts w:cs="Arial"/>
                <w:sz w:val="20"/>
                <w:szCs w:val="20"/>
              </w:rPr>
              <w:t xml:space="preserve">Systematic </w:t>
            </w:r>
          </w:p>
          <w:p w14:paraId="3C3E149D" w14:textId="77777777" w:rsidR="003C7FAE" w:rsidRPr="003C6720" w:rsidRDefault="003C7FAE" w:rsidP="00434380">
            <w:pPr>
              <w:jc w:val="left"/>
              <w:rPr>
                <w:rFonts w:cs="Arial"/>
                <w:sz w:val="20"/>
                <w:szCs w:val="20"/>
              </w:rPr>
            </w:pPr>
            <w:r w:rsidRPr="003C6720">
              <w:rPr>
                <w:rFonts w:cs="Arial"/>
                <w:sz w:val="20"/>
                <w:szCs w:val="20"/>
              </w:rPr>
              <w:t>Review</w:t>
            </w:r>
          </w:p>
        </w:tc>
        <w:tc>
          <w:tcPr>
            <w:tcW w:w="4561" w:type="dxa"/>
            <w:shd w:val="clear" w:color="auto" w:fill="D9FFD9"/>
            <w:vAlign w:val="center"/>
          </w:tcPr>
          <w:p w14:paraId="34A98EFF" w14:textId="77777777" w:rsidR="003C7FAE" w:rsidRDefault="003C7FAE" w:rsidP="00434380">
            <w:pPr>
              <w:jc w:val="left"/>
              <w:rPr>
                <w:rFonts w:cs="Arial"/>
                <w:sz w:val="20"/>
                <w:szCs w:val="20"/>
              </w:rPr>
            </w:pPr>
            <w:r w:rsidRPr="003C6720">
              <w:rPr>
                <w:rFonts w:cs="Arial"/>
                <w:sz w:val="20"/>
                <w:szCs w:val="20"/>
              </w:rPr>
              <w:t>Female-headed households, food insecurity, male-headed households.</w:t>
            </w:r>
          </w:p>
        </w:tc>
      </w:tr>
      <w:tr w:rsidR="003C7FAE" w:rsidRPr="003C6720" w14:paraId="55C39B3B" w14:textId="77777777" w:rsidTr="00D86012">
        <w:trPr>
          <w:trHeight w:hRule="exact" w:val="907"/>
        </w:trPr>
        <w:tc>
          <w:tcPr>
            <w:tcW w:w="621" w:type="dxa"/>
            <w:shd w:val="clear" w:color="auto" w:fill="D9FFD9"/>
            <w:vAlign w:val="center"/>
          </w:tcPr>
          <w:p w14:paraId="088F98AE"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D9FFD9"/>
            <w:vAlign w:val="center"/>
          </w:tcPr>
          <w:p w14:paraId="07E0F8C5" w14:textId="77777777" w:rsidR="003C7FAE" w:rsidRPr="003C6720" w:rsidRDefault="003C7FAE" w:rsidP="00434380">
            <w:pPr>
              <w:jc w:val="left"/>
              <w:rPr>
                <w:rFonts w:cs="Arial"/>
                <w:sz w:val="20"/>
                <w:szCs w:val="20"/>
              </w:rPr>
            </w:pPr>
            <w:r w:rsidRPr="003C6720">
              <w:rPr>
                <w:rFonts w:cs="Arial"/>
                <w:sz w:val="20"/>
                <w:szCs w:val="20"/>
              </w:rPr>
              <w:t>Twum et al., 2020</w:t>
            </w:r>
          </w:p>
        </w:tc>
        <w:tc>
          <w:tcPr>
            <w:tcW w:w="2856" w:type="dxa"/>
            <w:shd w:val="clear" w:color="auto" w:fill="D9FFD9"/>
            <w:vAlign w:val="center"/>
          </w:tcPr>
          <w:p w14:paraId="5CB461D3" w14:textId="77777777" w:rsidR="003C7FAE" w:rsidRPr="003C6720" w:rsidRDefault="003C7FAE" w:rsidP="00434380">
            <w:pPr>
              <w:jc w:val="left"/>
              <w:rPr>
                <w:rFonts w:cs="Arial"/>
                <w:sz w:val="20"/>
                <w:szCs w:val="20"/>
              </w:rPr>
            </w:pPr>
            <w:r w:rsidRPr="003C6720">
              <w:rPr>
                <w:rFonts w:cs="Arial"/>
                <w:sz w:val="20"/>
                <w:szCs w:val="20"/>
              </w:rPr>
              <w:t xml:space="preserve">Ghana, specifically the </w:t>
            </w:r>
            <w:proofErr w:type="spellStart"/>
            <w:r w:rsidRPr="003C6720">
              <w:rPr>
                <w:rFonts w:cs="Arial"/>
                <w:sz w:val="20"/>
                <w:szCs w:val="20"/>
              </w:rPr>
              <w:t>Adenta</w:t>
            </w:r>
            <w:proofErr w:type="spellEnd"/>
            <w:r w:rsidRPr="003C6720">
              <w:rPr>
                <w:rFonts w:cs="Arial"/>
                <w:sz w:val="20"/>
                <w:szCs w:val="20"/>
              </w:rPr>
              <w:t xml:space="preserve"> Municipality</w:t>
            </w:r>
          </w:p>
        </w:tc>
        <w:tc>
          <w:tcPr>
            <w:tcW w:w="1710" w:type="dxa"/>
            <w:shd w:val="clear" w:color="auto" w:fill="D9FFD9"/>
            <w:vAlign w:val="center"/>
          </w:tcPr>
          <w:p w14:paraId="0F19C7B4" w14:textId="77777777" w:rsidR="003C7FAE" w:rsidRDefault="003C7FAE" w:rsidP="00434380">
            <w:pPr>
              <w:jc w:val="left"/>
              <w:rPr>
                <w:rFonts w:cs="Arial"/>
                <w:sz w:val="20"/>
                <w:szCs w:val="20"/>
              </w:rPr>
            </w:pPr>
            <w:r w:rsidRPr="003C6720">
              <w:rPr>
                <w:rFonts w:cs="Arial"/>
                <w:sz w:val="20"/>
                <w:szCs w:val="20"/>
              </w:rPr>
              <w:t>Case study</w:t>
            </w:r>
          </w:p>
          <w:p w14:paraId="6B0EF504" w14:textId="77777777" w:rsidR="003C7FAE" w:rsidRDefault="003C7FAE" w:rsidP="00434380">
            <w:pPr>
              <w:jc w:val="left"/>
              <w:rPr>
                <w:rFonts w:cs="Arial"/>
                <w:sz w:val="20"/>
                <w:szCs w:val="20"/>
              </w:rPr>
            </w:pPr>
            <w:r>
              <w:rPr>
                <w:rFonts w:cs="Arial"/>
                <w:sz w:val="20"/>
                <w:szCs w:val="20"/>
              </w:rPr>
              <w:t>a</w:t>
            </w:r>
            <w:r w:rsidRPr="003C6720">
              <w:rPr>
                <w:rFonts w:cs="Arial"/>
                <w:sz w:val="20"/>
                <w:szCs w:val="20"/>
              </w:rPr>
              <w:t xml:space="preserve">nd </w:t>
            </w:r>
            <w:r>
              <w:rPr>
                <w:rFonts w:cs="Arial"/>
                <w:sz w:val="20"/>
                <w:szCs w:val="20"/>
              </w:rPr>
              <w:t>M</w:t>
            </w:r>
            <w:r w:rsidRPr="003C6720">
              <w:rPr>
                <w:rFonts w:cs="Arial"/>
                <w:sz w:val="20"/>
                <w:szCs w:val="20"/>
              </w:rPr>
              <w:t xml:space="preserve">ixed </w:t>
            </w:r>
          </w:p>
          <w:p w14:paraId="37DA963C" w14:textId="77777777" w:rsidR="003C7FAE" w:rsidRPr="003C6720" w:rsidRDefault="003C7FAE" w:rsidP="00434380">
            <w:pPr>
              <w:jc w:val="left"/>
              <w:rPr>
                <w:rFonts w:cs="Arial"/>
                <w:sz w:val="20"/>
                <w:szCs w:val="20"/>
              </w:rPr>
            </w:pPr>
            <w:r w:rsidRPr="003C6720">
              <w:rPr>
                <w:rFonts w:cs="Arial"/>
                <w:sz w:val="20"/>
                <w:szCs w:val="20"/>
              </w:rPr>
              <w:t xml:space="preserve">Method </w:t>
            </w:r>
          </w:p>
        </w:tc>
        <w:tc>
          <w:tcPr>
            <w:tcW w:w="4561" w:type="dxa"/>
            <w:shd w:val="clear" w:color="auto" w:fill="D9FFD9"/>
            <w:vAlign w:val="center"/>
          </w:tcPr>
          <w:p w14:paraId="57C25855" w14:textId="77777777" w:rsidR="003C7FAE" w:rsidRDefault="003C7FAE" w:rsidP="00434380">
            <w:pPr>
              <w:jc w:val="left"/>
              <w:rPr>
                <w:rFonts w:cs="Arial"/>
                <w:sz w:val="20"/>
                <w:szCs w:val="20"/>
              </w:rPr>
            </w:pPr>
            <w:r>
              <w:rPr>
                <w:rFonts w:cs="Arial"/>
                <w:sz w:val="20"/>
                <w:szCs w:val="20"/>
              </w:rPr>
              <w:t>G</w:t>
            </w:r>
            <w:r w:rsidRPr="003C6720">
              <w:rPr>
                <w:rFonts w:cs="Arial"/>
                <w:sz w:val="20"/>
                <w:szCs w:val="20"/>
              </w:rPr>
              <w:t xml:space="preserve">ender disparity in land and food access in Ghana's suburban cities, particularly the </w:t>
            </w:r>
            <w:proofErr w:type="spellStart"/>
            <w:r w:rsidRPr="003C6720">
              <w:rPr>
                <w:rFonts w:cs="Arial"/>
                <w:sz w:val="20"/>
                <w:szCs w:val="20"/>
              </w:rPr>
              <w:t>Adenta</w:t>
            </w:r>
            <w:proofErr w:type="spellEnd"/>
            <w:r w:rsidRPr="003C6720">
              <w:rPr>
                <w:rFonts w:cs="Arial"/>
                <w:sz w:val="20"/>
                <w:szCs w:val="20"/>
              </w:rPr>
              <w:t xml:space="preserve"> Municipality.</w:t>
            </w:r>
          </w:p>
        </w:tc>
      </w:tr>
      <w:tr w:rsidR="003C7FAE" w:rsidRPr="003C6720" w14:paraId="2904AE62" w14:textId="77777777" w:rsidTr="00D86012">
        <w:trPr>
          <w:trHeight w:hRule="exact" w:val="907"/>
        </w:trPr>
        <w:tc>
          <w:tcPr>
            <w:tcW w:w="621" w:type="dxa"/>
            <w:shd w:val="clear" w:color="auto" w:fill="D9FFD9"/>
            <w:vAlign w:val="center"/>
          </w:tcPr>
          <w:p w14:paraId="4C2704EB"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D9FFD9"/>
            <w:vAlign w:val="center"/>
          </w:tcPr>
          <w:p w14:paraId="0FF48716" w14:textId="77777777" w:rsidR="003C7FAE" w:rsidRPr="003C6720" w:rsidRDefault="003C7FAE" w:rsidP="00434380">
            <w:pPr>
              <w:jc w:val="left"/>
              <w:rPr>
                <w:rFonts w:cs="Arial"/>
                <w:sz w:val="20"/>
                <w:szCs w:val="20"/>
              </w:rPr>
            </w:pPr>
            <w:r w:rsidRPr="003C6720">
              <w:rPr>
                <w:rFonts w:cs="Arial"/>
                <w:sz w:val="20"/>
                <w:szCs w:val="20"/>
              </w:rPr>
              <w:t>de Bruin, Dengerink, and van Vliet, 2021</w:t>
            </w:r>
          </w:p>
        </w:tc>
        <w:tc>
          <w:tcPr>
            <w:tcW w:w="2856" w:type="dxa"/>
            <w:shd w:val="clear" w:color="auto" w:fill="D9FFD9"/>
            <w:vAlign w:val="center"/>
          </w:tcPr>
          <w:p w14:paraId="32EF170F" w14:textId="77777777" w:rsidR="003C7FAE" w:rsidRPr="003C6720" w:rsidRDefault="003C7FAE" w:rsidP="00434380">
            <w:pPr>
              <w:jc w:val="left"/>
              <w:rPr>
                <w:rFonts w:cs="Arial"/>
                <w:sz w:val="20"/>
                <w:szCs w:val="20"/>
              </w:rPr>
            </w:pPr>
            <w:r>
              <w:rPr>
                <w:rFonts w:cs="Arial"/>
                <w:sz w:val="20"/>
                <w:szCs w:val="20"/>
              </w:rPr>
              <w:t>S</w:t>
            </w:r>
            <w:r w:rsidRPr="003C6720">
              <w:rPr>
                <w:rFonts w:cs="Arial"/>
                <w:sz w:val="20"/>
                <w:szCs w:val="20"/>
              </w:rPr>
              <w:t>ub-Saharan Africa and South Asia</w:t>
            </w:r>
          </w:p>
        </w:tc>
        <w:tc>
          <w:tcPr>
            <w:tcW w:w="1710" w:type="dxa"/>
            <w:shd w:val="clear" w:color="auto" w:fill="D9FFD9"/>
            <w:vAlign w:val="center"/>
          </w:tcPr>
          <w:p w14:paraId="1954598B" w14:textId="77777777" w:rsidR="003C7FAE" w:rsidRDefault="003C7FAE" w:rsidP="00434380">
            <w:pPr>
              <w:jc w:val="left"/>
              <w:rPr>
                <w:rFonts w:cs="Arial"/>
                <w:sz w:val="20"/>
                <w:szCs w:val="20"/>
              </w:rPr>
            </w:pPr>
            <w:r>
              <w:rPr>
                <w:rFonts w:cs="Arial"/>
                <w:sz w:val="20"/>
                <w:szCs w:val="20"/>
              </w:rPr>
              <w:t>Q</w:t>
            </w:r>
            <w:r w:rsidRPr="003C6720">
              <w:rPr>
                <w:rFonts w:cs="Arial"/>
                <w:sz w:val="20"/>
                <w:szCs w:val="20"/>
              </w:rPr>
              <w:t xml:space="preserve">ualitative </w:t>
            </w:r>
          </w:p>
          <w:p w14:paraId="53FBDAB9" w14:textId="77777777" w:rsidR="003C7FAE" w:rsidRDefault="003C7FAE" w:rsidP="00434380">
            <w:pPr>
              <w:jc w:val="left"/>
              <w:rPr>
                <w:rFonts w:cs="Arial"/>
                <w:sz w:val="20"/>
                <w:szCs w:val="20"/>
              </w:rPr>
            </w:pPr>
            <w:r w:rsidRPr="003C6720">
              <w:rPr>
                <w:rFonts w:cs="Arial"/>
                <w:sz w:val="20"/>
                <w:szCs w:val="20"/>
              </w:rPr>
              <w:t xml:space="preserve">Literature </w:t>
            </w:r>
          </w:p>
          <w:p w14:paraId="0002D203" w14:textId="77777777" w:rsidR="003C7FAE" w:rsidRPr="003C6720" w:rsidRDefault="003C7FAE" w:rsidP="00434380">
            <w:pPr>
              <w:jc w:val="left"/>
              <w:rPr>
                <w:rFonts w:cs="Arial"/>
                <w:sz w:val="20"/>
                <w:szCs w:val="20"/>
              </w:rPr>
            </w:pPr>
            <w:r w:rsidRPr="003C6720">
              <w:rPr>
                <w:rFonts w:cs="Arial"/>
                <w:sz w:val="20"/>
                <w:szCs w:val="20"/>
              </w:rPr>
              <w:t xml:space="preserve">Review </w:t>
            </w:r>
          </w:p>
        </w:tc>
        <w:tc>
          <w:tcPr>
            <w:tcW w:w="4561" w:type="dxa"/>
            <w:shd w:val="clear" w:color="auto" w:fill="D9FFD9"/>
            <w:vAlign w:val="center"/>
          </w:tcPr>
          <w:p w14:paraId="073F78A9" w14:textId="77777777" w:rsidR="003C7FAE" w:rsidRDefault="003C7FAE" w:rsidP="00434380">
            <w:pPr>
              <w:jc w:val="left"/>
              <w:rPr>
                <w:rFonts w:cs="Arial"/>
                <w:sz w:val="20"/>
                <w:szCs w:val="20"/>
              </w:rPr>
            </w:pPr>
            <w:r w:rsidRPr="003C6720">
              <w:rPr>
                <w:rFonts w:cs="Arial"/>
                <w:sz w:val="20"/>
                <w:szCs w:val="20"/>
              </w:rPr>
              <w:t>Urbanization, food systems and the enabling conditions that shape opportunities for rural livelihoods.</w:t>
            </w:r>
          </w:p>
        </w:tc>
      </w:tr>
      <w:tr w:rsidR="003C7FAE" w:rsidRPr="003C6720" w14:paraId="00B58EA0" w14:textId="77777777" w:rsidTr="00D86012">
        <w:trPr>
          <w:trHeight w:hRule="exact" w:val="680"/>
        </w:trPr>
        <w:tc>
          <w:tcPr>
            <w:tcW w:w="621" w:type="dxa"/>
            <w:shd w:val="clear" w:color="auto" w:fill="D9FFD9"/>
            <w:vAlign w:val="center"/>
          </w:tcPr>
          <w:p w14:paraId="33A2B5BF"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D9FFD9"/>
            <w:vAlign w:val="center"/>
          </w:tcPr>
          <w:p w14:paraId="04234073" w14:textId="77777777" w:rsidR="003C7FAE" w:rsidRDefault="003C7FAE" w:rsidP="00434380">
            <w:pPr>
              <w:jc w:val="left"/>
              <w:rPr>
                <w:rFonts w:cs="Arial"/>
                <w:sz w:val="20"/>
                <w:szCs w:val="20"/>
              </w:rPr>
            </w:pPr>
            <w:r w:rsidRPr="003C6720">
              <w:rPr>
                <w:rFonts w:cs="Arial"/>
                <w:sz w:val="20"/>
                <w:szCs w:val="20"/>
              </w:rPr>
              <w:t xml:space="preserve">Tantoh et al., </w:t>
            </w:r>
          </w:p>
          <w:p w14:paraId="576C2A02" w14:textId="77777777" w:rsidR="003C7FAE" w:rsidRPr="003C6720" w:rsidRDefault="003C7FAE" w:rsidP="00434380">
            <w:pPr>
              <w:jc w:val="left"/>
              <w:rPr>
                <w:rFonts w:cs="Arial"/>
                <w:sz w:val="20"/>
                <w:szCs w:val="20"/>
              </w:rPr>
            </w:pPr>
            <w:r w:rsidRPr="003C6720">
              <w:rPr>
                <w:rFonts w:cs="Arial"/>
                <w:sz w:val="20"/>
                <w:szCs w:val="20"/>
              </w:rPr>
              <w:t>2021</w:t>
            </w:r>
          </w:p>
        </w:tc>
        <w:tc>
          <w:tcPr>
            <w:tcW w:w="2856" w:type="dxa"/>
            <w:shd w:val="clear" w:color="auto" w:fill="D9FFD9"/>
            <w:vAlign w:val="center"/>
          </w:tcPr>
          <w:p w14:paraId="6B946B56" w14:textId="77777777" w:rsidR="003C7FAE" w:rsidRPr="003C6720" w:rsidRDefault="003C7FAE" w:rsidP="00434380">
            <w:pPr>
              <w:jc w:val="left"/>
              <w:rPr>
                <w:rFonts w:cs="Arial"/>
                <w:sz w:val="20"/>
                <w:szCs w:val="20"/>
              </w:rPr>
            </w:pPr>
            <w:r w:rsidRPr="003C6720">
              <w:rPr>
                <w:rFonts w:cs="Arial"/>
                <w:sz w:val="20"/>
                <w:szCs w:val="20"/>
              </w:rPr>
              <w:t>Sub-Saharan Africa (SSA)</w:t>
            </w:r>
          </w:p>
        </w:tc>
        <w:tc>
          <w:tcPr>
            <w:tcW w:w="1710" w:type="dxa"/>
            <w:shd w:val="clear" w:color="auto" w:fill="D9FFD9"/>
            <w:vAlign w:val="center"/>
          </w:tcPr>
          <w:p w14:paraId="37E6AF90" w14:textId="77777777" w:rsidR="003C7FAE" w:rsidRDefault="003C7FAE" w:rsidP="00434380">
            <w:pPr>
              <w:jc w:val="left"/>
              <w:rPr>
                <w:rFonts w:cs="Arial"/>
                <w:sz w:val="20"/>
                <w:szCs w:val="20"/>
              </w:rPr>
            </w:pPr>
            <w:r w:rsidRPr="003C6720">
              <w:rPr>
                <w:rFonts w:cs="Arial"/>
                <w:sz w:val="20"/>
                <w:szCs w:val="20"/>
              </w:rPr>
              <w:t xml:space="preserve">Systematic </w:t>
            </w:r>
          </w:p>
          <w:p w14:paraId="27EA01C1" w14:textId="77777777" w:rsidR="003C7FAE" w:rsidRPr="003C6720" w:rsidRDefault="003C7FAE" w:rsidP="00434380">
            <w:pPr>
              <w:jc w:val="left"/>
              <w:rPr>
                <w:rFonts w:cs="Arial"/>
                <w:sz w:val="20"/>
                <w:szCs w:val="20"/>
              </w:rPr>
            </w:pPr>
            <w:r w:rsidRPr="003C6720">
              <w:rPr>
                <w:rFonts w:cs="Arial"/>
                <w:sz w:val="20"/>
                <w:szCs w:val="20"/>
              </w:rPr>
              <w:t>Review</w:t>
            </w:r>
          </w:p>
        </w:tc>
        <w:tc>
          <w:tcPr>
            <w:tcW w:w="4561" w:type="dxa"/>
            <w:shd w:val="clear" w:color="auto" w:fill="D9FFD9"/>
            <w:vAlign w:val="center"/>
          </w:tcPr>
          <w:p w14:paraId="575205CE" w14:textId="77777777" w:rsidR="003C7FAE" w:rsidRPr="003C6720" w:rsidRDefault="003C7FAE" w:rsidP="00434380">
            <w:pPr>
              <w:jc w:val="left"/>
              <w:rPr>
                <w:rFonts w:cs="Arial"/>
                <w:sz w:val="20"/>
                <w:szCs w:val="20"/>
              </w:rPr>
            </w:pPr>
            <w:r w:rsidRPr="003C6720">
              <w:rPr>
                <w:rFonts w:cs="Arial"/>
                <w:sz w:val="20"/>
                <w:szCs w:val="20"/>
              </w:rPr>
              <w:t>Gender roles, water, land, food security, and climate change in SSA.</w:t>
            </w:r>
          </w:p>
        </w:tc>
      </w:tr>
      <w:tr w:rsidR="003C7FAE" w:rsidRPr="003C6720" w14:paraId="4D48782E" w14:textId="77777777" w:rsidTr="00D86012">
        <w:trPr>
          <w:trHeight w:hRule="exact" w:val="680"/>
        </w:trPr>
        <w:tc>
          <w:tcPr>
            <w:tcW w:w="621" w:type="dxa"/>
            <w:shd w:val="clear" w:color="auto" w:fill="D9FFD9"/>
            <w:vAlign w:val="center"/>
          </w:tcPr>
          <w:p w14:paraId="502D3AFC"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D9FFD9"/>
            <w:vAlign w:val="center"/>
          </w:tcPr>
          <w:p w14:paraId="723CAB7D" w14:textId="77777777" w:rsidR="003C7FAE" w:rsidRPr="003C6720" w:rsidRDefault="003C7FAE" w:rsidP="00434380">
            <w:pPr>
              <w:jc w:val="left"/>
              <w:rPr>
                <w:rFonts w:cs="Arial"/>
                <w:sz w:val="20"/>
                <w:szCs w:val="20"/>
              </w:rPr>
            </w:pPr>
            <w:r w:rsidRPr="003C6720">
              <w:rPr>
                <w:rFonts w:cs="Arial"/>
                <w:sz w:val="20"/>
                <w:szCs w:val="20"/>
              </w:rPr>
              <w:t>Vercillo, Huggins, and Cochrane, 2021</w:t>
            </w:r>
          </w:p>
        </w:tc>
        <w:tc>
          <w:tcPr>
            <w:tcW w:w="2856" w:type="dxa"/>
            <w:shd w:val="clear" w:color="auto" w:fill="D9FFD9"/>
            <w:vAlign w:val="center"/>
          </w:tcPr>
          <w:p w14:paraId="1C8BCCD4" w14:textId="77777777" w:rsidR="003C7FAE" w:rsidRPr="003C6720" w:rsidRDefault="003C7FAE" w:rsidP="00434380">
            <w:pPr>
              <w:jc w:val="left"/>
              <w:rPr>
                <w:rFonts w:cs="Arial"/>
                <w:sz w:val="20"/>
                <w:szCs w:val="20"/>
              </w:rPr>
            </w:pPr>
            <w:r w:rsidRPr="003C6720">
              <w:rPr>
                <w:rFonts w:cs="Arial"/>
                <w:sz w:val="20"/>
                <w:szCs w:val="20"/>
              </w:rPr>
              <w:t>Africa</w:t>
            </w:r>
          </w:p>
        </w:tc>
        <w:tc>
          <w:tcPr>
            <w:tcW w:w="1710" w:type="dxa"/>
            <w:shd w:val="clear" w:color="auto" w:fill="D9FFD9"/>
            <w:vAlign w:val="center"/>
          </w:tcPr>
          <w:p w14:paraId="3A3DA294" w14:textId="77777777" w:rsidR="003C7FAE" w:rsidRDefault="003C7FAE" w:rsidP="00434380">
            <w:pPr>
              <w:jc w:val="left"/>
              <w:rPr>
                <w:rFonts w:cs="Arial"/>
                <w:sz w:val="20"/>
                <w:szCs w:val="20"/>
              </w:rPr>
            </w:pPr>
            <w:r w:rsidRPr="003C6720">
              <w:rPr>
                <w:rFonts w:cs="Arial"/>
                <w:sz w:val="20"/>
                <w:szCs w:val="20"/>
              </w:rPr>
              <w:t xml:space="preserve">Systematic </w:t>
            </w:r>
          </w:p>
          <w:p w14:paraId="6992DF21" w14:textId="77777777" w:rsidR="003C7FAE" w:rsidRPr="003C6720" w:rsidRDefault="003C7FAE" w:rsidP="00434380">
            <w:pPr>
              <w:jc w:val="left"/>
              <w:rPr>
                <w:rFonts w:cs="Arial"/>
                <w:sz w:val="20"/>
                <w:szCs w:val="20"/>
              </w:rPr>
            </w:pPr>
            <w:r w:rsidRPr="003C6720">
              <w:rPr>
                <w:rFonts w:cs="Arial"/>
                <w:sz w:val="20"/>
                <w:szCs w:val="20"/>
              </w:rPr>
              <w:t>Review</w:t>
            </w:r>
          </w:p>
        </w:tc>
        <w:tc>
          <w:tcPr>
            <w:tcW w:w="4561" w:type="dxa"/>
            <w:shd w:val="clear" w:color="auto" w:fill="D9FFD9"/>
            <w:vAlign w:val="center"/>
          </w:tcPr>
          <w:p w14:paraId="4286ED40" w14:textId="77777777" w:rsidR="003C7FAE" w:rsidRPr="003C6720" w:rsidRDefault="003C7FAE" w:rsidP="00434380">
            <w:pPr>
              <w:jc w:val="left"/>
              <w:rPr>
                <w:rFonts w:cs="Arial"/>
                <w:sz w:val="20"/>
                <w:szCs w:val="20"/>
              </w:rPr>
            </w:pPr>
            <w:r w:rsidRPr="003C6720">
              <w:rPr>
                <w:rFonts w:cs="Arial"/>
                <w:sz w:val="20"/>
                <w:szCs w:val="20"/>
              </w:rPr>
              <w:t xml:space="preserve"> Gender, African climate change research.</w:t>
            </w:r>
          </w:p>
        </w:tc>
      </w:tr>
      <w:tr w:rsidR="003C7FAE" w:rsidRPr="003C6720" w14:paraId="479FD869" w14:textId="77777777" w:rsidTr="00D86012">
        <w:trPr>
          <w:trHeight w:hRule="exact" w:val="680"/>
        </w:trPr>
        <w:tc>
          <w:tcPr>
            <w:tcW w:w="621" w:type="dxa"/>
            <w:shd w:val="clear" w:color="auto" w:fill="D9FFD9"/>
            <w:vAlign w:val="center"/>
          </w:tcPr>
          <w:p w14:paraId="703764EF"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D9FFD9"/>
            <w:vAlign w:val="center"/>
          </w:tcPr>
          <w:p w14:paraId="18281811" w14:textId="77777777" w:rsidR="003C7FAE" w:rsidRPr="003C6720" w:rsidRDefault="003C7FAE" w:rsidP="00434380">
            <w:pPr>
              <w:jc w:val="left"/>
              <w:rPr>
                <w:rFonts w:cs="Arial"/>
                <w:sz w:val="20"/>
                <w:szCs w:val="20"/>
              </w:rPr>
            </w:pPr>
            <w:proofErr w:type="spellStart"/>
            <w:r w:rsidRPr="003C6720">
              <w:rPr>
                <w:rFonts w:cs="Arial"/>
                <w:sz w:val="20"/>
                <w:szCs w:val="20"/>
              </w:rPr>
              <w:t>Wudil</w:t>
            </w:r>
            <w:proofErr w:type="spellEnd"/>
            <w:r w:rsidRPr="003C6720">
              <w:rPr>
                <w:rFonts w:cs="Arial"/>
                <w:sz w:val="20"/>
                <w:szCs w:val="20"/>
              </w:rPr>
              <w:t xml:space="preserve"> et al. 2021</w:t>
            </w:r>
          </w:p>
        </w:tc>
        <w:tc>
          <w:tcPr>
            <w:tcW w:w="2856" w:type="dxa"/>
            <w:shd w:val="clear" w:color="auto" w:fill="D9FFD9"/>
            <w:vAlign w:val="center"/>
          </w:tcPr>
          <w:p w14:paraId="553005BD" w14:textId="77777777" w:rsidR="003C7FAE" w:rsidRPr="003C6720" w:rsidRDefault="003C7FAE" w:rsidP="00434380">
            <w:pPr>
              <w:jc w:val="left"/>
              <w:rPr>
                <w:rFonts w:cs="Arial"/>
                <w:sz w:val="20"/>
                <w:szCs w:val="20"/>
              </w:rPr>
            </w:pPr>
            <w:r w:rsidRPr="003C6720">
              <w:rPr>
                <w:rFonts w:cs="Arial"/>
                <w:sz w:val="20"/>
                <w:szCs w:val="20"/>
              </w:rPr>
              <w:t>Sub-Saharan Africa (SSA)</w:t>
            </w:r>
          </w:p>
        </w:tc>
        <w:tc>
          <w:tcPr>
            <w:tcW w:w="1710" w:type="dxa"/>
            <w:shd w:val="clear" w:color="auto" w:fill="D9FFD9"/>
            <w:vAlign w:val="center"/>
          </w:tcPr>
          <w:p w14:paraId="2E58FB07" w14:textId="77777777" w:rsidR="003C7FAE" w:rsidRDefault="003C7FAE" w:rsidP="00434380">
            <w:pPr>
              <w:jc w:val="left"/>
              <w:rPr>
                <w:rFonts w:cs="Arial"/>
                <w:sz w:val="20"/>
                <w:szCs w:val="20"/>
              </w:rPr>
            </w:pPr>
            <w:r w:rsidRPr="003C6720">
              <w:rPr>
                <w:rFonts w:cs="Arial"/>
                <w:sz w:val="20"/>
                <w:szCs w:val="20"/>
              </w:rPr>
              <w:t xml:space="preserve">Literature </w:t>
            </w:r>
          </w:p>
          <w:p w14:paraId="26A30D71" w14:textId="77777777" w:rsidR="003C7FAE" w:rsidRPr="003C6720" w:rsidRDefault="003C7FAE" w:rsidP="00434380">
            <w:pPr>
              <w:jc w:val="left"/>
              <w:rPr>
                <w:rFonts w:cs="Arial"/>
                <w:sz w:val="20"/>
                <w:szCs w:val="20"/>
              </w:rPr>
            </w:pPr>
            <w:r w:rsidRPr="003C6720">
              <w:rPr>
                <w:rFonts w:cs="Arial"/>
                <w:sz w:val="20"/>
                <w:szCs w:val="20"/>
              </w:rPr>
              <w:t xml:space="preserve">Review </w:t>
            </w:r>
          </w:p>
        </w:tc>
        <w:tc>
          <w:tcPr>
            <w:tcW w:w="4561" w:type="dxa"/>
            <w:shd w:val="clear" w:color="auto" w:fill="D9FFD9"/>
            <w:vAlign w:val="center"/>
          </w:tcPr>
          <w:p w14:paraId="58476FFB" w14:textId="77777777" w:rsidR="003C7FAE" w:rsidRPr="003C6720" w:rsidRDefault="003C7FAE" w:rsidP="00434380">
            <w:pPr>
              <w:jc w:val="left"/>
              <w:rPr>
                <w:rFonts w:cs="Arial"/>
                <w:sz w:val="20"/>
                <w:szCs w:val="20"/>
              </w:rPr>
            </w:pPr>
            <w:r>
              <w:rPr>
                <w:rFonts w:cs="Arial"/>
                <w:sz w:val="20"/>
                <w:szCs w:val="20"/>
              </w:rPr>
              <w:t>C</w:t>
            </w:r>
            <w:r w:rsidRPr="003C6720">
              <w:rPr>
                <w:rFonts w:cs="Arial"/>
                <w:sz w:val="20"/>
                <w:szCs w:val="20"/>
              </w:rPr>
              <w:t>hallenges to achieving food security in Sub-Saharan Africa.</w:t>
            </w:r>
          </w:p>
        </w:tc>
      </w:tr>
      <w:tr w:rsidR="003C7FAE" w:rsidRPr="003C6720" w14:paraId="4E254B22" w14:textId="77777777" w:rsidTr="00D86012">
        <w:trPr>
          <w:trHeight w:hRule="exact" w:val="907"/>
        </w:trPr>
        <w:tc>
          <w:tcPr>
            <w:tcW w:w="621" w:type="dxa"/>
            <w:shd w:val="clear" w:color="auto" w:fill="D9FFD9"/>
            <w:vAlign w:val="center"/>
          </w:tcPr>
          <w:p w14:paraId="5A3E0105"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D9FFD9"/>
            <w:vAlign w:val="center"/>
          </w:tcPr>
          <w:p w14:paraId="17BA0498" w14:textId="77777777" w:rsidR="003C7FAE" w:rsidRPr="003C6720" w:rsidRDefault="003C7FAE" w:rsidP="00434380">
            <w:pPr>
              <w:jc w:val="left"/>
              <w:rPr>
                <w:rFonts w:cs="Arial"/>
                <w:sz w:val="20"/>
                <w:szCs w:val="20"/>
              </w:rPr>
            </w:pPr>
            <w:proofErr w:type="spellStart"/>
            <w:r w:rsidRPr="003C6720">
              <w:rPr>
                <w:rFonts w:cs="Arial"/>
                <w:sz w:val="20"/>
                <w:szCs w:val="20"/>
              </w:rPr>
              <w:t>Ziem</w:t>
            </w:r>
            <w:proofErr w:type="spellEnd"/>
            <w:r w:rsidRPr="003C6720">
              <w:rPr>
                <w:rFonts w:cs="Arial"/>
                <w:sz w:val="20"/>
                <w:szCs w:val="20"/>
              </w:rPr>
              <w:t xml:space="preserve"> </w:t>
            </w:r>
            <w:proofErr w:type="spellStart"/>
            <w:r w:rsidRPr="003C6720">
              <w:rPr>
                <w:rFonts w:cs="Arial"/>
                <w:sz w:val="20"/>
                <w:szCs w:val="20"/>
              </w:rPr>
              <w:t>Bonye</w:t>
            </w:r>
            <w:proofErr w:type="spellEnd"/>
            <w:r w:rsidRPr="003C6720">
              <w:rPr>
                <w:rFonts w:cs="Arial"/>
                <w:sz w:val="20"/>
                <w:szCs w:val="20"/>
              </w:rPr>
              <w:t xml:space="preserve">, </w:t>
            </w:r>
            <w:proofErr w:type="spellStart"/>
            <w:r w:rsidRPr="003C6720">
              <w:rPr>
                <w:rFonts w:cs="Arial"/>
                <w:sz w:val="20"/>
                <w:szCs w:val="20"/>
              </w:rPr>
              <w:t>Yenglier</w:t>
            </w:r>
            <w:proofErr w:type="spellEnd"/>
            <w:r w:rsidRPr="003C6720">
              <w:rPr>
                <w:rFonts w:cs="Arial"/>
                <w:sz w:val="20"/>
                <w:szCs w:val="20"/>
              </w:rPr>
              <w:t xml:space="preserve"> </w:t>
            </w:r>
            <w:proofErr w:type="spellStart"/>
            <w:r w:rsidRPr="003C6720">
              <w:rPr>
                <w:rFonts w:cs="Arial"/>
                <w:sz w:val="20"/>
                <w:szCs w:val="20"/>
              </w:rPr>
              <w:t>Yiridomoh</w:t>
            </w:r>
            <w:proofErr w:type="spellEnd"/>
            <w:r w:rsidRPr="003C6720">
              <w:rPr>
                <w:rFonts w:cs="Arial"/>
                <w:sz w:val="20"/>
                <w:szCs w:val="20"/>
              </w:rPr>
              <w:t xml:space="preserve">, and </w:t>
            </w:r>
            <w:proofErr w:type="spellStart"/>
            <w:r w:rsidRPr="003C6720">
              <w:rPr>
                <w:rFonts w:cs="Arial"/>
                <w:sz w:val="20"/>
                <w:szCs w:val="20"/>
              </w:rPr>
              <w:t>Derbile</w:t>
            </w:r>
            <w:proofErr w:type="spellEnd"/>
            <w:r w:rsidRPr="003C6720">
              <w:rPr>
                <w:rFonts w:cs="Arial"/>
                <w:sz w:val="20"/>
                <w:szCs w:val="20"/>
              </w:rPr>
              <w:t>, 2021</w:t>
            </w:r>
          </w:p>
        </w:tc>
        <w:tc>
          <w:tcPr>
            <w:tcW w:w="2856" w:type="dxa"/>
            <w:shd w:val="clear" w:color="auto" w:fill="D9FFD9"/>
            <w:vAlign w:val="center"/>
          </w:tcPr>
          <w:p w14:paraId="564F04A6" w14:textId="77777777" w:rsidR="003C7FAE" w:rsidRPr="003C6720" w:rsidRDefault="003C7FAE" w:rsidP="00434380">
            <w:pPr>
              <w:jc w:val="left"/>
              <w:rPr>
                <w:rFonts w:cs="Arial"/>
                <w:sz w:val="20"/>
                <w:szCs w:val="20"/>
              </w:rPr>
            </w:pPr>
            <w:r w:rsidRPr="003C6720">
              <w:rPr>
                <w:rFonts w:cs="Arial"/>
                <w:sz w:val="20"/>
                <w:szCs w:val="20"/>
              </w:rPr>
              <w:t xml:space="preserve">Ghana, specifically the </w:t>
            </w:r>
            <w:proofErr w:type="spellStart"/>
            <w:r w:rsidRPr="003C6720">
              <w:rPr>
                <w:rFonts w:cs="Arial"/>
                <w:sz w:val="20"/>
                <w:szCs w:val="20"/>
              </w:rPr>
              <w:t>Wa</w:t>
            </w:r>
            <w:proofErr w:type="spellEnd"/>
            <w:r w:rsidRPr="003C6720">
              <w:rPr>
                <w:rFonts w:cs="Arial"/>
                <w:sz w:val="20"/>
                <w:szCs w:val="20"/>
              </w:rPr>
              <w:t xml:space="preserve"> Municipality</w:t>
            </w:r>
          </w:p>
        </w:tc>
        <w:tc>
          <w:tcPr>
            <w:tcW w:w="1710" w:type="dxa"/>
            <w:shd w:val="clear" w:color="auto" w:fill="D9FFD9"/>
            <w:vAlign w:val="center"/>
          </w:tcPr>
          <w:p w14:paraId="30722E72" w14:textId="77777777" w:rsidR="003C7FAE" w:rsidRDefault="003C7FAE" w:rsidP="00434380">
            <w:pPr>
              <w:jc w:val="left"/>
              <w:rPr>
                <w:rFonts w:cs="Arial"/>
                <w:sz w:val="20"/>
                <w:szCs w:val="20"/>
              </w:rPr>
            </w:pPr>
            <w:r w:rsidRPr="003C6720">
              <w:rPr>
                <w:rFonts w:cs="Arial"/>
                <w:sz w:val="20"/>
                <w:szCs w:val="20"/>
              </w:rPr>
              <w:t xml:space="preserve">Mixed-methods </w:t>
            </w:r>
          </w:p>
          <w:p w14:paraId="276C9299" w14:textId="77777777" w:rsidR="003C7FAE" w:rsidRPr="003C6720" w:rsidRDefault="003C7FAE" w:rsidP="00434380">
            <w:pPr>
              <w:jc w:val="left"/>
              <w:rPr>
                <w:rFonts w:cs="Arial"/>
                <w:sz w:val="20"/>
                <w:szCs w:val="20"/>
              </w:rPr>
            </w:pPr>
            <w:r w:rsidRPr="003C6720">
              <w:rPr>
                <w:rFonts w:cs="Arial"/>
                <w:sz w:val="20"/>
                <w:szCs w:val="20"/>
              </w:rPr>
              <w:t xml:space="preserve">Study </w:t>
            </w:r>
          </w:p>
        </w:tc>
        <w:tc>
          <w:tcPr>
            <w:tcW w:w="4561" w:type="dxa"/>
            <w:shd w:val="clear" w:color="auto" w:fill="D9FFD9"/>
            <w:vAlign w:val="center"/>
          </w:tcPr>
          <w:p w14:paraId="0B40C07E" w14:textId="77777777" w:rsidR="003C7FAE" w:rsidRPr="003C6720" w:rsidRDefault="003C7FAE" w:rsidP="00434380">
            <w:pPr>
              <w:jc w:val="left"/>
              <w:rPr>
                <w:rFonts w:cs="Arial"/>
                <w:sz w:val="20"/>
                <w:szCs w:val="20"/>
              </w:rPr>
            </w:pPr>
            <w:r w:rsidRPr="003C6720">
              <w:rPr>
                <w:rFonts w:cs="Arial"/>
                <w:sz w:val="20"/>
                <w:szCs w:val="20"/>
              </w:rPr>
              <w:t>Urban expansion and agricultural land use change in Ghana, food security of peri-urban smallholder farmers.</w:t>
            </w:r>
          </w:p>
        </w:tc>
      </w:tr>
      <w:tr w:rsidR="003C7FAE" w:rsidRPr="003C6720" w14:paraId="24570A7D" w14:textId="77777777" w:rsidTr="00D86012">
        <w:trPr>
          <w:trHeight w:hRule="exact" w:val="680"/>
        </w:trPr>
        <w:tc>
          <w:tcPr>
            <w:tcW w:w="621" w:type="dxa"/>
            <w:shd w:val="clear" w:color="auto" w:fill="D9FFD9"/>
            <w:vAlign w:val="center"/>
          </w:tcPr>
          <w:p w14:paraId="07C03B62"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D9FFD9"/>
            <w:vAlign w:val="center"/>
          </w:tcPr>
          <w:p w14:paraId="74B2E4E2" w14:textId="77777777" w:rsidR="003C7FAE" w:rsidRDefault="003C7FAE" w:rsidP="00434380">
            <w:pPr>
              <w:jc w:val="left"/>
              <w:rPr>
                <w:rFonts w:cs="Arial"/>
                <w:sz w:val="20"/>
                <w:szCs w:val="20"/>
              </w:rPr>
            </w:pPr>
            <w:proofErr w:type="spellStart"/>
            <w:r w:rsidRPr="003C6720">
              <w:rPr>
                <w:rFonts w:cs="Arial"/>
                <w:sz w:val="20"/>
                <w:szCs w:val="20"/>
              </w:rPr>
              <w:t>Ngcamu</w:t>
            </w:r>
            <w:proofErr w:type="spellEnd"/>
            <w:r w:rsidRPr="003C6720">
              <w:rPr>
                <w:rFonts w:cs="Arial"/>
                <w:sz w:val="20"/>
                <w:szCs w:val="20"/>
              </w:rPr>
              <w:t xml:space="preserve">, </w:t>
            </w:r>
          </w:p>
          <w:p w14:paraId="0E039A7B" w14:textId="77777777" w:rsidR="003C7FAE" w:rsidRPr="003C6720" w:rsidRDefault="003C7FAE" w:rsidP="00434380">
            <w:pPr>
              <w:jc w:val="left"/>
              <w:rPr>
                <w:rFonts w:cs="Arial"/>
                <w:sz w:val="20"/>
                <w:szCs w:val="20"/>
              </w:rPr>
            </w:pPr>
            <w:r w:rsidRPr="003C6720">
              <w:rPr>
                <w:rFonts w:cs="Arial"/>
                <w:sz w:val="20"/>
                <w:szCs w:val="20"/>
              </w:rPr>
              <w:t>2022</w:t>
            </w:r>
          </w:p>
        </w:tc>
        <w:tc>
          <w:tcPr>
            <w:tcW w:w="2856" w:type="dxa"/>
            <w:shd w:val="clear" w:color="auto" w:fill="D9FFD9"/>
            <w:vAlign w:val="center"/>
          </w:tcPr>
          <w:p w14:paraId="3B4A1535" w14:textId="77777777" w:rsidR="003C7FAE" w:rsidRPr="003C6720" w:rsidRDefault="003C7FAE" w:rsidP="00434380">
            <w:pPr>
              <w:jc w:val="left"/>
              <w:rPr>
                <w:rFonts w:cs="Arial"/>
                <w:sz w:val="20"/>
                <w:szCs w:val="20"/>
              </w:rPr>
            </w:pPr>
            <w:r w:rsidRPr="003C6720">
              <w:rPr>
                <w:rFonts w:cs="Arial"/>
                <w:sz w:val="20"/>
                <w:szCs w:val="20"/>
              </w:rPr>
              <w:t>Africa</w:t>
            </w:r>
          </w:p>
        </w:tc>
        <w:tc>
          <w:tcPr>
            <w:tcW w:w="1710" w:type="dxa"/>
            <w:shd w:val="clear" w:color="auto" w:fill="D9FFD9"/>
            <w:vAlign w:val="center"/>
          </w:tcPr>
          <w:p w14:paraId="241C78C2" w14:textId="77777777" w:rsidR="003C7FAE" w:rsidRDefault="003C7FAE" w:rsidP="00434380">
            <w:pPr>
              <w:jc w:val="left"/>
              <w:rPr>
                <w:rFonts w:cs="Arial"/>
                <w:sz w:val="20"/>
                <w:szCs w:val="20"/>
              </w:rPr>
            </w:pPr>
            <w:r w:rsidRPr="003C6720">
              <w:rPr>
                <w:rFonts w:cs="Arial"/>
                <w:sz w:val="20"/>
                <w:szCs w:val="20"/>
              </w:rPr>
              <w:t xml:space="preserve">Systematic </w:t>
            </w:r>
          </w:p>
          <w:p w14:paraId="73517088" w14:textId="77777777" w:rsidR="003C7FAE" w:rsidRPr="003C6720" w:rsidRDefault="003C7FAE" w:rsidP="00434380">
            <w:pPr>
              <w:jc w:val="left"/>
              <w:rPr>
                <w:rFonts w:cs="Arial"/>
                <w:sz w:val="20"/>
                <w:szCs w:val="20"/>
              </w:rPr>
            </w:pPr>
            <w:r w:rsidRPr="003C6720">
              <w:rPr>
                <w:rFonts w:cs="Arial"/>
                <w:sz w:val="20"/>
                <w:szCs w:val="20"/>
              </w:rPr>
              <w:t>Review</w:t>
            </w:r>
          </w:p>
        </w:tc>
        <w:tc>
          <w:tcPr>
            <w:tcW w:w="4561" w:type="dxa"/>
            <w:shd w:val="clear" w:color="auto" w:fill="D9FFD9"/>
            <w:vAlign w:val="center"/>
          </w:tcPr>
          <w:p w14:paraId="16570B3E" w14:textId="77777777" w:rsidR="003C7FAE" w:rsidRPr="00E30E0F" w:rsidRDefault="003C7FAE" w:rsidP="00434380">
            <w:pPr>
              <w:jc w:val="left"/>
              <w:rPr>
                <w:rFonts w:cs="Arial"/>
                <w:sz w:val="20"/>
                <w:szCs w:val="20"/>
              </w:rPr>
            </w:pPr>
            <w:r w:rsidRPr="003C6720">
              <w:rPr>
                <w:rFonts w:cs="Arial"/>
                <w:sz w:val="20"/>
                <w:szCs w:val="20"/>
              </w:rPr>
              <w:t xml:space="preserve">Effects of </w:t>
            </w:r>
            <w:proofErr w:type="spellStart"/>
            <w:r w:rsidRPr="003C6720">
              <w:rPr>
                <w:rFonts w:cs="Arial"/>
                <w:sz w:val="20"/>
                <w:szCs w:val="20"/>
              </w:rPr>
              <w:t>urbanisation</w:t>
            </w:r>
            <w:proofErr w:type="spellEnd"/>
            <w:r w:rsidRPr="003C6720">
              <w:rPr>
                <w:rFonts w:cs="Arial"/>
                <w:sz w:val="20"/>
                <w:szCs w:val="20"/>
              </w:rPr>
              <w:t xml:space="preserve"> on food security in Africa. </w:t>
            </w:r>
          </w:p>
        </w:tc>
      </w:tr>
      <w:tr w:rsidR="003C7FAE" w:rsidRPr="003C6720" w14:paraId="742B8490" w14:textId="77777777" w:rsidTr="00D86012">
        <w:trPr>
          <w:trHeight w:hRule="exact" w:val="1134"/>
        </w:trPr>
        <w:tc>
          <w:tcPr>
            <w:tcW w:w="621" w:type="dxa"/>
            <w:shd w:val="clear" w:color="auto" w:fill="D9FFD9"/>
            <w:vAlign w:val="center"/>
          </w:tcPr>
          <w:p w14:paraId="3A3A2365"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D9FFD9"/>
            <w:vAlign w:val="center"/>
          </w:tcPr>
          <w:p w14:paraId="636CA631" w14:textId="77777777" w:rsidR="003C7FAE" w:rsidRPr="003C6720" w:rsidRDefault="003C7FAE" w:rsidP="00434380">
            <w:pPr>
              <w:jc w:val="left"/>
              <w:rPr>
                <w:rFonts w:cs="Arial"/>
                <w:sz w:val="20"/>
                <w:szCs w:val="20"/>
              </w:rPr>
            </w:pPr>
            <w:r w:rsidRPr="003C6720">
              <w:rPr>
                <w:rFonts w:cs="Arial"/>
                <w:sz w:val="20"/>
                <w:szCs w:val="20"/>
              </w:rPr>
              <w:t>VanVolkenburg et al., 2022</w:t>
            </w:r>
          </w:p>
        </w:tc>
        <w:tc>
          <w:tcPr>
            <w:tcW w:w="2856" w:type="dxa"/>
            <w:shd w:val="clear" w:color="auto" w:fill="D9FFD9"/>
            <w:vAlign w:val="center"/>
          </w:tcPr>
          <w:p w14:paraId="5A309119" w14:textId="77777777" w:rsidR="003C7FAE" w:rsidRPr="003C6720" w:rsidRDefault="003C7FAE" w:rsidP="00434380">
            <w:pPr>
              <w:jc w:val="left"/>
              <w:rPr>
                <w:rFonts w:cs="Arial"/>
                <w:sz w:val="20"/>
                <w:szCs w:val="20"/>
              </w:rPr>
            </w:pPr>
            <w:r w:rsidRPr="003C6720">
              <w:rPr>
                <w:rFonts w:cs="Arial"/>
                <w:sz w:val="20"/>
                <w:szCs w:val="20"/>
              </w:rPr>
              <w:t>Africa (with specific mentions of Burkina Faso</w:t>
            </w:r>
            <w:r>
              <w:rPr>
                <w:rFonts w:cs="Arial"/>
                <w:sz w:val="20"/>
                <w:szCs w:val="20"/>
              </w:rPr>
              <w:t>,</w:t>
            </w:r>
            <w:r w:rsidRPr="003C6720">
              <w:rPr>
                <w:rFonts w:cs="Arial"/>
                <w:sz w:val="20"/>
                <w:szCs w:val="20"/>
              </w:rPr>
              <w:t xml:space="preserve"> Ghana, Kenya, Nigeria, Senegal and South Africa)</w:t>
            </w:r>
          </w:p>
        </w:tc>
        <w:tc>
          <w:tcPr>
            <w:tcW w:w="1710" w:type="dxa"/>
            <w:shd w:val="clear" w:color="auto" w:fill="D9FFD9"/>
            <w:vAlign w:val="center"/>
          </w:tcPr>
          <w:p w14:paraId="143B4A1F" w14:textId="77777777" w:rsidR="003C7FAE" w:rsidRDefault="003C7FAE" w:rsidP="00434380">
            <w:pPr>
              <w:jc w:val="left"/>
              <w:rPr>
                <w:rFonts w:cs="Arial"/>
                <w:sz w:val="20"/>
                <w:szCs w:val="20"/>
              </w:rPr>
            </w:pPr>
            <w:r w:rsidRPr="003C6720">
              <w:rPr>
                <w:rFonts w:cs="Arial"/>
                <w:sz w:val="20"/>
                <w:szCs w:val="20"/>
              </w:rPr>
              <w:t xml:space="preserve">Systematic </w:t>
            </w:r>
          </w:p>
          <w:p w14:paraId="4197392A" w14:textId="77777777" w:rsidR="003C7FAE" w:rsidRPr="003C6720" w:rsidRDefault="003C7FAE" w:rsidP="00434380">
            <w:pPr>
              <w:jc w:val="left"/>
              <w:rPr>
                <w:rFonts w:cs="Arial"/>
                <w:sz w:val="20"/>
                <w:szCs w:val="20"/>
              </w:rPr>
            </w:pPr>
            <w:r w:rsidRPr="003C6720">
              <w:rPr>
                <w:rFonts w:cs="Arial"/>
                <w:sz w:val="20"/>
                <w:szCs w:val="20"/>
              </w:rPr>
              <w:t>Review</w:t>
            </w:r>
          </w:p>
        </w:tc>
        <w:tc>
          <w:tcPr>
            <w:tcW w:w="4561" w:type="dxa"/>
            <w:shd w:val="clear" w:color="auto" w:fill="D9FFD9"/>
            <w:vAlign w:val="center"/>
          </w:tcPr>
          <w:p w14:paraId="6178D90C" w14:textId="77777777" w:rsidR="003C7FAE" w:rsidRPr="003C6720" w:rsidRDefault="003C7FAE" w:rsidP="00434380">
            <w:pPr>
              <w:jc w:val="left"/>
              <w:rPr>
                <w:rFonts w:cs="Arial"/>
                <w:sz w:val="20"/>
                <w:szCs w:val="20"/>
              </w:rPr>
            </w:pPr>
            <w:r>
              <w:rPr>
                <w:rFonts w:cs="Arial"/>
                <w:sz w:val="20"/>
                <w:szCs w:val="20"/>
              </w:rPr>
              <w:t>G</w:t>
            </w:r>
            <w:r w:rsidRPr="003C6720">
              <w:rPr>
                <w:rFonts w:cs="Arial"/>
                <w:sz w:val="20"/>
                <w:szCs w:val="20"/>
              </w:rPr>
              <w:t>ender-inclusive research on how COVID-19 and food insecurity are affecting equality between men and women in Africa.</w:t>
            </w:r>
          </w:p>
        </w:tc>
      </w:tr>
      <w:tr w:rsidR="003C7FAE" w:rsidRPr="003C6720" w14:paraId="0013B7E3" w14:textId="77777777" w:rsidTr="00D86012">
        <w:trPr>
          <w:trHeight w:hRule="exact" w:val="680"/>
        </w:trPr>
        <w:tc>
          <w:tcPr>
            <w:tcW w:w="621" w:type="dxa"/>
            <w:shd w:val="clear" w:color="auto" w:fill="D9FFD9"/>
            <w:vAlign w:val="center"/>
          </w:tcPr>
          <w:p w14:paraId="44897509"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D9FFD9"/>
            <w:vAlign w:val="center"/>
          </w:tcPr>
          <w:p w14:paraId="685BA353" w14:textId="77777777" w:rsidR="003C7FAE" w:rsidRPr="003C6720" w:rsidRDefault="003C7FAE" w:rsidP="00434380">
            <w:pPr>
              <w:jc w:val="left"/>
              <w:rPr>
                <w:rFonts w:cs="Arial"/>
                <w:sz w:val="20"/>
                <w:szCs w:val="20"/>
              </w:rPr>
            </w:pPr>
            <w:r w:rsidRPr="003C6720">
              <w:rPr>
                <w:rFonts w:cs="Arial"/>
                <w:sz w:val="20"/>
                <w:szCs w:val="20"/>
              </w:rPr>
              <w:t>Johannes, 2023</w:t>
            </w:r>
          </w:p>
        </w:tc>
        <w:tc>
          <w:tcPr>
            <w:tcW w:w="2856" w:type="dxa"/>
            <w:shd w:val="clear" w:color="auto" w:fill="D9FFD9"/>
            <w:vAlign w:val="center"/>
          </w:tcPr>
          <w:p w14:paraId="1E9584D1" w14:textId="77777777" w:rsidR="003C7FAE" w:rsidRPr="003C6720" w:rsidRDefault="003C7FAE" w:rsidP="00434380">
            <w:pPr>
              <w:jc w:val="left"/>
              <w:rPr>
                <w:rFonts w:cs="Arial"/>
                <w:sz w:val="20"/>
                <w:szCs w:val="20"/>
              </w:rPr>
            </w:pPr>
            <w:r w:rsidRPr="003C6720">
              <w:rPr>
                <w:rFonts w:cs="Arial"/>
                <w:sz w:val="20"/>
                <w:szCs w:val="20"/>
              </w:rPr>
              <w:t>Zimbabwe</w:t>
            </w:r>
          </w:p>
        </w:tc>
        <w:tc>
          <w:tcPr>
            <w:tcW w:w="1710" w:type="dxa"/>
            <w:shd w:val="clear" w:color="auto" w:fill="D9FFD9"/>
            <w:vAlign w:val="center"/>
          </w:tcPr>
          <w:p w14:paraId="6914FB59" w14:textId="77777777" w:rsidR="003C7FAE" w:rsidRDefault="003C7FAE" w:rsidP="00434380">
            <w:pPr>
              <w:jc w:val="left"/>
              <w:rPr>
                <w:rFonts w:cs="Arial"/>
                <w:sz w:val="20"/>
                <w:szCs w:val="20"/>
              </w:rPr>
            </w:pPr>
            <w:r w:rsidRPr="003C6720">
              <w:rPr>
                <w:rFonts w:cs="Arial"/>
                <w:sz w:val="20"/>
                <w:szCs w:val="20"/>
              </w:rPr>
              <w:t xml:space="preserve">Systematic </w:t>
            </w:r>
          </w:p>
          <w:p w14:paraId="64FB72BA" w14:textId="77777777" w:rsidR="003C7FAE" w:rsidRPr="003F4532" w:rsidRDefault="003C7FAE" w:rsidP="00434380">
            <w:pPr>
              <w:jc w:val="left"/>
              <w:rPr>
                <w:rFonts w:cs="Arial"/>
                <w:sz w:val="20"/>
                <w:szCs w:val="20"/>
              </w:rPr>
            </w:pPr>
            <w:r w:rsidRPr="003C6720">
              <w:rPr>
                <w:rFonts w:cs="Arial"/>
                <w:sz w:val="20"/>
                <w:szCs w:val="20"/>
              </w:rPr>
              <w:t>review</w:t>
            </w:r>
          </w:p>
        </w:tc>
        <w:tc>
          <w:tcPr>
            <w:tcW w:w="4561" w:type="dxa"/>
            <w:shd w:val="clear" w:color="auto" w:fill="D9FFD9"/>
            <w:vAlign w:val="center"/>
          </w:tcPr>
          <w:p w14:paraId="1D6D2AE8" w14:textId="77777777" w:rsidR="003C7FAE" w:rsidRDefault="003C7FAE" w:rsidP="00434380">
            <w:pPr>
              <w:jc w:val="left"/>
              <w:rPr>
                <w:rFonts w:cs="Arial"/>
                <w:sz w:val="20"/>
                <w:szCs w:val="20"/>
              </w:rPr>
            </w:pPr>
            <w:r w:rsidRPr="00E30E0F">
              <w:rPr>
                <w:rFonts w:cs="Arial"/>
                <w:sz w:val="20"/>
                <w:szCs w:val="20"/>
              </w:rPr>
              <w:t>Tenure-insecure peri-urbanites, African peri-urban spaces.</w:t>
            </w:r>
          </w:p>
        </w:tc>
      </w:tr>
      <w:tr w:rsidR="003C7FAE" w:rsidRPr="003C6720" w14:paraId="4A47D6F9" w14:textId="77777777" w:rsidTr="00D86012">
        <w:trPr>
          <w:trHeight w:hRule="exact" w:val="907"/>
        </w:trPr>
        <w:tc>
          <w:tcPr>
            <w:tcW w:w="621" w:type="dxa"/>
            <w:shd w:val="clear" w:color="auto" w:fill="D9FFD9"/>
            <w:vAlign w:val="center"/>
          </w:tcPr>
          <w:p w14:paraId="0F823C63" w14:textId="77777777" w:rsidR="003C7FAE" w:rsidRPr="00D86012" w:rsidRDefault="003C7FAE" w:rsidP="003C7FAE">
            <w:pPr>
              <w:pStyle w:val="ListParagraph"/>
              <w:numPr>
                <w:ilvl w:val="0"/>
                <w:numId w:val="6"/>
              </w:numPr>
              <w:ind w:left="0" w:firstLine="0"/>
              <w:jc w:val="center"/>
              <w:rPr>
                <w:rFonts w:cs="Arial"/>
                <w:i/>
                <w:iCs/>
                <w:sz w:val="20"/>
                <w:szCs w:val="20"/>
              </w:rPr>
            </w:pPr>
          </w:p>
        </w:tc>
        <w:tc>
          <w:tcPr>
            <w:tcW w:w="2159" w:type="dxa"/>
            <w:shd w:val="clear" w:color="auto" w:fill="D9FFD9"/>
            <w:vAlign w:val="center"/>
          </w:tcPr>
          <w:p w14:paraId="125348EF" w14:textId="77777777" w:rsidR="003C7FAE" w:rsidRDefault="003C7FAE" w:rsidP="00434380">
            <w:pPr>
              <w:jc w:val="left"/>
              <w:rPr>
                <w:rFonts w:cs="Arial"/>
                <w:sz w:val="20"/>
                <w:szCs w:val="20"/>
              </w:rPr>
            </w:pPr>
            <w:r w:rsidRPr="003C6720">
              <w:rPr>
                <w:rFonts w:cs="Arial"/>
                <w:sz w:val="20"/>
                <w:szCs w:val="20"/>
              </w:rPr>
              <w:t xml:space="preserve">Masuku, Mthembu, </w:t>
            </w:r>
          </w:p>
          <w:p w14:paraId="2021A4FA" w14:textId="77777777" w:rsidR="003C7FAE" w:rsidRPr="003C6720" w:rsidRDefault="003C7FAE" w:rsidP="00434380">
            <w:pPr>
              <w:jc w:val="left"/>
              <w:rPr>
                <w:rFonts w:cs="Arial"/>
                <w:sz w:val="20"/>
                <w:szCs w:val="20"/>
              </w:rPr>
            </w:pPr>
            <w:r w:rsidRPr="003C6720">
              <w:rPr>
                <w:rFonts w:cs="Arial"/>
                <w:sz w:val="20"/>
                <w:szCs w:val="20"/>
              </w:rPr>
              <w:t>and Mlambo, 2023</w:t>
            </w:r>
          </w:p>
        </w:tc>
        <w:tc>
          <w:tcPr>
            <w:tcW w:w="2856" w:type="dxa"/>
            <w:shd w:val="clear" w:color="auto" w:fill="D9FFD9"/>
            <w:vAlign w:val="center"/>
          </w:tcPr>
          <w:p w14:paraId="45C2DC49" w14:textId="77777777" w:rsidR="003C7FAE" w:rsidRPr="003C6720" w:rsidRDefault="003C7FAE" w:rsidP="00434380">
            <w:pPr>
              <w:jc w:val="left"/>
              <w:rPr>
                <w:rFonts w:cs="Arial"/>
                <w:sz w:val="20"/>
                <w:szCs w:val="20"/>
              </w:rPr>
            </w:pPr>
            <w:r w:rsidRPr="003C6720">
              <w:rPr>
                <w:rFonts w:cs="Arial"/>
                <w:sz w:val="20"/>
                <w:szCs w:val="20"/>
              </w:rPr>
              <w:t>Sub-Saharan Africa (SSA)</w:t>
            </w:r>
          </w:p>
        </w:tc>
        <w:tc>
          <w:tcPr>
            <w:tcW w:w="1710" w:type="dxa"/>
            <w:shd w:val="clear" w:color="auto" w:fill="D9FFD9"/>
            <w:vAlign w:val="center"/>
          </w:tcPr>
          <w:p w14:paraId="5F89BF80" w14:textId="77777777" w:rsidR="003C7FAE" w:rsidRDefault="003C7FAE" w:rsidP="00434380">
            <w:pPr>
              <w:jc w:val="left"/>
              <w:rPr>
                <w:rFonts w:cs="Arial"/>
                <w:sz w:val="20"/>
                <w:szCs w:val="20"/>
              </w:rPr>
            </w:pPr>
            <w:r w:rsidRPr="003C6720">
              <w:rPr>
                <w:rFonts w:cs="Arial"/>
                <w:sz w:val="20"/>
                <w:szCs w:val="20"/>
              </w:rPr>
              <w:t>Comprehensive</w:t>
            </w:r>
          </w:p>
          <w:p w14:paraId="42846951" w14:textId="77777777" w:rsidR="003C7FAE" w:rsidRDefault="003C7FAE" w:rsidP="00434380">
            <w:pPr>
              <w:jc w:val="left"/>
              <w:rPr>
                <w:rFonts w:cs="Arial"/>
                <w:sz w:val="20"/>
                <w:szCs w:val="20"/>
              </w:rPr>
            </w:pPr>
            <w:r w:rsidRPr="003C6720">
              <w:rPr>
                <w:rFonts w:cs="Arial"/>
                <w:sz w:val="20"/>
                <w:szCs w:val="20"/>
              </w:rPr>
              <w:t xml:space="preserve">Literature </w:t>
            </w:r>
          </w:p>
          <w:p w14:paraId="6CC91DC4" w14:textId="77777777" w:rsidR="003C7FAE" w:rsidRPr="003C6720" w:rsidRDefault="003C7FAE" w:rsidP="00434380">
            <w:pPr>
              <w:jc w:val="left"/>
              <w:rPr>
                <w:rFonts w:cs="Arial"/>
                <w:sz w:val="20"/>
                <w:szCs w:val="20"/>
              </w:rPr>
            </w:pPr>
            <w:r w:rsidRPr="003C6720">
              <w:rPr>
                <w:rFonts w:cs="Arial"/>
                <w:sz w:val="20"/>
                <w:szCs w:val="20"/>
              </w:rPr>
              <w:t>Review (CLR)</w:t>
            </w:r>
          </w:p>
        </w:tc>
        <w:tc>
          <w:tcPr>
            <w:tcW w:w="4561" w:type="dxa"/>
            <w:shd w:val="clear" w:color="auto" w:fill="D9FFD9"/>
            <w:vAlign w:val="center"/>
          </w:tcPr>
          <w:p w14:paraId="7A87E422" w14:textId="77777777" w:rsidR="003C7FAE" w:rsidRPr="003C6720" w:rsidRDefault="003C7FAE" w:rsidP="00434380">
            <w:pPr>
              <w:jc w:val="left"/>
              <w:rPr>
                <w:rFonts w:cs="Arial"/>
                <w:sz w:val="20"/>
                <w:szCs w:val="20"/>
              </w:rPr>
            </w:pPr>
            <w:r>
              <w:rPr>
                <w:rFonts w:cs="Arial"/>
                <w:sz w:val="20"/>
                <w:szCs w:val="20"/>
              </w:rPr>
              <w:t>G</w:t>
            </w:r>
            <w:r w:rsidRPr="003C6720">
              <w:rPr>
                <w:rFonts w:cs="Arial"/>
                <w:sz w:val="20"/>
                <w:szCs w:val="20"/>
              </w:rPr>
              <w:t>endered nature of land distribution, food insecurity for women and their households.</w:t>
            </w:r>
          </w:p>
        </w:tc>
      </w:tr>
      <w:tr w:rsidR="003B0952" w:rsidRPr="003C6720" w14:paraId="627A5D9D" w14:textId="77777777" w:rsidTr="003B0952">
        <w:trPr>
          <w:trHeight w:hRule="exact" w:val="680"/>
        </w:trPr>
        <w:tc>
          <w:tcPr>
            <w:tcW w:w="621" w:type="dxa"/>
            <w:shd w:val="clear" w:color="auto" w:fill="D9FFD9"/>
            <w:vAlign w:val="center"/>
          </w:tcPr>
          <w:p w14:paraId="06D21481" w14:textId="77777777" w:rsidR="003B0952" w:rsidRPr="00D86012" w:rsidRDefault="003B0952" w:rsidP="003B0952">
            <w:pPr>
              <w:pStyle w:val="ListParagraph"/>
              <w:numPr>
                <w:ilvl w:val="0"/>
                <w:numId w:val="6"/>
              </w:numPr>
              <w:ind w:left="0" w:firstLine="0"/>
              <w:jc w:val="center"/>
              <w:rPr>
                <w:rFonts w:cs="Arial"/>
                <w:i/>
                <w:iCs/>
              </w:rPr>
            </w:pPr>
          </w:p>
        </w:tc>
        <w:tc>
          <w:tcPr>
            <w:tcW w:w="2159" w:type="dxa"/>
            <w:shd w:val="clear" w:color="auto" w:fill="D9FFD9"/>
            <w:vAlign w:val="center"/>
          </w:tcPr>
          <w:p w14:paraId="44695422" w14:textId="75242DDE" w:rsidR="003B0952" w:rsidRPr="003C6720" w:rsidRDefault="003B0952" w:rsidP="003B0952">
            <w:pPr>
              <w:jc w:val="left"/>
              <w:rPr>
                <w:rFonts w:cs="Arial"/>
              </w:rPr>
            </w:pPr>
            <w:r w:rsidRPr="003C6720">
              <w:rPr>
                <w:rFonts w:cs="Arial"/>
                <w:sz w:val="20"/>
                <w:szCs w:val="20"/>
              </w:rPr>
              <w:t>Mubiru et al., 202</w:t>
            </w:r>
            <w:r>
              <w:rPr>
                <w:rFonts w:cs="Arial"/>
                <w:sz w:val="20"/>
                <w:szCs w:val="20"/>
              </w:rPr>
              <w:t>3</w:t>
            </w:r>
          </w:p>
        </w:tc>
        <w:tc>
          <w:tcPr>
            <w:tcW w:w="2856" w:type="dxa"/>
            <w:shd w:val="clear" w:color="auto" w:fill="D9FFD9"/>
            <w:vAlign w:val="center"/>
          </w:tcPr>
          <w:p w14:paraId="17CD80D3" w14:textId="08008F52" w:rsidR="003B0952" w:rsidRPr="003C6720" w:rsidRDefault="003B0952" w:rsidP="003B0952">
            <w:pPr>
              <w:jc w:val="left"/>
              <w:rPr>
                <w:rFonts w:cs="Arial"/>
              </w:rPr>
            </w:pPr>
            <w:r w:rsidRPr="003C6720">
              <w:rPr>
                <w:rFonts w:cs="Arial"/>
                <w:sz w:val="20"/>
                <w:szCs w:val="20"/>
              </w:rPr>
              <w:t>Sub-Saharan Africa (SSA)</w:t>
            </w:r>
          </w:p>
        </w:tc>
        <w:tc>
          <w:tcPr>
            <w:tcW w:w="1710" w:type="dxa"/>
            <w:shd w:val="clear" w:color="auto" w:fill="D9FFD9"/>
            <w:vAlign w:val="center"/>
          </w:tcPr>
          <w:p w14:paraId="41D3D919" w14:textId="1886DF09" w:rsidR="003B0952" w:rsidRPr="003C6720" w:rsidRDefault="003B0952" w:rsidP="003B0952">
            <w:pPr>
              <w:jc w:val="left"/>
              <w:rPr>
                <w:rFonts w:cs="Arial"/>
              </w:rPr>
            </w:pPr>
            <w:r w:rsidRPr="003F4532">
              <w:rPr>
                <w:rFonts w:cs="Arial"/>
                <w:sz w:val="20"/>
                <w:szCs w:val="20"/>
              </w:rPr>
              <w:t>Scoping Review</w:t>
            </w:r>
          </w:p>
        </w:tc>
        <w:tc>
          <w:tcPr>
            <w:tcW w:w="4561" w:type="dxa"/>
            <w:shd w:val="clear" w:color="auto" w:fill="D9FFD9"/>
            <w:vAlign w:val="center"/>
          </w:tcPr>
          <w:p w14:paraId="773C61A1" w14:textId="09271020" w:rsidR="003B0952" w:rsidRPr="003C6720" w:rsidRDefault="003B0952" w:rsidP="003B0952">
            <w:pPr>
              <w:jc w:val="left"/>
              <w:rPr>
                <w:rFonts w:cs="Arial"/>
              </w:rPr>
            </w:pPr>
            <w:r>
              <w:rPr>
                <w:rFonts w:cs="Arial"/>
                <w:sz w:val="20"/>
                <w:szCs w:val="20"/>
              </w:rPr>
              <w:t>G</w:t>
            </w:r>
            <w:r w:rsidRPr="003C6720">
              <w:rPr>
                <w:rFonts w:cs="Arial"/>
                <w:sz w:val="20"/>
                <w:szCs w:val="20"/>
              </w:rPr>
              <w:t>ender of household heads in Sub-Saharan African cities.</w:t>
            </w:r>
          </w:p>
        </w:tc>
      </w:tr>
      <w:tr w:rsidR="003B0952" w:rsidRPr="003C6720" w14:paraId="2D6A583F" w14:textId="77777777" w:rsidTr="00D86012">
        <w:trPr>
          <w:trHeight w:hRule="exact" w:val="907"/>
        </w:trPr>
        <w:tc>
          <w:tcPr>
            <w:tcW w:w="621" w:type="dxa"/>
            <w:shd w:val="clear" w:color="auto" w:fill="D9FFD9"/>
            <w:vAlign w:val="center"/>
          </w:tcPr>
          <w:p w14:paraId="410EFA94" w14:textId="77777777" w:rsidR="003B0952" w:rsidRPr="00D86012" w:rsidRDefault="003B0952" w:rsidP="003B0952">
            <w:pPr>
              <w:pStyle w:val="ListParagraph"/>
              <w:numPr>
                <w:ilvl w:val="0"/>
                <w:numId w:val="6"/>
              </w:numPr>
              <w:ind w:left="0" w:firstLine="0"/>
              <w:jc w:val="center"/>
              <w:rPr>
                <w:rFonts w:cs="Arial"/>
                <w:i/>
                <w:iCs/>
                <w:sz w:val="20"/>
                <w:szCs w:val="20"/>
              </w:rPr>
            </w:pPr>
          </w:p>
        </w:tc>
        <w:tc>
          <w:tcPr>
            <w:tcW w:w="2159" w:type="dxa"/>
            <w:shd w:val="clear" w:color="auto" w:fill="D9FFD9"/>
            <w:vAlign w:val="center"/>
          </w:tcPr>
          <w:p w14:paraId="76AFDDB9" w14:textId="77777777" w:rsidR="003B0952" w:rsidRPr="003C6720" w:rsidRDefault="003B0952" w:rsidP="003B0952">
            <w:pPr>
              <w:jc w:val="left"/>
              <w:rPr>
                <w:rFonts w:cs="Arial"/>
                <w:sz w:val="20"/>
                <w:szCs w:val="20"/>
              </w:rPr>
            </w:pPr>
            <w:proofErr w:type="spellStart"/>
            <w:r w:rsidRPr="003C6720">
              <w:rPr>
                <w:rFonts w:cs="Arial"/>
                <w:sz w:val="20"/>
                <w:szCs w:val="20"/>
              </w:rPr>
              <w:t>Nchanji</w:t>
            </w:r>
            <w:proofErr w:type="spellEnd"/>
            <w:r w:rsidRPr="003C6720">
              <w:rPr>
                <w:rFonts w:cs="Arial"/>
                <w:sz w:val="20"/>
                <w:szCs w:val="20"/>
              </w:rPr>
              <w:t xml:space="preserve"> et al.</w:t>
            </w:r>
            <w:r>
              <w:rPr>
                <w:rFonts w:cs="Arial"/>
                <w:sz w:val="20"/>
                <w:szCs w:val="20"/>
              </w:rPr>
              <w:t>,</w:t>
            </w:r>
            <w:r w:rsidRPr="003C6720">
              <w:rPr>
                <w:rFonts w:cs="Arial"/>
                <w:sz w:val="20"/>
                <w:szCs w:val="20"/>
              </w:rPr>
              <w:t xml:space="preserve"> 2023</w:t>
            </w:r>
          </w:p>
        </w:tc>
        <w:tc>
          <w:tcPr>
            <w:tcW w:w="2856" w:type="dxa"/>
            <w:shd w:val="clear" w:color="auto" w:fill="D9FFD9"/>
            <w:vAlign w:val="center"/>
          </w:tcPr>
          <w:p w14:paraId="53D9F9DE" w14:textId="77777777" w:rsidR="003B0952" w:rsidRPr="003C6720" w:rsidRDefault="003B0952" w:rsidP="003B0952">
            <w:pPr>
              <w:jc w:val="left"/>
              <w:rPr>
                <w:rFonts w:cs="Arial"/>
                <w:sz w:val="20"/>
                <w:szCs w:val="20"/>
              </w:rPr>
            </w:pPr>
            <w:r w:rsidRPr="003C6720">
              <w:rPr>
                <w:rFonts w:cs="Arial"/>
                <w:sz w:val="20"/>
                <w:szCs w:val="20"/>
              </w:rPr>
              <w:t>Ghana</w:t>
            </w:r>
          </w:p>
        </w:tc>
        <w:tc>
          <w:tcPr>
            <w:tcW w:w="1710" w:type="dxa"/>
            <w:shd w:val="clear" w:color="auto" w:fill="D9FFD9"/>
            <w:vAlign w:val="center"/>
          </w:tcPr>
          <w:p w14:paraId="6C5396A2" w14:textId="77777777" w:rsidR="003B0952" w:rsidRDefault="003B0952" w:rsidP="003B0952">
            <w:pPr>
              <w:jc w:val="left"/>
              <w:rPr>
                <w:rFonts w:cs="Arial"/>
                <w:sz w:val="20"/>
                <w:szCs w:val="20"/>
              </w:rPr>
            </w:pPr>
            <w:r w:rsidRPr="003C6720">
              <w:rPr>
                <w:rFonts w:cs="Arial"/>
                <w:sz w:val="20"/>
                <w:szCs w:val="20"/>
              </w:rPr>
              <w:t xml:space="preserve">Ethnographic </w:t>
            </w:r>
          </w:p>
          <w:p w14:paraId="5DC6AEA6" w14:textId="77777777" w:rsidR="003B0952" w:rsidRDefault="003B0952" w:rsidP="003B0952">
            <w:pPr>
              <w:jc w:val="left"/>
              <w:rPr>
                <w:rFonts w:cs="Arial"/>
                <w:sz w:val="20"/>
                <w:szCs w:val="20"/>
              </w:rPr>
            </w:pPr>
            <w:r w:rsidRPr="003C6720">
              <w:rPr>
                <w:rFonts w:cs="Arial"/>
                <w:sz w:val="20"/>
                <w:szCs w:val="20"/>
              </w:rPr>
              <w:t>Study</w:t>
            </w:r>
          </w:p>
          <w:p w14:paraId="2A27026E" w14:textId="77777777" w:rsidR="003B0952" w:rsidRPr="003C6720" w:rsidRDefault="003B0952" w:rsidP="003B0952">
            <w:pPr>
              <w:jc w:val="left"/>
              <w:rPr>
                <w:rFonts w:cs="Arial"/>
                <w:sz w:val="20"/>
                <w:szCs w:val="20"/>
              </w:rPr>
            </w:pPr>
            <w:r>
              <w:rPr>
                <w:rFonts w:cs="Arial"/>
                <w:sz w:val="20"/>
                <w:szCs w:val="20"/>
              </w:rPr>
              <w:t>Survey</w:t>
            </w:r>
          </w:p>
        </w:tc>
        <w:tc>
          <w:tcPr>
            <w:tcW w:w="4561" w:type="dxa"/>
            <w:shd w:val="clear" w:color="auto" w:fill="D9FFD9"/>
            <w:vAlign w:val="center"/>
          </w:tcPr>
          <w:p w14:paraId="3594ED8F" w14:textId="77777777" w:rsidR="003B0952" w:rsidRPr="003C6720" w:rsidRDefault="003B0952" w:rsidP="003B0952">
            <w:pPr>
              <w:jc w:val="left"/>
              <w:rPr>
                <w:rFonts w:cs="Arial"/>
                <w:sz w:val="20"/>
                <w:szCs w:val="20"/>
              </w:rPr>
            </w:pPr>
            <w:r w:rsidRPr="003C6720">
              <w:rPr>
                <w:rFonts w:cs="Arial"/>
                <w:sz w:val="20"/>
                <w:szCs w:val="20"/>
              </w:rPr>
              <w:t>Food and nutrition insecurity</w:t>
            </w:r>
            <w:r>
              <w:rPr>
                <w:rFonts w:cs="Arial"/>
                <w:sz w:val="20"/>
                <w:szCs w:val="20"/>
              </w:rPr>
              <w:t>, and u</w:t>
            </w:r>
            <w:r w:rsidRPr="003C6720">
              <w:rPr>
                <w:rFonts w:cs="Arial"/>
                <w:sz w:val="20"/>
                <w:szCs w:val="20"/>
              </w:rPr>
              <w:t>rban land-use change in Northern Ghana</w:t>
            </w:r>
            <w:r>
              <w:rPr>
                <w:rFonts w:cs="Arial"/>
                <w:sz w:val="20"/>
                <w:szCs w:val="20"/>
              </w:rPr>
              <w:t>.</w:t>
            </w:r>
            <w:r w:rsidRPr="003C6720">
              <w:rPr>
                <w:rFonts w:cs="Arial"/>
                <w:sz w:val="20"/>
                <w:szCs w:val="20"/>
              </w:rPr>
              <w:t xml:space="preserve"> </w:t>
            </w:r>
          </w:p>
        </w:tc>
      </w:tr>
      <w:tr w:rsidR="003B0952" w:rsidRPr="003C6720" w14:paraId="398D72BE" w14:textId="77777777" w:rsidTr="00D86012">
        <w:trPr>
          <w:trHeight w:hRule="exact" w:val="680"/>
        </w:trPr>
        <w:tc>
          <w:tcPr>
            <w:tcW w:w="621" w:type="dxa"/>
            <w:shd w:val="clear" w:color="auto" w:fill="D9FFD9"/>
            <w:vAlign w:val="center"/>
          </w:tcPr>
          <w:p w14:paraId="63C845CC" w14:textId="77777777" w:rsidR="003B0952" w:rsidRPr="00D86012" w:rsidRDefault="003B0952" w:rsidP="003B0952">
            <w:pPr>
              <w:pStyle w:val="ListParagraph"/>
              <w:numPr>
                <w:ilvl w:val="0"/>
                <w:numId w:val="6"/>
              </w:numPr>
              <w:ind w:left="0" w:firstLine="0"/>
              <w:jc w:val="center"/>
              <w:rPr>
                <w:rFonts w:cs="Arial"/>
                <w:i/>
                <w:iCs/>
                <w:sz w:val="20"/>
                <w:szCs w:val="20"/>
              </w:rPr>
            </w:pPr>
          </w:p>
        </w:tc>
        <w:tc>
          <w:tcPr>
            <w:tcW w:w="2159" w:type="dxa"/>
            <w:shd w:val="clear" w:color="auto" w:fill="D9FFD9"/>
            <w:vAlign w:val="center"/>
          </w:tcPr>
          <w:p w14:paraId="152A85F1" w14:textId="77777777" w:rsidR="003B0952" w:rsidRPr="003C6720" w:rsidRDefault="003B0952" w:rsidP="003B0952">
            <w:pPr>
              <w:jc w:val="left"/>
              <w:rPr>
                <w:rFonts w:cs="Arial"/>
                <w:sz w:val="20"/>
                <w:szCs w:val="20"/>
              </w:rPr>
            </w:pPr>
            <w:proofErr w:type="spellStart"/>
            <w:r w:rsidRPr="003C6720">
              <w:rPr>
                <w:rFonts w:cs="Arial"/>
                <w:sz w:val="20"/>
                <w:szCs w:val="20"/>
              </w:rPr>
              <w:t>Sakketa</w:t>
            </w:r>
            <w:proofErr w:type="spellEnd"/>
            <w:r w:rsidRPr="003C6720">
              <w:rPr>
                <w:rFonts w:cs="Arial"/>
                <w:sz w:val="20"/>
                <w:szCs w:val="20"/>
              </w:rPr>
              <w:t>, 2023</w:t>
            </w:r>
          </w:p>
        </w:tc>
        <w:tc>
          <w:tcPr>
            <w:tcW w:w="2856" w:type="dxa"/>
            <w:shd w:val="clear" w:color="auto" w:fill="D9FFD9"/>
            <w:vAlign w:val="center"/>
          </w:tcPr>
          <w:p w14:paraId="1B61386F" w14:textId="77777777" w:rsidR="003B0952" w:rsidRPr="003C6720" w:rsidRDefault="003B0952" w:rsidP="003B0952">
            <w:pPr>
              <w:jc w:val="left"/>
              <w:rPr>
                <w:rFonts w:cs="Arial"/>
                <w:sz w:val="20"/>
                <w:szCs w:val="20"/>
              </w:rPr>
            </w:pPr>
            <w:r w:rsidRPr="003C6720">
              <w:rPr>
                <w:rFonts w:cs="Arial"/>
                <w:sz w:val="20"/>
                <w:szCs w:val="20"/>
              </w:rPr>
              <w:t>Sub-Saharan Africa (SSA)</w:t>
            </w:r>
          </w:p>
        </w:tc>
        <w:tc>
          <w:tcPr>
            <w:tcW w:w="1710" w:type="dxa"/>
            <w:shd w:val="clear" w:color="auto" w:fill="D9FFD9"/>
            <w:vAlign w:val="center"/>
          </w:tcPr>
          <w:p w14:paraId="7BBEB18B" w14:textId="77777777" w:rsidR="003B0952" w:rsidRDefault="003B0952" w:rsidP="003B0952">
            <w:pPr>
              <w:jc w:val="left"/>
              <w:rPr>
                <w:rFonts w:cs="Arial"/>
                <w:sz w:val="20"/>
                <w:szCs w:val="20"/>
              </w:rPr>
            </w:pPr>
            <w:r w:rsidRPr="003C6720">
              <w:rPr>
                <w:rFonts w:cs="Arial"/>
                <w:sz w:val="20"/>
                <w:szCs w:val="20"/>
              </w:rPr>
              <w:t xml:space="preserve">Literature </w:t>
            </w:r>
          </w:p>
          <w:p w14:paraId="5DAE1CAD" w14:textId="77777777" w:rsidR="003B0952" w:rsidRPr="003C6720" w:rsidRDefault="003B0952" w:rsidP="003B0952">
            <w:pPr>
              <w:jc w:val="left"/>
              <w:rPr>
                <w:rFonts w:cs="Arial"/>
                <w:sz w:val="20"/>
                <w:szCs w:val="20"/>
              </w:rPr>
            </w:pPr>
            <w:r w:rsidRPr="003C6720">
              <w:rPr>
                <w:rFonts w:cs="Arial"/>
                <w:sz w:val="20"/>
                <w:szCs w:val="20"/>
              </w:rPr>
              <w:t>Review</w:t>
            </w:r>
          </w:p>
        </w:tc>
        <w:tc>
          <w:tcPr>
            <w:tcW w:w="4561" w:type="dxa"/>
            <w:shd w:val="clear" w:color="auto" w:fill="D9FFD9"/>
            <w:vAlign w:val="center"/>
          </w:tcPr>
          <w:p w14:paraId="7B8F0A5C" w14:textId="77777777" w:rsidR="003B0952" w:rsidRPr="003C6720" w:rsidRDefault="003B0952" w:rsidP="003B0952">
            <w:pPr>
              <w:jc w:val="left"/>
              <w:rPr>
                <w:rFonts w:cs="Arial"/>
                <w:sz w:val="20"/>
                <w:szCs w:val="20"/>
              </w:rPr>
            </w:pPr>
            <w:r>
              <w:rPr>
                <w:rFonts w:cs="Arial"/>
                <w:sz w:val="20"/>
                <w:szCs w:val="20"/>
              </w:rPr>
              <w:t>U</w:t>
            </w:r>
            <w:r w:rsidRPr="003C6720">
              <w:rPr>
                <w:rFonts w:cs="Arial"/>
                <w:sz w:val="20"/>
                <w:szCs w:val="20"/>
              </w:rPr>
              <w:t>rbanization on rural development in sub-Saharan Africa</w:t>
            </w:r>
            <w:r>
              <w:rPr>
                <w:rFonts w:cs="Arial"/>
                <w:sz w:val="20"/>
                <w:szCs w:val="20"/>
              </w:rPr>
              <w:t>.</w:t>
            </w:r>
          </w:p>
        </w:tc>
      </w:tr>
      <w:tr w:rsidR="003B0952" w:rsidRPr="003C6720" w14:paraId="50E55AF8" w14:textId="77777777" w:rsidTr="00D86012">
        <w:trPr>
          <w:trHeight w:hRule="exact" w:val="907"/>
        </w:trPr>
        <w:tc>
          <w:tcPr>
            <w:tcW w:w="621" w:type="dxa"/>
            <w:shd w:val="clear" w:color="auto" w:fill="D9FFD9"/>
            <w:vAlign w:val="center"/>
          </w:tcPr>
          <w:p w14:paraId="0277BEAA" w14:textId="77777777" w:rsidR="003B0952" w:rsidRPr="00D86012" w:rsidRDefault="003B0952" w:rsidP="003B0952">
            <w:pPr>
              <w:pStyle w:val="ListParagraph"/>
              <w:numPr>
                <w:ilvl w:val="0"/>
                <w:numId w:val="6"/>
              </w:numPr>
              <w:ind w:left="0" w:firstLine="0"/>
              <w:jc w:val="center"/>
              <w:rPr>
                <w:rFonts w:cs="Arial"/>
                <w:i/>
                <w:iCs/>
                <w:sz w:val="20"/>
                <w:szCs w:val="20"/>
              </w:rPr>
            </w:pPr>
          </w:p>
        </w:tc>
        <w:tc>
          <w:tcPr>
            <w:tcW w:w="2159" w:type="dxa"/>
            <w:shd w:val="clear" w:color="auto" w:fill="D9FFD9"/>
            <w:vAlign w:val="center"/>
          </w:tcPr>
          <w:p w14:paraId="46DA38DA" w14:textId="77777777" w:rsidR="003B0952" w:rsidRPr="003C6720" w:rsidRDefault="003B0952" w:rsidP="003B0952">
            <w:pPr>
              <w:jc w:val="left"/>
              <w:rPr>
                <w:rFonts w:cs="Arial"/>
                <w:sz w:val="20"/>
                <w:szCs w:val="20"/>
              </w:rPr>
            </w:pPr>
            <w:r w:rsidRPr="003C6720">
              <w:rPr>
                <w:rFonts w:cs="Arial"/>
                <w:sz w:val="20"/>
                <w:szCs w:val="20"/>
              </w:rPr>
              <w:t>Abebe, 2024</w:t>
            </w:r>
          </w:p>
        </w:tc>
        <w:tc>
          <w:tcPr>
            <w:tcW w:w="2856" w:type="dxa"/>
            <w:shd w:val="clear" w:color="auto" w:fill="D9FFD9"/>
            <w:vAlign w:val="center"/>
          </w:tcPr>
          <w:p w14:paraId="3CC3ECC6" w14:textId="77777777" w:rsidR="003B0952" w:rsidRPr="003C6720" w:rsidRDefault="003B0952" w:rsidP="003B0952">
            <w:pPr>
              <w:jc w:val="left"/>
              <w:rPr>
                <w:rFonts w:cs="Arial"/>
                <w:sz w:val="20"/>
                <w:szCs w:val="20"/>
              </w:rPr>
            </w:pPr>
            <w:r w:rsidRPr="003C6720">
              <w:rPr>
                <w:rFonts w:cs="Arial"/>
                <w:sz w:val="20"/>
                <w:szCs w:val="20"/>
              </w:rPr>
              <w:t>Ethiopia</w:t>
            </w:r>
          </w:p>
        </w:tc>
        <w:tc>
          <w:tcPr>
            <w:tcW w:w="1710" w:type="dxa"/>
            <w:shd w:val="clear" w:color="auto" w:fill="D9FFD9"/>
            <w:vAlign w:val="center"/>
          </w:tcPr>
          <w:p w14:paraId="435F2FC9" w14:textId="77777777" w:rsidR="003B0952" w:rsidRDefault="003B0952" w:rsidP="003B0952">
            <w:pPr>
              <w:jc w:val="left"/>
              <w:rPr>
                <w:rFonts w:cs="Arial"/>
                <w:sz w:val="20"/>
                <w:szCs w:val="20"/>
              </w:rPr>
            </w:pPr>
            <w:r>
              <w:rPr>
                <w:rFonts w:cs="Arial"/>
                <w:sz w:val="20"/>
                <w:szCs w:val="20"/>
              </w:rPr>
              <w:t>R</w:t>
            </w:r>
            <w:r w:rsidRPr="003C6720">
              <w:rPr>
                <w:rFonts w:cs="Arial"/>
                <w:sz w:val="20"/>
                <w:szCs w:val="20"/>
              </w:rPr>
              <w:t xml:space="preserve">eview of </w:t>
            </w:r>
          </w:p>
          <w:p w14:paraId="35B91347" w14:textId="77777777" w:rsidR="003B0952" w:rsidRDefault="003B0952" w:rsidP="003B0952">
            <w:pPr>
              <w:jc w:val="left"/>
              <w:rPr>
                <w:rFonts w:cs="Arial"/>
                <w:sz w:val="20"/>
                <w:szCs w:val="20"/>
              </w:rPr>
            </w:pPr>
            <w:r w:rsidRPr="003C6720">
              <w:rPr>
                <w:rFonts w:cs="Arial"/>
                <w:sz w:val="20"/>
                <w:szCs w:val="20"/>
              </w:rPr>
              <w:t xml:space="preserve">Empirical </w:t>
            </w:r>
          </w:p>
          <w:p w14:paraId="18255BCB" w14:textId="77777777" w:rsidR="003B0952" w:rsidRPr="003C6720" w:rsidRDefault="003B0952" w:rsidP="003B0952">
            <w:pPr>
              <w:jc w:val="left"/>
              <w:rPr>
                <w:rFonts w:cs="Arial"/>
                <w:sz w:val="20"/>
                <w:szCs w:val="20"/>
              </w:rPr>
            </w:pPr>
            <w:r w:rsidRPr="003C6720">
              <w:rPr>
                <w:rFonts w:cs="Arial"/>
                <w:sz w:val="20"/>
                <w:szCs w:val="20"/>
              </w:rPr>
              <w:t xml:space="preserve">Evidence </w:t>
            </w:r>
          </w:p>
        </w:tc>
        <w:tc>
          <w:tcPr>
            <w:tcW w:w="4561" w:type="dxa"/>
            <w:shd w:val="clear" w:color="auto" w:fill="D9FFD9"/>
            <w:vAlign w:val="center"/>
          </w:tcPr>
          <w:p w14:paraId="6C3F3BC8" w14:textId="77777777" w:rsidR="003B0952" w:rsidRDefault="003B0952" w:rsidP="003B0952">
            <w:pPr>
              <w:jc w:val="left"/>
              <w:rPr>
                <w:rFonts w:cs="Arial"/>
                <w:sz w:val="20"/>
                <w:szCs w:val="20"/>
              </w:rPr>
            </w:pPr>
            <w:r w:rsidRPr="003C6720">
              <w:rPr>
                <w:rFonts w:cs="Arial"/>
                <w:sz w:val="20"/>
                <w:szCs w:val="20"/>
              </w:rPr>
              <w:t>Rapid urbanization,</w:t>
            </w:r>
            <w:r>
              <w:rPr>
                <w:rFonts w:cs="Arial"/>
                <w:sz w:val="20"/>
                <w:szCs w:val="20"/>
              </w:rPr>
              <w:t xml:space="preserve"> and</w:t>
            </w:r>
            <w:r w:rsidRPr="003C6720">
              <w:rPr>
                <w:rFonts w:cs="Arial"/>
                <w:sz w:val="20"/>
                <w:szCs w:val="20"/>
              </w:rPr>
              <w:t xml:space="preserve"> food security</w:t>
            </w:r>
            <w:r>
              <w:rPr>
                <w:rFonts w:cs="Arial"/>
                <w:sz w:val="20"/>
                <w:szCs w:val="20"/>
              </w:rPr>
              <w:t>.</w:t>
            </w:r>
          </w:p>
        </w:tc>
      </w:tr>
      <w:tr w:rsidR="003B0952" w:rsidRPr="003C6720" w14:paraId="7E5B27D4" w14:textId="77777777" w:rsidTr="00D86012">
        <w:trPr>
          <w:trHeight w:hRule="exact" w:val="1134"/>
        </w:trPr>
        <w:tc>
          <w:tcPr>
            <w:tcW w:w="621" w:type="dxa"/>
            <w:shd w:val="clear" w:color="auto" w:fill="D9FFD9"/>
            <w:vAlign w:val="center"/>
          </w:tcPr>
          <w:p w14:paraId="09DFCAEB" w14:textId="77777777" w:rsidR="003B0952" w:rsidRPr="00D86012" w:rsidRDefault="003B0952" w:rsidP="003B0952">
            <w:pPr>
              <w:pStyle w:val="ListParagraph"/>
              <w:numPr>
                <w:ilvl w:val="0"/>
                <w:numId w:val="6"/>
              </w:numPr>
              <w:ind w:left="0" w:firstLine="0"/>
              <w:jc w:val="center"/>
              <w:rPr>
                <w:rFonts w:cs="Arial"/>
                <w:i/>
                <w:iCs/>
                <w:sz w:val="20"/>
                <w:szCs w:val="20"/>
              </w:rPr>
            </w:pPr>
          </w:p>
        </w:tc>
        <w:tc>
          <w:tcPr>
            <w:tcW w:w="2159" w:type="dxa"/>
            <w:shd w:val="clear" w:color="auto" w:fill="D9FFD9"/>
            <w:vAlign w:val="center"/>
          </w:tcPr>
          <w:p w14:paraId="69783F48" w14:textId="77777777" w:rsidR="003B0952" w:rsidRPr="003C6720" w:rsidRDefault="003B0952" w:rsidP="003B0952">
            <w:pPr>
              <w:jc w:val="left"/>
              <w:rPr>
                <w:rFonts w:cs="Arial"/>
                <w:sz w:val="20"/>
                <w:szCs w:val="20"/>
              </w:rPr>
            </w:pPr>
            <w:r w:rsidRPr="003C6720">
              <w:rPr>
                <w:rFonts w:cs="Arial"/>
                <w:sz w:val="20"/>
                <w:szCs w:val="20"/>
              </w:rPr>
              <w:t>Addo et al. 2024</w:t>
            </w:r>
          </w:p>
        </w:tc>
        <w:tc>
          <w:tcPr>
            <w:tcW w:w="2856" w:type="dxa"/>
            <w:shd w:val="clear" w:color="auto" w:fill="D9FFD9"/>
            <w:vAlign w:val="center"/>
          </w:tcPr>
          <w:p w14:paraId="4520A9E9" w14:textId="77777777" w:rsidR="003B0952" w:rsidRPr="003C6720" w:rsidRDefault="003B0952" w:rsidP="003B0952">
            <w:pPr>
              <w:jc w:val="left"/>
              <w:rPr>
                <w:rFonts w:cs="Arial"/>
                <w:sz w:val="20"/>
                <w:szCs w:val="20"/>
              </w:rPr>
            </w:pPr>
            <w:r w:rsidRPr="003C6720">
              <w:rPr>
                <w:rFonts w:cs="Arial"/>
                <w:sz w:val="20"/>
                <w:szCs w:val="20"/>
              </w:rPr>
              <w:t>Benin, Burkina Faso, Gambia, Ghana, Ivory Coast, Mali, Niger, Nigeria, Senegal, Sierra Leone</w:t>
            </w:r>
          </w:p>
        </w:tc>
        <w:tc>
          <w:tcPr>
            <w:tcW w:w="1710" w:type="dxa"/>
            <w:shd w:val="clear" w:color="auto" w:fill="D9FFD9"/>
            <w:vAlign w:val="center"/>
          </w:tcPr>
          <w:p w14:paraId="11233A0C" w14:textId="77777777" w:rsidR="003B0952" w:rsidRDefault="003B0952" w:rsidP="003B0952">
            <w:pPr>
              <w:jc w:val="left"/>
              <w:rPr>
                <w:rFonts w:cs="Arial"/>
                <w:sz w:val="20"/>
                <w:szCs w:val="20"/>
              </w:rPr>
            </w:pPr>
            <w:r w:rsidRPr="003C6720">
              <w:rPr>
                <w:rFonts w:cs="Arial"/>
                <w:sz w:val="20"/>
                <w:szCs w:val="20"/>
              </w:rPr>
              <w:t xml:space="preserve">Rapid </w:t>
            </w:r>
          </w:p>
          <w:p w14:paraId="0F768F24" w14:textId="77777777" w:rsidR="003B0952" w:rsidRPr="003C6720" w:rsidRDefault="003B0952" w:rsidP="003B0952">
            <w:pPr>
              <w:jc w:val="left"/>
              <w:rPr>
                <w:rFonts w:cs="Arial"/>
                <w:sz w:val="20"/>
                <w:szCs w:val="20"/>
              </w:rPr>
            </w:pPr>
            <w:r w:rsidRPr="003C6720">
              <w:rPr>
                <w:rFonts w:cs="Arial"/>
                <w:sz w:val="20"/>
                <w:szCs w:val="20"/>
              </w:rPr>
              <w:t>Review</w:t>
            </w:r>
          </w:p>
        </w:tc>
        <w:tc>
          <w:tcPr>
            <w:tcW w:w="4561" w:type="dxa"/>
            <w:shd w:val="clear" w:color="auto" w:fill="D9FFD9"/>
            <w:vAlign w:val="center"/>
          </w:tcPr>
          <w:p w14:paraId="525E1512" w14:textId="77777777" w:rsidR="003B0952" w:rsidRDefault="003B0952" w:rsidP="003B0952">
            <w:pPr>
              <w:jc w:val="left"/>
              <w:rPr>
                <w:rFonts w:cs="Arial"/>
                <w:sz w:val="20"/>
                <w:szCs w:val="20"/>
              </w:rPr>
            </w:pPr>
            <w:r w:rsidRPr="003C6720">
              <w:rPr>
                <w:rFonts w:cs="Arial"/>
                <w:sz w:val="20"/>
                <w:szCs w:val="20"/>
              </w:rPr>
              <w:t>Women’s role in West African food systems.</w:t>
            </w:r>
          </w:p>
        </w:tc>
      </w:tr>
      <w:tr w:rsidR="003B0952" w:rsidRPr="003C6720" w14:paraId="51FD31AF" w14:textId="77777777" w:rsidTr="00D86012">
        <w:trPr>
          <w:trHeight w:hRule="exact" w:val="1134"/>
        </w:trPr>
        <w:tc>
          <w:tcPr>
            <w:tcW w:w="621" w:type="dxa"/>
            <w:shd w:val="clear" w:color="auto" w:fill="D9FFD9"/>
            <w:vAlign w:val="center"/>
          </w:tcPr>
          <w:p w14:paraId="0A13FD7C" w14:textId="77777777" w:rsidR="003B0952" w:rsidRPr="00D86012" w:rsidRDefault="003B0952" w:rsidP="003B0952">
            <w:pPr>
              <w:pStyle w:val="ListParagraph"/>
              <w:numPr>
                <w:ilvl w:val="0"/>
                <w:numId w:val="6"/>
              </w:numPr>
              <w:ind w:left="0" w:firstLine="0"/>
              <w:jc w:val="center"/>
              <w:rPr>
                <w:rFonts w:cs="Arial"/>
                <w:i/>
                <w:iCs/>
                <w:sz w:val="20"/>
                <w:szCs w:val="20"/>
              </w:rPr>
            </w:pPr>
          </w:p>
        </w:tc>
        <w:tc>
          <w:tcPr>
            <w:tcW w:w="2159" w:type="dxa"/>
            <w:shd w:val="clear" w:color="auto" w:fill="D9FFD9"/>
            <w:vAlign w:val="center"/>
          </w:tcPr>
          <w:p w14:paraId="3BF02F20" w14:textId="77777777" w:rsidR="003B0952" w:rsidRPr="003C6720" w:rsidRDefault="003B0952" w:rsidP="003B0952">
            <w:pPr>
              <w:jc w:val="left"/>
              <w:rPr>
                <w:rFonts w:cs="Arial"/>
                <w:sz w:val="20"/>
                <w:szCs w:val="20"/>
              </w:rPr>
            </w:pPr>
            <w:proofErr w:type="spellStart"/>
            <w:proofErr w:type="gramStart"/>
            <w:r w:rsidRPr="003C6720">
              <w:rPr>
                <w:rFonts w:cs="Arial"/>
                <w:sz w:val="20"/>
                <w:szCs w:val="20"/>
              </w:rPr>
              <w:t>Cook,Trevenen</w:t>
            </w:r>
            <w:proofErr w:type="spellEnd"/>
            <w:proofErr w:type="gramEnd"/>
            <w:r w:rsidRPr="003C6720">
              <w:rPr>
                <w:rFonts w:cs="Arial"/>
                <w:sz w:val="20"/>
                <w:szCs w:val="20"/>
              </w:rPr>
              <w:t xml:space="preserve">-Jones, and </w:t>
            </w:r>
            <w:proofErr w:type="spellStart"/>
            <w:r w:rsidRPr="003C6720">
              <w:rPr>
                <w:rFonts w:cs="Arial"/>
                <w:sz w:val="20"/>
                <w:szCs w:val="20"/>
              </w:rPr>
              <w:t>Sivasubramanian</w:t>
            </w:r>
            <w:proofErr w:type="spellEnd"/>
            <w:r w:rsidRPr="003C6720">
              <w:rPr>
                <w:rFonts w:cs="Arial"/>
                <w:sz w:val="20"/>
                <w:szCs w:val="20"/>
              </w:rPr>
              <w:t>, 2024</w:t>
            </w:r>
          </w:p>
        </w:tc>
        <w:tc>
          <w:tcPr>
            <w:tcW w:w="2856" w:type="dxa"/>
            <w:shd w:val="clear" w:color="auto" w:fill="D9FFD9"/>
            <w:vAlign w:val="center"/>
          </w:tcPr>
          <w:p w14:paraId="084CB77E" w14:textId="77777777" w:rsidR="003B0952" w:rsidRPr="003C6720" w:rsidRDefault="003B0952" w:rsidP="003B0952">
            <w:pPr>
              <w:jc w:val="left"/>
              <w:rPr>
                <w:rFonts w:cs="Arial"/>
                <w:sz w:val="20"/>
                <w:szCs w:val="20"/>
              </w:rPr>
            </w:pPr>
            <w:r w:rsidRPr="003C6720">
              <w:rPr>
                <w:rFonts w:cs="Arial"/>
                <w:sz w:val="20"/>
                <w:szCs w:val="20"/>
              </w:rPr>
              <w:t>Sub-Saharan Africa (SSA)</w:t>
            </w:r>
          </w:p>
        </w:tc>
        <w:tc>
          <w:tcPr>
            <w:tcW w:w="1710" w:type="dxa"/>
            <w:shd w:val="clear" w:color="auto" w:fill="D9FFD9"/>
            <w:vAlign w:val="center"/>
          </w:tcPr>
          <w:p w14:paraId="02282096" w14:textId="77777777" w:rsidR="003B0952" w:rsidRDefault="003B0952" w:rsidP="003B0952">
            <w:pPr>
              <w:jc w:val="left"/>
              <w:rPr>
                <w:rFonts w:cs="Arial"/>
                <w:sz w:val="20"/>
                <w:szCs w:val="20"/>
              </w:rPr>
            </w:pPr>
            <w:r w:rsidRPr="003C6720">
              <w:rPr>
                <w:rFonts w:cs="Arial"/>
                <w:sz w:val="20"/>
                <w:szCs w:val="20"/>
              </w:rPr>
              <w:t xml:space="preserve">Systematic </w:t>
            </w:r>
          </w:p>
          <w:p w14:paraId="5876DCBA" w14:textId="77777777" w:rsidR="003B0952" w:rsidRDefault="003B0952" w:rsidP="003B0952">
            <w:pPr>
              <w:jc w:val="left"/>
              <w:rPr>
                <w:rFonts w:cs="Arial"/>
                <w:sz w:val="20"/>
                <w:szCs w:val="20"/>
              </w:rPr>
            </w:pPr>
            <w:r w:rsidRPr="003C6720">
              <w:rPr>
                <w:rFonts w:cs="Arial"/>
                <w:sz w:val="20"/>
                <w:szCs w:val="20"/>
              </w:rPr>
              <w:t xml:space="preserve">Narrative </w:t>
            </w:r>
          </w:p>
          <w:p w14:paraId="62FEBB4A" w14:textId="77777777" w:rsidR="003B0952" w:rsidRPr="003C6720" w:rsidRDefault="003B0952" w:rsidP="003B0952">
            <w:pPr>
              <w:jc w:val="left"/>
              <w:rPr>
                <w:rFonts w:cs="Arial"/>
                <w:sz w:val="20"/>
                <w:szCs w:val="20"/>
              </w:rPr>
            </w:pPr>
            <w:r w:rsidRPr="003C6720">
              <w:rPr>
                <w:rFonts w:cs="Arial"/>
                <w:sz w:val="20"/>
                <w:szCs w:val="20"/>
              </w:rPr>
              <w:t>Literature review</w:t>
            </w:r>
          </w:p>
        </w:tc>
        <w:tc>
          <w:tcPr>
            <w:tcW w:w="4561" w:type="dxa"/>
            <w:shd w:val="clear" w:color="auto" w:fill="D9FFD9"/>
            <w:vAlign w:val="center"/>
          </w:tcPr>
          <w:p w14:paraId="6163F00E" w14:textId="77777777" w:rsidR="003B0952" w:rsidRPr="003C6720" w:rsidRDefault="003B0952" w:rsidP="003B0952">
            <w:pPr>
              <w:jc w:val="left"/>
              <w:rPr>
                <w:rFonts w:cs="Arial"/>
                <w:sz w:val="20"/>
                <w:szCs w:val="20"/>
              </w:rPr>
            </w:pPr>
            <w:r>
              <w:rPr>
                <w:rFonts w:cs="Arial"/>
                <w:sz w:val="20"/>
                <w:szCs w:val="20"/>
              </w:rPr>
              <w:t>B</w:t>
            </w:r>
            <w:r w:rsidRPr="003C6720">
              <w:rPr>
                <w:rFonts w:cs="Arial"/>
                <w:sz w:val="20"/>
                <w:szCs w:val="20"/>
              </w:rPr>
              <w:t xml:space="preserve">roader impacts of traditional food markets in </w:t>
            </w:r>
            <w:r>
              <w:rPr>
                <w:rFonts w:cs="Arial"/>
                <w:sz w:val="20"/>
                <w:szCs w:val="20"/>
              </w:rPr>
              <w:t>s</w:t>
            </w:r>
            <w:r w:rsidRPr="003C6720">
              <w:rPr>
                <w:rFonts w:cs="Arial"/>
                <w:sz w:val="20"/>
                <w:szCs w:val="20"/>
              </w:rPr>
              <w:t xml:space="preserve">ub-Saharan Africa </w:t>
            </w:r>
          </w:p>
        </w:tc>
      </w:tr>
      <w:tr w:rsidR="003B0952" w:rsidRPr="003C6720" w14:paraId="3B640F76" w14:textId="77777777" w:rsidTr="00D86012">
        <w:trPr>
          <w:trHeight w:hRule="exact" w:val="907"/>
        </w:trPr>
        <w:tc>
          <w:tcPr>
            <w:tcW w:w="621" w:type="dxa"/>
            <w:shd w:val="clear" w:color="auto" w:fill="D9FFD9"/>
            <w:vAlign w:val="center"/>
          </w:tcPr>
          <w:p w14:paraId="7967F64A" w14:textId="77777777" w:rsidR="003B0952" w:rsidRPr="00D86012" w:rsidRDefault="003B0952" w:rsidP="003B0952">
            <w:pPr>
              <w:pStyle w:val="ListParagraph"/>
              <w:numPr>
                <w:ilvl w:val="0"/>
                <w:numId w:val="6"/>
              </w:numPr>
              <w:ind w:left="0" w:firstLine="0"/>
              <w:jc w:val="center"/>
              <w:rPr>
                <w:rFonts w:cs="Arial"/>
                <w:i/>
                <w:iCs/>
                <w:sz w:val="20"/>
                <w:szCs w:val="20"/>
              </w:rPr>
            </w:pPr>
          </w:p>
        </w:tc>
        <w:tc>
          <w:tcPr>
            <w:tcW w:w="2159" w:type="dxa"/>
            <w:shd w:val="clear" w:color="auto" w:fill="D9FFD9"/>
            <w:vAlign w:val="center"/>
          </w:tcPr>
          <w:p w14:paraId="24606E6B" w14:textId="77777777" w:rsidR="003B0952" w:rsidRDefault="003B0952" w:rsidP="003B0952">
            <w:pPr>
              <w:jc w:val="left"/>
              <w:rPr>
                <w:rFonts w:cs="Arial"/>
                <w:sz w:val="20"/>
                <w:szCs w:val="20"/>
              </w:rPr>
            </w:pPr>
            <w:r w:rsidRPr="003C6720">
              <w:rPr>
                <w:rFonts w:cs="Arial"/>
                <w:sz w:val="20"/>
                <w:szCs w:val="20"/>
              </w:rPr>
              <w:t xml:space="preserve">Khumalo, Sibanda, </w:t>
            </w:r>
          </w:p>
          <w:p w14:paraId="2278CA53" w14:textId="77777777" w:rsidR="003B0952" w:rsidRPr="003C6720" w:rsidRDefault="003B0952" w:rsidP="003B0952">
            <w:pPr>
              <w:jc w:val="left"/>
              <w:rPr>
                <w:rFonts w:cs="Arial"/>
                <w:sz w:val="20"/>
                <w:szCs w:val="20"/>
              </w:rPr>
            </w:pPr>
            <w:r w:rsidRPr="003C6720">
              <w:rPr>
                <w:rFonts w:cs="Arial"/>
                <w:sz w:val="20"/>
                <w:szCs w:val="20"/>
              </w:rPr>
              <w:t xml:space="preserve">and </w:t>
            </w:r>
            <w:proofErr w:type="spellStart"/>
            <w:r w:rsidRPr="003C6720">
              <w:rPr>
                <w:rFonts w:cs="Arial"/>
                <w:sz w:val="20"/>
                <w:szCs w:val="20"/>
              </w:rPr>
              <w:t>Mdoda</w:t>
            </w:r>
            <w:proofErr w:type="spellEnd"/>
            <w:r w:rsidRPr="003C6720">
              <w:rPr>
                <w:rFonts w:cs="Arial"/>
                <w:sz w:val="20"/>
                <w:szCs w:val="20"/>
              </w:rPr>
              <w:t>, 2024</w:t>
            </w:r>
          </w:p>
        </w:tc>
        <w:tc>
          <w:tcPr>
            <w:tcW w:w="2856" w:type="dxa"/>
            <w:shd w:val="clear" w:color="auto" w:fill="D9FFD9"/>
            <w:vAlign w:val="center"/>
          </w:tcPr>
          <w:p w14:paraId="0EF6A89F" w14:textId="77777777" w:rsidR="003B0952" w:rsidRPr="003C6720" w:rsidRDefault="003B0952" w:rsidP="003B0952">
            <w:pPr>
              <w:jc w:val="left"/>
              <w:rPr>
                <w:rFonts w:cs="Arial"/>
                <w:sz w:val="20"/>
                <w:szCs w:val="20"/>
              </w:rPr>
            </w:pPr>
            <w:r w:rsidRPr="003C6720">
              <w:rPr>
                <w:rFonts w:cs="Arial"/>
                <w:sz w:val="20"/>
                <w:szCs w:val="20"/>
              </w:rPr>
              <w:t>Sub-Saharan Africa (SSA)</w:t>
            </w:r>
          </w:p>
        </w:tc>
        <w:tc>
          <w:tcPr>
            <w:tcW w:w="1710" w:type="dxa"/>
            <w:shd w:val="clear" w:color="auto" w:fill="D9FFD9"/>
            <w:vAlign w:val="center"/>
          </w:tcPr>
          <w:p w14:paraId="27AFA6C4" w14:textId="77777777" w:rsidR="003B0952" w:rsidRDefault="003B0952" w:rsidP="003B0952">
            <w:pPr>
              <w:jc w:val="left"/>
              <w:rPr>
                <w:rFonts w:cs="Arial"/>
                <w:sz w:val="20"/>
                <w:szCs w:val="20"/>
              </w:rPr>
            </w:pPr>
            <w:r w:rsidRPr="003C6720">
              <w:rPr>
                <w:rFonts w:cs="Arial"/>
                <w:sz w:val="20"/>
                <w:szCs w:val="20"/>
              </w:rPr>
              <w:t xml:space="preserve">Systematic </w:t>
            </w:r>
          </w:p>
          <w:p w14:paraId="189D803A" w14:textId="77777777" w:rsidR="003B0952" w:rsidRPr="003C6720" w:rsidRDefault="003B0952" w:rsidP="003B0952">
            <w:pPr>
              <w:jc w:val="left"/>
              <w:rPr>
                <w:rFonts w:cs="Arial"/>
                <w:sz w:val="20"/>
                <w:szCs w:val="20"/>
              </w:rPr>
            </w:pPr>
            <w:r w:rsidRPr="003C6720">
              <w:rPr>
                <w:rFonts w:cs="Arial"/>
                <w:sz w:val="20"/>
                <w:szCs w:val="20"/>
              </w:rPr>
              <w:t>Literature</w:t>
            </w:r>
          </w:p>
        </w:tc>
        <w:tc>
          <w:tcPr>
            <w:tcW w:w="4561" w:type="dxa"/>
            <w:shd w:val="clear" w:color="auto" w:fill="D9FFD9"/>
            <w:vAlign w:val="center"/>
          </w:tcPr>
          <w:p w14:paraId="6D4CEE6F" w14:textId="77777777" w:rsidR="003B0952" w:rsidRPr="003C6720" w:rsidRDefault="003B0952" w:rsidP="003B0952">
            <w:pPr>
              <w:jc w:val="left"/>
              <w:rPr>
                <w:rFonts w:cs="Arial"/>
                <w:sz w:val="20"/>
                <w:szCs w:val="20"/>
              </w:rPr>
            </w:pPr>
            <w:r w:rsidRPr="003C6720">
              <w:rPr>
                <w:rFonts w:cs="Arial"/>
                <w:sz w:val="20"/>
                <w:szCs w:val="20"/>
              </w:rPr>
              <w:t>Implications of climate-smart agriculture practices for urban food and income security in sub-Saharan Africa.</w:t>
            </w:r>
          </w:p>
        </w:tc>
      </w:tr>
      <w:tr w:rsidR="003B0952" w:rsidRPr="003C6720" w14:paraId="7AF89E17" w14:textId="77777777" w:rsidTr="00D86012">
        <w:trPr>
          <w:trHeight w:hRule="exact" w:val="680"/>
        </w:trPr>
        <w:tc>
          <w:tcPr>
            <w:tcW w:w="621" w:type="dxa"/>
            <w:shd w:val="clear" w:color="auto" w:fill="D9FFD9"/>
            <w:vAlign w:val="center"/>
          </w:tcPr>
          <w:p w14:paraId="08B1F484" w14:textId="77777777" w:rsidR="003B0952" w:rsidRPr="00D86012" w:rsidRDefault="003B0952" w:rsidP="003B0952">
            <w:pPr>
              <w:pStyle w:val="ListParagraph"/>
              <w:numPr>
                <w:ilvl w:val="0"/>
                <w:numId w:val="6"/>
              </w:numPr>
              <w:ind w:left="0" w:firstLine="0"/>
              <w:jc w:val="center"/>
              <w:rPr>
                <w:rFonts w:cs="Arial"/>
                <w:i/>
                <w:iCs/>
                <w:sz w:val="20"/>
                <w:szCs w:val="20"/>
              </w:rPr>
            </w:pPr>
          </w:p>
        </w:tc>
        <w:tc>
          <w:tcPr>
            <w:tcW w:w="2159" w:type="dxa"/>
            <w:shd w:val="clear" w:color="auto" w:fill="D9FFD9"/>
            <w:vAlign w:val="center"/>
          </w:tcPr>
          <w:p w14:paraId="2DFE2CD8" w14:textId="77777777" w:rsidR="003B0952" w:rsidRPr="003C6720" w:rsidRDefault="003B0952" w:rsidP="003B0952">
            <w:pPr>
              <w:jc w:val="left"/>
              <w:rPr>
                <w:rFonts w:cs="Arial"/>
                <w:sz w:val="20"/>
                <w:szCs w:val="20"/>
              </w:rPr>
            </w:pPr>
            <w:proofErr w:type="spellStart"/>
            <w:r w:rsidRPr="003C6720">
              <w:rPr>
                <w:rFonts w:cs="Arial"/>
                <w:sz w:val="20"/>
                <w:szCs w:val="20"/>
              </w:rPr>
              <w:t>Kiribou</w:t>
            </w:r>
            <w:proofErr w:type="spellEnd"/>
            <w:r w:rsidRPr="003C6720">
              <w:rPr>
                <w:rFonts w:cs="Arial"/>
                <w:sz w:val="20"/>
                <w:szCs w:val="20"/>
              </w:rPr>
              <w:t xml:space="preserve"> et al., 2024</w:t>
            </w:r>
          </w:p>
        </w:tc>
        <w:tc>
          <w:tcPr>
            <w:tcW w:w="2856" w:type="dxa"/>
            <w:shd w:val="clear" w:color="auto" w:fill="D9FFD9"/>
            <w:vAlign w:val="center"/>
          </w:tcPr>
          <w:p w14:paraId="0B0B197D" w14:textId="77777777" w:rsidR="003B0952" w:rsidRPr="003C6720" w:rsidRDefault="003B0952" w:rsidP="003B0952">
            <w:pPr>
              <w:jc w:val="left"/>
              <w:rPr>
                <w:rFonts w:cs="Arial"/>
                <w:sz w:val="20"/>
                <w:szCs w:val="20"/>
              </w:rPr>
            </w:pPr>
            <w:r w:rsidRPr="003C6720">
              <w:rPr>
                <w:rFonts w:cs="Arial"/>
                <w:sz w:val="20"/>
                <w:szCs w:val="20"/>
              </w:rPr>
              <w:t>Sub-Saharan Africa (SSA)</w:t>
            </w:r>
          </w:p>
        </w:tc>
        <w:tc>
          <w:tcPr>
            <w:tcW w:w="1710" w:type="dxa"/>
            <w:shd w:val="clear" w:color="auto" w:fill="D9FFD9"/>
            <w:vAlign w:val="center"/>
          </w:tcPr>
          <w:p w14:paraId="43DD7AAB" w14:textId="77777777" w:rsidR="003B0952" w:rsidRDefault="003B0952" w:rsidP="003B0952">
            <w:pPr>
              <w:jc w:val="left"/>
              <w:rPr>
                <w:rFonts w:cs="Arial"/>
                <w:sz w:val="20"/>
                <w:szCs w:val="20"/>
              </w:rPr>
            </w:pPr>
            <w:r w:rsidRPr="003C6720">
              <w:rPr>
                <w:rFonts w:cs="Arial"/>
                <w:sz w:val="20"/>
                <w:szCs w:val="20"/>
              </w:rPr>
              <w:t xml:space="preserve">Systematic </w:t>
            </w:r>
          </w:p>
          <w:p w14:paraId="22B7DD0C" w14:textId="77777777" w:rsidR="003B0952" w:rsidRPr="003C6720" w:rsidRDefault="003B0952" w:rsidP="003B0952">
            <w:pPr>
              <w:jc w:val="left"/>
              <w:rPr>
                <w:rFonts w:cs="Arial"/>
                <w:sz w:val="20"/>
                <w:szCs w:val="20"/>
              </w:rPr>
            </w:pPr>
            <w:r w:rsidRPr="003C6720">
              <w:rPr>
                <w:rFonts w:cs="Arial"/>
                <w:sz w:val="20"/>
                <w:szCs w:val="20"/>
              </w:rPr>
              <w:t>Review</w:t>
            </w:r>
          </w:p>
        </w:tc>
        <w:tc>
          <w:tcPr>
            <w:tcW w:w="4561" w:type="dxa"/>
            <w:shd w:val="clear" w:color="auto" w:fill="D9FFD9"/>
            <w:vAlign w:val="center"/>
          </w:tcPr>
          <w:p w14:paraId="02A7D08F" w14:textId="77777777" w:rsidR="003B0952" w:rsidRPr="003C6720" w:rsidRDefault="003B0952" w:rsidP="003B0952">
            <w:pPr>
              <w:jc w:val="left"/>
              <w:rPr>
                <w:rFonts w:cs="Arial"/>
                <w:sz w:val="20"/>
                <w:szCs w:val="20"/>
              </w:rPr>
            </w:pPr>
            <w:r w:rsidRPr="003C6720">
              <w:rPr>
                <w:rFonts w:cs="Arial"/>
                <w:sz w:val="20"/>
                <w:szCs w:val="20"/>
              </w:rPr>
              <w:t>Urban farming, food security in sub-Saharan African cities, urbanization.</w:t>
            </w:r>
          </w:p>
        </w:tc>
      </w:tr>
      <w:tr w:rsidR="003B0952" w:rsidRPr="003C6720" w14:paraId="5760BFB0" w14:textId="77777777" w:rsidTr="00D86012">
        <w:trPr>
          <w:trHeight w:hRule="exact" w:val="1134"/>
        </w:trPr>
        <w:tc>
          <w:tcPr>
            <w:tcW w:w="621" w:type="dxa"/>
            <w:tcBorders>
              <w:bottom w:val="single" w:sz="12" w:space="0" w:color="auto"/>
            </w:tcBorders>
            <w:shd w:val="clear" w:color="auto" w:fill="D9FFD9"/>
            <w:vAlign w:val="center"/>
          </w:tcPr>
          <w:p w14:paraId="4FD3975F" w14:textId="77777777" w:rsidR="003B0952" w:rsidRPr="00D86012" w:rsidRDefault="003B0952" w:rsidP="003B0952">
            <w:pPr>
              <w:pStyle w:val="ListParagraph"/>
              <w:numPr>
                <w:ilvl w:val="0"/>
                <w:numId w:val="6"/>
              </w:numPr>
              <w:ind w:left="0" w:firstLine="0"/>
              <w:jc w:val="center"/>
              <w:rPr>
                <w:rFonts w:cs="Arial"/>
                <w:i/>
                <w:iCs/>
                <w:sz w:val="20"/>
                <w:szCs w:val="20"/>
              </w:rPr>
            </w:pPr>
          </w:p>
        </w:tc>
        <w:tc>
          <w:tcPr>
            <w:tcW w:w="2159" w:type="dxa"/>
            <w:tcBorders>
              <w:bottom w:val="single" w:sz="12" w:space="0" w:color="auto"/>
            </w:tcBorders>
            <w:shd w:val="clear" w:color="auto" w:fill="D9FFD9"/>
            <w:vAlign w:val="center"/>
          </w:tcPr>
          <w:p w14:paraId="0362E9B6" w14:textId="77777777" w:rsidR="003B0952" w:rsidRPr="003C6720" w:rsidRDefault="003B0952" w:rsidP="003B0952">
            <w:pPr>
              <w:jc w:val="left"/>
              <w:rPr>
                <w:rFonts w:cs="Arial"/>
                <w:sz w:val="20"/>
                <w:szCs w:val="20"/>
              </w:rPr>
            </w:pPr>
            <w:proofErr w:type="spellStart"/>
            <w:r w:rsidRPr="003C6720">
              <w:rPr>
                <w:rFonts w:cs="Arial"/>
                <w:sz w:val="20"/>
                <w:szCs w:val="20"/>
              </w:rPr>
              <w:t>Nyamura</w:t>
            </w:r>
            <w:proofErr w:type="spellEnd"/>
            <w:r w:rsidRPr="003C6720">
              <w:rPr>
                <w:rFonts w:cs="Arial"/>
                <w:sz w:val="20"/>
                <w:szCs w:val="20"/>
              </w:rPr>
              <w:t>, and</w:t>
            </w:r>
            <w:r>
              <w:rPr>
                <w:rFonts w:cs="Arial"/>
                <w:sz w:val="20"/>
                <w:szCs w:val="20"/>
              </w:rPr>
              <w:t xml:space="preserve"> </w:t>
            </w:r>
            <w:r w:rsidRPr="003C6720">
              <w:rPr>
                <w:rFonts w:cs="Arial"/>
                <w:sz w:val="20"/>
                <w:szCs w:val="20"/>
              </w:rPr>
              <w:t>Ngwenya, 2024</w:t>
            </w:r>
          </w:p>
        </w:tc>
        <w:tc>
          <w:tcPr>
            <w:tcW w:w="2856" w:type="dxa"/>
            <w:tcBorders>
              <w:bottom w:val="single" w:sz="12" w:space="0" w:color="auto"/>
            </w:tcBorders>
            <w:shd w:val="clear" w:color="auto" w:fill="D9FFD9"/>
            <w:vAlign w:val="center"/>
          </w:tcPr>
          <w:p w14:paraId="04ACA890" w14:textId="77777777" w:rsidR="003B0952" w:rsidRPr="003C6720" w:rsidRDefault="003B0952" w:rsidP="003B0952">
            <w:pPr>
              <w:jc w:val="left"/>
              <w:rPr>
                <w:rFonts w:cs="Arial"/>
                <w:sz w:val="20"/>
                <w:szCs w:val="20"/>
              </w:rPr>
            </w:pPr>
            <w:r w:rsidRPr="003C6720">
              <w:rPr>
                <w:rFonts w:cs="Arial"/>
                <w:sz w:val="20"/>
                <w:szCs w:val="20"/>
              </w:rPr>
              <w:t>Ethiopia, specifically Addis Ababa and its surrounding areas, particularly Lemmi Kura Sub City</w:t>
            </w:r>
          </w:p>
        </w:tc>
        <w:tc>
          <w:tcPr>
            <w:tcW w:w="1710" w:type="dxa"/>
            <w:tcBorders>
              <w:bottom w:val="single" w:sz="12" w:space="0" w:color="auto"/>
            </w:tcBorders>
            <w:shd w:val="clear" w:color="auto" w:fill="D9FFD9"/>
            <w:vAlign w:val="center"/>
          </w:tcPr>
          <w:p w14:paraId="6ECB4DB0" w14:textId="77777777" w:rsidR="003B0952" w:rsidRPr="003C6720" w:rsidRDefault="003B0952" w:rsidP="003B0952">
            <w:pPr>
              <w:jc w:val="left"/>
              <w:rPr>
                <w:rFonts w:cs="Arial"/>
                <w:sz w:val="20"/>
                <w:szCs w:val="20"/>
              </w:rPr>
            </w:pPr>
            <w:r w:rsidRPr="003C6720">
              <w:rPr>
                <w:rFonts w:cs="Arial"/>
                <w:sz w:val="20"/>
                <w:szCs w:val="20"/>
              </w:rPr>
              <w:t>Mixed-Methods Approach</w:t>
            </w:r>
          </w:p>
        </w:tc>
        <w:tc>
          <w:tcPr>
            <w:tcW w:w="4561" w:type="dxa"/>
            <w:tcBorders>
              <w:bottom w:val="single" w:sz="12" w:space="0" w:color="auto"/>
            </w:tcBorders>
            <w:shd w:val="clear" w:color="auto" w:fill="D9FFD9"/>
            <w:vAlign w:val="center"/>
          </w:tcPr>
          <w:p w14:paraId="08704DAE" w14:textId="77777777" w:rsidR="003B0952" w:rsidRPr="003C6720" w:rsidRDefault="003B0952" w:rsidP="003B0952">
            <w:pPr>
              <w:jc w:val="left"/>
              <w:rPr>
                <w:rFonts w:cs="Arial"/>
                <w:sz w:val="20"/>
                <w:szCs w:val="20"/>
              </w:rPr>
            </w:pPr>
            <w:r w:rsidRPr="003C6720">
              <w:rPr>
                <w:rFonts w:cs="Arial"/>
                <w:sz w:val="20"/>
                <w:szCs w:val="20"/>
              </w:rPr>
              <w:t xml:space="preserve">Land expropriation, displacement of peri-urban indigenous communities, </w:t>
            </w:r>
            <w:r>
              <w:rPr>
                <w:rFonts w:cs="Arial"/>
                <w:sz w:val="20"/>
                <w:szCs w:val="20"/>
              </w:rPr>
              <w:t xml:space="preserve">and </w:t>
            </w:r>
            <w:r w:rsidRPr="003C6720">
              <w:rPr>
                <w:rFonts w:cs="Arial"/>
                <w:sz w:val="20"/>
                <w:szCs w:val="20"/>
              </w:rPr>
              <w:t>food security.</w:t>
            </w:r>
          </w:p>
        </w:tc>
      </w:tr>
    </w:tbl>
    <w:p w14:paraId="2E63063F" w14:textId="77777777" w:rsidR="006B2548" w:rsidRDefault="006B2548" w:rsidP="0073541D">
      <w:pPr>
        <w:rPr>
          <w:lang/>
        </w:rPr>
      </w:pPr>
    </w:p>
    <w:p w14:paraId="1028AC83" w14:textId="66C1D3A9" w:rsidR="003C7FAE" w:rsidRDefault="003C7FAE" w:rsidP="003C7FAE">
      <w:pPr>
        <w:jc w:val="center"/>
        <w:rPr>
          <w:lang/>
        </w:rPr>
        <w:sectPr w:rsidR="003C7FAE" w:rsidSect="003C7FAE">
          <w:pgSz w:w="15840" w:h="12240" w:orient="landscape"/>
          <w:pgMar w:top="2019" w:right="1440" w:bottom="2019" w:left="2019" w:header="720" w:footer="1123" w:gutter="0"/>
          <w:lnNumType w:countBy="1" w:restart="continuous"/>
          <w:cols w:space="720"/>
          <w:docGrid w:linePitch="272"/>
        </w:sectPr>
      </w:pPr>
      <w:r w:rsidRPr="00E82D6E">
        <w:rPr>
          <w:rFonts w:ascii="Times New Roman" w:hAnsi="Times New Roman"/>
          <w:i/>
          <w:iCs/>
          <w:sz w:val="24"/>
          <w:szCs w:val="24"/>
        </w:rPr>
        <w:t>Source: Authors’ Construct</w:t>
      </w:r>
      <w:r>
        <w:rPr>
          <w:rFonts w:ascii="Times New Roman" w:hAnsi="Times New Roman"/>
          <w:i/>
          <w:iCs/>
          <w:sz w:val="24"/>
          <w:szCs w:val="24"/>
        </w:rPr>
        <w:t xml:space="preserve"> (2025)</w:t>
      </w:r>
    </w:p>
    <w:p w14:paraId="26EC2C33" w14:textId="77777777" w:rsidR="00D17351" w:rsidRPr="0025343D" w:rsidRDefault="00D17351" w:rsidP="0025343D">
      <w:pPr>
        <w:pStyle w:val="A2"/>
      </w:pPr>
      <w:r w:rsidRPr="0025343D">
        <w:lastRenderedPageBreak/>
        <w:t>Data Extraction and Thematic Coding</w:t>
      </w:r>
    </w:p>
    <w:p w14:paraId="7318395A" w14:textId="70DCEBFB" w:rsidR="00095442" w:rsidRPr="00822396" w:rsidRDefault="00095442" w:rsidP="00822396">
      <w:pPr>
        <w:pStyle w:val="A2"/>
        <w:numPr>
          <w:ilvl w:val="0"/>
          <w:numId w:val="0"/>
        </w:numPr>
        <w:jc w:val="both"/>
        <w:rPr>
          <w:b w:val="0"/>
          <w:sz w:val="20"/>
        </w:rPr>
      </w:pPr>
      <w:r w:rsidRPr="00095442">
        <w:rPr>
          <w:b w:val="0"/>
          <w:sz w:val="20"/>
        </w:rPr>
        <w:t>A structured extraction form has been used to compile information about the authors/s, date, geographic locations of studies, methods used, findings related to both genders, and thematic themes. Six thematic themes emerged both inductively and deductively. They are: Tenure Security, Land Governance, Spatial Exclusion, Nutrition Inequality, Gender/Public Norms, and Economic Empowerment.</w:t>
      </w:r>
    </w:p>
    <w:p w14:paraId="3B3F846D" w14:textId="078872A1" w:rsidR="00D17351" w:rsidRPr="0025343D" w:rsidRDefault="00D17351" w:rsidP="0025343D">
      <w:pPr>
        <w:pStyle w:val="A2"/>
      </w:pPr>
      <w:r w:rsidRPr="0025343D">
        <w:t>Data Synthesis</w:t>
      </w:r>
    </w:p>
    <w:p w14:paraId="6277CCBB" w14:textId="27461B42" w:rsidR="00095442" w:rsidRPr="00822396" w:rsidRDefault="00095442" w:rsidP="00822396">
      <w:pPr>
        <w:pStyle w:val="A2"/>
        <w:numPr>
          <w:ilvl w:val="0"/>
          <w:numId w:val="0"/>
        </w:numPr>
        <w:jc w:val="both"/>
        <w:rPr>
          <w:b w:val="0"/>
          <w:sz w:val="20"/>
        </w:rPr>
      </w:pPr>
      <w:r w:rsidRPr="00095442">
        <w:rPr>
          <w:b w:val="0"/>
          <w:sz w:val="20"/>
        </w:rPr>
        <w:t>The thematic synthesis involved hand coding and the use of a matrix table in Excel. Frequency counts were accumulated, and studies were coded under a theme or themes. Descriptive statistical analysis helped evaluate the trend of thematic representation. Graphs were made to represent the prevalence of the theme.</w:t>
      </w:r>
    </w:p>
    <w:p w14:paraId="2DD95ED0" w14:textId="14787352" w:rsidR="00D17351" w:rsidRPr="00DF68AA" w:rsidRDefault="00D17351" w:rsidP="0025343D">
      <w:pPr>
        <w:pStyle w:val="A1"/>
        <w:rPr>
          <w:rFonts w:ascii="Times New Roman" w:hAnsi="Times New Roman" w:cs="Times New Roman"/>
          <w:sz w:val="24"/>
          <w:szCs w:val="24"/>
        </w:rPr>
      </w:pPr>
      <w:r w:rsidRPr="00B175FD">
        <w:t>Results</w:t>
      </w:r>
    </w:p>
    <w:p w14:paraId="07170B30" w14:textId="09457AE7" w:rsidR="00D17351" w:rsidRPr="00DF68AA" w:rsidRDefault="00D17351" w:rsidP="00F622F9">
      <w:pPr>
        <w:pStyle w:val="A2"/>
        <w:rPr>
          <w:sz w:val="24"/>
          <w:szCs w:val="24"/>
          <w:lang w:val="en-GB"/>
        </w:rPr>
      </w:pPr>
      <w:r w:rsidRPr="0025343D">
        <w:t>Summary of Included Studies</w:t>
      </w:r>
    </w:p>
    <w:p w14:paraId="7D31EE7A" w14:textId="11C3F87F" w:rsidR="00095442" w:rsidRPr="00822396" w:rsidRDefault="00095442" w:rsidP="00822396">
      <w:pPr>
        <w:pStyle w:val="A2"/>
        <w:numPr>
          <w:ilvl w:val="0"/>
          <w:numId w:val="0"/>
        </w:numPr>
        <w:jc w:val="both"/>
        <w:rPr>
          <w:b w:val="0"/>
          <w:sz w:val="20"/>
        </w:rPr>
      </w:pPr>
      <w:r w:rsidRPr="00095442">
        <w:rPr>
          <w:b w:val="0"/>
          <w:sz w:val="20"/>
        </w:rPr>
        <w:t>Of the 56 reviewed studies, 44 were included in the thematic synthesis. 42 studies were peer-reviewed and published between 2000 and 2024. They employed empirical field studies conducted in Ghana, Kenya, Zimbabwe, Ethiopia, South Africa, Cameroon, and Uganda. They covered a wide array of methods ranging from ethnographies to spatial analyses and participatory mappings.</w:t>
      </w:r>
    </w:p>
    <w:p w14:paraId="2CA3CEC3" w14:textId="39BD7839" w:rsidR="00D17351" w:rsidRPr="0025343D" w:rsidRDefault="00D17351" w:rsidP="00F622F9">
      <w:pPr>
        <w:pStyle w:val="A2"/>
      </w:pPr>
      <w:r w:rsidRPr="0025343D">
        <w:t>Narrative Synthesis of Thematic Findings</w:t>
      </w:r>
    </w:p>
    <w:p w14:paraId="1B4150FE" w14:textId="77777777" w:rsidR="009D1A94" w:rsidRPr="009D1A94" w:rsidRDefault="009D1A94" w:rsidP="009D1A94">
      <w:pPr>
        <w:pStyle w:val="A2"/>
        <w:numPr>
          <w:ilvl w:val="0"/>
          <w:numId w:val="0"/>
        </w:numPr>
        <w:jc w:val="both"/>
        <w:rPr>
          <w:b w:val="0"/>
          <w:sz w:val="20"/>
        </w:rPr>
      </w:pPr>
      <w:r w:rsidRPr="009D1A94">
        <w:rPr>
          <w:b w:val="0"/>
          <w:sz w:val="20"/>
        </w:rPr>
        <w:t>The thematic analysis of the 44 studies shows that the relationships between the impacts of land-use change occurring in sub-Saharan African countries and their effects on the achievement of food security as shaped by gendered factors are complex. Despite the studies' varying locations geographically and their diverse disciplines and methodologies, the six main themes identified in the studies can offer understanding about how space influences the relationship between food security and the role of gender. These six themes include tenure security.</w:t>
      </w:r>
    </w:p>
    <w:p w14:paraId="33CCD94C" w14:textId="77777777" w:rsidR="009D1A94" w:rsidRPr="009D1A94" w:rsidRDefault="009D1A94" w:rsidP="009D1A94">
      <w:pPr>
        <w:pStyle w:val="A2"/>
        <w:numPr>
          <w:ilvl w:val="0"/>
          <w:numId w:val="0"/>
        </w:numPr>
        <w:jc w:val="both"/>
        <w:rPr>
          <w:b w:val="0"/>
          <w:sz w:val="20"/>
        </w:rPr>
      </w:pPr>
      <w:r w:rsidRPr="00357A90">
        <w:rPr>
          <w:bCs/>
          <w:i/>
          <w:iCs/>
          <w:sz w:val="20"/>
        </w:rPr>
        <w:t>Tenure security</w:t>
      </w:r>
      <w:r w:rsidRPr="009D1A94">
        <w:rPr>
          <w:b w:val="0"/>
          <w:sz w:val="20"/>
        </w:rPr>
        <w:t xml:space="preserve"> emerged as one of the most commonly investigated themes. Most of the studies underscored the fact that the form of tenure held by women over their land tends to lack formal recognition or status in its own right and relies instead upon men in the family. Thus, when peri-urban land is converted to residential or industrial use, the first people to be deprived of access tend to be the women because their lack of formal documentation and representation in the community precludes them from being heard. For instance, (</w:t>
      </w:r>
      <w:proofErr w:type="spellStart"/>
      <w:r w:rsidRPr="009D1A94">
        <w:rPr>
          <w:b w:val="0"/>
          <w:sz w:val="20"/>
        </w:rPr>
        <w:t>Bonye</w:t>
      </w:r>
      <w:proofErr w:type="spellEnd"/>
      <w:r w:rsidRPr="009D1A94">
        <w:rPr>
          <w:b w:val="0"/>
          <w:sz w:val="20"/>
        </w:rPr>
        <w:t xml:space="preserve"> et al., 2021; </w:t>
      </w:r>
      <w:proofErr w:type="spellStart"/>
      <w:r w:rsidRPr="009D1A94">
        <w:rPr>
          <w:b w:val="0"/>
          <w:sz w:val="20"/>
        </w:rPr>
        <w:t>Mutopo</w:t>
      </w:r>
      <w:proofErr w:type="spellEnd"/>
      <w:r w:rsidRPr="009D1A94">
        <w:rPr>
          <w:b w:val="0"/>
          <w:sz w:val="20"/>
        </w:rPr>
        <w:t xml:space="preserve"> 2011).</w:t>
      </w:r>
    </w:p>
    <w:p w14:paraId="54B8F4DA" w14:textId="77777777" w:rsidR="009D1A94" w:rsidRPr="009D1A94" w:rsidRDefault="009D1A94" w:rsidP="009D1A94">
      <w:pPr>
        <w:pStyle w:val="A2"/>
        <w:numPr>
          <w:ilvl w:val="0"/>
          <w:numId w:val="0"/>
        </w:numPr>
        <w:jc w:val="both"/>
        <w:rPr>
          <w:b w:val="0"/>
          <w:sz w:val="20"/>
        </w:rPr>
      </w:pPr>
      <w:r w:rsidRPr="009D1A94">
        <w:rPr>
          <w:b w:val="0"/>
          <w:sz w:val="20"/>
        </w:rPr>
        <w:t xml:space="preserve">Processes involved in </w:t>
      </w:r>
      <w:r w:rsidRPr="00357A90">
        <w:rPr>
          <w:bCs/>
          <w:i/>
          <w:iCs/>
          <w:sz w:val="20"/>
        </w:rPr>
        <w:t>land governance</w:t>
      </w:r>
      <w:r w:rsidRPr="009D1A94">
        <w:rPr>
          <w:b w:val="0"/>
          <w:sz w:val="20"/>
        </w:rPr>
        <w:t xml:space="preserve"> like titling programs and urban master plans were found to constitute patriarchal systems that disregard the claims of women. Though the legal systems have been improved to ensure greater equity in land ownership, their effectiveness has been undermined. The traditional and legal systems intersect in ways that perpetuate biases in land ownership in a way that favors men because traditional rulers continue to allocate the land without incorporating aspects of equity (Addo et al. 2024; </w:t>
      </w:r>
      <w:proofErr w:type="spellStart"/>
      <w:r w:rsidRPr="009D1A94">
        <w:rPr>
          <w:b w:val="0"/>
          <w:sz w:val="20"/>
        </w:rPr>
        <w:t>Nyamura</w:t>
      </w:r>
      <w:proofErr w:type="spellEnd"/>
      <w:r w:rsidRPr="009D1A94">
        <w:rPr>
          <w:b w:val="0"/>
          <w:sz w:val="20"/>
        </w:rPr>
        <w:t xml:space="preserve"> &amp; Ngwenya 2024).</w:t>
      </w:r>
    </w:p>
    <w:p w14:paraId="56962A88" w14:textId="77777777" w:rsidR="009D1A94" w:rsidRPr="009D1A94" w:rsidRDefault="009D1A94" w:rsidP="009D1A94">
      <w:pPr>
        <w:pStyle w:val="A2"/>
        <w:numPr>
          <w:ilvl w:val="0"/>
          <w:numId w:val="0"/>
        </w:numPr>
        <w:jc w:val="both"/>
        <w:rPr>
          <w:b w:val="0"/>
          <w:sz w:val="20"/>
        </w:rPr>
      </w:pPr>
      <w:r w:rsidRPr="009D1A94">
        <w:rPr>
          <w:b w:val="0"/>
          <w:sz w:val="20"/>
        </w:rPr>
        <w:t xml:space="preserve">The pervasive nature of </w:t>
      </w:r>
      <w:r w:rsidRPr="00357A90">
        <w:rPr>
          <w:bCs/>
          <w:i/>
          <w:iCs/>
          <w:sz w:val="20"/>
        </w:rPr>
        <w:t>spatial exclusion</w:t>
      </w:r>
      <w:r w:rsidRPr="009D1A94">
        <w:rPr>
          <w:b w:val="0"/>
          <w:sz w:val="20"/>
        </w:rPr>
        <w:t xml:space="preserve"> among the studies indicates a continuous process of the marginalization of women both in the productive domain of food sources like farmlands and community gardens and the commercial domain of markets/trading centers. As </w:t>
      </w:r>
      <w:r w:rsidRPr="009D1A94">
        <w:rPr>
          <w:b w:val="0"/>
          <w:sz w:val="20"/>
        </w:rPr>
        <w:lastRenderedPageBreak/>
        <w:t>urbanization intensifies, the land originally allocated for agricultural purposes or for the conduct of markets, where women trade their produce, is refashioned for other uses. This has serious effects on the mobility of women as well as their role in the newly formed urban society.</w:t>
      </w:r>
    </w:p>
    <w:p w14:paraId="59EA8D5B" w14:textId="7BE62E58" w:rsidR="009D1A94" w:rsidRPr="009D1A94" w:rsidRDefault="009D1A94" w:rsidP="009D1A94">
      <w:pPr>
        <w:pStyle w:val="A2"/>
        <w:numPr>
          <w:ilvl w:val="0"/>
          <w:numId w:val="0"/>
        </w:numPr>
        <w:jc w:val="both"/>
        <w:rPr>
          <w:b w:val="0"/>
          <w:sz w:val="20"/>
        </w:rPr>
      </w:pPr>
      <w:r w:rsidRPr="009D1A94">
        <w:rPr>
          <w:b w:val="0"/>
          <w:sz w:val="20"/>
        </w:rPr>
        <w:t xml:space="preserve">A still emergent but underdeveloped literature connects such exclusion to </w:t>
      </w:r>
      <w:r w:rsidR="00357A90" w:rsidRPr="00DC12E4">
        <w:rPr>
          <w:bCs/>
          <w:i/>
          <w:iCs/>
          <w:sz w:val="20"/>
        </w:rPr>
        <w:t xml:space="preserve">nutrition </w:t>
      </w:r>
      <w:r w:rsidRPr="00DC12E4">
        <w:rPr>
          <w:bCs/>
          <w:i/>
          <w:iCs/>
          <w:sz w:val="20"/>
        </w:rPr>
        <w:t>disparities</w:t>
      </w:r>
      <w:r w:rsidRPr="009D1A94">
        <w:rPr>
          <w:b w:val="0"/>
          <w:sz w:val="20"/>
        </w:rPr>
        <w:t>, especially in female-headed households. Such studies observed that as the ability of women to control the land and the vending of food diminishes, the accessibility of food to the household can become more vulnerable; the diets become less diverse and increasingly composed of ultra-processed foods (Korth et al. 2014; Khumalo et al. 2024). However, very limited studies quantified the effect in the long term and disaggregate the nutritional information per sex.</w:t>
      </w:r>
    </w:p>
    <w:p w14:paraId="163DAFC2" w14:textId="77777777" w:rsidR="009D1A94" w:rsidRPr="009D1A94" w:rsidRDefault="009D1A94" w:rsidP="009D1A94">
      <w:pPr>
        <w:pStyle w:val="A2"/>
        <w:numPr>
          <w:ilvl w:val="0"/>
          <w:numId w:val="0"/>
        </w:numPr>
        <w:jc w:val="both"/>
        <w:rPr>
          <w:b w:val="0"/>
          <w:sz w:val="20"/>
        </w:rPr>
      </w:pPr>
      <w:r w:rsidRPr="00DC12E4">
        <w:rPr>
          <w:bCs/>
          <w:i/>
          <w:iCs/>
          <w:sz w:val="20"/>
        </w:rPr>
        <w:t>Gender norms and patriarchal structures</w:t>
      </w:r>
      <w:r w:rsidRPr="009D1A94">
        <w:rPr>
          <w:b w:val="0"/>
          <w:sz w:val="20"/>
        </w:rPr>
        <w:t xml:space="preserve"> were mentioned in 86% of the studies. Even when the law favors the land rights of women, other factors such as cultural traditions tend to restrict their enforceability. Gender intersecting with other factors such as class divisions, age disparities, and marital status has been mentioned in several studies, especially where the widowed and unmarried women were denied the additional land rights beyond men (</w:t>
      </w:r>
      <w:proofErr w:type="spellStart"/>
      <w:r w:rsidRPr="009D1A94">
        <w:rPr>
          <w:b w:val="0"/>
          <w:sz w:val="20"/>
        </w:rPr>
        <w:t>McNicoll</w:t>
      </w:r>
      <w:proofErr w:type="spellEnd"/>
      <w:r w:rsidRPr="009D1A94">
        <w:rPr>
          <w:b w:val="0"/>
          <w:sz w:val="20"/>
        </w:rPr>
        <w:t xml:space="preserve"> 2011; </w:t>
      </w:r>
      <w:proofErr w:type="spellStart"/>
      <w:r w:rsidRPr="009D1A94">
        <w:rPr>
          <w:b w:val="0"/>
          <w:sz w:val="20"/>
        </w:rPr>
        <w:t>Ngcamu</w:t>
      </w:r>
      <w:proofErr w:type="spellEnd"/>
      <w:r w:rsidRPr="009D1A94">
        <w:rPr>
          <w:b w:val="0"/>
          <w:sz w:val="20"/>
        </w:rPr>
        <w:t xml:space="preserve"> 2022; </w:t>
      </w:r>
      <w:proofErr w:type="spellStart"/>
      <w:r w:rsidRPr="009D1A94">
        <w:rPr>
          <w:b w:val="0"/>
          <w:sz w:val="20"/>
        </w:rPr>
        <w:t>Mubiru</w:t>
      </w:r>
      <w:proofErr w:type="spellEnd"/>
      <w:r w:rsidRPr="009D1A94">
        <w:rPr>
          <w:b w:val="0"/>
          <w:sz w:val="20"/>
        </w:rPr>
        <w:t xml:space="preserve"> et al. 2024).</w:t>
      </w:r>
    </w:p>
    <w:p w14:paraId="4274A077" w14:textId="07AC93BB" w:rsidR="009D1A94" w:rsidRPr="009D1A94" w:rsidRDefault="009D1A94" w:rsidP="004F2D00">
      <w:pPr>
        <w:pStyle w:val="A2"/>
        <w:numPr>
          <w:ilvl w:val="0"/>
          <w:numId w:val="0"/>
        </w:numPr>
        <w:jc w:val="both"/>
        <w:rPr>
          <w:b w:val="0"/>
          <w:sz w:val="20"/>
        </w:rPr>
      </w:pPr>
      <w:r w:rsidRPr="009D1A94">
        <w:rPr>
          <w:b w:val="0"/>
          <w:sz w:val="20"/>
        </w:rPr>
        <w:t>Finally, the theme of economic empowerment proved to reflect notable disparities. Though many studies recognized the importance of women gaining access to land as the basis for food-based economic activities, only a few were concerned with the relationship between the loss of land and the decline of economic empowerment. However, the empirical reality indicates the existence of a strong relationship between the loss of land use in urban areas and the degradation of financial empowerment among women related to food vending, gardening, and market gardening activities (</w:t>
      </w:r>
      <w:proofErr w:type="spellStart"/>
      <w:r w:rsidRPr="009D1A94">
        <w:rPr>
          <w:b w:val="0"/>
          <w:sz w:val="20"/>
        </w:rPr>
        <w:t>Nchanji</w:t>
      </w:r>
      <w:proofErr w:type="spellEnd"/>
      <w:r w:rsidRPr="009D1A94">
        <w:rPr>
          <w:b w:val="0"/>
          <w:sz w:val="20"/>
        </w:rPr>
        <w:t xml:space="preserve"> et al. 2023; </w:t>
      </w:r>
      <w:proofErr w:type="spellStart"/>
      <w:r w:rsidRPr="009D1A94">
        <w:rPr>
          <w:b w:val="0"/>
          <w:sz w:val="20"/>
        </w:rPr>
        <w:t>Sakketa</w:t>
      </w:r>
      <w:proofErr w:type="spellEnd"/>
      <w:r w:rsidRPr="009D1A94">
        <w:rPr>
          <w:b w:val="0"/>
          <w:sz w:val="20"/>
        </w:rPr>
        <w:t xml:space="preserve"> 2023).</w:t>
      </w:r>
      <w:r w:rsidR="004F2D00">
        <w:rPr>
          <w:b w:val="0"/>
          <w:sz w:val="20"/>
        </w:rPr>
        <w:t xml:space="preserve"> </w:t>
      </w:r>
      <w:r w:rsidRPr="004F2D00">
        <w:rPr>
          <w:b w:val="0"/>
          <w:sz w:val="20"/>
        </w:rPr>
        <w:t>The interplay of the above themes indicates the existence of the invisible reality of displacement in the relationship between the</w:t>
      </w:r>
      <w:r w:rsidR="001643E2" w:rsidRPr="004F2D00">
        <w:rPr>
          <w:b w:val="0"/>
          <w:sz w:val="20"/>
        </w:rPr>
        <w:t xml:space="preserve"> gender and land access.</w:t>
      </w:r>
    </w:p>
    <w:p w14:paraId="0D6B0F2F" w14:textId="775CE972" w:rsidR="00D17351" w:rsidRPr="00DF68AA" w:rsidRDefault="00D17351" w:rsidP="009D1A94">
      <w:pPr>
        <w:pStyle w:val="A2"/>
        <w:rPr>
          <w:lang w:val="en-GB"/>
        </w:rPr>
      </w:pPr>
      <w:r w:rsidRPr="00DF68AA">
        <w:rPr>
          <w:lang w:val="en-GB"/>
        </w:rPr>
        <w:t>Dominant Thematic Patterns</w:t>
      </w:r>
    </w:p>
    <w:p w14:paraId="5F323E5C" w14:textId="77777777" w:rsidR="00D17351" w:rsidRDefault="00D17351" w:rsidP="00F622F9">
      <w:pPr>
        <w:pStyle w:val="NormalWeb"/>
        <w:spacing w:before="180" w:beforeAutospacing="0" w:after="60" w:afterAutospacing="0"/>
        <w:rPr>
          <w:rFonts w:ascii="Arial" w:hAnsi="Arial" w:cs="Arial"/>
          <w:b/>
          <w:sz w:val="22"/>
          <w:szCs w:val="20"/>
          <w:lang w:val="en-US"/>
        </w:rPr>
      </w:pPr>
      <w:r w:rsidRPr="00F622F9">
        <w:rPr>
          <w:rFonts w:ascii="Arial" w:hAnsi="Arial" w:cs="Arial"/>
          <w:b/>
          <w:sz w:val="22"/>
          <w:szCs w:val="20"/>
          <w:lang w:val="en-US"/>
        </w:rPr>
        <w:t>Analysis of thematic coding revealed the following prevalence:</w:t>
      </w:r>
    </w:p>
    <w:p w14:paraId="5A6DEFC8" w14:textId="77777777" w:rsidR="007655DA" w:rsidRPr="007F7A5F" w:rsidRDefault="007655DA" w:rsidP="007F7A5F">
      <w:pPr>
        <w:pStyle w:val="A2"/>
        <w:numPr>
          <w:ilvl w:val="0"/>
          <w:numId w:val="0"/>
        </w:numPr>
        <w:jc w:val="both"/>
        <w:rPr>
          <w:b w:val="0"/>
          <w:sz w:val="20"/>
        </w:rPr>
      </w:pPr>
      <w:r w:rsidRPr="00DC12E4">
        <w:rPr>
          <w:b w:val="0"/>
          <w:sz w:val="20"/>
        </w:rPr>
        <w:t>Tenure Security:</w:t>
      </w:r>
      <w:r w:rsidRPr="007F7A5F">
        <w:rPr>
          <w:b w:val="0"/>
          <w:sz w:val="20"/>
        </w:rPr>
        <w:t xml:space="preserve"> Most studies underscore the fact that the availability of land for women has been limited through the aspect of tenure, inheritance practices, and displacement. The transition tenure systems remain challenged in offering the peri-urban land tenure to the female population (</w:t>
      </w:r>
      <w:proofErr w:type="spellStart"/>
      <w:r w:rsidRPr="007F7A5F">
        <w:rPr>
          <w:b w:val="0"/>
          <w:sz w:val="20"/>
        </w:rPr>
        <w:t>Mutopo</w:t>
      </w:r>
      <w:proofErr w:type="spellEnd"/>
      <w:r w:rsidRPr="007F7A5F">
        <w:rPr>
          <w:b w:val="0"/>
          <w:sz w:val="20"/>
        </w:rPr>
        <w:t xml:space="preserve"> 2011; </w:t>
      </w:r>
      <w:proofErr w:type="spellStart"/>
      <w:r w:rsidRPr="007F7A5F">
        <w:rPr>
          <w:b w:val="0"/>
          <w:sz w:val="20"/>
        </w:rPr>
        <w:t>Arisunta</w:t>
      </w:r>
      <w:proofErr w:type="spellEnd"/>
      <w:r w:rsidRPr="007F7A5F">
        <w:rPr>
          <w:b w:val="0"/>
          <w:sz w:val="20"/>
        </w:rPr>
        <w:t xml:space="preserve"> 2015; Addo et al. 2024).</w:t>
      </w:r>
    </w:p>
    <w:p w14:paraId="4694BF58" w14:textId="77777777" w:rsidR="007655DA" w:rsidRPr="007F7A5F" w:rsidRDefault="007655DA" w:rsidP="007F7A5F">
      <w:pPr>
        <w:pStyle w:val="A2"/>
        <w:numPr>
          <w:ilvl w:val="0"/>
          <w:numId w:val="0"/>
        </w:numPr>
        <w:jc w:val="both"/>
        <w:rPr>
          <w:b w:val="0"/>
          <w:sz w:val="20"/>
        </w:rPr>
      </w:pPr>
      <w:r w:rsidRPr="00DC12E4">
        <w:rPr>
          <w:bCs/>
          <w:sz w:val="20"/>
        </w:rPr>
        <w:t>Land Governance:</w:t>
      </w:r>
      <w:r w:rsidRPr="007F7A5F">
        <w:rPr>
          <w:b w:val="0"/>
          <w:sz w:val="20"/>
        </w:rPr>
        <w:t xml:space="preserve"> Urban planning regimes, land titling programs, and development at the municipal level perpetuate the lack of gender considerations in decision-making. Ineffective account ability and lack of clarity in the bureaucracy were common patterns (Hovorka 2006; Doss et al., 2014; Tantoh et al. 2021).</w:t>
      </w:r>
    </w:p>
    <w:p w14:paraId="537D7E31" w14:textId="77777777" w:rsidR="007655DA" w:rsidRPr="007F7A5F" w:rsidRDefault="007655DA" w:rsidP="007F7A5F">
      <w:pPr>
        <w:pStyle w:val="A2"/>
        <w:numPr>
          <w:ilvl w:val="0"/>
          <w:numId w:val="0"/>
        </w:numPr>
        <w:jc w:val="both"/>
        <w:rPr>
          <w:b w:val="0"/>
          <w:sz w:val="20"/>
        </w:rPr>
      </w:pPr>
      <w:r w:rsidRPr="00DC12E4">
        <w:rPr>
          <w:bCs/>
          <w:sz w:val="20"/>
        </w:rPr>
        <w:t>Spatial Exclusion:</w:t>
      </w:r>
      <w:r w:rsidRPr="007F7A5F">
        <w:rPr>
          <w:b w:val="0"/>
          <w:sz w:val="20"/>
        </w:rPr>
        <w:t xml:space="preserve"> Urban sprawl greatly affects female farmers and vendors. They are excluded from productive areas. Spatial planning hardly considers the mobility or subsistence patterns of women (</w:t>
      </w:r>
      <w:proofErr w:type="spellStart"/>
      <w:r w:rsidRPr="007F7A5F">
        <w:rPr>
          <w:b w:val="0"/>
          <w:sz w:val="20"/>
        </w:rPr>
        <w:t>Bachange</w:t>
      </w:r>
      <w:proofErr w:type="spellEnd"/>
      <w:r w:rsidRPr="007F7A5F">
        <w:rPr>
          <w:b w:val="0"/>
          <w:sz w:val="20"/>
        </w:rPr>
        <w:t xml:space="preserve"> 2020; </w:t>
      </w:r>
      <w:proofErr w:type="spellStart"/>
      <w:r w:rsidRPr="007F7A5F">
        <w:rPr>
          <w:b w:val="0"/>
          <w:sz w:val="20"/>
        </w:rPr>
        <w:t>Wudil</w:t>
      </w:r>
      <w:proofErr w:type="spellEnd"/>
      <w:r w:rsidRPr="007F7A5F">
        <w:rPr>
          <w:b w:val="0"/>
          <w:sz w:val="20"/>
        </w:rPr>
        <w:t xml:space="preserve"> et al. 2022; </w:t>
      </w:r>
      <w:proofErr w:type="spellStart"/>
      <w:r w:rsidRPr="007F7A5F">
        <w:rPr>
          <w:b w:val="0"/>
          <w:sz w:val="20"/>
        </w:rPr>
        <w:t>Bhanye</w:t>
      </w:r>
      <w:proofErr w:type="spellEnd"/>
      <w:r w:rsidRPr="007F7A5F">
        <w:rPr>
          <w:b w:val="0"/>
          <w:sz w:val="20"/>
        </w:rPr>
        <w:t xml:space="preserve"> 2023).</w:t>
      </w:r>
    </w:p>
    <w:p w14:paraId="105EF4DF" w14:textId="7EEE8A31" w:rsidR="007655DA" w:rsidRPr="007F7A5F" w:rsidRDefault="007655DA" w:rsidP="007F7A5F">
      <w:pPr>
        <w:pStyle w:val="A2"/>
        <w:numPr>
          <w:ilvl w:val="0"/>
          <w:numId w:val="0"/>
        </w:numPr>
        <w:jc w:val="both"/>
        <w:rPr>
          <w:b w:val="0"/>
          <w:sz w:val="20"/>
        </w:rPr>
      </w:pPr>
      <w:r w:rsidRPr="00DC12E4">
        <w:rPr>
          <w:bCs/>
          <w:sz w:val="20"/>
        </w:rPr>
        <w:t>Nutrition Inequality:</w:t>
      </w:r>
      <w:r w:rsidRPr="007F7A5F">
        <w:rPr>
          <w:b w:val="0"/>
          <w:sz w:val="20"/>
        </w:rPr>
        <w:t xml:space="preserve"> Land dis</w:t>
      </w:r>
      <w:r w:rsidR="00DC12E4">
        <w:rPr>
          <w:b w:val="0"/>
          <w:sz w:val="20"/>
        </w:rPr>
        <w:t>possession</w:t>
      </w:r>
      <w:r w:rsidR="008141E4">
        <w:rPr>
          <w:b w:val="0"/>
          <w:sz w:val="20"/>
        </w:rPr>
        <w:t xml:space="preserve"> </w:t>
      </w:r>
      <w:r w:rsidRPr="007F7A5F">
        <w:rPr>
          <w:b w:val="0"/>
          <w:sz w:val="20"/>
        </w:rPr>
        <w:t>appropriation and urbanization have impacted the accessibility, production, and affordability of nutritious food to women in general and female-headed households in particular (Korth et al., 2014; Khumalo et al., 2024; Thompson et al., 2010).</w:t>
      </w:r>
    </w:p>
    <w:p w14:paraId="479EFF95" w14:textId="1BA62E64" w:rsidR="006A1E60" w:rsidRPr="007F7A5F" w:rsidRDefault="007655DA" w:rsidP="007F7A5F">
      <w:pPr>
        <w:pStyle w:val="A2"/>
        <w:numPr>
          <w:ilvl w:val="0"/>
          <w:numId w:val="0"/>
        </w:numPr>
        <w:jc w:val="both"/>
        <w:rPr>
          <w:b w:val="0"/>
          <w:sz w:val="20"/>
        </w:rPr>
      </w:pPr>
      <w:r w:rsidRPr="000513C2">
        <w:rPr>
          <w:bCs/>
          <w:sz w:val="20"/>
        </w:rPr>
        <w:t>Gender/Social Norms:</w:t>
      </w:r>
      <w:r w:rsidRPr="007F7A5F">
        <w:rPr>
          <w:b w:val="0"/>
          <w:sz w:val="20"/>
        </w:rPr>
        <w:t xml:space="preserve"> The cultural norms in the patriarchal society limit the autonomy of women when it comes to the use of the land. Even if the policy seems gender-blind in its </w:t>
      </w:r>
      <w:r w:rsidRPr="007F7A5F">
        <w:rPr>
          <w:b w:val="0"/>
          <w:sz w:val="20"/>
        </w:rPr>
        <w:lastRenderedPageBreak/>
        <w:t xml:space="preserve">approach, its practical implementation tends to involve biases that are profoundly entrenched </w:t>
      </w:r>
      <w:r w:rsidR="006A1E60" w:rsidRPr="007F7A5F">
        <w:rPr>
          <w:b w:val="0"/>
          <w:sz w:val="20"/>
        </w:rPr>
        <w:t>(</w:t>
      </w:r>
      <w:proofErr w:type="spellStart"/>
      <w:r w:rsidR="006A1E60" w:rsidRPr="007F7A5F">
        <w:rPr>
          <w:b w:val="0"/>
          <w:sz w:val="20"/>
        </w:rPr>
        <w:t>McNicoll</w:t>
      </w:r>
      <w:proofErr w:type="spellEnd"/>
      <w:r w:rsidR="006A1E60" w:rsidRPr="007F7A5F">
        <w:rPr>
          <w:b w:val="0"/>
          <w:sz w:val="20"/>
        </w:rPr>
        <w:t xml:space="preserve"> 2011; </w:t>
      </w:r>
      <w:proofErr w:type="spellStart"/>
      <w:r w:rsidR="006A1E60" w:rsidRPr="007F7A5F">
        <w:rPr>
          <w:b w:val="0"/>
          <w:sz w:val="20"/>
        </w:rPr>
        <w:t>Ngcamu</w:t>
      </w:r>
      <w:proofErr w:type="spellEnd"/>
      <w:r w:rsidR="006A1E60" w:rsidRPr="007F7A5F">
        <w:rPr>
          <w:b w:val="0"/>
          <w:sz w:val="20"/>
        </w:rPr>
        <w:t xml:space="preserve"> 2022; </w:t>
      </w:r>
      <w:proofErr w:type="spellStart"/>
      <w:r w:rsidR="006A1E60" w:rsidRPr="007F7A5F">
        <w:rPr>
          <w:b w:val="0"/>
          <w:sz w:val="20"/>
        </w:rPr>
        <w:t>Mubiru</w:t>
      </w:r>
      <w:proofErr w:type="spellEnd"/>
      <w:r w:rsidR="006A1E60" w:rsidRPr="007F7A5F">
        <w:rPr>
          <w:b w:val="0"/>
          <w:sz w:val="20"/>
        </w:rPr>
        <w:t xml:space="preserve"> et al. 2024)</w:t>
      </w:r>
    </w:p>
    <w:p w14:paraId="1F06BCBD" w14:textId="7EDB8C36" w:rsidR="00564AAD" w:rsidRPr="007F7A5F" w:rsidRDefault="007655DA" w:rsidP="007F7A5F">
      <w:pPr>
        <w:pStyle w:val="A2"/>
        <w:numPr>
          <w:ilvl w:val="0"/>
          <w:numId w:val="0"/>
        </w:numPr>
        <w:jc w:val="both"/>
        <w:rPr>
          <w:b w:val="0"/>
          <w:sz w:val="20"/>
        </w:rPr>
      </w:pPr>
      <w:r w:rsidRPr="000513C2">
        <w:rPr>
          <w:bCs/>
          <w:sz w:val="20"/>
        </w:rPr>
        <w:t>Economic Empowerment:</w:t>
      </w:r>
      <w:r w:rsidRPr="007F7A5F">
        <w:rPr>
          <w:b w:val="0"/>
          <w:sz w:val="20"/>
        </w:rPr>
        <w:t xml:space="preserve"> Few studies examined the relationship between land-use change and women's food-related businesses or economic earnings. Yet the effects were mentioned concerning living as well as access to the informal market (</w:t>
      </w:r>
      <w:proofErr w:type="spellStart"/>
      <w:r w:rsidRPr="007F7A5F">
        <w:rPr>
          <w:b w:val="0"/>
          <w:sz w:val="20"/>
        </w:rPr>
        <w:t>Nchanji</w:t>
      </w:r>
      <w:proofErr w:type="spellEnd"/>
      <w:r w:rsidRPr="007F7A5F">
        <w:rPr>
          <w:b w:val="0"/>
          <w:sz w:val="20"/>
        </w:rPr>
        <w:t xml:space="preserve"> et al. 2023; </w:t>
      </w:r>
      <w:proofErr w:type="spellStart"/>
      <w:r w:rsidRPr="007F7A5F">
        <w:rPr>
          <w:b w:val="0"/>
          <w:sz w:val="20"/>
        </w:rPr>
        <w:t>Sakketa</w:t>
      </w:r>
      <w:proofErr w:type="spellEnd"/>
      <w:r w:rsidRPr="007F7A5F">
        <w:rPr>
          <w:b w:val="0"/>
          <w:sz w:val="20"/>
        </w:rPr>
        <w:t xml:space="preserve"> 2023).</w:t>
      </w:r>
    </w:p>
    <w:p w14:paraId="255142D3" w14:textId="000A53B0" w:rsidR="00D17351" w:rsidRDefault="00D17351" w:rsidP="0059467D">
      <w:pPr>
        <w:pStyle w:val="A2"/>
        <w:rPr>
          <w:lang w:val="en-GB"/>
        </w:rPr>
      </w:pPr>
      <w:r w:rsidRPr="00DF68AA">
        <w:rPr>
          <w:lang w:val="en-GB"/>
        </w:rPr>
        <w:t>Thematic Classification Table</w:t>
      </w:r>
    </w:p>
    <w:p w14:paraId="2739383E" w14:textId="034F076E" w:rsidR="005D396B" w:rsidRDefault="005D396B" w:rsidP="005D396B">
      <w:pPr>
        <w:pStyle w:val="A2"/>
        <w:numPr>
          <w:ilvl w:val="0"/>
          <w:numId w:val="0"/>
        </w:numPr>
        <w:rPr>
          <w:b w:val="0"/>
          <w:lang w:val="en-GB"/>
        </w:rPr>
      </w:pPr>
      <w:r w:rsidRPr="005D396B">
        <w:rPr>
          <w:b w:val="0"/>
          <w:lang w:val="en-GB"/>
        </w:rPr>
        <w:t>Table 5 presents the thematic classification of 44 studies</w:t>
      </w:r>
    </w:p>
    <w:p w14:paraId="09DCCB60" w14:textId="77777777" w:rsidR="005D396B" w:rsidRPr="005D396B" w:rsidRDefault="005D396B" w:rsidP="005D396B">
      <w:pPr>
        <w:pStyle w:val="A2"/>
        <w:numPr>
          <w:ilvl w:val="0"/>
          <w:numId w:val="0"/>
        </w:numPr>
        <w:rPr>
          <w:b w:val="0"/>
          <w:lang w:val="en-GB"/>
        </w:rPr>
      </w:pPr>
    </w:p>
    <w:p w14:paraId="397D6588" w14:textId="688CD6F0" w:rsidR="00D17351" w:rsidRPr="006A1E60" w:rsidRDefault="00D17351" w:rsidP="00D17351">
      <w:pPr>
        <w:pStyle w:val="NormalWeb"/>
        <w:spacing w:before="0" w:beforeAutospacing="0" w:after="0" w:afterAutospacing="0" w:line="360" w:lineRule="auto"/>
        <w:rPr>
          <w:rFonts w:ascii="Arial" w:hAnsi="Arial" w:cs="Arial"/>
          <w:sz w:val="22"/>
          <w:szCs w:val="22"/>
        </w:rPr>
      </w:pPr>
      <w:r w:rsidRPr="006A1E60">
        <w:rPr>
          <w:rStyle w:val="Strong"/>
          <w:rFonts w:ascii="Arial" w:hAnsi="Arial" w:cs="Arial"/>
          <w:sz w:val="22"/>
          <w:szCs w:val="22"/>
        </w:rPr>
        <w:t xml:space="preserve">Table </w:t>
      </w:r>
      <w:r w:rsidR="006E0C39">
        <w:rPr>
          <w:rStyle w:val="Strong"/>
          <w:rFonts w:ascii="Arial" w:hAnsi="Arial" w:cs="Arial"/>
          <w:sz w:val="22"/>
          <w:szCs w:val="22"/>
        </w:rPr>
        <w:t>5</w:t>
      </w:r>
      <w:r w:rsidRPr="006A1E60">
        <w:rPr>
          <w:rStyle w:val="Strong"/>
          <w:rFonts w:ascii="Arial" w:hAnsi="Arial" w:cs="Arial"/>
          <w:sz w:val="22"/>
          <w:szCs w:val="22"/>
        </w:rPr>
        <w:t xml:space="preserve">. Thematic Classification of 44 Studies </w:t>
      </w:r>
    </w:p>
    <w:tbl>
      <w:tblPr>
        <w:tblStyle w:val="TableGrid"/>
        <w:tblW w:w="8222" w:type="dxa"/>
        <w:jc w:val="center"/>
        <w:tblLook w:val="04A0" w:firstRow="1" w:lastRow="0" w:firstColumn="1" w:lastColumn="0" w:noHBand="0" w:noVBand="1"/>
      </w:tblPr>
      <w:tblGrid>
        <w:gridCol w:w="2228"/>
        <w:gridCol w:w="505"/>
        <w:gridCol w:w="505"/>
        <w:gridCol w:w="4984"/>
      </w:tblGrid>
      <w:tr w:rsidR="00555DC9" w:rsidRPr="00DF68AA" w14:paraId="6956EE4C" w14:textId="77777777" w:rsidTr="007A2F4A">
        <w:trPr>
          <w:trHeight w:hRule="exact" w:val="227"/>
          <w:jc w:val="center"/>
        </w:trPr>
        <w:tc>
          <w:tcPr>
            <w:tcW w:w="2155" w:type="dxa"/>
            <w:vMerge w:val="restart"/>
            <w:vAlign w:val="center"/>
          </w:tcPr>
          <w:p w14:paraId="34B92470" w14:textId="5631AEEB" w:rsidR="00E9751B" w:rsidRPr="00555DC9" w:rsidRDefault="00E9751B" w:rsidP="009E7099">
            <w:pPr>
              <w:jc w:val="center"/>
              <w:rPr>
                <w:rFonts w:cs="Arial"/>
                <w:b/>
                <w:bCs/>
                <w:sz w:val="18"/>
                <w:szCs w:val="18"/>
              </w:rPr>
            </w:pPr>
            <w:r w:rsidRPr="00555DC9">
              <w:rPr>
                <w:rFonts w:cs="Arial"/>
                <w:b/>
                <w:bCs/>
                <w:sz w:val="18"/>
                <w:szCs w:val="18"/>
              </w:rPr>
              <w:t>Theme</w:t>
            </w:r>
          </w:p>
        </w:tc>
        <w:tc>
          <w:tcPr>
            <w:tcW w:w="488" w:type="dxa"/>
            <w:gridSpan w:val="2"/>
            <w:vAlign w:val="center"/>
          </w:tcPr>
          <w:p w14:paraId="48E58D1E" w14:textId="372F454C" w:rsidR="00E9751B" w:rsidRPr="00555DC9" w:rsidRDefault="00E9751B" w:rsidP="00E9751B">
            <w:pPr>
              <w:jc w:val="center"/>
              <w:rPr>
                <w:rFonts w:cs="Arial"/>
                <w:b/>
                <w:bCs/>
                <w:sz w:val="16"/>
                <w:szCs w:val="16"/>
              </w:rPr>
            </w:pPr>
            <w:r w:rsidRPr="00555DC9">
              <w:rPr>
                <w:rFonts w:cs="Arial"/>
                <w:b/>
                <w:bCs/>
                <w:sz w:val="16"/>
                <w:szCs w:val="16"/>
              </w:rPr>
              <w:t>Studies</w:t>
            </w:r>
          </w:p>
        </w:tc>
        <w:tc>
          <w:tcPr>
            <w:tcW w:w="4820" w:type="dxa"/>
            <w:vMerge w:val="restart"/>
            <w:vAlign w:val="center"/>
          </w:tcPr>
          <w:p w14:paraId="296380F5" w14:textId="79D5506A" w:rsidR="00E9751B" w:rsidRPr="00FE696A" w:rsidRDefault="00E9751B" w:rsidP="009E7099">
            <w:pPr>
              <w:jc w:val="center"/>
              <w:rPr>
                <w:rFonts w:cs="Arial"/>
                <w:b/>
                <w:bCs/>
                <w:sz w:val="16"/>
                <w:szCs w:val="16"/>
              </w:rPr>
            </w:pPr>
            <w:r w:rsidRPr="00FE696A">
              <w:rPr>
                <w:rFonts w:cs="Arial"/>
                <w:b/>
                <w:bCs/>
                <w:sz w:val="16"/>
                <w:szCs w:val="16"/>
              </w:rPr>
              <w:t>Key Studies Referenced</w:t>
            </w:r>
          </w:p>
        </w:tc>
      </w:tr>
      <w:tr w:rsidR="00555DC9" w:rsidRPr="00DF68AA" w14:paraId="6CDDEECD" w14:textId="77777777" w:rsidTr="007A2F4A">
        <w:trPr>
          <w:trHeight w:hRule="exact" w:val="227"/>
          <w:jc w:val="center"/>
        </w:trPr>
        <w:tc>
          <w:tcPr>
            <w:tcW w:w="2155" w:type="dxa"/>
            <w:vMerge/>
            <w:vAlign w:val="center"/>
            <w:hideMark/>
          </w:tcPr>
          <w:p w14:paraId="1AACD3D2" w14:textId="10BA4D3C" w:rsidR="00E9751B" w:rsidRPr="00555DC9" w:rsidRDefault="00E9751B" w:rsidP="009E7099">
            <w:pPr>
              <w:jc w:val="center"/>
              <w:rPr>
                <w:rFonts w:cs="Arial"/>
                <w:b/>
                <w:bCs/>
                <w:sz w:val="18"/>
                <w:szCs w:val="18"/>
              </w:rPr>
            </w:pPr>
          </w:p>
        </w:tc>
        <w:tc>
          <w:tcPr>
            <w:tcW w:w="488" w:type="dxa"/>
            <w:vAlign w:val="center"/>
            <w:hideMark/>
          </w:tcPr>
          <w:p w14:paraId="7346E8B7" w14:textId="3F723DB3" w:rsidR="00E9751B" w:rsidRPr="00555DC9" w:rsidRDefault="00E9751B" w:rsidP="009E7099">
            <w:pPr>
              <w:jc w:val="center"/>
              <w:rPr>
                <w:rFonts w:cs="Arial"/>
                <w:b/>
                <w:bCs/>
                <w:sz w:val="16"/>
                <w:szCs w:val="16"/>
              </w:rPr>
            </w:pPr>
            <w:r w:rsidRPr="00555DC9">
              <w:rPr>
                <w:rFonts w:cs="Arial"/>
                <w:b/>
                <w:bCs/>
                <w:sz w:val="16"/>
                <w:szCs w:val="16"/>
              </w:rPr>
              <w:t xml:space="preserve">No. </w:t>
            </w:r>
          </w:p>
        </w:tc>
        <w:tc>
          <w:tcPr>
            <w:tcW w:w="488" w:type="dxa"/>
            <w:vAlign w:val="center"/>
          </w:tcPr>
          <w:p w14:paraId="7D07ABB8" w14:textId="3FE31D3D" w:rsidR="00E9751B" w:rsidRPr="00555DC9" w:rsidRDefault="00E9751B" w:rsidP="009E7099">
            <w:pPr>
              <w:jc w:val="center"/>
              <w:rPr>
                <w:rFonts w:cs="Arial"/>
                <w:b/>
                <w:bCs/>
                <w:sz w:val="16"/>
                <w:szCs w:val="16"/>
              </w:rPr>
            </w:pPr>
            <w:r w:rsidRPr="00555DC9">
              <w:rPr>
                <w:rFonts w:cs="Arial"/>
                <w:b/>
                <w:bCs/>
                <w:sz w:val="16"/>
                <w:szCs w:val="16"/>
              </w:rPr>
              <w:t>(%)</w:t>
            </w:r>
          </w:p>
        </w:tc>
        <w:tc>
          <w:tcPr>
            <w:tcW w:w="4820" w:type="dxa"/>
            <w:vMerge/>
            <w:vAlign w:val="center"/>
            <w:hideMark/>
          </w:tcPr>
          <w:p w14:paraId="025AB4FD" w14:textId="710F7A57" w:rsidR="00E9751B" w:rsidRPr="00FE696A" w:rsidRDefault="00E9751B" w:rsidP="009E7099">
            <w:pPr>
              <w:jc w:val="center"/>
              <w:rPr>
                <w:rFonts w:cs="Arial"/>
                <w:b/>
                <w:bCs/>
                <w:sz w:val="16"/>
                <w:szCs w:val="16"/>
              </w:rPr>
            </w:pPr>
          </w:p>
        </w:tc>
      </w:tr>
      <w:tr w:rsidR="009F2608" w:rsidRPr="00DF68AA" w14:paraId="3AE90856" w14:textId="77777777" w:rsidTr="007A2F4A">
        <w:trPr>
          <w:trHeight w:hRule="exact" w:val="284"/>
          <w:jc w:val="center"/>
        </w:trPr>
        <w:tc>
          <w:tcPr>
            <w:tcW w:w="2155" w:type="dxa"/>
            <w:vAlign w:val="center"/>
            <w:hideMark/>
          </w:tcPr>
          <w:p w14:paraId="191F24B7" w14:textId="77777777" w:rsidR="00564AAD" w:rsidRPr="00555DC9" w:rsidRDefault="00564AAD" w:rsidP="009E7099">
            <w:pPr>
              <w:rPr>
                <w:rFonts w:cs="Arial"/>
                <w:sz w:val="18"/>
                <w:szCs w:val="18"/>
              </w:rPr>
            </w:pPr>
            <w:bookmarkStart w:id="7" w:name="_Hlk206421377"/>
            <w:r w:rsidRPr="00555DC9">
              <w:rPr>
                <w:rFonts w:cs="Arial"/>
                <w:sz w:val="18"/>
                <w:szCs w:val="18"/>
              </w:rPr>
              <w:t>Tenure Security</w:t>
            </w:r>
          </w:p>
        </w:tc>
        <w:tc>
          <w:tcPr>
            <w:tcW w:w="488" w:type="dxa"/>
            <w:vAlign w:val="center"/>
            <w:hideMark/>
          </w:tcPr>
          <w:p w14:paraId="5AD03CCC" w14:textId="0F59CCE6" w:rsidR="00564AAD" w:rsidRPr="00555DC9" w:rsidRDefault="00564AAD" w:rsidP="009E7099">
            <w:pPr>
              <w:jc w:val="center"/>
              <w:rPr>
                <w:rFonts w:cs="Arial"/>
                <w:sz w:val="16"/>
                <w:szCs w:val="16"/>
              </w:rPr>
            </w:pPr>
            <w:r w:rsidRPr="00555DC9">
              <w:rPr>
                <w:rFonts w:cs="Arial"/>
                <w:sz w:val="16"/>
                <w:szCs w:val="16"/>
              </w:rPr>
              <w:t xml:space="preserve">39 </w:t>
            </w:r>
          </w:p>
        </w:tc>
        <w:tc>
          <w:tcPr>
            <w:tcW w:w="488" w:type="dxa"/>
            <w:vAlign w:val="center"/>
          </w:tcPr>
          <w:p w14:paraId="6940F854" w14:textId="60E2B27B" w:rsidR="00564AAD" w:rsidRPr="00555DC9" w:rsidRDefault="00E9751B" w:rsidP="009E7099">
            <w:pPr>
              <w:rPr>
                <w:rFonts w:cs="Arial"/>
                <w:sz w:val="16"/>
                <w:szCs w:val="16"/>
                <w:highlight w:val="cyan"/>
              </w:rPr>
            </w:pPr>
            <w:r w:rsidRPr="00555DC9">
              <w:rPr>
                <w:rFonts w:cs="Arial"/>
                <w:sz w:val="16"/>
                <w:szCs w:val="16"/>
              </w:rPr>
              <w:t>88</w:t>
            </w:r>
          </w:p>
        </w:tc>
        <w:tc>
          <w:tcPr>
            <w:tcW w:w="4820" w:type="dxa"/>
            <w:vAlign w:val="center"/>
            <w:hideMark/>
          </w:tcPr>
          <w:p w14:paraId="01B9406B" w14:textId="2A53BB30" w:rsidR="00564AAD" w:rsidRPr="00FE696A" w:rsidRDefault="00564AAD" w:rsidP="009E7099">
            <w:pPr>
              <w:rPr>
                <w:rFonts w:cs="Arial"/>
                <w:sz w:val="16"/>
                <w:szCs w:val="16"/>
              </w:rPr>
            </w:pPr>
            <w:proofErr w:type="spellStart"/>
            <w:r w:rsidRPr="00FE696A">
              <w:rPr>
                <w:rFonts w:cs="Arial"/>
                <w:sz w:val="16"/>
                <w:szCs w:val="16"/>
              </w:rPr>
              <w:t>Mutopo</w:t>
            </w:r>
            <w:proofErr w:type="spellEnd"/>
            <w:r w:rsidRPr="00FE696A">
              <w:rPr>
                <w:rFonts w:cs="Arial"/>
                <w:sz w:val="16"/>
                <w:szCs w:val="16"/>
              </w:rPr>
              <w:t xml:space="preserve"> 2011; </w:t>
            </w:r>
            <w:proofErr w:type="spellStart"/>
            <w:r w:rsidRPr="00FE696A">
              <w:rPr>
                <w:rFonts w:cs="Arial"/>
                <w:sz w:val="16"/>
                <w:szCs w:val="16"/>
              </w:rPr>
              <w:t>Arisunta</w:t>
            </w:r>
            <w:proofErr w:type="spellEnd"/>
            <w:r w:rsidRPr="00FE696A">
              <w:rPr>
                <w:rFonts w:cs="Arial"/>
                <w:sz w:val="16"/>
                <w:szCs w:val="16"/>
              </w:rPr>
              <w:t xml:space="preserve"> 2015; Addo et al. 2024</w:t>
            </w:r>
          </w:p>
        </w:tc>
      </w:tr>
      <w:tr w:rsidR="009F2608" w:rsidRPr="00DF68AA" w14:paraId="68A9B9D4" w14:textId="77777777" w:rsidTr="007A2F4A">
        <w:trPr>
          <w:trHeight w:hRule="exact" w:val="284"/>
          <w:jc w:val="center"/>
        </w:trPr>
        <w:tc>
          <w:tcPr>
            <w:tcW w:w="2155" w:type="dxa"/>
            <w:vAlign w:val="center"/>
            <w:hideMark/>
          </w:tcPr>
          <w:p w14:paraId="18F19F51" w14:textId="77777777" w:rsidR="00564AAD" w:rsidRPr="00555DC9" w:rsidRDefault="00564AAD" w:rsidP="009E7099">
            <w:pPr>
              <w:rPr>
                <w:rFonts w:cs="Arial"/>
                <w:sz w:val="18"/>
                <w:szCs w:val="18"/>
              </w:rPr>
            </w:pPr>
            <w:r w:rsidRPr="00555DC9">
              <w:rPr>
                <w:rFonts w:cs="Arial"/>
                <w:sz w:val="18"/>
                <w:szCs w:val="18"/>
              </w:rPr>
              <w:t>Land Governance</w:t>
            </w:r>
          </w:p>
        </w:tc>
        <w:tc>
          <w:tcPr>
            <w:tcW w:w="488" w:type="dxa"/>
            <w:vAlign w:val="center"/>
            <w:hideMark/>
          </w:tcPr>
          <w:p w14:paraId="0879A944" w14:textId="11299D48" w:rsidR="00564AAD" w:rsidRPr="00555DC9" w:rsidRDefault="00564AAD" w:rsidP="009E7099">
            <w:pPr>
              <w:jc w:val="center"/>
              <w:rPr>
                <w:rFonts w:cs="Arial"/>
                <w:sz w:val="16"/>
                <w:szCs w:val="16"/>
              </w:rPr>
            </w:pPr>
            <w:r w:rsidRPr="00555DC9">
              <w:rPr>
                <w:rFonts w:cs="Arial"/>
                <w:sz w:val="16"/>
                <w:szCs w:val="16"/>
              </w:rPr>
              <w:t xml:space="preserve">40 </w:t>
            </w:r>
          </w:p>
        </w:tc>
        <w:tc>
          <w:tcPr>
            <w:tcW w:w="488" w:type="dxa"/>
            <w:vAlign w:val="center"/>
          </w:tcPr>
          <w:p w14:paraId="5D71B876" w14:textId="6DABABD0" w:rsidR="00564AAD" w:rsidRPr="00555DC9" w:rsidRDefault="00E9751B" w:rsidP="009E7099">
            <w:pPr>
              <w:rPr>
                <w:rFonts w:cs="Arial"/>
                <w:sz w:val="16"/>
                <w:szCs w:val="16"/>
                <w:highlight w:val="cyan"/>
              </w:rPr>
            </w:pPr>
            <w:r w:rsidRPr="00555DC9">
              <w:rPr>
                <w:rFonts w:cs="Arial"/>
                <w:sz w:val="16"/>
                <w:szCs w:val="16"/>
              </w:rPr>
              <w:t>91</w:t>
            </w:r>
          </w:p>
        </w:tc>
        <w:tc>
          <w:tcPr>
            <w:tcW w:w="4820" w:type="dxa"/>
            <w:vAlign w:val="center"/>
            <w:hideMark/>
          </w:tcPr>
          <w:p w14:paraId="3E5F4A14" w14:textId="7C838AD3" w:rsidR="00564AAD" w:rsidRPr="00FE696A" w:rsidRDefault="00564AAD" w:rsidP="009E7099">
            <w:pPr>
              <w:rPr>
                <w:rFonts w:cs="Arial"/>
                <w:sz w:val="16"/>
                <w:szCs w:val="16"/>
              </w:rPr>
            </w:pPr>
            <w:r w:rsidRPr="00FE696A">
              <w:rPr>
                <w:rFonts w:cs="Arial"/>
                <w:sz w:val="16"/>
                <w:szCs w:val="16"/>
              </w:rPr>
              <w:t>Hovorka 2006; Doss et al., 2014; Tantoh et al. 2021</w:t>
            </w:r>
          </w:p>
        </w:tc>
      </w:tr>
      <w:tr w:rsidR="009F2608" w:rsidRPr="00DF68AA" w14:paraId="655F9F77" w14:textId="77777777" w:rsidTr="007A2F4A">
        <w:trPr>
          <w:trHeight w:hRule="exact" w:val="284"/>
          <w:jc w:val="center"/>
        </w:trPr>
        <w:tc>
          <w:tcPr>
            <w:tcW w:w="2155" w:type="dxa"/>
            <w:vAlign w:val="center"/>
            <w:hideMark/>
          </w:tcPr>
          <w:p w14:paraId="524AEEAE" w14:textId="77777777" w:rsidR="00564AAD" w:rsidRPr="00555DC9" w:rsidRDefault="00564AAD" w:rsidP="009E7099">
            <w:pPr>
              <w:rPr>
                <w:rFonts w:cs="Arial"/>
                <w:sz w:val="18"/>
                <w:szCs w:val="18"/>
              </w:rPr>
            </w:pPr>
            <w:r w:rsidRPr="00555DC9">
              <w:rPr>
                <w:rFonts w:cs="Arial"/>
                <w:sz w:val="18"/>
                <w:szCs w:val="18"/>
              </w:rPr>
              <w:t>Spatial Exclusion</w:t>
            </w:r>
          </w:p>
        </w:tc>
        <w:tc>
          <w:tcPr>
            <w:tcW w:w="488" w:type="dxa"/>
            <w:vAlign w:val="center"/>
            <w:hideMark/>
          </w:tcPr>
          <w:p w14:paraId="1FB35BEF" w14:textId="239944D5" w:rsidR="00564AAD" w:rsidRPr="00555DC9" w:rsidRDefault="00564AAD" w:rsidP="009E7099">
            <w:pPr>
              <w:jc w:val="center"/>
              <w:rPr>
                <w:rFonts w:cs="Arial"/>
                <w:sz w:val="16"/>
                <w:szCs w:val="16"/>
              </w:rPr>
            </w:pPr>
            <w:r w:rsidRPr="00555DC9">
              <w:rPr>
                <w:rFonts w:cs="Arial"/>
                <w:sz w:val="16"/>
                <w:szCs w:val="16"/>
              </w:rPr>
              <w:t xml:space="preserve">43 </w:t>
            </w:r>
          </w:p>
        </w:tc>
        <w:tc>
          <w:tcPr>
            <w:tcW w:w="488" w:type="dxa"/>
            <w:vAlign w:val="center"/>
          </w:tcPr>
          <w:p w14:paraId="1B2033F1" w14:textId="60411C21" w:rsidR="00564AAD" w:rsidRPr="00555DC9" w:rsidRDefault="00E9751B" w:rsidP="009E7099">
            <w:pPr>
              <w:rPr>
                <w:rFonts w:cs="Arial"/>
                <w:sz w:val="16"/>
                <w:szCs w:val="16"/>
                <w:highlight w:val="cyan"/>
              </w:rPr>
            </w:pPr>
            <w:r w:rsidRPr="00555DC9">
              <w:rPr>
                <w:rFonts w:cs="Arial"/>
                <w:sz w:val="16"/>
                <w:szCs w:val="16"/>
              </w:rPr>
              <w:t>98</w:t>
            </w:r>
          </w:p>
        </w:tc>
        <w:tc>
          <w:tcPr>
            <w:tcW w:w="4820" w:type="dxa"/>
            <w:vAlign w:val="center"/>
            <w:hideMark/>
          </w:tcPr>
          <w:p w14:paraId="3EDAA7AE" w14:textId="6EBE71CA" w:rsidR="00564AAD" w:rsidRPr="00FE696A" w:rsidRDefault="00564AAD" w:rsidP="009E7099">
            <w:pPr>
              <w:rPr>
                <w:rFonts w:cs="Arial"/>
                <w:sz w:val="16"/>
                <w:szCs w:val="16"/>
              </w:rPr>
            </w:pPr>
            <w:proofErr w:type="spellStart"/>
            <w:r w:rsidRPr="00FE696A">
              <w:rPr>
                <w:rFonts w:cs="Arial"/>
                <w:sz w:val="16"/>
                <w:szCs w:val="16"/>
              </w:rPr>
              <w:t>Bachange</w:t>
            </w:r>
            <w:proofErr w:type="spellEnd"/>
            <w:r w:rsidRPr="00FE696A">
              <w:rPr>
                <w:rFonts w:cs="Arial"/>
                <w:sz w:val="16"/>
                <w:szCs w:val="16"/>
              </w:rPr>
              <w:t xml:space="preserve"> 2020; </w:t>
            </w:r>
            <w:proofErr w:type="spellStart"/>
            <w:r w:rsidRPr="00FE696A">
              <w:rPr>
                <w:rFonts w:cs="Arial"/>
                <w:sz w:val="16"/>
                <w:szCs w:val="16"/>
              </w:rPr>
              <w:t>Wudil</w:t>
            </w:r>
            <w:proofErr w:type="spellEnd"/>
            <w:r w:rsidRPr="00FE696A">
              <w:rPr>
                <w:rFonts w:cs="Arial"/>
                <w:sz w:val="16"/>
                <w:szCs w:val="16"/>
              </w:rPr>
              <w:t xml:space="preserve"> et al. 2022; </w:t>
            </w:r>
            <w:proofErr w:type="spellStart"/>
            <w:r w:rsidRPr="00FE696A">
              <w:rPr>
                <w:rFonts w:cs="Arial"/>
                <w:sz w:val="16"/>
                <w:szCs w:val="16"/>
              </w:rPr>
              <w:t>Bhanye</w:t>
            </w:r>
            <w:proofErr w:type="spellEnd"/>
            <w:r w:rsidRPr="00FE696A">
              <w:rPr>
                <w:rFonts w:cs="Arial"/>
                <w:sz w:val="16"/>
                <w:szCs w:val="16"/>
              </w:rPr>
              <w:t xml:space="preserve"> 2023</w:t>
            </w:r>
          </w:p>
        </w:tc>
      </w:tr>
      <w:tr w:rsidR="009F2608" w:rsidRPr="00DF68AA" w14:paraId="29DFF5D8" w14:textId="77777777" w:rsidTr="007A2F4A">
        <w:trPr>
          <w:trHeight w:hRule="exact" w:val="284"/>
          <w:jc w:val="center"/>
        </w:trPr>
        <w:tc>
          <w:tcPr>
            <w:tcW w:w="2155" w:type="dxa"/>
            <w:vAlign w:val="center"/>
            <w:hideMark/>
          </w:tcPr>
          <w:p w14:paraId="20758F98" w14:textId="77777777" w:rsidR="00564AAD" w:rsidRPr="00555DC9" w:rsidRDefault="00564AAD" w:rsidP="009E7099">
            <w:pPr>
              <w:rPr>
                <w:rFonts w:cs="Arial"/>
                <w:sz w:val="18"/>
                <w:szCs w:val="18"/>
              </w:rPr>
            </w:pPr>
            <w:r w:rsidRPr="00555DC9">
              <w:rPr>
                <w:rFonts w:cs="Arial"/>
                <w:sz w:val="18"/>
                <w:szCs w:val="18"/>
              </w:rPr>
              <w:t>Nutrition Disparities</w:t>
            </w:r>
          </w:p>
        </w:tc>
        <w:tc>
          <w:tcPr>
            <w:tcW w:w="488" w:type="dxa"/>
            <w:vAlign w:val="center"/>
            <w:hideMark/>
          </w:tcPr>
          <w:p w14:paraId="59127B41" w14:textId="27E3B835" w:rsidR="00564AAD" w:rsidRPr="00555DC9" w:rsidRDefault="00564AAD" w:rsidP="009E7099">
            <w:pPr>
              <w:jc w:val="center"/>
              <w:rPr>
                <w:rFonts w:cs="Arial"/>
                <w:sz w:val="16"/>
                <w:szCs w:val="16"/>
              </w:rPr>
            </w:pPr>
            <w:r w:rsidRPr="00555DC9">
              <w:rPr>
                <w:rFonts w:cs="Arial"/>
                <w:sz w:val="16"/>
                <w:szCs w:val="16"/>
              </w:rPr>
              <w:t xml:space="preserve">34 </w:t>
            </w:r>
          </w:p>
        </w:tc>
        <w:tc>
          <w:tcPr>
            <w:tcW w:w="488" w:type="dxa"/>
            <w:vAlign w:val="center"/>
          </w:tcPr>
          <w:p w14:paraId="5C9EB51B" w14:textId="2EB5F0C5" w:rsidR="00564AAD" w:rsidRPr="00555DC9" w:rsidRDefault="00E9751B" w:rsidP="009E7099">
            <w:pPr>
              <w:rPr>
                <w:rFonts w:cs="Arial"/>
                <w:sz w:val="16"/>
                <w:szCs w:val="16"/>
                <w:highlight w:val="cyan"/>
              </w:rPr>
            </w:pPr>
            <w:r w:rsidRPr="00555DC9">
              <w:rPr>
                <w:rFonts w:cs="Arial"/>
                <w:sz w:val="16"/>
                <w:szCs w:val="16"/>
              </w:rPr>
              <w:t>77</w:t>
            </w:r>
          </w:p>
        </w:tc>
        <w:tc>
          <w:tcPr>
            <w:tcW w:w="4820" w:type="dxa"/>
            <w:vAlign w:val="center"/>
            <w:hideMark/>
          </w:tcPr>
          <w:p w14:paraId="350F5FEE" w14:textId="3D756B35" w:rsidR="00564AAD" w:rsidRPr="00FE696A" w:rsidRDefault="00564AAD" w:rsidP="009E7099">
            <w:pPr>
              <w:rPr>
                <w:rFonts w:cs="Arial"/>
                <w:sz w:val="16"/>
                <w:szCs w:val="16"/>
              </w:rPr>
            </w:pPr>
            <w:r w:rsidRPr="00FE696A">
              <w:rPr>
                <w:rFonts w:cs="Arial"/>
                <w:sz w:val="16"/>
                <w:szCs w:val="16"/>
              </w:rPr>
              <w:t>Thompson et al. 2010; Korth et al. 2014; Khumalo et al. 2024</w:t>
            </w:r>
          </w:p>
        </w:tc>
      </w:tr>
      <w:tr w:rsidR="009F2608" w:rsidRPr="00DF68AA" w14:paraId="32E63A96" w14:textId="77777777" w:rsidTr="007A2F4A">
        <w:trPr>
          <w:trHeight w:hRule="exact" w:val="284"/>
          <w:jc w:val="center"/>
        </w:trPr>
        <w:tc>
          <w:tcPr>
            <w:tcW w:w="2155" w:type="dxa"/>
            <w:vAlign w:val="center"/>
            <w:hideMark/>
          </w:tcPr>
          <w:p w14:paraId="0FE724C8" w14:textId="77777777" w:rsidR="00564AAD" w:rsidRPr="00555DC9" w:rsidRDefault="00564AAD" w:rsidP="009E7099">
            <w:pPr>
              <w:rPr>
                <w:rFonts w:cs="Arial"/>
                <w:sz w:val="18"/>
                <w:szCs w:val="18"/>
              </w:rPr>
            </w:pPr>
            <w:r w:rsidRPr="00555DC9">
              <w:rPr>
                <w:rFonts w:cs="Arial"/>
                <w:sz w:val="18"/>
                <w:szCs w:val="18"/>
              </w:rPr>
              <w:t>Gender/Social Norms</w:t>
            </w:r>
          </w:p>
        </w:tc>
        <w:tc>
          <w:tcPr>
            <w:tcW w:w="488" w:type="dxa"/>
            <w:vAlign w:val="center"/>
            <w:hideMark/>
          </w:tcPr>
          <w:p w14:paraId="317AC0CF" w14:textId="52D30480" w:rsidR="00564AAD" w:rsidRPr="00555DC9" w:rsidRDefault="00564AAD" w:rsidP="009E7099">
            <w:pPr>
              <w:jc w:val="center"/>
              <w:rPr>
                <w:rFonts w:cs="Arial"/>
                <w:sz w:val="16"/>
                <w:szCs w:val="16"/>
              </w:rPr>
            </w:pPr>
            <w:r w:rsidRPr="00555DC9">
              <w:rPr>
                <w:rFonts w:cs="Arial"/>
                <w:sz w:val="16"/>
                <w:szCs w:val="16"/>
              </w:rPr>
              <w:t xml:space="preserve">38 </w:t>
            </w:r>
          </w:p>
        </w:tc>
        <w:tc>
          <w:tcPr>
            <w:tcW w:w="488" w:type="dxa"/>
            <w:vAlign w:val="center"/>
          </w:tcPr>
          <w:p w14:paraId="64529FA5" w14:textId="47417CAB" w:rsidR="00564AAD" w:rsidRPr="00555DC9" w:rsidRDefault="00E9751B" w:rsidP="009E7099">
            <w:pPr>
              <w:rPr>
                <w:rFonts w:cs="Arial"/>
                <w:sz w:val="16"/>
                <w:szCs w:val="16"/>
                <w:highlight w:val="cyan"/>
              </w:rPr>
            </w:pPr>
            <w:r w:rsidRPr="00555DC9">
              <w:rPr>
                <w:rFonts w:cs="Arial"/>
                <w:sz w:val="16"/>
                <w:szCs w:val="16"/>
              </w:rPr>
              <w:t>86</w:t>
            </w:r>
          </w:p>
        </w:tc>
        <w:tc>
          <w:tcPr>
            <w:tcW w:w="4820" w:type="dxa"/>
            <w:vAlign w:val="center"/>
            <w:hideMark/>
          </w:tcPr>
          <w:p w14:paraId="4D4388DC" w14:textId="4F96B961" w:rsidR="00564AAD" w:rsidRPr="00FE696A" w:rsidRDefault="00564AAD" w:rsidP="009E7099">
            <w:pPr>
              <w:rPr>
                <w:rFonts w:cs="Arial"/>
                <w:sz w:val="16"/>
                <w:szCs w:val="16"/>
              </w:rPr>
            </w:pPr>
            <w:proofErr w:type="spellStart"/>
            <w:r w:rsidRPr="00FE696A">
              <w:rPr>
                <w:rFonts w:cs="Arial"/>
                <w:sz w:val="16"/>
                <w:szCs w:val="16"/>
              </w:rPr>
              <w:t>McNicoll</w:t>
            </w:r>
            <w:proofErr w:type="spellEnd"/>
            <w:r w:rsidRPr="00FE696A">
              <w:rPr>
                <w:rFonts w:cs="Arial"/>
                <w:sz w:val="16"/>
                <w:szCs w:val="16"/>
              </w:rPr>
              <w:t xml:space="preserve"> 2011; </w:t>
            </w:r>
            <w:proofErr w:type="spellStart"/>
            <w:r w:rsidRPr="00FE696A">
              <w:rPr>
                <w:rFonts w:cs="Arial"/>
                <w:sz w:val="16"/>
                <w:szCs w:val="16"/>
              </w:rPr>
              <w:t>Ngcamu</w:t>
            </w:r>
            <w:proofErr w:type="spellEnd"/>
            <w:r w:rsidRPr="00FE696A">
              <w:rPr>
                <w:rFonts w:cs="Arial"/>
                <w:sz w:val="16"/>
                <w:szCs w:val="16"/>
              </w:rPr>
              <w:t xml:space="preserve"> 2022; </w:t>
            </w:r>
            <w:proofErr w:type="spellStart"/>
            <w:r w:rsidRPr="00FE696A">
              <w:rPr>
                <w:rFonts w:cs="Arial"/>
                <w:sz w:val="16"/>
                <w:szCs w:val="16"/>
              </w:rPr>
              <w:t>Mubiru</w:t>
            </w:r>
            <w:proofErr w:type="spellEnd"/>
            <w:r w:rsidRPr="00FE696A">
              <w:rPr>
                <w:rFonts w:cs="Arial"/>
                <w:sz w:val="16"/>
                <w:szCs w:val="16"/>
              </w:rPr>
              <w:t xml:space="preserve"> et al. 2024 </w:t>
            </w:r>
          </w:p>
        </w:tc>
      </w:tr>
      <w:tr w:rsidR="009F2608" w:rsidRPr="00DF68AA" w14:paraId="7A502CF4" w14:textId="77777777" w:rsidTr="007A2F4A">
        <w:trPr>
          <w:trHeight w:hRule="exact" w:val="284"/>
          <w:jc w:val="center"/>
        </w:trPr>
        <w:tc>
          <w:tcPr>
            <w:tcW w:w="2155" w:type="dxa"/>
            <w:vAlign w:val="center"/>
            <w:hideMark/>
          </w:tcPr>
          <w:p w14:paraId="45625E17" w14:textId="77777777" w:rsidR="00564AAD" w:rsidRPr="00555DC9" w:rsidRDefault="00564AAD" w:rsidP="009E7099">
            <w:pPr>
              <w:rPr>
                <w:rFonts w:cs="Arial"/>
                <w:sz w:val="18"/>
                <w:szCs w:val="18"/>
              </w:rPr>
            </w:pPr>
            <w:r w:rsidRPr="00555DC9">
              <w:rPr>
                <w:rFonts w:cs="Arial"/>
                <w:sz w:val="18"/>
                <w:szCs w:val="18"/>
              </w:rPr>
              <w:t>Economic Empowerment</w:t>
            </w:r>
          </w:p>
        </w:tc>
        <w:tc>
          <w:tcPr>
            <w:tcW w:w="488" w:type="dxa"/>
            <w:vAlign w:val="center"/>
            <w:hideMark/>
          </w:tcPr>
          <w:p w14:paraId="69C06AC6" w14:textId="4ADC26D1" w:rsidR="00564AAD" w:rsidRPr="00555DC9" w:rsidRDefault="00564AAD" w:rsidP="009E7099">
            <w:pPr>
              <w:jc w:val="center"/>
              <w:rPr>
                <w:rFonts w:cs="Arial"/>
                <w:sz w:val="16"/>
                <w:szCs w:val="16"/>
              </w:rPr>
            </w:pPr>
            <w:r w:rsidRPr="00555DC9">
              <w:rPr>
                <w:rFonts w:cs="Arial"/>
                <w:sz w:val="16"/>
                <w:szCs w:val="16"/>
              </w:rPr>
              <w:t xml:space="preserve">28 </w:t>
            </w:r>
          </w:p>
        </w:tc>
        <w:tc>
          <w:tcPr>
            <w:tcW w:w="488" w:type="dxa"/>
            <w:vAlign w:val="center"/>
          </w:tcPr>
          <w:p w14:paraId="71A87F88" w14:textId="334DE051" w:rsidR="00564AAD" w:rsidRPr="00555DC9" w:rsidRDefault="00E9751B" w:rsidP="009E7099">
            <w:pPr>
              <w:rPr>
                <w:rFonts w:cs="Arial"/>
                <w:sz w:val="16"/>
                <w:szCs w:val="16"/>
                <w:highlight w:val="cyan"/>
              </w:rPr>
            </w:pPr>
            <w:r w:rsidRPr="00555DC9">
              <w:rPr>
                <w:rFonts w:cs="Arial"/>
                <w:sz w:val="16"/>
                <w:szCs w:val="16"/>
              </w:rPr>
              <w:t>64</w:t>
            </w:r>
          </w:p>
        </w:tc>
        <w:tc>
          <w:tcPr>
            <w:tcW w:w="4820" w:type="dxa"/>
            <w:vAlign w:val="center"/>
            <w:hideMark/>
          </w:tcPr>
          <w:p w14:paraId="15CD26A4" w14:textId="50C35BE0" w:rsidR="00564AAD" w:rsidRPr="00FE696A" w:rsidRDefault="00564AAD" w:rsidP="009E7099">
            <w:pPr>
              <w:rPr>
                <w:rFonts w:cs="Arial"/>
                <w:sz w:val="16"/>
                <w:szCs w:val="16"/>
              </w:rPr>
            </w:pPr>
            <w:proofErr w:type="spellStart"/>
            <w:r w:rsidRPr="00FE696A">
              <w:rPr>
                <w:rFonts w:cs="Arial"/>
                <w:sz w:val="16"/>
                <w:szCs w:val="16"/>
              </w:rPr>
              <w:t>Nchanji</w:t>
            </w:r>
            <w:proofErr w:type="spellEnd"/>
            <w:r w:rsidRPr="00FE696A">
              <w:rPr>
                <w:rFonts w:cs="Arial"/>
                <w:sz w:val="16"/>
                <w:szCs w:val="16"/>
              </w:rPr>
              <w:t xml:space="preserve"> et al. 2023; </w:t>
            </w:r>
            <w:proofErr w:type="spellStart"/>
            <w:r w:rsidRPr="00FE696A">
              <w:rPr>
                <w:rFonts w:cs="Arial"/>
                <w:sz w:val="16"/>
                <w:szCs w:val="16"/>
              </w:rPr>
              <w:t>Sakketa</w:t>
            </w:r>
            <w:proofErr w:type="spellEnd"/>
            <w:r w:rsidRPr="00FE696A">
              <w:rPr>
                <w:rFonts w:cs="Arial"/>
                <w:sz w:val="16"/>
                <w:szCs w:val="16"/>
              </w:rPr>
              <w:t xml:space="preserve"> 2023</w:t>
            </w:r>
          </w:p>
        </w:tc>
      </w:tr>
    </w:tbl>
    <w:bookmarkEnd w:id="7"/>
    <w:p w14:paraId="70D98280" w14:textId="62BC5269" w:rsidR="00D17351" w:rsidRPr="0073541D" w:rsidRDefault="00D17351" w:rsidP="00D17351">
      <w:pPr>
        <w:pStyle w:val="Heading3"/>
        <w:spacing w:line="360" w:lineRule="auto"/>
        <w:jc w:val="center"/>
        <w:rPr>
          <w:rFonts w:ascii="Arial" w:hAnsi="Arial" w:cs="Arial"/>
          <w:i/>
          <w:iCs/>
          <w:color w:val="auto"/>
          <w:sz w:val="20"/>
          <w:szCs w:val="20"/>
          <w:lang w:val="en-GB"/>
        </w:rPr>
      </w:pPr>
      <w:r w:rsidRPr="0073541D">
        <w:rPr>
          <w:rFonts w:ascii="Arial" w:hAnsi="Arial" w:cs="Arial"/>
          <w:i/>
          <w:iCs/>
          <w:color w:val="auto"/>
          <w:sz w:val="20"/>
          <w:szCs w:val="20"/>
          <w:lang w:val="en-GB"/>
        </w:rPr>
        <w:t>Source: Authors’ Construct</w:t>
      </w:r>
      <w:r w:rsidR="000513C2" w:rsidRPr="0073541D">
        <w:rPr>
          <w:rFonts w:ascii="Arial" w:hAnsi="Arial" w:cs="Arial"/>
          <w:i/>
          <w:iCs/>
          <w:color w:val="auto"/>
          <w:sz w:val="20"/>
          <w:szCs w:val="20"/>
          <w:lang w:val="en-GB"/>
        </w:rPr>
        <w:t xml:space="preserve"> (2025)</w:t>
      </w:r>
    </w:p>
    <w:p w14:paraId="63705E10" w14:textId="5CA3635D" w:rsidR="00D17351" w:rsidRPr="00DF68AA" w:rsidRDefault="00D17351" w:rsidP="0021271D">
      <w:pPr>
        <w:pStyle w:val="A2"/>
        <w:rPr>
          <w:lang w:val="en-GB"/>
        </w:rPr>
      </w:pPr>
      <w:r w:rsidRPr="00DF68AA">
        <w:rPr>
          <w:lang w:val="en-GB"/>
        </w:rPr>
        <w:t>Visual Representation of Thematic Distribution</w:t>
      </w:r>
    </w:p>
    <w:p w14:paraId="255DB7AC" w14:textId="3B1D3F72" w:rsidR="006A1E60" w:rsidRPr="00734AC9" w:rsidRDefault="006A1E60" w:rsidP="00734AC9">
      <w:pPr>
        <w:pStyle w:val="A2"/>
        <w:numPr>
          <w:ilvl w:val="0"/>
          <w:numId w:val="0"/>
        </w:numPr>
        <w:jc w:val="both"/>
        <w:rPr>
          <w:b w:val="0"/>
          <w:sz w:val="20"/>
        </w:rPr>
      </w:pPr>
      <w:r w:rsidRPr="006A1E60">
        <w:rPr>
          <w:b w:val="0"/>
          <w:sz w:val="20"/>
        </w:rPr>
        <w:t>Figure 4 below highlights the distribution of the thematic category studied during the synthesizing process. Spatial Exclusion emerged as the most dominant theme (98%), followed by the thematic category of Land Governance (91%), among others.</w:t>
      </w:r>
    </w:p>
    <w:p w14:paraId="6F79D436" w14:textId="022A1B80" w:rsidR="00D17351" w:rsidRPr="008141E4" w:rsidRDefault="00D17351" w:rsidP="0021271D">
      <w:pPr>
        <w:pStyle w:val="NormalWeb"/>
        <w:spacing w:before="180" w:beforeAutospacing="0" w:after="60" w:afterAutospacing="0"/>
        <w:rPr>
          <w:rStyle w:val="Strong"/>
          <w:rFonts w:ascii="Arial" w:hAnsi="Arial" w:cs="Arial"/>
          <w:sz w:val="22"/>
          <w:szCs w:val="22"/>
        </w:rPr>
      </w:pPr>
      <w:r w:rsidRPr="008141E4">
        <w:rPr>
          <w:rStyle w:val="Strong"/>
          <w:rFonts w:ascii="Arial" w:hAnsi="Arial" w:cs="Arial"/>
          <w:sz w:val="22"/>
          <w:szCs w:val="22"/>
        </w:rPr>
        <w:t xml:space="preserve">Figure </w:t>
      </w:r>
      <w:r w:rsidR="009330E1" w:rsidRPr="008141E4">
        <w:rPr>
          <w:rStyle w:val="Strong"/>
          <w:rFonts w:ascii="Arial" w:hAnsi="Arial" w:cs="Arial"/>
          <w:sz w:val="22"/>
          <w:szCs w:val="22"/>
        </w:rPr>
        <w:t>4</w:t>
      </w:r>
      <w:r w:rsidRPr="008141E4">
        <w:rPr>
          <w:rStyle w:val="Strong"/>
          <w:rFonts w:ascii="Arial" w:hAnsi="Arial" w:cs="Arial"/>
          <w:sz w:val="22"/>
          <w:szCs w:val="22"/>
        </w:rPr>
        <w:t>. Theme Frequency Across 44 Included Studies</w:t>
      </w:r>
    </w:p>
    <w:p w14:paraId="5854D97C" w14:textId="2D18A265" w:rsidR="00BB1F29" w:rsidRDefault="00BB1F29" w:rsidP="0073541D">
      <w:pPr>
        <w:pStyle w:val="NormalWeb"/>
        <w:spacing w:before="0" w:beforeAutospacing="0" w:after="0" w:afterAutospacing="0"/>
        <w:jc w:val="center"/>
        <w:rPr>
          <w:b/>
          <w:bCs/>
          <w:sz w:val="4"/>
          <w:szCs w:val="4"/>
        </w:rPr>
      </w:pPr>
      <w:r w:rsidRPr="0021271D">
        <w:rPr>
          <w:rFonts w:ascii="Arial" w:hAnsi="Arial" w:cs="Arial"/>
          <w:b/>
          <w:bCs/>
          <w:noProof/>
          <w:sz w:val="20"/>
          <w:szCs w:val="20"/>
        </w:rPr>
        <w:drawing>
          <wp:inline distT="0" distB="0" distL="0" distR="0" wp14:anchorId="457944E5" wp14:editId="5EF6B2D8">
            <wp:extent cx="5268088" cy="3143250"/>
            <wp:effectExtent l="0" t="0" r="8890" b="0"/>
            <wp:docPr id="12269421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81868" cy="3151472"/>
                    </a:xfrm>
                    <a:prstGeom prst="rect">
                      <a:avLst/>
                    </a:prstGeom>
                    <a:noFill/>
                    <a:ln>
                      <a:noFill/>
                    </a:ln>
                  </pic:spPr>
                </pic:pic>
              </a:graphicData>
            </a:graphic>
          </wp:inline>
        </w:drawing>
      </w:r>
    </w:p>
    <w:p w14:paraId="7BF8AD2C" w14:textId="77777777" w:rsidR="008C47E9" w:rsidRDefault="008C47E9" w:rsidP="0073541D">
      <w:pPr>
        <w:pStyle w:val="NormalWeb"/>
        <w:spacing w:before="0" w:beforeAutospacing="0" w:after="0" w:afterAutospacing="0"/>
        <w:jc w:val="center"/>
        <w:rPr>
          <w:b/>
          <w:bCs/>
          <w:sz w:val="4"/>
          <w:szCs w:val="4"/>
        </w:rPr>
      </w:pPr>
    </w:p>
    <w:p w14:paraId="2A90D4AB" w14:textId="77777777" w:rsidR="008C47E9" w:rsidRDefault="008C47E9" w:rsidP="0073541D">
      <w:pPr>
        <w:pStyle w:val="NormalWeb"/>
        <w:spacing w:before="0" w:beforeAutospacing="0" w:after="0" w:afterAutospacing="0"/>
        <w:jc w:val="center"/>
        <w:rPr>
          <w:b/>
          <w:bCs/>
          <w:sz w:val="4"/>
          <w:szCs w:val="4"/>
        </w:rPr>
      </w:pPr>
    </w:p>
    <w:p w14:paraId="3590CE73" w14:textId="2B6A6658" w:rsidR="00D17351" w:rsidRPr="0021271D" w:rsidRDefault="00D17351" w:rsidP="00D17351">
      <w:pPr>
        <w:spacing w:line="360" w:lineRule="auto"/>
        <w:jc w:val="center"/>
        <w:rPr>
          <w:rFonts w:cs="Arial"/>
          <w:i/>
          <w:iCs/>
        </w:rPr>
      </w:pPr>
      <w:r w:rsidRPr="0021271D">
        <w:rPr>
          <w:rFonts w:cs="Arial"/>
          <w:i/>
          <w:iCs/>
        </w:rPr>
        <w:t>Source: Authors’ Construct</w:t>
      </w:r>
      <w:r w:rsidR="00BB1F29" w:rsidRPr="0021271D">
        <w:rPr>
          <w:rFonts w:cs="Arial"/>
          <w:i/>
          <w:iCs/>
        </w:rPr>
        <w:t xml:space="preserve"> (2025)</w:t>
      </w:r>
    </w:p>
    <w:p w14:paraId="0F4CEE8B" w14:textId="706CD14B" w:rsidR="00D17351" w:rsidRPr="00B175FD" w:rsidRDefault="00D17351" w:rsidP="0059467D">
      <w:pPr>
        <w:pStyle w:val="A1"/>
        <w:rPr>
          <w:szCs w:val="22"/>
          <w:lang w:val="en-GB"/>
        </w:rPr>
      </w:pPr>
      <w:r w:rsidRPr="00B175FD">
        <w:t>Discussion and Policy Implications</w:t>
      </w:r>
    </w:p>
    <w:p w14:paraId="1567F908" w14:textId="5717F076" w:rsidR="00D17351" w:rsidRPr="00DF68AA" w:rsidRDefault="00D17351" w:rsidP="0059467D">
      <w:pPr>
        <w:pStyle w:val="A2"/>
        <w:rPr>
          <w:lang w:val="en-GB"/>
        </w:rPr>
      </w:pPr>
      <w:r w:rsidRPr="00DF68AA">
        <w:rPr>
          <w:lang w:val="en-GB"/>
        </w:rPr>
        <w:t>Synthesis of Gendered Spatial Dispossession</w:t>
      </w:r>
    </w:p>
    <w:p w14:paraId="61F69E88" w14:textId="4524E16D" w:rsidR="006861BF" w:rsidRDefault="009E7099" w:rsidP="007F7A5F">
      <w:pPr>
        <w:pStyle w:val="A2"/>
        <w:numPr>
          <w:ilvl w:val="0"/>
          <w:numId w:val="0"/>
        </w:numPr>
        <w:jc w:val="both"/>
        <w:rPr>
          <w:b w:val="0"/>
          <w:sz w:val="20"/>
        </w:rPr>
      </w:pPr>
      <w:r w:rsidRPr="007F7A5F">
        <w:rPr>
          <w:b w:val="0"/>
          <w:sz w:val="20"/>
        </w:rPr>
        <w:t>This review cl</w:t>
      </w:r>
      <w:r w:rsidR="007123E1">
        <w:rPr>
          <w:b w:val="0"/>
          <w:sz w:val="20"/>
        </w:rPr>
        <w:t>arifies</w:t>
      </w:r>
      <w:r w:rsidRPr="007F7A5F">
        <w:rPr>
          <w:b w:val="0"/>
          <w:sz w:val="20"/>
        </w:rPr>
        <w:t xml:space="preserve"> that the outcome of spatial dislocation and the lack of attention given to </w:t>
      </w:r>
      <w:r w:rsidR="007123E1">
        <w:rPr>
          <w:b w:val="0"/>
          <w:sz w:val="20"/>
        </w:rPr>
        <w:t>vulnerable women</w:t>
      </w:r>
      <w:r w:rsidRPr="007F7A5F">
        <w:rPr>
          <w:b w:val="0"/>
          <w:sz w:val="20"/>
        </w:rPr>
        <w:t xml:space="preserve"> as a consequence of land-use change in sub-Saharan Africa has been widespread. </w:t>
      </w:r>
    </w:p>
    <w:p w14:paraId="576BF559" w14:textId="33DA59D6" w:rsidR="009E7099" w:rsidRPr="007F7A5F" w:rsidRDefault="009E7099" w:rsidP="007F7A5F">
      <w:pPr>
        <w:pStyle w:val="A2"/>
        <w:numPr>
          <w:ilvl w:val="0"/>
          <w:numId w:val="0"/>
        </w:numPr>
        <w:jc w:val="both"/>
        <w:rPr>
          <w:b w:val="0"/>
          <w:sz w:val="20"/>
        </w:rPr>
      </w:pPr>
      <w:r w:rsidRPr="007F7A5F">
        <w:rPr>
          <w:b w:val="0"/>
          <w:sz w:val="20"/>
        </w:rPr>
        <w:t xml:space="preserve">Tenure insecurity and the role of spatial exclusion as factors that characterize the loss of access to productive land resources, food provisioning capacity resources, or other means of living for women were recognized as dominant factors in </w:t>
      </w:r>
      <w:r w:rsidR="007123E1">
        <w:rPr>
          <w:b w:val="0"/>
          <w:sz w:val="20"/>
        </w:rPr>
        <w:t xml:space="preserve">the </w:t>
      </w:r>
      <w:r w:rsidRPr="007F7A5F">
        <w:rPr>
          <w:b w:val="0"/>
          <w:sz w:val="20"/>
        </w:rPr>
        <w:t>44 studies. This indicates that the vulnerability of women not only results from the outcome of urbanization but reflects the nature of the land-governing structure that functions in a gender-blind or patriarchal manner (</w:t>
      </w:r>
      <w:proofErr w:type="spellStart"/>
      <w:r w:rsidRPr="007F7A5F">
        <w:rPr>
          <w:b w:val="0"/>
          <w:sz w:val="20"/>
        </w:rPr>
        <w:t>Hovorka</w:t>
      </w:r>
      <w:proofErr w:type="spellEnd"/>
      <w:r w:rsidRPr="007F7A5F">
        <w:rPr>
          <w:b w:val="0"/>
          <w:sz w:val="20"/>
        </w:rPr>
        <w:t xml:space="preserve"> 2006; </w:t>
      </w:r>
      <w:proofErr w:type="spellStart"/>
      <w:r w:rsidRPr="007F7A5F">
        <w:rPr>
          <w:b w:val="0"/>
          <w:sz w:val="20"/>
        </w:rPr>
        <w:t>Mutopo</w:t>
      </w:r>
      <w:proofErr w:type="spellEnd"/>
      <w:r w:rsidRPr="007F7A5F">
        <w:rPr>
          <w:b w:val="0"/>
          <w:sz w:val="20"/>
        </w:rPr>
        <w:t xml:space="preserve"> 2011).</w:t>
      </w:r>
    </w:p>
    <w:p w14:paraId="63B030A5" w14:textId="77777777" w:rsidR="009E7099" w:rsidRPr="007F7A5F" w:rsidRDefault="009E7099" w:rsidP="007F7A5F">
      <w:pPr>
        <w:pStyle w:val="A2"/>
        <w:numPr>
          <w:ilvl w:val="0"/>
          <w:numId w:val="0"/>
        </w:numPr>
        <w:jc w:val="both"/>
        <w:rPr>
          <w:b w:val="0"/>
          <w:sz w:val="20"/>
        </w:rPr>
      </w:pPr>
      <w:r w:rsidRPr="007F7A5F">
        <w:rPr>
          <w:b w:val="0"/>
          <w:sz w:val="20"/>
        </w:rPr>
        <w:t xml:space="preserve">Spatial exclusion emerged as the theme most commonly coded (98%), indicating that women are systematically excluded from agricultural land and vending sites close to the peripheries of cities. This happens due to the development of infrastructure, land grabbing, and zoning imposed in the absence of spatial planning inclusion procedures (Owusu Twum et al. 2020; </w:t>
      </w:r>
      <w:proofErr w:type="spellStart"/>
      <w:r w:rsidRPr="007F7A5F">
        <w:rPr>
          <w:b w:val="0"/>
          <w:sz w:val="20"/>
        </w:rPr>
        <w:t>Bachange</w:t>
      </w:r>
      <w:proofErr w:type="spellEnd"/>
      <w:r w:rsidRPr="007F7A5F">
        <w:rPr>
          <w:b w:val="0"/>
          <w:sz w:val="20"/>
        </w:rPr>
        <w:t xml:space="preserve"> 2020; </w:t>
      </w:r>
      <w:proofErr w:type="spellStart"/>
      <w:r w:rsidRPr="007F7A5F">
        <w:rPr>
          <w:b w:val="0"/>
          <w:sz w:val="20"/>
        </w:rPr>
        <w:t>Wudil</w:t>
      </w:r>
      <w:proofErr w:type="spellEnd"/>
      <w:r w:rsidRPr="007F7A5F">
        <w:rPr>
          <w:b w:val="0"/>
          <w:sz w:val="20"/>
        </w:rPr>
        <w:t xml:space="preserve"> et al. 2022; </w:t>
      </w:r>
      <w:proofErr w:type="spellStart"/>
      <w:r w:rsidRPr="007F7A5F">
        <w:rPr>
          <w:b w:val="0"/>
          <w:sz w:val="20"/>
        </w:rPr>
        <w:t>Bhanye</w:t>
      </w:r>
      <w:proofErr w:type="spellEnd"/>
      <w:r w:rsidRPr="007F7A5F">
        <w:rPr>
          <w:b w:val="0"/>
          <w:sz w:val="20"/>
        </w:rPr>
        <w:t xml:space="preserve"> 2023).</w:t>
      </w:r>
    </w:p>
    <w:p w14:paraId="7947178F" w14:textId="26C13AC8" w:rsidR="009E7099" w:rsidRPr="007F7A5F" w:rsidRDefault="009E7099" w:rsidP="007F7A5F">
      <w:pPr>
        <w:pStyle w:val="A2"/>
        <w:numPr>
          <w:ilvl w:val="0"/>
          <w:numId w:val="0"/>
        </w:numPr>
        <w:jc w:val="both"/>
        <w:rPr>
          <w:b w:val="0"/>
          <w:sz w:val="20"/>
        </w:rPr>
      </w:pPr>
      <w:r w:rsidRPr="007F7A5F">
        <w:rPr>
          <w:b w:val="0"/>
          <w:sz w:val="20"/>
        </w:rPr>
        <w:t>"Dispossession as a concept related to the land rights of women refers to the loss of access, management, and ownership through legal systems and patriarchal norms (Agarwal 1994)"</w:t>
      </w:r>
      <w:r w:rsidR="007123E1">
        <w:rPr>
          <w:b w:val="0"/>
          <w:sz w:val="20"/>
        </w:rPr>
        <w:t>.</w:t>
      </w:r>
      <w:r w:rsidRPr="007F7A5F">
        <w:rPr>
          <w:b w:val="0"/>
          <w:sz w:val="20"/>
        </w:rPr>
        <w:t xml:space="preserve"> This represents the core reason for the “</w:t>
      </w:r>
      <w:proofErr w:type="spellStart"/>
      <w:r w:rsidRPr="007F7A5F">
        <w:rPr>
          <w:b w:val="0"/>
          <w:sz w:val="20"/>
        </w:rPr>
        <w:t>feminisation</w:t>
      </w:r>
      <w:proofErr w:type="spellEnd"/>
      <w:r w:rsidRPr="007F7A5F">
        <w:rPr>
          <w:b w:val="0"/>
          <w:sz w:val="20"/>
        </w:rPr>
        <w:t xml:space="preserve"> of poverty” (Chant 2006), and the inflation of large-scale land acquisition significantly affects the loss of traditional </w:t>
      </w:r>
      <w:r w:rsidR="007123E1">
        <w:rPr>
          <w:b w:val="0"/>
          <w:sz w:val="20"/>
        </w:rPr>
        <w:t>land-</w:t>
      </w:r>
      <w:r w:rsidRPr="007F7A5F">
        <w:rPr>
          <w:b w:val="0"/>
          <w:sz w:val="20"/>
        </w:rPr>
        <w:t>use rights. This lack of bargaining power due to the lack of undivided property can also signify the type of silent “dispossession” felt internally (Sen 1990).</w:t>
      </w:r>
    </w:p>
    <w:p w14:paraId="1540B7C0" w14:textId="56B964E7" w:rsidR="00C63C49" w:rsidRDefault="00C63C49" w:rsidP="007F7A5F">
      <w:pPr>
        <w:pStyle w:val="A2"/>
        <w:numPr>
          <w:ilvl w:val="0"/>
          <w:numId w:val="0"/>
        </w:numPr>
        <w:jc w:val="both"/>
        <w:rPr>
          <w:b w:val="0"/>
          <w:sz w:val="20"/>
        </w:rPr>
      </w:pPr>
      <w:r w:rsidRPr="00C63C49">
        <w:rPr>
          <w:b w:val="0"/>
          <w:sz w:val="20"/>
        </w:rPr>
        <w:t>Land degradation remains a critical concern across sub-Saharan Africa, with approximately 25% of the continent affected and an estimated 3 million hectares lost annually (World Bank, 2016). This deterioration is driven by climate change and unsustainable agricultural practices (</w:t>
      </w:r>
      <w:proofErr w:type="spellStart"/>
      <w:r w:rsidRPr="00C63C49">
        <w:rPr>
          <w:b w:val="0"/>
          <w:sz w:val="20"/>
        </w:rPr>
        <w:t>Atube</w:t>
      </w:r>
      <w:proofErr w:type="spellEnd"/>
      <w:r w:rsidRPr="00C63C49">
        <w:rPr>
          <w:b w:val="0"/>
          <w:sz w:val="20"/>
        </w:rPr>
        <w:t xml:space="preserve"> et al., 2021). Concurrently, processes of </w:t>
      </w:r>
      <w:proofErr w:type="spellStart"/>
      <w:r w:rsidRPr="00C63C49">
        <w:rPr>
          <w:b w:val="0"/>
          <w:sz w:val="20"/>
        </w:rPr>
        <w:t>urbanisation</w:t>
      </w:r>
      <w:proofErr w:type="spellEnd"/>
      <w:r w:rsidRPr="00C63C49">
        <w:rPr>
          <w:b w:val="0"/>
          <w:sz w:val="20"/>
        </w:rPr>
        <w:t xml:space="preserve"> and the expansion of commercial monocultures are displacing landowners</w:t>
      </w:r>
      <w:r>
        <w:rPr>
          <w:b w:val="0"/>
          <w:sz w:val="20"/>
        </w:rPr>
        <w:t xml:space="preserve"> - </w:t>
      </w:r>
      <w:r w:rsidRPr="00C63C49">
        <w:rPr>
          <w:b w:val="0"/>
          <w:sz w:val="20"/>
        </w:rPr>
        <w:t>particularly women from marginalized groups</w:t>
      </w:r>
      <w:r>
        <w:rPr>
          <w:b w:val="0"/>
          <w:sz w:val="20"/>
        </w:rPr>
        <w:t xml:space="preserve"> - </w:t>
      </w:r>
      <w:r w:rsidRPr="00C63C49">
        <w:rPr>
          <w:b w:val="0"/>
          <w:sz w:val="20"/>
        </w:rPr>
        <w:t xml:space="preserve">due to insecure land tenure systems (Lanz, 2022). Despite their central role in agricultural production, contributing over 50% of the </w:t>
      </w:r>
      <w:proofErr w:type="spellStart"/>
      <w:r w:rsidRPr="00C63C49">
        <w:rPr>
          <w:b w:val="0"/>
          <w:sz w:val="20"/>
        </w:rPr>
        <w:t>labour</w:t>
      </w:r>
      <w:proofErr w:type="spellEnd"/>
      <w:r w:rsidRPr="00C63C49">
        <w:rPr>
          <w:b w:val="0"/>
          <w:sz w:val="20"/>
        </w:rPr>
        <w:t xml:space="preserve"> force, women hold disproportionately small shares of agricultural land. Their dispossession is often subtle and systemic, reflecting entrenched gendered inequalities in land access and ownership (Doss, 2014). These dynamics are further illustrated in Table 6.</w:t>
      </w:r>
    </w:p>
    <w:p w14:paraId="2D1E1996" w14:textId="26AEA6C6" w:rsidR="00BB1F29" w:rsidRDefault="009E7099" w:rsidP="007F7A5F">
      <w:pPr>
        <w:pStyle w:val="A2"/>
        <w:numPr>
          <w:ilvl w:val="0"/>
          <w:numId w:val="0"/>
        </w:numPr>
        <w:jc w:val="both"/>
        <w:rPr>
          <w:b w:val="0"/>
          <w:sz w:val="20"/>
        </w:rPr>
      </w:pPr>
      <w:r w:rsidRPr="007F7A5F">
        <w:rPr>
          <w:b w:val="0"/>
          <w:sz w:val="20"/>
        </w:rPr>
        <w:t xml:space="preserve">Analysis was conducted in a two-fold manner: first for the females who own the land, as well as the total. From the lowest percentage of 15.4% of the female agricultural land owners, 7% of the total percentage (1.1% of the total ownership) held less than 10% of the land. 76.8% (11.8% of the total ownership) held between 10 and 20% of the land; 8.4% (1.3% of the total ownership) between 20 and 30%, 7.6% (1.2% of the total ownership) between 30 and 40% of the land; and 0.3% (0.04% of the total ownership) between 50 and 60% of the land. This </w:t>
      </w:r>
      <w:proofErr w:type="spellStart"/>
      <w:r w:rsidRPr="007F7A5F">
        <w:rPr>
          <w:b w:val="0"/>
          <w:sz w:val="20"/>
        </w:rPr>
        <w:t>marginalisation</w:t>
      </w:r>
      <w:proofErr w:type="spellEnd"/>
      <w:r w:rsidRPr="007F7A5F">
        <w:rPr>
          <w:b w:val="0"/>
          <w:sz w:val="20"/>
        </w:rPr>
        <w:t xml:space="preserve"> among the female farmers indicates a serious concern that can form a negative factor in the fight against food insecurity.</w:t>
      </w:r>
    </w:p>
    <w:p w14:paraId="56B9C7AC" w14:textId="77777777" w:rsidR="004F2D00" w:rsidRPr="007F7A5F" w:rsidRDefault="004F2D00" w:rsidP="007F7A5F">
      <w:pPr>
        <w:pStyle w:val="A2"/>
        <w:numPr>
          <w:ilvl w:val="0"/>
          <w:numId w:val="0"/>
        </w:numPr>
        <w:jc w:val="both"/>
        <w:rPr>
          <w:b w:val="0"/>
          <w:sz w:val="20"/>
        </w:rPr>
      </w:pPr>
    </w:p>
    <w:p w14:paraId="22D86381" w14:textId="77777777" w:rsidR="006A251E" w:rsidRDefault="006A251E" w:rsidP="00BB1F29">
      <w:pPr>
        <w:pStyle w:val="NormalWeb"/>
        <w:spacing w:before="180" w:beforeAutospacing="0" w:after="60" w:afterAutospacing="0"/>
        <w:rPr>
          <w:rFonts w:ascii="Arial" w:hAnsi="Arial" w:cs="Arial"/>
          <w:bCs/>
          <w:sz w:val="22"/>
          <w:szCs w:val="20"/>
          <w:lang w:val="en-US"/>
        </w:rPr>
      </w:pPr>
    </w:p>
    <w:p w14:paraId="4C03794E" w14:textId="77777777" w:rsidR="0073541D" w:rsidRDefault="0073541D" w:rsidP="00BB1F29">
      <w:pPr>
        <w:pStyle w:val="NormalWeb"/>
        <w:spacing w:before="180" w:beforeAutospacing="0" w:after="60" w:afterAutospacing="0"/>
        <w:rPr>
          <w:rFonts w:ascii="Arial" w:hAnsi="Arial" w:cs="Arial"/>
          <w:bCs/>
          <w:sz w:val="22"/>
          <w:szCs w:val="20"/>
          <w:lang w:val="en-US"/>
        </w:rPr>
      </w:pPr>
    </w:p>
    <w:p w14:paraId="46E32287" w14:textId="77777777" w:rsidR="00C63C49" w:rsidRPr="00BB1F29" w:rsidRDefault="00C63C49" w:rsidP="00BB1F29">
      <w:pPr>
        <w:pStyle w:val="NormalWeb"/>
        <w:spacing w:before="180" w:beforeAutospacing="0" w:after="60" w:afterAutospacing="0"/>
        <w:rPr>
          <w:rFonts w:ascii="Arial" w:hAnsi="Arial" w:cs="Arial"/>
          <w:bCs/>
          <w:sz w:val="22"/>
          <w:szCs w:val="20"/>
          <w:lang w:val="en-US"/>
        </w:rPr>
      </w:pPr>
    </w:p>
    <w:p w14:paraId="3B05B0B3" w14:textId="4DC90D6A" w:rsidR="00D17351" w:rsidRPr="008141E4" w:rsidRDefault="00D17351" w:rsidP="0021271D">
      <w:pPr>
        <w:pStyle w:val="NormalWeb"/>
        <w:spacing w:before="180" w:beforeAutospacing="0" w:after="60" w:afterAutospacing="0"/>
        <w:rPr>
          <w:rFonts w:ascii="Arial" w:hAnsi="Arial" w:cs="Arial"/>
          <w:b/>
          <w:sz w:val="22"/>
          <w:szCs w:val="22"/>
        </w:rPr>
      </w:pPr>
      <w:r w:rsidRPr="005D4072">
        <w:rPr>
          <w:b/>
        </w:rPr>
        <w:t xml:space="preserve"> </w:t>
      </w:r>
      <w:r w:rsidRPr="008141E4">
        <w:rPr>
          <w:rFonts w:ascii="Arial" w:hAnsi="Arial" w:cs="Arial"/>
          <w:b/>
          <w:sz w:val="22"/>
          <w:szCs w:val="22"/>
        </w:rPr>
        <w:t xml:space="preserve">Table </w:t>
      </w:r>
      <w:r w:rsidR="006E0C39">
        <w:rPr>
          <w:rFonts w:ascii="Arial" w:hAnsi="Arial" w:cs="Arial"/>
          <w:b/>
          <w:sz w:val="22"/>
          <w:szCs w:val="22"/>
        </w:rPr>
        <w:t>6</w:t>
      </w:r>
      <w:r w:rsidRPr="008141E4">
        <w:rPr>
          <w:rFonts w:ascii="Arial" w:hAnsi="Arial" w:cs="Arial"/>
          <w:b/>
          <w:sz w:val="22"/>
          <w:szCs w:val="22"/>
        </w:rPr>
        <w:t>: Distribution of Agricultural Holders by Gender in Sub-Saharan Africa</w:t>
      </w:r>
    </w:p>
    <w:p w14:paraId="64589B5E" w14:textId="4BD06D1B" w:rsidR="00D17351" w:rsidRPr="003A04F7" w:rsidRDefault="00D17351" w:rsidP="0021271D">
      <w:pPr>
        <w:pStyle w:val="NormalWeb"/>
        <w:spacing w:before="0" w:beforeAutospacing="0" w:after="0" w:afterAutospacing="0"/>
        <w:jc w:val="center"/>
        <w:rPr>
          <w:i/>
          <w:iCs/>
        </w:rPr>
      </w:pPr>
      <w:r w:rsidRPr="0074549D">
        <w:rPr>
          <w:b/>
          <w:noProof/>
        </w:rPr>
        <w:drawing>
          <wp:inline distT="0" distB="0" distL="0" distR="0" wp14:anchorId="7C856F97" wp14:editId="10CC8102">
            <wp:extent cx="5180202" cy="5248275"/>
            <wp:effectExtent l="0" t="0" r="1905" b="0"/>
            <wp:docPr id="8696240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85579" cy="5253722"/>
                    </a:xfrm>
                    <a:prstGeom prst="rect">
                      <a:avLst/>
                    </a:prstGeom>
                    <a:noFill/>
                    <a:ln>
                      <a:noFill/>
                    </a:ln>
                  </pic:spPr>
                </pic:pic>
              </a:graphicData>
            </a:graphic>
          </wp:inline>
        </w:drawing>
      </w:r>
      <w:r w:rsidRPr="003A04F7">
        <w:rPr>
          <w:i/>
          <w:iCs/>
        </w:rPr>
        <w:t>Source: FAO Gender and Land Rights Database (2015)</w:t>
      </w:r>
    </w:p>
    <w:p w14:paraId="4D59575D" w14:textId="2367C719" w:rsidR="00D17351" w:rsidRPr="00DF68AA" w:rsidRDefault="00D17351" w:rsidP="0059467D">
      <w:pPr>
        <w:pStyle w:val="A2"/>
        <w:rPr>
          <w:lang w:val="en-GB"/>
        </w:rPr>
      </w:pPr>
      <w:r w:rsidRPr="00DF68AA">
        <w:rPr>
          <w:lang w:val="en-GB"/>
        </w:rPr>
        <w:t>Interconnected Structural Inequities</w:t>
      </w:r>
    </w:p>
    <w:p w14:paraId="7C8DEACF" w14:textId="24660D7B" w:rsidR="009E7099" w:rsidRDefault="00C63C49" w:rsidP="007F7A5F">
      <w:pPr>
        <w:pStyle w:val="A2"/>
        <w:numPr>
          <w:ilvl w:val="0"/>
          <w:numId w:val="0"/>
        </w:numPr>
        <w:jc w:val="both"/>
        <w:rPr>
          <w:b w:val="0"/>
          <w:sz w:val="20"/>
        </w:rPr>
      </w:pPr>
      <w:r w:rsidRPr="00C63C49">
        <w:rPr>
          <w:b w:val="0"/>
          <w:sz w:val="20"/>
        </w:rPr>
        <w:t xml:space="preserve">The findings indicate that insecure land tenure and weak land governance are key drivers of female food insecurity. In 88% of the reviewed studies, women’s land claims were undermined by cultural norms, lack of formal documentation, and displacement during land formalization processes. These dynamics are compounded by entrenched patriarchal structures, which persist despite ostensibly gender-neutral land policies (Doss et al., 2014; </w:t>
      </w:r>
      <w:proofErr w:type="spellStart"/>
      <w:r w:rsidRPr="00C63C49">
        <w:rPr>
          <w:b w:val="0"/>
          <w:sz w:val="20"/>
        </w:rPr>
        <w:t>Arisunta</w:t>
      </w:r>
      <w:proofErr w:type="spellEnd"/>
      <w:r w:rsidRPr="00C63C49">
        <w:rPr>
          <w:b w:val="0"/>
          <w:sz w:val="20"/>
        </w:rPr>
        <w:t xml:space="preserve">, 2015). The systemic failure to recognize women’s land rights directly impacts their health and food security. Evidence from Ghana, Kenya, and Zimbabwe further reveals that titling schemes and </w:t>
      </w:r>
      <w:r w:rsidRPr="00C63C49">
        <w:rPr>
          <w:b w:val="0"/>
          <w:sz w:val="20"/>
        </w:rPr>
        <w:lastRenderedPageBreak/>
        <w:t xml:space="preserve">spatial development plans routinely exclude women’s informal land claims, particularly in peri-urban contexts (Addo et al., 2024; </w:t>
      </w:r>
      <w:proofErr w:type="spellStart"/>
      <w:r w:rsidRPr="00C63C49">
        <w:rPr>
          <w:b w:val="0"/>
          <w:sz w:val="20"/>
        </w:rPr>
        <w:t>Bonye</w:t>
      </w:r>
      <w:proofErr w:type="spellEnd"/>
      <w:r w:rsidRPr="00C63C49">
        <w:rPr>
          <w:b w:val="0"/>
          <w:sz w:val="20"/>
        </w:rPr>
        <w:t xml:space="preserve"> et al., 2021).</w:t>
      </w:r>
    </w:p>
    <w:p w14:paraId="64344F76" w14:textId="77777777" w:rsidR="00C63C49" w:rsidRPr="007F7A5F" w:rsidRDefault="00C63C49" w:rsidP="007F7A5F">
      <w:pPr>
        <w:pStyle w:val="A2"/>
        <w:numPr>
          <w:ilvl w:val="0"/>
          <w:numId w:val="0"/>
        </w:numPr>
        <w:jc w:val="both"/>
        <w:rPr>
          <w:b w:val="0"/>
          <w:sz w:val="20"/>
        </w:rPr>
      </w:pPr>
    </w:p>
    <w:p w14:paraId="2B7EFC7A" w14:textId="2F94DA78" w:rsidR="00D17351" w:rsidRPr="00DF68AA" w:rsidRDefault="00D17351" w:rsidP="0059467D">
      <w:pPr>
        <w:pStyle w:val="A2"/>
        <w:rPr>
          <w:lang w:val="en-GB"/>
        </w:rPr>
      </w:pPr>
      <w:r w:rsidRPr="00DF68AA">
        <w:rPr>
          <w:lang w:val="en-GB"/>
        </w:rPr>
        <w:t>Underreported Links Between Land and Nutrition</w:t>
      </w:r>
    </w:p>
    <w:p w14:paraId="0D731C5E" w14:textId="7EEC6779" w:rsidR="009E7099" w:rsidRPr="009E7099" w:rsidRDefault="009E7099" w:rsidP="007F7A5F">
      <w:pPr>
        <w:pStyle w:val="A2"/>
        <w:numPr>
          <w:ilvl w:val="0"/>
          <w:numId w:val="0"/>
        </w:numPr>
        <w:jc w:val="both"/>
        <w:rPr>
          <w:b w:val="0"/>
          <w:sz w:val="20"/>
        </w:rPr>
      </w:pPr>
      <w:r w:rsidRPr="009E7099">
        <w:rPr>
          <w:b w:val="0"/>
          <w:sz w:val="20"/>
        </w:rPr>
        <w:t xml:space="preserve">Despite the finding that 77% of the studies documented the existence of disparities in nutritional access, very few studies critically examined the nutritional aspect, especially the aspects of intrahousehold food distribution and children's diets. Only some studies examined how the loss of land can become the source of nutritional inequality, specifically in female-headed households (Korth et al. 2014; Mubiru et al. 2024). Additionally, very little information can be found about the influence of the loss of land on the control of the production and distribution of food by women, when the fact has been acknowledged that the greater control of the aforementioned has been shown to improve nutritional status (FAO 2011).This review confirms the plea made by feminist scholars of the food system for the inclusion of spatial plans concerned with nutritional aspects among the plans involved in the development of cities as recommended </w:t>
      </w:r>
      <w:r w:rsidR="00C63C49">
        <w:rPr>
          <w:b w:val="0"/>
          <w:sz w:val="20"/>
        </w:rPr>
        <w:t>by</w:t>
      </w:r>
      <w:r w:rsidRPr="009E7099">
        <w:rPr>
          <w:b w:val="0"/>
          <w:sz w:val="20"/>
        </w:rPr>
        <w:t xml:space="preserve"> several sources (Crush &amp; Frayne, 2011; Haysom G. 2021).</w:t>
      </w:r>
    </w:p>
    <w:p w14:paraId="55591849" w14:textId="20A307C7" w:rsidR="00D17351" w:rsidRPr="00DF68AA" w:rsidRDefault="00D17351" w:rsidP="0059467D">
      <w:pPr>
        <w:pStyle w:val="A2"/>
        <w:rPr>
          <w:lang w:val="en-GB"/>
        </w:rPr>
      </w:pPr>
      <w:r w:rsidRPr="00DF68AA">
        <w:rPr>
          <w:lang w:val="en-GB"/>
        </w:rPr>
        <w:t>Gaps in Spatial Evidence and Mapping</w:t>
      </w:r>
    </w:p>
    <w:p w14:paraId="3015AAAD" w14:textId="60CCE8DF" w:rsidR="00D17351" w:rsidRPr="00734AC9" w:rsidRDefault="00D17351" w:rsidP="00734AC9">
      <w:pPr>
        <w:pStyle w:val="A2"/>
        <w:numPr>
          <w:ilvl w:val="0"/>
          <w:numId w:val="0"/>
        </w:numPr>
        <w:jc w:val="both"/>
        <w:rPr>
          <w:b w:val="0"/>
          <w:sz w:val="20"/>
        </w:rPr>
      </w:pPr>
      <w:r w:rsidRPr="00734AC9">
        <w:rPr>
          <w:b w:val="0"/>
          <w:sz w:val="20"/>
        </w:rPr>
        <w:t xml:space="preserve">Although a few studies employed participatory GIS and remote sensing to track land-use change, the </w:t>
      </w:r>
      <w:r w:rsidRPr="00AE3C63">
        <w:rPr>
          <w:b w:val="0"/>
          <w:sz w:val="20"/>
        </w:rPr>
        <w:t>lack of gender-disaggregated spatial data</w:t>
      </w:r>
      <w:r w:rsidRPr="00734AC9">
        <w:rPr>
          <w:b w:val="0"/>
          <w:sz w:val="20"/>
        </w:rPr>
        <w:t xml:space="preserve"> remains a major barrier to evidence-based policy. Most planning agencies do not collect or map data on gendered patterns of land access, displacement, or food provisioning. As a result, women’s spatial experiences remain invisible in urban master plans and spatial justice assessments.</w:t>
      </w:r>
      <w:r w:rsidR="008B053F">
        <w:rPr>
          <w:b w:val="0"/>
          <w:sz w:val="20"/>
        </w:rPr>
        <w:t xml:space="preserve"> </w:t>
      </w:r>
      <w:r w:rsidRPr="00734AC9">
        <w:rPr>
          <w:b w:val="0"/>
          <w:sz w:val="20"/>
        </w:rPr>
        <w:t xml:space="preserve">There is a strong case for integrating </w:t>
      </w:r>
      <w:r w:rsidRPr="00AE3C63">
        <w:rPr>
          <w:b w:val="0"/>
          <w:sz w:val="20"/>
        </w:rPr>
        <w:t>feminist GIS methodologies (</w:t>
      </w:r>
      <w:r w:rsidRPr="00734AC9">
        <w:rPr>
          <w:b w:val="0"/>
          <w:sz w:val="20"/>
        </w:rPr>
        <w:t>Kwan 2002; Elwood, 2006), participatory community mapping, and ground-truthing into land-use monitoring systems. Tools like household-level land tenure mapping, market access heatmaps, and food security overlays can enable more inclusive planning.</w:t>
      </w:r>
    </w:p>
    <w:p w14:paraId="4A417F3F" w14:textId="76D4F93C" w:rsidR="00D17351" w:rsidRPr="00DF68AA" w:rsidRDefault="00D17351" w:rsidP="0059467D">
      <w:pPr>
        <w:pStyle w:val="A2"/>
        <w:rPr>
          <w:lang w:val="en-GB"/>
        </w:rPr>
      </w:pPr>
      <w:r w:rsidRPr="00DF68AA">
        <w:rPr>
          <w:lang w:val="en-GB"/>
        </w:rPr>
        <w:t>Policy and Planning Implications</w:t>
      </w:r>
    </w:p>
    <w:p w14:paraId="4DBB69E7" w14:textId="77777777" w:rsidR="00D17351" w:rsidRPr="00734AC9" w:rsidRDefault="00D17351" w:rsidP="00734AC9">
      <w:pPr>
        <w:pStyle w:val="A2"/>
        <w:numPr>
          <w:ilvl w:val="0"/>
          <w:numId w:val="0"/>
        </w:numPr>
        <w:jc w:val="both"/>
        <w:rPr>
          <w:b w:val="0"/>
          <w:sz w:val="20"/>
        </w:rPr>
      </w:pPr>
      <w:r w:rsidRPr="00734AC9">
        <w:rPr>
          <w:b w:val="0"/>
          <w:sz w:val="20"/>
        </w:rPr>
        <w:t>To mitigate the gendered impacts of urban land-use change, the following policy pathways are recommended:</w:t>
      </w:r>
    </w:p>
    <w:p w14:paraId="29DAB0D7" w14:textId="77777777" w:rsidR="00D17351" w:rsidRPr="00734AC9" w:rsidRDefault="00D17351" w:rsidP="00734AC9">
      <w:pPr>
        <w:pStyle w:val="A2"/>
        <w:numPr>
          <w:ilvl w:val="0"/>
          <w:numId w:val="0"/>
        </w:numPr>
        <w:jc w:val="both"/>
        <w:rPr>
          <w:b w:val="0"/>
          <w:sz w:val="20"/>
        </w:rPr>
      </w:pPr>
      <w:r w:rsidRPr="008141E4">
        <w:rPr>
          <w:bCs/>
          <w:sz w:val="20"/>
        </w:rPr>
        <w:t>Strengthen Legal Tenure Protections:</w:t>
      </w:r>
      <w:r w:rsidRPr="00734AC9">
        <w:rPr>
          <w:b w:val="0"/>
          <w:sz w:val="20"/>
        </w:rPr>
        <w:t xml:space="preserve"> Governments should expand access to formal land rights for women through joint titling, legal aid services, and gender-sensitive adjudication, particularly in </w:t>
      </w:r>
      <w:proofErr w:type="spellStart"/>
      <w:r w:rsidRPr="00734AC9">
        <w:rPr>
          <w:b w:val="0"/>
          <w:sz w:val="20"/>
        </w:rPr>
        <w:t>urbanising</w:t>
      </w:r>
      <w:proofErr w:type="spellEnd"/>
      <w:r w:rsidRPr="00734AC9">
        <w:rPr>
          <w:b w:val="0"/>
          <w:sz w:val="20"/>
        </w:rPr>
        <w:t xml:space="preserve"> rural zones.</w:t>
      </w:r>
    </w:p>
    <w:p w14:paraId="45BEED7D" w14:textId="6C31E56B" w:rsidR="00D17351" w:rsidRPr="00734AC9" w:rsidRDefault="00D17351" w:rsidP="00734AC9">
      <w:pPr>
        <w:pStyle w:val="A2"/>
        <w:numPr>
          <w:ilvl w:val="0"/>
          <w:numId w:val="0"/>
        </w:numPr>
        <w:jc w:val="both"/>
        <w:rPr>
          <w:b w:val="0"/>
          <w:sz w:val="20"/>
        </w:rPr>
      </w:pPr>
      <w:proofErr w:type="spellStart"/>
      <w:r w:rsidRPr="008141E4">
        <w:rPr>
          <w:bCs/>
          <w:sz w:val="20"/>
        </w:rPr>
        <w:t>Institutionalise</w:t>
      </w:r>
      <w:proofErr w:type="spellEnd"/>
      <w:r w:rsidRPr="008141E4">
        <w:rPr>
          <w:bCs/>
          <w:sz w:val="20"/>
        </w:rPr>
        <w:t xml:space="preserve"> Gender in Urban Planning:</w:t>
      </w:r>
      <w:r w:rsidRPr="00734AC9">
        <w:rPr>
          <w:b w:val="0"/>
          <w:sz w:val="20"/>
        </w:rPr>
        <w:t xml:space="preserve"> National and municipal development frameworks should require gender impact assessments for rezoning, urban redevelopment, and infrastructure projects. Representation of women </w:t>
      </w:r>
      <w:r w:rsidR="00B240F0">
        <w:rPr>
          <w:b w:val="0"/>
          <w:sz w:val="20"/>
        </w:rPr>
        <w:t>o</w:t>
      </w:r>
      <w:r w:rsidRPr="00734AC9">
        <w:rPr>
          <w:b w:val="0"/>
          <w:sz w:val="20"/>
        </w:rPr>
        <w:t xml:space="preserve">n local land boards and planning councils must be </w:t>
      </w:r>
      <w:proofErr w:type="spellStart"/>
      <w:r w:rsidRPr="00734AC9">
        <w:rPr>
          <w:b w:val="0"/>
          <w:sz w:val="20"/>
        </w:rPr>
        <w:t>institutionalised</w:t>
      </w:r>
      <w:proofErr w:type="spellEnd"/>
      <w:r w:rsidRPr="00734AC9">
        <w:rPr>
          <w:b w:val="0"/>
          <w:sz w:val="20"/>
        </w:rPr>
        <w:t>.</w:t>
      </w:r>
    </w:p>
    <w:p w14:paraId="710548E5" w14:textId="77777777" w:rsidR="00120CCE" w:rsidRPr="00120CCE" w:rsidRDefault="00120CCE" w:rsidP="00120CCE">
      <w:pPr>
        <w:pStyle w:val="A2"/>
        <w:numPr>
          <w:ilvl w:val="0"/>
          <w:numId w:val="0"/>
        </w:numPr>
        <w:jc w:val="both"/>
        <w:rPr>
          <w:b w:val="0"/>
          <w:sz w:val="20"/>
        </w:rPr>
      </w:pPr>
      <w:r w:rsidRPr="008141E4">
        <w:rPr>
          <w:bCs/>
          <w:sz w:val="20"/>
        </w:rPr>
        <w:t>Protect the peri-urban agricultural zones:</w:t>
      </w:r>
      <w:r w:rsidRPr="00120CCE">
        <w:rPr>
          <w:b w:val="0"/>
          <w:sz w:val="20"/>
        </w:rPr>
        <w:t xml:space="preserve"> Urban authorities must establish the concept of a greenbelt as a zone that protects the land used for subsistence agriculture and food vending by the female population. The greenbelt must be included in the urban land-use plan.</w:t>
      </w:r>
    </w:p>
    <w:p w14:paraId="1BFBD816" w14:textId="72CA7EC9" w:rsidR="00120CCE" w:rsidRPr="00120CCE" w:rsidRDefault="00120CCE" w:rsidP="00120CCE">
      <w:pPr>
        <w:pStyle w:val="A2"/>
        <w:numPr>
          <w:ilvl w:val="0"/>
          <w:numId w:val="0"/>
        </w:numPr>
        <w:jc w:val="both"/>
        <w:rPr>
          <w:b w:val="0"/>
          <w:sz w:val="20"/>
        </w:rPr>
      </w:pPr>
      <w:r w:rsidRPr="008141E4">
        <w:rPr>
          <w:bCs/>
          <w:sz w:val="20"/>
        </w:rPr>
        <w:t>Empowering Women Food Entrepreneurs:</w:t>
      </w:r>
      <w:r w:rsidRPr="00120CCE">
        <w:rPr>
          <w:b w:val="0"/>
          <w:sz w:val="20"/>
        </w:rPr>
        <w:t xml:space="preserve"> Efforts should focus on the informal food economy because the main players are women. Land allocation in urban areas should focus on allocating as much land as possible for the space of food trade and food production.</w:t>
      </w:r>
    </w:p>
    <w:p w14:paraId="5A81CDF8" w14:textId="77777777" w:rsidR="00D17351" w:rsidRPr="00734AC9" w:rsidRDefault="00D17351" w:rsidP="00734AC9">
      <w:pPr>
        <w:pStyle w:val="A2"/>
        <w:numPr>
          <w:ilvl w:val="0"/>
          <w:numId w:val="0"/>
        </w:numPr>
        <w:jc w:val="both"/>
        <w:rPr>
          <w:b w:val="0"/>
          <w:sz w:val="20"/>
        </w:rPr>
      </w:pPr>
      <w:r w:rsidRPr="008141E4">
        <w:rPr>
          <w:bCs/>
          <w:sz w:val="20"/>
        </w:rPr>
        <w:t>Invest in Spatial Data Systems:</w:t>
      </w:r>
      <w:r w:rsidRPr="00734AC9">
        <w:rPr>
          <w:b w:val="0"/>
          <w:sz w:val="20"/>
        </w:rPr>
        <w:t xml:space="preserve"> Develop a </w:t>
      </w:r>
      <w:r w:rsidRPr="00AE3C63">
        <w:rPr>
          <w:b w:val="0"/>
          <w:sz w:val="20"/>
        </w:rPr>
        <w:t>gender-disaggregated spatial data</w:t>
      </w:r>
      <w:r w:rsidRPr="00734AC9">
        <w:rPr>
          <w:b w:val="0"/>
          <w:sz w:val="20"/>
        </w:rPr>
        <w:t xml:space="preserve"> infrastructure that enables planners to </w:t>
      </w:r>
      <w:proofErr w:type="spellStart"/>
      <w:r w:rsidRPr="00734AC9">
        <w:rPr>
          <w:b w:val="0"/>
          <w:sz w:val="20"/>
        </w:rPr>
        <w:t>visualise</w:t>
      </w:r>
      <w:proofErr w:type="spellEnd"/>
      <w:r w:rsidRPr="00734AC9">
        <w:rPr>
          <w:b w:val="0"/>
          <w:sz w:val="20"/>
        </w:rPr>
        <w:t xml:space="preserve"> how land-use change affects different population groups. </w:t>
      </w:r>
      <w:r w:rsidRPr="00734AC9">
        <w:rPr>
          <w:b w:val="0"/>
          <w:sz w:val="20"/>
        </w:rPr>
        <w:lastRenderedPageBreak/>
        <w:t>This includes using participatory GIS, community-based enumeration, and satellite-linked tenure tracking.</w:t>
      </w:r>
    </w:p>
    <w:p w14:paraId="40C79788" w14:textId="77777777" w:rsidR="00D17351" w:rsidRPr="00DF68AA" w:rsidRDefault="00D17351" w:rsidP="0059467D">
      <w:pPr>
        <w:pStyle w:val="A2"/>
        <w:rPr>
          <w:lang w:val="en-GB"/>
        </w:rPr>
      </w:pPr>
      <w:r w:rsidRPr="00DF68AA">
        <w:rPr>
          <w:lang w:val="en-GB"/>
        </w:rPr>
        <w:t>Research Implications</w:t>
      </w:r>
    </w:p>
    <w:p w14:paraId="440D2096" w14:textId="77777777" w:rsidR="00D17351" w:rsidRPr="00734AC9" w:rsidRDefault="00D17351" w:rsidP="00734AC9">
      <w:pPr>
        <w:pStyle w:val="A2"/>
        <w:numPr>
          <w:ilvl w:val="0"/>
          <w:numId w:val="0"/>
        </w:numPr>
        <w:jc w:val="both"/>
        <w:rPr>
          <w:b w:val="0"/>
          <w:sz w:val="20"/>
        </w:rPr>
      </w:pPr>
      <w:r w:rsidRPr="00734AC9">
        <w:rPr>
          <w:b w:val="0"/>
          <w:sz w:val="20"/>
        </w:rPr>
        <w:t xml:space="preserve">This review highlights the need for future research to expand longitudinal studies that link land-use change with </w:t>
      </w:r>
      <w:r w:rsidRPr="00AE3C63">
        <w:rPr>
          <w:b w:val="0"/>
          <w:sz w:val="20"/>
        </w:rPr>
        <w:t>long-term nutrition and livelihood outcomes</w:t>
      </w:r>
      <w:r w:rsidRPr="00734AC9">
        <w:rPr>
          <w:b w:val="0"/>
          <w:sz w:val="20"/>
        </w:rPr>
        <w:t xml:space="preserve"> for women, develop </w:t>
      </w:r>
      <w:r w:rsidRPr="00AE3C63">
        <w:rPr>
          <w:b w:val="0"/>
          <w:sz w:val="20"/>
        </w:rPr>
        <w:t>intersectional frameworks</w:t>
      </w:r>
      <w:r w:rsidRPr="00734AC9">
        <w:rPr>
          <w:b w:val="0"/>
          <w:sz w:val="20"/>
        </w:rPr>
        <w:t xml:space="preserve"> that explore how age, class, marital status, and migration interact with gendered land dispossession, and integrate </w:t>
      </w:r>
      <w:r w:rsidRPr="00AE3C63">
        <w:rPr>
          <w:b w:val="0"/>
          <w:sz w:val="20"/>
        </w:rPr>
        <w:t>quantitative spatial analysis</w:t>
      </w:r>
      <w:r w:rsidRPr="00734AC9">
        <w:rPr>
          <w:b w:val="0"/>
          <w:sz w:val="20"/>
        </w:rPr>
        <w:t xml:space="preserve"> with qualitative storytelling to represent women’s experiences more holistically in land-use change research.</w:t>
      </w:r>
    </w:p>
    <w:p w14:paraId="46A7EEB6" w14:textId="7E76E1B6" w:rsidR="00D17351" w:rsidRPr="00B175FD" w:rsidRDefault="00D17351" w:rsidP="0059467D">
      <w:pPr>
        <w:pStyle w:val="A1"/>
      </w:pPr>
      <w:r w:rsidRPr="00B175FD">
        <w:t>Conclusion and Future Research Directions</w:t>
      </w:r>
    </w:p>
    <w:p w14:paraId="337D9C40" w14:textId="69B6B581" w:rsidR="00D17351" w:rsidRPr="00DF68AA" w:rsidRDefault="00D17351" w:rsidP="002E41A7">
      <w:pPr>
        <w:pStyle w:val="A2"/>
        <w:rPr>
          <w:lang w:val="en-GB"/>
        </w:rPr>
      </w:pPr>
      <w:r w:rsidRPr="00DF68AA">
        <w:rPr>
          <w:lang w:val="en-GB"/>
        </w:rPr>
        <w:t>Conclusion</w:t>
      </w:r>
    </w:p>
    <w:p w14:paraId="74E01ECF" w14:textId="6B8C59E5" w:rsidR="00D17351" w:rsidRPr="00734AC9" w:rsidRDefault="00D17351" w:rsidP="00734AC9">
      <w:pPr>
        <w:pStyle w:val="A2"/>
        <w:numPr>
          <w:ilvl w:val="0"/>
          <w:numId w:val="0"/>
        </w:numPr>
        <w:jc w:val="both"/>
        <w:rPr>
          <w:b w:val="0"/>
          <w:sz w:val="20"/>
        </w:rPr>
      </w:pPr>
      <w:r w:rsidRPr="00734AC9">
        <w:rPr>
          <w:b w:val="0"/>
          <w:sz w:val="20"/>
        </w:rPr>
        <w:t xml:space="preserve">This systematic review has demonstrated that urban land-use change in sub-Saharan Africa is not a gender-neutral process. Rather, it is a deeply political and spatially exclusionary phenomenon that disproportionately undermines women's access to land, economic security, and food systems. Drawing on </w:t>
      </w:r>
      <w:r w:rsidR="00B240F0">
        <w:rPr>
          <w:b w:val="0"/>
          <w:sz w:val="20"/>
        </w:rPr>
        <w:t xml:space="preserve">the </w:t>
      </w:r>
      <w:r w:rsidRPr="00734AC9">
        <w:rPr>
          <w:b w:val="0"/>
          <w:sz w:val="20"/>
        </w:rPr>
        <w:t>44 high-quality studies, the review identified six interlinked themes, tenure security, land governance, spatial exclusion, nutrition disparities, gender norms, and economic empowerment, that collectively structure a system of ‘invisible dispossession’.</w:t>
      </w:r>
    </w:p>
    <w:p w14:paraId="07EFE539" w14:textId="0FA0B585" w:rsidR="00120CCE" w:rsidRDefault="00120CCE" w:rsidP="007F7A5F">
      <w:pPr>
        <w:pStyle w:val="A2"/>
        <w:numPr>
          <w:ilvl w:val="0"/>
          <w:numId w:val="0"/>
        </w:numPr>
        <w:jc w:val="both"/>
        <w:rPr>
          <w:b w:val="0"/>
          <w:sz w:val="20"/>
        </w:rPr>
      </w:pPr>
      <w:r w:rsidRPr="00120CCE">
        <w:rPr>
          <w:b w:val="0"/>
          <w:sz w:val="20"/>
        </w:rPr>
        <w:t>As a result of their lack of informal access to land resources, their role as non-monetary food producers, as well as their limited involvement in the governance of the resource, women are rendered vulnerable to the effects of peri-urban development. This vulnerability can be attributed to limited livelihood opportunities and access to healthy food.</w:t>
      </w:r>
      <w:r w:rsidR="002905A2">
        <w:rPr>
          <w:b w:val="0"/>
          <w:sz w:val="20"/>
        </w:rPr>
        <w:t xml:space="preserve"> </w:t>
      </w:r>
      <w:r w:rsidRPr="00120CCE">
        <w:rPr>
          <w:b w:val="0"/>
          <w:sz w:val="20"/>
        </w:rPr>
        <w:t xml:space="preserve">The implication here is that land use change in urban areas cannot be planned for, executed, and assessed without incorporating </w:t>
      </w:r>
      <w:r w:rsidR="002905A2">
        <w:rPr>
          <w:b w:val="0"/>
          <w:sz w:val="20"/>
        </w:rPr>
        <w:t>the</w:t>
      </w:r>
      <w:r w:rsidRPr="00120CCE">
        <w:rPr>
          <w:b w:val="0"/>
          <w:sz w:val="20"/>
        </w:rPr>
        <w:t xml:space="preserve"> gender dimension. The consequences of disregarding the nexus between the management of land and the food security of women are already apparent, as it can only continue to widen the existing inequality in sustainable development goals such as SDG 2: Zero Hunger, SDG 5: Gender Equality, and SDG 11: Sustainable Cities and Communities.</w:t>
      </w:r>
    </w:p>
    <w:p w14:paraId="25910BFB" w14:textId="34D8C5D9" w:rsidR="006A4B89" w:rsidRDefault="006A4B89" w:rsidP="005B4AEC">
      <w:pPr>
        <w:pStyle w:val="A2"/>
        <w:numPr>
          <w:ilvl w:val="0"/>
          <w:numId w:val="0"/>
        </w:numPr>
        <w:shd w:val="clear" w:color="auto" w:fill="D9FFD9"/>
        <w:jc w:val="both"/>
        <w:rPr>
          <w:b w:val="0"/>
          <w:sz w:val="20"/>
        </w:rPr>
      </w:pPr>
      <w:r w:rsidRPr="006A4B89">
        <w:rPr>
          <w:b w:val="0"/>
          <w:sz w:val="20"/>
        </w:rPr>
        <w:t>This study does not explicitly engage with feminist GIS, intersectionality, or participatory planning frameworks, which could offer deeper insights into the spatial and socio-political dimensions of land dispossession. While the review foregrounds gendered tenure insecurity, it does not fully account for how overlapping identities</w:t>
      </w:r>
      <w:r>
        <w:rPr>
          <w:b w:val="0"/>
          <w:sz w:val="20"/>
        </w:rPr>
        <w:t xml:space="preserve"> - </w:t>
      </w:r>
      <w:r w:rsidRPr="006A4B89">
        <w:rPr>
          <w:b w:val="0"/>
          <w:sz w:val="20"/>
        </w:rPr>
        <w:t>such as age, class, or ethnicity</w:t>
      </w:r>
      <w:r>
        <w:rPr>
          <w:b w:val="0"/>
          <w:sz w:val="20"/>
        </w:rPr>
        <w:t xml:space="preserve"> - </w:t>
      </w:r>
      <w:r w:rsidRPr="006A4B89">
        <w:rPr>
          <w:b w:val="0"/>
          <w:sz w:val="20"/>
        </w:rPr>
        <w:t>interact with spatial governance. Future research could integrate these approaches to better capture the lived experiences of marginalized women and to inform more inclusive land-use planning and policy design.</w:t>
      </w:r>
    </w:p>
    <w:p w14:paraId="6A91FAC6" w14:textId="4591DD9F" w:rsidR="006A251E" w:rsidRPr="002E41A7" w:rsidRDefault="006A251E" w:rsidP="00120CCE">
      <w:pPr>
        <w:pStyle w:val="A2"/>
        <w:rPr>
          <w:lang w:val="en-GB"/>
        </w:rPr>
      </w:pPr>
      <w:r w:rsidRPr="002E41A7">
        <w:rPr>
          <w:lang w:val="en-GB"/>
        </w:rPr>
        <w:t>Future Research Directions</w:t>
      </w:r>
    </w:p>
    <w:p w14:paraId="7D94F7BA" w14:textId="77777777" w:rsidR="00D97D44" w:rsidRDefault="00D97D44" w:rsidP="002B661F">
      <w:pPr>
        <w:pStyle w:val="NormalWeb"/>
        <w:spacing w:before="180" w:beforeAutospacing="0" w:after="60" w:afterAutospacing="0"/>
        <w:rPr>
          <w:rFonts w:ascii="Arial" w:hAnsi="Arial" w:cs="Arial"/>
          <w:sz w:val="20"/>
          <w:szCs w:val="20"/>
        </w:rPr>
      </w:pPr>
      <w:r w:rsidRPr="00D97D44">
        <w:rPr>
          <w:rFonts w:ascii="Arial" w:hAnsi="Arial" w:cs="Arial"/>
          <w:sz w:val="20"/>
          <w:szCs w:val="20"/>
        </w:rPr>
        <w:t>This review identifies numerous important gaps and opportunities for scholarship and practice in this field:</w:t>
      </w:r>
    </w:p>
    <w:p w14:paraId="236D61A8" w14:textId="77777777" w:rsidR="00D97D44" w:rsidRPr="0042243A" w:rsidRDefault="00D97D44" w:rsidP="00D97D44">
      <w:pPr>
        <w:pStyle w:val="NormalWeb"/>
        <w:spacing w:before="180" w:beforeAutospacing="0" w:after="60" w:afterAutospacing="0"/>
        <w:rPr>
          <w:rFonts w:ascii="Arial" w:hAnsi="Arial" w:cs="Arial"/>
          <w:b/>
          <w:bCs/>
          <w:sz w:val="20"/>
          <w:szCs w:val="20"/>
        </w:rPr>
      </w:pPr>
      <w:r w:rsidRPr="0042243A">
        <w:rPr>
          <w:rFonts w:ascii="Arial" w:hAnsi="Arial" w:cs="Arial"/>
          <w:b/>
          <w:bCs/>
          <w:sz w:val="20"/>
          <w:szCs w:val="20"/>
        </w:rPr>
        <w:t>Longitudinal Research Relating Land Loss to Nutrition</w:t>
      </w:r>
    </w:p>
    <w:p w14:paraId="5F10498D" w14:textId="77777777" w:rsidR="00D97D44" w:rsidRPr="007F7A5F" w:rsidRDefault="00D97D44" w:rsidP="007F7A5F">
      <w:pPr>
        <w:pStyle w:val="A2"/>
        <w:numPr>
          <w:ilvl w:val="0"/>
          <w:numId w:val="0"/>
        </w:numPr>
        <w:jc w:val="both"/>
        <w:rPr>
          <w:b w:val="0"/>
          <w:sz w:val="20"/>
        </w:rPr>
      </w:pPr>
      <w:r w:rsidRPr="007F7A5F">
        <w:rPr>
          <w:b w:val="0"/>
          <w:sz w:val="20"/>
        </w:rPr>
        <w:t>Future studies should use both qualitative and longitudinal designs to establish how transitions in land use influence food security at the household level, specifically female-headed households.</w:t>
      </w:r>
    </w:p>
    <w:p w14:paraId="6B98B763" w14:textId="495BBA8B" w:rsidR="006A251E" w:rsidRPr="002B661F" w:rsidRDefault="006A251E" w:rsidP="00D97D44">
      <w:pPr>
        <w:pStyle w:val="NormalWeb"/>
        <w:spacing w:before="180" w:beforeAutospacing="0" w:after="60" w:afterAutospacing="0"/>
        <w:rPr>
          <w:rFonts w:ascii="Arial" w:hAnsi="Arial" w:cs="Arial"/>
          <w:b/>
          <w:bCs/>
          <w:sz w:val="20"/>
          <w:szCs w:val="20"/>
        </w:rPr>
      </w:pPr>
      <w:r w:rsidRPr="000A6B2A">
        <w:rPr>
          <w:rFonts w:ascii="Arial" w:hAnsi="Arial" w:cs="Arial"/>
          <w:b/>
          <w:bCs/>
          <w:sz w:val="20"/>
          <w:szCs w:val="20"/>
        </w:rPr>
        <w:t>Intersectional Approaches to Dispossession</w:t>
      </w:r>
    </w:p>
    <w:p w14:paraId="09DFB1E8" w14:textId="4B8050A0" w:rsidR="00D97D44" w:rsidRDefault="00D97D44" w:rsidP="007F7A5F">
      <w:pPr>
        <w:pStyle w:val="A2"/>
        <w:numPr>
          <w:ilvl w:val="0"/>
          <w:numId w:val="0"/>
        </w:numPr>
        <w:jc w:val="both"/>
        <w:rPr>
          <w:b w:val="0"/>
          <w:sz w:val="20"/>
        </w:rPr>
      </w:pPr>
      <w:r w:rsidRPr="007F7A5F">
        <w:rPr>
          <w:b w:val="0"/>
          <w:sz w:val="20"/>
        </w:rPr>
        <w:lastRenderedPageBreak/>
        <w:t xml:space="preserve">Research should instead focus more on understanding the relationship between gender and other aspects such as age, marital status, class, immigration status, and disabilities. Most studies have been conducted based </w:t>
      </w:r>
      <w:r w:rsidR="002905A2">
        <w:rPr>
          <w:b w:val="0"/>
          <w:sz w:val="20"/>
        </w:rPr>
        <w:t xml:space="preserve">exclusively on </w:t>
      </w:r>
      <w:r w:rsidRPr="007F7A5F">
        <w:rPr>
          <w:b w:val="0"/>
          <w:sz w:val="20"/>
        </w:rPr>
        <w:t>the aspect of gender</w:t>
      </w:r>
      <w:r w:rsidR="002905A2">
        <w:rPr>
          <w:b w:val="0"/>
          <w:sz w:val="20"/>
        </w:rPr>
        <w:t xml:space="preserve"> without intersectional approaches</w:t>
      </w:r>
      <w:r w:rsidRPr="007F7A5F">
        <w:rPr>
          <w:b w:val="0"/>
          <w:sz w:val="20"/>
        </w:rPr>
        <w:t>.</w:t>
      </w:r>
    </w:p>
    <w:p w14:paraId="7C700099" w14:textId="77777777" w:rsidR="006A251E" w:rsidRPr="002B661F" w:rsidRDefault="006A251E" w:rsidP="002B661F">
      <w:pPr>
        <w:pStyle w:val="NormalWeb"/>
        <w:spacing w:before="180" w:beforeAutospacing="0" w:after="60" w:afterAutospacing="0"/>
        <w:rPr>
          <w:rFonts w:ascii="Arial" w:hAnsi="Arial" w:cs="Arial"/>
          <w:b/>
          <w:bCs/>
          <w:sz w:val="20"/>
          <w:szCs w:val="20"/>
        </w:rPr>
      </w:pPr>
      <w:r w:rsidRPr="002B661F">
        <w:rPr>
          <w:rFonts w:ascii="Arial" w:hAnsi="Arial" w:cs="Arial"/>
          <w:b/>
          <w:bCs/>
          <w:sz w:val="20"/>
          <w:szCs w:val="20"/>
        </w:rPr>
        <w:t>Participatory and Feminist Spatial Methods</w:t>
      </w:r>
    </w:p>
    <w:p w14:paraId="26E2DA39" w14:textId="38E719B1" w:rsidR="00D97D44" w:rsidRPr="002E41A7" w:rsidRDefault="00D97D44" w:rsidP="002E41A7">
      <w:pPr>
        <w:pStyle w:val="NormalWeb"/>
        <w:spacing w:before="180" w:beforeAutospacing="0" w:after="60" w:afterAutospacing="0"/>
        <w:rPr>
          <w:rFonts w:ascii="Arial" w:hAnsi="Arial" w:cs="Arial"/>
          <w:sz w:val="20"/>
          <w:szCs w:val="20"/>
        </w:rPr>
      </w:pPr>
      <w:r w:rsidRPr="00D97D44">
        <w:rPr>
          <w:rFonts w:ascii="Arial" w:hAnsi="Arial" w:cs="Arial"/>
          <w:sz w:val="20"/>
          <w:szCs w:val="20"/>
        </w:rPr>
        <w:t>A potential synergy between the concepts of feminist GIS mapping and remote sensing truth could empower the visualization of the exclusion patterns made invisible.</w:t>
      </w:r>
    </w:p>
    <w:p w14:paraId="30E2E35B" w14:textId="77777777" w:rsidR="006A251E" w:rsidRPr="002B661F" w:rsidRDefault="006A251E" w:rsidP="002B661F">
      <w:pPr>
        <w:pStyle w:val="NormalWeb"/>
        <w:spacing w:before="180" w:beforeAutospacing="0" w:after="60" w:afterAutospacing="0"/>
        <w:rPr>
          <w:rFonts w:ascii="Arial" w:hAnsi="Arial" w:cs="Arial"/>
          <w:b/>
          <w:bCs/>
          <w:sz w:val="20"/>
          <w:szCs w:val="20"/>
        </w:rPr>
      </w:pPr>
      <w:r w:rsidRPr="002B661F">
        <w:rPr>
          <w:rFonts w:ascii="Arial" w:hAnsi="Arial" w:cs="Arial"/>
          <w:b/>
          <w:bCs/>
          <w:sz w:val="20"/>
          <w:szCs w:val="20"/>
        </w:rPr>
        <w:t>Comparative Urban Studies Across Sub-Regions</w:t>
      </w:r>
    </w:p>
    <w:p w14:paraId="33375548" w14:textId="57FE25F7" w:rsidR="00D97D44" w:rsidRPr="007F7A5F" w:rsidRDefault="00D97D44" w:rsidP="007F7A5F">
      <w:pPr>
        <w:pStyle w:val="A2"/>
        <w:numPr>
          <w:ilvl w:val="0"/>
          <w:numId w:val="0"/>
        </w:numPr>
        <w:jc w:val="both"/>
        <w:rPr>
          <w:b w:val="0"/>
          <w:sz w:val="20"/>
        </w:rPr>
      </w:pPr>
      <w:r w:rsidRPr="007F7A5F">
        <w:rPr>
          <w:b w:val="0"/>
          <w:sz w:val="20"/>
        </w:rPr>
        <w:t>Such comparative studies are required to identify the patterns across East, West, Central, and Southern Africa. This will generate a body of knowledge that provides input for urban land reform and management of the food systems.</w:t>
      </w:r>
    </w:p>
    <w:p w14:paraId="215F2256" w14:textId="77777777" w:rsidR="006A251E" w:rsidRPr="002B661F" w:rsidRDefault="006A251E" w:rsidP="002B661F">
      <w:pPr>
        <w:pStyle w:val="NormalWeb"/>
        <w:spacing w:before="180" w:beforeAutospacing="0" w:after="60" w:afterAutospacing="0"/>
        <w:rPr>
          <w:rFonts w:ascii="Arial" w:hAnsi="Arial" w:cs="Arial"/>
          <w:b/>
          <w:bCs/>
          <w:sz w:val="20"/>
          <w:szCs w:val="20"/>
        </w:rPr>
      </w:pPr>
      <w:r w:rsidRPr="002B661F">
        <w:rPr>
          <w:rFonts w:ascii="Arial" w:hAnsi="Arial" w:cs="Arial"/>
          <w:b/>
          <w:bCs/>
          <w:sz w:val="20"/>
          <w:szCs w:val="20"/>
        </w:rPr>
        <w:t>Policy and Institutional Ethnographies</w:t>
      </w:r>
    </w:p>
    <w:p w14:paraId="7FF00F59" w14:textId="1BEEB9A4" w:rsidR="00D97D44" w:rsidRPr="002E41A7" w:rsidRDefault="00D97D44" w:rsidP="00D97D44">
      <w:pPr>
        <w:pStyle w:val="NormalWeb"/>
        <w:spacing w:before="180" w:beforeAutospacing="0" w:after="60" w:afterAutospacing="0"/>
        <w:rPr>
          <w:rFonts w:ascii="Arial" w:hAnsi="Arial" w:cs="Arial"/>
          <w:sz w:val="20"/>
          <w:szCs w:val="20"/>
        </w:rPr>
      </w:pPr>
      <w:r w:rsidRPr="00D97D44">
        <w:rPr>
          <w:rFonts w:ascii="Arial" w:hAnsi="Arial" w:cs="Arial"/>
          <w:sz w:val="20"/>
          <w:szCs w:val="20"/>
        </w:rPr>
        <w:t>F</w:t>
      </w:r>
      <w:proofErr w:type="spellStart"/>
      <w:r w:rsidRPr="007F7A5F">
        <w:rPr>
          <w:rFonts w:ascii="Arial" w:hAnsi="Arial" w:cs="Arial"/>
          <w:sz w:val="20"/>
          <w:szCs w:val="20"/>
          <w:lang w:val="en-US"/>
        </w:rPr>
        <w:t>urther</w:t>
      </w:r>
      <w:proofErr w:type="spellEnd"/>
      <w:r w:rsidRPr="007F7A5F">
        <w:rPr>
          <w:rFonts w:ascii="Arial" w:hAnsi="Arial" w:cs="Arial"/>
          <w:sz w:val="20"/>
          <w:szCs w:val="20"/>
          <w:lang w:val="en-US"/>
        </w:rPr>
        <w:t xml:space="preserve"> ethnographic research should be conducted to disentangle the ways in which land use decisions are made and negotiated. This would reveal more information about the informal processes that currently exist at the planning departments and traditional councils.</w:t>
      </w:r>
      <w:r w:rsidRPr="00D97D44">
        <w:rPr>
          <w:rFonts w:ascii="Arial" w:hAnsi="Arial" w:cs="Arial"/>
          <w:sz w:val="20"/>
          <w:szCs w:val="20"/>
        </w:rPr>
        <w:t xml:space="preserve"> </w:t>
      </w:r>
    </w:p>
    <w:p w14:paraId="0DABD2B5" w14:textId="402330EA" w:rsidR="006A251E" w:rsidRPr="002B661F" w:rsidRDefault="006A251E" w:rsidP="002B661F">
      <w:pPr>
        <w:pStyle w:val="NormalWeb"/>
        <w:spacing w:before="180" w:beforeAutospacing="0" w:after="60" w:afterAutospacing="0"/>
        <w:rPr>
          <w:rFonts w:ascii="Arial" w:hAnsi="Arial" w:cs="Arial"/>
          <w:b/>
          <w:bCs/>
          <w:sz w:val="20"/>
          <w:szCs w:val="20"/>
        </w:rPr>
      </w:pPr>
      <w:r w:rsidRPr="002B661F">
        <w:rPr>
          <w:rFonts w:ascii="Arial" w:hAnsi="Arial" w:cs="Arial"/>
          <w:b/>
          <w:bCs/>
          <w:sz w:val="20"/>
          <w:szCs w:val="20"/>
        </w:rPr>
        <w:t>Measurement of Empowerment and Resilience</w:t>
      </w:r>
    </w:p>
    <w:p w14:paraId="67470788" w14:textId="6BAA37E6" w:rsidR="00D97D44" w:rsidRDefault="00D97D44" w:rsidP="00D97D44">
      <w:pPr>
        <w:pStyle w:val="NormalWeb"/>
        <w:spacing w:before="180" w:beforeAutospacing="0" w:after="60" w:afterAutospacing="0"/>
        <w:rPr>
          <w:rFonts w:ascii="Arial" w:hAnsi="Arial" w:cs="Arial"/>
          <w:sz w:val="20"/>
          <w:szCs w:val="20"/>
        </w:rPr>
      </w:pPr>
      <w:r w:rsidRPr="00D97D44">
        <w:rPr>
          <w:rFonts w:ascii="Arial" w:hAnsi="Arial" w:cs="Arial"/>
          <w:sz w:val="20"/>
          <w:szCs w:val="20"/>
        </w:rPr>
        <w:t>New indicators must be created to monitor the empowerment and resilience of female individuals affected by the process of dispossession.</w:t>
      </w:r>
      <w:r>
        <w:rPr>
          <w:rFonts w:ascii="Arial" w:hAnsi="Arial" w:cs="Arial"/>
          <w:sz w:val="20"/>
          <w:szCs w:val="20"/>
        </w:rPr>
        <w:t xml:space="preserve"> </w:t>
      </w:r>
      <w:r w:rsidRPr="002E41A7">
        <w:rPr>
          <w:rFonts w:ascii="Arial" w:hAnsi="Arial" w:cs="Arial"/>
          <w:sz w:val="20"/>
          <w:szCs w:val="20"/>
        </w:rPr>
        <w:t>These could include access to collective spaces, participation in governance, and food system autonomy.</w:t>
      </w:r>
    </w:p>
    <w:p w14:paraId="0D700646" w14:textId="77777777" w:rsidR="00D606B8" w:rsidRPr="005B4AEC" w:rsidRDefault="00D606B8" w:rsidP="00101FFA">
      <w:pPr>
        <w:pStyle w:val="NormalWeb"/>
        <w:spacing w:before="180" w:beforeAutospacing="0" w:after="60" w:afterAutospacing="0"/>
        <w:rPr>
          <w:rFonts w:ascii="Arial" w:hAnsi="Arial" w:cs="Arial"/>
          <w:b/>
          <w:bCs/>
          <w:sz w:val="20"/>
          <w:szCs w:val="20"/>
          <w:highlight w:val="yellow"/>
        </w:rPr>
      </w:pPr>
      <w:bookmarkStart w:id="8" w:name="_Hlk197682619"/>
      <w:bookmarkStart w:id="9" w:name="_Hlk180402183"/>
      <w:bookmarkStart w:id="10" w:name="_Hlk183680988"/>
      <w:bookmarkStart w:id="11" w:name="_Hlk197351200"/>
      <w:r w:rsidRPr="005B4AEC">
        <w:rPr>
          <w:rFonts w:ascii="Arial" w:hAnsi="Arial" w:cs="Arial"/>
          <w:b/>
          <w:bCs/>
          <w:sz w:val="20"/>
          <w:szCs w:val="20"/>
          <w:highlight w:val="yellow"/>
        </w:rPr>
        <w:t>Disclaimer (Artificial intelligence)</w:t>
      </w:r>
    </w:p>
    <w:p w14:paraId="1D10B39F" w14:textId="1ADFF82D" w:rsidR="00D606B8" w:rsidRPr="00101FFA" w:rsidRDefault="00D606B8" w:rsidP="00101FFA">
      <w:pPr>
        <w:pStyle w:val="NormalWeb"/>
        <w:spacing w:before="180" w:beforeAutospacing="0" w:after="60" w:afterAutospacing="0"/>
        <w:rPr>
          <w:rFonts w:ascii="Arial" w:hAnsi="Arial" w:cs="Arial"/>
          <w:sz w:val="20"/>
          <w:szCs w:val="20"/>
        </w:rPr>
      </w:pPr>
      <w:r w:rsidRPr="005B4AEC">
        <w:rPr>
          <w:rFonts w:ascii="Arial" w:hAnsi="Arial" w:cs="Arial"/>
          <w:sz w:val="20"/>
          <w:szCs w:val="20"/>
          <w:highlight w:val="yellow"/>
        </w:rPr>
        <w:t>Authors hereby declare that NO generative AI technologies such as Large Language Models (ChatGPT, COPILOT, etc.) and text-to-image generators have been used during the writing or editing of this manuscript.</w:t>
      </w:r>
      <w:r w:rsidRPr="00101FFA">
        <w:rPr>
          <w:rFonts w:ascii="Arial" w:hAnsi="Arial" w:cs="Arial"/>
          <w:sz w:val="20"/>
          <w:szCs w:val="20"/>
        </w:rPr>
        <w:t xml:space="preserve"> </w:t>
      </w:r>
    </w:p>
    <w:p w14:paraId="24C7A70A" w14:textId="67499CCA" w:rsidR="00D606B8" w:rsidRPr="00101FFA" w:rsidRDefault="00D606B8" w:rsidP="00D606B8">
      <w:pPr>
        <w:rPr>
          <w:rFonts w:cs="Arial"/>
          <w:lang w:val="en-GB"/>
        </w:rPr>
      </w:pPr>
    </w:p>
    <w:bookmarkEnd w:id="8"/>
    <w:bookmarkEnd w:id="9"/>
    <w:bookmarkEnd w:id="10"/>
    <w:bookmarkEnd w:id="11"/>
    <w:p w14:paraId="0F27F7FB" w14:textId="77777777" w:rsidR="00D17351" w:rsidRPr="003C0A0F" w:rsidRDefault="00D17351" w:rsidP="0042243A">
      <w:pPr>
        <w:pStyle w:val="NormalWeb"/>
        <w:spacing w:before="180" w:beforeAutospacing="0" w:after="60" w:afterAutospacing="0"/>
        <w:rPr>
          <w:rFonts w:ascii="Arial" w:hAnsi="Arial" w:cs="Arial"/>
          <w:b/>
          <w:caps/>
          <w:sz w:val="22"/>
          <w:szCs w:val="20"/>
        </w:rPr>
      </w:pPr>
      <w:r w:rsidRPr="003C0A0F">
        <w:rPr>
          <w:rFonts w:ascii="Arial" w:hAnsi="Arial" w:cs="Arial"/>
          <w:b/>
          <w:caps/>
          <w:sz w:val="22"/>
          <w:szCs w:val="20"/>
        </w:rPr>
        <w:t xml:space="preserve">REFERENCES </w:t>
      </w:r>
    </w:p>
    <w:p w14:paraId="0B6114F4"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Abebe, Mekonen Getachew. "Impacts of urbanization on food security in Ethiopia. A review with empirical evidence." Journal of Agriculture and Food Research 15 (2024): 100997. </w:t>
      </w:r>
      <w:hyperlink r:id="rId18" w:tgtFrame="_blank" w:tooltip="Persistent link using digital object identifier" w:history="1">
        <w:r w:rsidRPr="00815A39">
          <w:rPr>
            <w:rFonts w:ascii="Arial" w:hAnsi="Arial" w:cs="Arial"/>
            <w:sz w:val="20"/>
            <w:szCs w:val="20"/>
          </w:rPr>
          <w:t>https://doi.org/10.1016/j.jafr.2024.100997</w:t>
        </w:r>
      </w:hyperlink>
    </w:p>
    <w:p w14:paraId="266D9408"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Addo, Phyllis, M. </w:t>
      </w:r>
      <w:proofErr w:type="spellStart"/>
      <w:r w:rsidRPr="00815A39">
        <w:rPr>
          <w:rFonts w:ascii="Arial" w:hAnsi="Arial" w:cs="Arial"/>
          <w:sz w:val="20"/>
          <w:szCs w:val="20"/>
        </w:rPr>
        <w:t>Djekic-Ivankovic</w:t>
      </w:r>
      <w:proofErr w:type="spellEnd"/>
      <w:r w:rsidRPr="00815A39">
        <w:rPr>
          <w:rFonts w:ascii="Arial" w:hAnsi="Arial" w:cs="Arial"/>
          <w:sz w:val="20"/>
          <w:szCs w:val="20"/>
        </w:rPr>
        <w:t xml:space="preserve">, A. Abdu, P. Boadi, O. Eyo, M. Y. </w:t>
      </w:r>
      <w:proofErr w:type="spellStart"/>
      <w:r w:rsidRPr="00815A39">
        <w:rPr>
          <w:rFonts w:ascii="Arial" w:hAnsi="Arial" w:cs="Arial"/>
          <w:sz w:val="20"/>
          <w:szCs w:val="20"/>
        </w:rPr>
        <w:t>Baguignan</w:t>
      </w:r>
      <w:proofErr w:type="spellEnd"/>
      <w:r w:rsidRPr="00815A39">
        <w:rPr>
          <w:rFonts w:ascii="Arial" w:hAnsi="Arial" w:cs="Arial"/>
          <w:sz w:val="20"/>
          <w:szCs w:val="20"/>
        </w:rPr>
        <w:t xml:space="preserve">, A. M. </w:t>
      </w:r>
      <w:proofErr w:type="spellStart"/>
      <w:r w:rsidRPr="00815A39">
        <w:rPr>
          <w:rFonts w:ascii="Arial" w:hAnsi="Arial" w:cs="Arial"/>
          <w:sz w:val="20"/>
          <w:szCs w:val="20"/>
        </w:rPr>
        <w:t>Atakoun</w:t>
      </w:r>
      <w:proofErr w:type="spellEnd"/>
      <w:r w:rsidRPr="00815A39">
        <w:rPr>
          <w:rFonts w:ascii="Arial" w:hAnsi="Arial" w:cs="Arial"/>
          <w:sz w:val="20"/>
          <w:szCs w:val="20"/>
        </w:rPr>
        <w:t xml:space="preserve"> et al. "Gender Role in Food Rights and Sovereignty in West Africa: A Rapid Review." African Journal of Food, Agriculture, Nutrition and Development 24, no. 10 (2024): 24725-24773. </w:t>
      </w:r>
      <w:hyperlink r:id="rId19" w:tgtFrame="_blank" w:tooltip="DOI" w:history="1">
        <w:r w:rsidRPr="00815A39">
          <w:rPr>
            <w:rFonts w:ascii="Arial" w:hAnsi="Arial" w:cs="Arial"/>
            <w:sz w:val="20"/>
            <w:szCs w:val="20"/>
          </w:rPr>
          <w:t>https://doi.org/10.22004/ag.econ.348078</w:t>
        </w:r>
      </w:hyperlink>
    </w:p>
    <w:p w14:paraId="54D4C402" w14:textId="764C173E"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Agarwal, B. (1994). Gender and command over property: A critical gap in economic analysis and policy in South Asia. World Development, 22(10), 1455–1478. </w:t>
      </w:r>
      <w:hyperlink r:id="rId20" w:tgtFrame="_blank" w:tooltip="Persistent link using digital object identifier" w:history="1">
        <w:r w:rsidRPr="00815A39">
          <w:rPr>
            <w:rFonts w:ascii="Arial" w:hAnsi="Arial" w:cs="Arial"/>
            <w:sz w:val="20"/>
            <w:szCs w:val="20"/>
          </w:rPr>
          <w:t>https://doi.org/10.1016/0305-750X(94)90031-0</w:t>
        </w:r>
      </w:hyperlink>
    </w:p>
    <w:p w14:paraId="3031E96E" w14:textId="77777777" w:rsidR="00704DD2" w:rsidRDefault="00704DD2" w:rsidP="00704DD2">
      <w:pPr>
        <w:pStyle w:val="NormalWeb"/>
        <w:shd w:val="clear" w:color="auto" w:fill="AFFFAF"/>
        <w:spacing w:before="180" w:beforeAutospacing="0" w:after="60" w:afterAutospacing="0"/>
        <w:rPr>
          <w:rFonts w:ascii="Arial" w:hAnsi="Arial" w:cs="Arial"/>
          <w:sz w:val="20"/>
          <w:szCs w:val="20"/>
        </w:rPr>
      </w:pPr>
      <w:r w:rsidRPr="00704DD2">
        <w:rPr>
          <w:rFonts w:ascii="Arial" w:hAnsi="Arial" w:cs="Arial"/>
          <w:sz w:val="20"/>
          <w:szCs w:val="20"/>
        </w:rPr>
        <w:t>Alemu, Gashaw Tenna. "</w:t>
      </w:r>
      <w:bookmarkStart w:id="12" w:name="_GoBack"/>
      <w:r w:rsidRPr="00704DD2">
        <w:rPr>
          <w:rFonts w:ascii="Arial" w:hAnsi="Arial" w:cs="Arial"/>
          <w:sz w:val="20"/>
          <w:szCs w:val="20"/>
        </w:rPr>
        <w:t>Women's Land Use Right Policy and Household Food Security in Ethiopia</w:t>
      </w:r>
      <w:bookmarkEnd w:id="12"/>
      <w:r w:rsidRPr="00704DD2">
        <w:rPr>
          <w:rFonts w:ascii="Arial" w:hAnsi="Arial" w:cs="Arial"/>
          <w:sz w:val="20"/>
          <w:szCs w:val="20"/>
        </w:rPr>
        <w:t>." Review, International Journal of African and Asian Studies 12 (2015): 56-65.</w:t>
      </w:r>
    </w:p>
    <w:p w14:paraId="0170570C"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Ali, Daniel Ayalew, Klaus Deininger, and Markus Goldstein. "Environmental and gender impacts of land tenure regularization in Africa." World Bank Policy Research Working Paper No 5765 (2011). </w:t>
      </w:r>
      <w:hyperlink r:id="rId21" w:tgtFrame="_blank" w:tooltip="Persistent link using digital object identifier" w:history="1">
        <w:r w:rsidRPr="00815A39">
          <w:rPr>
            <w:rFonts w:ascii="Arial" w:hAnsi="Arial" w:cs="Arial"/>
            <w:sz w:val="20"/>
            <w:szCs w:val="20"/>
          </w:rPr>
          <w:t>https://doi.org/10.1016/j.jdeveco.2013.12.009</w:t>
        </w:r>
      </w:hyperlink>
    </w:p>
    <w:p w14:paraId="4DC8246D" w14:textId="77777777" w:rsidR="00D17351" w:rsidRPr="00815A39" w:rsidRDefault="00D17351" w:rsidP="00815A39">
      <w:pPr>
        <w:pStyle w:val="NormalWeb"/>
        <w:spacing w:before="180" w:beforeAutospacing="0" w:after="60" w:afterAutospacing="0"/>
        <w:rPr>
          <w:rFonts w:ascii="Arial" w:hAnsi="Arial" w:cs="Arial"/>
          <w:sz w:val="20"/>
          <w:szCs w:val="20"/>
        </w:rPr>
      </w:pPr>
      <w:proofErr w:type="spellStart"/>
      <w:r w:rsidRPr="00815A39">
        <w:rPr>
          <w:rFonts w:ascii="Arial" w:hAnsi="Arial" w:cs="Arial"/>
          <w:sz w:val="20"/>
          <w:szCs w:val="20"/>
        </w:rPr>
        <w:lastRenderedPageBreak/>
        <w:t>Arisunta</w:t>
      </w:r>
      <w:proofErr w:type="spellEnd"/>
      <w:r w:rsidRPr="00815A39">
        <w:rPr>
          <w:rFonts w:ascii="Arial" w:hAnsi="Arial" w:cs="Arial"/>
          <w:sz w:val="20"/>
          <w:szCs w:val="20"/>
        </w:rPr>
        <w:t xml:space="preserve">, Caroline. "Women Land Rights and HIV/AIDS in Zimbabwe." AIDS in Zimbabwe (August 14, 2015) (2015). </w:t>
      </w:r>
      <w:hyperlink r:id="rId22" w:history="1">
        <w:r w:rsidRPr="00815A39">
          <w:rPr>
            <w:rFonts w:ascii="Arial" w:hAnsi="Arial" w:cs="Arial"/>
            <w:sz w:val="20"/>
            <w:szCs w:val="20"/>
          </w:rPr>
          <w:t>https://papers.ssrn.com/sol3/papers.cfm?abstract_id=2644216</w:t>
        </w:r>
      </w:hyperlink>
    </w:p>
    <w:p w14:paraId="122A44DD" w14:textId="77777777" w:rsidR="00D17351" w:rsidRPr="00815A39" w:rsidRDefault="00D17351" w:rsidP="00815A39">
      <w:pPr>
        <w:pStyle w:val="NormalWeb"/>
        <w:spacing w:before="180" w:beforeAutospacing="0" w:after="60" w:afterAutospacing="0"/>
        <w:rPr>
          <w:rFonts w:ascii="Arial" w:hAnsi="Arial" w:cs="Arial"/>
          <w:sz w:val="20"/>
          <w:szCs w:val="20"/>
        </w:rPr>
      </w:pPr>
      <w:proofErr w:type="spellStart"/>
      <w:r w:rsidRPr="00815A39">
        <w:rPr>
          <w:rFonts w:ascii="Arial" w:hAnsi="Arial" w:cs="Arial"/>
          <w:sz w:val="20"/>
          <w:szCs w:val="20"/>
        </w:rPr>
        <w:t>Atube</w:t>
      </w:r>
      <w:proofErr w:type="spellEnd"/>
      <w:r w:rsidRPr="00815A39">
        <w:rPr>
          <w:rFonts w:ascii="Arial" w:hAnsi="Arial" w:cs="Arial"/>
          <w:sz w:val="20"/>
          <w:szCs w:val="20"/>
        </w:rPr>
        <w:t xml:space="preserve">, F., Malinga, G.M., Nyeko, M. et al. Determinants of smallholder farmers’ adaptation strategies to the effects of climate change: Evidence from northern Uganda. Agric &amp; Food </w:t>
      </w:r>
      <w:proofErr w:type="spellStart"/>
      <w:r w:rsidRPr="00815A39">
        <w:rPr>
          <w:rFonts w:ascii="Arial" w:hAnsi="Arial" w:cs="Arial"/>
          <w:sz w:val="20"/>
          <w:szCs w:val="20"/>
        </w:rPr>
        <w:t>Secur</w:t>
      </w:r>
      <w:proofErr w:type="spellEnd"/>
      <w:r w:rsidRPr="00815A39">
        <w:rPr>
          <w:rFonts w:ascii="Arial" w:hAnsi="Arial" w:cs="Arial"/>
          <w:sz w:val="20"/>
          <w:szCs w:val="20"/>
        </w:rPr>
        <w:t> 10, 6 (2021). https://doi.org/10.1186/s40066-020-00279-1</w:t>
      </w:r>
    </w:p>
    <w:p w14:paraId="7AA09A5D" w14:textId="77777777" w:rsidR="00D17351" w:rsidRPr="00815A39" w:rsidRDefault="00D17351" w:rsidP="00815A39">
      <w:pPr>
        <w:pStyle w:val="NormalWeb"/>
        <w:spacing w:before="180" w:beforeAutospacing="0" w:after="60" w:afterAutospacing="0"/>
        <w:rPr>
          <w:rFonts w:ascii="Arial" w:hAnsi="Arial" w:cs="Arial"/>
          <w:sz w:val="20"/>
          <w:szCs w:val="20"/>
        </w:rPr>
      </w:pPr>
      <w:proofErr w:type="spellStart"/>
      <w:r w:rsidRPr="00815A39">
        <w:rPr>
          <w:rFonts w:ascii="Arial" w:hAnsi="Arial" w:cs="Arial"/>
          <w:sz w:val="20"/>
          <w:szCs w:val="20"/>
        </w:rPr>
        <w:t>Ayambire</w:t>
      </w:r>
      <w:proofErr w:type="spellEnd"/>
      <w:r w:rsidRPr="00815A39">
        <w:rPr>
          <w:rFonts w:ascii="Arial" w:hAnsi="Arial" w:cs="Arial"/>
          <w:sz w:val="20"/>
          <w:szCs w:val="20"/>
        </w:rPr>
        <w:t xml:space="preserve">, R. A., Amponsah, O., Peprah, C., &amp; Takyi, S. A. (2019). A review of practices for sustaining urban and peri-urban agriculture: Implications for land use planning in rapidly urbanising Ghanaian cities. Land Use Policy, 84, 260-277. </w:t>
      </w:r>
      <w:hyperlink r:id="rId23" w:history="1">
        <w:r w:rsidRPr="00815A39">
          <w:rPr>
            <w:rFonts w:ascii="Arial" w:hAnsi="Arial" w:cs="Arial"/>
            <w:sz w:val="20"/>
            <w:szCs w:val="20"/>
          </w:rPr>
          <w:t>https://doi.org/10.1016/j.landusepol.2019.03.004</w:t>
        </w:r>
      </w:hyperlink>
    </w:p>
    <w:p w14:paraId="7E4ED7F2" w14:textId="77777777" w:rsidR="00D17351" w:rsidRPr="00815A39" w:rsidRDefault="00D17351" w:rsidP="00815A39">
      <w:pPr>
        <w:pStyle w:val="NormalWeb"/>
        <w:spacing w:before="180" w:beforeAutospacing="0" w:after="60" w:afterAutospacing="0"/>
        <w:rPr>
          <w:rFonts w:ascii="Arial" w:hAnsi="Arial" w:cs="Arial"/>
          <w:sz w:val="20"/>
          <w:szCs w:val="20"/>
        </w:rPr>
      </w:pPr>
      <w:proofErr w:type="spellStart"/>
      <w:r w:rsidRPr="00815A39">
        <w:rPr>
          <w:rFonts w:ascii="Arial" w:hAnsi="Arial" w:cs="Arial"/>
          <w:sz w:val="20"/>
          <w:szCs w:val="20"/>
        </w:rPr>
        <w:t>Bachange</w:t>
      </w:r>
      <w:proofErr w:type="spellEnd"/>
      <w:r w:rsidRPr="00815A39">
        <w:rPr>
          <w:rFonts w:ascii="Arial" w:hAnsi="Arial" w:cs="Arial"/>
          <w:sz w:val="20"/>
          <w:szCs w:val="20"/>
        </w:rPr>
        <w:t xml:space="preserve">, </w:t>
      </w:r>
      <w:proofErr w:type="spellStart"/>
      <w:r w:rsidRPr="00815A39">
        <w:rPr>
          <w:rFonts w:ascii="Arial" w:hAnsi="Arial" w:cs="Arial"/>
          <w:sz w:val="20"/>
          <w:szCs w:val="20"/>
        </w:rPr>
        <w:t>Enchaw</w:t>
      </w:r>
      <w:proofErr w:type="spellEnd"/>
      <w:r w:rsidRPr="00815A39">
        <w:rPr>
          <w:rFonts w:ascii="Arial" w:hAnsi="Arial" w:cs="Arial"/>
          <w:sz w:val="20"/>
          <w:szCs w:val="20"/>
        </w:rPr>
        <w:t xml:space="preserve"> Gabriel. "Cultivating gender insensitive land tenure reforms and harvesting food insecurity in </w:t>
      </w:r>
      <w:proofErr w:type="spellStart"/>
      <w:r w:rsidRPr="00815A39">
        <w:rPr>
          <w:rFonts w:ascii="Arial" w:hAnsi="Arial" w:cs="Arial"/>
          <w:sz w:val="20"/>
          <w:szCs w:val="20"/>
        </w:rPr>
        <w:t>cameroon</w:t>
      </w:r>
      <w:proofErr w:type="spellEnd"/>
      <w:r w:rsidRPr="00815A39">
        <w:rPr>
          <w:rFonts w:ascii="Arial" w:hAnsi="Arial" w:cs="Arial"/>
          <w:sz w:val="20"/>
          <w:szCs w:val="20"/>
        </w:rPr>
        <w:t xml:space="preserve">, </w:t>
      </w:r>
      <w:proofErr w:type="spellStart"/>
      <w:r w:rsidRPr="00815A39">
        <w:rPr>
          <w:rFonts w:ascii="Arial" w:hAnsi="Arial" w:cs="Arial"/>
          <w:sz w:val="20"/>
          <w:szCs w:val="20"/>
        </w:rPr>
        <w:t>sub-saharan</w:t>
      </w:r>
      <w:proofErr w:type="spellEnd"/>
      <w:r w:rsidRPr="00815A39">
        <w:rPr>
          <w:rFonts w:ascii="Arial" w:hAnsi="Arial" w:cs="Arial"/>
          <w:sz w:val="20"/>
          <w:szCs w:val="20"/>
        </w:rPr>
        <w:t xml:space="preserve"> </w:t>
      </w:r>
      <w:proofErr w:type="spellStart"/>
      <w:r w:rsidRPr="00815A39">
        <w:rPr>
          <w:rFonts w:ascii="Arial" w:hAnsi="Arial" w:cs="Arial"/>
          <w:sz w:val="20"/>
          <w:szCs w:val="20"/>
        </w:rPr>
        <w:t>africa</w:t>
      </w:r>
      <w:proofErr w:type="spellEnd"/>
      <w:r w:rsidRPr="00815A39">
        <w:rPr>
          <w:rFonts w:ascii="Arial" w:hAnsi="Arial" w:cs="Arial"/>
          <w:sz w:val="20"/>
          <w:szCs w:val="20"/>
        </w:rPr>
        <w:t xml:space="preserve">." African Journal of Land Policy and Geospatial Sciences 3, no. 1 (2020): 67-79. </w:t>
      </w:r>
      <w:hyperlink r:id="rId24" w:tgtFrame="_blank" w:tooltip="DOI" w:history="1">
        <w:r w:rsidRPr="00815A39">
          <w:rPr>
            <w:rFonts w:ascii="Arial" w:hAnsi="Arial" w:cs="Arial"/>
            <w:sz w:val="20"/>
            <w:szCs w:val="20"/>
          </w:rPr>
          <w:t>https://doi.org/10.22004/ag.econ.334233</w:t>
        </w:r>
      </w:hyperlink>
    </w:p>
    <w:p w14:paraId="31BF49FD"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Battersby, Jane. "Hungry cities: a critical review of urban food security research in sub</w:t>
      </w:r>
      <w:r w:rsidRPr="00815A39">
        <w:rPr>
          <w:rFonts w:ascii="Cambria Math" w:hAnsi="Cambria Math" w:cs="Cambria Math"/>
          <w:sz w:val="20"/>
          <w:szCs w:val="20"/>
        </w:rPr>
        <w:t>‐</w:t>
      </w:r>
      <w:r w:rsidRPr="00815A39">
        <w:rPr>
          <w:rFonts w:ascii="Arial" w:hAnsi="Arial" w:cs="Arial"/>
          <w:sz w:val="20"/>
          <w:szCs w:val="20"/>
        </w:rPr>
        <w:t>Saharan African cities." Geography Compass 7, no. 7 (2013): 452-463.  </w:t>
      </w:r>
      <w:hyperlink r:id="rId25" w:history="1">
        <w:r w:rsidRPr="00815A39">
          <w:rPr>
            <w:rFonts w:ascii="Arial" w:hAnsi="Arial" w:cs="Arial"/>
            <w:sz w:val="20"/>
            <w:szCs w:val="20"/>
          </w:rPr>
          <w:t>https://doi.org/10.1111/gec3.12053</w:t>
        </w:r>
      </w:hyperlink>
    </w:p>
    <w:p w14:paraId="1286381E"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Bhanye, Johannes. "‘Emerging forms of spatialised and socialised </w:t>
      </w:r>
      <w:proofErr w:type="spellStart"/>
      <w:r w:rsidRPr="00815A39">
        <w:rPr>
          <w:rFonts w:ascii="Arial" w:hAnsi="Arial" w:cs="Arial"/>
          <w:sz w:val="20"/>
          <w:szCs w:val="20"/>
        </w:rPr>
        <w:t>authority’among</w:t>
      </w:r>
      <w:proofErr w:type="spellEnd"/>
      <w:r w:rsidRPr="00815A39">
        <w:rPr>
          <w:rFonts w:ascii="Arial" w:hAnsi="Arial" w:cs="Arial"/>
          <w:sz w:val="20"/>
          <w:szCs w:val="20"/>
        </w:rPr>
        <w:t xml:space="preserve"> ‘tenure-insecure peri-urbanites’ in African peri-urban spaces." Pan-African Conversations 1, no. 2 (2023): 26-63. </w:t>
      </w:r>
      <w:hyperlink r:id="rId26" w:history="1">
        <w:r w:rsidRPr="00815A39">
          <w:rPr>
            <w:rFonts w:ascii="Arial" w:hAnsi="Arial" w:cs="Arial"/>
            <w:sz w:val="20"/>
            <w:szCs w:val="20"/>
          </w:rPr>
          <w:t>https://www.jstor.org/stable/48794427</w:t>
        </w:r>
      </w:hyperlink>
    </w:p>
    <w:p w14:paraId="42239C22"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Boneya, Dube Jara, Ahmed Ali Ahmed, and Alemayehu Worku Yalew. "The effect of gender on food insecurity among HIV-infected people receiving anti-retroviral therapy: a systematic review and meta-analysis." </w:t>
      </w:r>
      <w:proofErr w:type="spellStart"/>
      <w:r w:rsidRPr="00815A39">
        <w:rPr>
          <w:rFonts w:ascii="Arial" w:hAnsi="Arial" w:cs="Arial"/>
          <w:sz w:val="20"/>
          <w:szCs w:val="20"/>
        </w:rPr>
        <w:t>PloS</w:t>
      </w:r>
      <w:proofErr w:type="spellEnd"/>
      <w:r w:rsidRPr="00815A39">
        <w:rPr>
          <w:rFonts w:ascii="Arial" w:hAnsi="Arial" w:cs="Arial"/>
          <w:sz w:val="20"/>
          <w:szCs w:val="20"/>
        </w:rPr>
        <w:t xml:space="preserve"> one 14, no. 1 (2019): e0209903. DOI: </w:t>
      </w:r>
      <w:hyperlink r:id="rId27" w:tgtFrame="_blank" w:history="1">
        <w:r w:rsidRPr="00815A39">
          <w:rPr>
            <w:rFonts w:ascii="Arial" w:hAnsi="Arial" w:cs="Arial"/>
            <w:sz w:val="20"/>
            <w:szCs w:val="20"/>
          </w:rPr>
          <w:t>10.1371/journal.pone.0209903</w:t>
        </w:r>
      </w:hyperlink>
    </w:p>
    <w:p w14:paraId="6B2997E5"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BORRAS JR, S.M. and FRANCO, J.C. (2012), Global Land Grabbing and Trajectories of Agrarian Change: A Preliminary Analysis. Journal of Agrarian Change, 12: 34-59. </w:t>
      </w:r>
      <w:hyperlink r:id="rId28" w:history="1">
        <w:r w:rsidRPr="00815A39">
          <w:rPr>
            <w:rFonts w:ascii="Arial" w:hAnsi="Arial" w:cs="Arial"/>
            <w:sz w:val="20"/>
            <w:szCs w:val="20"/>
          </w:rPr>
          <w:t>https://doi.org/10.1111/j.1471-0366.2011.00339.x</w:t>
        </w:r>
      </w:hyperlink>
    </w:p>
    <w:p w14:paraId="35B51A56"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Chambers, Robert &amp; Conway, Gordon. (1992). Sustainable rural livelihoods: practical concepts for the 21st century. IDS Discussion Paper. 296. </w:t>
      </w:r>
      <w:hyperlink r:id="rId29" w:history="1">
        <w:r w:rsidRPr="00815A39">
          <w:rPr>
            <w:rFonts w:ascii="Arial" w:hAnsi="Arial" w:cs="Arial"/>
            <w:sz w:val="20"/>
            <w:szCs w:val="20"/>
          </w:rPr>
          <w:t>https://opendocs.ids.ac.uk/articles/report/Sustainable_rural_livelihoods_practical_concepts_for_the_21st_century/26473510/1</w:t>
        </w:r>
      </w:hyperlink>
    </w:p>
    <w:p w14:paraId="7FC02FAD"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Chant, S. (2006) Re-Thinking the “Feminization of Poverty” in Relation to Aggregate Gender Indices. Journal of Human Development, 7, 2.</w:t>
      </w:r>
      <w:r w:rsidRPr="00815A39">
        <w:rPr>
          <w:rFonts w:ascii="Arial" w:hAnsi="Arial" w:cs="Arial"/>
          <w:sz w:val="20"/>
          <w:szCs w:val="20"/>
        </w:rPr>
        <w:br/>
        <w:t>http://personal.lse.ac.uk/chant/chantpdfs/Chant_JHD_PDF.pdf</w:t>
      </w:r>
      <w:r w:rsidRPr="00815A39">
        <w:rPr>
          <w:rFonts w:ascii="Arial" w:hAnsi="Arial" w:cs="Arial"/>
          <w:sz w:val="20"/>
          <w:szCs w:val="20"/>
        </w:rPr>
        <w:br/>
      </w:r>
      <w:hyperlink r:id="rId30" w:history="1">
        <w:r w:rsidRPr="00815A39">
          <w:rPr>
            <w:rFonts w:ascii="Arial" w:hAnsi="Arial" w:cs="Arial"/>
            <w:sz w:val="20"/>
            <w:szCs w:val="20"/>
          </w:rPr>
          <w:t>https://doi.org/10.1080/14649880600768538</w:t>
        </w:r>
      </w:hyperlink>
    </w:p>
    <w:p w14:paraId="0AF20945"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Cheryl Doss &amp; Ruth Meinzen-Dick &amp; Allan Bomuhangi, 2014. "</w:t>
      </w:r>
      <w:hyperlink r:id="rId31" w:history="1">
        <w:r w:rsidRPr="00815A39">
          <w:rPr>
            <w:rFonts w:ascii="Arial" w:hAnsi="Arial" w:cs="Arial"/>
            <w:sz w:val="20"/>
            <w:szCs w:val="20"/>
          </w:rPr>
          <w:t>Who Owns the Land? Perspectives from Rural Ugandans and Implications for Large-Scale Land Acquisitions</w:t>
        </w:r>
      </w:hyperlink>
      <w:r w:rsidRPr="00815A39">
        <w:rPr>
          <w:rFonts w:ascii="Arial" w:hAnsi="Arial" w:cs="Arial"/>
          <w:sz w:val="20"/>
          <w:szCs w:val="20"/>
        </w:rPr>
        <w:t>," </w:t>
      </w:r>
      <w:hyperlink r:id="rId32" w:history="1">
        <w:r w:rsidRPr="00815A39">
          <w:rPr>
            <w:rFonts w:ascii="Arial" w:hAnsi="Arial" w:cs="Arial"/>
            <w:sz w:val="20"/>
            <w:szCs w:val="20"/>
          </w:rPr>
          <w:t>Feminist Economics</w:t>
        </w:r>
      </w:hyperlink>
      <w:r w:rsidRPr="00815A39">
        <w:rPr>
          <w:rFonts w:ascii="Arial" w:hAnsi="Arial" w:cs="Arial"/>
          <w:sz w:val="20"/>
          <w:szCs w:val="20"/>
        </w:rPr>
        <w:t>, Taylor &amp; Francis Journals, vol. 20(1), pages 76-100, January.</w:t>
      </w:r>
    </w:p>
    <w:p w14:paraId="025A54A4"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Chigbu, Uchendu Eugene, Gaynor Paradza, and Walter Dachaga. 2019. “Differentiations in Women’s Land Tenure Experiences: Implications for Women’s Land Access and Tenure Security in Sub-Saharan Africa.” </w:t>
      </w:r>
      <w:r w:rsidRPr="00815A39">
        <w:rPr>
          <w:rFonts w:ascii="Arial" w:hAnsi="Arial" w:cs="Arial"/>
          <w:i/>
          <w:iCs/>
          <w:sz w:val="20"/>
          <w:szCs w:val="20"/>
        </w:rPr>
        <w:t>Land</w:t>
      </w:r>
      <w:r w:rsidRPr="00815A39">
        <w:rPr>
          <w:rFonts w:ascii="Arial" w:hAnsi="Arial" w:cs="Arial"/>
          <w:sz w:val="20"/>
          <w:szCs w:val="20"/>
        </w:rPr>
        <w:t xml:space="preserve"> 8 (2): 22. </w:t>
      </w:r>
      <w:hyperlink r:id="rId33" w:history="1">
        <w:r w:rsidRPr="00815A39">
          <w:rPr>
            <w:rFonts w:ascii="Arial" w:hAnsi="Arial" w:cs="Arial"/>
            <w:sz w:val="20"/>
            <w:szCs w:val="20"/>
          </w:rPr>
          <w:t>https://doi.org/10.3390/land8020022</w:t>
        </w:r>
      </w:hyperlink>
    </w:p>
    <w:p w14:paraId="5E6DD05F"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Chop, Elisabeth, Avani Duggaraju, Angela Malley, Virginia Burke, Stephanie Caldas, Ping Teresa Yeh, </w:t>
      </w:r>
      <w:proofErr w:type="spellStart"/>
      <w:r w:rsidRPr="00815A39">
        <w:rPr>
          <w:rFonts w:ascii="Arial" w:hAnsi="Arial" w:cs="Arial"/>
          <w:sz w:val="20"/>
          <w:szCs w:val="20"/>
        </w:rPr>
        <w:t>Manjulaa</w:t>
      </w:r>
      <w:proofErr w:type="spellEnd"/>
      <w:r w:rsidRPr="00815A39">
        <w:rPr>
          <w:rFonts w:ascii="Arial" w:hAnsi="Arial" w:cs="Arial"/>
          <w:sz w:val="20"/>
          <w:szCs w:val="20"/>
        </w:rPr>
        <w:t xml:space="preserve"> Narasimhan, </w:t>
      </w:r>
      <w:proofErr w:type="spellStart"/>
      <w:r w:rsidRPr="00815A39">
        <w:rPr>
          <w:rFonts w:ascii="Arial" w:hAnsi="Arial" w:cs="Arial"/>
          <w:sz w:val="20"/>
          <w:szCs w:val="20"/>
        </w:rPr>
        <w:t>Avni</w:t>
      </w:r>
      <w:proofErr w:type="spellEnd"/>
      <w:r w:rsidRPr="00815A39">
        <w:rPr>
          <w:rFonts w:ascii="Arial" w:hAnsi="Arial" w:cs="Arial"/>
          <w:sz w:val="20"/>
          <w:szCs w:val="20"/>
        </w:rPr>
        <w:t xml:space="preserve"> Amin, and Caitlin E. Kennedy. "Food insecurity, sexual risk </w:t>
      </w:r>
      <w:proofErr w:type="spellStart"/>
      <w:r w:rsidRPr="00815A39">
        <w:rPr>
          <w:rFonts w:ascii="Arial" w:hAnsi="Arial" w:cs="Arial"/>
          <w:sz w:val="20"/>
          <w:szCs w:val="20"/>
        </w:rPr>
        <w:t>behavior</w:t>
      </w:r>
      <w:proofErr w:type="spellEnd"/>
      <w:r w:rsidRPr="00815A39">
        <w:rPr>
          <w:rFonts w:ascii="Arial" w:hAnsi="Arial" w:cs="Arial"/>
          <w:sz w:val="20"/>
          <w:szCs w:val="20"/>
        </w:rPr>
        <w:t xml:space="preserve">, and adherence to antiretroviral therapy among women living with HIV: a </w:t>
      </w:r>
      <w:r w:rsidRPr="00815A39">
        <w:rPr>
          <w:rFonts w:ascii="Arial" w:hAnsi="Arial" w:cs="Arial"/>
          <w:sz w:val="20"/>
          <w:szCs w:val="20"/>
        </w:rPr>
        <w:lastRenderedPageBreak/>
        <w:t>systematic review." Health care for women international 38, no. 9 (2017): 927-944. DOI: </w:t>
      </w:r>
      <w:hyperlink r:id="rId34" w:tgtFrame="_blank" w:history="1">
        <w:r w:rsidRPr="00815A39">
          <w:rPr>
            <w:rFonts w:ascii="Arial" w:hAnsi="Arial" w:cs="Arial"/>
            <w:sz w:val="20"/>
            <w:szCs w:val="20"/>
          </w:rPr>
          <w:t>10.1080/07399332.2017.1337774</w:t>
        </w:r>
      </w:hyperlink>
    </w:p>
    <w:p w14:paraId="35DFC094"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Cofie, Evelyn N. K. 2015. Effects of Urbanization on Access to Livelihood Resources: Experiences of Farm Families in the Ga West Municipality, Ghana. University of Ghana, MPhil thesis. </w:t>
      </w:r>
      <w:hyperlink r:id="rId35" w:history="1">
        <w:r w:rsidRPr="00815A39">
          <w:rPr>
            <w:rFonts w:ascii="Arial" w:hAnsi="Arial" w:cs="Arial"/>
            <w:sz w:val="20"/>
            <w:szCs w:val="20"/>
          </w:rPr>
          <w:t>http://ugspace.ug.edu.gh/handle/123456789/22613</w:t>
        </w:r>
      </w:hyperlink>
    </w:p>
    <w:p w14:paraId="63EBC61B"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Cook, Brian, Ann Trevenen-Jones, and Bhavna Sivasubramanian. "Nutritional, economic, social, and governance implications of traditional food markets for vulnerable populations in sub-Saharan Africa: a systematic narrative review." Frontiers in Sustainable Food Systems 8 (2024): 1382383. </w:t>
      </w:r>
      <w:hyperlink r:id="rId36" w:history="1">
        <w:r w:rsidRPr="00815A39">
          <w:rPr>
            <w:rFonts w:ascii="Arial" w:hAnsi="Arial" w:cs="Arial"/>
            <w:sz w:val="20"/>
            <w:szCs w:val="20"/>
          </w:rPr>
          <w:t>https://doi.org/10.3389/fsufs.2024.1382383</w:t>
        </w:r>
      </w:hyperlink>
    </w:p>
    <w:p w14:paraId="671BD991"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Crenshaw, Kimberle (1989) "Demarginalizing the Intersection of Race and Sex: A Black Feminist Critique of Antidiscrimination Doctrine, Feminist Theory and Antiracist Politics," University of Chicago Legal Forum: Vol. 1989, Article 8.</w:t>
      </w:r>
      <w:r w:rsidRPr="00815A39">
        <w:rPr>
          <w:rFonts w:ascii="Arial" w:hAnsi="Arial" w:cs="Arial"/>
          <w:sz w:val="20"/>
          <w:szCs w:val="20"/>
        </w:rPr>
        <w:br/>
        <w:t xml:space="preserve">Available at: </w:t>
      </w:r>
      <w:hyperlink r:id="rId37" w:history="1">
        <w:r w:rsidRPr="00815A39">
          <w:rPr>
            <w:rFonts w:ascii="Arial" w:hAnsi="Arial" w:cs="Arial"/>
            <w:sz w:val="20"/>
            <w:szCs w:val="20"/>
          </w:rPr>
          <w:t>https://chicagounbound.uchicago.edu/uclf/vol1989/iss1/8</w:t>
        </w:r>
      </w:hyperlink>
    </w:p>
    <w:p w14:paraId="32766EC3"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Crush, J. S., &amp; Frayne, G. B. (2011). Urban food insecurity and the new international food security agenda. Development Southern Africa, 28(4), 527–544. </w:t>
      </w:r>
      <w:hyperlink r:id="rId38" w:history="1">
        <w:r w:rsidRPr="00815A39">
          <w:rPr>
            <w:rFonts w:ascii="Arial" w:hAnsi="Arial" w:cs="Arial"/>
            <w:sz w:val="20"/>
            <w:szCs w:val="20"/>
          </w:rPr>
          <w:t>https://doi.org/10.1080/0376835X.2011.605571</w:t>
        </w:r>
      </w:hyperlink>
    </w:p>
    <w:p w14:paraId="0483F593"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Danso, George K., Olufunke O. Cofie, L. </w:t>
      </w:r>
      <w:proofErr w:type="spellStart"/>
      <w:r w:rsidRPr="00815A39">
        <w:rPr>
          <w:rFonts w:ascii="Arial" w:hAnsi="Arial" w:cs="Arial"/>
          <w:sz w:val="20"/>
          <w:szCs w:val="20"/>
        </w:rPr>
        <w:t>Annang</w:t>
      </w:r>
      <w:proofErr w:type="spellEnd"/>
      <w:r w:rsidRPr="00815A39">
        <w:rPr>
          <w:rFonts w:ascii="Arial" w:hAnsi="Arial" w:cs="Arial"/>
          <w:sz w:val="20"/>
          <w:szCs w:val="20"/>
        </w:rPr>
        <w:t xml:space="preserve">, Emmanuel </w:t>
      </w:r>
      <w:proofErr w:type="spellStart"/>
      <w:r w:rsidRPr="00815A39">
        <w:rPr>
          <w:rFonts w:ascii="Arial" w:hAnsi="Arial" w:cs="Arial"/>
          <w:sz w:val="20"/>
          <w:szCs w:val="20"/>
        </w:rPr>
        <w:t>Obuobie</w:t>
      </w:r>
      <w:proofErr w:type="spellEnd"/>
      <w:r w:rsidRPr="00815A39">
        <w:rPr>
          <w:rFonts w:ascii="Arial" w:hAnsi="Arial" w:cs="Arial"/>
          <w:sz w:val="20"/>
          <w:szCs w:val="20"/>
        </w:rPr>
        <w:t xml:space="preserve">, and Bernard N. </w:t>
      </w:r>
      <w:proofErr w:type="spellStart"/>
      <w:r w:rsidRPr="00815A39">
        <w:rPr>
          <w:rFonts w:ascii="Arial" w:hAnsi="Arial" w:cs="Arial"/>
          <w:sz w:val="20"/>
          <w:szCs w:val="20"/>
        </w:rPr>
        <w:t>Keraita</w:t>
      </w:r>
      <w:proofErr w:type="spellEnd"/>
      <w:r w:rsidRPr="00815A39">
        <w:rPr>
          <w:rFonts w:ascii="Arial" w:hAnsi="Arial" w:cs="Arial"/>
          <w:sz w:val="20"/>
          <w:szCs w:val="20"/>
        </w:rPr>
        <w:t xml:space="preserve">. "Gender and urban agriculture: the case of Accra, Ghana." (2004). </w:t>
      </w:r>
      <w:hyperlink r:id="rId39" w:tgtFrame="_blank" w:history="1">
        <w:r w:rsidRPr="00815A39">
          <w:rPr>
            <w:rFonts w:ascii="Arial" w:hAnsi="Arial" w:cs="Arial"/>
            <w:sz w:val="20"/>
            <w:szCs w:val="20"/>
          </w:rPr>
          <w:t>https://hdl.handle.net/10568/38055</w:t>
        </w:r>
      </w:hyperlink>
    </w:p>
    <w:p w14:paraId="5D12AA49" w14:textId="77777777" w:rsidR="00704DD2" w:rsidRPr="00C635AA" w:rsidRDefault="00704DD2" w:rsidP="00C635AA">
      <w:pPr>
        <w:pStyle w:val="NormalWeb"/>
        <w:spacing w:before="180" w:beforeAutospacing="0" w:after="60" w:afterAutospacing="0"/>
        <w:rPr>
          <w:rFonts w:ascii="Arial" w:hAnsi="Arial" w:cs="Arial"/>
          <w:sz w:val="20"/>
          <w:szCs w:val="20"/>
        </w:rPr>
      </w:pPr>
      <w:r w:rsidRPr="00C635AA">
        <w:rPr>
          <w:rFonts w:ascii="Arial" w:hAnsi="Arial" w:cs="Arial"/>
          <w:sz w:val="20"/>
          <w:szCs w:val="20"/>
        </w:rPr>
        <w:t>Davies, Julia, Corrie Hannah, Zack Guido, Andrew Zimmer, Laura McCann, Jane Battersby, and Tom Evans. "Barriers to urban agriculture in Sub-Saharan Africa." Food Policy 103 (2021): 101999.</w:t>
      </w:r>
    </w:p>
    <w:p w14:paraId="5570CDDC" w14:textId="77777777" w:rsidR="00D17351" w:rsidRDefault="00D17351" w:rsidP="00815A39">
      <w:pPr>
        <w:pStyle w:val="NormalWeb"/>
        <w:spacing w:before="180" w:beforeAutospacing="0" w:after="60" w:afterAutospacing="0"/>
      </w:pPr>
      <w:r w:rsidRPr="00815A39">
        <w:rPr>
          <w:rFonts w:ascii="Arial" w:hAnsi="Arial" w:cs="Arial"/>
          <w:sz w:val="20"/>
          <w:szCs w:val="20"/>
        </w:rPr>
        <w:t xml:space="preserve">de Bruin, Sophie, Just Dengerink, and Jasper van Vliet. "Urbanisation as driver of food system transformation and opportunities for rural livelihoods." Food Security 13, no. 4 (2021): 781-798. </w:t>
      </w:r>
      <w:hyperlink r:id="rId40" w:tgtFrame="_blank" w:history="1">
        <w:r w:rsidRPr="00815A39">
          <w:rPr>
            <w:rFonts w:ascii="Arial" w:hAnsi="Arial" w:cs="Arial"/>
            <w:sz w:val="20"/>
            <w:szCs w:val="20"/>
          </w:rPr>
          <w:t>10.1007/s12571-021-01182-8</w:t>
        </w:r>
      </w:hyperlink>
    </w:p>
    <w:p w14:paraId="07AD274D" w14:textId="77777777" w:rsidR="00DB0572" w:rsidRPr="00704DD2" w:rsidRDefault="00DB0572" w:rsidP="00704DD2">
      <w:pPr>
        <w:pStyle w:val="NormalWeb"/>
        <w:shd w:val="clear" w:color="auto" w:fill="D9FFD9"/>
        <w:spacing w:before="180" w:after="60"/>
        <w:rPr>
          <w:rFonts w:ascii="Arial" w:hAnsi="Arial" w:cs="Arial"/>
          <w:sz w:val="20"/>
          <w:szCs w:val="20"/>
        </w:rPr>
      </w:pPr>
      <w:r w:rsidRPr="00704DD2">
        <w:rPr>
          <w:rFonts w:ascii="Arial" w:hAnsi="Arial" w:cs="Arial"/>
          <w:sz w:val="20"/>
          <w:szCs w:val="20"/>
        </w:rPr>
        <w:t>Deka, M. (2024). Women’s Land Rights in Africa: Societal Demands and Challenges. International Journal of Fundamental and Multidisciplinary Research, 5(5), 28721. https://www.ijfmr.com/papers/2024/5/28721.pdf</w:t>
      </w:r>
    </w:p>
    <w:p w14:paraId="6396595F"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Djurfeldt, Agnes Andersson. "Gendered land rights, legal reform and social norms in the context of land fragmentation-A review of the literature for Kenya, Rwanda and Uganda." Land Use Policy 90 (2020): 104305. </w:t>
      </w:r>
      <w:hyperlink r:id="rId41" w:tgtFrame="_blank" w:tooltip="Persistent link using digital object identifier" w:history="1">
        <w:r w:rsidRPr="00815A39">
          <w:rPr>
            <w:rFonts w:ascii="Arial" w:hAnsi="Arial" w:cs="Arial"/>
            <w:sz w:val="20"/>
            <w:szCs w:val="20"/>
          </w:rPr>
          <w:t>https://doi.org/10.1016/j.landusepol.2019.104305</w:t>
        </w:r>
      </w:hyperlink>
    </w:p>
    <w:p w14:paraId="19EF734C"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Domenech, Laia. "The impact of irrigation on nutrition, health, and gender: A review paper with insights for Africa south of the Sahara." (2013). https://doi.org/10.2139/SSRN.2249812</w:t>
      </w:r>
    </w:p>
    <w:p w14:paraId="1226DFA9"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Doss, Cheryl, and Ruth Meinzen-Dick. "Land tenure security for women: A conceptual framework." Land Use Policy 99 (2020): 105080. </w:t>
      </w:r>
      <w:hyperlink r:id="rId42" w:tgtFrame="_blank" w:tooltip="Persistent link using digital object identifier" w:history="1">
        <w:r w:rsidRPr="00815A39">
          <w:rPr>
            <w:rFonts w:ascii="Arial" w:hAnsi="Arial" w:cs="Arial"/>
            <w:sz w:val="20"/>
            <w:szCs w:val="20"/>
          </w:rPr>
          <w:t>https://doi.org/10.1016/j.landusepol.2020.105080</w:t>
        </w:r>
      </w:hyperlink>
    </w:p>
    <w:p w14:paraId="785F20F2"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Doss, Cheryl, Chiara Kovarik, Amber Peterman, Agnes R. Quisumbing, and Mara van den Bold. "Gender inequalities in ownership and control of land in Africa: Myths versus reality." (2015). </w:t>
      </w:r>
      <w:hyperlink r:id="rId43" w:tgtFrame="_blank" w:history="1">
        <w:r w:rsidRPr="00815A39">
          <w:rPr>
            <w:rFonts w:ascii="Arial" w:hAnsi="Arial" w:cs="Arial"/>
            <w:sz w:val="20"/>
            <w:szCs w:val="20"/>
          </w:rPr>
          <w:t>10.1111/agec.12171</w:t>
        </w:r>
      </w:hyperlink>
    </w:p>
    <w:p w14:paraId="747FD9D9"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Doss, Cheryl, Gale Summerfield, and </w:t>
      </w:r>
      <w:proofErr w:type="spellStart"/>
      <w:r w:rsidRPr="00815A39">
        <w:rPr>
          <w:rFonts w:ascii="Arial" w:hAnsi="Arial" w:cs="Arial"/>
          <w:sz w:val="20"/>
          <w:szCs w:val="20"/>
        </w:rPr>
        <w:t>Dzodzi</w:t>
      </w:r>
      <w:proofErr w:type="spellEnd"/>
      <w:r w:rsidRPr="00815A39">
        <w:rPr>
          <w:rFonts w:ascii="Arial" w:hAnsi="Arial" w:cs="Arial"/>
          <w:sz w:val="20"/>
          <w:szCs w:val="20"/>
        </w:rPr>
        <w:t xml:space="preserve"> </w:t>
      </w:r>
      <w:proofErr w:type="spellStart"/>
      <w:r w:rsidRPr="00815A39">
        <w:rPr>
          <w:rFonts w:ascii="Arial" w:hAnsi="Arial" w:cs="Arial"/>
          <w:sz w:val="20"/>
          <w:szCs w:val="20"/>
        </w:rPr>
        <w:t>Tsikata</w:t>
      </w:r>
      <w:proofErr w:type="spellEnd"/>
      <w:r w:rsidRPr="00815A39">
        <w:rPr>
          <w:rFonts w:ascii="Arial" w:hAnsi="Arial" w:cs="Arial"/>
          <w:sz w:val="20"/>
          <w:szCs w:val="20"/>
        </w:rPr>
        <w:t xml:space="preserve">. "Land, gender, and food security." Feminist economics 20, no. 1 (2014): 1-23. </w:t>
      </w:r>
      <w:hyperlink r:id="rId44" w:tgtFrame="_blank" w:history="1">
        <w:r w:rsidRPr="00815A39">
          <w:rPr>
            <w:rFonts w:ascii="Arial" w:hAnsi="Arial" w:cs="Arial"/>
            <w:sz w:val="20"/>
            <w:szCs w:val="20"/>
          </w:rPr>
          <w:t>10.1080/13545701.2014.895021</w:t>
        </w:r>
      </w:hyperlink>
    </w:p>
    <w:p w14:paraId="67D55670"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lastRenderedPageBreak/>
        <w:t xml:space="preserve">Doss, Cheryl. (2014). If Women Hold Up Half the Sky, How Much of the World’s Food Do They </w:t>
      </w:r>
      <w:proofErr w:type="gramStart"/>
      <w:r w:rsidRPr="00815A39">
        <w:rPr>
          <w:rFonts w:ascii="Arial" w:hAnsi="Arial" w:cs="Arial"/>
          <w:sz w:val="20"/>
          <w:szCs w:val="20"/>
        </w:rPr>
        <w:t>Produce?.</w:t>
      </w:r>
      <w:proofErr w:type="gramEnd"/>
      <w:r w:rsidRPr="00815A39">
        <w:rPr>
          <w:rFonts w:ascii="Arial" w:hAnsi="Arial" w:cs="Arial"/>
          <w:sz w:val="20"/>
          <w:szCs w:val="20"/>
        </w:rPr>
        <w:t xml:space="preserve"> </w:t>
      </w:r>
      <w:hyperlink r:id="rId45" w:tgtFrame="_blank" w:history="1">
        <w:r w:rsidRPr="00815A39">
          <w:rPr>
            <w:rFonts w:ascii="Arial" w:hAnsi="Arial" w:cs="Arial"/>
            <w:sz w:val="20"/>
            <w:szCs w:val="20"/>
          </w:rPr>
          <w:t>10.1007/978-94-017-8616-4_4</w:t>
        </w:r>
      </w:hyperlink>
    </w:p>
    <w:p w14:paraId="7E61E338" w14:textId="432E3A85"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Elwood, Sarah. 2006. “Negotiating Knowledge Production: The Everyday Inclusions, Exclusions, and Contradictions of Participatory GIS Research</w:t>
      </w:r>
      <w:r w:rsidRPr="00815A39">
        <w:rPr>
          <w:rFonts w:ascii="Cambria Math" w:hAnsi="Cambria Math" w:cs="Cambria Math"/>
          <w:sz w:val="20"/>
          <w:szCs w:val="20"/>
        </w:rPr>
        <w:t>∗</w:t>
      </w:r>
      <w:r w:rsidRPr="00815A39">
        <w:rPr>
          <w:rFonts w:ascii="Arial" w:hAnsi="Arial" w:cs="Arial"/>
          <w:sz w:val="20"/>
          <w:szCs w:val="20"/>
        </w:rPr>
        <w:t>.” The Professional Geographer 58 (2): 197–208. doi:10.1111/j.1467-9272.2006.</w:t>
      </w:r>
      <w:proofErr w:type="gramStart"/>
      <w:r w:rsidRPr="00815A39">
        <w:rPr>
          <w:rFonts w:ascii="Arial" w:hAnsi="Arial" w:cs="Arial"/>
          <w:sz w:val="20"/>
          <w:szCs w:val="20"/>
        </w:rPr>
        <w:t>00526.x.</w:t>
      </w:r>
      <w:proofErr w:type="gramEnd"/>
    </w:p>
    <w:p w14:paraId="0C56E810"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FAO. 2011. </w:t>
      </w:r>
      <w:r w:rsidRPr="00815A39">
        <w:rPr>
          <w:rFonts w:ascii="Arial" w:hAnsi="Arial" w:cs="Arial"/>
          <w:i/>
          <w:iCs/>
          <w:sz w:val="20"/>
          <w:szCs w:val="20"/>
        </w:rPr>
        <w:t>The Role of Women in Agriculture</w:t>
      </w:r>
      <w:r w:rsidRPr="00815A39">
        <w:rPr>
          <w:rFonts w:ascii="Arial" w:hAnsi="Arial" w:cs="Arial"/>
          <w:sz w:val="20"/>
          <w:szCs w:val="20"/>
        </w:rPr>
        <w:t xml:space="preserve">. Rome: Food and Agriculture Organization of the United Nations. </w:t>
      </w:r>
      <w:hyperlink r:id="rId46" w:history="1">
        <w:r w:rsidRPr="00815A39">
          <w:rPr>
            <w:rFonts w:ascii="Arial" w:hAnsi="Arial" w:cs="Arial"/>
            <w:sz w:val="20"/>
            <w:szCs w:val="20"/>
          </w:rPr>
          <w:t>https://doi.org/10.18356/ca0215ed-en</w:t>
        </w:r>
      </w:hyperlink>
    </w:p>
    <w:p w14:paraId="550D974D" w14:textId="77777777" w:rsidR="00DB0572" w:rsidRPr="000A19A2" w:rsidRDefault="00DB0572" w:rsidP="000A19A2">
      <w:pPr>
        <w:pStyle w:val="NormalWeb"/>
        <w:shd w:val="clear" w:color="auto" w:fill="D9FFD9"/>
        <w:spacing w:before="180" w:after="60"/>
        <w:rPr>
          <w:rFonts w:ascii="Arial" w:hAnsi="Arial" w:cs="Arial"/>
          <w:sz w:val="20"/>
          <w:szCs w:val="20"/>
        </w:rPr>
      </w:pPr>
      <w:r w:rsidRPr="000A19A2">
        <w:rPr>
          <w:rFonts w:ascii="Arial" w:hAnsi="Arial" w:cs="Arial"/>
          <w:sz w:val="20"/>
          <w:szCs w:val="20"/>
        </w:rPr>
        <w:t>Feminist Africa Collective. (2024). Rethinking African Feminisms in the “New” Normal. Feminist Africa, 5(2). https://feministafrica.net/wp-content/uploads/2024/08/FA-Volume-5-Issue-2.pdf</w:t>
      </w:r>
    </w:p>
    <w:p w14:paraId="7D116615" w14:textId="46161ED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Francis, </w:t>
      </w:r>
      <w:proofErr w:type="spellStart"/>
      <w:r w:rsidRPr="00815A39">
        <w:rPr>
          <w:rFonts w:ascii="Arial" w:hAnsi="Arial" w:cs="Arial"/>
          <w:sz w:val="20"/>
          <w:szCs w:val="20"/>
        </w:rPr>
        <w:t>Adarkwah</w:t>
      </w:r>
      <w:proofErr w:type="spellEnd"/>
      <w:r w:rsidRPr="00815A39">
        <w:rPr>
          <w:rFonts w:ascii="Arial" w:hAnsi="Arial" w:cs="Arial"/>
          <w:sz w:val="20"/>
          <w:szCs w:val="20"/>
        </w:rPr>
        <w:t xml:space="preserve"> &amp; Annan </w:t>
      </w:r>
      <w:proofErr w:type="spellStart"/>
      <w:r w:rsidRPr="00815A39">
        <w:rPr>
          <w:rFonts w:ascii="Arial" w:hAnsi="Arial" w:cs="Arial"/>
          <w:sz w:val="20"/>
          <w:szCs w:val="20"/>
        </w:rPr>
        <w:t>Twumasi</w:t>
      </w:r>
      <w:proofErr w:type="spellEnd"/>
      <w:r w:rsidRPr="00815A39">
        <w:rPr>
          <w:rFonts w:ascii="Arial" w:hAnsi="Arial" w:cs="Arial"/>
          <w:sz w:val="20"/>
          <w:szCs w:val="20"/>
        </w:rPr>
        <w:t xml:space="preserve">, Stephen &amp; </w:t>
      </w:r>
      <w:proofErr w:type="spellStart"/>
      <w:r w:rsidRPr="00815A39">
        <w:rPr>
          <w:rFonts w:ascii="Arial" w:hAnsi="Arial" w:cs="Arial"/>
          <w:sz w:val="20"/>
          <w:szCs w:val="20"/>
        </w:rPr>
        <w:t>Anyamesem-Poku</w:t>
      </w:r>
      <w:proofErr w:type="spellEnd"/>
      <w:r w:rsidRPr="00815A39">
        <w:rPr>
          <w:rFonts w:ascii="Arial" w:hAnsi="Arial" w:cs="Arial"/>
          <w:sz w:val="20"/>
          <w:szCs w:val="20"/>
        </w:rPr>
        <w:t xml:space="preserve">, Anthony &amp; Santiago, Prince &amp; </w:t>
      </w:r>
      <w:proofErr w:type="spellStart"/>
      <w:r w:rsidRPr="00815A39">
        <w:rPr>
          <w:rFonts w:ascii="Arial" w:hAnsi="Arial" w:cs="Arial"/>
          <w:sz w:val="20"/>
          <w:szCs w:val="20"/>
        </w:rPr>
        <w:t>Sanful</w:t>
      </w:r>
      <w:proofErr w:type="spellEnd"/>
      <w:r w:rsidRPr="00815A39">
        <w:rPr>
          <w:rFonts w:ascii="Arial" w:hAnsi="Arial" w:cs="Arial"/>
          <w:sz w:val="20"/>
          <w:szCs w:val="20"/>
        </w:rPr>
        <w:t xml:space="preserve">, Peter. (2018). Real Estate Development and Land Grabbing in Ghana: A Review of Impact and Policy Responses. 119-126. </w:t>
      </w:r>
      <w:hyperlink r:id="rId47" w:history="1">
        <w:r w:rsidRPr="00815A39">
          <w:rPr>
            <w:rFonts w:ascii="Arial" w:hAnsi="Arial" w:cs="Arial"/>
            <w:sz w:val="20"/>
            <w:szCs w:val="20"/>
          </w:rPr>
          <w:t>https://doi.org/10.12691/jfs-6-3-4</w:t>
        </w:r>
      </w:hyperlink>
    </w:p>
    <w:p w14:paraId="1F861D48" w14:textId="77777777" w:rsidR="00D17351" w:rsidRPr="00815A39" w:rsidRDefault="00D17351" w:rsidP="00815A39">
      <w:pPr>
        <w:pStyle w:val="NormalWeb"/>
        <w:spacing w:before="180" w:beforeAutospacing="0" w:after="60" w:afterAutospacing="0"/>
        <w:rPr>
          <w:rFonts w:ascii="Arial" w:hAnsi="Arial" w:cs="Arial"/>
          <w:sz w:val="20"/>
          <w:szCs w:val="20"/>
        </w:rPr>
      </w:pPr>
      <w:proofErr w:type="spellStart"/>
      <w:r w:rsidRPr="00815A39">
        <w:rPr>
          <w:rFonts w:ascii="Arial" w:hAnsi="Arial" w:cs="Arial"/>
          <w:sz w:val="20"/>
          <w:szCs w:val="20"/>
        </w:rPr>
        <w:t>Gyapong</w:t>
      </w:r>
      <w:proofErr w:type="spellEnd"/>
      <w:r w:rsidRPr="00815A39">
        <w:rPr>
          <w:rFonts w:ascii="Arial" w:hAnsi="Arial" w:cs="Arial"/>
          <w:sz w:val="20"/>
          <w:szCs w:val="20"/>
        </w:rPr>
        <w:t xml:space="preserve">, Adwoa Yeboah. 2021. “Commodification of Family Lands and the Changing Dynamics of Access in Ghana.” </w:t>
      </w:r>
      <w:r w:rsidRPr="00815A39">
        <w:rPr>
          <w:rFonts w:ascii="Arial" w:hAnsi="Arial" w:cs="Arial"/>
          <w:i/>
          <w:iCs/>
          <w:sz w:val="20"/>
          <w:szCs w:val="20"/>
        </w:rPr>
        <w:t>Third World Quarterly</w:t>
      </w:r>
      <w:r w:rsidRPr="00815A39">
        <w:rPr>
          <w:rFonts w:ascii="Arial" w:hAnsi="Arial" w:cs="Arial"/>
          <w:sz w:val="20"/>
          <w:szCs w:val="20"/>
        </w:rPr>
        <w:t xml:space="preserve">. </w:t>
      </w:r>
      <w:hyperlink r:id="rId48" w:history="1">
        <w:r w:rsidRPr="00815A39">
          <w:rPr>
            <w:rFonts w:ascii="Arial" w:hAnsi="Arial" w:cs="Arial"/>
            <w:sz w:val="20"/>
            <w:szCs w:val="20"/>
          </w:rPr>
          <w:t>https://doi.org/10.1080/01436597.2021.1880889</w:t>
        </w:r>
      </w:hyperlink>
    </w:p>
    <w:p w14:paraId="771E0B20"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Haysom G. (2021). Integrating Food Sensitive Planning and Urban Design into Urban Governance Actions. Urban forum (Johannesburg, South Africa), 32(3), 289–310. </w:t>
      </w:r>
      <w:hyperlink r:id="rId49" w:history="1">
        <w:r w:rsidRPr="00815A39">
          <w:rPr>
            <w:rFonts w:ascii="Arial" w:hAnsi="Arial" w:cs="Arial"/>
            <w:sz w:val="20"/>
            <w:szCs w:val="20"/>
          </w:rPr>
          <w:t>https://doi.org/10.1007/s12132-021-09417-9</w:t>
        </w:r>
      </w:hyperlink>
    </w:p>
    <w:p w14:paraId="569DBEC3"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Heynen, Nik, Maria Kaika, and Erik Swyngedouw, eds. 2006. </w:t>
      </w:r>
      <w:r w:rsidRPr="00815A39">
        <w:rPr>
          <w:rFonts w:ascii="Arial" w:hAnsi="Arial" w:cs="Arial"/>
          <w:i/>
          <w:iCs/>
          <w:sz w:val="20"/>
          <w:szCs w:val="20"/>
        </w:rPr>
        <w:t>In the Nature of Cities: Urban Political Ecology and the Politics of Urban Metabolism.</w:t>
      </w:r>
      <w:r w:rsidRPr="00815A39">
        <w:rPr>
          <w:rFonts w:ascii="Arial" w:hAnsi="Arial" w:cs="Arial"/>
          <w:sz w:val="20"/>
          <w:szCs w:val="20"/>
        </w:rPr>
        <w:t xml:space="preserve"> London: Routledge. </w:t>
      </w:r>
      <w:hyperlink r:id="rId50" w:history="1">
        <w:r w:rsidRPr="00815A39">
          <w:rPr>
            <w:rFonts w:ascii="Arial" w:hAnsi="Arial" w:cs="Arial"/>
            <w:sz w:val="20"/>
            <w:szCs w:val="20"/>
          </w:rPr>
          <w:t>https://doi.org/10.4324/9780203027523</w:t>
        </w:r>
      </w:hyperlink>
    </w:p>
    <w:p w14:paraId="7CAC2DA8"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HLPE. 2024. Strengthening urban and peri</w:t>
      </w:r>
      <w:r w:rsidRPr="00815A39">
        <w:rPr>
          <w:rFonts w:ascii="Arial" w:hAnsi="Arial" w:cs="Arial"/>
          <w:sz w:val="20"/>
          <w:szCs w:val="20"/>
        </w:rPr>
        <w:noBreakHyphen/>
        <w:t>urban food systems to achieve food security and nutrition, in the context of urbanization and rural transformation. Rome, CFS HLPE</w:t>
      </w:r>
      <w:r w:rsidRPr="00815A39">
        <w:rPr>
          <w:rFonts w:ascii="Arial" w:hAnsi="Arial" w:cs="Arial"/>
          <w:sz w:val="20"/>
          <w:szCs w:val="20"/>
        </w:rPr>
        <w:noBreakHyphen/>
        <w:t xml:space="preserve">FSN. </w:t>
      </w:r>
      <w:hyperlink r:id="rId51" w:history="1">
        <w:r w:rsidRPr="00815A39">
          <w:rPr>
            <w:rFonts w:ascii="Arial" w:hAnsi="Arial" w:cs="Arial"/>
            <w:sz w:val="20"/>
            <w:szCs w:val="20"/>
          </w:rPr>
          <w:t>HLPE-FSN Report- Strengthening urban and peri-urban food systems | UN</w:t>
        </w:r>
        <w:r w:rsidRPr="00815A39">
          <w:rPr>
            <w:rFonts w:ascii="Arial" w:hAnsi="Arial" w:cs="Arial"/>
            <w:sz w:val="20"/>
            <w:szCs w:val="20"/>
          </w:rPr>
          <w:noBreakHyphen/>
          <w:t xml:space="preserve">Nutrition: </w:t>
        </w:r>
        <w:proofErr w:type="gramStart"/>
        <w:r w:rsidRPr="00815A39">
          <w:rPr>
            <w:rFonts w:ascii="Arial" w:hAnsi="Arial" w:cs="Arial"/>
            <w:sz w:val="20"/>
            <w:szCs w:val="20"/>
          </w:rPr>
          <w:t>the</w:t>
        </w:r>
        <w:proofErr w:type="gramEnd"/>
        <w:r w:rsidRPr="00815A39">
          <w:rPr>
            <w:rFonts w:ascii="Arial" w:hAnsi="Arial" w:cs="Arial"/>
            <w:sz w:val="20"/>
            <w:szCs w:val="20"/>
          </w:rPr>
          <w:t xml:space="preserve"> United Nations inter</w:t>
        </w:r>
        <w:r w:rsidRPr="00815A39">
          <w:rPr>
            <w:rFonts w:ascii="Arial" w:hAnsi="Arial" w:cs="Arial"/>
            <w:sz w:val="20"/>
            <w:szCs w:val="20"/>
          </w:rPr>
          <w:noBreakHyphen/>
          <w:t>agency coordination mechanism for nutrition.</w:t>
        </w:r>
      </w:hyperlink>
    </w:p>
    <w:p w14:paraId="746078AB"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Holt Giménez, Eric, and Annie Shattuck. 2011. “Food Crises, Food Regimes and Food Movements: Rumblings of Reform or Tides of Transformation?” The Journal of Peasant Studies 38 (1): 109–44. doi:10.1080/03066150.2010.538578.</w:t>
      </w:r>
    </w:p>
    <w:p w14:paraId="34023507"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Hovorka, Alice J., and Diana Lee-Smith. "Gendering the Urban Agriculture Agenda¹." Cities farming for the future: Urban agriculture for green and productive cities (2006): 126. </w:t>
      </w:r>
      <w:hyperlink r:id="rId52" w:history="1">
        <w:r w:rsidRPr="00815A39">
          <w:rPr>
            <w:rFonts w:ascii="Arial" w:hAnsi="Arial" w:cs="Arial"/>
            <w:sz w:val="20"/>
            <w:szCs w:val="20"/>
          </w:rPr>
          <w:t>https://Gendering the Urban Agriculture Agenda</w:t>
        </w:r>
      </w:hyperlink>
    </w:p>
    <w:p w14:paraId="53B91F97"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Jarzebski, Marcin Pawel, Abubakari Ahmed, Yaw Agyeman Boafo, Boubacar </w:t>
      </w:r>
      <w:proofErr w:type="spellStart"/>
      <w:r w:rsidRPr="00815A39">
        <w:rPr>
          <w:rFonts w:ascii="Arial" w:hAnsi="Arial" w:cs="Arial"/>
          <w:sz w:val="20"/>
          <w:szCs w:val="20"/>
        </w:rPr>
        <w:t>Siddighi</w:t>
      </w:r>
      <w:proofErr w:type="spellEnd"/>
      <w:r w:rsidRPr="00815A39">
        <w:rPr>
          <w:rFonts w:ascii="Arial" w:hAnsi="Arial" w:cs="Arial"/>
          <w:sz w:val="20"/>
          <w:szCs w:val="20"/>
        </w:rPr>
        <w:t xml:space="preserve"> </w:t>
      </w:r>
      <w:proofErr w:type="spellStart"/>
      <w:r w:rsidRPr="00815A39">
        <w:rPr>
          <w:rFonts w:ascii="Arial" w:hAnsi="Arial" w:cs="Arial"/>
          <w:sz w:val="20"/>
          <w:szCs w:val="20"/>
        </w:rPr>
        <w:t>Balde</w:t>
      </w:r>
      <w:proofErr w:type="spellEnd"/>
      <w:r w:rsidRPr="00815A39">
        <w:rPr>
          <w:rFonts w:ascii="Arial" w:hAnsi="Arial" w:cs="Arial"/>
          <w:sz w:val="20"/>
          <w:szCs w:val="20"/>
        </w:rPr>
        <w:t xml:space="preserve">, Linda </w:t>
      </w:r>
      <w:proofErr w:type="spellStart"/>
      <w:r w:rsidRPr="00815A39">
        <w:rPr>
          <w:rFonts w:ascii="Arial" w:hAnsi="Arial" w:cs="Arial"/>
          <w:sz w:val="20"/>
          <w:szCs w:val="20"/>
        </w:rPr>
        <w:t>Chinangwa</w:t>
      </w:r>
      <w:proofErr w:type="spellEnd"/>
      <w:r w:rsidRPr="00815A39">
        <w:rPr>
          <w:rFonts w:ascii="Arial" w:hAnsi="Arial" w:cs="Arial"/>
          <w:sz w:val="20"/>
          <w:szCs w:val="20"/>
        </w:rPr>
        <w:t>, Osamu Saito, Graham Von Maltitz, and Alexandros Gasparatos. "Food security impacts of industrial crop production in sub-Saharan Africa: a systematic review of the impact mechanisms." Food Security 12, no. 1 (2020): 105-135. https://doi.org/10.1007/s12571-019-00988-x</w:t>
      </w:r>
    </w:p>
    <w:p w14:paraId="7FFDB9B8"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Karg, H., and Pay Drechsel. Atlas of West African urban food systems: examples from Ghana and Burkina Faso. International Water Management Institute (IWMI). CGIAR Research Program on Water, Land and Ecosystems (WLE)., 2018. </w:t>
      </w:r>
      <w:proofErr w:type="spellStart"/>
      <w:r w:rsidRPr="00815A39">
        <w:rPr>
          <w:rFonts w:ascii="Arial" w:hAnsi="Arial" w:cs="Arial"/>
          <w:sz w:val="20"/>
          <w:szCs w:val="20"/>
        </w:rPr>
        <w:t>doi</w:t>
      </w:r>
      <w:proofErr w:type="spellEnd"/>
      <w:r w:rsidRPr="00815A39">
        <w:rPr>
          <w:rFonts w:ascii="Arial" w:hAnsi="Arial" w:cs="Arial"/>
          <w:sz w:val="20"/>
          <w:szCs w:val="20"/>
        </w:rPr>
        <w:t>: 10.5337/2018.224</w:t>
      </w:r>
    </w:p>
    <w:p w14:paraId="43CACE31"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lastRenderedPageBreak/>
        <w:t xml:space="preserve">Khumalo, Nolwazi Z., </w:t>
      </w:r>
      <w:proofErr w:type="spellStart"/>
      <w:r w:rsidRPr="00815A39">
        <w:rPr>
          <w:rFonts w:ascii="Arial" w:hAnsi="Arial" w:cs="Arial"/>
          <w:sz w:val="20"/>
          <w:szCs w:val="20"/>
        </w:rPr>
        <w:t>Melusi</w:t>
      </w:r>
      <w:proofErr w:type="spellEnd"/>
      <w:r w:rsidRPr="00815A39">
        <w:rPr>
          <w:rFonts w:ascii="Arial" w:hAnsi="Arial" w:cs="Arial"/>
          <w:sz w:val="20"/>
          <w:szCs w:val="20"/>
        </w:rPr>
        <w:t xml:space="preserve"> Sibanda, and </w:t>
      </w:r>
      <w:proofErr w:type="spellStart"/>
      <w:r w:rsidRPr="00815A39">
        <w:rPr>
          <w:rFonts w:ascii="Arial" w:hAnsi="Arial" w:cs="Arial"/>
          <w:sz w:val="20"/>
          <w:szCs w:val="20"/>
        </w:rPr>
        <w:t>Lelethu</w:t>
      </w:r>
      <w:proofErr w:type="spellEnd"/>
      <w:r w:rsidRPr="00815A39">
        <w:rPr>
          <w:rFonts w:ascii="Arial" w:hAnsi="Arial" w:cs="Arial"/>
          <w:sz w:val="20"/>
          <w:szCs w:val="20"/>
        </w:rPr>
        <w:t xml:space="preserve"> Mdoda. "Implications of a climate-smart approach to food and income security for urban Sub-Saharan Africa: A systematic review." Sustainability 16, no. 5 (2024): 1882. DOI: </w:t>
      </w:r>
      <w:hyperlink r:id="rId53" w:tgtFrame="_blank" w:history="1">
        <w:r w:rsidRPr="00815A39">
          <w:rPr>
            <w:rFonts w:ascii="Arial" w:hAnsi="Arial" w:cs="Arial"/>
            <w:sz w:val="20"/>
            <w:szCs w:val="20"/>
          </w:rPr>
          <w:t>10.3390/su16051882</w:t>
        </w:r>
      </w:hyperlink>
    </w:p>
    <w:p w14:paraId="5654FB80" w14:textId="77777777" w:rsidR="00D17351" w:rsidRPr="00815A39" w:rsidRDefault="00D17351" w:rsidP="00815A39">
      <w:pPr>
        <w:pStyle w:val="NormalWeb"/>
        <w:spacing w:before="180" w:beforeAutospacing="0" w:after="60" w:afterAutospacing="0"/>
        <w:rPr>
          <w:rFonts w:ascii="Arial" w:hAnsi="Arial" w:cs="Arial"/>
          <w:sz w:val="20"/>
          <w:szCs w:val="20"/>
        </w:rPr>
      </w:pPr>
      <w:proofErr w:type="spellStart"/>
      <w:r w:rsidRPr="00815A39">
        <w:rPr>
          <w:rFonts w:ascii="Arial" w:hAnsi="Arial" w:cs="Arial"/>
          <w:sz w:val="20"/>
          <w:szCs w:val="20"/>
        </w:rPr>
        <w:t>Kiribou</w:t>
      </w:r>
      <w:proofErr w:type="spellEnd"/>
      <w:r w:rsidRPr="00815A39">
        <w:rPr>
          <w:rFonts w:ascii="Arial" w:hAnsi="Arial" w:cs="Arial"/>
          <w:sz w:val="20"/>
          <w:szCs w:val="20"/>
        </w:rPr>
        <w:t xml:space="preserve">, </w:t>
      </w:r>
      <w:proofErr w:type="spellStart"/>
      <w:r w:rsidRPr="00815A39">
        <w:rPr>
          <w:rFonts w:ascii="Arial" w:hAnsi="Arial" w:cs="Arial"/>
          <w:sz w:val="20"/>
          <w:szCs w:val="20"/>
        </w:rPr>
        <w:t>Razak</w:t>
      </w:r>
      <w:proofErr w:type="spellEnd"/>
      <w:r w:rsidRPr="00815A39">
        <w:rPr>
          <w:rFonts w:ascii="Arial" w:hAnsi="Arial" w:cs="Arial"/>
          <w:sz w:val="20"/>
          <w:szCs w:val="20"/>
        </w:rPr>
        <w:t xml:space="preserve">, </w:t>
      </w:r>
      <w:proofErr w:type="spellStart"/>
      <w:r w:rsidRPr="00815A39">
        <w:rPr>
          <w:rFonts w:ascii="Arial" w:hAnsi="Arial" w:cs="Arial"/>
          <w:sz w:val="20"/>
          <w:szCs w:val="20"/>
        </w:rPr>
        <w:t>Bobe</w:t>
      </w:r>
      <w:proofErr w:type="spellEnd"/>
      <w:r w:rsidRPr="00815A39">
        <w:rPr>
          <w:rFonts w:ascii="Arial" w:hAnsi="Arial" w:cs="Arial"/>
          <w:sz w:val="20"/>
          <w:szCs w:val="20"/>
        </w:rPr>
        <w:t xml:space="preserve"> </w:t>
      </w:r>
      <w:proofErr w:type="spellStart"/>
      <w:r w:rsidRPr="00815A39">
        <w:rPr>
          <w:rFonts w:ascii="Arial" w:hAnsi="Arial" w:cs="Arial"/>
          <w:sz w:val="20"/>
          <w:szCs w:val="20"/>
        </w:rPr>
        <w:t>Bedadi</w:t>
      </w:r>
      <w:proofErr w:type="spellEnd"/>
      <w:r w:rsidRPr="00815A39">
        <w:rPr>
          <w:rFonts w:ascii="Arial" w:hAnsi="Arial" w:cs="Arial"/>
          <w:sz w:val="20"/>
          <w:szCs w:val="20"/>
        </w:rPr>
        <w:t xml:space="preserve">, </w:t>
      </w:r>
      <w:proofErr w:type="spellStart"/>
      <w:r w:rsidRPr="00815A39">
        <w:rPr>
          <w:rFonts w:ascii="Arial" w:hAnsi="Arial" w:cs="Arial"/>
          <w:sz w:val="20"/>
          <w:szCs w:val="20"/>
        </w:rPr>
        <w:t>Kangbéni</w:t>
      </w:r>
      <w:proofErr w:type="spellEnd"/>
      <w:r w:rsidRPr="00815A39">
        <w:rPr>
          <w:rFonts w:ascii="Arial" w:hAnsi="Arial" w:cs="Arial"/>
          <w:sz w:val="20"/>
          <w:szCs w:val="20"/>
        </w:rPr>
        <w:t xml:space="preserve"> </w:t>
      </w:r>
      <w:proofErr w:type="spellStart"/>
      <w:r w:rsidRPr="00815A39">
        <w:rPr>
          <w:rFonts w:ascii="Arial" w:hAnsi="Arial" w:cs="Arial"/>
          <w:sz w:val="20"/>
          <w:szCs w:val="20"/>
        </w:rPr>
        <w:t>Dimobe</w:t>
      </w:r>
      <w:proofErr w:type="spellEnd"/>
      <w:r w:rsidRPr="00815A39">
        <w:rPr>
          <w:rFonts w:ascii="Arial" w:hAnsi="Arial" w:cs="Arial"/>
          <w:sz w:val="20"/>
          <w:szCs w:val="20"/>
        </w:rPr>
        <w:t xml:space="preserve">, Julius </w:t>
      </w:r>
      <w:proofErr w:type="spellStart"/>
      <w:r w:rsidRPr="00815A39">
        <w:rPr>
          <w:rFonts w:ascii="Arial" w:hAnsi="Arial" w:cs="Arial"/>
          <w:sz w:val="20"/>
          <w:szCs w:val="20"/>
        </w:rPr>
        <w:t>Ndemere</w:t>
      </w:r>
      <w:proofErr w:type="spellEnd"/>
      <w:r w:rsidRPr="00815A39">
        <w:rPr>
          <w:rFonts w:ascii="Arial" w:hAnsi="Arial" w:cs="Arial"/>
          <w:sz w:val="20"/>
          <w:szCs w:val="20"/>
        </w:rPr>
        <w:t>, Tiga Neya, Valentin Ouedraogo, and Sintayehu W. Dejene. "Urban farming system and food security in sub</w:t>
      </w:r>
      <w:r w:rsidRPr="00815A39">
        <w:rPr>
          <w:rFonts w:ascii="Cambria Math" w:hAnsi="Cambria Math" w:cs="Cambria Math"/>
          <w:sz w:val="20"/>
          <w:szCs w:val="20"/>
        </w:rPr>
        <w:t>‐</w:t>
      </w:r>
      <w:r w:rsidRPr="00815A39">
        <w:rPr>
          <w:rFonts w:ascii="Arial" w:hAnsi="Arial" w:cs="Arial"/>
          <w:sz w:val="20"/>
          <w:szCs w:val="20"/>
        </w:rPr>
        <w:t>Saharan Africa: Analysis of the current status and challenges." Urban Agriculture &amp; Regional Food Systems 9, no. 1 (2024): e70007.  </w:t>
      </w:r>
      <w:hyperlink r:id="rId54" w:history="1">
        <w:r w:rsidRPr="00815A39">
          <w:rPr>
            <w:rFonts w:ascii="Arial" w:hAnsi="Arial" w:cs="Arial"/>
            <w:sz w:val="20"/>
            <w:szCs w:val="20"/>
          </w:rPr>
          <w:t>https://doi.org/10.1002/uar2.70007</w:t>
        </w:r>
      </w:hyperlink>
    </w:p>
    <w:p w14:paraId="15414534"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Korth, Marcel, Ruth Stewart, </w:t>
      </w:r>
      <w:proofErr w:type="spellStart"/>
      <w:r w:rsidRPr="00815A39">
        <w:rPr>
          <w:rFonts w:ascii="Arial" w:hAnsi="Arial" w:cs="Arial"/>
          <w:sz w:val="20"/>
          <w:szCs w:val="20"/>
        </w:rPr>
        <w:t>Laurenz</w:t>
      </w:r>
      <w:proofErr w:type="spellEnd"/>
      <w:r w:rsidRPr="00815A39">
        <w:rPr>
          <w:rFonts w:ascii="Arial" w:hAnsi="Arial" w:cs="Arial"/>
          <w:sz w:val="20"/>
          <w:szCs w:val="20"/>
        </w:rPr>
        <w:t xml:space="preserve"> Langer, </w:t>
      </w:r>
      <w:proofErr w:type="spellStart"/>
      <w:r w:rsidRPr="00815A39">
        <w:rPr>
          <w:rFonts w:ascii="Arial" w:hAnsi="Arial" w:cs="Arial"/>
          <w:sz w:val="20"/>
          <w:szCs w:val="20"/>
        </w:rPr>
        <w:t>Nolizwe</w:t>
      </w:r>
      <w:proofErr w:type="spellEnd"/>
      <w:r w:rsidRPr="00815A39">
        <w:rPr>
          <w:rFonts w:ascii="Arial" w:hAnsi="Arial" w:cs="Arial"/>
          <w:sz w:val="20"/>
          <w:szCs w:val="20"/>
        </w:rPr>
        <w:t xml:space="preserve"> </w:t>
      </w:r>
      <w:proofErr w:type="spellStart"/>
      <w:r w:rsidRPr="00815A39">
        <w:rPr>
          <w:rFonts w:ascii="Arial" w:hAnsi="Arial" w:cs="Arial"/>
          <w:sz w:val="20"/>
          <w:szCs w:val="20"/>
        </w:rPr>
        <w:t>Madinga</w:t>
      </w:r>
      <w:proofErr w:type="spellEnd"/>
      <w:r w:rsidRPr="00815A39">
        <w:rPr>
          <w:rFonts w:ascii="Arial" w:hAnsi="Arial" w:cs="Arial"/>
          <w:sz w:val="20"/>
          <w:szCs w:val="20"/>
        </w:rPr>
        <w:t xml:space="preserve">, Natalie </w:t>
      </w:r>
      <w:proofErr w:type="spellStart"/>
      <w:r w:rsidRPr="00815A39">
        <w:rPr>
          <w:rFonts w:ascii="Arial" w:hAnsi="Arial" w:cs="Arial"/>
          <w:sz w:val="20"/>
          <w:szCs w:val="20"/>
        </w:rPr>
        <w:t>Rebelo</w:t>
      </w:r>
      <w:proofErr w:type="spellEnd"/>
      <w:r w:rsidRPr="00815A39">
        <w:rPr>
          <w:rFonts w:ascii="Arial" w:hAnsi="Arial" w:cs="Arial"/>
          <w:sz w:val="20"/>
          <w:szCs w:val="20"/>
        </w:rPr>
        <w:t xml:space="preserve"> Da Silva, Hazel Zaranyika, Carina Van Rooyen, and Thea De Wet. "What are the impacts of urban agriculture programs on food security in low and middle-income countries: a systematic review." Environmental Evidence 3, no. 1 (2014): 21. </w:t>
      </w:r>
      <w:hyperlink r:id="rId55" w:tgtFrame="_blank" w:history="1">
        <w:r w:rsidRPr="00815A39">
          <w:rPr>
            <w:rFonts w:ascii="Arial" w:hAnsi="Arial" w:cs="Arial"/>
            <w:sz w:val="20"/>
            <w:szCs w:val="20"/>
          </w:rPr>
          <w:t>10.1186/2047-2382-3-21</w:t>
        </w:r>
      </w:hyperlink>
    </w:p>
    <w:p w14:paraId="04089E5B"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Kwan, Mei-Po. 2002. “Feminist Visualization: Re-Envisioning GIS as a Method in Feminist Geographic Research.” Annals of the Association of American Geographers 92 (4): 645–61. doi:10.1111/1467-8306.00309.</w:t>
      </w:r>
    </w:p>
    <w:p w14:paraId="59AFC0F4"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Lanz, Kristina. 2022. Large-Scale Land Acquisition in Ghana: Institutional Change, Gender and Power. Abingdon, UK: Routledge. </w:t>
      </w:r>
      <w:hyperlink r:id="rId56" w:tgtFrame="_blank" w:history="1">
        <w:r w:rsidRPr="00815A39">
          <w:rPr>
            <w:rFonts w:ascii="Arial" w:hAnsi="Arial" w:cs="Arial"/>
            <w:sz w:val="20"/>
            <w:szCs w:val="20"/>
          </w:rPr>
          <w:t>https://doi.org/10.4324/9781003212768</w:t>
        </w:r>
      </w:hyperlink>
    </w:p>
    <w:p w14:paraId="56F5CBE0" w14:textId="77777777" w:rsidR="00613992" w:rsidRPr="001E5137" w:rsidRDefault="00613992" w:rsidP="001E5137">
      <w:pPr>
        <w:pStyle w:val="NormalWeb"/>
        <w:shd w:val="clear" w:color="auto" w:fill="D9FFD9"/>
        <w:spacing w:before="180" w:after="60"/>
        <w:rPr>
          <w:rFonts w:ascii="Arial" w:hAnsi="Arial" w:cs="Arial"/>
          <w:sz w:val="20"/>
          <w:szCs w:val="20"/>
        </w:rPr>
      </w:pPr>
      <w:proofErr w:type="spellStart"/>
      <w:r w:rsidRPr="001E5137">
        <w:rPr>
          <w:rFonts w:ascii="Arial" w:hAnsi="Arial" w:cs="Arial"/>
          <w:sz w:val="20"/>
          <w:szCs w:val="20"/>
        </w:rPr>
        <w:t>Lawanson</w:t>
      </w:r>
      <w:proofErr w:type="spellEnd"/>
      <w:r w:rsidRPr="001E5137">
        <w:rPr>
          <w:rFonts w:ascii="Arial" w:hAnsi="Arial" w:cs="Arial"/>
          <w:sz w:val="20"/>
          <w:szCs w:val="20"/>
        </w:rPr>
        <w:t xml:space="preserve">, T., </w:t>
      </w:r>
      <w:proofErr w:type="spellStart"/>
      <w:r w:rsidRPr="001E5137">
        <w:rPr>
          <w:rFonts w:ascii="Arial" w:hAnsi="Arial" w:cs="Arial"/>
          <w:sz w:val="20"/>
          <w:szCs w:val="20"/>
        </w:rPr>
        <w:t>Akaateba</w:t>
      </w:r>
      <w:proofErr w:type="spellEnd"/>
      <w:r w:rsidRPr="001E5137">
        <w:rPr>
          <w:rFonts w:ascii="Arial" w:hAnsi="Arial" w:cs="Arial"/>
          <w:sz w:val="20"/>
          <w:szCs w:val="20"/>
        </w:rPr>
        <w:t xml:space="preserve">, M., &amp; </w:t>
      </w:r>
      <w:proofErr w:type="spellStart"/>
      <w:r w:rsidRPr="001E5137">
        <w:rPr>
          <w:rFonts w:ascii="Arial" w:hAnsi="Arial" w:cs="Arial"/>
          <w:sz w:val="20"/>
          <w:szCs w:val="20"/>
        </w:rPr>
        <w:t>Unuigboje</w:t>
      </w:r>
      <w:proofErr w:type="spellEnd"/>
      <w:r w:rsidRPr="001E5137">
        <w:rPr>
          <w:rFonts w:ascii="Arial" w:hAnsi="Arial" w:cs="Arial"/>
          <w:sz w:val="20"/>
          <w:szCs w:val="20"/>
        </w:rPr>
        <w:t>, R. (2023). Gender-Informed Mobility Planning in African Cities. VREF. https://vref.se/wp-content/uploads/2024/01/Gender-informed-mobility-planning-governance-and-policy-in-African-cities-status-barriers-and-ways-forward.-Lawanson-T.-VREF.pdf</w:t>
      </w:r>
    </w:p>
    <w:p w14:paraId="468A3DD0"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Lawhon, Mary &amp; Ernstson, Henrik &amp; Silver, Jonathan. (2013). Provincializing Urban Political Ecology: Towards a Situated UPE Through African Urbanism. Antipode. 46. 10.1111/anti.12051. </w:t>
      </w:r>
      <w:hyperlink r:id="rId57" w:tgtFrame="_blank" w:history="1">
        <w:r w:rsidRPr="00815A39">
          <w:rPr>
            <w:rFonts w:ascii="Arial" w:hAnsi="Arial" w:cs="Arial"/>
            <w:sz w:val="20"/>
            <w:szCs w:val="20"/>
          </w:rPr>
          <w:t>10.1111/anti.12051</w:t>
        </w:r>
      </w:hyperlink>
    </w:p>
    <w:p w14:paraId="407220FD"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Levien, Michael. "Gender and land dispossession: a comparative analysis." In Gender and generation in southeast Asian agrarian transformations, pp. 9-32. Routledge, 2019. </w:t>
      </w:r>
      <w:hyperlink r:id="rId58" w:history="1">
        <w:r w:rsidRPr="00815A39">
          <w:rPr>
            <w:rFonts w:ascii="Arial" w:hAnsi="Arial" w:cs="Arial"/>
            <w:sz w:val="20"/>
            <w:szCs w:val="20"/>
          </w:rPr>
          <w:t>https://doi.org/10.1080/03066150.2017.1367291</w:t>
        </w:r>
      </w:hyperlink>
    </w:p>
    <w:p w14:paraId="6F24625E" w14:textId="77777777" w:rsidR="00613992" w:rsidRPr="001E5137" w:rsidRDefault="00613992" w:rsidP="001E5137">
      <w:pPr>
        <w:pStyle w:val="NormalWeb"/>
        <w:shd w:val="clear" w:color="auto" w:fill="D9FFD9"/>
        <w:spacing w:before="180" w:after="60"/>
        <w:rPr>
          <w:rFonts w:ascii="Arial" w:hAnsi="Arial" w:cs="Arial"/>
          <w:sz w:val="20"/>
          <w:szCs w:val="20"/>
        </w:rPr>
      </w:pPr>
      <w:r w:rsidRPr="001E5137">
        <w:rPr>
          <w:rFonts w:ascii="Arial" w:hAnsi="Arial" w:cs="Arial"/>
          <w:sz w:val="20"/>
          <w:szCs w:val="20"/>
        </w:rPr>
        <w:t>LUDI. (2020). Gender Perspective in Urban Planning and Design. Global Future Cities Programme. https://www.globalfuturecities.org/sites/default/files/2020-10/Gender%20Discussion%20Report_LUDI.pdf</w:t>
      </w:r>
    </w:p>
    <w:p w14:paraId="59B82682" w14:textId="77777777" w:rsidR="00C635AA" w:rsidRPr="000A19A2" w:rsidRDefault="00C635AA" w:rsidP="00C635AA">
      <w:pPr>
        <w:pStyle w:val="NormalWeb"/>
        <w:shd w:val="clear" w:color="auto" w:fill="D9FFD9"/>
        <w:spacing w:before="180" w:after="60"/>
        <w:rPr>
          <w:rFonts w:ascii="Arial" w:hAnsi="Arial" w:cs="Arial"/>
          <w:sz w:val="20"/>
          <w:szCs w:val="20"/>
        </w:rPr>
      </w:pPr>
      <w:r w:rsidRPr="000A19A2">
        <w:rPr>
          <w:rFonts w:ascii="Arial" w:hAnsi="Arial" w:cs="Arial"/>
          <w:sz w:val="20"/>
          <w:szCs w:val="20"/>
        </w:rPr>
        <w:t xml:space="preserve">Maina, G. N., </w:t>
      </w:r>
      <w:proofErr w:type="spellStart"/>
      <w:r w:rsidRPr="000A19A2">
        <w:rPr>
          <w:rFonts w:ascii="Arial" w:hAnsi="Arial" w:cs="Arial"/>
          <w:sz w:val="20"/>
          <w:szCs w:val="20"/>
        </w:rPr>
        <w:t>Chikowero</w:t>
      </w:r>
      <w:proofErr w:type="spellEnd"/>
      <w:r w:rsidRPr="000A19A2">
        <w:rPr>
          <w:rFonts w:ascii="Arial" w:hAnsi="Arial" w:cs="Arial"/>
          <w:sz w:val="20"/>
          <w:szCs w:val="20"/>
        </w:rPr>
        <w:t>, N., &amp; Abdallah, L. (2024). Gender Dynamics in African Land Redistribution. In Land and Livelihoods in Africa (pp. 211–228). Springer. https://link.springer.com/chapter/10.1007/978-3-031-61745-4_11</w:t>
      </w:r>
    </w:p>
    <w:p w14:paraId="75686E3C" w14:textId="332CA4B3"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Masuku, Mfundo Mandla, Zinhle Mthembu, and Victor H. Mlambo. "Gendered effects of land access and ownership on food security in rural settings in South Africa." Frontiers in sustainable food systems 7 (2023): 1158946. </w:t>
      </w:r>
      <w:hyperlink r:id="rId59" w:tgtFrame="_blank" w:history="1">
        <w:r w:rsidRPr="00815A39">
          <w:rPr>
            <w:rFonts w:ascii="Arial" w:hAnsi="Arial" w:cs="Arial"/>
            <w:sz w:val="20"/>
            <w:szCs w:val="20"/>
          </w:rPr>
          <w:t>10.3389/fsufs.2023.1158946</w:t>
        </w:r>
      </w:hyperlink>
    </w:p>
    <w:p w14:paraId="4259FC51"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McNicoll, Kathryn. "Women feeding cities: Mainstreaming gender in urban agriculture and food security." (2011): 133-134. </w:t>
      </w:r>
      <w:hyperlink r:id="rId60" w:history="1">
        <w:r w:rsidRPr="00815A39">
          <w:rPr>
            <w:rFonts w:ascii="Arial" w:hAnsi="Arial" w:cs="Arial"/>
            <w:sz w:val="20"/>
            <w:szCs w:val="20"/>
          </w:rPr>
          <w:t>https://doi.org/10.1080/09614524.2011.530234</w:t>
        </w:r>
      </w:hyperlink>
    </w:p>
    <w:p w14:paraId="11318778"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Mixed Methods Appraisal Tool (MMAT), version 2018. Canadian Institutes of Health Research.</w:t>
      </w:r>
    </w:p>
    <w:p w14:paraId="3426CA7B"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lastRenderedPageBreak/>
        <w:t xml:space="preserve">Moser, Caroline. Gender planning and development: Theory, practice and training. Routledge, 2012. </w:t>
      </w:r>
      <w:hyperlink r:id="rId61" w:history="1">
        <w:r w:rsidRPr="00815A39">
          <w:rPr>
            <w:rFonts w:ascii="Arial" w:hAnsi="Arial" w:cs="Arial"/>
            <w:sz w:val="20"/>
            <w:szCs w:val="20"/>
          </w:rPr>
          <w:t>https://www.taylorfrancis.com/books/mono/10.4324/9780203411940/gender-planning-development-caroline-moser</w:t>
        </w:r>
      </w:hyperlink>
    </w:p>
    <w:p w14:paraId="4F3299E3" w14:textId="77777777" w:rsidR="00D17351" w:rsidRPr="00815A39" w:rsidRDefault="00D17351" w:rsidP="00815A39">
      <w:pPr>
        <w:pStyle w:val="NormalWeb"/>
        <w:spacing w:before="180" w:beforeAutospacing="0" w:after="60" w:afterAutospacing="0"/>
        <w:rPr>
          <w:rFonts w:ascii="Arial" w:hAnsi="Arial" w:cs="Arial"/>
          <w:sz w:val="20"/>
          <w:szCs w:val="20"/>
        </w:rPr>
      </w:pPr>
      <w:proofErr w:type="spellStart"/>
      <w:r w:rsidRPr="00815A39">
        <w:rPr>
          <w:rFonts w:ascii="Arial" w:hAnsi="Arial" w:cs="Arial"/>
          <w:sz w:val="20"/>
          <w:szCs w:val="20"/>
        </w:rPr>
        <w:t>Mougeot</w:t>
      </w:r>
      <w:proofErr w:type="spellEnd"/>
      <w:r w:rsidRPr="00815A39">
        <w:rPr>
          <w:rFonts w:ascii="Arial" w:hAnsi="Arial" w:cs="Arial"/>
          <w:sz w:val="20"/>
          <w:szCs w:val="20"/>
        </w:rPr>
        <w:t xml:space="preserve">, Luc JA, ed. </w:t>
      </w:r>
      <w:proofErr w:type="spellStart"/>
      <w:r w:rsidRPr="00815A39">
        <w:rPr>
          <w:rFonts w:ascii="Arial" w:hAnsi="Arial" w:cs="Arial"/>
          <w:sz w:val="20"/>
          <w:szCs w:val="20"/>
        </w:rPr>
        <w:t>Agropolis</w:t>
      </w:r>
      <w:proofErr w:type="spellEnd"/>
      <w:r w:rsidRPr="00815A39">
        <w:rPr>
          <w:rFonts w:ascii="Arial" w:hAnsi="Arial" w:cs="Arial"/>
          <w:sz w:val="20"/>
          <w:szCs w:val="20"/>
        </w:rPr>
        <w:t xml:space="preserve">: the social, political and environmental dimensions of urban agriculture. Routledge, 2010. </w:t>
      </w:r>
      <w:hyperlink r:id="rId62" w:tgtFrame="_blank" w:history="1">
        <w:r w:rsidRPr="00815A39">
          <w:rPr>
            <w:rFonts w:ascii="Arial" w:hAnsi="Arial" w:cs="Arial"/>
            <w:sz w:val="20"/>
            <w:szCs w:val="20"/>
          </w:rPr>
          <w:t>https://doi.org/10.4324/9781849775892</w:t>
        </w:r>
      </w:hyperlink>
    </w:p>
    <w:p w14:paraId="6346850F" w14:textId="49B383E5"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Mubiru, Moses </w:t>
      </w:r>
      <w:proofErr w:type="spellStart"/>
      <w:r w:rsidRPr="00815A39">
        <w:rPr>
          <w:rFonts w:ascii="Arial" w:hAnsi="Arial" w:cs="Arial"/>
          <w:sz w:val="20"/>
          <w:szCs w:val="20"/>
        </w:rPr>
        <w:t>Batanda</w:t>
      </w:r>
      <w:proofErr w:type="spellEnd"/>
      <w:r w:rsidRPr="00815A39">
        <w:rPr>
          <w:rFonts w:ascii="Arial" w:hAnsi="Arial" w:cs="Arial"/>
          <w:sz w:val="20"/>
          <w:szCs w:val="20"/>
        </w:rPr>
        <w:t xml:space="preserve">, Said Nuhu, </w:t>
      </w:r>
      <w:proofErr w:type="spellStart"/>
      <w:r w:rsidRPr="00815A39">
        <w:rPr>
          <w:rFonts w:ascii="Arial" w:hAnsi="Arial" w:cs="Arial"/>
          <w:sz w:val="20"/>
          <w:szCs w:val="20"/>
        </w:rPr>
        <w:t>Wilbard</w:t>
      </w:r>
      <w:proofErr w:type="spellEnd"/>
      <w:r w:rsidRPr="00815A39">
        <w:rPr>
          <w:rFonts w:ascii="Arial" w:hAnsi="Arial" w:cs="Arial"/>
          <w:sz w:val="20"/>
          <w:szCs w:val="20"/>
        </w:rPr>
        <w:t xml:space="preserve"> </w:t>
      </w:r>
      <w:proofErr w:type="spellStart"/>
      <w:r w:rsidRPr="00815A39">
        <w:rPr>
          <w:rFonts w:ascii="Arial" w:hAnsi="Arial" w:cs="Arial"/>
          <w:sz w:val="20"/>
          <w:szCs w:val="20"/>
        </w:rPr>
        <w:t>Kombe</w:t>
      </w:r>
      <w:proofErr w:type="spellEnd"/>
      <w:r w:rsidRPr="00815A39">
        <w:rPr>
          <w:rFonts w:ascii="Arial" w:hAnsi="Arial" w:cs="Arial"/>
          <w:sz w:val="20"/>
          <w:szCs w:val="20"/>
        </w:rPr>
        <w:t xml:space="preserve">, and </w:t>
      </w:r>
      <w:proofErr w:type="spellStart"/>
      <w:r w:rsidRPr="00815A39">
        <w:rPr>
          <w:rFonts w:ascii="Arial" w:hAnsi="Arial" w:cs="Arial"/>
          <w:sz w:val="20"/>
          <w:szCs w:val="20"/>
        </w:rPr>
        <w:t>Tatu</w:t>
      </w:r>
      <w:proofErr w:type="spellEnd"/>
      <w:r w:rsidRPr="00815A39">
        <w:rPr>
          <w:rFonts w:ascii="Arial" w:hAnsi="Arial" w:cs="Arial"/>
          <w:sz w:val="20"/>
          <w:szCs w:val="20"/>
        </w:rPr>
        <w:t xml:space="preserve"> </w:t>
      </w:r>
      <w:proofErr w:type="spellStart"/>
      <w:r w:rsidRPr="00815A39">
        <w:rPr>
          <w:rFonts w:ascii="Arial" w:hAnsi="Arial" w:cs="Arial"/>
          <w:sz w:val="20"/>
          <w:szCs w:val="20"/>
        </w:rPr>
        <w:t>Mtwangi</w:t>
      </w:r>
      <w:proofErr w:type="spellEnd"/>
      <w:r w:rsidRPr="00815A39">
        <w:rPr>
          <w:rFonts w:ascii="Arial" w:hAnsi="Arial" w:cs="Arial"/>
          <w:sz w:val="20"/>
          <w:szCs w:val="20"/>
        </w:rPr>
        <w:t xml:space="preserve"> </w:t>
      </w:r>
      <w:proofErr w:type="spellStart"/>
      <w:r w:rsidRPr="00815A39">
        <w:rPr>
          <w:rFonts w:ascii="Arial" w:hAnsi="Arial" w:cs="Arial"/>
          <w:sz w:val="20"/>
          <w:szCs w:val="20"/>
        </w:rPr>
        <w:t>Limbumba</w:t>
      </w:r>
      <w:proofErr w:type="spellEnd"/>
      <w:r w:rsidRPr="00815A39">
        <w:rPr>
          <w:rFonts w:ascii="Arial" w:hAnsi="Arial" w:cs="Arial"/>
          <w:sz w:val="20"/>
          <w:szCs w:val="20"/>
        </w:rPr>
        <w:t>. "Digesting how the gender of household heads determines housing location choices in Sub-Saharan African cities: a review." Gender, Place &amp; Culture 31, no. 11 (202</w:t>
      </w:r>
      <w:r w:rsidR="00C635AA">
        <w:rPr>
          <w:rFonts w:ascii="Arial" w:hAnsi="Arial" w:cs="Arial"/>
          <w:sz w:val="20"/>
          <w:szCs w:val="20"/>
        </w:rPr>
        <w:t>3</w:t>
      </w:r>
      <w:r w:rsidRPr="00815A39">
        <w:rPr>
          <w:rFonts w:ascii="Arial" w:hAnsi="Arial" w:cs="Arial"/>
          <w:sz w:val="20"/>
          <w:szCs w:val="20"/>
        </w:rPr>
        <w:t xml:space="preserve">): 1583-1605. </w:t>
      </w:r>
      <w:hyperlink r:id="rId63" w:history="1">
        <w:r w:rsidRPr="00815A39">
          <w:rPr>
            <w:rFonts w:ascii="Arial" w:hAnsi="Arial" w:cs="Arial"/>
            <w:sz w:val="20"/>
            <w:szCs w:val="20"/>
          </w:rPr>
          <w:t>https://doi.org/10.1080/0966369X.2023.2233708</w:t>
        </w:r>
      </w:hyperlink>
    </w:p>
    <w:p w14:paraId="236B8A5C" w14:textId="77777777" w:rsidR="00D17351" w:rsidRPr="00815A39" w:rsidRDefault="00D17351" w:rsidP="00815A39">
      <w:pPr>
        <w:pStyle w:val="NormalWeb"/>
        <w:spacing w:before="180" w:beforeAutospacing="0" w:after="60" w:afterAutospacing="0"/>
        <w:rPr>
          <w:rFonts w:ascii="Arial" w:hAnsi="Arial" w:cs="Arial"/>
          <w:sz w:val="20"/>
          <w:szCs w:val="20"/>
        </w:rPr>
      </w:pPr>
      <w:proofErr w:type="spellStart"/>
      <w:r w:rsidRPr="00815A39">
        <w:rPr>
          <w:rFonts w:ascii="Arial" w:hAnsi="Arial" w:cs="Arial"/>
          <w:sz w:val="20"/>
          <w:szCs w:val="20"/>
        </w:rPr>
        <w:t>Mutopo</w:t>
      </w:r>
      <w:proofErr w:type="spellEnd"/>
      <w:r w:rsidRPr="00815A39">
        <w:rPr>
          <w:rFonts w:ascii="Arial" w:hAnsi="Arial" w:cs="Arial"/>
          <w:sz w:val="20"/>
          <w:szCs w:val="20"/>
        </w:rPr>
        <w:t>, Patience. 2011. “Women’s Struggles to Access and Control Land and Livelihoods after Fast Track Land Reform in Mwenezi District, Zimbabwe.” The Journal of Peasant Studies 38 (5): 1021–46. doi:10.1080/03066150.2011.635787.</w:t>
      </w:r>
    </w:p>
    <w:p w14:paraId="6FA7B333" w14:textId="77777777" w:rsidR="00D17351" w:rsidRPr="00815A39" w:rsidRDefault="00D17351" w:rsidP="00815A39">
      <w:pPr>
        <w:pStyle w:val="NormalWeb"/>
        <w:spacing w:before="180" w:beforeAutospacing="0" w:after="60" w:afterAutospacing="0"/>
        <w:rPr>
          <w:rFonts w:ascii="Arial" w:hAnsi="Arial" w:cs="Arial"/>
          <w:sz w:val="20"/>
          <w:szCs w:val="20"/>
        </w:rPr>
      </w:pPr>
      <w:proofErr w:type="spellStart"/>
      <w:r w:rsidRPr="00815A39">
        <w:rPr>
          <w:rFonts w:ascii="Arial" w:hAnsi="Arial" w:cs="Arial"/>
          <w:sz w:val="20"/>
          <w:szCs w:val="20"/>
        </w:rPr>
        <w:t>Nchanji</w:t>
      </w:r>
      <w:proofErr w:type="spellEnd"/>
      <w:r w:rsidRPr="00815A39">
        <w:rPr>
          <w:rFonts w:ascii="Arial" w:hAnsi="Arial" w:cs="Arial"/>
          <w:sz w:val="20"/>
          <w:szCs w:val="20"/>
        </w:rPr>
        <w:t xml:space="preserve">, Eileen </w:t>
      </w:r>
      <w:proofErr w:type="spellStart"/>
      <w:r w:rsidRPr="00815A39">
        <w:rPr>
          <w:rFonts w:ascii="Arial" w:hAnsi="Arial" w:cs="Arial"/>
          <w:sz w:val="20"/>
          <w:szCs w:val="20"/>
        </w:rPr>
        <w:t>Bogweh</w:t>
      </w:r>
      <w:proofErr w:type="spellEnd"/>
      <w:r w:rsidRPr="00815A39">
        <w:rPr>
          <w:rFonts w:ascii="Arial" w:hAnsi="Arial" w:cs="Arial"/>
          <w:sz w:val="20"/>
          <w:szCs w:val="20"/>
        </w:rPr>
        <w:t xml:space="preserve">, </w:t>
      </w:r>
      <w:proofErr w:type="spellStart"/>
      <w:r w:rsidRPr="00815A39">
        <w:rPr>
          <w:rFonts w:ascii="Arial" w:hAnsi="Arial" w:cs="Arial"/>
          <w:sz w:val="20"/>
          <w:szCs w:val="20"/>
        </w:rPr>
        <w:t>Takemore</w:t>
      </w:r>
      <w:proofErr w:type="spellEnd"/>
      <w:r w:rsidRPr="00815A39">
        <w:rPr>
          <w:rFonts w:ascii="Arial" w:hAnsi="Arial" w:cs="Arial"/>
          <w:sz w:val="20"/>
          <w:szCs w:val="20"/>
        </w:rPr>
        <w:t xml:space="preserve"> Chagomoka, Imogen Bellwood-Howard, Axel Drescher, Nikolaus Schareika, and Johannes Schlesinger. "Land tenure, food security, gender and urbanization in Northern Ghana." Land use policy 132 (2023): 106834. </w:t>
      </w:r>
      <w:hyperlink r:id="rId64" w:history="1">
        <w:r w:rsidRPr="00815A39">
          <w:rPr>
            <w:rFonts w:ascii="Arial" w:hAnsi="Arial" w:cs="Arial"/>
            <w:sz w:val="20"/>
            <w:szCs w:val="20"/>
          </w:rPr>
          <w:t>https://doi.org/10.1016/j.landusepol.2023.106834</w:t>
        </w:r>
      </w:hyperlink>
    </w:p>
    <w:p w14:paraId="0F92AC2F" w14:textId="77777777" w:rsidR="00D17351" w:rsidRPr="00815A39" w:rsidRDefault="00D17351" w:rsidP="00815A39">
      <w:pPr>
        <w:pStyle w:val="NormalWeb"/>
        <w:spacing w:before="180" w:beforeAutospacing="0" w:after="60" w:afterAutospacing="0"/>
        <w:rPr>
          <w:rFonts w:ascii="Arial" w:hAnsi="Arial" w:cs="Arial"/>
          <w:sz w:val="20"/>
          <w:szCs w:val="20"/>
        </w:rPr>
      </w:pPr>
      <w:proofErr w:type="spellStart"/>
      <w:r w:rsidRPr="00815A39">
        <w:rPr>
          <w:rFonts w:ascii="Arial" w:hAnsi="Arial" w:cs="Arial"/>
          <w:sz w:val="20"/>
          <w:szCs w:val="20"/>
        </w:rPr>
        <w:t>Negesse</w:t>
      </w:r>
      <w:proofErr w:type="spellEnd"/>
      <w:r w:rsidRPr="00815A39">
        <w:rPr>
          <w:rFonts w:ascii="Arial" w:hAnsi="Arial" w:cs="Arial"/>
          <w:sz w:val="20"/>
          <w:szCs w:val="20"/>
        </w:rPr>
        <w:t xml:space="preserve">, </w:t>
      </w:r>
      <w:proofErr w:type="spellStart"/>
      <w:r w:rsidRPr="00815A39">
        <w:rPr>
          <w:rFonts w:ascii="Arial" w:hAnsi="Arial" w:cs="Arial"/>
          <w:sz w:val="20"/>
          <w:szCs w:val="20"/>
        </w:rPr>
        <w:t>Ayenew</w:t>
      </w:r>
      <w:proofErr w:type="spellEnd"/>
      <w:r w:rsidRPr="00815A39">
        <w:rPr>
          <w:rFonts w:ascii="Arial" w:hAnsi="Arial" w:cs="Arial"/>
          <w:sz w:val="20"/>
          <w:szCs w:val="20"/>
        </w:rPr>
        <w:t xml:space="preserve">, Dube </w:t>
      </w:r>
      <w:proofErr w:type="spellStart"/>
      <w:r w:rsidRPr="00815A39">
        <w:rPr>
          <w:rFonts w:ascii="Arial" w:hAnsi="Arial" w:cs="Arial"/>
          <w:sz w:val="20"/>
          <w:szCs w:val="20"/>
        </w:rPr>
        <w:t>Jara</w:t>
      </w:r>
      <w:proofErr w:type="spellEnd"/>
      <w:r w:rsidRPr="00815A39">
        <w:rPr>
          <w:rFonts w:ascii="Arial" w:hAnsi="Arial" w:cs="Arial"/>
          <w:sz w:val="20"/>
          <w:szCs w:val="20"/>
        </w:rPr>
        <w:t xml:space="preserve">, </w:t>
      </w:r>
      <w:proofErr w:type="spellStart"/>
      <w:r w:rsidRPr="00815A39">
        <w:rPr>
          <w:rFonts w:ascii="Arial" w:hAnsi="Arial" w:cs="Arial"/>
          <w:sz w:val="20"/>
          <w:szCs w:val="20"/>
        </w:rPr>
        <w:t>Habtamu</w:t>
      </w:r>
      <w:proofErr w:type="spellEnd"/>
      <w:r w:rsidRPr="00815A39">
        <w:rPr>
          <w:rFonts w:ascii="Arial" w:hAnsi="Arial" w:cs="Arial"/>
          <w:sz w:val="20"/>
          <w:szCs w:val="20"/>
        </w:rPr>
        <w:t xml:space="preserve"> </w:t>
      </w:r>
      <w:proofErr w:type="spellStart"/>
      <w:r w:rsidRPr="00815A39">
        <w:rPr>
          <w:rFonts w:ascii="Arial" w:hAnsi="Arial" w:cs="Arial"/>
          <w:sz w:val="20"/>
          <w:szCs w:val="20"/>
        </w:rPr>
        <w:t>Temesgen</w:t>
      </w:r>
      <w:proofErr w:type="spellEnd"/>
      <w:r w:rsidRPr="00815A39">
        <w:rPr>
          <w:rFonts w:ascii="Arial" w:hAnsi="Arial" w:cs="Arial"/>
          <w:sz w:val="20"/>
          <w:szCs w:val="20"/>
        </w:rPr>
        <w:t xml:space="preserve">, </w:t>
      </w:r>
      <w:proofErr w:type="spellStart"/>
      <w:r w:rsidRPr="00815A39">
        <w:rPr>
          <w:rFonts w:ascii="Arial" w:hAnsi="Arial" w:cs="Arial"/>
          <w:sz w:val="20"/>
          <w:szCs w:val="20"/>
        </w:rPr>
        <w:t>Getenet</w:t>
      </w:r>
      <w:proofErr w:type="spellEnd"/>
      <w:r w:rsidRPr="00815A39">
        <w:rPr>
          <w:rFonts w:ascii="Arial" w:hAnsi="Arial" w:cs="Arial"/>
          <w:sz w:val="20"/>
          <w:szCs w:val="20"/>
        </w:rPr>
        <w:t xml:space="preserve"> Dessie, </w:t>
      </w:r>
      <w:proofErr w:type="spellStart"/>
      <w:r w:rsidRPr="00815A39">
        <w:rPr>
          <w:rFonts w:ascii="Arial" w:hAnsi="Arial" w:cs="Arial"/>
          <w:sz w:val="20"/>
          <w:szCs w:val="20"/>
        </w:rPr>
        <w:t>Temesgen</w:t>
      </w:r>
      <w:proofErr w:type="spellEnd"/>
      <w:r w:rsidRPr="00815A39">
        <w:rPr>
          <w:rFonts w:ascii="Arial" w:hAnsi="Arial" w:cs="Arial"/>
          <w:sz w:val="20"/>
          <w:szCs w:val="20"/>
        </w:rPr>
        <w:t xml:space="preserve"> </w:t>
      </w:r>
      <w:proofErr w:type="spellStart"/>
      <w:r w:rsidRPr="00815A39">
        <w:rPr>
          <w:rFonts w:ascii="Arial" w:hAnsi="Arial" w:cs="Arial"/>
          <w:sz w:val="20"/>
          <w:szCs w:val="20"/>
        </w:rPr>
        <w:t>Getaneh</w:t>
      </w:r>
      <w:proofErr w:type="spellEnd"/>
      <w:r w:rsidRPr="00815A39">
        <w:rPr>
          <w:rFonts w:ascii="Arial" w:hAnsi="Arial" w:cs="Arial"/>
          <w:sz w:val="20"/>
          <w:szCs w:val="20"/>
        </w:rPr>
        <w:t xml:space="preserve">, Henok </w:t>
      </w:r>
      <w:proofErr w:type="spellStart"/>
      <w:r w:rsidRPr="00815A39">
        <w:rPr>
          <w:rFonts w:ascii="Arial" w:hAnsi="Arial" w:cs="Arial"/>
          <w:sz w:val="20"/>
          <w:szCs w:val="20"/>
        </w:rPr>
        <w:t>Mulugeta</w:t>
      </w:r>
      <w:proofErr w:type="spellEnd"/>
      <w:r w:rsidRPr="00815A39">
        <w:rPr>
          <w:rFonts w:ascii="Arial" w:hAnsi="Arial" w:cs="Arial"/>
          <w:sz w:val="20"/>
          <w:szCs w:val="20"/>
        </w:rPr>
        <w:t xml:space="preserve">, </w:t>
      </w:r>
      <w:proofErr w:type="spellStart"/>
      <w:r w:rsidRPr="00815A39">
        <w:rPr>
          <w:rFonts w:ascii="Arial" w:hAnsi="Arial" w:cs="Arial"/>
          <w:sz w:val="20"/>
          <w:szCs w:val="20"/>
        </w:rPr>
        <w:t>Zeleke</w:t>
      </w:r>
      <w:proofErr w:type="spellEnd"/>
      <w:r w:rsidRPr="00815A39">
        <w:rPr>
          <w:rFonts w:ascii="Arial" w:hAnsi="Arial" w:cs="Arial"/>
          <w:sz w:val="20"/>
          <w:szCs w:val="20"/>
        </w:rPr>
        <w:t xml:space="preserve"> </w:t>
      </w:r>
      <w:proofErr w:type="spellStart"/>
      <w:r w:rsidRPr="00815A39">
        <w:rPr>
          <w:rFonts w:ascii="Arial" w:hAnsi="Arial" w:cs="Arial"/>
          <w:sz w:val="20"/>
          <w:szCs w:val="20"/>
        </w:rPr>
        <w:t>Abebaw</w:t>
      </w:r>
      <w:proofErr w:type="spellEnd"/>
      <w:r w:rsidRPr="00815A39">
        <w:rPr>
          <w:rFonts w:ascii="Arial" w:hAnsi="Arial" w:cs="Arial"/>
          <w:sz w:val="20"/>
          <w:szCs w:val="20"/>
        </w:rPr>
        <w:t xml:space="preserve">, </w:t>
      </w:r>
      <w:proofErr w:type="spellStart"/>
      <w:r w:rsidRPr="00815A39">
        <w:rPr>
          <w:rFonts w:ascii="Arial" w:hAnsi="Arial" w:cs="Arial"/>
          <w:sz w:val="20"/>
          <w:szCs w:val="20"/>
        </w:rPr>
        <w:t>Tesfahun</w:t>
      </w:r>
      <w:proofErr w:type="spellEnd"/>
      <w:r w:rsidRPr="00815A39">
        <w:rPr>
          <w:rFonts w:ascii="Arial" w:hAnsi="Arial" w:cs="Arial"/>
          <w:sz w:val="20"/>
          <w:szCs w:val="20"/>
        </w:rPr>
        <w:t xml:space="preserve"> </w:t>
      </w:r>
      <w:proofErr w:type="spellStart"/>
      <w:r w:rsidRPr="00815A39">
        <w:rPr>
          <w:rFonts w:ascii="Arial" w:hAnsi="Arial" w:cs="Arial"/>
          <w:sz w:val="20"/>
          <w:szCs w:val="20"/>
        </w:rPr>
        <w:t>Taddege</w:t>
      </w:r>
      <w:proofErr w:type="spellEnd"/>
      <w:r w:rsidRPr="00815A39">
        <w:rPr>
          <w:rFonts w:ascii="Arial" w:hAnsi="Arial" w:cs="Arial"/>
          <w:sz w:val="20"/>
          <w:szCs w:val="20"/>
        </w:rPr>
        <w:t xml:space="preserve">, Fasil </w:t>
      </w:r>
      <w:proofErr w:type="spellStart"/>
      <w:r w:rsidRPr="00815A39">
        <w:rPr>
          <w:rFonts w:ascii="Arial" w:hAnsi="Arial" w:cs="Arial"/>
          <w:sz w:val="20"/>
          <w:szCs w:val="20"/>
        </w:rPr>
        <w:t>Wagnew</w:t>
      </w:r>
      <w:proofErr w:type="spellEnd"/>
      <w:r w:rsidRPr="00815A39">
        <w:rPr>
          <w:rFonts w:ascii="Arial" w:hAnsi="Arial" w:cs="Arial"/>
          <w:sz w:val="20"/>
          <w:szCs w:val="20"/>
        </w:rPr>
        <w:t xml:space="preserve">, and </w:t>
      </w:r>
      <w:proofErr w:type="spellStart"/>
      <w:r w:rsidRPr="00815A39">
        <w:rPr>
          <w:rFonts w:ascii="Arial" w:hAnsi="Arial" w:cs="Arial"/>
          <w:sz w:val="20"/>
          <w:szCs w:val="20"/>
        </w:rPr>
        <w:t>Yilkal</w:t>
      </w:r>
      <w:proofErr w:type="spellEnd"/>
      <w:r w:rsidRPr="00815A39">
        <w:rPr>
          <w:rFonts w:ascii="Arial" w:hAnsi="Arial" w:cs="Arial"/>
          <w:sz w:val="20"/>
          <w:szCs w:val="20"/>
        </w:rPr>
        <w:t xml:space="preserve"> </w:t>
      </w:r>
      <w:proofErr w:type="spellStart"/>
      <w:r w:rsidRPr="00815A39">
        <w:rPr>
          <w:rFonts w:ascii="Arial" w:hAnsi="Arial" w:cs="Arial"/>
          <w:sz w:val="20"/>
          <w:szCs w:val="20"/>
        </w:rPr>
        <w:t>Negesse</w:t>
      </w:r>
      <w:proofErr w:type="spellEnd"/>
      <w:r w:rsidRPr="00815A39">
        <w:rPr>
          <w:rFonts w:ascii="Arial" w:hAnsi="Arial" w:cs="Arial"/>
          <w:sz w:val="20"/>
          <w:szCs w:val="20"/>
        </w:rPr>
        <w:t xml:space="preserve">. "The impact of being of the female gender for household head on the prevalence of food insecurity in Ethiopia: a systematic-review and meta-analysis." Public Health Reviews 41, no. 1 (2020): 15. </w:t>
      </w:r>
      <w:hyperlink r:id="rId65" w:tgtFrame="_blank" w:history="1">
        <w:r w:rsidRPr="00815A39">
          <w:rPr>
            <w:rFonts w:ascii="Arial" w:hAnsi="Arial" w:cs="Arial"/>
            <w:sz w:val="20"/>
            <w:szCs w:val="20"/>
          </w:rPr>
          <w:t>10.1186/s40985-020-00131-8</w:t>
        </w:r>
      </w:hyperlink>
    </w:p>
    <w:p w14:paraId="08E435E8" w14:textId="77777777" w:rsidR="00D17351" w:rsidRPr="00815A39" w:rsidRDefault="00D17351" w:rsidP="00815A39">
      <w:pPr>
        <w:pStyle w:val="NormalWeb"/>
        <w:spacing w:before="180" w:beforeAutospacing="0" w:after="60" w:afterAutospacing="0"/>
        <w:rPr>
          <w:rFonts w:ascii="Arial" w:hAnsi="Arial" w:cs="Arial"/>
          <w:sz w:val="20"/>
          <w:szCs w:val="20"/>
        </w:rPr>
      </w:pPr>
      <w:proofErr w:type="spellStart"/>
      <w:r w:rsidRPr="00815A39">
        <w:rPr>
          <w:rFonts w:ascii="Arial" w:hAnsi="Arial" w:cs="Arial"/>
          <w:sz w:val="20"/>
          <w:szCs w:val="20"/>
        </w:rPr>
        <w:t>Ngcamu</w:t>
      </w:r>
      <w:proofErr w:type="spellEnd"/>
      <w:r w:rsidRPr="00815A39">
        <w:rPr>
          <w:rFonts w:ascii="Arial" w:hAnsi="Arial" w:cs="Arial"/>
          <w:sz w:val="20"/>
          <w:szCs w:val="20"/>
        </w:rPr>
        <w:t xml:space="preserve">, </w:t>
      </w:r>
      <w:proofErr w:type="spellStart"/>
      <w:r w:rsidRPr="00815A39">
        <w:rPr>
          <w:rFonts w:ascii="Arial" w:hAnsi="Arial" w:cs="Arial"/>
          <w:sz w:val="20"/>
          <w:szCs w:val="20"/>
        </w:rPr>
        <w:t>Bethuel</w:t>
      </w:r>
      <w:proofErr w:type="spellEnd"/>
      <w:r w:rsidRPr="00815A39">
        <w:rPr>
          <w:rFonts w:ascii="Arial" w:hAnsi="Arial" w:cs="Arial"/>
          <w:sz w:val="20"/>
          <w:szCs w:val="20"/>
        </w:rPr>
        <w:t xml:space="preserve"> </w:t>
      </w:r>
      <w:proofErr w:type="spellStart"/>
      <w:r w:rsidRPr="00815A39">
        <w:rPr>
          <w:rFonts w:ascii="Arial" w:hAnsi="Arial" w:cs="Arial"/>
          <w:sz w:val="20"/>
          <w:szCs w:val="20"/>
        </w:rPr>
        <w:t>Sibongiseni</w:t>
      </w:r>
      <w:proofErr w:type="spellEnd"/>
      <w:r w:rsidRPr="00815A39">
        <w:rPr>
          <w:rFonts w:ascii="Arial" w:hAnsi="Arial" w:cs="Arial"/>
          <w:sz w:val="20"/>
          <w:szCs w:val="20"/>
        </w:rPr>
        <w:t>. "The effects of urbanisation on food security in Africa: An overview and synthesis of the literature." Environmental &amp; Socio-Economic Studies 10, no. 2 (2022): 40-48. DOI: </w:t>
      </w:r>
      <w:hyperlink r:id="rId66" w:tgtFrame="_blank" w:history="1">
        <w:r w:rsidRPr="00815A39">
          <w:rPr>
            <w:rFonts w:ascii="Arial" w:hAnsi="Arial" w:cs="Arial"/>
            <w:sz w:val="20"/>
            <w:szCs w:val="20"/>
          </w:rPr>
          <w:t>10.2478/environ-2022-0010</w:t>
        </w:r>
      </w:hyperlink>
    </w:p>
    <w:p w14:paraId="35F4CCEA"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Nightingale, A. J. (2011). Bounding difference: Intersectionality and the material production of gender, caste, class and environment in Nepal. </w:t>
      </w:r>
      <w:proofErr w:type="spellStart"/>
      <w:r w:rsidRPr="00815A39">
        <w:rPr>
          <w:rFonts w:ascii="Arial" w:hAnsi="Arial" w:cs="Arial"/>
          <w:sz w:val="20"/>
          <w:szCs w:val="20"/>
        </w:rPr>
        <w:t>Geoforum</w:t>
      </w:r>
      <w:proofErr w:type="spellEnd"/>
      <w:r w:rsidRPr="00815A39">
        <w:rPr>
          <w:rFonts w:ascii="Arial" w:hAnsi="Arial" w:cs="Arial"/>
          <w:sz w:val="20"/>
          <w:szCs w:val="20"/>
        </w:rPr>
        <w:t>, 42(2), 153-162. https://doi.org/10.1016/j.geoforum.2010.03.004</w:t>
      </w:r>
    </w:p>
    <w:p w14:paraId="0B65F95D"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Njoh, A. J., Ananga, E. O., </w:t>
      </w:r>
      <w:proofErr w:type="spellStart"/>
      <w:r w:rsidRPr="00815A39">
        <w:rPr>
          <w:rFonts w:ascii="Arial" w:hAnsi="Arial" w:cs="Arial"/>
          <w:sz w:val="20"/>
          <w:szCs w:val="20"/>
        </w:rPr>
        <w:t>Anchang</w:t>
      </w:r>
      <w:proofErr w:type="spellEnd"/>
      <w:r w:rsidRPr="00815A39">
        <w:rPr>
          <w:rFonts w:ascii="Arial" w:hAnsi="Arial" w:cs="Arial"/>
          <w:sz w:val="20"/>
          <w:szCs w:val="20"/>
        </w:rPr>
        <w:t xml:space="preserve">, J. Y., </w:t>
      </w:r>
      <w:proofErr w:type="spellStart"/>
      <w:r w:rsidRPr="00815A39">
        <w:rPr>
          <w:rFonts w:ascii="Arial" w:hAnsi="Arial" w:cs="Arial"/>
          <w:sz w:val="20"/>
          <w:szCs w:val="20"/>
        </w:rPr>
        <w:t>Ayuk-Etang</w:t>
      </w:r>
      <w:proofErr w:type="spellEnd"/>
      <w:r w:rsidRPr="00815A39">
        <w:rPr>
          <w:rFonts w:ascii="Arial" w:hAnsi="Arial" w:cs="Arial"/>
          <w:sz w:val="20"/>
          <w:szCs w:val="20"/>
        </w:rPr>
        <w:t xml:space="preserve">, E. M., &amp; Akiwumi, F. A. (2016). Africa’s Triple Heritage, Land Commodification and Women’s Access to Land: Lessons from Cameroon, Kenya and Sierra Leone. Journal of Asian and African Studies, 52(6), 760-779. </w:t>
      </w:r>
      <w:hyperlink r:id="rId67" w:history="1">
        <w:r w:rsidRPr="00815A39">
          <w:rPr>
            <w:rFonts w:ascii="Arial" w:hAnsi="Arial" w:cs="Arial"/>
            <w:sz w:val="20"/>
            <w:szCs w:val="20"/>
          </w:rPr>
          <w:t>https://doi.org/10.1177/0021909615612121</w:t>
        </w:r>
      </w:hyperlink>
      <w:r w:rsidRPr="00815A39">
        <w:rPr>
          <w:rFonts w:ascii="Arial" w:hAnsi="Arial" w:cs="Arial"/>
          <w:sz w:val="20"/>
          <w:szCs w:val="20"/>
        </w:rPr>
        <w:t xml:space="preserve"> (Original work published 2017)</w:t>
      </w:r>
    </w:p>
    <w:p w14:paraId="621C1BC8" w14:textId="77777777" w:rsidR="00D17351" w:rsidRPr="00815A39" w:rsidRDefault="00D17351" w:rsidP="00815A39">
      <w:pPr>
        <w:pStyle w:val="NormalWeb"/>
        <w:spacing w:before="180" w:beforeAutospacing="0" w:after="60" w:afterAutospacing="0"/>
        <w:rPr>
          <w:rFonts w:ascii="Arial" w:hAnsi="Arial" w:cs="Arial"/>
          <w:sz w:val="20"/>
          <w:szCs w:val="20"/>
        </w:rPr>
      </w:pPr>
      <w:proofErr w:type="spellStart"/>
      <w:r w:rsidRPr="00815A39">
        <w:rPr>
          <w:rFonts w:ascii="Arial" w:hAnsi="Arial" w:cs="Arial"/>
          <w:sz w:val="20"/>
          <w:szCs w:val="20"/>
        </w:rPr>
        <w:t>Nyamura</w:t>
      </w:r>
      <w:proofErr w:type="spellEnd"/>
      <w:r w:rsidRPr="00815A39">
        <w:rPr>
          <w:rFonts w:ascii="Arial" w:hAnsi="Arial" w:cs="Arial"/>
          <w:sz w:val="20"/>
          <w:szCs w:val="20"/>
        </w:rPr>
        <w:t xml:space="preserve">, K. </w:t>
      </w:r>
      <w:proofErr w:type="spellStart"/>
      <w:r w:rsidRPr="00815A39">
        <w:rPr>
          <w:rFonts w:ascii="Arial" w:hAnsi="Arial" w:cs="Arial"/>
          <w:sz w:val="20"/>
          <w:szCs w:val="20"/>
        </w:rPr>
        <w:t>Gemtessa</w:t>
      </w:r>
      <w:proofErr w:type="spellEnd"/>
      <w:r w:rsidRPr="00815A39">
        <w:rPr>
          <w:rFonts w:ascii="Arial" w:hAnsi="Arial" w:cs="Arial"/>
          <w:sz w:val="20"/>
          <w:szCs w:val="20"/>
        </w:rPr>
        <w:t xml:space="preserve">, and Bongani Ngwenya. "Exploring the consequences of land expropriation on the food security of Peri-Urban Indigenous Communities in Addis Ababa." Int. J. </w:t>
      </w:r>
      <w:proofErr w:type="spellStart"/>
      <w:r w:rsidRPr="00815A39">
        <w:rPr>
          <w:rFonts w:ascii="Arial" w:hAnsi="Arial" w:cs="Arial"/>
          <w:sz w:val="20"/>
          <w:szCs w:val="20"/>
        </w:rPr>
        <w:t>Multidiscip</w:t>
      </w:r>
      <w:proofErr w:type="spellEnd"/>
      <w:r w:rsidRPr="00815A39">
        <w:rPr>
          <w:rFonts w:ascii="Arial" w:hAnsi="Arial" w:cs="Arial"/>
          <w:sz w:val="20"/>
          <w:szCs w:val="20"/>
        </w:rPr>
        <w:t xml:space="preserve">. Res 6, no. 2 (2024). </w:t>
      </w:r>
      <w:hyperlink r:id="rId68" w:history="1">
        <w:r w:rsidRPr="00815A39">
          <w:rPr>
            <w:rFonts w:ascii="Arial" w:hAnsi="Arial" w:cs="Arial"/>
            <w:sz w:val="20"/>
            <w:szCs w:val="20"/>
          </w:rPr>
          <w:t>https://doi.org/gtq3dv</w:t>
        </w:r>
      </w:hyperlink>
    </w:p>
    <w:p w14:paraId="6B62ADEE" w14:textId="77777777" w:rsidR="00D17351" w:rsidRPr="00815A39" w:rsidRDefault="00D17351" w:rsidP="00815A39">
      <w:pPr>
        <w:pStyle w:val="NormalWeb"/>
        <w:spacing w:before="180" w:beforeAutospacing="0" w:after="60" w:afterAutospacing="0"/>
        <w:rPr>
          <w:rFonts w:ascii="Arial" w:hAnsi="Arial" w:cs="Arial"/>
          <w:sz w:val="20"/>
          <w:szCs w:val="20"/>
        </w:rPr>
      </w:pPr>
      <w:proofErr w:type="spellStart"/>
      <w:r w:rsidRPr="00815A39">
        <w:rPr>
          <w:rFonts w:ascii="Arial" w:hAnsi="Arial" w:cs="Arial"/>
          <w:sz w:val="20"/>
          <w:szCs w:val="20"/>
        </w:rPr>
        <w:t>Odeny</w:t>
      </w:r>
      <w:proofErr w:type="spellEnd"/>
      <w:r w:rsidRPr="00815A39">
        <w:rPr>
          <w:rFonts w:ascii="Arial" w:hAnsi="Arial" w:cs="Arial"/>
          <w:sz w:val="20"/>
          <w:szCs w:val="20"/>
        </w:rPr>
        <w:t xml:space="preserve">, M. (2013, April). Improving Access to Land and strengthening Women’s land rights in Africa. In Annual World Bank conference on land and poverty’, The World Bank, Washington, DC. </w:t>
      </w:r>
      <w:hyperlink r:id="rId69" w:history="1">
        <w:r w:rsidRPr="00815A39">
          <w:rPr>
            <w:rFonts w:ascii="Arial" w:hAnsi="Arial" w:cs="Arial"/>
            <w:sz w:val="20"/>
            <w:szCs w:val="20"/>
          </w:rPr>
          <w:t>(PDF) Improving Access to Land and strengthening Women's land rights in Africa</w:t>
        </w:r>
      </w:hyperlink>
    </w:p>
    <w:p w14:paraId="43B78157"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Okoye, Victoria. 2020. Street Vendor Exclusion in “Modern” Market Planning: A Case Study from Kumasi, Ghana. WIEGO Resource Document No. 15. WIEGO. </w:t>
      </w:r>
      <w:hyperlink r:id="rId70" w:history="1">
        <w:r w:rsidRPr="00815A39">
          <w:rPr>
            <w:rFonts w:ascii="Arial" w:hAnsi="Arial" w:cs="Arial"/>
            <w:sz w:val="20"/>
            <w:szCs w:val="20"/>
          </w:rPr>
          <w:t>https://www.Street Vendor Exclusion in “Modern” Market Planning: A Case Study from Kumasi, Ghana.</w:t>
        </w:r>
      </w:hyperlink>
    </w:p>
    <w:p w14:paraId="71E9C670"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Owusu Twum, Kwaku, Kwabena Asiama, John Ayer, and Cosmas Yaw Asante. 2020. “Gender, Land and Food Access in Ghana’s Suburban Cities: A Case of the </w:t>
      </w:r>
      <w:proofErr w:type="spellStart"/>
      <w:r w:rsidRPr="00815A39">
        <w:rPr>
          <w:rFonts w:ascii="Arial" w:hAnsi="Arial" w:cs="Arial"/>
          <w:sz w:val="20"/>
          <w:szCs w:val="20"/>
        </w:rPr>
        <w:t>Adenta</w:t>
      </w:r>
      <w:proofErr w:type="spellEnd"/>
      <w:r w:rsidRPr="00815A39">
        <w:rPr>
          <w:rFonts w:ascii="Arial" w:hAnsi="Arial" w:cs="Arial"/>
          <w:sz w:val="20"/>
          <w:szCs w:val="20"/>
        </w:rPr>
        <w:t xml:space="preserve"> Municipality.” Land 9, no. 11: 427. </w:t>
      </w:r>
      <w:hyperlink r:id="rId71" w:history="1">
        <w:r w:rsidRPr="00815A39">
          <w:rPr>
            <w:rFonts w:ascii="Arial" w:hAnsi="Arial" w:cs="Arial"/>
            <w:sz w:val="20"/>
            <w:szCs w:val="20"/>
          </w:rPr>
          <w:t>https://doi.org/10.3390/land9110427</w:t>
        </w:r>
      </w:hyperlink>
      <w:r w:rsidRPr="00815A39">
        <w:rPr>
          <w:rFonts w:ascii="Arial" w:hAnsi="Arial" w:cs="Arial"/>
          <w:sz w:val="20"/>
          <w:szCs w:val="20"/>
        </w:rPr>
        <w:t>.</w:t>
      </w:r>
    </w:p>
    <w:p w14:paraId="3F32D863" w14:textId="77777777" w:rsidR="00613992" w:rsidRDefault="00613992" w:rsidP="001E5137">
      <w:pPr>
        <w:pStyle w:val="NormalWeb"/>
        <w:shd w:val="clear" w:color="auto" w:fill="D9FFD9"/>
        <w:spacing w:before="180" w:beforeAutospacing="0" w:after="60" w:afterAutospacing="0"/>
        <w:rPr>
          <w:rFonts w:ascii="Arial" w:hAnsi="Arial" w:cs="Arial"/>
          <w:sz w:val="20"/>
          <w:szCs w:val="20"/>
        </w:rPr>
      </w:pPr>
      <w:r w:rsidRPr="001E5137">
        <w:rPr>
          <w:rFonts w:ascii="Arial" w:hAnsi="Arial" w:cs="Arial"/>
          <w:sz w:val="20"/>
          <w:szCs w:val="20"/>
        </w:rPr>
        <w:lastRenderedPageBreak/>
        <w:t xml:space="preserve">Oxfam Africa. (2024). Transforming Land Rights for African Women and Men: Civil Society’s Clarion Call to Action. </w:t>
      </w:r>
      <w:hyperlink r:id="rId72" w:history="1">
        <w:r w:rsidRPr="001E5137">
          <w:rPr>
            <w:rStyle w:val="Hyperlink"/>
            <w:rFonts w:ascii="Arial" w:hAnsi="Arial" w:cs="Arial"/>
            <w:sz w:val="20"/>
            <w:szCs w:val="20"/>
          </w:rPr>
          <w:t>https://africa.oxfam.org/latest/blogs/transforming-land-rights-african-women-and-men-civil-societys-clarion-call-action</w:t>
        </w:r>
      </w:hyperlink>
    </w:p>
    <w:p w14:paraId="306E9CBE"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Page M J, McKenzie J E, </w:t>
      </w:r>
      <w:proofErr w:type="spellStart"/>
      <w:r w:rsidRPr="00815A39">
        <w:rPr>
          <w:rFonts w:ascii="Arial" w:hAnsi="Arial" w:cs="Arial"/>
          <w:sz w:val="20"/>
          <w:szCs w:val="20"/>
        </w:rPr>
        <w:t>Bossuyt</w:t>
      </w:r>
      <w:proofErr w:type="spellEnd"/>
      <w:r w:rsidRPr="00815A39">
        <w:rPr>
          <w:rFonts w:ascii="Arial" w:hAnsi="Arial" w:cs="Arial"/>
          <w:sz w:val="20"/>
          <w:szCs w:val="20"/>
        </w:rPr>
        <w:t> P M, </w:t>
      </w:r>
      <w:proofErr w:type="spellStart"/>
      <w:r w:rsidRPr="00815A39">
        <w:rPr>
          <w:rFonts w:ascii="Arial" w:hAnsi="Arial" w:cs="Arial"/>
          <w:sz w:val="20"/>
          <w:szCs w:val="20"/>
        </w:rPr>
        <w:t>Boutron</w:t>
      </w:r>
      <w:proofErr w:type="spellEnd"/>
      <w:r w:rsidRPr="00815A39">
        <w:rPr>
          <w:rFonts w:ascii="Arial" w:hAnsi="Arial" w:cs="Arial"/>
          <w:sz w:val="20"/>
          <w:szCs w:val="20"/>
        </w:rPr>
        <w:t> I, Hoffmann T C, Mulrow C D et al. The PRISMA 2020 statement: an updated guideline for reporting systematic reviews BMJ 2021; </w:t>
      </w:r>
      <w:proofErr w:type="gramStart"/>
      <w:r w:rsidRPr="00815A39">
        <w:rPr>
          <w:rFonts w:ascii="Arial" w:hAnsi="Arial" w:cs="Arial"/>
          <w:sz w:val="20"/>
          <w:szCs w:val="20"/>
        </w:rPr>
        <w:t>372 :n</w:t>
      </w:r>
      <w:proofErr w:type="gramEnd"/>
      <w:r w:rsidRPr="00815A39">
        <w:rPr>
          <w:rFonts w:ascii="Arial" w:hAnsi="Arial" w:cs="Arial"/>
          <w:sz w:val="20"/>
          <w:szCs w:val="20"/>
        </w:rPr>
        <w:t xml:space="preserve">71. </w:t>
      </w:r>
      <w:hyperlink r:id="rId73" w:history="1">
        <w:r w:rsidRPr="00815A39">
          <w:rPr>
            <w:rFonts w:ascii="Arial" w:hAnsi="Arial" w:cs="Arial"/>
            <w:sz w:val="20"/>
            <w:szCs w:val="20"/>
          </w:rPr>
          <w:t>https://doi.org/10.1136/bmj.n71</w:t>
        </w:r>
      </w:hyperlink>
    </w:p>
    <w:p w14:paraId="1E7FE7C9"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Patel, Raj. 2009. “Food Sovereignty.” </w:t>
      </w:r>
      <w:r w:rsidRPr="00815A39">
        <w:rPr>
          <w:rFonts w:ascii="Arial" w:hAnsi="Arial" w:cs="Arial"/>
          <w:i/>
          <w:iCs/>
          <w:sz w:val="20"/>
          <w:szCs w:val="20"/>
        </w:rPr>
        <w:t>Journal of Peasant Studies</w:t>
      </w:r>
      <w:r w:rsidRPr="00815A39">
        <w:rPr>
          <w:rFonts w:ascii="Arial" w:hAnsi="Arial" w:cs="Arial"/>
          <w:sz w:val="20"/>
          <w:szCs w:val="20"/>
        </w:rPr>
        <w:t xml:space="preserve"> 36 (3): 663–706. </w:t>
      </w:r>
      <w:hyperlink r:id="rId74" w:history="1">
        <w:r w:rsidRPr="00815A39">
          <w:rPr>
            <w:rFonts w:ascii="Arial" w:hAnsi="Arial" w:cs="Arial"/>
            <w:sz w:val="20"/>
            <w:szCs w:val="20"/>
          </w:rPr>
          <w:t>https://doi.org/10.1080/03066150903143079</w:t>
        </w:r>
      </w:hyperlink>
    </w:p>
    <w:p w14:paraId="2BEBDDCA"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Quan, Julian, and Geoffrey Payne. Secure land rights for all. The United Nations Human Settlements Programme, UN-</w:t>
      </w:r>
      <w:proofErr w:type="gramStart"/>
      <w:r w:rsidRPr="00815A39">
        <w:rPr>
          <w:rFonts w:ascii="Arial" w:hAnsi="Arial" w:cs="Arial"/>
          <w:sz w:val="20"/>
          <w:szCs w:val="20"/>
        </w:rPr>
        <w:t>HABITAT,,</w:t>
      </w:r>
      <w:proofErr w:type="gramEnd"/>
      <w:r w:rsidRPr="00815A39">
        <w:rPr>
          <w:rFonts w:ascii="Arial" w:hAnsi="Arial" w:cs="Arial"/>
          <w:sz w:val="20"/>
          <w:szCs w:val="20"/>
        </w:rPr>
        <w:t xml:space="preserve"> 2008. </w:t>
      </w:r>
      <w:hyperlink r:id="rId75" w:history="1">
        <w:r w:rsidRPr="00815A39">
          <w:rPr>
            <w:rFonts w:ascii="Arial" w:hAnsi="Arial" w:cs="Arial"/>
            <w:sz w:val="20"/>
            <w:szCs w:val="20"/>
          </w:rPr>
          <w:t>https://Secure land rights for all.</w:t>
        </w:r>
      </w:hyperlink>
    </w:p>
    <w:p w14:paraId="12A86B12" w14:textId="66CBFB94"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Razavi, Shahra, and Carol Miller. 1995. From WID to GAD: Conceptual Shifts in the Women and Development Discourse. Occasional Paper No. 1. Geneva: UNRISD. </w:t>
      </w:r>
      <w:hyperlink r:id="rId76" w:history="1">
        <w:r w:rsidRPr="00815A39">
          <w:rPr>
            <w:rFonts w:ascii="Arial" w:hAnsi="Arial" w:cs="Arial"/>
            <w:sz w:val="20"/>
            <w:szCs w:val="20"/>
          </w:rPr>
          <w:t>From WID to GAD:</w:t>
        </w:r>
      </w:hyperlink>
    </w:p>
    <w:p w14:paraId="62205F76"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Rocheleau, Dianne, Barbara Thomas-Slayter, and Esther Wangari. Feminist political ecology: Global issues and local experience. Routledge, 2013. </w:t>
      </w:r>
      <w:hyperlink r:id="rId77" w:history="1">
        <w:r w:rsidRPr="00815A39">
          <w:rPr>
            <w:rFonts w:ascii="Arial" w:hAnsi="Arial" w:cs="Arial"/>
            <w:sz w:val="20"/>
            <w:szCs w:val="20"/>
          </w:rPr>
          <w:t>https://api.taylorfrancis.com/content/books/mono/download?identifierName=doi&amp;identifierValue=10.4324/9780203352205&amp;type=googlepdf</w:t>
        </w:r>
      </w:hyperlink>
    </w:p>
    <w:p w14:paraId="5532B46B"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RRI. 2017. “The Effects of Large</w:t>
      </w:r>
      <w:r w:rsidRPr="00815A39">
        <w:rPr>
          <w:rFonts w:ascii="Arial" w:hAnsi="Arial" w:cs="Arial"/>
          <w:sz w:val="20"/>
          <w:szCs w:val="20"/>
        </w:rPr>
        <w:noBreakHyphen/>
        <w:t xml:space="preserve">scale Land Acquisitions on Women.” Rights + Resources. (Ghana, Ethiopia examples of women losing land access and compensation) </w:t>
      </w:r>
      <w:hyperlink r:id="rId78" w:history="1">
        <w:r w:rsidRPr="00815A39">
          <w:rPr>
            <w:rFonts w:ascii="Arial" w:hAnsi="Arial" w:cs="Arial"/>
            <w:sz w:val="20"/>
            <w:szCs w:val="20"/>
          </w:rPr>
          <w:t>The Effects of Large-scale Land Acquisitions on Women - Rights + Resources - Supporting Forest Tenure, Policy, and Market Reforms</w:t>
        </w:r>
      </w:hyperlink>
    </w:p>
    <w:p w14:paraId="15404C42" w14:textId="77777777" w:rsidR="00D17351" w:rsidRPr="00815A39" w:rsidRDefault="00D17351" w:rsidP="00815A39">
      <w:pPr>
        <w:pStyle w:val="NormalWeb"/>
        <w:spacing w:before="180" w:beforeAutospacing="0" w:after="60" w:afterAutospacing="0"/>
        <w:rPr>
          <w:rFonts w:ascii="Arial" w:hAnsi="Arial" w:cs="Arial"/>
          <w:sz w:val="20"/>
          <w:szCs w:val="20"/>
        </w:rPr>
      </w:pPr>
      <w:proofErr w:type="spellStart"/>
      <w:r w:rsidRPr="00815A39">
        <w:rPr>
          <w:rFonts w:ascii="Arial" w:hAnsi="Arial" w:cs="Arial"/>
          <w:sz w:val="20"/>
          <w:szCs w:val="20"/>
        </w:rPr>
        <w:t>Sakketa</w:t>
      </w:r>
      <w:proofErr w:type="spellEnd"/>
      <w:r w:rsidRPr="00815A39">
        <w:rPr>
          <w:rFonts w:ascii="Arial" w:hAnsi="Arial" w:cs="Arial"/>
          <w:sz w:val="20"/>
          <w:szCs w:val="20"/>
        </w:rPr>
        <w:t xml:space="preserve">, </w:t>
      </w:r>
      <w:proofErr w:type="spellStart"/>
      <w:r w:rsidRPr="00815A39">
        <w:rPr>
          <w:rFonts w:ascii="Arial" w:hAnsi="Arial" w:cs="Arial"/>
          <w:sz w:val="20"/>
          <w:szCs w:val="20"/>
        </w:rPr>
        <w:t>Tekalign</w:t>
      </w:r>
      <w:proofErr w:type="spellEnd"/>
      <w:r w:rsidRPr="00815A39">
        <w:rPr>
          <w:rFonts w:ascii="Arial" w:hAnsi="Arial" w:cs="Arial"/>
          <w:sz w:val="20"/>
          <w:szCs w:val="20"/>
        </w:rPr>
        <w:t xml:space="preserve"> </w:t>
      </w:r>
      <w:proofErr w:type="spellStart"/>
      <w:r w:rsidRPr="00815A39">
        <w:rPr>
          <w:rFonts w:ascii="Arial" w:hAnsi="Arial" w:cs="Arial"/>
          <w:sz w:val="20"/>
          <w:szCs w:val="20"/>
        </w:rPr>
        <w:t>Gutu</w:t>
      </w:r>
      <w:proofErr w:type="spellEnd"/>
      <w:r w:rsidRPr="00815A39">
        <w:rPr>
          <w:rFonts w:ascii="Arial" w:hAnsi="Arial" w:cs="Arial"/>
          <w:sz w:val="20"/>
          <w:szCs w:val="20"/>
        </w:rPr>
        <w:t xml:space="preserve">. "Urbanisation and rural development in sub-Saharan Africa: A review of pathways and impacts." Research in Globalization 6 (2023): 100133. </w:t>
      </w:r>
      <w:hyperlink r:id="rId79" w:tgtFrame="_blank" w:tooltip="Persistent link using digital object identifier" w:history="1">
        <w:r w:rsidRPr="00815A39">
          <w:rPr>
            <w:rFonts w:ascii="Arial" w:hAnsi="Arial" w:cs="Arial"/>
            <w:sz w:val="20"/>
            <w:szCs w:val="20"/>
          </w:rPr>
          <w:t>https://doi.org/10.1016/j.resglo.2023.100133</w:t>
        </w:r>
      </w:hyperlink>
    </w:p>
    <w:p w14:paraId="5EBA3C38"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Scoones, Ian. 1998. “Sustainable Rural Livelihoods: A Framework for Analysis.” IDS Working Paper No. 72. Brighton: Institute of Development Studies. </w:t>
      </w:r>
      <w:hyperlink r:id="rId80" w:history="1">
        <w:r w:rsidRPr="00815A39">
          <w:rPr>
            <w:rFonts w:ascii="Arial" w:hAnsi="Arial" w:cs="Arial"/>
            <w:sz w:val="20"/>
            <w:szCs w:val="20"/>
          </w:rPr>
          <w:t>https://opendocs.ids.ac.uk/opendocs/handle</w:t>
        </w:r>
      </w:hyperlink>
    </w:p>
    <w:p w14:paraId="29A50BAF"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Sen, A. (1990) Gender and Cooperative Conflict. In: Tinker, I., Ed., Persistent Inequality, Oxford University Press Oxford, 123-148. </w:t>
      </w:r>
      <w:hyperlink r:id="rId81" w:history="1">
        <w:r w:rsidRPr="00815A39">
          <w:rPr>
            <w:rFonts w:ascii="Arial" w:hAnsi="Arial" w:cs="Arial"/>
            <w:sz w:val="20"/>
            <w:szCs w:val="20"/>
          </w:rPr>
          <w:t>https://www.scirp.org/journal/paperinformation?paperid=64419</w:t>
        </w:r>
      </w:hyperlink>
    </w:p>
    <w:p w14:paraId="3BBDFC29"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Siegner, Alana, Jennifer Sowerwine, and Charisma Acey. "Does urban agriculture improve food security? Examining the nexus of food access and distribution of urban produced foods in the United States: A systematic review." Sustainability 10, no. 9 (2018): 2988. </w:t>
      </w:r>
      <w:hyperlink r:id="rId82" w:history="1">
        <w:r w:rsidRPr="00815A39">
          <w:rPr>
            <w:rFonts w:ascii="Arial" w:hAnsi="Arial" w:cs="Arial"/>
            <w:sz w:val="20"/>
            <w:szCs w:val="20"/>
          </w:rPr>
          <w:t>https://doi.org/10.3390/su10092988</w:t>
        </w:r>
      </w:hyperlink>
    </w:p>
    <w:p w14:paraId="027F8498"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Spire, Amandine &amp; Armelle, Choplin. (2017). Street Vendors Facing Urban Beautification in Accra (Ghana): Eviction, Relocation and Formalization. </w:t>
      </w:r>
      <w:proofErr w:type="spellStart"/>
      <w:r w:rsidRPr="00815A39">
        <w:rPr>
          <w:rFonts w:ascii="Arial" w:hAnsi="Arial" w:cs="Arial"/>
          <w:sz w:val="20"/>
          <w:szCs w:val="20"/>
        </w:rPr>
        <w:t>Articulo</w:t>
      </w:r>
      <w:proofErr w:type="spellEnd"/>
      <w:r w:rsidRPr="00815A39">
        <w:rPr>
          <w:rFonts w:ascii="Arial" w:hAnsi="Arial" w:cs="Arial"/>
          <w:sz w:val="20"/>
          <w:szCs w:val="20"/>
        </w:rPr>
        <w:t xml:space="preserve"> - Journal of Urban Research. 2018. </w:t>
      </w:r>
      <w:hyperlink r:id="rId83" w:history="1">
        <w:r w:rsidRPr="00815A39">
          <w:rPr>
            <w:rFonts w:ascii="Arial" w:hAnsi="Arial" w:cs="Arial"/>
            <w:sz w:val="20"/>
            <w:szCs w:val="20"/>
          </w:rPr>
          <w:t>https://doi.org/10.4000/articulo.3443</w:t>
        </w:r>
      </w:hyperlink>
    </w:p>
    <w:p w14:paraId="63BCE924" w14:textId="77777777" w:rsidR="001E5137" w:rsidRDefault="001E5137" w:rsidP="001E5137">
      <w:pPr>
        <w:pStyle w:val="NormalWeb"/>
        <w:shd w:val="clear" w:color="auto" w:fill="D9FFD9"/>
        <w:spacing w:before="180" w:beforeAutospacing="0" w:after="60" w:afterAutospacing="0"/>
        <w:rPr>
          <w:rFonts w:ascii="Arial" w:hAnsi="Arial" w:cs="Arial"/>
          <w:sz w:val="20"/>
          <w:szCs w:val="20"/>
        </w:rPr>
      </w:pPr>
      <w:r w:rsidRPr="001E5137">
        <w:rPr>
          <w:rFonts w:ascii="Arial" w:hAnsi="Arial" w:cs="Arial"/>
          <w:sz w:val="20"/>
          <w:szCs w:val="20"/>
        </w:rPr>
        <w:t xml:space="preserve">Stewart, Ruth, Marcel Korth, Laurenz Langer, Shannon Rafferty, Natalie Rebelo Da Silva, and Carina Van Rooyen. "What are the impacts of urban agriculture programs on food security in low and middle-income </w:t>
      </w:r>
      <w:proofErr w:type="gramStart"/>
      <w:r w:rsidRPr="001E5137">
        <w:rPr>
          <w:rFonts w:ascii="Arial" w:hAnsi="Arial" w:cs="Arial"/>
          <w:sz w:val="20"/>
          <w:szCs w:val="20"/>
        </w:rPr>
        <w:t>countries?.</w:t>
      </w:r>
      <w:proofErr w:type="gramEnd"/>
      <w:r w:rsidRPr="001E5137">
        <w:rPr>
          <w:rFonts w:ascii="Arial" w:hAnsi="Arial" w:cs="Arial"/>
          <w:sz w:val="20"/>
          <w:szCs w:val="20"/>
        </w:rPr>
        <w:t>" Environmental Evidence 2, no. 1 (2013): 7.</w:t>
      </w:r>
    </w:p>
    <w:p w14:paraId="710E6A92" w14:textId="4E27B0F8" w:rsidR="00D17351" w:rsidRPr="00815A39" w:rsidRDefault="00D17351" w:rsidP="00815A39">
      <w:pPr>
        <w:pStyle w:val="NormalWeb"/>
        <w:spacing w:before="180" w:beforeAutospacing="0" w:after="60" w:afterAutospacing="0"/>
        <w:rPr>
          <w:rFonts w:ascii="Arial" w:hAnsi="Arial" w:cs="Arial"/>
          <w:sz w:val="20"/>
          <w:szCs w:val="20"/>
        </w:rPr>
      </w:pPr>
      <w:proofErr w:type="spellStart"/>
      <w:r w:rsidRPr="00815A39">
        <w:rPr>
          <w:rFonts w:ascii="Arial" w:hAnsi="Arial" w:cs="Arial"/>
          <w:sz w:val="20"/>
          <w:szCs w:val="20"/>
        </w:rPr>
        <w:t>Tacoli</w:t>
      </w:r>
      <w:proofErr w:type="spellEnd"/>
      <w:r w:rsidRPr="00815A39">
        <w:rPr>
          <w:rFonts w:ascii="Arial" w:hAnsi="Arial" w:cs="Arial"/>
          <w:sz w:val="20"/>
          <w:szCs w:val="20"/>
        </w:rPr>
        <w:t xml:space="preserve">, Cecilia, and Bill Vorley. 2015. </w:t>
      </w:r>
      <w:r w:rsidRPr="00815A39">
        <w:rPr>
          <w:rFonts w:ascii="Arial" w:hAnsi="Arial" w:cs="Arial"/>
          <w:i/>
          <w:iCs/>
          <w:sz w:val="20"/>
          <w:szCs w:val="20"/>
        </w:rPr>
        <w:t>Reframing the Debate on Urbanization, Rural Transformation and Food Security</w:t>
      </w:r>
      <w:r w:rsidRPr="00815A39">
        <w:rPr>
          <w:rFonts w:ascii="Arial" w:hAnsi="Arial" w:cs="Arial"/>
          <w:sz w:val="20"/>
          <w:szCs w:val="20"/>
        </w:rPr>
        <w:t xml:space="preserve">. London: IIED. </w:t>
      </w:r>
      <w:hyperlink r:id="rId84" w:history="1">
        <w:r w:rsidRPr="00815A39">
          <w:rPr>
            <w:rFonts w:ascii="Arial" w:hAnsi="Arial" w:cs="Arial"/>
            <w:sz w:val="20"/>
            <w:szCs w:val="20"/>
          </w:rPr>
          <w:t>Reframing the debate on urbanisation, rural transformation and food security | IIED Publications Library</w:t>
        </w:r>
      </w:hyperlink>
    </w:p>
    <w:p w14:paraId="511B5B73"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lastRenderedPageBreak/>
        <w:t>Tantoh, Henry Bikwibili, Tracey TJM McKay, Felix Ekwabena Donkor, and Mulala Danny Simatele. "Gender roles, implications for water, land, and food security in a changing climate: a systematic review." Frontiers in Sustainable Food Systems 5 (2021): 707835.  </w:t>
      </w:r>
      <w:hyperlink r:id="rId85" w:history="1">
        <w:r w:rsidRPr="00815A39">
          <w:rPr>
            <w:rFonts w:ascii="Arial" w:hAnsi="Arial" w:cs="Arial"/>
            <w:sz w:val="20"/>
            <w:szCs w:val="20"/>
          </w:rPr>
          <w:t>https://doi.org/10.3389/fsufs.2021.707835</w:t>
        </w:r>
      </w:hyperlink>
    </w:p>
    <w:p w14:paraId="219037A6"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Thompson, Heather E., Lea Berrang-Ford, and James D. Ford. "Climate change and food security in sub-Saharan Africa: a systematic literature review." Sustainability 2, no. 8 (2010): 2719-2733. </w:t>
      </w:r>
      <w:hyperlink r:id="rId86" w:history="1">
        <w:r w:rsidRPr="00815A39">
          <w:rPr>
            <w:rFonts w:ascii="Arial" w:hAnsi="Arial" w:cs="Arial"/>
            <w:sz w:val="20"/>
            <w:szCs w:val="20"/>
          </w:rPr>
          <w:t>https://doi.org/10.3390/su2082719</w:t>
        </w:r>
      </w:hyperlink>
    </w:p>
    <w:p w14:paraId="34B3B239" w14:textId="77777777" w:rsidR="00D17351" w:rsidRDefault="00D17351" w:rsidP="00815A39">
      <w:pPr>
        <w:pStyle w:val="NormalWeb"/>
        <w:spacing w:before="180" w:beforeAutospacing="0" w:after="60" w:afterAutospacing="0"/>
      </w:pPr>
      <w:proofErr w:type="spellStart"/>
      <w:r w:rsidRPr="00815A39">
        <w:rPr>
          <w:rFonts w:ascii="Arial" w:hAnsi="Arial" w:cs="Arial"/>
          <w:sz w:val="20"/>
          <w:szCs w:val="20"/>
        </w:rPr>
        <w:t>Titz</w:t>
      </w:r>
      <w:proofErr w:type="spellEnd"/>
      <w:r w:rsidRPr="00815A39">
        <w:rPr>
          <w:rFonts w:ascii="Arial" w:hAnsi="Arial" w:cs="Arial"/>
          <w:sz w:val="20"/>
          <w:szCs w:val="20"/>
        </w:rPr>
        <w:t xml:space="preserve">, Alexandra, and </w:t>
      </w:r>
      <w:proofErr w:type="spellStart"/>
      <w:r w:rsidRPr="00815A39">
        <w:rPr>
          <w:rFonts w:ascii="Arial" w:hAnsi="Arial" w:cs="Arial"/>
          <w:sz w:val="20"/>
          <w:szCs w:val="20"/>
        </w:rPr>
        <w:t>Sosten</w:t>
      </w:r>
      <w:proofErr w:type="spellEnd"/>
      <w:r w:rsidRPr="00815A39">
        <w:rPr>
          <w:rFonts w:ascii="Arial" w:hAnsi="Arial" w:cs="Arial"/>
          <w:sz w:val="20"/>
          <w:szCs w:val="20"/>
        </w:rPr>
        <w:t xml:space="preserve"> S. </w:t>
      </w:r>
      <w:proofErr w:type="spellStart"/>
      <w:r w:rsidRPr="00815A39">
        <w:rPr>
          <w:rFonts w:ascii="Arial" w:hAnsi="Arial" w:cs="Arial"/>
          <w:sz w:val="20"/>
          <w:szCs w:val="20"/>
        </w:rPr>
        <w:t>Chiotha</w:t>
      </w:r>
      <w:proofErr w:type="spellEnd"/>
      <w:r w:rsidRPr="00815A39">
        <w:rPr>
          <w:rFonts w:ascii="Arial" w:hAnsi="Arial" w:cs="Arial"/>
          <w:sz w:val="20"/>
          <w:szCs w:val="20"/>
        </w:rPr>
        <w:t xml:space="preserve">. "Pathways for sustainable and inclusive cities in Southern and Eastern Africa through urban green </w:t>
      </w:r>
      <w:proofErr w:type="gramStart"/>
      <w:r w:rsidRPr="00815A39">
        <w:rPr>
          <w:rFonts w:ascii="Arial" w:hAnsi="Arial" w:cs="Arial"/>
          <w:sz w:val="20"/>
          <w:szCs w:val="20"/>
        </w:rPr>
        <w:t>infrastructure?.</w:t>
      </w:r>
      <w:proofErr w:type="gramEnd"/>
      <w:r w:rsidRPr="00815A39">
        <w:rPr>
          <w:rFonts w:ascii="Arial" w:hAnsi="Arial" w:cs="Arial"/>
          <w:sz w:val="20"/>
          <w:szCs w:val="20"/>
        </w:rPr>
        <w:t xml:space="preserve">" Sustainability 11, no. 10 (2019): 2729. </w:t>
      </w:r>
      <w:hyperlink r:id="rId87" w:history="1">
        <w:r w:rsidRPr="00815A39">
          <w:rPr>
            <w:rFonts w:ascii="Arial" w:hAnsi="Arial" w:cs="Arial"/>
            <w:sz w:val="20"/>
            <w:szCs w:val="20"/>
          </w:rPr>
          <w:t>https://doi.org/10.3390/su11102729</w:t>
        </w:r>
      </w:hyperlink>
    </w:p>
    <w:p w14:paraId="7CF13E7C" w14:textId="77777777" w:rsidR="001E5137" w:rsidRPr="001E5137" w:rsidRDefault="001E5137" w:rsidP="00823A1C">
      <w:pPr>
        <w:shd w:val="clear" w:color="auto" w:fill="D9FFD9"/>
        <w:rPr>
          <w:rFonts w:ascii="Calibri" w:hAnsi="Calibri" w:cs="Calibri"/>
          <w:color w:val="000000"/>
          <w:sz w:val="22"/>
          <w:szCs w:val="22"/>
          <w:lang/>
        </w:rPr>
      </w:pPr>
      <w:r w:rsidRPr="001E5137">
        <w:rPr>
          <w:rFonts w:ascii="Calibri" w:hAnsi="Calibri" w:cs="Calibri"/>
          <w:color w:val="000000"/>
          <w:sz w:val="22"/>
          <w:szCs w:val="22"/>
          <w:lang/>
        </w:rPr>
        <w:t>Twum, Kwaku Owusu, Kwabena Asiama, John Ayer, and Cosmas Yaw Asante. "Gender, land and food access in ghana’s suburban cities: A case of the adenta municipality." Land 9, no. 11 (2020): 427.</w:t>
      </w:r>
    </w:p>
    <w:p w14:paraId="6CC90328"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UN-Habitat. 2022. World Cities Report 2022: Envisaging the Future of Cities. Nairobi: United Nations Human Settlements Programme. </w:t>
      </w:r>
      <w:hyperlink r:id="rId88" w:history="1">
        <w:r w:rsidRPr="00815A39">
          <w:rPr>
            <w:rFonts w:ascii="Arial" w:hAnsi="Arial" w:cs="Arial"/>
            <w:sz w:val="20"/>
            <w:szCs w:val="20"/>
          </w:rPr>
          <w:t>World Cities Report 2022: Envisaging the Future of Cities | UN-Habitat</w:t>
        </w:r>
      </w:hyperlink>
    </w:p>
    <w:p w14:paraId="768AF630"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VanVolkenburg, Heather, Isabelle </w:t>
      </w:r>
      <w:proofErr w:type="spellStart"/>
      <w:r w:rsidRPr="00815A39">
        <w:rPr>
          <w:rFonts w:ascii="Arial" w:hAnsi="Arial" w:cs="Arial"/>
          <w:sz w:val="20"/>
          <w:szCs w:val="20"/>
        </w:rPr>
        <w:t>Vandeplas</w:t>
      </w:r>
      <w:proofErr w:type="spellEnd"/>
      <w:r w:rsidRPr="00815A39">
        <w:rPr>
          <w:rFonts w:ascii="Arial" w:hAnsi="Arial" w:cs="Arial"/>
          <w:sz w:val="20"/>
          <w:szCs w:val="20"/>
        </w:rPr>
        <w:t xml:space="preserve">, </w:t>
      </w:r>
      <w:proofErr w:type="spellStart"/>
      <w:r w:rsidRPr="00815A39">
        <w:rPr>
          <w:rFonts w:ascii="Arial" w:hAnsi="Arial" w:cs="Arial"/>
          <w:sz w:val="20"/>
          <w:szCs w:val="20"/>
        </w:rPr>
        <w:t>Katim</w:t>
      </w:r>
      <w:proofErr w:type="spellEnd"/>
      <w:r w:rsidRPr="00815A39">
        <w:rPr>
          <w:rFonts w:ascii="Arial" w:hAnsi="Arial" w:cs="Arial"/>
          <w:sz w:val="20"/>
          <w:szCs w:val="20"/>
        </w:rPr>
        <w:t xml:space="preserve"> Touré, </w:t>
      </w:r>
      <w:proofErr w:type="spellStart"/>
      <w:r w:rsidRPr="00815A39">
        <w:rPr>
          <w:rFonts w:ascii="Arial" w:hAnsi="Arial" w:cs="Arial"/>
          <w:sz w:val="20"/>
          <w:szCs w:val="20"/>
        </w:rPr>
        <w:t>Safiétou</w:t>
      </w:r>
      <w:proofErr w:type="spellEnd"/>
      <w:r w:rsidRPr="00815A39">
        <w:rPr>
          <w:rFonts w:ascii="Arial" w:hAnsi="Arial" w:cs="Arial"/>
          <w:sz w:val="20"/>
          <w:szCs w:val="20"/>
        </w:rPr>
        <w:t xml:space="preserve"> </w:t>
      </w:r>
      <w:proofErr w:type="spellStart"/>
      <w:r w:rsidRPr="00815A39">
        <w:rPr>
          <w:rFonts w:ascii="Arial" w:hAnsi="Arial" w:cs="Arial"/>
          <w:sz w:val="20"/>
          <w:szCs w:val="20"/>
        </w:rPr>
        <w:t>Sanfo</w:t>
      </w:r>
      <w:proofErr w:type="spellEnd"/>
      <w:r w:rsidRPr="00815A39">
        <w:rPr>
          <w:rFonts w:ascii="Arial" w:hAnsi="Arial" w:cs="Arial"/>
          <w:sz w:val="20"/>
          <w:szCs w:val="20"/>
        </w:rPr>
        <w:t xml:space="preserve">, </w:t>
      </w:r>
      <w:proofErr w:type="spellStart"/>
      <w:r w:rsidRPr="00815A39">
        <w:rPr>
          <w:rFonts w:ascii="Arial" w:hAnsi="Arial" w:cs="Arial"/>
          <w:sz w:val="20"/>
          <w:szCs w:val="20"/>
        </w:rPr>
        <w:t>Fatoumata</w:t>
      </w:r>
      <w:proofErr w:type="spellEnd"/>
      <w:r w:rsidRPr="00815A39">
        <w:rPr>
          <w:rFonts w:ascii="Arial" w:hAnsi="Arial" w:cs="Arial"/>
          <w:sz w:val="20"/>
          <w:szCs w:val="20"/>
        </w:rPr>
        <w:t xml:space="preserve"> </w:t>
      </w:r>
      <w:proofErr w:type="spellStart"/>
      <w:r w:rsidRPr="00815A39">
        <w:rPr>
          <w:rFonts w:ascii="Arial" w:hAnsi="Arial" w:cs="Arial"/>
          <w:sz w:val="20"/>
          <w:szCs w:val="20"/>
        </w:rPr>
        <w:t>Lamarana</w:t>
      </w:r>
      <w:proofErr w:type="spellEnd"/>
      <w:r w:rsidRPr="00815A39">
        <w:rPr>
          <w:rFonts w:ascii="Arial" w:hAnsi="Arial" w:cs="Arial"/>
          <w:sz w:val="20"/>
          <w:szCs w:val="20"/>
        </w:rPr>
        <w:t xml:space="preserve"> Baldé, and Liette Vasseur. "Do COVID-19 and food insecurity influence existing inequalities between women and men in </w:t>
      </w:r>
      <w:proofErr w:type="gramStart"/>
      <w:r w:rsidRPr="00815A39">
        <w:rPr>
          <w:rFonts w:ascii="Arial" w:hAnsi="Arial" w:cs="Arial"/>
          <w:sz w:val="20"/>
          <w:szCs w:val="20"/>
        </w:rPr>
        <w:t>Africa?.</w:t>
      </w:r>
      <w:proofErr w:type="gramEnd"/>
      <w:r w:rsidRPr="00815A39">
        <w:rPr>
          <w:rFonts w:ascii="Arial" w:hAnsi="Arial" w:cs="Arial"/>
          <w:sz w:val="20"/>
          <w:szCs w:val="20"/>
        </w:rPr>
        <w:t xml:space="preserve">" International journal of environmental research and public health 19, no. 4 (2022): 2065. </w:t>
      </w:r>
      <w:proofErr w:type="spellStart"/>
      <w:r w:rsidRPr="00815A39">
        <w:rPr>
          <w:rFonts w:ascii="Arial" w:hAnsi="Arial" w:cs="Arial"/>
          <w:sz w:val="20"/>
          <w:szCs w:val="20"/>
        </w:rPr>
        <w:t>doi</w:t>
      </w:r>
      <w:proofErr w:type="spellEnd"/>
      <w:r w:rsidRPr="00815A39">
        <w:rPr>
          <w:rFonts w:ascii="Arial" w:hAnsi="Arial" w:cs="Arial"/>
          <w:sz w:val="20"/>
          <w:szCs w:val="20"/>
        </w:rPr>
        <w:t>: 10.3390/ijerph19042065.</w:t>
      </w:r>
    </w:p>
    <w:p w14:paraId="4C137590"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Vercillo, Siera, Chris Huggins, and Logan Cochrane. "How is gender investigated in African climate change research? A systematic review of the literature." </w:t>
      </w:r>
      <w:proofErr w:type="spellStart"/>
      <w:r w:rsidRPr="00815A39">
        <w:rPr>
          <w:rFonts w:ascii="Arial" w:hAnsi="Arial" w:cs="Arial"/>
          <w:sz w:val="20"/>
          <w:szCs w:val="20"/>
        </w:rPr>
        <w:t>Ambio</w:t>
      </w:r>
      <w:proofErr w:type="spellEnd"/>
      <w:r w:rsidRPr="00815A39">
        <w:rPr>
          <w:rFonts w:ascii="Arial" w:hAnsi="Arial" w:cs="Arial"/>
          <w:sz w:val="20"/>
          <w:szCs w:val="20"/>
        </w:rPr>
        <w:t xml:space="preserve"> 51, no. 4 (2022): 1045-1062. </w:t>
      </w:r>
      <w:hyperlink r:id="rId89" w:tgtFrame="_blank" w:history="1">
        <w:r w:rsidRPr="00815A39">
          <w:rPr>
            <w:rFonts w:ascii="Arial" w:hAnsi="Arial" w:cs="Arial"/>
            <w:sz w:val="20"/>
            <w:szCs w:val="20"/>
          </w:rPr>
          <w:t>10.1007/s13280-021-01631-w</w:t>
        </w:r>
      </w:hyperlink>
    </w:p>
    <w:p w14:paraId="21920555"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Watson, Vanessa. (2013). African urban fantasies: Dreams or </w:t>
      </w:r>
      <w:proofErr w:type="gramStart"/>
      <w:r w:rsidRPr="00815A39">
        <w:rPr>
          <w:rFonts w:ascii="Arial" w:hAnsi="Arial" w:cs="Arial"/>
          <w:sz w:val="20"/>
          <w:szCs w:val="20"/>
        </w:rPr>
        <w:t>nightmares?.</w:t>
      </w:r>
      <w:proofErr w:type="gramEnd"/>
      <w:r w:rsidRPr="00815A39">
        <w:rPr>
          <w:rFonts w:ascii="Arial" w:hAnsi="Arial" w:cs="Arial"/>
          <w:sz w:val="20"/>
          <w:szCs w:val="20"/>
        </w:rPr>
        <w:t xml:space="preserve"> Environment and Urbanization. 26. 215-231. 10.1177/0956247813513705. </w:t>
      </w:r>
    </w:p>
    <w:p w14:paraId="79E3568E"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World Bank. 2016. “Africa’s Bold and Ambitious Endeavor: Restoring 100 M Hectares of Land by 2030.” World Bank, November 14, 2016. </w:t>
      </w:r>
      <w:hyperlink r:id="rId90" w:history="1">
        <w:r w:rsidRPr="00815A39">
          <w:rPr>
            <w:rFonts w:ascii="Arial" w:hAnsi="Arial" w:cs="Arial"/>
            <w:sz w:val="20"/>
            <w:szCs w:val="20"/>
          </w:rPr>
          <w:t>Africa’s Bold and Ambitious Endeavor: Restoring 100M Hectares of Land by 2030</w:t>
        </w:r>
      </w:hyperlink>
    </w:p>
    <w:p w14:paraId="217C8D22" w14:textId="77777777" w:rsidR="00D17351" w:rsidRPr="00815A39" w:rsidRDefault="00D17351" w:rsidP="00815A39">
      <w:pPr>
        <w:pStyle w:val="NormalWeb"/>
        <w:spacing w:before="180" w:beforeAutospacing="0" w:after="60" w:afterAutospacing="0"/>
        <w:rPr>
          <w:rFonts w:ascii="Arial" w:hAnsi="Arial" w:cs="Arial"/>
          <w:sz w:val="20"/>
          <w:szCs w:val="20"/>
        </w:rPr>
      </w:pPr>
      <w:proofErr w:type="spellStart"/>
      <w:r w:rsidRPr="00815A39">
        <w:rPr>
          <w:rFonts w:ascii="Arial" w:hAnsi="Arial" w:cs="Arial"/>
          <w:sz w:val="20"/>
          <w:szCs w:val="20"/>
        </w:rPr>
        <w:t>Wudil</w:t>
      </w:r>
      <w:proofErr w:type="spellEnd"/>
      <w:r w:rsidRPr="00815A39">
        <w:rPr>
          <w:rFonts w:ascii="Arial" w:hAnsi="Arial" w:cs="Arial"/>
          <w:sz w:val="20"/>
          <w:szCs w:val="20"/>
        </w:rPr>
        <w:t xml:space="preserve">, </w:t>
      </w:r>
      <w:proofErr w:type="spellStart"/>
      <w:r w:rsidRPr="00815A39">
        <w:rPr>
          <w:rFonts w:ascii="Arial" w:hAnsi="Arial" w:cs="Arial"/>
          <w:sz w:val="20"/>
          <w:szCs w:val="20"/>
        </w:rPr>
        <w:t>Abdulazeez</w:t>
      </w:r>
      <w:proofErr w:type="spellEnd"/>
      <w:r w:rsidRPr="00815A39">
        <w:rPr>
          <w:rFonts w:ascii="Arial" w:hAnsi="Arial" w:cs="Arial"/>
          <w:sz w:val="20"/>
          <w:szCs w:val="20"/>
        </w:rPr>
        <w:t xml:space="preserve"> </w:t>
      </w:r>
      <w:proofErr w:type="spellStart"/>
      <w:r w:rsidRPr="00815A39">
        <w:rPr>
          <w:rFonts w:ascii="Arial" w:hAnsi="Arial" w:cs="Arial"/>
          <w:sz w:val="20"/>
          <w:szCs w:val="20"/>
        </w:rPr>
        <w:t>Hudu</w:t>
      </w:r>
      <w:proofErr w:type="spellEnd"/>
      <w:r w:rsidRPr="00815A39">
        <w:rPr>
          <w:rFonts w:ascii="Arial" w:hAnsi="Arial" w:cs="Arial"/>
          <w:sz w:val="20"/>
          <w:szCs w:val="20"/>
        </w:rPr>
        <w:t xml:space="preserve">, Muhammad Usman, Joanna Rosak-Szyrocka, </w:t>
      </w:r>
      <w:proofErr w:type="spellStart"/>
      <w:r w:rsidRPr="00815A39">
        <w:rPr>
          <w:rFonts w:ascii="Arial" w:hAnsi="Arial" w:cs="Arial"/>
          <w:sz w:val="20"/>
          <w:szCs w:val="20"/>
        </w:rPr>
        <w:t>Ladislav</w:t>
      </w:r>
      <w:proofErr w:type="spellEnd"/>
      <w:r w:rsidRPr="00815A39">
        <w:rPr>
          <w:rFonts w:ascii="Arial" w:hAnsi="Arial" w:cs="Arial"/>
          <w:sz w:val="20"/>
          <w:szCs w:val="20"/>
        </w:rPr>
        <w:t xml:space="preserve"> </w:t>
      </w:r>
      <w:proofErr w:type="spellStart"/>
      <w:r w:rsidRPr="00815A39">
        <w:rPr>
          <w:rFonts w:ascii="Arial" w:hAnsi="Arial" w:cs="Arial"/>
          <w:sz w:val="20"/>
          <w:szCs w:val="20"/>
        </w:rPr>
        <w:t>Pilař</w:t>
      </w:r>
      <w:proofErr w:type="spellEnd"/>
      <w:r w:rsidRPr="00815A39">
        <w:rPr>
          <w:rFonts w:ascii="Arial" w:hAnsi="Arial" w:cs="Arial"/>
          <w:sz w:val="20"/>
          <w:szCs w:val="20"/>
        </w:rPr>
        <w:t xml:space="preserve">, and </w:t>
      </w:r>
      <w:proofErr w:type="spellStart"/>
      <w:r w:rsidRPr="00815A39">
        <w:rPr>
          <w:rFonts w:ascii="Arial" w:hAnsi="Arial" w:cs="Arial"/>
          <w:sz w:val="20"/>
          <w:szCs w:val="20"/>
        </w:rPr>
        <w:t>Mortala</w:t>
      </w:r>
      <w:proofErr w:type="spellEnd"/>
      <w:r w:rsidRPr="00815A39">
        <w:rPr>
          <w:rFonts w:ascii="Arial" w:hAnsi="Arial" w:cs="Arial"/>
          <w:sz w:val="20"/>
          <w:szCs w:val="20"/>
        </w:rPr>
        <w:t xml:space="preserve"> </w:t>
      </w:r>
      <w:proofErr w:type="spellStart"/>
      <w:r w:rsidRPr="00815A39">
        <w:rPr>
          <w:rFonts w:ascii="Arial" w:hAnsi="Arial" w:cs="Arial"/>
          <w:sz w:val="20"/>
          <w:szCs w:val="20"/>
        </w:rPr>
        <w:t>Boye</w:t>
      </w:r>
      <w:proofErr w:type="spellEnd"/>
      <w:r w:rsidRPr="00815A39">
        <w:rPr>
          <w:rFonts w:ascii="Arial" w:hAnsi="Arial" w:cs="Arial"/>
          <w:sz w:val="20"/>
          <w:szCs w:val="20"/>
        </w:rPr>
        <w:t>. "Reversing years for global food security: A review of the food security situation in Sub-Saharan Africa (SSA)." International Journal of environmental research and Public Health 19, no. 22 (2022): 14836.  DOI: </w:t>
      </w:r>
      <w:hyperlink r:id="rId91" w:tgtFrame="_blank" w:history="1">
        <w:r w:rsidRPr="00815A39">
          <w:rPr>
            <w:rFonts w:ascii="Arial" w:hAnsi="Arial" w:cs="Arial"/>
            <w:sz w:val="20"/>
            <w:szCs w:val="20"/>
          </w:rPr>
          <w:t>10.3390/ijerph192214836</w:t>
        </w:r>
      </w:hyperlink>
    </w:p>
    <w:p w14:paraId="423F1B75" w14:textId="77777777" w:rsidR="00D17351" w:rsidRPr="00815A39"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Ziem Bonye, Samuel, Gordon Yenglier Yiridomoh, and Emmanuel K. </w:t>
      </w:r>
      <w:proofErr w:type="spellStart"/>
      <w:r w:rsidRPr="00815A39">
        <w:rPr>
          <w:rFonts w:ascii="Arial" w:hAnsi="Arial" w:cs="Arial"/>
          <w:sz w:val="20"/>
          <w:szCs w:val="20"/>
        </w:rPr>
        <w:t>Derbile</w:t>
      </w:r>
      <w:proofErr w:type="spellEnd"/>
      <w:r w:rsidRPr="00815A39">
        <w:rPr>
          <w:rFonts w:ascii="Arial" w:hAnsi="Arial" w:cs="Arial"/>
          <w:sz w:val="20"/>
          <w:szCs w:val="20"/>
        </w:rPr>
        <w:t xml:space="preserve">. "Urban expansion and agricultural land use change in Ghana: Implications for peri-urban farmer household food security in </w:t>
      </w:r>
      <w:proofErr w:type="spellStart"/>
      <w:r w:rsidRPr="00815A39">
        <w:rPr>
          <w:rFonts w:ascii="Arial" w:hAnsi="Arial" w:cs="Arial"/>
          <w:sz w:val="20"/>
          <w:szCs w:val="20"/>
        </w:rPr>
        <w:t>Wa</w:t>
      </w:r>
      <w:proofErr w:type="spellEnd"/>
      <w:r w:rsidRPr="00815A39">
        <w:rPr>
          <w:rFonts w:ascii="Arial" w:hAnsi="Arial" w:cs="Arial"/>
          <w:sz w:val="20"/>
          <w:szCs w:val="20"/>
        </w:rPr>
        <w:t xml:space="preserve"> Municipality." International Journal of Urban Sustainable Development 13, no. 2 (2021): 383-399. </w:t>
      </w:r>
      <w:hyperlink r:id="rId92" w:history="1">
        <w:r w:rsidRPr="00815A39">
          <w:rPr>
            <w:rFonts w:ascii="Arial" w:hAnsi="Arial" w:cs="Arial"/>
            <w:sz w:val="20"/>
            <w:szCs w:val="20"/>
          </w:rPr>
          <w:t>https://doi.org/10.1080/19463138.2021.1915790</w:t>
        </w:r>
      </w:hyperlink>
    </w:p>
    <w:p w14:paraId="0A0D23A2" w14:textId="5F48D787" w:rsidR="00D17351" w:rsidRDefault="00D17351" w:rsidP="00815A39">
      <w:pPr>
        <w:pStyle w:val="NormalWeb"/>
        <w:spacing w:before="180" w:beforeAutospacing="0" w:after="60" w:afterAutospacing="0"/>
        <w:rPr>
          <w:rFonts w:ascii="Arial" w:hAnsi="Arial" w:cs="Arial"/>
          <w:sz w:val="20"/>
          <w:szCs w:val="20"/>
        </w:rPr>
      </w:pPr>
      <w:r w:rsidRPr="00815A39">
        <w:rPr>
          <w:rFonts w:ascii="Arial" w:hAnsi="Arial" w:cs="Arial"/>
          <w:sz w:val="20"/>
          <w:szCs w:val="20"/>
        </w:rPr>
        <w:t xml:space="preserve">Zoomers, Annelies. 2010. “Globalisation and the </w:t>
      </w:r>
      <w:proofErr w:type="spellStart"/>
      <w:r w:rsidRPr="00815A39">
        <w:rPr>
          <w:rFonts w:ascii="Arial" w:hAnsi="Arial" w:cs="Arial"/>
          <w:sz w:val="20"/>
          <w:szCs w:val="20"/>
        </w:rPr>
        <w:t>Foreignisation</w:t>
      </w:r>
      <w:proofErr w:type="spellEnd"/>
      <w:r w:rsidRPr="00815A39">
        <w:rPr>
          <w:rFonts w:ascii="Arial" w:hAnsi="Arial" w:cs="Arial"/>
          <w:sz w:val="20"/>
          <w:szCs w:val="20"/>
        </w:rPr>
        <w:t xml:space="preserve"> of Space: Seven Processes Driving the Current Global Land Grab.” The Journal of Peasant Studies 37 (2): 429–47. doi:10.1080/03066151003595325.</w:t>
      </w:r>
      <w:bookmarkEnd w:id="3"/>
    </w:p>
    <w:sectPr w:rsidR="00D17351" w:rsidSect="003C7FAE">
      <w:pgSz w:w="12240" w:h="15840"/>
      <w:pgMar w:top="1440" w:right="2019" w:bottom="2019" w:left="2019"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F56E4" w14:textId="77777777" w:rsidR="007F5C23" w:rsidRDefault="007F5C23" w:rsidP="00C37E61">
      <w:r>
        <w:separator/>
      </w:r>
    </w:p>
  </w:endnote>
  <w:endnote w:type="continuationSeparator" w:id="0">
    <w:p w14:paraId="25B3EA73" w14:textId="77777777" w:rsidR="007F5C23" w:rsidRDefault="007F5C2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3EECB" w14:textId="77777777" w:rsidR="0057151A" w:rsidRDefault="0057151A">
    <w:pPr>
      <w:pStyle w:val="Footer"/>
      <w:rPr>
        <w:rFonts w:cs="Arial"/>
        <w:sz w:val="16"/>
      </w:rPr>
    </w:pPr>
  </w:p>
  <w:p w14:paraId="723CA926" w14:textId="77777777" w:rsidR="0057151A" w:rsidRDefault="0057151A" w:rsidP="009E048A">
    <w:pPr>
      <w:pStyle w:val="Footer"/>
      <w:jc w:val="center"/>
      <w:rPr>
        <w:rFonts w:cs="Arial"/>
        <w:sz w:val="16"/>
      </w:rPr>
    </w:pPr>
    <w:r>
      <w:rPr>
        <w:rFonts w:cs="Arial"/>
        <w:sz w:val="16"/>
      </w:rPr>
      <w:t>____________________________________________________________________________________________</w:t>
    </w:r>
  </w:p>
  <w:p w14:paraId="1C321AFB" w14:textId="77777777" w:rsidR="0057151A" w:rsidRDefault="0057151A">
    <w:pPr>
      <w:pStyle w:val="Footer"/>
      <w:rPr>
        <w:rFonts w:cs="Arial"/>
        <w:sz w:val="16"/>
      </w:rPr>
    </w:pPr>
  </w:p>
  <w:p w14:paraId="4941D28B" w14:textId="77777777" w:rsidR="0057151A" w:rsidRPr="009E048A" w:rsidRDefault="0057151A">
    <w:pPr>
      <w:pStyle w:val="Footer"/>
      <w:rPr>
        <w:rFonts w:cs="Arial"/>
        <w:i/>
        <w:sz w:val="16"/>
      </w:rPr>
    </w:pPr>
    <w:r w:rsidRPr="009E048A">
      <w:rPr>
        <w:rFonts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64470" w14:textId="77777777" w:rsidR="007F5C23" w:rsidRDefault="007F5C23" w:rsidP="00C37E61">
      <w:r>
        <w:separator/>
      </w:r>
    </w:p>
  </w:footnote>
  <w:footnote w:type="continuationSeparator" w:id="0">
    <w:p w14:paraId="7FB2002A" w14:textId="77777777" w:rsidR="007F5C23" w:rsidRDefault="007F5C2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1D82" w14:textId="093A3B7E" w:rsidR="000E516D" w:rsidRDefault="007F5C23">
    <w:pPr>
      <w:pStyle w:val="Header"/>
    </w:pPr>
    <w:r>
      <w:rPr>
        <w:noProof/>
      </w:rPr>
      <w:pict w14:anchorId="5585C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16063" o:spid="_x0000_s2050" type="#_x0000_t136" style="position:absolute;left:0;text-align:left;margin-left:0;margin-top:0;width:520.25pt;height:57.8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31043" w14:textId="0CA48E59" w:rsidR="000E516D" w:rsidRDefault="007F5C23">
    <w:pPr>
      <w:pStyle w:val="Header"/>
    </w:pPr>
    <w:r>
      <w:rPr>
        <w:noProof/>
      </w:rPr>
      <w:pict w14:anchorId="592F7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16064" o:spid="_x0000_s2051" type="#_x0000_t136" style="position:absolute;left:0;text-align:left;margin-left:0;margin-top:0;width:520.25pt;height:57.8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56EBD" w14:textId="79A4A0C0" w:rsidR="0057151A" w:rsidRPr="00296529" w:rsidRDefault="007F5C23" w:rsidP="00296529">
    <w:pPr>
      <w:ind w:left="2160"/>
      <w:jc w:val="center"/>
      <w:rPr>
        <w:rFonts w:ascii="Times New Roman" w:eastAsia="Calibri" w:hAnsi="Times New Roman"/>
        <w:i/>
        <w:sz w:val="18"/>
        <w:szCs w:val="22"/>
      </w:rPr>
    </w:pPr>
    <w:r>
      <w:rPr>
        <w:noProof/>
      </w:rPr>
      <w:pict w14:anchorId="376A07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16062"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p w14:paraId="36D60D72" w14:textId="77777777" w:rsidR="0057151A" w:rsidRPr="00296529" w:rsidRDefault="0057151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CCE9E84" w14:textId="77777777" w:rsidR="0057151A" w:rsidRPr="00296529" w:rsidRDefault="0057151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A3FF1A" w14:textId="77777777" w:rsidR="0057151A" w:rsidRPr="00296529" w:rsidRDefault="0057151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7E576C" w14:textId="77777777" w:rsidR="0057151A" w:rsidRDefault="0057151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EC8EF2" w14:textId="77777777" w:rsidR="0057151A" w:rsidRDefault="0057151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234A30B" w14:textId="77777777" w:rsidR="0057151A" w:rsidRDefault="0057151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83C81"/>
    <w:multiLevelType w:val="multilevel"/>
    <w:tmpl w:val="B7D28ED2"/>
    <w:lvl w:ilvl="0">
      <w:start w:val="1"/>
      <w:numFmt w:val="decimal"/>
      <w:pStyle w:val="A1"/>
      <w:lvlText w:val="%1."/>
      <w:lvlJc w:val="left"/>
      <w:pPr>
        <w:ind w:left="284" w:hanging="284"/>
      </w:pPr>
      <w:rPr>
        <w:rFonts w:hint="default"/>
      </w:rPr>
    </w:lvl>
    <w:lvl w:ilvl="1">
      <w:start w:val="1"/>
      <w:numFmt w:val="decimal"/>
      <w:pStyle w:val="A2"/>
      <w:suff w:val="space"/>
      <w:lvlText w:val="%1.%2"/>
      <w:lvlJc w:val="left"/>
      <w:pPr>
        <w:ind w:left="425" w:hanging="425"/>
      </w:pPr>
      <w:rPr>
        <w:rFonts w:hint="default"/>
      </w:rPr>
    </w:lvl>
    <w:lvl w:ilvl="2">
      <w:start w:val="1"/>
      <w:numFmt w:val="decimal"/>
      <w:pStyle w:val="A3"/>
      <w:suff w:val="nothing"/>
      <w:lvlText w:val="%1.%2.%3  "/>
      <w:lvlJc w:val="left"/>
      <w:pPr>
        <w:ind w:left="567" w:hanging="567"/>
      </w:pPr>
      <w:rPr>
        <w:rFonts w:hint="default"/>
        <w:u w:val="single"/>
      </w:rPr>
    </w:lvl>
    <w:lvl w:ilvl="3">
      <w:start w:val="1"/>
      <w:numFmt w:val="decimal"/>
      <w:pStyle w:val="A4"/>
      <w:lvlText w:val="%1.%2.%3.%4"/>
      <w:lvlJc w:val="left"/>
      <w:pPr>
        <w:ind w:left="709" w:hanging="70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EE058E7"/>
    <w:multiLevelType w:val="hybridMultilevel"/>
    <w:tmpl w:val="A7887B8A"/>
    <w:lvl w:ilvl="0" w:tplc="2000000F">
      <w:start w:val="1"/>
      <w:numFmt w:val="decimal"/>
      <w:lvlText w:val="%1."/>
      <w:lvlJc w:val="left"/>
      <w:pPr>
        <w:ind w:left="644"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2"/>
  </w:num>
  <w:num w:numId="2">
    <w:abstractNumId w:val="0"/>
  </w:num>
  <w:num w:numId="3">
    <w:abstractNumId w:val="0"/>
  </w:num>
  <w:num w:numId="4">
    <w:abstractNumId w:val="0"/>
  </w:num>
  <w:num w:numId="5">
    <w:abstractNumId w:val="0"/>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D2A"/>
    <w:rsid w:val="00000F8F"/>
    <w:rsid w:val="00001849"/>
    <w:rsid w:val="000052C2"/>
    <w:rsid w:val="00030174"/>
    <w:rsid w:val="0003452A"/>
    <w:rsid w:val="0004579C"/>
    <w:rsid w:val="00045DFC"/>
    <w:rsid w:val="0005120B"/>
    <w:rsid w:val="000513C2"/>
    <w:rsid w:val="000623A2"/>
    <w:rsid w:val="00062412"/>
    <w:rsid w:val="000665D6"/>
    <w:rsid w:val="00067AA4"/>
    <w:rsid w:val="00071141"/>
    <w:rsid w:val="00086399"/>
    <w:rsid w:val="00087080"/>
    <w:rsid w:val="00091284"/>
    <w:rsid w:val="000915A9"/>
    <w:rsid w:val="00091A24"/>
    <w:rsid w:val="00095442"/>
    <w:rsid w:val="00097D6E"/>
    <w:rsid w:val="000A19A2"/>
    <w:rsid w:val="000A47FA"/>
    <w:rsid w:val="000A65D3"/>
    <w:rsid w:val="000A6B2A"/>
    <w:rsid w:val="000B1E33"/>
    <w:rsid w:val="000B770E"/>
    <w:rsid w:val="000C0991"/>
    <w:rsid w:val="000C6966"/>
    <w:rsid w:val="000D5866"/>
    <w:rsid w:val="000D689F"/>
    <w:rsid w:val="000E04A6"/>
    <w:rsid w:val="000E0E5E"/>
    <w:rsid w:val="000E516D"/>
    <w:rsid w:val="000E7B7B"/>
    <w:rsid w:val="000E7D62"/>
    <w:rsid w:val="00101FFA"/>
    <w:rsid w:val="0010321D"/>
    <w:rsid w:val="00103357"/>
    <w:rsid w:val="00116F6F"/>
    <w:rsid w:val="00120CCE"/>
    <w:rsid w:val="00123259"/>
    <w:rsid w:val="00123C9F"/>
    <w:rsid w:val="0012413E"/>
    <w:rsid w:val="00126190"/>
    <w:rsid w:val="00130F17"/>
    <w:rsid w:val="001320BF"/>
    <w:rsid w:val="00137C29"/>
    <w:rsid w:val="00144061"/>
    <w:rsid w:val="00147425"/>
    <w:rsid w:val="00150B73"/>
    <w:rsid w:val="00163BC4"/>
    <w:rsid w:val="001643E2"/>
    <w:rsid w:val="00164E6B"/>
    <w:rsid w:val="0016549B"/>
    <w:rsid w:val="001675BF"/>
    <w:rsid w:val="0017434D"/>
    <w:rsid w:val="00187321"/>
    <w:rsid w:val="00191062"/>
    <w:rsid w:val="00192B72"/>
    <w:rsid w:val="00196EA8"/>
    <w:rsid w:val="001A29D8"/>
    <w:rsid w:val="001A5CAA"/>
    <w:rsid w:val="001A6F60"/>
    <w:rsid w:val="001B0427"/>
    <w:rsid w:val="001B052E"/>
    <w:rsid w:val="001C0314"/>
    <w:rsid w:val="001C32EC"/>
    <w:rsid w:val="001D3A51"/>
    <w:rsid w:val="001D460E"/>
    <w:rsid w:val="001D5895"/>
    <w:rsid w:val="001E10D2"/>
    <w:rsid w:val="001E25B4"/>
    <w:rsid w:val="001E44FE"/>
    <w:rsid w:val="001E5137"/>
    <w:rsid w:val="001F0D5E"/>
    <w:rsid w:val="00200595"/>
    <w:rsid w:val="00204835"/>
    <w:rsid w:val="0021271D"/>
    <w:rsid w:val="002167C9"/>
    <w:rsid w:val="00220A5A"/>
    <w:rsid w:val="00231920"/>
    <w:rsid w:val="0023195C"/>
    <w:rsid w:val="00231D47"/>
    <w:rsid w:val="00240D5C"/>
    <w:rsid w:val="0024282C"/>
    <w:rsid w:val="002460DC"/>
    <w:rsid w:val="00250985"/>
    <w:rsid w:val="0025343D"/>
    <w:rsid w:val="002556F6"/>
    <w:rsid w:val="00274F76"/>
    <w:rsid w:val="00275CC4"/>
    <w:rsid w:val="00283105"/>
    <w:rsid w:val="00284C4C"/>
    <w:rsid w:val="00287E68"/>
    <w:rsid w:val="002900A1"/>
    <w:rsid w:val="002905A2"/>
    <w:rsid w:val="00296529"/>
    <w:rsid w:val="002A0175"/>
    <w:rsid w:val="002A4557"/>
    <w:rsid w:val="002B27FB"/>
    <w:rsid w:val="002B2A83"/>
    <w:rsid w:val="002B5BF2"/>
    <w:rsid w:val="002B661F"/>
    <w:rsid w:val="002B685A"/>
    <w:rsid w:val="002C57D2"/>
    <w:rsid w:val="002E0D56"/>
    <w:rsid w:val="002E41A7"/>
    <w:rsid w:val="002E7DDE"/>
    <w:rsid w:val="002F002F"/>
    <w:rsid w:val="002F3A1D"/>
    <w:rsid w:val="002F65DA"/>
    <w:rsid w:val="003021EE"/>
    <w:rsid w:val="00306612"/>
    <w:rsid w:val="00314974"/>
    <w:rsid w:val="00314D51"/>
    <w:rsid w:val="003150B9"/>
    <w:rsid w:val="00315186"/>
    <w:rsid w:val="003251F6"/>
    <w:rsid w:val="00333146"/>
    <w:rsid w:val="0033343E"/>
    <w:rsid w:val="003444D5"/>
    <w:rsid w:val="003466D4"/>
    <w:rsid w:val="00346FF4"/>
    <w:rsid w:val="003507B5"/>
    <w:rsid w:val="003512C2"/>
    <w:rsid w:val="003567F6"/>
    <w:rsid w:val="00357A90"/>
    <w:rsid w:val="00366C27"/>
    <w:rsid w:val="00371FB6"/>
    <w:rsid w:val="00373D3E"/>
    <w:rsid w:val="003763C1"/>
    <w:rsid w:val="00376BBE"/>
    <w:rsid w:val="00380F4A"/>
    <w:rsid w:val="00381E6D"/>
    <w:rsid w:val="00390F88"/>
    <w:rsid w:val="00391462"/>
    <w:rsid w:val="0039224F"/>
    <w:rsid w:val="00393612"/>
    <w:rsid w:val="003A31B0"/>
    <w:rsid w:val="003A43A4"/>
    <w:rsid w:val="003A54B7"/>
    <w:rsid w:val="003A7E18"/>
    <w:rsid w:val="003B0952"/>
    <w:rsid w:val="003B3476"/>
    <w:rsid w:val="003C0A0F"/>
    <w:rsid w:val="003C41C0"/>
    <w:rsid w:val="003C4C86"/>
    <w:rsid w:val="003C6258"/>
    <w:rsid w:val="003C7CC8"/>
    <w:rsid w:val="003C7FAE"/>
    <w:rsid w:val="003D28C3"/>
    <w:rsid w:val="003D402E"/>
    <w:rsid w:val="003D513A"/>
    <w:rsid w:val="003D57D7"/>
    <w:rsid w:val="003E2904"/>
    <w:rsid w:val="003E3608"/>
    <w:rsid w:val="00401927"/>
    <w:rsid w:val="00403781"/>
    <w:rsid w:val="00403DC0"/>
    <w:rsid w:val="0041027F"/>
    <w:rsid w:val="00412475"/>
    <w:rsid w:val="0041304B"/>
    <w:rsid w:val="0042243A"/>
    <w:rsid w:val="00423789"/>
    <w:rsid w:val="0042415A"/>
    <w:rsid w:val="00427472"/>
    <w:rsid w:val="00432675"/>
    <w:rsid w:val="00440F43"/>
    <w:rsid w:val="00441B6F"/>
    <w:rsid w:val="00446221"/>
    <w:rsid w:val="00450E62"/>
    <w:rsid w:val="004539DB"/>
    <w:rsid w:val="00463248"/>
    <w:rsid w:val="00471A80"/>
    <w:rsid w:val="00481A3B"/>
    <w:rsid w:val="0049622C"/>
    <w:rsid w:val="004A0CCF"/>
    <w:rsid w:val="004A29DA"/>
    <w:rsid w:val="004C2315"/>
    <w:rsid w:val="004D305E"/>
    <w:rsid w:val="004D32F1"/>
    <w:rsid w:val="004D4277"/>
    <w:rsid w:val="004E22D2"/>
    <w:rsid w:val="004E5D09"/>
    <w:rsid w:val="004F0E84"/>
    <w:rsid w:val="004F2D00"/>
    <w:rsid w:val="004F48FD"/>
    <w:rsid w:val="004F549C"/>
    <w:rsid w:val="005024B5"/>
    <w:rsid w:val="00502516"/>
    <w:rsid w:val="00505F06"/>
    <w:rsid w:val="00506828"/>
    <w:rsid w:val="0052177F"/>
    <w:rsid w:val="00524040"/>
    <w:rsid w:val="0053056E"/>
    <w:rsid w:val="00544446"/>
    <w:rsid w:val="00553A00"/>
    <w:rsid w:val="005547CE"/>
    <w:rsid w:val="00554FDA"/>
    <w:rsid w:val="00555DC9"/>
    <w:rsid w:val="00562569"/>
    <w:rsid w:val="00564AAD"/>
    <w:rsid w:val="00566D6C"/>
    <w:rsid w:val="0057151A"/>
    <w:rsid w:val="00571D48"/>
    <w:rsid w:val="00576D88"/>
    <w:rsid w:val="0059467D"/>
    <w:rsid w:val="005B044E"/>
    <w:rsid w:val="005B4089"/>
    <w:rsid w:val="005B4AEC"/>
    <w:rsid w:val="005C3E10"/>
    <w:rsid w:val="005C42DF"/>
    <w:rsid w:val="005C784C"/>
    <w:rsid w:val="005D17F6"/>
    <w:rsid w:val="005D1CAF"/>
    <w:rsid w:val="005D396B"/>
    <w:rsid w:val="005D4058"/>
    <w:rsid w:val="005D5990"/>
    <w:rsid w:val="005D6D60"/>
    <w:rsid w:val="005E5539"/>
    <w:rsid w:val="00602BF5"/>
    <w:rsid w:val="006065B4"/>
    <w:rsid w:val="006108BC"/>
    <w:rsid w:val="00612007"/>
    <w:rsid w:val="00613992"/>
    <w:rsid w:val="00617FDD"/>
    <w:rsid w:val="00633614"/>
    <w:rsid w:val="00633F68"/>
    <w:rsid w:val="00636EB2"/>
    <w:rsid w:val="006375B8"/>
    <w:rsid w:val="00644012"/>
    <w:rsid w:val="00645C68"/>
    <w:rsid w:val="00652F2E"/>
    <w:rsid w:val="0066088F"/>
    <w:rsid w:val="0066510A"/>
    <w:rsid w:val="00666772"/>
    <w:rsid w:val="00673F9F"/>
    <w:rsid w:val="00676654"/>
    <w:rsid w:val="006814D5"/>
    <w:rsid w:val="00682B30"/>
    <w:rsid w:val="00683338"/>
    <w:rsid w:val="006861BF"/>
    <w:rsid w:val="00686953"/>
    <w:rsid w:val="00686D73"/>
    <w:rsid w:val="00687DEA"/>
    <w:rsid w:val="00687E67"/>
    <w:rsid w:val="0069375E"/>
    <w:rsid w:val="006967F7"/>
    <w:rsid w:val="006A1E60"/>
    <w:rsid w:val="006A1EE6"/>
    <w:rsid w:val="006A250C"/>
    <w:rsid w:val="006A251E"/>
    <w:rsid w:val="006A4B89"/>
    <w:rsid w:val="006B0CB0"/>
    <w:rsid w:val="006B21D3"/>
    <w:rsid w:val="006B2548"/>
    <w:rsid w:val="006B57D0"/>
    <w:rsid w:val="006C439C"/>
    <w:rsid w:val="006D30FF"/>
    <w:rsid w:val="006D6940"/>
    <w:rsid w:val="006E06E1"/>
    <w:rsid w:val="006E0C39"/>
    <w:rsid w:val="006E33D1"/>
    <w:rsid w:val="006E5CE1"/>
    <w:rsid w:val="006F11EC"/>
    <w:rsid w:val="0070082C"/>
    <w:rsid w:val="00701584"/>
    <w:rsid w:val="00704DD2"/>
    <w:rsid w:val="0070505E"/>
    <w:rsid w:val="007123E1"/>
    <w:rsid w:val="00726950"/>
    <w:rsid w:val="0073437B"/>
    <w:rsid w:val="00734AC9"/>
    <w:rsid w:val="0073541D"/>
    <w:rsid w:val="007369E6"/>
    <w:rsid w:val="00741264"/>
    <w:rsid w:val="00746E59"/>
    <w:rsid w:val="00754C9A"/>
    <w:rsid w:val="0075599A"/>
    <w:rsid w:val="00761D52"/>
    <w:rsid w:val="00762F39"/>
    <w:rsid w:val="007655DA"/>
    <w:rsid w:val="007764F6"/>
    <w:rsid w:val="0077749E"/>
    <w:rsid w:val="007810C5"/>
    <w:rsid w:val="00782756"/>
    <w:rsid w:val="00790ADA"/>
    <w:rsid w:val="007921EC"/>
    <w:rsid w:val="007A113C"/>
    <w:rsid w:val="007A240F"/>
    <w:rsid w:val="007A2F4A"/>
    <w:rsid w:val="007A7A3F"/>
    <w:rsid w:val="007B19E3"/>
    <w:rsid w:val="007B4463"/>
    <w:rsid w:val="007B49DE"/>
    <w:rsid w:val="007B54CC"/>
    <w:rsid w:val="007C28EA"/>
    <w:rsid w:val="007C5285"/>
    <w:rsid w:val="007D2288"/>
    <w:rsid w:val="007E088F"/>
    <w:rsid w:val="007E0F14"/>
    <w:rsid w:val="007F1895"/>
    <w:rsid w:val="007F27A0"/>
    <w:rsid w:val="007F5C23"/>
    <w:rsid w:val="007F77A4"/>
    <w:rsid w:val="007F7A5F"/>
    <w:rsid w:val="007F7B32"/>
    <w:rsid w:val="00804BC2"/>
    <w:rsid w:val="008141E4"/>
    <w:rsid w:val="0081431A"/>
    <w:rsid w:val="00815A39"/>
    <w:rsid w:val="00822396"/>
    <w:rsid w:val="00823A1C"/>
    <w:rsid w:val="00826403"/>
    <w:rsid w:val="0083216F"/>
    <w:rsid w:val="00835609"/>
    <w:rsid w:val="00853827"/>
    <w:rsid w:val="0085640B"/>
    <w:rsid w:val="00860000"/>
    <w:rsid w:val="00863BD3"/>
    <w:rsid w:val="00863C26"/>
    <w:rsid w:val="008641ED"/>
    <w:rsid w:val="00864EA4"/>
    <w:rsid w:val="00866D66"/>
    <w:rsid w:val="008671C6"/>
    <w:rsid w:val="00870471"/>
    <w:rsid w:val="00875803"/>
    <w:rsid w:val="00875F2F"/>
    <w:rsid w:val="008806BD"/>
    <w:rsid w:val="0088391F"/>
    <w:rsid w:val="00884C2C"/>
    <w:rsid w:val="00890F57"/>
    <w:rsid w:val="008919BD"/>
    <w:rsid w:val="008A060B"/>
    <w:rsid w:val="008A120E"/>
    <w:rsid w:val="008A2E00"/>
    <w:rsid w:val="008A36A7"/>
    <w:rsid w:val="008B053F"/>
    <w:rsid w:val="008B459E"/>
    <w:rsid w:val="008C47E9"/>
    <w:rsid w:val="008D0604"/>
    <w:rsid w:val="008D3C96"/>
    <w:rsid w:val="008D476D"/>
    <w:rsid w:val="008D66F6"/>
    <w:rsid w:val="008E13AE"/>
    <w:rsid w:val="008E1506"/>
    <w:rsid w:val="008E5AEE"/>
    <w:rsid w:val="008E710C"/>
    <w:rsid w:val="008F0918"/>
    <w:rsid w:val="008F69D6"/>
    <w:rsid w:val="00902823"/>
    <w:rsid w:val="0090529E"/>
    <w:rsid w:val="00910371"/>
    <w:rsid w:val="00913D4E"/>
    <w:rsid w:val="00915CA6"/>
    <w:rsid w:val="00927834"/>
    <w:rsid w:val="009330E1"/>
    <w:rsid w:val="009347AF"/>
    <w:rsid w:val="009376E5"/>
    <w:rsid w:val="009500A6"/>
    <w:rsid w:val="00954B97"/>
    <w:rsid w:val="00957C18"/>
    <w:rsid w:val="009618DB"/>
    <w:rsid w:val="009659BA"/>
    <w:rsid w:val="009720DD"/>
    <w:rsid w:val="00983040"/>
    <w:rsid w:val="00985A09"/>
    <w:rsid w:val="00995F19"/>
    <w:rsid w:val="009A20EF"/>
    <w:rsid w:val="009B178A"/>
    <w:rsid w:val="009B2AD2"/>
    <w:rsid w:val="009B38CC"/>
    <w:rsid w:val="009B3FB9"/>
    <w:rsid w:val="009C122C"/>
    <w:rsid w:val="009C16EA"/>
    <w:rsid w:val="009C221C"/>
    <w:rsid w:val="009C2465"/>
    <w:rsid w:val="009C4214"/>
    <w:rsid w:val="009D1A94"/>
    <w:rsid w:val="009D35A0"/>
    <w:rsid w:val="009D7EB7"/>
    <w:rsid w:val="009E048A"/>
    <w:rsid w:val="009E08E9"/>
    <w:rsid w:val="009E3DB9"/>
    <w:rsid w:val="009E6E35"/>
    <w:rsid w:val="009E7099"/>
    <w:rsid w:val="009F0EDA"/>
    <w:rsid w:val="009F2608"/>
    <w:rsid w:val="009F2BB0"/>
    <w:rsid w:val="009F3CB4"/>
    <w:rsid w:val="00A00A78"/>
    <w:rsid w:val="00A03B96"/>
    <w:rsid w:val="00A05B19"/>
    <w:rsid w:val="00A10249"/>
    <w:rsid w:val="00A1134E"/>
    <w:rsid w:val="00A15127"/>
    <w:rsid w:val="00A176F1"/>
    <w:rsid w:val="00A24C2C"/>
    <w:rsid w:val="00A24E7E"/>
    <w:rsid w:val="00A258C3"/>
    <w:rsid w:val="00A2792D"/>
    <w:rsid w:val="00A3014F"/>
    <w:rsid w:val="00A3390E"/>
    <w:rsid w:val="00A347C0"/>
    <w:rsid w:val="00A36226"/>
    <w:rsid w:val="00A43EF1"/>
    <w:rsid w:val="00A44B9E"/>
    <w:rsid w:val="00A51431"/>
    <w:rsid w:val="00A539AD"/>
    <w:rsid w:val="00A57B09"/>
    <w:rsid w:val="00A629FD"/>
    <w:rsid w:val="00A76BCD"/>
    <w:rsid w:val="00A804AB"/>
    <w:rsid w:val="00A93B73"/>
    <w:rsid w:val="00A94063"/>
    <w:rsid w:val="00A974D2"/>
    <w:rsid w:val="00AA3D50"/>
    <w:rsid w:val="00AA6219"/>
    <w:rsid w:val="00AA74E0"/>
    <w:rsid w:val="00AB2E7F"/>
    <w:rsid w:val="00AB62D0"/>
    <w:rsid w:val="00AB703F"/>
    <w:rsid w:val="00AC23F8"/>
    <w:rsid w:val="00AC6BB8"/>
    <w:rsid w:val="00AC7D08"/>
    <w:rsid w:val="00AD29FE"/>
    <w:rsid w:val="00AE008F"/>
    <w:rsid w:val="00AE01BF"/>
    <w:rsid w:val="00AE3C63"/>
    <w:rsid w:val="00AF01AD"/>
    <w:rsid w:val="00AF0BD4"/>
    <w:rsid w:val="00AF18EF"/>
    <w:rsid w:val="00AF2412"/>
    <w:rsid w:val="00B01FCD"/>
    <w:rsid w:val="00B030FA"/>
    <w:rsid w:val="00B139EF"/>
    <w:rsid w:val="00B152D7"/>
    <w:rsid w:val="00B175FD"/>
    <w:rsid w:val="00B1776C"/>
    <w:rsid w:val="00B240F0"/>
    <w:rsid w:val="00B30479"/>
    <w:rsid w:val="00B43172"/>
    <w:rsid w:val="00B449B4"/>
    <w:rsid w:val="00B47F54"/>
    <w:rsid w:val="00B52583"/>
    <w:rsid w:val="00B52896"/>
    <w:rsid w:val="00B552CC"/>
    <w:rsid w:val="00B71837"/>
    <w:rsid w:val="00B74A75"/>
    <w:rsid w:val="00B77B18"/>
    <w:rsid w:val="00B8606E"/>
    <w:rsid w:val="00B90319"/>
    <w:rsid w:val="00B95236"/>
    <w:rsid w:val="00B96BD9"/>
    <w:rsid w:val="00BA0DFA"/>
    <w:rsid w:val="00BA1B01"/>
    <w:rsid w:val="00BA2641"/>
    <w:rsid w:val="00BA7725"/>
    <w:rsid w:val="00BB1F29"/>
    <w:rsid w:val="00BB37AA"/>
    <w:rsid w:val="00BB4123"/>
    <w:rsid w:val="00BB5BB0"/>
    <w:rsid w:val="00BC021E"/>
    <w:rsid w:val="00BC2A78"/>
    <w:rsid w:val="00BC53A0"/>
    <w:rsid w:val="00BC55AC"/>
    <w:rsid w:val="00BD354B"/>
    <w:rsid w:val="00BD64B6"/>
    <w:rsid w:val="00BE32D7"/>
    <w:rsid w:val="00BE4A5D"/>
    <w:rsid w:val="00BE62AD"/>
    <w:rsid w:val="00BE6D65"/>
    <w:rsid w:val="00BE6EEA"/>
    <w:rsid w:val="00BF121F"/>
    <w:rsid w:val="00BF1F80"/>
    <w:rsid w:val="00C16406"/>
    <w:rsid w:val="00C166EF"/>
    <w:rsid w:val="00C17EB0"/>
    <w:rsid w:val="00C21AB3"/>
    <w:rsid w:val="00C27F5F"/>
    <w:rsid w:val="00C30A0F"/>
    <w:rsid w:val="00C31622"/>
    <w:rsid w:val="00C33146"/>
    <w:rsid w:val="00C37E61"/>
    <w:rsid w:val="00C447AE"/>
    <w:rsid w:val="00C46103"/>
    <w:rsid w:val="00C5203E"/>
    <w:rsid w:val="00C635AA"/>
    <w:rsid w:val="00C63C49"/>
    <w:rsid w:val="00C70F1B"/>
    <w:rsid w:val="00C71A47"/>
    <w:rsid w:val="00C73010"/>
    <w:rsid w:val="00C7464C"/>
    <w:rsid w:val="00C81087"/>
    <w:rsid w:val="00C83774"/>
    <w:rsid w:val="00C85588"/>
    <w:rsid w:val="00C9410D"/>
    <w:rsid w:val="00C95483"/>
    <w:rsid w:val="00CA175C"/>
    <w:rsid w:val="00CA7646"/>
    <w:rsid w:val="00CC4EA8"/>
    <w:rsid w:val="00CD4937"/>
    <w:rsid w:val="00CD6755"/>
    <w:rsid w:val="00CD6856"/>
    <w:rsid w:val="00CE0089"/>
    <w:rsid w:val="00CE793C"/>
    <w:rsid w:val="00CE79D3"/>
    <w:rsid w:val="00CF193C"/>
    <w:rsid w:val="00CF6502"/>
    <w:rsid w:val="00CF7E83"/>
    <w:rsid w:val="00D016A4"/>
    <w:rsid w:val="00D06307"/>
    <w:rsid w:val="00D15669"/>
    <w:rsid w:val="00D17351"/>
    <w:rsid w:val="00D173F1"/>
    <w:rsid w:val="00D24CD8"/>
    <w:rsid w:val="00D41968"/>
    <w:rsid w:val="00D4266E"/>
    <w:rsid w:val="00D47C94"/>
    <w:rsid w:val="00D56D25"/>
    <w:rsid w:val="00D606B8"/>
    <w:rsid w:val="00D64961"/>
    <w:rsid w:val="00D65FEB"/>
    <w:rsid w:val="00D72B10"/>
    <w:rsid w:val="00D74CB0"/>
    <w:rsid w:val="00D80B10"/>
    <w:rsid w:val="00D80FCC"/>
    <w:rsid w:val="00D8295D"/>
    <w:rsid w:val="00D851AE"/>
    <w:rsid w:val="00D85543"/>
    <w:rsid w:val="00D86012"/>
    <w:rsid w:val="00D91996"/>
    <w:rsid w:val="00D95F44"/>
    <w:rsid w:val="00D97D44"/>
    <w:rsid w:val="00DA664E"/>
    <w:rsid w:val="00DB0572"/>
    <w:rsid w:val="00DB2C49"/>
    <w:rsid w:val="00DB615A"/>
    <w:rsid w:val="00DC12E4"/>
    <w:rsid w:val="00DC2A65"/>
    <w:rsid w:val="00DD220E"/>
    <w:rsid w:val="00DE0AA3"/>
    <w:rsid w:val="00DE15F0"/>
    <w:rsid w:val="00DE29D2"/>
    <w:rsid w:val="00DE5663"/>
    <w:rsid w:val="00DE78AA"/>
    <w:rsid w:val="00DF601D"/>
    <w:rsid w:val="00DF7B15"/>
    <w:rsid w:val="00E053D0"/>
    <w:rsid w:val="00E13CCA"/>
    <w:rsid w:val="00E15994"/>
    <w:rsid w:val="00E3114E"/>
    <w:rsid w:val="00E31A70"/>
    <w:rsid w:val="00E35B02"/>
    <w:rsid w:val="00E40998"/>
    <w:rsid w:val="00E419F1"/>
    <w:rsid w:val="00E56C2E"/>
    <w:rsid w:val="00E60373"/>
    <w:rsid w:val="00E61D83"/>
    <w:rsid w:val="00E66496"/>
    <w:rsid w:val="00E66B35"/>
    <w:rsid w:val="00E66E10"/>
    <w:rsid w:val="00E7509E"/>
    <w:rsid w:val="00E769F6"/>
    <w:rsid w:val="00E80A60"/>
    <w:rsid w:val="00E8407C"/>
    <w:rsid w:val="00E84F3C"/>
    <w:rsid w:val="00E9394D"/>
    <w:rsid w:val="00E94DBE"/>
    <w:rsid w:val="00E9751B"/>
    <w:rsid w:val="00EA012C"/>
    <w:rsid w:val="00EA2E4F"/>
    <w:rsid w:val="00EB1986"/>
    <w:rsid w:val="00EB54E2"/>
    <w:rsid w:val="00EB6C26"/>
    <w:rsid w:val="00EC0C62"/>
    <w:rsid w:val="00EC6A55"/>
    <w:rsid w:val="00ED0288"/>
    <w:rsid w:val="00ED0C90"/>
    <w:rsid w:val="00ED7594"/>
    <w:rsid w:val="00EE2750"/>
    <w:rsid w:val="00EE52CB"/>
    <w:rsid w:val="00EE6B2D"/>
    <w:rsid w:val="00EE6F2D"/>
    <w:rsid w:val="00EF3512"/>
    <w:rsid w:val="00EF3E73"/>
    <w:rsid w:val="00EF581D"/>
    <w:rsid w:val="00EF7FD8"/>
    <w:rsid w:val="00F02C63"/>
    <w:rsid w:val="00F03630"/>
    <w:rsid w:val="00F04304"/>
    <w:rsid w:val="00F05335"/>
    <w:rsid w:val="00F06975"/>
    <w:rsid w:val="00F06F59"/>
    <w:rsid w:val="00F159E2"/>
    <w:rsid w:val="00F1634F"/>
    <w:rsid w:val="00F1711A"/>
    <w:rsid w:val="00F17988"/>
    <w:rsid w:val="00F20145"/>
    <w:rsid w:val="00F25357"/>
    <w:rsid w:val="00F469F0"/>
    <w:rsid w:val="00F4796C"/>
    <w:rsid w:val="00F53273"/>
    <w:rsid w:val="00F622F9"/>
    <w:rsid w:val="00F671AC"/>
    <w:rsid w:val="00F755E4"/>
    <w:rsid w:val="00F77078"/>
    <w:rsid w:val="00F77D02"/>
    <w:rsid w:val="00F92646"/>
    <w:rsid w:val="00FB3A86"/>
    <w:rsid w:val="00FB54FF"/>
    <w:rsid w:val="00FC6D2C"/>
    <w:rsid w:val="00FD030E"/>
    <w:rsid w:val="00FD0AEA"/>
    <w:rsid w:val="00FD36C8"/>
    <w:rsid w:val="00FD6F1E"/>
    <w:rsid w:val="00FE033D"/>
    <w:rsid w:val="00FE696A"/>
    <w:rsid w:val="00FF124D"/>
    <w:rsid w:val="00FF3795"/>
    <w:rsid w:val="00FF48EC"/>
    <w:rsid w:val="00FF5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B0CBB2"/>
  <w15:docId w15:val="{6E22EBA3-0970-4A7A-BCF0-6656C859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48EC"/>
    <w:pPr>
      <w:jc w:val="both"/>
    </w:pPr>
    <w:rPr>
      <w:rFonts w:ascii="Arial" w:hAnsi="Arial"/>
    </w:rPr>
  </w:style>
  <w:style w:type="paragraph" w:styleId="Heading1">
    <w:name w:val="heading 1"/>
    <w:basedOn w:val="Normal"/>
    <w:next w:val="Normal"/>
    <w:qFormat/>
    <w:rsid w:val="00423789"/>
    <w:pPr>
      <w:keepNext/>
      <w:spacing w:before="240" w:after="60"/>
      <w:outlineLvl w:val="0"/>
    </w:pPr>
    <w:rPr>
      <w:b/>
      <w:kern w:val="28"/>
      <w:sz w:val="28"/>
    </w:rPr>
  </w:style>
  <w:style w:type="paragraph" w:styleId="Heading2">
    <w:name w:val="heading 2"/>
    <w:basedOn w:val="Normal"/>
    <w:next w:val="Normal"/>
    <w:link w:val="Heading2Char"/>
    <w:uiPriority w:val="9"/>
    <w:semiHidden/>
    <w:unhideWhenUsed/>
    <w:qFormat/>
    <w:rsid w:val="00571D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7183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D17351"/>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pPr>
  </w:style>
  <w:style w:type="paragraph" w:customStyle="1" w:styleId="AbstHead">
    <w:name w:val="Abst Head"/>
    <w:basedOn w:val="MainHead"/>
    <w:link w:val="AbstHeadChar"/>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link w:val="MainHeadChar"/>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B71837"/>
    <w:rPr>
      <w:rFonts w:asciiTheme="majorHAnsi" w:eastAsiaTheme="majorEastAsia" w:hAnsiTheme="majorHAnsi" w:cstheme="majorBidi"/>
      <w:color w:val="243F60" w:themeColor="accent1" w:themeShade="7F"/>
      <w:sz w:val="24"/>
      <w:szCs w:val="24"/>
    </w:rPr>
  </w:style>
  <w:style w:type="paragraph" w:customStyle="1" w:styleId="A1">
    <w:name w:val="A1"/>
    <w:basedOn w:val="AbstHead"/>
    <w:link w:val="A1Char"/>
    <w:qFormat/>
    <w:rsid w:val="005C3E10"/>
    <w:pPr>
      <w:numPr>
        <w:numId w:val="3"/>
      </w:numPr>
      <w:spacing w:before="240" w:after="60"/>
    </w:pPr>
    <w:rPr>
      <w:rFonts w:cs="Arial"/>
    </w:rPr>
  </w:style>
  <w:style w:type="character" w:customStyle="1" w:styleId="MainHeadChar">
    <w:name w:val="Main Head Char"/>
    <w:basedOn w:val="DefaultParagraphFont"/>
    <w:link w:val="MainHead"/>
    <w:rsid w:val="00B71837"/>
    <w:rPr>
      <w:rFonts w:ascii="Helvetica" w:hAnsi="Helvetica"/>
      <w:b/>
      <w:caps/>
    </w:rPr>
  </w:style>
  <w:style w:type="character" w:customStyle="1" w:styleId="AbstHeadChar">
    <w:name w:val="Abst Head Char"/>
    <w:basedOn w:val="MainHeadChar"/>
    <w:link w:val="AbstHead"/>
    <w:rsid w:val="00B71837"/>
    <w:rPr>
      <w:rFonts w:ascii="Helvetica" w:hAnsi="Helvetica"/>
      <w:b/>
      <w:caps/>
      <w:sz w:val="22"/>
    </w:rPr>
  </w:style>
  <w:style w:type="character" w:customStyle="1" w:styleId="A1Char">
    <w:name w:val="A1 Char"/>
    <w:basedOn w:val="AbstHeadChar"/>
    <w:link w:val="A1"/>
    <w:rsid w:val="005C3E10"/>
    <w:rPr>
      <w:rFonts w:ascii="Arial" w:hAnsi="Arial" w:cs="Arial"/>
      <w:b/>
      <w:caps/>
      <w:sz w:val="22"/>
    </w:rPr>
  </w:style>
  <w:style w:type="paragraph" w:customStyle="1" w:styleId="A2">
    <w:name w:val="A2"/>
    <w:basedOn w:val="A1"/>
    <w:link w:val="A2Char"/>
    <w:qFormat/>
    <w:rsid w:val="005C3E10"/>
    <w:pPr>
      <w:numPr>
        <w:ilvl w:val="1"/>
      </w:numPr>
      <w:spacing w:before="180"/>
      <w:jc w:val="left"/>
    </w:pPr>
    <w:rPr>
      <w:caps w:val="0"/>
    </w:rPr>
  </w:style>
  <w:style w:type="character" w:customStyle="1" w:styleId="A2Char">
    <w:name w:val="A2 Char"/>
    <w:basedOn w:val="A1Char"/>
    <w:link w:val="A2"/>
    <w:rsid w:val="005C3E10"/>
    <w:rPr>
      <w:rFonts w:ascii="Arial" w:hAnsi="Arial" w:cs="Arial"/>
      <w:b/>
      <w:caps w:val="0"/>
      <w:sz w:val="22"/>
    </w:rPr>
  </w:style>
  <w:style w:type="paragraph" w:customStyle="1" w:styleId="A3">
    <w:name w:val="A3"/>
    <w:basedOn w:val="A2"/>
    <w:link w:val="A3Char"/>
    <w:qFormat/>
    <w:rsid w:val="007C5285"/>
    <w:pPr>
      <w:numPr>
        <w:ilvl w:val="2"/>
      </w:numPr>
    </w:pPr>
    <w:rPr>
      <w:sz w:val="20"/>
      <w:u w:val="single"/>
    </w:rPr>
  </w:style>
  <w:style w:type="character" w:customStyle="1" w:styleId="A3Char">
    <w:name w:val="A3 Char"/>
    <w:basedOn w:val="A2Char"/>
    <w:link w:val="A3"/>
    <w:rsid w:val="007C5285"/>
    <w:rPr>
      <w:rFonts w:ascii="Arial" w:hAnsi="Arial" w:cs="Arial"/>
      <w:b/>
      <w:caps w:val="0"/>
      <w:sz w:val="22"/>
      <w:u w:val="single"/>
    </w:rPr>
  </w:style>
  <w:style w:type="paragraph" w:customStyle="1" w:styleId="A4">
    <w:name w:val="A4"/>
    <w:basedOn w:val="A3"/>
    <w:link w:val="A4Char"/>
    <w:qFormat/>
    <w:rsid w:val="00DF601D"/>
    <w:pPr>
      <w:numPr>
        <w:ilvl w:val="3"/>
      </w:numPr>
    </w:pPr>
    <w:rPr>
      <w:i/>
      <w:u w:val="none"/>
    </w:rPr>
  </w:style>
  <w:style w:type="character" w:customStyle="1" w:styleId="A4Char">
    <w:name w:val="A4 Char"/>
    <w:basedOn w:val="A3Char"/>
    <w:link w:val="A4"/>
    <w:rsid w:val="00DF601D"/>
    <w:rPr>
      <w:rFonts w:ascii="Arial" w:hAnsi="Arial" w:cs="Arial"/>
      <w:b/>
      <w:i/>
      <w:caps w:val="0"/>
      <w:sz w:val="22"/>
      <w:u w:val="single"/>
    </w:rPr>
  </w:style>
  <w:style w:type="character" w:customStyle="1" w:styleId="Heading2Char">
    <w:name w:val="Heading 2 Char"/>
    <w:basedOn w:val="DefaultParagraphFont"/>
    <w:link w:val="Heading2"/>
    <w:uiPriority w:val="9"/>
    <w:semiHidden/>
    <w:rsid w:val="00571D48"/>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90529E"/>
    <w:pPr>
      <w:ind w:left="720"/>
      <w:contextualSpacing/>
    </w:pPr>
  </w:style>
  <w:style w:type="character" w:customStyle="1" w:styleId="ListParagraphChar">
    <w:name w:val="List Paragraph Char"/>
    <w:basedOn w:val="DefaultParagraphFont"/>
    <w:link w:val="ListParagraph"/>
    <w:uiPriority w:val="34"/>
    <w:rsid w:val="0090529E"/>
    <w:rPr>
      <w:rFonts w:ascii="Helvetica" w:hAnsi="Helvetica"/>
    </w:rPr>
  </w:style>
  <w:style w:type="table" w:customStyle="1" w:styleId="TableGrid2">
    <w:name w:val="Table Grid2"/>
    <w:basedOn w:val="TableNormal"/>
    <w:next w:val="TableGrid"/>
    <w:uiPriority w:val="39"/>
    <w:rsid w:val="0090529E"/>
    <w:pPr>
      <w:ind w:left="357"/>
      <w:jc w:val="both"/>
    </w:pPr>
    <w:rPr>
      <w:rFonts w:eastAsiaTheme="minorHAnsi" w:cstheme="minorBidi"/>
      <w:kern w:val="2"/>
      <w:sz w:val="24"/>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6406"/>
    <w:pPr>
      <w:spacing w:before="100" w:beforeAutospacing="1" w:after="100" w:afterAutospacing="1"/>
    </w:pPr>
    <w:rPr>
      <w:rFonts w:ascii="Times New Roman" w:hAnsi="Times New Roman"/>
      <w:sz w:val="24"/>
      <w:szCs w:val="24"/>
      <w:lang w:val="en-GB"/>
    </w:rPr>
  </w:style>
  <w:style w:type="character" w:customStyle="1" w:styleId="Heading4Char">
    <w:name w:val="Heading 4 Char"/>
    <w:basedOn w:val="DefaultParagraphFont"/>
    <w:link w:val="Heading4"/>
    <w:uiPriority w:val="9"/>
    <w:rsid w:val="00D17351"/>
    <w:rPr>
      <w:b/>
      <w:bCs/>
      <w:sz w:val="24"/>
      <w:szCs w:val="24"/>
    </w:rPr>
  </w:style>
  <w:style w:type="character" w:styleId="Strong">
    <w:name w:val="Strong"/>
    <w:basedOn w:val="DefaultParagraphFont"/>
    <w:uiPriority w:val="22"/>
    <w:qFormat/>
    <w:rsid w:val="00D17351"/>
    <w:rPr>
      <w:rFonts w:ascii="Times New Roman" w:hAnsi="Times New Roman"/>
      <w:b/>
      <w:bCs/>
      <w:sz w:val="24"/>
    </w:rPr>
  </w:style>
  <w:style w:type="paragraph" w:styleId="CommentSubject">
    <w:name w:val="annotation subject"/>
    <w:basedOn w:val="CommentText"/>
    <w:next w:val="CommentText"/>
    <w:link w:val="CommentSubjectChar"/>
    <w:uiPriority w:val="99"/>
    <w:semiHidden/>
    <w:unhideWhenUsed/>
    <w:rsid w:val="00D17351"/>
    <w:pPr>
      <w:spacing w:after="16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D17351"/>
    <w:rPr>
      <w:rFonts w:asciiTheme="minorHAnsi" w:eastAsiaTheme="minorHAnsi" w:hAnsiTheme="minorHAnsi" w:cstheme="minorBidi"/>
      <w:b/>
      <w:bCs/>
      <w:lang w:val="en-GB" w:eastAsia="nb-NO"/>
    </w:rPr>
  </w:style>
  <w:style w:type="character" w:styleId="PlaceholderText">
    <w:name w:val="Placeholder Text"/>
    <w:basedOn w:val="DefaultParagraphFont"/>
    <w:uiPriority w:val="99"/>
    <w:semiHidden/>
    <w:rsid w:val="00D17351"/>
    <w:rPr>
      <w:color w:val="666666"/>
    </w:rPr>
  </w:style>
  <w:style w:type="table" w:customStyle="1" w:styleId="TableGrid1">
    <w:name w:val="Table Grid1"/>
    <w:basedOn w:val="TableNormal"/>
    <w:next w:val="TableGrid"/>
    <w:uiPriority w:val="39"/>
    <w:rsid w:val="00D17351"/>
    <w:pPr>
      <w:ind w:left="357"/>
      <w:jc w:val="both"/>
    </w:pPr>
    <w:rPr>
      <w:rFonts w:eastAsiaTheme="minorHAnsi" w:cstheme="minorBidi"/>
      <w:kern w:val="2"/>
      <w:sz w:val="24"/>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text">
    <w:name w:val="anchor-text"/>
    <w:basedOn w:val="DefaultParagraphFont"/>
    <w:rsid w:val="00D17351"/>
  </w:style>
  <w:style w:type="character" w:customStyle="1" w:styleId="HeaderChar">
    <w:name w:val="Header Char"/>
    <w:basedOn w:val="DefaultParagraphFont"/>
    <w:link w:val="Header"/>
    <w:uiPriority w:val="99"/>
    <w:rsid w:val="00D17351"/>
    <w:rPr>
      <w:rFonts w:ascii="Helvetica" w:hAnsi="Helvetica"/>
    </w:rPr>
  </w:style>
  <w:style w:type="character" w:customStyle="1" w:styleId="FooterChar">
    <w:name w:val="Footer Char"/>
    <w:basedOn w:val="DefaultParagraphFont"/>
    <w:link w:val="Footer"/>
    <w:uiPriority w:val="99"/>
    <w:rsid w:val="00D17351"/>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677482">
      <w:bodyDiv w:val="1"/>
      <w:marLeft w:val="0"/>
      <w:marRight w:val="0"/>
      <w:marTop w:val="0"/>
      <w:marBottom w:val="0"/>
      <w:divBdr>
        <w:top w:val="none" w:sz="0" w:space="0" w:color="auto"/>
        <w:left w:val="none" w:sz="0" w:space="0" w:color="auto"/>
        <w:bottom w:val="none" w:sz="0" w:space="0" w:color="auto"/>
        <w:right w:val="none" w:sz="0" w:space="0" w:color="auto"/>
      </w:divBdr>
      <w:divsChild>
        <w:div w:id="484662609">
          <w:marLeft w:val="0"/>
          <w:marRight w:val="0"/>
          <w:marTop w:val="0"/>
          <w:marBottom w:val="0"/>
          <w:divBdr>
            <w:top w:val="none" w:sz="0" w:space="0" w:color="auto"/>
            <w:left w:val="none" w:sz="0" w:space="0" w:color="auto"/>
            <w:bottom w:val="none" w:sz="0" w:space="0" w:color="auto"/>
            <w:right w:val="none" w:sz="0" w:space="0" w:color="auto"/>
          </w:divBdr>
        </w:div>
        <w:div w:id="1024554747">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4843667">
      <w:bodyDiv w:val="1"/>
      <w:marLeft w:val="0"/>
      <w:marRight w:val="0"/>
      <w:marTop w:val="0"/>
      <w:marBottom w:val="0"/>
      <w:divBdr>
        <w:top w:val="none" w:sz="0" w:space="0" w:color="auto"/>
        <w:left w:val="none" w:sz="0" w:space="0" w:color="auto"/>
        <w:bottom w:val="none" w:sz="0" w:space="0" w:color="auto"/>
        <w:right w:val="none" w:sz="0" w:space="0" w:color="auto"/>
      </w:divBdr>
      <w:divsChild>
        <w:div w:id="87235073">
          <w:marLeft w:val="0"/>
          <w:marRight w:val="0"/>
          <w:marTop w:val="0"/>
          <w:marBottom w:val="0"/>
          <w:divBdr>
            <w:top w:val="none" w:sz="0" w:space="0" w:color="auto"/>
            <w:left w:val="none" w:sz="0" w:space="0" w:color="auto"/>
            <w:bottom w:val="none" w:sz="0" w:space="0" w:color="auto"/>
            <w:right w:val="none" w:sz="0" w:space="0" w:color="auto"/>
          </w:divBdr>
        </w:div>
        <w:div w:id="125055113">
          <w:marLeft w:val="0"/>
          <w:marRight w:val="0"/>
          <w:marTop w:val="0"/>
          <w:marBottom w:val="0"/>
          <w:divBdr>
            <w:top w:val="none" w:sz="0" w:space="0" w:color="auto"/>
            <w:left w:val="none" w:sz="0" w:space="0" w:color="auto"/>
            <w:bottom w:val="none" w:sz="0" w:space="0" w:color="auto"/>
            <w:right w:val="none" w:sz="0" w:space="0" w:color="auto"/>
          </w:divBdr>
        </w:div>
        <w:div w:id="234366096">
          <w:marLeft w:val="0"/>
          <w:marRight w:val="0"/>
          <w:marTop w:val="0"/>
          <w:marBottom w:val="0"/>
          <w:divBdr>
            <w:top w:val="none" w:sz="0" w:space="0" w:color="auto"/>
            <w:left w:val="none" w:sz="0" w:space="0" w:color="auto"/>
            <w:bottom w:val="none" w:sz="0" w:space="0" w:color="auto"/>
            <w:right w:val="none" w:sz="0" w:space="0" w:color="auto"/>
          </w:divBdr>
        </w:div>
        <w:div w:id="649675555">
          <w:marLeft w:val="0"/>
          <w:marRight w:val="0"/>
          <w:marTop w:val="0"/>
          <w:marBottom w:val="0"/>
          <w:divBdr>
            <w:top w:val="none" w:sz="0" w:space="0" w:color="auto"/>
            <w:left w:val="none" w:sz="0" w:space="0" w:color="auto"/>
            <w:bottom w:val="none" w:sz="0" w:space="0" w:color="auto"/>
            <w:right w:val="none" w:sz="0" w:space="0" w:color="auto"/>
          </w:divBdr>
        </w:div>
        <w:div w:id="773398450">
          <w:marLeft w:val="0"/>
          <w:marRight w:val="0"/>
          <w:marTop w:val="0"/>
          <w:marBottom w:val="0"/>
          <w:divBdr>
            <w:top w:val="none" w:sz="0" w:space="0" w:color="auto"/>
            <w:left w:val="none" w:sz="0" w:space="0" w:color="auto"/>
            <w:bottom w:val="none" w:sz="0" w:space="0" w:color="auto"/>
            <w:right w:val="none" w:sz="0" w:space="0" w:color="auto"/>
          </w:divBdr>
        </w:div>
        <w:div w:id="829296479">
          <w:marLeft w:val="0"/>
          <w:marRight w:val="0"/>
          <w:marTop w:val="0"/>
          <w:marBottom w:val="0"/>
          <w:divBdr>
            <w:top w:val="none" w:sz="0" w:space="0" w:color="auto"/>
            <w:left w:val="none" w:sz="0" w:space="0" w:color="auto"/>
            <w:bottom w:val="none" w:sz="0" w:space="0" w:color="auto"/>
            <w:right w:val="none" w:sz="0" w:space="0" w:color="auto"/>
          </w:divBdr>
        </w:div>
        <w:div w:id="905455117">
          <w:marLeft w:val="0"/>
          <w:marRight w:val="0"/>
          <w:marTop w:val="0"/>
          <w:marBottom w:val="0"/>
          <w:divBdr>
            <w:top w:val="none" w:sz="0" w:space="0" w:color="auto"/>
            <w:left w:val="none" w:sz="0" w:space="0" w:color="auto"/>
            <w:bottom w:val="none" w:sz="0" w:space="0" w:color="auto"/>
            <w:right w:val="none" w:sz="0" w:space="0" w:color="auto"/>
          </w:divBdr>
        </w:div>
        <w:div w:id="1302880376">
          <w:marLeft w:val="0"/>
          <w:marRight w:val="0"/>
          <w:marTop w:val="0"/>
          <w:marBottom w:val="0"/>
          <w:divBdr>
            <w:top w:val="none" w:sz="0" w:space="0" w:color="auto"/>
            <w:left w:val="none" w:sz="0" w:space="0" w:color="auto"/>
            <w:bottom w:val="none" w:sz="0" w:space="0" w:color="auto"/>
            <w:right w:val="none" w:sz="0" w:space="0" w:color="auto"/>
          </w:divBdr>
        </w:div>
        <w:div w:id="1326781626">
          <w:marLeft w:val="0"/>
          <w:marRight w:val="0"/>
          <w:marTop w:val="0"/>
          <w:marBottom w:val="0"/>
          <w:divBdr>
            <w:top w:val="none" w:sz="0" w:space="0" w:color="auto"/>
            <w:left w:val="none" w:sz="0" w:space="0" w:color="auto"/>
            <w:bottom w:val="none" w:sz="0" w:space="0" w:color="auto"/>
            <w:right w:val="none" w:sz="0" w:space="0" w:color="auto"/>
          </w:divBdr>
        </w:div>
        <w:div w:id="2037343931">
          <w:marLeft w:val="0"/>
          <w:marRight w:val="0"/>
          <w:marTop w:val="0"/>
          <w:marBottom w:val="0"/>
          <w:divBdr>
            <w:top w:val="none" w:sz="0" w:space="0" w:color="auto"/>
            <w:left w:val="none" w:sz="0" w:space="0" w:color="auto"/>
            <w:bottom w:val="none" w:sz="0" w:space="0" w:color="auto"/>
            <w:right w:val="none" w:sz="0" w:space="0" w:color="auto"/>
          </w:divBdr>
        </w:div>
      </w:divsChild>
    </w:div>
    <w:div w:id="1456024157">
      <w:bodyDiv w:val="1"/>
      <w:marLeft w:val="0"/>
      <w:marRight w:val="0"/>
      <w:marTop w:val="0"/>
      <w:marBottom w:val="0"/>
      <w:divBdr>
        <w:top w:val="none" w:sz="0" w:space="0" w:color="auto"/>
        <w:left w:val="none" w:sz="0" w:space="0" w:color="auto"/>
        <w:bottom w:val="none" w:sz="0" w:space="0" w:color="auto"/>
        <w:right w:val="none" w:sz="0" w:space="0" w:color="auto"/>
      </w:divBdr>
      <w:divsChild>
        <w:div w:id="392121598">
          <w:marLeft w:val="0"/>
          <w:marRight w:val="0"/>
          <w:marTop w:val="0"/>
          <w:marBottom w:val="0"/>
          <w:divBdr>
            <w:top w:val="none" w:sz="0" w:space="0" w:color="auto"/>
            <w:left w:val="none" w:sz="0" w:space="0" w:color="auto"/>
            <w:bottom w:val="none" w:sz="0" w:space="0" w:color="auto"/>
            <w:right w:val="none" w:sz="0" w:space="0" w:color="auto"/>
          </w:divBdr>
        </w:div>
        <w:div w:id="1052997669">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jstor.org/stable/48794427" TargetMode="External"/><Relationship Id="rId21" Type="http://schemas.openxmlformats.org/officeDocument/2006/relationships/hyperlink" Target="https://doi.org/10.1016/j.jdeveco.2013.12.009" TargetMode="External"/><Relationship Id="rId42" Type="http://schemas.openxmlformats.org/officeDocument/2006/relationships/hyperlink" Target="https://doi.org/10.1016/j.landusepol.2020.105080" TargetMode="External"/><Relationship Id="rId47" Type="http://schemas.openxmlformats.org/officeDocument/2006/relationships/hyperlink" Target="https://doi.org/10.12691/jfs-6-3-4" TargetMode="External"/><Relationship Id="rId63" Type="http://schemas.openxmlformats.org/officeDocument/2006/relationships/hyperlink" Target="https://doi.org/10.1080/0966369X.2023.2233708" TargetMode="External"/><Relationship Id="rId68" Type="http://schemas.openxmlformats.org/officeDocument/2006/relationships/hyperlink" Target="https://doi.org/gtq3dv" TargetMode="External"/><Relationship Id="rId84" Type="http://schemas.openxmlformats.org/officeDocument/2006/relationships/hyperlink" Target="https://www.iied.org/17281iied" TargetMode="External"/><Relationship Id="rId89" Type="http://schemas.openxmlformats.org/officeDocument/2006/relationships/hyperlink" Target="https://doi.org/10.1007/s13280-021-01631-w" TargetMode="External"/><Relationship Id="rId16" Type="http://schemas.openxmlformats.org/officeDocument/2006/relationships/image" Target="media/image5.png"/><Relationship Id="rId11" Type="http://schemas.openxmlformats.org/officeDocument/2006/relationships/footer" Target="footer1.xml"/><Relationship Id="rId32" Type="http://schemas.openxmlformats.org/officeDocument/2006/relationships/hyperlink" Target="https://ideas.repec.org/s/taf/femeco.html" TargetMode="External"/><Relationship Id="rId37" Type="http://schemas.openxmlformats.org/officeDocument/2006/relationships/hyperlink" Target="https://chicagounbound.uchicago.edu/uclf/vol1989/iss1/8" TargetMode="External"/><Relationship Id="rId53" Type="http://schemas.openxmlformats.org/officeDocument/2006/relationships/hyperlink" Target="https://doi.org/10.3390/su16051882?urlappend=%3Futm_source%3Dresearchgate" TargetMode="External"/><Relationship Id="rId58" Type="http://schemas.openxmlformats.org/officeDocument/2006/relationships/hyperlink" Target="https://doi.org/10.1080/03066150.2017.1367291" TargetMode="External"/><Relationship Id="rId74" Type="http://schemas.openxmlformats.org/officeDocument/2006/relationships/hyperlink" Target="https://doi.org/10.1080/03066150903143079" TargetMode="External"/><Relationship Id="rId79" Type="http://schemas.openxmlformats.org/officeDocument/2006/relationships/hyperlink" Target="https://doi.org/10.1016/j.resglo.2023.100133" TargetMode="External"/><Relationship Id="rId5" Type="http://schemas.openxmlformats.org/officeDocument/2006/relationships/webSettings" Target="webSettings.xml"/><Relationship Id="rId90" Type="http://schemas.openxmlformats.org/officeDocument/2006/relationships/hyperlink" Target="https://www.worldbank.org/en/news/feature/2016/11/14/africas-bold-and-ambitious-endeavor-restoring-100m-hectares-of-land-by-2030?" TargetMode="External"/><Relationship Id="rId22" Type="http://schemas.openxmlformats.org/officeDocument/2006/relationships/hyperlink" Target="https://papers.ssrn.com/sol3/papers.cfm?abstract_id=2644216" TargetMode="External"/><Relationship Id="rId27" Type="http://schemas.openxmlformats.org/officeDocument/2006/relationships/hyperlink" Target="https://doi.org/10.1371/journal.pone.0209903" TargetMode="External"/><Relationship Id="rId43" Type="http://schemas.openxmlformats.org/officeDocument/2006/relationships/hyperlink" Target="https://doi.org/10.1111/agec.12171?urlappend=%3Futm_source%3Dresearchgate" TargetMode="External"/><Relationship Id="rId48" Type="http://schemas.openxmlformats.org/officeDocument/2006/relationships/hyperlink" Target="https://doi.org/10.1080/01436597.2021.1880889" TargetMode="External"/><Relationship Id="rId64" Type="http://schemas.openxmlformats.org/officeDocument/2006/relationships/hyperlink" Target="https://doi.org/10.1016/j.landusepol.2023.106834" TargetMode="External"/><Relationship Id="rId69" Type="http://schemas.openxmlformats.org/officeDocument/2006/relationships/hyperlink" Target="https://www.academia.edu/66071169/Improving_Access_to_Land_and_strengthening_Womens_land_rights_in_Africa" TargetMode="External"/><Relationship Id="rId8" Type="http://schemas.openxmlformats.org/officeDocument/2006/relationships/header" Target="header1.xml"/><Relationship Id="rId51" Type="http://schemas.openxmlformats.org/officeDocument/2006/relationships/hyperlink" Target="https://www.unnutrition.org/library/publication/hlpe-fsn-report-strengthening-urban-and-peri-urban-food-systems" TargetMode="External"/><Relationship Id="rId72" Type="http://schemas.openxmlformats.org/officeDocument/2006/relationships/hyperlink" Target="https://africa.oxfam.org/latest/blogs/transforming-land-rights-african-women-and-men-civil-societys-clarion-call-action" TargetMode="External"/><Relationship Id="rId80" Type="http://schemas.openxmlformats.org/officeDocument/2006/relationships/hyperlink" Target="https://opendocs.ids.ac.uk/opendocs/handle/20.500.12413/3390?_gl=1*bkmdl3*_gcl_au*MTQyNTYxMjU4MS4xNzYxNjc2Mjcz" TargetMode="External"/><Relationship Id="rId85" Type="http://schemas.openxmlformats.org/officeDocument/2006/relationships/hyperlink" Target="https://doi.org/10.3389/fsufs.2021.707835"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hyperlink" Target="https://doi.org/10.1111/gec3.12053" TargetMode="External"/><Relationship Id="rId33" Type="http://schemas.openxmlformats.org/officeDocument/2006/relationships/hyperlink" Target="https://doi.org/10.3390/land8020022" TargetMode="External"/><Relationship Id="rId38" Type="http://schemas.openxmlformats.org/officeDocument/2006/relationships/hyperlink" Target="https://doi.org/10.1080/0376835X.2011.605571" TargetMode="External"/><Relationship Id="rId46" Type="http://schemas.openxmlformats.org/officeDocument/2006/relationships/hyperlink" Target="https://doi.org/10.18356/ca0215ed-en" TargetMode="External"/><Relationship Id="rId59" Type="http://schemas.openxmlformats.org/officeDocument/2006/relationships/hyperlink" Target="https://doi.org/10.3389/fsufs.2023.1158946" TargetMode="External"/><Relationship Id="rId67" Type="http://schemas.openxmlformats.org/officeDocument/2006/relationships/hyperlink" Target="https://doi.org/10.1177/0021909615612121" TargetMode="External"/><Relationship Id="rId20" Type="http://schemas.openxmlformats.org/officeDocument/2006/relationships/hyperlink" Target="https://doi.org/10.1016/0305-750X(94)90031-0" TargetMode="External"/><Relationship Id="rId41" Type="http://schemas.openxmlformats.org/officeDocument/2006/relationships/hyperlink" Target="https://doi.org/10.1016/j.landusepol.2019.104305" TargetMode="External"/><Relationship Id="rId54" Type="http://schemas.openxmlformats.org/officeDocument/2006/relationships/hyperlink" Target="https://doi.org/10.1002/uar2.70007" TargetMode="External"/><Relationship Id="rId62" Type="http://schemas.openxmlformats.org/officeDocument/2006/relationships/hyperlink" Target="https://doi.org/10.4324/9781849775892" TargetMode="External"/><Relationship Id="rId70" Type="http://schemas.openxmlformats.org/officeDocument/2006/relationships/hyperlink" Target="https://www.bing.com/ck/a?!&amp;&amp;p=8a808c9f0a7eaff36bd6335ef7b8d5c9daf5b88286312c70ba2f1bd08832b1e6JmltdHM9MTc2MTUyMzIwMA&amp;ptn=3&amp;ver=2&amp;hsh=4&amp;fclid=01bcb14d-ce94-689a-3331-a709cfa969ed&amp;psq=Okoye%2c+Victoria.+2020.+Street+Vendor+Exclusion+in+%e2%80%9cModern%e2%80%9d+Market+Planning%3a+A+Case+Study+from+Kumasi%2c+Ghana.+WIEGO+Resource+Document+No.%e2%80%af15.+WIEGO&amp;u=a1aHR0cHM6Ly93d3cud2llZ28ub3JnL3dwLWNvbnRlbnQvdXBsb2Fkcy8yMDIwLzAyL09rb3llLVN0cmVldC1WZW5kb3ItRXhjbHVzaW9uLUt1bWFzaS1HaGFuYS1XSUVHTy1SZXNvdXJjZSUyMERvY3VtZW50LTE1LnBkZg" TargetMode="External"/><Relationship Id="rId75" Type="http://schemas.openxmlformats.org/officeDocument/2006/relationships/hyperlink" Target="https://www.bing.com/ck/a?!&amp;&amp;p=90ec533fc57f95a75cec5fdf419a0748eda962aba500723612fdd63d3dc1d9ccJmltdHM9MTc2MTYwOTYwMA&amp;ptn=3&amp;ver=2&amp;hsh=4&amp;fclid=01bcb14d-ce94-689a-3331-a709cfa969ed&amp;psq=Quan%2c+Julian%2c+and+Geoffrey+Payne.+Secure+land+rights+for+all.+The+United+Nations+Human+Settlements+Programme%2c+UN-HABITAT%2c%2c+2008.&amp;u=a1aHR0cHM6Ly91bmhhYml0YXQub3JnL3NlY3VyZS1sYW5kLXJpZ2h0cy1mb3ItYWxs" TargetMode="External"/><Relationship Id="rId83" Type="http://schemas.openxmlformats.org/officeDocument/2006/relationships/hyperlink" Target="https://doi.org/10.4000/articulo.3443" TargetMode="External"/><Relationship Id="rId88" Type="http://schemas.openxmlformats.org/officeDocument/2006/relationships/hyperlink" Target="https://unhabitat.org/world-cities-report-2022-envisaging-the-future-of-cities" TargetMode="External"/><Relationship Id="rId91" Type="http://schemas.openxmlformats.org/officeDocument/2006/relationships/hyperlink" Target="https://doi.org/10.3390/ijerph19221483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doi.org/10.1016/j.landusepol.2019.03.004" TargetMode="External"/><Relationship Id="rId28" Type="http://schemas.openxmlformats.org/officeDocument/2006/relationships/hyperlink" Target="https://doi.org/10.1111/j.1471-0366.2011.00339.x" TargetMode="External"/><Relationship Id="rId36" Type="http://schemas.openxmlformats.org/officeDocument/2006/relationships/hyperlink" Target="https://doi.org/10.3389/fsufs.2024.1382383" TargetMode="External"/><Relationship Id="rId49" Type="http://schemas.openxmlformats.org/officeDocument/2006/relationships/hyperlink" Target="https://doi.org/10.1007/s12132-021-09417-9" TargetMode="External"/><Relationship Id="rId57" Type="http://schemas.openxmlformats.org/officeDocument/2006/relationships/hyperlink" Target="https://doi.org/10.1111/anti.12051?urlappend=%3Futm_source%3Dresearchgate" TargetMode="External"/><Relationship Id="rId10" Type="http://schemas.openxmlformats.org/officeDocument/2006/relationships/header" Target="header3.xml"/><Relationship Id="rId31" Type="http://schemas.openxmlformats.org/officeDocument/2006/relationships/hyperlink" Target="https://ideas.repec.org/a/taf/femeco/v20y2014i1p76-100.html" TargetMode="External"/><Relationship Id="rId44" Type="http://schemas.openxmlformats.org/officeDocument/2006/relationships/hyperlink" Target="https://doi.org/10.1080/13545701.2014.895021?urlappend=%3Futm_source%3Dresearchgate" TargetMode="External"/><Relationship Id="rId52" Type="http://schemas.openxmlformats.org/officeDocument/2006/relationships/hyperlink" Target="https://books.google.com/books?hl=en&amp;lr=&amp;id=n0QQqbw9MRoC&amp;oi=fnd&amp;pg=PA126&amp;dq=Gendering+the+Urban+Agriculture+Agenda&amp;ots=ERsgSwsqQX&amp;sig=2maXvb_zGlN0RYv9m4WIAVtQWXY" TargetMode="External"/><Relationship Id="rId60" Type="http://schemas.openxmlformats.org/officeDocument/2006/relationships/hyperlink" Target="https://doi.org/10.1080/09614524.2011.530234" TargetMode="External"/><Relationship Id="rId65" Type="http://schemas.openxmlformats.org/officeDocument/2006/relationships/hyperlink" Target="https://doi.org/10.1186/s40985-020-00131-8" TargetMode="External"/><Relationship Id="rId73" Type="http://schemas.openxmlformats.org/officeDocument/2006/relationships/hyperlink" Target="https://doi.org/10.1136/bmj.n71" TargetMode="External"/><Relationship Id="rId78" Type="http://schemas.openxmlformats.org/officeDocument/2006/relationships/hyperlink" Target="https://rightsandresources.org/blog/effects-large-scale-land-acquisitions-women/" TargetMode="External"/><Relationship Id="rId81" Type="http://schemas.openxmlformats.org/officeDocument/2006/relationships/hyperlink" Target="https://www.scirp.org/journal/paperinformation?paperid=64419" TargetMode="External"/><Relationship Id="rId86" Type="http://schemas.openxmlformats.org/officeDocument/2006/relationships/hyperlink" Target="https://doi.org/10.3390/su2082719"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hyperlink" Target="https://doi.org/10.1016/j.jafr.2024.100997" TargetMode="External"/><Relationship Id="rId39" Type="http://schemas.openxmlformats.org/officeDocument/2006/relationships/hyperlink" Target="https://hdl.handle.net/10568/38055" TargetMode="External"/><Relationship Id="rId34" Type="http://schemas.openxmlformats.org/officeDocument/2006/relationships/hyperlink" Target="https://doi.org/10.1080/07399332.2017.1337774" TargetMode="External"/><Relationship Id="rId50" Type="http://schemas.openxmlformats.org/officeDocument/2006/relationships/hyperlink" Target="https://doi.org/10.4324/9780203027523" TargetMode="External"/><Relationship Id="rId55" Type="http://schemas.openxmlformats.org/officeDocument/2006/relationships/hyperlink" Target="https://doi.org/10.1186/2047-2382-3-21" TargetMode="External"/><Relationship Id="rId76" Type="http://schemas.openxmlformats.org/officeDocument/2006/relationships/hyperlink" Target="https://digitallibrary.un.org/record/227388" TargetMode="External"/><Relationship Id="rId7" Type="http://schemas.openxmlformats.org/officeDocument/2006/relationships/endnotes" Target="endnotes.xml"/><Relationship Id="rId71" Type="http://schemas.openxmlformats.org/officeDocument/2006/relationships/hyperlink" Target="https://doi.org/10.3390/land9110427" TargetMode="External"/><Relationship Id="rId92" Type="http://schemas.openxmlformats.org/officeDocument/2006/relationships/hyperlink" Target="https://doi.org/10.1080/19463138.2021.1915790" TargetMode="External"/><Relationship Id="rId2" Type="http://schemas.openxmlformats.org/officeDocument/2006/relationships/numbering" Target="numbering.xml"/><Relationship Id="rId29" Type="http://schemas.openxmlformats.org/officeDocument/2006/relationships/hyperlink" Target="https://opendocs.ids.ac.uk/articles/report/Sustainable_rural_livelihoods_practical_concepts_for_the_21st_century/26473510/1" TargetMode="External"/><Relationship Id="rId24" Type="http://schemas.openxmlformats.org/officeDocument/2006/relationships/hyperlink" Target="https://doi.org/10.22004/ag.econ.334233" TargetMode="External"/><Relationship Id="rId40" Type="http://schemas.openxmlformats.org/officeDocument/2006/relationships/hyperlink" Target="https://doi.org/10.1007/s12571-021-01182-8" TargetMode="External"/><Relationship Id="rId45" Type="http://schemas.openxmlformats.org/officeDocument/2006/relationships/hyperlink" Target="https://doi.org/10.1007/978-94-017-8616-4_4" TargetMode="External"/><Relationship Id="rId66" Type="http://schemas.openxmlformats.org/officeDocument/2006/relationships/hyperlink" Target="https://doi.org/10.2478/environ-2022-0010?urlappend=%3Futm_source%3Dresearchgate" TargetMode="External"/><Relationship Id="rId87" Type="http://schemas.openxmlformats.org/officeDocument/2006/relationships/hyperlink" Target="https://doi.org/10.3390/su11102729" TargetMode="External"/><Relationship Id="rId61" Type="http://schemas.openxmlformats.org/officeDocument/2006/relationships/hyperlink" Target="https://www.taylorfrancis.com/books/mono/10.4324/9780203411940/gender-planning-development-caroline-moser" TargetMode="External"/><Relationship Id="rId82" Type="http://schemas.openxmlformats.org/officeDocument/2006/relationships/hyperlink" Target="https://doi.org/10.3390/su10092988" TargetMode="External"/><Relationship Id="rId19" Type="http://schemas.openxmlformats.org/officeDocument/2006/relationships/hyperlink" Target="https://doi.org/10.22004/ag.econ.348078" TargetMode="External"/><Relationship Id="rId14" Type="http://schemas.openxmlformats.org/officeDocument/2006/relationships/image" Target="media/image3.png"/><Relationship Id="rId30" Type="http://schemas.openxmlformats.org/officeDocument/2006/relationships/hyperlink" Target="https://doi.org/10.1080/14649880600768538" TargetMode="External"/><Relationship Id="rId35" Type="http://schemas.openxmlformats.org/officeDocument/2006/relationships/hyperlink" Target="http://ugspace.ug.edu.gh/handle/123456789/22613" TargetMode="External"/><Relationship Id="rId56" Type="http://schemas.openxmlformats.org/officeDocument/2006/relationships/hyperlink" Target="https://doi.org/10.4324/9781003212768" TargetMode="External"/><Relationship Id="rId77" Type="http://schemas.openxmlformats.org/officeDocument/2006/relationships/hyperlink" Target="https://api.taylorfrancis.com/content/books/mono/download?identifierName=doi&amp;identifierValue=10.4324/9780203352205&amp;type=googl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86937-A4ED-4872-A6D4-933DA51F3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596</TotalTime>
  <Pages>29</Pages>
  <Words>11621</Words>
  <Characters>66245</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77711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Editor-1183</cp:lastModifiedBy>
  <cp:revision>21</cp:revision>
  <cp:lastPrinted>1999-07-06T11:00:00Z</cp:lastPrinted>
  <dcterms:created xsi:type="dcterms:W3CDTF">2025-11-11T12:41:00Z</dcterms:created>
  <dcterms:modified xsi:type="dcterms:W3CDTF">2025-11-13T06:14:00Z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64c5f743-9041-433f-b708-654d5ebd369f</vt:lpwstr>
  </property>
</Properties>
</file>