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62511" w14:textId="77777777" w:rsidR="009E7439" w:rsidRPr="00975B37" w:rsidRDefault="009E7439" w:rsidP="009E7439">
      <w:pPr>
        <w:spacing w:before="100" w:beforeAutospacing="1" w:after="100" w:afterAutospacing="1" w:line="240" w:lineRule="auto"/>
        <w:jc w:val="center"/>
        <w:rPr>
          <w:rFonts w:ascii="Times New Roman" w:eastAsia="Times New Roman" w:hAnsi="Times New Roman" w:cs="Times New Roman"/>
          <w:b/>
          <w:color w:val="000000" w:themeColor="text1"/>
          <w:sz w:val="32"/>
          <w:szCs w:val="32"/>
          <w:lang w:val="en-US"/>
        </w:rPr>
      </w:pPr>
      <w:r w:rsidRPr="00975B37">
        <w:rPr>
          <w:rFonts w:ascii="Times New Roman" w:eastAsia="Times New Roman" w:hAnsi="Times New Roman" w:cs="Times New Roman"/>
          <w:b/>
          <w:color w:val="000000" w:themeColor="text1"/>
          <w:sz w:val="32"/>
          <w:szCs w:val="32"/>
          <w:lang w:val="en-US"/>
        </w:rPr>
        <w:t>Classroom Management Strategies at Higher Education Institutions</w:t>
      </w:r>
    </w:p>
    <w:p w14:paraId="76A6F338" w14:textId="7DCD9C08" w:rsidR="00553684" w:rsidRPr="00975B37" w:rsidRDefault="009372E6" w:rsidP="00553684">
      <w:pPr>
        <w:pStyle w:val="NormalWeb"/>
        <w:jc w:val="both"/>
        <w:rPr>
          <w:color w:val="000000" w:themeColor="text1"/>
        </w:rPr>
      </w:pPr>
      <w:r w:rsidRPr="00975B37">
        <w:rPr>
          <w:b/>
          <w:bCs/>
          <w:color w:val="000000" w:themeColor="text1"/>
        </w:rPr>
        <w:t>Abstract</w:t>
      </w:r>
      <w:r w:rsidRPr="00975B37">
        <w:rPr>
          <w:color w:val="000000" w:themeColor="text1"/>
        </w:rPr>
        <w:br/>
      </w:r>
      <w:r w:rsidR="002B433B" w:rsidRPr="00975B37">
        <w:rPr>
          <w:color w:val="000000" w:themeColor="text1"/>
        </w:rPr>
        <w:t xml:space="preserve">Classroom management in higher education has undergone significant change as universities respond to evolving educational demands. The increasing diversity of student populations, rapid technological development, and shifts in instructional philosophy have reshaped how educators organize and facilitate learning. Managing university classrooms today involves balancing academic thoroughness with inclusivity, supporting autonomy while maintaining structure, and integrating technology without disrupting engagement. Persistent issues include large class sizes, inconsistent student participation, distractions from digital devices, and limited institutional support for training in pedagogical innovation. Additionally, the rise of artificial intelligence in coursework presents new challenges in maintaining academic integrity and equitable participation. The objectives to be achieved in the paper include: </w:t>
      </w:r>
      <w:r w:rsidR="00553684" w:rsidRPr="00975B37">
        <w:rPr>
          <w:rStyle w:val="Strong"/>
          <w:b w:val="0"/>
          <w:color w:val="000000" w:themeColor="text1"/>
        </w:rPr>
        <w:t>to explain the concept of classroom management in higher education</w:t>
      </w:r>
      <w:r w:rsidR="00553684" w:rsidRPr="00975B37">
        <w:rPr>
          <w:color w:val="000000" w:themeColor="text1"/>
        </w:rPr>
        <w:t xml:space="preserve"> by exploring its main elements, underlying theories, and its role in fostering effective teaching and learning environment</w:t>
      </w:r>
      <w:r w:rsidR="00553684" w:rsidRPr="00975B37">
        <w:rPr>
          <w:b/>
          <w:color w:val="000000" w:themeColor="text1"/>
        </w:rPr>
        <w:t>s,</w:t>
      </w:r>
      <w:r w:rsidR="00553684" w:rsidRPr="00975B37">
        <w:rPr>
          <w:rStyle w:val="Strong"/>
          <w:b w:val="0"/>
          <w:color w:val="000000" w:themeColor="text1"/>
        </w:rPr>
        <w:t xml:space="preserve"> to examine the significance of classroom management</w:t>
      </w:r>
      <w:r w:rsidR="00553684" w:rsidRPr="00975B37">
        <w:rPr>
          <w:b/>
          <w:color w:val="000000" w:themeColor="text1"/>
        </w:rPr>
        <w:t xml:space="preserve"> </w:t>
      </w:r>
      <w:r w:rsidR="00553684" w:rsidRPr="00975B37">
        <w:rPr>
          <w:color w:val="000000" w:themeColor="text1"/>
        </w:rPr>
        <w:t xml:space="preserve">in enhancing student engagement, sustaining positive and organized learning settings, and improving both instructor performance and student well-being within tertiary institutions and </w:t>
      </w:r>
      <w:r w:rsidR="00553684" w:rsidRPr="00975B37">
        <w:rPr>
          <w:rStyle w:val="Strong"/>
          <w:b w:val="0"/>
          <w:color w:val="000000" w:themeColor="text1"/>
        </w:rPr>
        <w:t>to explore practical classroom management strategies</w:t>
      </w:r>
      <w:r w:rsidR="00553684" w:rsidRPr="00975B37">
        <w:rPr>
          <w:color w:val="000000" w:themeColor="text1"/>
        </w:rPr>
        <w:t xml:space="preserve"> used in higher education, emphasizing methods that encourage active student involvement, reduce classroom disruptions, and create inclusive, learner-centered academic experiences.</w:t>
      </w:r>
    </w:p>
    <w:p w14:paraId="4AB90955" w14:textId="5177A94E" w:rsidR="002B433B" w:rsidRPr="00975B37" w:rsidRDefault="002B433B" w:rsidP="002B433B">
      <w:pPr>
        <w:pStyle w:val="NormalWeb"/>
        <w:jc w:val="both"/>
        <w:rPr>
          <w:color w:val="000000" w:themeColor="text1"/>
        </w:rPr>
      </w:pPr>
      <w:r w:rsidRPr="00975B37">
        <w:rPr>
          <w:color w:val="000000" w:themeColor="text1"/>
        </w:rPr>
        <w:t>To achieve these objectives, this paper employs a qualitative assessment method based on a review of recent empirical studies, institutional reports, and scholarly discussions related to classroom management in tertiary education. The assessment emphasizes the synthesis of practical recommendations and theoretical insights to establish a framework for effective practice. By integrating these findings, the study aims to provide a comprehensive understanding of how higher education instructors can foster well-managed, equitable, and dynamic learning spaces.</w:t>
      </w:r>
    </w:p>
    <w:p w14:paraId="5819525B" w14:textId="7689DF55" w:rsidR="007C0382" w:rsidRPr="00975B37" w:rsidRDefault="009372E6" w:rsidP="002B433B">
      <w:pPr>
        <w:pStyle w:val="NormalWeb"/>
        <w:jc w:val="both"/>
        <w:rPr>
          <w:b/>
          <w:bCs/>
          <w:color w:val="000000" w:themeColor="text1"/>
        </w:rPr>
      </w:pPr>
      <w:r w:rsidRPr="00975B37">
        <w:rPr>
          <w:b/>
          <w:color w:val="000000" w:themeColor="text1"/>
        </w:rPr>
        <w:t>Keywords:</w:t>
      </w:r>
      <w:r w:rsidRPr="00975B37">
        <w:rPr>
          <w:color w:val="000000" w:themeColor="text1"/>
        </w:rPr>
        <w:t xml:space="preserve"> </w:t>
      </w:r>
      <w:r w:rsidR="00406EC4" w:rsidRPr="00975B37">
        <w:rPr>
          <w:i/>
          <w:color w:val="000000" w:themeColor="text1"/>
        </w:rPr>
        <w:t>Class management</w:t>
      </w:r>
      <w:r w:rsidR="00FA4FC0" w:rsidRPr="00975B37">
        <w:rPr>
          <w:i/>
          <w:color w:val="000000" w:themeColor="text1"/>
        </w:rPr>
        <w:t>, Collaboration, Digital-</w:t>
      </w:r>
      <w:r w:rsidR="003C4FEB" w:rsidRPr="00975B37">
        <w:rPr>
          <w:i/>
          <w:color w:val="000000" w:themeColor="text1"/>
        </w:rPr>
        <w:t xml:space="preserve">awareness Ethics and Inclusion, </w:t>
      </w:r>
    </w:p>
    <w:p w14:paraId="5E795309" w14:textId="77777777" w:rsidR="009372E6" w:rsidRPr="00975B37" w:rsidRDefault="009372E6" w:rsidP="00FA4FC0">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val="en-US"/>
        </w:rPr>
      </w:pPr>
      <w:r w:rsidRPr="00975B37">
        <w:rPr>
          <w:rFonts w:ascii="Times New Roman" w:eastAsia="Times New Roman" w:hAnsi="Times New Roman" w:cs="Times New Roman"/>
          <w:b/>
          <w:bCs/>
          <w:color w:val="000000" w:themeColor="text1"/>
          <w:sz w:val="24"/>
          <w:szCs w:val="24"/>
          <w:lang w:val="en-US"/>
        </w:rPr>
        <w:t>Introduction</w:t>
      </w:r>
    </w:p>
    <w:p w14:paraId="69204FF9" w14:textId="77777777" w:rsidR="005C72F9" w:rsidRPr="00975B37" w:rsidRDefault="005C72F9" w:rsidP="005C72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Higher education institutions are becoming increasingly dynamic and diverse, influenced by growing student populations, technological advancements, and a heightened emphasis on equity in learning opportunities. These developments underscore the critical role of effective classroom management in maintaining academic engagement, ensuring instructional continuity, and supporting student well-being (Smith &amp; Rogers, 2022). Historically, university teaching was grounded in the belief that students entered higher education as autonomous, self-directed learners who required little behavioral guidance. However, emerging evidence contradicts this view, revealing that even adult learners benefit significantly from structured, supportive, and interactive environments that sustain their academic commitment (</w:t>
      </w:r>
      <w:proofErr w:type="spellStart"/>
      <w:r w:rsidRPr="00975B37">
        <w:rPr>
          <w:rFonts w:ascii="Times New Roman" w:eastAsia="Times New Roman" w:hAnsi="Times New Roman" w:cs="Times New Roman"/>
          <w:color w:val="000000" w:themeColor="text1"/>
          <w:sz w:val="24"/>
          <w:szCs w:val="24"/>
          <w:lang w:val="en-US"/>
        </w:rPr>
        <w:t>Nabaho</w:t>
      </w:r>
      <w:proofErr w:type="spellEnd"/>
      <w:r w:rsidRPr="00975B37">
        <w:rPr>
          <w:rFonts w:ascii="Times New Roman" w:eastAsia="Times New Roman" w:hAnsi="Times New Roman" w:cs="Times New Roman"/>
          <w:color w:val="000000" w:themeColor="text1"/>
          <w:sz w:val="24"/>
          <w:szCs w:val="24"/>
          <w:lang w:val="en-US"/>
        </w:rPr>
        <w:t>, 2023; Braxton et al., 2020).</w:t>
      </w:r>
    </w:p>
    <w:p w14:paraId="17A90456" w14:textId="77777777" w:rsidR="005C72F9" w:rsidRPr="00975B37" w:rsidRDefault="005C72F9" w:rsidP="005C72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 xml:space="preserve">As universities broaden access to include underrepresented, first-generation, and non-traditional students—many of whom balance employment and family obligations—the importance of intentional classroom management becomes more pronounced. According to Brown et al. (2021), academic achievement in higher education is shaped not only by curriculum content but also by </w:t>
      </w:r>
      <w:r w:rsidRPr="00975B37">
        <w:rPr>
          <w:rFonts w:ascii="Times New Roman" w:eastAsia="Times New Roman" w:hAnsi="Times New Roman" w:cs="Times New Roman"/>
          <w:color w:val="000000" w:themeColor="text1"/>
          <w:sz w:val="24"/>
          <w:szCs w:val="24"/>
          <w:lang w:val="en-US"/>
        </w:rPr>
        <w:lastRenderedPageBreak/>
        <w:t>the quality of learning environments and social interactions that promote engagement and motivation. Thus, the modern university educator’s responsibilities extend beyond instruction to cultivating inclusive, well-organized, and equi</w:t>
      </w:r>
      <w:bookmarkStart w:id="0" w:name="_GoBack"/>
      <w:r w:rsidRPr="00975B37">
        <w:rPr>
          <w:rFonts w:ascii="Times New Roman" w:eastAsia="Times New Roman" w:hAnsi="Times New Roman" w:cs="Times New Roman"/>
          <w:color w:val="000000" w:themeColor="text1"/>
          <w:sz w:val="24"/>
          <w:szCs w:val="24"/>
          <w:lang w:val="en-US"/>
        </w:rPr>
        <w:t>table</w:t>
      </w:r>
      <w:bookmarkEnd w:id="0"/>
      <w:r w:rsidRPr="00975B37">
        <w:rPr>
          <w:rFonts w:ascii="Times New Roman" w:eastAsia="Times New Roman" w:hAnsi="Times New Roman" w:cs="Times New Roman"/>
          <w:color w:val="000000" w:themeColor="text1"/>
          <w:sz w:val="24"/>
          <w:szCs w:val="24"/>
          <w:lang w:val="en-US"/>
        </w:rPr>
        <w:t xml:space="preserve"> spaces that foster accountability and participation.</w:t>
      </w:r>
    </w:p>
    <w:p w14:paraId="4A181AE7" w14:textId="77777777" w:rsidR="005C72F9" w:rsidRPr="00975B37" w:rsidRDefault="005C72F9" w:rsidP="005C72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Learners in higher education are typically adult individuals with varying educational experiences, career objectives, cultural backgrounds, and learning styles. Simultaneously, university instructors manage multiple professional roles, including research, administration, student supervision, and community service. Therefore, classroom management in this context transcends traditional notions of behavior control—it involves comprehensive course design, the promotion of inclusive learning cultures, thoughtful use of technology, and continuous monitoring of the classroom climate.</w:t>
      </w:r>
    </w:p>
    <w:p w14:paraId="19CCEA95" w14:textId="77777777" w:rsidR="005C72F9" w:rsidRPr="00975B37" w:rsidRDefault="005C72F9" w:rsidP="005C72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The changing nature of higher education necessitates a reimagining of classroom management practices. Two major trends illustrate this transformation. First, there has been a clear pedagogical shift toward student-centered, active learning strategies such as problem-based learning, collaborative activities, discussions, and experiential learning. These approaches require careful structuring, explicit norms of cooperation, and environments that encourage respect and accountability (Mhlongo et al., 2023; Müller &amp; Mildenberger, 2021; Cheung et al., 2021). Second, the growing integration of digital technologies—including personal devices, learning management systems, online collaboration tools, and emerging generative AI—has significantly reshaped teaching and learning dynamics (Bognár &amp; Khine, 2025; Wadhwa et al., 2024). While digital tools enhance access and flexibility, they also present challenges such as distractions, unequal digital competencies, privacy issues, and ethical concerns surrounding data use and AI integration.</w:t>
      </w:r>
    </w:p>
    <w:p w14:paraId="655027B9" w14:textId="77777777" w:rsidR="005C72F9" w:rsidRPr="00975B37" w:rsidRDefault="005C72F9" w:rsidP="005C72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Empirical research demonstrates that classrooms effectively implementing active-learning frameworks achieve higher academic performance, greater retention, and lower failure rates compared to traditional lecture-based instruction (Freeman et al., 2014). These findings highlight the necessity of deliberate instructional design and robust management practices.</w:t>
      </w:r>
    </w:p>
    <w:p w14:paraId="4F10DCFE" w14:textId="77777777" w:rsidR="005C72F9" w:rsidRPr="00975B37" w:rsidRDefault="005C72F9" w:rsidP="005C72F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Accordingly, this paper aims to: (1) present a holistic and contemporary understanding of classroom management in higher education; (2) frame it as an integration of instructional planning, social norms, and operational systems; and (3) emphasize its role in enabling meaningful, inclusive, and sustainable learning experiences.</w:t>
      </w:r>
    </w:p>
    <w:p w14:paraId="06A2B8B7" w14:textId="77777777" w:rsidR="005924A6" w:rsidRPr="00975B37" w:rsidRDefault="005924A6" w:rsidP="005C72F9">
      <w:pPr>
        <w:pStyle w:val="NormalWeb"/>
        <w:numPr>
          <w:ilvl w:val="0"/>
          <w:numId w:val="5"/>
        </w:numPr>
        <w:jc w:val="both"/>
        <w:rPr>
          <w:rStyle w:val="Strong"/>
          <w:color w:val="000000" w:themeColor="text1"/>
        </w:rPr>
      </w:pPr>
      <w:r w:rsidRPr="00975B37">
        <w:rPr>
          <w:rStyle w:val="Strong"/>
          <w:color w:val="000000" w:themeColor="text1"/>
        </w:rPr>
        <w:t>Defining Classroom Management Comprehensively</w:t>
      </w:r>
    </w:p>
    <w:p w14:paraId="5F1AF204" w14:textId="2A72F584" w:rsidR="005924A6" w:rsidRPr="00975B37" w:rsidRDefault="005924A6" w:rsidP="005924A6">
      <w:pPr>
        <w:pStyle w:val="NormalWeb"/>
        <w:jc w:val="both"/>
        <w:rPr>
          <w:color w:val="000000" w:themeColor="text1"/>
        </w:rPr>
      </w:pPr>
      <w:r w:rsidRPr="00975B37">
        <w:rPr>
          <w:color w:val="000000" w:themeColor="text1"/>
        </w:rPr>
        <w:t>The first part of the objective seeks to establish a well-rounded and inclusive definition of classroom management within higher education. Rather than limiting the concept to issues of discipline or student control, it broadens the perspective to include the multifaceted roles of instructors, the diversity of learning environments, and the overarching goals of university education. Such a comprehensive definition creates a cohesive framework that brings together all the vital factors influencing effective teaching and learning in higher education settings.</w:t>
      </w:r>
    </w:p>
    <w:p w14:paraId="54FACE9E" w14:textId="77777777" w:rsidR="005C72F9" w:rsidRPr="00975B37" w:rsidRDefault="005C72F9" w:rsidP="005924A6">
      <w:pPr>
        <w:pStyle w:val="NormalWeb"/>
        <w:jc w:val="both"/>
        <w:rPr>
          <w:color w:val="000000" w:themeColor="text1"/>
        </w:rPr>
      </w:pPr>
    </w:p>
    <w:p w14:paraId="01317337" w14:textId="1EF0D0B8" w:rsidR="005924A6" w:rsidRPr="00975B37" w:rsidRDefault="005924A6" w:rsidP="005924A6">
      <w:pPr>
        <w:pStyle w:val="NormalWeb"/>
        <w:numPr>
          <w:ilvl w:val="0"/>
          <w:numId w:val="5"/>
        </w:numPr>
        <w:rPr>
          <w:rStyle w:val="Strong"/>
          <w:color w:val="000000" w:themeColor="text1"/>
        </w:rPr>
      </w:pPr>
      <w:r w:rsidRPr="00975B37">
        <w:rPr>
          <w:rStyle w:val="Strong"/>
          <w:color w:val="000000" w:themeColor="text1"/>
        </w:rPr>
        <w:lastRenderedPageBreak/>
        <w:t>Maintaining Contemporary Relevance</w:t>
      </w:r>
    </w:p>
    <w:p w14:paraId="1783EDED" w14:textId="4A245A1A" w:rsidR="005924A6" w:rsidRPr="00975B37" w:rsidRDefault="005924A6" w:rsidP="005E4F14">
      <w:pPr>
        <w:pStyle w:val="NormalWeb"/>
        <w:jc w:val="both"/>
        <w:rPr>
          <w:color w:val="000000" w:themeColor="text1"/>
        </w:rPr>
      </w:pPr>
      <w:r w:rsidRPr="00975B37">
        <w:rPr>
          <w:color w:val="000000" w:themeColor="text1"/>
        </w:rPr>
        <w:t>The second aspect stresses the importance of keeping the definition relevant to current educational contexts. This means accounting for the rapid changes in higher education, such as the rise of digital learning tools, hybrid and online classrooms, diverse learner demographics, and evolving pedagogical approaches. A contemporary definition ensures that classroom management aligns with modern academic realities, addressing both current challenges and emerging opportunities rather than relying on traditional or outdated perspectives.</w:t>
      </w:r>
    </w:p>
    <w:p w14:paraId="4AFE0067" w14:textId="77777777" w:rsidR="005924A6" w:rsidRPr="00975B37" w:rsidRDefault="005924A6" w:rsidP="005924A6">
      <w:pPr>
        <w:pStyle w:val="NormalWeb"/>
        <w:numPr>
          <w:ilvl w:val="0"/>
          <w:numId w:val="5"/>
        </w:numPr>
        <w:rPr>
          <w:rStyle w:val="Strong"/>
          <w:color w:val="000000" w:themeColor="text1"/>
        </w:rPr>
      </w:pPr>
      <w:r w:rsidRPr="00975B37">
        <w:rPr>
          <w:rStyle w:val="Strong"/>
          <w:color w:val="000000" w:themeColor="text1"/>
        </w:rPr>
        <w:t>Balancing Instructional Design, Social Norms, and Operational Routines</w:t>
      </w:r>
    </w:p>
    <w:p w14:paraId="0D624D3B" w14:textId="77777777" w:rsidR="005924A6" w:rsidRPr="00975B37" w:rsidRDefault="005924A6" w:rsidP="005924A6">
      <w:pPr>
        <w:pStyle w:val="NormalWeb"/>
        <w:jc w:val="both"/>
        <w:rPr>
          <w:b/>
          <w:bCs/>
          <w:color w:val="000000" w:themeColor="text1"/>
        </w:rPr>
      </w:pPr>
      <w:r w:rsidRPr="00975B37">
        <w:rPr>
          <w:color w:val="000000" w:themeColor="text1"/>
        </w:rPr>
        <w:t>The third element emphasizes viewing classroom management as a balanced integration of three key areas: instructional design, social norms, and operational routines. Instructional design involves carefully planning lessons, activities, and assessments that foster engagement and understanding. Social norms relate to building a culture of respect, collaboration, and open communication among all participants. Operational routines refer to the practical structures and procedures that enable classes to run efficiently. When these three components work together harmoniously, classroom management becomes cohesive and effective.</w:t>
      </w:r>
    </w:p>
    <w:p w14:paraId="0F3993CC" w14:textId="77777777" w:rsidR="005924A6" w:rsidRPr="00975B37" w:rsidRDefault="005924A6" w:rsidP="005924A6">
      <w:pPr>
        <w:pStyle w:val="NormalWeb"/>
        <w:numPr>
          <w:ilvl w:val="0"/>
          <w:numId w:val="5"/>
        </w:numPr>
        <w:jc w:val="both"/>
        <w:rPr>
          <w:rStyle w:val="Strong"/>
          <w:color w:val="000000" w:themeColor="text1"/>
        </w:rPr>
      </w:pPr>
      <w:r w:rsidRPr="00975B37">
        <w:rPr>
          <w:rStyle w:val="Strong"/>
          <w:color w:val="000000" w:themeColor="text1"/>
        </w:rPr>
        <w:t>Promoting Meaningful Learning Experiences</w:t>
      </w:r>
    </w:p>
    <w:p w14:paraId="2EF91A73" w14:textId="1A0280DB" w:rsidR="005924A6" w:rsidRPr="00975B37" w:rsidRDefault="005924A6" w:rsidP="00F06647">
      <w:pPr>
        <w:pStyle w:val="NormalWeb"/>
        <w:jc w:val="both"/>
        <w:rPr>
          <w:color w:val="000000" w:themeColor="text1"/>
        </w:rPr>
      </w:pPr>
      <w:r w:rsidRPr="00975B37">
        <w:rPr>
          <w:color w:val="000000" w:themeColor="text1"/>
        </w:rPr>
        <w:t>The final component focuses on the overarching aim — creating meaningful learning experiences for students. Classroom management should serve as a tool to cultivate environments that encourage active participation, critical thinking, and the connection between theory and real-world practice. In this way, effective management supports both intellectual and personal development by enabling learners to explore, discuss, and apply knowledge in a supportive, well-organized space. Ultimately, classroom management functions as a catalyst for deep, transformative learning rather than a mechanism of control.</w:t>
      </w:r>
    </w:p>
    <w:p w14:paraId="56503D2F" w14:textId="396691EE" w:rsidR="00F06647" w:rsidRPr="00975B37" w:rsidRDefault="00F06647" w:rsidP="00F06647">
      <w:pPr>
        <w:pStyle w:val="NormalWeb"/>
        <w:jc w:val="both"/>
        <w:rPr>
          <w:color w:val="000000" w:themeColor="text1"/>
        </w:rPr>
      </w:pPr>
      <w:r w:rsidRPr="00975B37">
        <w:rPr>
          <w:color w:val="000000" w:themeColor="text1"/>
        </w:rPr>
        <w:t>Second, it synthesizes empirical evidence demonstrating the significance of effective classroom management practices in promoting positive student outcomes, including enhanced engagement, increased equity in participation, and improved overall academic achievement. Third, it identifies and describes actionable strategies that instructors and institutions can apply across in-person, blended, and online learning contexts. These strategies draw from established pedagogical frameworks, as well as emerging research on digital learning and AI-supported instruction. Fourth, the paper acknowledges persistent and emerging challenges in classroom management, such as limited institutional support, inconsistent instructor training, the complexities of governing digital device use, and ethical considerations surrounding data analytics and AI-mediated feedback systems. It also proposes realistic measures that educators and administrators may adopt to address these issues effectively.</w:t>
      </w:r>
    </w:p>
    <w:p w14:paraId="5F48194D" w14:textId="77777777" w:rsidR="007C0382" w:rsidRPr="00975B37" w:rsidRDefault="00F06647" w:rsidP="002A004E">
      <w:pPr>
        <w:pStyle w:val="NormalWeb"/>
        <w:jc w:val="both"/>
        <w:rPr>
          <w:color w:val="000000" w:themeColor="text1"/>
        </w:rPr>
      </w:pPr>
      <w:r w:rsidRPr="00975B37">
        <w:rPr>
          <w:color w:val="000000" w:themeColor="text1"/>
        </w:rPr>
        <w:t xml:space="preserve">The intended readership for this paper includes higher-education instructors, instructional designers, academic administrators, and policy stakeholders seeking evidence-based, contextually responsive, and practically applicable guidance. The analysis is grounded in contemporary scholarship, practitioner-oriented literature, and recent research examining digital transformation and AI-driven learning environments (Pérez-Juárez, González-Ortega, &amp; Aguiar-Pérez, 2024). By </w:t>
      </w:r>
      <w:r w:rsidRPr="00975B37">
        <w:rPr>
          <w:color w:val="000000" w:themeColor="text1"/>
        </w:rPr>
        <w:lastRenderedPageBreak/>
        <w:t>integrating theoretical insights with concrete strategies, this paper contributes to ongoing conversations regarding how universities can sustain effective, equitable, and technologically adaptive learning spaces in an era of rapidly shifting educational expectations.</w:t>
      </w:r>
    </w:p>
    <w:p w14:paraId="6BFF8805" w14:textId="77777777" w:rsidR="009372E6" w:rsidRPr="00975B37" w:rsidRDefault="009372E6" w:rsidP="009372E6">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r w:rsidRPr="00975B37">
        <w:rPr>
          <w:rFonts w:ascii="Times New Roman" w:eastAsia="Times New Roman" w:hAnsi="Times New Roman" w:cs="Times New Roman"/>
          <w:b/>
          <w:bCs/>
          <w:color w:val="000000" w:themeColor="text1"/>
          <w:sz w:val="24"/>
          <w:szCs w:val="24"/>
          <w:lang w:val="en-US"/>
        </w:rPr>
        <w:t>Importance of Classroom Management</w:t>
      </w:r>
    </w:p>
    <w:p w14:paraId="45121AFB" w14:textId="77777777" w:rsidR="000E45D6" w:rsidRPr="00975B37" w:rsidRDefault="000E45D6" w:rsidP="000E45D6">
      <w:pPr>
        <w:pStyle w:val="NormalWeb"/>
        <w:jc w:val="both"/>
        <w:rPr>
          <w:color w:val="000000" w:themeColor="text1"/>
        </w:rPr>
      </w:pPr>
      <w:r w:rsidRPr="00975B37">
        <w:rPr>
          <w:color w:val="000000" w:themeColor="text1"/>
        </w:rPr>
        <w:t xml:space="preserve">Effective classroom management in higher education is not merely an auxiliary administrative task; it is a core element of high-quality teaching, student achievement, and the broader goals of university education. When classrooms are well-managed, learning time is maximized and disruptions or </w:t>
      </w:r>
      <w:proofErr w:type="spellStart"/>
      <w:r w:rsidRPr="00975B37">
        <w:rPr>
          <w:color w:val="000000" w:themeColor="text1"/>
        </w:rPr>
        <w:t>organisational</w:t>
      </w:r>
      <w:proofErr w:type="spellEnd"/>
      <w:r w:rsidRPr="00975B37">
        <w:rPr>
          <w:color w:val="000000" w:themeColor="text1"/>
        </w:rPr>
        <w:t xml:space="preserve"> confusion are </w:t>
      </w:r>
      <w:proofErr w:type="spellStart"/>
      <w:r w:rsidRPr="00975B37">
        <w:rPr>
          <w:color w:val="000000" w:themeColor="text1"/>
        </w:rPr>
        <w:t>minimised</w:t>
      </w:r>
      <w:proofErr w:type="spellEnd"/>
      <w:r w:rsidRPr="00975B37">
        <w:rPr>
          <w:color w:val="000000" w:themeColor="text1"/>
        </w:rPr>
        <w:t>, allowing instructional time to be used productively. This is particularly important for adult learners, who often balance academic work with employment, family responsibilities, and commuting. Clear routines, consistent expectations, and transparent communication ease cognitive demands and allow students to engage more deeply in complex learning tasks. Research indicates that environments structured for active participation lead to stronger academic outcomes and reduced failure rates compared to traditional lecture-only approaches (Freeman et al., 2014).</w:t>
      </w:r>
    </w:p>
    <w:p w14:paraId="62A1F010" w14:textId="77777777" w:rsidR="000E45D6" w:rsidRPr="00975B37" w:rsidRDefault="000E45D6" w:rsidP="000E45D6">
      <w:pPr>
        <w:pStyle w:val="NormalWeb"/>
        <w:jc w:val="both"/>
        <w:rPr>
          <w:color w:val="000000" w:themeColor="text1"/>
        </w:rPr>
      </w:pPr>
      <w:r w:rsidRPr="00975B37">
        <w:rPr>
          <w:color w:val="000000" w:themeColor="text1"/>
        </w:rPr>
        <w:t xml:space="preserve">Classroom management also plays a crucial role in advancing equity and student persistence. Inclusive, well-structured teaching practices can support students from diverse or historically </w:t>
      </w:r>
      <w:proofErr w:type="spellStart"/>
      <w:r w:rsidRPr="00975B37">
        <w:rPr>
          <w:color w:val="000000" w:themeColor="text1"/>
        </w:rPr>
        <w:t>marginalised</w:t>
      </w:r>
      <w:proofErr w:type="spellEnd"/>
      <w:r w:rsidRPr="00975B37">
        <w:rPr>
          <w:color w:val="000000" w:themeColor="text1"/>
        </w:rPr>
        <w:t xml:space="preserve"> backgrounds by providing varied ways to engage and succeed</w:t>
      </w:r>
      <w:sdt>
        <w:sdtPr>
          <w:rPr>
            <w:color w:val="000000" w:themeColor="text1"/>
          </w:rPr>
          <w:id w:val="-1346622064"/>
          <w:citation/>
        </w:sdtPr>
        <w:sdtEndPr/>
        <w:sdtContent>
          <w:r w:rsidR="007B4400" w:rsidRPr="00975B37">
            <w:rPr>
              <w:color w:val="000000" w:themeColor="text1"/>
            </w:rPr>
            <w:fldChar w:fldCharType="begin"/>
          </w:r>
          <w:r w:rsidR="007B4400" w:rsidRPr="00975B37">
            <w:rPr>
              <w:color w:val="000000" w:themeColor="text1"/>
            </w:rPr>
            <w:instrText xml:space="preserve"> CITATION Bon23 \l 1033 </w:instrText>
          </w:r>
          <w:r w:rsidR="007B4400" w:rsidRPr="00975B37">
            <w:rPr>
              <w:color w:val="000000" w:themeColor="text1"/>
            </w:rPr>
            <w:fldChar w:fldCharType="separate"/>
          </w:r>
          <w:r w:rsidR="007B4400" w:rsidRPr="00975B37">
            <w:rPr>
              <w:noProof/>
              <w:color w:val="000000" w:themeColor="text1"/>
            </w:rPr>
            <w:t xml:space="preserve"> (Bonna, 2023)</w:t>
          </w:r>
          <w:r w:rsidR="007B4400" w:rsidRPr="00975B37">
            <w:rPr>
              <w:color w:val="000000" w:themeColor="text1"/>
            </w:rPr>
            <w:fldChar w:fldCharType="end"/>
          </w:r>
        </w:sdtContent>
      </w:sdt>
      <w:r w:rsidRPr="00975B37">
        <w:rPr>
          <w:color w:val="000000" w:themeColor="text1"/>
        </w:rPr>
        <w:t>. Similarly, the use of accessible materials and universal design principles lowers barriers that may otherwise limit participation. The instructor’s facilitation style — including the establishment of respectful dialogue, psychological safety, and collaborative norms — shapes the social environment of the class, influencing students’ comfort with participation, intellectual risk-taking, and peer interaction.</w:t>
      </w:r>
    </w:p>
    <w:p w14:paraId="4A95E608" w14:textId="77777777" w:rsidR="009421C6" w:rsidRPr="00975B37" w:rsidRDefault="009421C6" w:rsidP="000E45D6">
      <w:pPr>
        <w:pStyle w:val="NormalWeb"/>
        <w:jc w:val="both"/>
        <w:rPr>
          <w:color w:val="000000" w:themeColor="text1"/>
        </w:rPr>
      </w:pPr>
      <w:r w:rsidRPr="00975B37">
        <w:rPr>
          <w:color w:val="000000" w:themeColor="text1"/>
        </w:rPr>
        <w:t xml:space="preserve">Furthermore, effective classroom management plays a vital role in shaping institutional outcomes, as it affects students’ levels of engagement, satisfaction, and academic persistence. Drawing on Self-Determination Theory (Deci &amp; Ryan, 2000), environments that nurture students’ autonomy, competence, and sense of belonging tend to strengthen intrinsic motivation, which in turn enhances academic achievement and reduces the likelihood of withdrawal. Research in higher education supports this view: Krause and Coates (2008) reported that classrooms characterized by structured organization, clear expectations, and opportunities for active participation promote stronger engagement and institutional retention. Likewise, </w:t>
      </w:r>
      <w:proofErr w:type="spellStart"/>
      <w:r w:rsidRPr="00975B37">
        <w:rPr>
          <w:color w:val="000000" w:themeColor="text1"/>
        </w:rPr>
        <w:t>Trowler</w:t>
      </w:r>
      <w:proofErr w:type="spellEnd"/>
      <w:r w:rsidRPr="00975B37">
        <w:rPr>
          <w:color w:val="000000" w:themeColor="text1"/>
        </w:rPr>
        <w:t xml:space="preserve"> (2010) highlights that the overall performance of an institution is closely linked to the quality of its teaching–learning interactions and the coherence of management practices implemented across academic programs. In the current landscape of growing student diversity, larger enrollments, and limited institutional resources, evidence suggests that strategic management approaches integrating thoughtful pedagogy with technological innovation (Martin, Polly, &amp; Ritzhaupt, 2020) enhance instructional effectiveness while ensuring the maintenance of educational quality and scalability.</w:t>
      </w:r>
    </w:p>
    <w:p w14:paraId="4F5AEBDA" w14:textId="05443A84" w:rsidR="0027336F" w:rsidRPr="00975B37" w:rsidRDefault="000E45D6" w:rsidP="000E45D6">
      <w:pPr>
        <w:pStyle w:val="NormalWeb"/>
        <w:jc w:val="both"/>
        <w:rPr>
          <w:color w:val="000000" w:themeColor="text1"/>
        </w:rPr>
      </w:pPr>
      <w:r w:rsidRPr="00975B37">
        <w:rPr>
          <w:color w:val="000000" w:themeColor="text1"/>
        </w:rPr>
        <w:t xml:space="preserve">Finally, emerging challenges such as digital distraction and the widespread use of AI tools heighten the need for intentional management strategies. Unregulated device use can divide attention, while new AI technologies raise concerns around academic honesty and assessment integrity (Pérez-Juárez et al., 2024). As these issues continue to evolve, classroom management increasingly </w:t>
      </w:r>
      <w:r w:rsidRPr="00975B37">
        <w:rPr>
          <w:color w:val="000000" w:themeColor="text1"/>
        </w:rPr>
        <w:lastRenderedPageBreak/>
        <w:t>requires clear guidelines on technology use, ongoing monitoring of student engagement, and a commitment to adapting practices based on evidence and feedback.</w:t>
      </w:r>
    </w:p>
    <w:p w14:paraId="6E16EB26" w14:textId="77777777" w:rsidR="009372E6" w:rsidRPr="00975B37" w:rsidRDefault="009372E6" w:rsidP="009372E6">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r w:rsidRPr="00975B37">
        <w:rPr>
          <w:rFonts w:ascii="Times New Roman" w:eastAsia="Times New Roman" w:hAnsi="Times New Roman" w:cs="Times New Roman"/>
          <w:b/>
          <w:bCs/>
          <w:color w:val="000000" w:themeColor="text1"/>
          <w:sz w:val="24"/>
          <w:szCs w:val="24"/>
          <w:lang w:val="en-US"/>
        </w:rPr>
        <w:t>Explanation of Classroom Management</w:t>
      </w:r>
    </w:p>
    <w:p w14:paraId="12A82B82" w14:textId="77777777" w:rsidR="00177D89" w:rsidRPr="00975B37" w:rsidRDefault="00177D89" w:rsidP="00177D89">
      <w:pPr>
        <w:pStyle w:val="NormalWeb"/>
        <w:jc w:val="both"/>
        <w:rPr>
          <w:color w:val="000000" w:themeColor="text1"/>
        </w:rPr>
      </w:pPr>
      <w:r w:rsidRPr="00975B37">
        <w:rPr>
          <w:color w:val="000000" w:themeColor="text1"/>
        </w:rPr>
        <w:t>In higher education contexts, classroom management can be conceptualized as an integrated system of instructional planning, shared behavioral norms, facilitation strategies, and operational routines that together cultivate environments conducive to effective learning. This approach extends beyond the conventional K–12 focus on discipline and behavioral control by emphasizing the principles of adult learning, intentional course structuring, and pedagogical support mechanisms.</w:t>
      </w:r>
    </w:p>
    <w:p w14:paraId="5899CCBA" w14:textId="6B968F3B" w:rsidR="00177D89" w:rsidRPr="00975B37" w:rsidRDefault="00177D89" w:rsidP="00177D89">
      <w:pPr>
        <w:pStyle w:val="NormalWeb"/>
        <w:jc w:val="both"/>
        <w:rPr>
          <w:color w:val="000000" w:themeColor="text1"/>
        </w:rPr>
      </w:pPr>
      <w:r w:rsidRPr="00975B37">
        <w:rPr>
          <w:color w:val="000000" w:themeColor="text1"/>
        </w:rPr>
        <w:t xml:space="preserve">Contemporary scholarship reveals that successful classroom management in university teaching is strongly associated with constructivist and self-regulated learning </w:t>
      </w:r>
      <w:r w:rsidR="004E354C" w:rsidRPr="00975B37">
        <w:rPr>
          <w:color w:val="000000" w:themeColor="text1"/>
        </w:rPr>
        <w:t>theory</w:t>
      </w:r>
      <w:r w:rsidRPr="00975B37">
        <w:rPr>
          <w:color w:val="000000" w:themeColor="text1"/>
        </w:rPr>
        <w:t xml:space="preserve">, both of which highlight learners’ active participation in shaping their educational experiences (Zimmerman &amp; Schunk, 2021; </w:t>
      </w:r>
      <w:proofErr w:type="spellStart"/>
      <w:r w:rsidRPr="00975B37">
        <w:rPr>
          <w:color w:val="000000" w:themeColor="text1"/>
        </w:rPr>
        <w:t>Vermunt</w:t>
      </w:r>
      <w:proofErr w:type="spellEnd"/>
      <w:r w:rsidRPr="00975B37">
        <w:rPr>
          <w:color w:val="000000" w:themeColor="text1"/>
        </w:rPr>
        <w:t xml:space="preserve"> &amp; </w:t>
      </w:r>
      <w:proofErr w:type="spellStart"/>
      <w:r w:rsidRPr="00975B37">
        <w:rPr>
          <w:color w:val="000000" w:themeColor="text1"/>
        </w:rPr>
        <w:t>Donche</w:t>
      </w:r>
      <w:proofErr w:type="spellEnd"/>
      <w:r w:rsidRPr="00975B37">
        <w:rPr>
          <w:color w:val="000000" w:themeColor="text1"/>
        </w:rPr>
        <w:t>, 2022). Moreover, Knowles’ (1984) concept of andragogy—further developed in modern academic discourse—stresses learner autonomy, practical relevance, and mutual respect as core tenets of adult education (Merriam, 2020).</w:t>
      </w:r>
    </w:p>
    <w:p w14:paraId="1F4FE5BF" w14:textId="3232ADE1" w:rsidR="00177D89" w:rsidRPr="00975B37" w:rsidRDefault="00177D89" w:rsidP="00177D89">
      <w:pPr>
        <w:pStyle w:val="NormalWeb"/>
        <w:jc w:val="both"/>
        <w:rPr>
          <w:color w:val="000000" w:themeColor="text1"/>
        </w:rPr>
      </w:pPr>
      <w:r w:rsidRPr="00975B37">
        <w:rPr>
          <w:color w:val="000000" w:themeColor="text1"/>
        </w:rPr>
        <w:t xml:space="preserve">The major components of this framework include: (1) clearly articulated learning goals that align with instructional and assessment activities, reflecting Biggs’ (2014) model of constructive alignment, which links coherence across course design elements to deeper learning outcomes; (2) transparent expectations for participation and behavior that promote inclusivity and collaborative learning (Brookfield &amp; </w:t>
      </w:r>
      <w:proofErr w:type="spellStart"/>
      <w:r w:rsidRPr="00975B37">
        <w:rPr>
          <w:color w:val="000000" w:themeColor="text1"/>
        </w:rPr>
        <w:t>Preskill</w:t>
      </w:r>
      <w:proofErr w:type="spellEnd"/>
      <w:r w:rsidR="003E57AE" w:rsidRPr="00975B37">
        <w:rPr>
          <w:color w:val="000000" w:themeColor="text1"/>
        </w:rPr>
        <w:t>, 2012</w:t>
      </w:r>
      <w:r w:rsidRPr="00975B37">
        <w:rPr>
          <w:color w:val="000000" w:themeColor="text1"/>
        </w:rPr>
        <w:t>); (3) a deliberate organization of lesson sequences and pacing that blend content delivery with interactive strategies, consistent with evidence that active learning fosters engagement and long-term retention (Freeman et al., 2023); (4) uniform guidelines on technology use and academic integrity, which address emerging issues in d</w:t>
      </w:r>
      <w:r w:rsidR="00305A8C" w:rsidRPr="00975B37">
        <w:rPr>
          <w:color w:val="000000" w:themeColor="text1"/>
        </w:rPr>
        <w:t>igital learning environments (Tse</w:t>
      </w:r>
      <w:r w:rsidRPr="00975B37">
        <w:rPr>
          <w:color w:val="000000" w:themeColor="text1"/>
        </w:rPr>
        <w:t>ng &amp; Lim, 2022); and (5) ongoing formative feedback mechanisms—such as reflective prompts, polls, and comprehension checks—that allow instructors to adjust instruction dynamically, in line with Black and Wiliam’s (2018) principles of adaptive formative assessment.</w:t>
      </w:r>
    </w:p>
    <w:p w14:paraId="572D929F" w14:textId="77777777" w:rsidR="00177D89" w:rsidRPr="00975B37" w:rsidRDefault="00177D89" w:rsidP="00177D89">
      <w:pPr>
        <w:pStyle w:val="NormalWeb"/>
        <w:jc w:val="both"/>
        <w:rPr>
          <w:color w:val="000000" w:themeColor="text1"/>
        </w:rPr>
      </w:pPr>
      <w:r w:rsidRPr="00975B37">
        <w:rPr>
          <w:color w:val="000000" w:themeColor="text1"/>
        </w:rPr>
        <w:t>Ultimately, informed by the literature on equitable pedagogy and universal design for learning (UDL), this model aims to establish fair, consistent, and accessible learning pathways that enable all students to interact meaningfully with course materials (CAST, 2018; Hockings, 2021).</w:t>
      </w:r>
    </w:p>
    <w:p w14:paraId="680088A0" w14:textId="77777777" w:rsidR="002950D5" w:rsidRPr="00975B37" w:rsidRDefault="00CF6792" w:rsidP="000E45D6">
      <w:pPr>
        <w:pStyle w:val="NormalWeb"/>
        <w:jc w:val="both"/>
        <w:rPr>
          <w:color w:val="000000" w:themeColor="text1"/>
        </w:rPr>
      </w:pPr>
      <w:r w:rsidRPr="00975B37">
        <w:rPr>
          <w:color w:val="000000" w:themeColor="text1"/>
        </w:rPr>
        <w:t>Effective classroom management encompasses several interconnected levels within the educational process. At the course-</w:t>
      </w:r>
      <w:proofErr w:type="spellStart"/>
      <w:r w:rsidR="00DC3AE6" w:rsidRPr="00975B37">
        <w:rPr>
          <w:color w:val="000000" w:themeColor="text1"/>
        </w:rPr>
        <w:t>s</w:t>
      </w:r>
      <w:r w:rsidRPr="00975B37">
        <w:rPr>
          <w:color w:val="000000" w:themeColor="text1"/>
        </w:rPr>
        <w:t>wide</w:t>
      </w:r>
      <w:proofErr w:type="spellEnd"/>
      <w:r w:rsidRPr="00975B37">
        <w:rPr>
          <w:color w:val="000000" w:themeColor="text1"/>
        </w:rPr>
        <w:t xml:space="preserve"> level, the syllabus serves as a foundational guide that defines expectations for attendance, participation, deadlines, and assessments, thereby orienting students to the learning environment (Indiana University Center for Innovative Teaching and Learning [CITL], 2023). During individual lessons, instructors organize how classes commence and conclude, manage activity transitions, and assign roles in group work to ensure lessons run efficiently (University of Connecticut Center for Excellence in Teaching and Learning [CETL], 2023). On a more specific level, instructional facilitation techniques—such as employing guiding questions, monitoring group discussions, and offering immediate feedback—help maintain student involvement and accountability (Yilmaz &amp; Kara, 2024). Moreover, digital technologies like learning management systems, collaborative online platforms, interactive polling tools, and </w:t>
      </w:r>
      <w:r w:rsidRPr="00975B37">
        <w:rPr>
          <w:color w:val="000000" w:themeColor="text1"/>
        </w:rPr>
        <w:lastRenderedPageBreak/>
        <w:t>analytics software support data-informed teaching practices and allow for ongoing tracking of student performance (Sánchez-Prieto et al., 2022).</w:t>
      </w:r>
    </w:p>
    <w:p w14:paraId="5BBE76C0" w14:textId="77777777" w:rsidR="001533D1" w:rsidRPr="00975B37" w:rsidRDefault="001533D1" w:rsidP="009372E6">
      <w:pPr>
        <w:spacing w:before="100" w:beforeAutospacing="1" w:after="100" w:afterAutospacing="1" w:line="240" w:lineRule="auto"/>
        <w:jc w:val="both"/>
        <w:outlineLvl w:val="2"/>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Modern approaches to classroom management place a strong emphasis on inclusivity, often guided by frameworks like Universal Design for Instruction (UDI). These frameworks anticipate the varied needs of learners, promoting equitable access and minimizing the necessity for individualized accommodations (Scott, McGuire, &amp; Shaw, 2003). Drawing on principles from constructivist and social learning theories, UDI encourages learning environments where students can participate fully through diverse methods of engagement, representation, and expression (Meyer, Rose, &amp; Gordon, 2014). Additionally, contemporary management strategies address new challenges arising from technology-rich learning contexts, including appropriate use of devices, ethical integration of AI-based tools, and fostering professional </w:t>
      </w:r>
      <w:proofErr w:type="spellStart"/>
      <w:r w:rsidRPr="00975B37">
        <w:rPr>
          <w:rFonts w:ascii="Times New Roman" w:hAnsi="Times New Roman" w:cs="Times New Roman"/>
          <w:color w:val="000000" w:themeColor="text1"/>
          <w:sz w:val="24"/>
          <w:szCs w:val="24"/>
        </w:rPr>
        <w:t>behavior</w:t>
      </w:r>
      <w:proofErr w:type="spellEnd"/>
      <w:r w:rsidRPr="00975B37">
        <w:rPr>
          <w:rFonts w:ascii="Times New Roman" w:hAnsi="Times New Roman" w:cs="Times New Roman"/>
          <w:color w:val="000000" w:themeColor="text1"/>
          <w:sz w:val="24"/>
          <w:szCs w:val="24"/>
        </w:rPr>
        <w:t xml:space="preserve"> in online or hybrid classrooms (Huang et al., 2020). Within this proactive, design-focused approach, disciplinary measures are secondary, with priority given to careful course planning, clear communication of expectations, and consistent, low-stakes feedback that supports engagement and prevents </w:t>
      </w:r>
      <w:proofErr w:type="spellStart"/>
      <w:r w:rsidRPr="00975B37">
        <w:rPr>
          <w:rFonts w:ascii="Times New Roman" w:hAnsi="Times New Roman" w:cs="Times New Roman"/>
          <w:color w:val="000000" w:themeColor="text1"/>
          <w:sz w:val="24"/>
          <w:szCs w:val="24"/>
        </w:rPr>
        <w:t>behavioral</w:t>
      </w:r>
      <w:proofErr w:type="spellEnd"/>
      <w:r w:rsidRPr="00975B37">
        <w:rPr>
          <w:rFonts w:ascii="Times New Roman" w:hAnsi="Times New Roman" w:cs="Times New Roman"/>
          <w:color w:val="000000" w:themeColor="text1"/>
          <w:sz w:val="24"/>
          <w:szCs w:val="24"/>
        </w:rPr>
        <w:t xml:space="preserve"> problems from arising (Weimer, 2013; Brookfield, 2015). Research on active learning and instructional design further confirms that thoughtfully structured, learner-centered classrooms enhance academic performance, motivation, and overall classroom climate (Freeman et al., 2014; Stachowiak et al., 2021).</w:t>
      </w:r>
    </w:p>
    <w:p w14:paraId="785A7D60" w14:textId="34DE79B2" w:rsidR="009372E6" w:rsidRPr="00975B37" w:rsidRDefault="009372E6" w:rsidP="009372E6">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r w:rsidRPr="00975B37">
        <w:rPr>
          <w:rFonts w:ascii="Times New Roman" w:eastAsia="Times New Roman" w:hAnsi="Times New Roman" w:cs="Times New Roman"/>
          <w:b/>
          <w:bCs/>
          <w:color w:val="000000" w:themeColor="text1"/>
          <w:sz w:val="24"/>
          <w:szCs w:val="24"/>
          <w:lang w:val="en-US"/>
        </w:rPr>
        <w:t>Strategies</w:t>
      </w:r>
    </w:p>
    <w:p w14:paraId="4288B8E5" w14:textId="77777777" w:rsidR="002B2CB5" w:rsidRPr="00975B37" w:rsidRDefault="002B2CB5" w:rsidP="00406EC4">
      <w:pPr>
        <w:pStyle w:val="NormalWeb"/>
        <w:jc w:val="both"/>
        <w:rPr>
          <w:color w:val="000000" w:themeColor="text1"/>
        </w:rPr>
      </w:pPr>
      <w:r w:rsidRPr="00975B37">
        <w:rPr>
          <w:color w:val="000000" w:themeColor="text1"/>
        </w:rPr>
        <w:t>The following section outlines a set of practical, research-supported strategies that instructors and academic units can apply. While they are grouped for clarity, each approach can be adapted or combined depending on the subject area, class size, and teaching format.</w:t>
      </w:r>
    </w:p>
    <w:p w14:paraId="1BD638CA" w14:textId="31DAB7FE" w:rsidR="001533D1" w:rsidRPr="00975B37" w:rsidRDefault="001533D1" w:rsidP="001533D1">
      <w:pPr>
        <w:pStyle w:val="NormalWeb"/>
        <w:numPr>
          <w:ilvl w:val="0"/>
          <w:numId w:val="3"/>
        </w:numPr>
        <w:jc w:val="both"/>
        <w:rPr>
          <w:color w:val="000000" w:themeColor="text1"/>
        </w:rPr>
      </w:pPr>
      <w:r w:rsidRPr="00975B37">
        <w:rPr>
          <w:color w:val="000000" w:themeColor="text1"/>
        </w:rPr>
        <w:t xml:space="preserve">Focusing on course design aligns with Biggs’ (1996) constructive alignment </w:t>
      </w:r>
      <w:r w:rsidR="008A6AF0" w:rsidRPr="00975B37">
        <w:rPr>
          <w:color w:val="000000" w:themeColor="text1"/>
        </w:rPr>
        <w:t>theory</w:t>
      </w:r>
      <w:r w:rsidRPr="00975B37">
        <w:rPr>
          <w:color w:val="000000" w:themeColor="text1"/>
        </w:rPr>
        <w:t>, which emphasizes ensuring that learning outcomes, instructional activities, and assessments are coherently connected to support effective learning. When outcomes are clearly stated and activities are purposefully structured, both teaching and student engagement are guided in a consistent manner. Research indicates that clearly communicated expectations—covering participation, group work, and responsibilities—promote accountability, minimize confusion, and encourage active involvement (Chickering &amp; Gamson, 1987). Thoughtful planning that incorporates technology use, AI tools, and collaborative practices helps prevent disruptions and enhances learning success (Svinicki &amp; McKeachie, 2011). In this way, a well-designed syllabus acts as both a roadmap and a formal agreement, shaping classroom culture and reduc</w:t>
      </w:r>
      <w:r w:rsidR="004160C3" w:rsidRPr="00975B37">
        <w:rPr>
          <w:color w:val="000000" w:themeColor="text1"/>
        </w:rPr>
        <w:t>ing potential management issues.</w:t>
      </w:r>
    </w:p>
    <w:p w14:paraId="726C886F" w14:textId="77777777" w:rsidR="002B2CB5" w:rsidRPr="00975B37" w:rsidRDefault="002B2CB5" w:rsidP="008B4174">
      <w:pPr>
        <w:pStyle w:val="NormalWeb"/>
        <w:numPr>
          <w:ilvl w:val="0"/>
          <w:numId w:val="3"/>
        </w:numPr>
        <w:jc w:val="both"/>
        <w:rPr>
          <w:color w:val="000000" w:themeColor="text1"/>
        </w:rPr>
      </w:pPr>
      <w:r w:rsidRPr="00975B37">
        <w:rPr>
          <w:rStyle w:val="Strong"/>
          <w:b w:val="0"/>
          <w:color w:val="000000" w:themeColor="text1"/>
        </w:rPr>
        <w:t>Active learning approaches:</w:t>
      </w:r>
      <w:r w:rsidRPr="00975B37">
        <w:rPr>
          <w:color w:val="000000" w:themeColor="text1"/>
        </w:rPr>
        <w:t xml:space="preserve"> Structure lessons around short cycles of explanation followed by activity and feedback. Methods such as think–pair–share, in-class problem solving, clicker or poll questions, and informal quizzes encourage ongoing engagement. Research demonstrates that active learning improves academic achievement and decreases failure rates (Freeman et al., 2014).</w:t>
      </w:r>
    </w:p>
    <w:p w14:paraId="48BB0DF9" w14:textId="77777777" w:rsidR="002B2CB5" w:rsidRPr="00975B37" w:rsidRDefault="002B2CB5" w:rsidP="008B4174">
      <w:pPr>
        <w:pStyle w:val="NormalWeb"/>
        <w:numPr>
          <w:ilvl w:val="0"/>
          <w:numId w:val="3"/>
        </w:numPr>
        <w:jc w:val="both"/>
        <w:rPr>
          <w:color w:val="000000" w:themeColor="text1"/>
        </w:rPr>
      </w:pPr>
      <w:r w:rsidRPr="00975B37">
        <w:rPr>
          <w:rStyle w:val="Strong"/>
          <w:b w:val="0"/>
          <w:color w:val="000000" w:themeColor="text1"/>
        </w:rPr>
        <w:t>Collaborative and team-based learning:</w:t>
      </w:r>
      <w:r w:rsidRPr="00975B37">
        <w:rPr>
          <w:color w:val="000000" w:themeColor="text1"/>
        </w:rPr>
        <w:t xml:space="preserve"> Use structured group work or formal team-based learning (TBL) strategies, where students work in small groups with rotating roles and defined outcomes. Clear structure limits free-riding </w:t>
      </w:r>
      <w:proofErr w:type="spellStart"/>
      <w:r w:rsidRPr="00975B37">
        <w:rPr>
          <w:color w:val="000000" w:themeColor="text1"/>
        </w:rPr>
        <w:t>behaviours</w:t>
      </w:r>
      <w:proofErr w:type="spellEnd"/>
      <w:r w:rsidRPr="00975B37">
        <w:rPr>
          <w:color w:val="000000" w:themeColor="text1"/>
        </w:rPr>
        <w:t xml:space="preserve"> and encourages peer-to-</w:t>
      </w:r>
      <w:r w:rsidRPr="00975B37">
        <w:rPr>
          <w:color w:val="000000" w:themeColor="text1"/>
        </w:rPr>
        <w:lastRenderedPageBreak/>
        <w:t>peer teaching (Michaelsen, Watson, Cragin, &amp; Fink, 2012). Rotating groups across the term helps expand peer networks and promote inclusivity.</w:t>
      </w:r>
    </w:p>
    <w:p w14:paraId="4B13E8D7" w14:textId="77777777" w:rsidR="002B2CB5" w:rsidRPr="00975B37" w:rsidRDefault="002B2CB5" w:rsidP="008B4174">
      <w:pPr>
        <w:pStyle w:val="NormalWeb"/>
        <w:numPr>
          <w:ilvl w:val="0"/>
          <w:numId w:val="3"/>
        </w:numPr>
        <w:jc w:val="both"/>
        <w:rPr>
          <w:color w:val="000000" w:themeColor="text1"/>
        </w:rPr>
      </w:pPr>
      <w:r w:rsidRPr="00975B37">
        <w:rPr>
          <w:rStyle w:val="Strong"/>
          <w:b w:val="0"/>
          <w:color w:val="000000" w:themeColor="text1"/>
        </w:rPr>
        <w:t>Flipped and Just-in-Time approaches:</w:t>
      </w:r>
      <w:r w:rsidRPr="00975B37">
        <w:rPr>
          <w:color w:val="000000" w:themeColor="text1"/>
        </w:rPr>
        <w:t xml:space="preserve"> Assign essential readings or short pre-class tasks, and use class time for discussion and problem solving. With Just-In-Time Teaching, pre-class responses guide the focus of the session, ensuring activities are relevant to student needs and making time use more efficient (</w:t>
      </w:r>
      <w:proofErr w:type="spellStart"/>
      <w:r w:rsidRPr="00975B37">
        <w:rPr>
          <w:color w:val="000000" w:themeColor="text1"/>
        </w:rPr>
        <w:t>Karjanto</w:t>
      </w:r>
      <w:proofErr w:type="spellEnd"/>
      <w:r w:rsidRPr="00975B37">
        <w:rPr>
          <w:color w:val="000000" w:themeColor="text1"/>
        </w:rPr>
        <w:t xml:space="preserve"> &amp; </w:t>
      </w:r>
      <w:proofErr w:type="spellStart"/>
      <w:r w:rsidRPr="00975B37">
        <w:rPr>
          <w:color w:val="000000" w:themeColor="text1"/>
        </w:rPr>
        <w:t>Acelajado</w:t>
      </w:r>
      <w:proofErr w:type="spellEnd"/>
      <w:r w:rsidRPr="00975B37">
        <w:rPr>
          <w:color w:val="000000" w:themeColor="text1"/>
        </w:rPr>
        <w:t>, 2022).</w:t>
      </w:r>
    </w:p>
    <w:p w14:paraId="3BD5796A" w14:textId="77777777" w:rsidR="00663FAA" w:rsidRPr="00975B37" w:rsidRDefault="00663FAA" w:rsidP="008B4174">
      <w:pPr>
        <w:pStyle w:val="NormalWeb"/>
        <w:numPr>
          <w:ilvl w:val="0"/>
          <w:numId w:val="3"/>
        </w:numPr>
        <w:jc w:val="both"/>
        <w:rPr>
          <w:color w:val="000000" w:themeColor="text1"/>
        </w:rPr>
      </w:pPr>
      <w:r w:rsidRPr="00975B37">
        <w:rPr>
          <w:rStyle w:val="Strong"/>
          <w:rFonts w:eastAsiaTheme="majorEastAsia"/>
          <w:b w:val="0"/>
          <w:color w:val="000000" w:themeColor="text1"/>
        </w:rPr>
        <w:t>Universal Design for Instruction (UDI):</w:t>
      </w:r>
      <w:r w:rsidRPr="00975B37">
        <w:rPr>
          <w:color w:val="000000" w:themeColor="text1"/>
        </w:rPr>
        <w:t xml:space="preserve"> UDI builds on the concept of Universal Design (UD), originally developed in architecture to create spaces accessible to everyone without needing modifications (Burgstahler, 2008). In the educational context, UDI focuses on designing courses proactively to meet the needs of diverse learners by providing accessible materials, flexible assessment methods, and multiple avenues for engagement and expression (Scott, McGuire, &amp; Shaw, 2003). Research demonstrates that strategies like captioning, offering materials in alternative formats, and allowing varied ways to show learning progress increase student participation, support learners with disabilities, and reduce the dependence on individualized accommodations (Meyer, Rose, &amp; Gordon, 2014). Studies also show that courses applying UDI principles enhance overall engagement, satisfaction, and academic success (Rao, Ok, &amp; Bryant, 2014). By addressing learner diversity from the outset, UDI supports constructivist and social learning approaches, creating inclusive environments where all students can actively participate.</w:t>
      </w:r>
    </w:p>
    <w:p w14:paraId="32D73B17" w14:textId="6B55F778" w:rsidR="002B2CB5" w:rsidRPr="00975B37" w:rsidRDefault="002B2CB5" w:rsidP="00663FAA">
      <w:pPr>
        <w:pStyle w:val="NormalWeb"/>
        <w:numPr>
          <w:ilvl w:val="0"/>
          <w:numId w:val="3"/>
        </w:numPr>
        <w:jc w:val="both"/>
        <w:rPr>
          <w:color w:val="000000" w:themeColor="text1"/>
        </w:rPr>
      </w:pPr>
      <w:r w:rsidRPr="00975B37">
        <w:rPr>
          <w:rStyle w:val="Strong"/>
          <w:b w:val="0"/>
          <w:color w:val="000000" w:themeColor="text1"/>
        </w:rPr>
        <w:t>Technology norms and accountability:</w:t>
      </w:r>
      <w:r w:rsidRPr="00975B37">
        <w:rPr>
          <w:color w:val="000000" w:themeColor="text1"/>
        </w:rPr>
        <w:t xml:space="preserve"> Clearly state how devices and AI tools may be used—for instance, when laptops are appropriate and how AI assistance should be cited. Use quick polls or checks to maintain engagement. Research notes that unmanaged device use can disrupt learning; setting norms early helps reduce distraction (Pérez-Juárez et al., 2024).</w:t>
      </w:r>
    </w:p>
    <w:p w14:paraId="098D3B20" w14:textId="1E4BC568" w:rsidR="00663FAA" w:rsidRPr="00975B37" w:rsidRDefault="00663FAA" w:rsidP="00B300A8">
      <w:pPr>
        <w:pStyle w:val="NormalWeb"/>
        <w:numPr>
          <w:ilvl w:val="0"/>
          <w:numId w:val="3"/>
        </w:numPr>
        <w:jc w:val="both"/>
        <w:rPr>
          <w:color w:val="000000" w:themeColor="text1"/>
        </w:rPr>
      </w:pPr>
      <w:r w:rsidRPr="00975B37">
        <w:rPr>
          <w:rStyle w:val="Strong"/>
          <w:b w:val="0"/>
          <w:color w:val="000000" w:themeColor="text1"/>
        </w:rPr>
        <w:t>Trauma-Respo</w:t>
      </w:r>
      <w:r w:rsidR="006B0975" w:rsidRPr="00975B37">
        <w:rPr>
          <w:rStyle w:val="Strong"/>
          <w:b w:val="0"/>
          <w:color w:val="000000" w:themeColor="text1"/>
        </w:rPr>
        <w:t>nsive and Relationship-Centered Teaching</w:t>
      </w:r>
      <w:r w:rsidR="006B0975" w:rsidRPr="00975B37">
        <w:rPr>
          <w:rStyle w:val="Strong"/>
          <w:b w:val="0"/>
          <w:bCs w:val="0"/>
          <w:color w:val="000000" w:themeColor="text1"/>
        </w:rPr>
        <w:t>.</w:t>
      </w:r>
      <w:r w:rsidR="006B0975" w:rsidRPr="00975B37">
        <w:rPr>
          <w:color w:val="000000" w:themeColor="text1"/>
        </w:rPr>
        <w:t xml:space="preserve"> Trauma</w:t>
      </w:r>
      <w:r w:rsidRPr="00975B37">
        <w:rPr>
          <w:color w:val="000000" w:themeColor="text1"/>
        </w:rPr>
        <w:t xml:space="preserve">-informed teaching draws from social-emotional learning and attachment theory, highlighting the importance of safety, trust, and nurturing relationships as foundational for learning (Perry &amp; Daniels, 2016). This approach corresponds with Maslow’s hierarchy of needs, which suggests that students must experience a sense of security before they can engage in higher-level cognitive </w:t>
      </w:r>
      <w:r w:rsidR="00A51D1F" w:rsidRPr="00975B37">
        <w:rPr>
          <w:color w:val="000000" w:themeColor="text1"/>
        </w:rPr>
        <w:t>tasks. Empirical</w:t>
      </w:r>
      <w:r w:rsidRPr="00975B37">
        <w:rPr>
          <w:color w:val="000000" w:themeColor="text1"/>
        </w:rPr>
        <w:t xml:space="preserve"> studies demonstrate that implementing trauma-sensitive practices—such as consistent routines, flexible deadlines, and guidance toward support resources—enhances student engagement, reduces behavioral issues, and supports academic success (Cole et al., 2013; Dorado et al., 2016). Classrooms that emphasize strong teacher-student relationships promote resilience and belonging, factors associated with increased motivation and retention (Pianta et al., 2012).</w:t>
      </w:r>
    </w:p>
    <w:p w14:paraId="0B7BF8C7" w14:textId="427199E9" w:rsidR="006B0975" w:rsidRPr="00975B37" w:rsidRDefault="006B0975" w:rsidP="006B0975">
      <w:pPr>
        <w:pStyle w:val="NormalWeb"/>
        <w:numPr>
          <w:ilvl w:val="0"/>
          <w:numId w:val="3"/>
        </w:numPr>
        <w:jc w:val="both"/>
        <w:rPr>
          <w:color w:val="000000" w:themeColor="text1"/>
        </w:rPr>
      </w:pPr>
      <w:r w:rsidRPr="00975B37">
        <w:rPr>
          <w:color w:val="000000" w:themeColor="text1"/>
        </w:rPr>
        <w:t>Continuous Monitoring and Feedback</w:t>
      </w:r>
      <w:r w:rsidRPr="00975B37">
        <w:rPr>
          <w:rStyle w:val="Strong"/>
          <w:color w:val="000000" w:themeColor="text1"/>
        </w:rPr>
        <w:t>.</w:t>
      </w:r>
      <w:r w:rsidRPr="00975B37">
        <w:rPr>
          <w:color w:val="000000" w:themeColor="text1"/>
        </w:rPr>
        <w:t xml:space="preserve"> Formative assessment theory emphasizes the critical role of ongoing feedback in guiding learning and shaping instruction (Black &amp; Wiliam, 1998). Similarly, constructivist approaches encourage reflection and self-assessment as essential mechanisms for learners to actively build knowledge (Vygotsky, 1978).Research highlights that instruments such as exit tickets, reflective prompts, and learning analytics can help detect disengaged students early, allowing for timely interventions (Heritage, 2010; Nicol &amp; Macfarlane-Dick, 2006). When feedback is specific, prompt, and actionable, it has been shown to improve learning outcomes, self-regulation, and student motivation (Hattie &amp; Timperley, 2007).</w:t>
      </w:r>
    </w:p>
    <w:p w14:paraId="39267C99" w14:textId="5C20AB74" w:rsidR="006B0975" w:rsidRPr="00975B37" w:rsidRDefault="006B0975" w:rsidP="008B4174">
      <w:pPr>
        <w:pStyle w:val="NormalWeb"/>
        <w:numPr>
          <w:ilvl w:val="0"/>
          <w:numId w:val="3"/>
        </w:numPr>
        <w:jc w:val="both"/>
        <w:rPr>
          <w:rStyle w:val="Strong"/>
          <w:b w:val="0"/>
          <w:bCs w:val="0"/>
          <w:color w:val="000000" w:themeColor="text1"/>
        </w:rPr>
      </w:pPr>
      <w:r w:rsidRPr="00641584">
        <w:rPr>
          <w:rStyle w:val="Strong"/>
          <w:b w:val="0"/>
          <w:color w:val="000000" w:themeColor="text1"/>
        </w:rPr>
        <w:t>Professional Development and Peer Learning</w:t>
      </w:r>
      <w:r w:rsidRPr="00975B37">
        <w:rPr>
          <w:color w:val="000000" w:themeColor="text1"/>
        </w:rPr>
        <w:t xml:space="preserve">. Adult learning principles and communities of practice frameworks stress that educators enhance their expertise through reflection, </w:t>
      </w:r>
      <w:r w:rsidRPr="00975B37">
        <w:rPr>
          <w:color w:val="000000" w:themeColor="text1"/>
        </w:rPr>
        <w:lastRenderedPageBreak/>
        <w:t>collaboration, and mentorship (Knowles, 1984; Wenger, 1998). Social learning theory also supports the value of modeling effective instructional practices to improve teacher competence (Bandura, 1977).Evidence indicates that sustained, collaborative, and hands-on professional development increases teacher effectiveness, classroom management, and student achievement (Darling-Hammond et al., 2017). Peer observation and mentoring provide opportunities for teachers to adopt best practices, experiment with active learning approaches, and gain confidence in delivering inclusive instruction (</w:t>
      </w:r>
      <w:proofErr w:type="spellStart"/>
      <w:r w:rsidRPr="00975B37">
        <w:rPr>
          <w:color w:val="000000" w:themeColor="text1"/>
        </w:rPr>
        <w:t>Vangrieken</w:t>
      </w:r>
      <w:proofErr w:type="spellEnd"/>
      <w:r w:rsidRPr="00975B37">
        <w:rPr>
          <w:color w:val="000000" w:themeColor="text1"/>
        </w:rPr>
        <w:t xml:space="preserve"> et al., 2015).</w:t>
      </w:r>
    </w:p>
    <w:p w14:paraId="2A3E42F4" w14:textId="0621BF3C" w:rsidR="00DC3AE6" w:rsidRPr="00975B37" w:rsidRDefault="002B2CB5" w:rsidP="008B4174">
      <w:pPr>
        <w:pStyle w:val="NormalWeb"/>
        <w:rPr>
          <w:color w:val="000000" w:themeColor="text1"/>
        </w:rPr>
      </w:pPr>
      <w:r w:rsidRPr="00975B37">
        <w:rPr>
          <w:color w:val="000000" w:themeColor="text1"/>
        </w:rPr>
        <w:t>Collectively, these strategies work best when integrated. Clear expectations, structured active learning, inclusive design, and ongoing feedback create a well-managed classroom environment that supports meaningful and equitable learning.</w:t>
      </w:r>
    </w:p>
    <w:p w14:paraId="319B4443" w14:textId="77777777" w:rsidR="009372E6" w:rsidRPr="00975B37" w:rsidRDefault="009372E6" w:rsidP="009372E6">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r w:rsidRPr="00975B37">
        <w:rPr>
          <w:rFonts w:ascii="Times New Roman" w:eastAsia="Times New Roman" w:hAnsi="Times New Roman" w:cs="Times New Roman"/>
          <w:b/>
          <w:bCs/>
          <w:color w:val="000000" w:themeColor="text1"/>
          <w:sz w:val="24"/>
          <w:szCs w:val="24"/>
          <w:lang w:val="en-US"/>
        </w:rPr>
        <w:t>Benefits</w:t>
      </w:r>
    </w:p>
    <w:p w14:paraId="2C968BF8" w14:textId="77777777" w:rsidR="008B4174" w:rsidRPr="00975B37" w:rsidRDefault="008B4174" w:rsidP="008B4174">
      <w:pPr>
        <w:pStyle w:val="NormalWeb"/>
        <w:jc w:val="both"/>
        <w:rPr>
          <w:color w:val="000000" w:themeColor="text1"/>
        </w:rPr>
      </w:pPr>
      <w:r w:rsidRPr="00975B37">
        <w:rPr>
          <w:color w:val="000000" w:themeColor="text1"/>
        </w:rPr>
        <w:t xml:space="preserve">Implementing evidence-based classroom management strategies yields significant advantages across learning outcomes, equity, retention, and broader institutional performance. </w:t>
      </w:r>
    </w:p>
    <w:p w14:paraId="26846377" w14:textId="77777777" w:rsidR="008B4174" w:rsidRPr="00975B37" w:rsidRDefault="008B4174" w:rsidP="008B4174">
      <w:pPr>
        <w:pStyle w:val="NormalWeb"/>
        <w:jc w:val="both"/>
        <w:rPr>
          <w:color w:val="000000" w:themeColor="text1"/>
        </w:rPr>
      </w:pPr>
      <w:r w:rsidRPr="00975B37">
        <w:rPr>
          <w:rStyle w:val="Strong"/>
          <w:b w:val="0"/>
          <w:color w:val="000000" w:themeColor="text1"/>
        </w:rPr>
        <w:t>First, academic achievement is enhanced</w:t>
      </w:r>
      <w:r w:rsidRPr="00975B37">
        <w:rPr>
          <w:rStyle w:val="Strong"/>
          <w:color w:val="000000" w:themeColor="text1"/>
        </w:rPr>
        <w:t>.</w:t>
      </w:r>
      <w:r w:rsidRPr="00975B37">
        <w:rPr>
          <w:color w:val="000000" w:themeColor="text1"/>
        </w:rPr>
        <w:t xml:space="preserve"> Research indicates that students in active-learning environments consistently outperform those in traditional lecture-based settings, exhibiting higher assessment scores and lower failure rates (Freeman et al., 2014). This improvement is particularly notable in STEM fields, where active problem-solving and applied learning are critical for mastering complex concepts and skills.</w:t>
      </w:r>
    </w:p>
    <w:p w14:paraId="3FE892D0" w14:textId="77777777" w:rsidR="008B4174" w:rsidRPr="00975B37" w:rsidRDefault="008B4174" w:rsidP="008B4174">
      <w:pPr>
        <w:pStyle w:val="NormalWeb"/>
        <w:jc w:val="both"/>
        <w:rPr>
          <w:color w:val="000000" w:themeColor="text1"/>
        </w:rPr>
      </w:pPr>
      <w:r w:rsidRPr="00975B37">
        <w:rPr>
          <w:rStyle w:val="Strong"/>
          <w:b w:val="0"/>
          <w:color w:val="000000" w:themeColor="text1"/>
        </w:rPr>
        <w:t>Second, these strategies promote equity.</w:t>
      </w:r>
      <w:r w:rsidRPr="00975B37">
        <w:rPr>
          <w:color w:val="000000" w:themeColor="text1"/>
        </w:rPr>
        <w:t xml:space="preserve"> Approaches such as structured active-learning and universal design provide multiple avenues for engagement, helping to accommodate students from underrepresented or non-traditional backgrounds</w:t>
      </w:r>
      <w:sdt>
        <w:sdtPr>
          <w:rPr>
            <w:color w:val="000000" w:themeColor="text1"/>
          </w:rPr>
          <w:id w:val="-655532287"/>
          <w:citation/>
        </w:sdtPr>
        <w:sdtEndPr/>
        <w:sdtContent>
          <w:r w:rsidR="00BB3158" w:rsidRPr="00975B37">
            <w:rPr>
              <w:color w:val="000000" w:themeColor="text1"/>
            </w:rPr>
            <w:fldChar w:fldCharType="begin"/>
          </w:r>
          <w:r w:rsidR="00BB3158" w:rsidRPr="00975B37">
            <w:rPr>
              <w:color w:val="000000" w:themeColor="text1"/>
            </w:rPr>
            <w:instrText xml:space="preserve"> CITATION Wir24 \l 1033 </w:instrText>
          </w:r>
          <w:r w:rsidR="00BB3158" w:rsidRPr="00975B37">
            <w:rPr>
              <w:color w:val="000000" w:themeColor="text1"/>
            </w:rPr>
            <w:fldChar w:fldCharType="separate"/>
          </w:r>
          <w:r w:rsidR="00BB3158" w:rsidRPr="00975B37">
            <w:rPr>
              <w:noProof/>
              <w:color w:val="000000" w:themeColor="text1"/>
            </w:rPr>
            <w:t xml:space="preserve"> (Wiredu et al., 2024)</w:t>
          </w:r>
          <w:r w:rsidR="00BB3158" w:rsidRPr="00975B37">
            <w:rPr>
              <w:color w:val="000000" w:themeColor="text1"/>
            </w:rPr>
            <w:fldChar w:fldCharType="end"/>
          </w:r>
        </w:sdtContent>
      </w:sdt>
      <w:r w:rsidRPr="00975B37">
        <w:rPr>
          <w:color w:val="000000" w:themeColor="text1"/>
        </w:rPr>
        <w:t>. By reducing reliance on a single mode of participation and focusing assessments on applied skills rather than rote memorization, these practices help close opportunity gaps and advance institutional diversity goals.</w:t>
      </w:r>
    </w:p>
    <w:p w14:paraId="58551372" w14:textId="498A4E98" w:rsidR="008B4174" w:rsidRPr="00975B37" w:rsidRDefault="008B4174" w:rsidP="008B4174">
      <w:pPr>
        <w:pStyle w:val="NormalWeb"/>
        <w:jc w:val="both"/>
        <w:rPr>
          <w:color w:val="000000" w:themeColor="text1"/>
        </w:rPr>
      </w:pPr>
      <w:r w:rsidRPr="00975B37">
        <w:rPr>
          <w:rStyle w:val="Strong"/>
          <w:b w:val="0"/>
          <w:color w:val="000000" w:themeColor="text1"/>
        </w:rPr>
        <w:t xml:space="preserve">Third, </w:t>
      </w:r>
      <w:r w:rsidR="00A13AE2" w:rsidRPr="00975B37">
        <w:rPr>
          <w:rStyle w:val="Strong"/>
          <w:rFonts w:eastAsiaTheme="majorEastAsia"/>
          <w:b w:val="0"/>
          <w:color w:val="000000" w:themeColor="text1"/>
        </w:rPr>
        <w:t>Effective Classroom Management</w:t>
      </w:r>
      <w:r w:rsidR="00A13AE2" w:rsidRPr="00975B37">
        <w:rPr>
          <w:rStyle w:val="Strong"/>
          <w:rFonts w:eastAsiaTheme="majorEastAsia"/>
          <w:color w:val="000000" w:themeColor="text1"/>
        </w:rPr>
        <w:t>:</w:t>
      </w:r>
      <w:r w:rsidR="00A13AE2" w:rsidRPr="00975B37">
        <w:rPr>
          <w:color w:val="000000" w:themeColor="text1"/>
        </w:rPr>
        <w:t xml:space="preserve"> Successful classroom management draws on behavioral and cognitive learning theories, such as Skinner’s operant conditioning and Bandura’s social learning theory, which highlight the importance of structured environments and role modeling in shaping student behavior (Evertson &amp; Weinstein, 2006). Establishing clear expectations, consistent routines, and efficient time management fosters a predictable and supportive learning setting, reducing student stress and enhancing engagement and intrinsic motivation (Marzano, Marzano, &amp; Pickering, 2003). Facilitating collaborative group activities encourages peer learning and social development (Johnson, Johnson, &amp; Holubec, 2013). Research indicates that these strategies are linked to higher student satisfaction, improved retention, and positive course evaluations, ultimately benefiting institutional metrics like graduation rates, funding eligibility, and reputation (Seidman, 2012; Umbach &amp; Wawrzynski, 2005).</w:t>
      </w:r>
    </w:p>
    <w:p w14:paraId="52D7ED1B" w14:textId="77777777" w:rsidR="008B4174" w:rsidRPr="00975B37" w:rsidRDefault="008B4174" w:rsidP="008B4174">
      <w:pPr>
        <w:pStyle w:val="NormalWeb"/>
        <w:jc w:val="both"/>
        <w:rPr>
          <w:color w:val="000000" w:themeColor="text1"/>
        </w:rPr>
      </w:pPr>
      <w:r w:rsidRPr="00975B37">
        <w:rPr>
          <w:rStyle w:val="Strong"/>
          <w:b w:val="0"/>
          <w:color w:val="000000" w:themeColor="text1"/>
        </w:rPr>
        <w:t xml:space="preserve">Fourth, </w:t>
      </w:r>
      <w:proofErr w:type="spellStart"/>
      <w:r w:rsidRPr="00975B37">
        <w:rPr>
          <w:rStyle w:val="Strong"/>
          <w:b w:val="0"/>
          <w:color w:val="000000" w:themeColor="text1"/>
        </w:rPr>
        <w:t>behavioural</w:t>
      </w:r>
      <w:proofErr w:type="spellEnd"/>
      <w:r w:rsidRPr="00975B37">
        <w:rPr>
          <w:rStyle w:val="Strong"/>
          <w:b w:val="0"/>
          <w:color w:val="000000" w:themeColor="text1"/>
        </w:rPr>
        <w:t xml:space="preserve"> and operational outcomes improve.</w:t>
      </w:r>
      <w:r w:rsidRPr="00975B37">
        <w:rPr>
          <w:color w:val="000000" w:themeColor="text1"/>
        </w:rPr>
        <w:t xml:space="preserve"> Establishing explicit norms and structured activities minimizes disruptions, reducing the need for punitive interventions. Integrating technology policies and formative engagement checks helps maintain focus and transforms device </w:t>
      </w:r>
      <w:r w:rsidRPr="00975B37">
        <w:rPr>
          <w:color w:val="000000" w:themeColor="text1"/>
        </w:rPr>
        <w:lastRenderedPageBreak/>
        <w:t>use into a productive learning tool. Research highlights that unregulated digital access can compromise attention, making low-stakes interactive strategies such as polls and quizzes essential for maintaining engagement (Pérez-Juárez et al., 2024).</w:t>
      </w:r>
    </w:p>
    <w:p w14:paraId="40B005D7" w14:textId="7D4B05B5" w:rsidR="008B4174" w:rsidRPr="00975B37" w:rsidRDefault="008B4174" w:rsidP="008B4174">
      <w:pPr>
        <w:pStyle w:val="NormalWeb"/>
        <w:jc w:val="both"/>
        <w:rPr>
          <w:color w:val="000000" w:themeColor="text1"/>
        </w:rPr>
      </w:pPr>
      <w:r w:rsidRPr="00975B37">
        <w:rPr>
          <w:rStyle w:val="Strong"/>
          <w:b w:val="0"/>
          <w:color w:val="000000" w:themeColor="text1"/>
        </w:rPr>
        <w:t xml:space="preserve">Fifth, </w:t>
      </w:r>
      <w:r w:rsidR="00FE56B5" w:rsidRPr="00975B37">
        <w:rPr>
          <w:color w:val="000000" w:themeColor="text1"/>
        </w:rPr>
        <w:t xml:space="preserve">Research shows that teachers who adopt collaborative and inclusive strategies often experience more engaging and interactive classrooms, as students are motivated to contribute, exchange ideas, and collaboratively build understanding (Johnson, Johnson, &amp; Smith, 2014). Regular implementation of formative assessments, consistent with assessment-for-learning </w:t>
      </w:r>
      <w:r w:rsidR="003B77FE" w:rsidRPr="00975B37">
        <w:rPr>
          <w:color w:val="000000" w:themeColor="text1"/>
        </w:rPr>
        <w:t>theory</w:t>
      </w:r>
      <w:r w:rsidR="00FE56B5" w:rsidRPr="00975B37">
        <w:rPr>
          <w:color w:val="000000" w:themeColor="text1"/>
        </w:rPr>
        <w:t>, allows educators to detect misconceptions early and offer targeted guidance, which has been linked to improved learning outcomes and narrower achievement gaps (Black &amp; Wiliam, 1998). In addition, instructional designs informed by Universal Design for Learning (UDL) proactively address the needs of diverse learners, reducing reliance on individual accommodations and fostering equitable learning opportunities while enhancing overall classroom effectiveness (Rose &amp; Meyer, 2002).</w:t>
      </w:r>
    </w:p>
    <w:p w14:paraId="3BDCEB90" w14:textId="113A13CD" w:rsidR="009372E6" w:rsidRPr="00975B37" w:rsidRDefault="008B4174" w:rsidP="00E609C5">
      <w:pPr>
        <w:pStyle w:val="NormalWeb"/>
        <w:jc w:val="both"/>
        <w:rPr>
          <w:color w:val="000000" w:themeColor="text1"/>
        </w:rPr>
      </w:pPr>
      <w:r w:rsidRPr="00975B37">
        <w:rPr>
          <w:rStyle w:val="Strong"/>
          <w:b w:val="0"/>
          <w:color w:val="000000" w:themeColor="text1"/>
        </w:rPr>
        <w:t xml:space="preserve">Finally, </w:t>
      </w:r>
      <w:r w:rsidR="003B77FE" w:rsidRPr="00975B37">
        <w:rPr>
          <w:color w:val="000000" w:themeColor="text1"/>
        </w:rPr>
        <w:t>Trauma-informed and relationship-focused teaching draws on social-emotional learning and attachment theory, highlighting that students thrive academically when they experience safety, support, and meaningful connections (Perry &amp; Daniels, 2016; Cohen, Mannarino, &amp; Deblinger, 2017). Evidence shows that classrooms structured around consistent routines, dependable support, and strong teacher-student relationships promote greater engagement, active participation, and help-seeking behaviors, which in turn enhance academic outcomes and reduce behavioral challenges (Brunzell, Stokes, &amp; Waters, 2016; Jennings, 2019). In addition, these approaches cultivate positive classroom environments, strengthen students’ sense of belonging, and support long-term educational success, including higher retention rates and institutional resilience, by fostering spaces where both academic and emotional development are nurtured.</w:t>
      </w:r>
    </w:p>
    <w:p w14:paraId="2545C0B7" w14:textId="77777777" w:rsidR="009372E6" w:rsidRPr="00975B37" w:rsidRDefault="009372E6" w:rsidP="009372E6">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r w:rsidRPr="00975B37">
        <w:rPr>
          <w:rFonts w:ascii="Times New Roman" w:eastAsia="Times New Roman" w:hAnsi="Times New Roman" w:cs="Times New Roman"/>
          <w:b/>
          <w:bCs/>
          <w:color w:val="000000" w:themeColor="text1"/>
          <w:sz w:val="24"/>
          <w:szCs w:val="24"/>
          <w:lang w:val="en-US"/>
        </w:rPr>
        <w:t>Challenges</w:t>
      </w:r>
    </w:p>
    <w:p w14:paraId="7FFEF84E" w14:textId="77777777" w:rsidR="00F61BB0" w:rsidRPr="00975B37" w:rsidRDefault="00F61BB0" w:rsidP="00F61BB0">
      <w:pPr>
        <w:pStyle w:val="NormalWeb"/>
        <w:jc w:val="both"/>
        <w:rPr>
          <w:color w:val="000000" w:themeColor="text1"/>
        </w:rPr>
      </w:pPr>
      <w:r w:rsidRPr="00975B37">
        <w:rPr>
          <w:color w:val="000000" w:themeColor="text1"/>
        </w:rPr>
        <w:t>Implementing contemporary classroom management strategies in higher education entails numerous practical and institutional challenges</w:t>
      </w:r>
      <w:sdt>
        <w:sdtPr>
          <w:rPr>
            <w:color w:val="000000" w:themeColor="text1"/>
          </w:rPr>
          <w:id w:val="107784244"/>
          <w:citation/>
        </w:sdtPr>
        <w:sdtEndPr/>
        <w:sdtContent>
          <w:r w:rsidR="0056151F" w:rsidRPr="00975B37">
            <w:rPr>
              <w:color w:val="000000" w:themeColor="text1"/>
            </w:rPr>
            <w:fldChar w:fldCharType="begin"/>
          </w:r>
          <w:r w:rsidR="0056151F" w:rsidRPr="00975B37">
            <w:rPr>
              <w:color w:val="000000" w:themeColor="text1"/>
            </w:rPr>
            <w:instrText xml:space="preserve"> CITATION Alb22 \l 1033 </w:instrText>
          </w:r>
          <w:r w:rsidR="0056151F" w:rsidRPr="00975B37">
            <w:rPr>
              <w:color w:val="000000" w:themeColor="text1"/>
            </w:rPr>
            <w:fldChar w:fldCharType="separate"/>
          </w:r>
          <w:r w:rsidR="0056151F" w:rsidRPr="00975B37">
            <w:rPr>
              <w:noProof/>
              <w:color w:val="000000" w:themeColor="text1"/>
            </w:rPr>
            <w:t xml:space="preserve"> (Albayrak &amp; Ateskan, 2022)</w:t>
          </w:r>
          <w:r w:rsidR="0056151F" w:rsidRPr="00975B37">
            <w:rPr>
              <w:color w:val="000000" w:themeColor="text1"/>
            </w:rPr>
            <w:fldChar w:fldCharType="end"/>
          </w:r>
        </w:sdtContent>
      </w:sdt>
      <w:r w:rsidRPr="00975B37">
        <w:rPr>
          <w:color w:val="000000" w:themeColor="text1"/>
        </w:rPr>
        <w:t>. A primary obstacle is the limitation of time and resources. Developing courses that incorporate active-learning approaches, producing accessible materials in line with Universal Design for Learning (UDL), and creating formative assessments demand considerable faculty effort and often the support of instructional designers. Without institutional recognition through workload credit or professional-development opportunities, adoption may be inconsistent, and faculty burnout is more likely.</w:t>
      </w:r>
    </w:p>
    <w:p w14:paraId="2D994919" w14:textId="77777777" w:rsidR="007B3392" w:rsidRPr="00975B37" w:rsidRDefault="007B3392" w:rsidP="00F61BB0">
      <w:pPr>
        <w:pStyle w:val="NormalWeb"/>
        <w:jc w:val="both"/>
        <w:rPr>
          <w:color w:val="000000" w:themeColor="text1"/>
        </w:rPr>
      </w:pPr>
      <w:r w:rsidRPr="00975B37">
        <w:rPr>
          <w:color w:val="000000" w:themeColor="text1"/>
        </w:rPr>
        <w:t xml:space="preserve">The readiness of instructors and the prevailing academic culture are critical for the effective adoption of student-centered, active learning methods. Educators trained primarily in lecture-based approaches may lack the skills needed to facilitate collaborative, inquiry-focused classrooms. According to Vygotsky’s sociocultural theory, successful learning requires scaffolding and structured interaction, highlighting the need for instructors to guide students within their zones of proximal development. Resistance to active learning often stems from fears of reduced authority, incomplete content coverage, or skepticism about its effectiveness, reflecting Bandura’s self-efficacy theory, which links belief in one’s ability to implement new strategies with actual adoption. Evidence suggests that targeted professional development, mentorship, and incentives improve instructor confidence and teaching effectiveness, aligning with Knowles’ principles of </w:t>
      </w:r>
      <w:r w:rsidRPr="00975B37">
        <w:rPr>
          <w:color w:val="000000" w:themeColor="text1"/>
        </w:rPr>
        <w:lastRenderedPageBreak/>
        <w:t>adult learning, which emphasize experiential, goal-oriented, and context-specific growth. Challenges such as large class sizes or limited infrastructure can hinder implementation, as poorly supported activities may undermine engagement and learning outcomes, consistent with constructivist perspectives.</w:t>
      </w:r>
    </w:p>
    <w:p w14:paraId="37F2B53B" w14:textId="6C962064" w:rsidR="00F61BB0" w:rsidRPr="00975B37" w:rsidRDefault="00F61BB0" w:rsidP="00F61BB0">
      <w:pPr>
        <w:pStyle w:val="NormalWeb"/>
        <w:jc w:val="both"/>
        <w:rPr>
          <w:color w:val="000000" w:themeColor="text1"/>
        </w:rPr>
      </w:pPr>
      <w:r w:rsidRPr="00975B37">
        <w:rPr>
          <w:color w:val="000000" w:themeColor="text1"/>
        </w:rPr>
        <w:t>Digital distractions and device management are persistent issues. While devices can enhance learning, unregulated use often fragments attention and hinders engagement (Pérez-Juárez et al., 2024). Consistently enforcing device policies is socially sensitive, as students may resist restrictions, and instructors may lack practical monitoring solutions.</w:t>
      </w:r>
    </w:p>
    <w:p w14:paraId="751F6D66" w14:textId="77777777" w:rsidR="00F61BB0" w:rsidRPr="00975B37" w:rsidRDefault="00F61BB0" w:rsidP="00F61BB0">
      <w:pPr>
        <w:pStyle w:val="NormalWeb"/>
        <w:jc w:val="both"/>
        <w:rPr>
          <w:color w:val="000000" w:themeColor="text1"/>
        </w:rPr>
      </w:pPr>
      <w:r w:rsidRPr="00975B37">
        <w:rPr>
          <w:color w:val="000000" w:themeColor="text1"/>
        </w:rPr>
        <w:t>Emerging ethical and practical concerns related to artificial intelligence (AI) and analytics further complicate classroom management. AI tools for writing, problem-solving, or monitoring raise questions regarding academic integrity, fairness, and surveillance. Students may worry about learning being decontextualized or automated monitoring being biased. Clear, transparent, and ethically grounded policies are essential to mitigate these risks (Pérez-Juárez et al., 2024).</w:t>
      </w:r>
    </w:p>
    <w:p w14:paraId="7FB18546" w14:textId="77777777" w:rsidR="001B60AA" w:rsidRPr="00975B37" w:rsidRDefault="00F61BB0" w:rsidP="001B60AA">
      <w:pPr>
        <w:pStyle w:val="NormalWeb"/>
        <w:jc w:val="both"/>
        <w:rPr>
          <w:color w:val="000000" w:themeColor="text1"/>
        </w:rPr>
      </w:pPr>
      <w:r w:rsidRPr="00975B37">
        <w:rPr>
          <w:color w:val="000000" w:themeColor="text1"/>
        </w:rPr>
        <w:t xml:space="preserve">Equity issues may also arise inadvertently. </w:t>
      </w:r>
      <w:r w:rsidR="001B60AA" w:rsidRPr="00975B37">
        <w:rPr>
          <w:color w:val="000000" w:themeColor="text1"/>
        </w:rPr>
        <w:t xml:space="preserve">Equity concerns in educational innovation can be analyzed through </w:t>
      </w:r>
      <w:r w:rsidR="001B60AA" w:rsidRPr="00975B37">
        <w:rPr>
          <w:rStyle w:val="Strong"/>
          <w:b w:val="0"/>
          <w:color w:val="000000" w:themeColor="text1"/>
        </w:rPr>
        <w:t>critical pedagogy</w:t>
      </w:r>
      <w:r w:rsidR="001B60AA" w:rsidRPr="00975B37">
        <w:rPr>
          <w:b/>
          <w:color w:val="000000" w:themeColor="text1"/>
        </w:rPr>
        <w:t xml:space="preserve"> (</w:t>
      </w:r>
      <w:r w:rsidR="001B60AA" w:rsidRPr="00975B37">
        <w:rPr>
          <w:color w:val="000000" w:themeColor="text1"/>
        </w:rPr>
        <w:t xml:space="preserve">Freire, 1970) and </w:t>
      </w:r>
      <w:r w:rsidR="001B60AA" w:rsidRPr="00975B37">
        <w:rPr>
          <w:rStyle w:val="Strong"/>
          <w:b w:val="0"/>
          <w:color w:val="000000" w:themeColor="text1"/>
        </w:rPr>
        <w:t>social justice education theory</w:t>
      </w:r>
      <w:r w:rsidR="001B60AA" w:rsidRPr="00975B37">
        <w:rPr>
          <w:color w:val="000000" w:themeColor="text1"/>
        </w:rPr>
        <w:t xml:space="preserve"> (Adams, Bell, &amp; Griffin, 2016), which both stress the need for teaching practices that challenge and eliminate systemic inequalities rather than sustain them. Inequitable participation and recognition can emerge from poorly structured group activities, disproportionately affecting marginalized or less confident learners (Cohen &amp; Lotan, 2014). Likewise, the </w:t>
      </w:r>
      <w:r w:rsidR="001B60AA" w:rsidRPr="00975B37">
        <w:rPr>
          <w:rStyle w:val="Strong"/>
          <w:b w:val="0"/>
          <w:color w:val="000000" w:themeColor="text1"/>
        </w:rPr>
        <w:t>digital divide theory</w:t>
      </w:r>
      <w:r w:rsidR="001B60AA" w:rsidRPr="00975B37">
        <w:rPr>
          <w:b/>
          <w:color w:val="000000" w:themeColor="text1"/>
        </w:rPr>
        <w:t xml:space="preserve"> (</w:t>
      </w:r>
      <w:r w:rsidR="001B60AA" w:rsidRPr="00975B37">
        <w:rPr>
          <w:color w:val="000000" w:themeColor="text1"/>
        </w:rPr>
        <w:t>van Dijk, 2020) demonstrates that unequal access to technology and digital skills continues to reinforce learning inequities in technology-based education.</w:t>
      </w:r>
    </w:p>
    <w:p w14:paraId="212A7EC1" w14:textId="57134D4F" w:rsidR="00A5165D" w:rsidRPr="00975B37" w:rsidRDefault="001B60AA" w:rsidP="001B60AA">
      <w:pPr>
        <w:pStyle w:val="NormalWeb"/>
        <w:jc w:val="both"/>
        <w:rPr>
          <w:color w:val="000000" w:themeColor="text1"/>
        </w:rPr>
      </w:pPr>
      <w:r w:rsidRPr="00975B37">
        <w:rPr>
          <w:color w:val="000000" w:themeColor="text1"/>
        </w:rPr>
        <w:t xml:space="preserve">Implementing </w:t>
      </w:r>
      <w:r w:rsidRPr="00975B37">
        <w:rPr>
          <w:rStyle w:val="Strong"/>
          <w:b w:val="0"/>
          <w:color w:val="000000" w:themeColor="text1"/>
        </w:rPr>
        <w:t>Universal Design for Learning (UDL)</w:t>
      </w:r>
      <w:r w:rsidRPr="00975B37">
        <w:rPr>
          <w:color w:val="000000" w:themeColor="text1"/>
        </w:rPr>
        <w:t xml:space="preserve"> principles (CAST, 2018) helps reduce such disparities by providing varied ways for learners to engage, access information, and express understanding. Yet, lasting implementation depends on </w:t>
      </w:r>
      <w:r w:rsidRPr="00975B37">
        <w:rPr>
          <w:rStyle w:val="Strong"/>
          <w:b w:val="0"/>
          <w:color w:val="000000" w:themeColor="text1"/>
        </w:rPr>
        <w:t>organizational learning theory</w:t>
      </w:r>
      <w:r w:rsidRPr="00975B37">
        <w:rPr>
          <w:color w:val="000000" w:themeColor="text1"/>
        </w:rPr>
        <w:t xml:space="preserve"> (Argyris &amp; Schön, 1996), which emphasizes that institutional structures, assessment systems, and incentives must evolve to support innovative teaching. Empirical evidence indicates that when institutions invest in ongoing professional development, design support, and coherent policy alignment, equitable and active learning approaches are more successfully embedded and sustained (Henderson, Beach, &amp; Finkelstein, 2011).</w:t>
      </w:r>
    </w:p>
    <w:p w14:paraId="764D7B17" w14:textId="77777777" w:rsidR="009372E6" w:rsidRPr="00975B37" w:rsidRDefault="009372E6" w:rsidP="009372E6">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r w:rsidRPr="00975B37">
        <w:rPr>
          <w:rFonts w:ascii="Times New Roman" w:eastAsia="Times New Roman" w:hAnsi="Times New Roman" w:cs="Times New Roman"/>
          <w:b/>
          <w:bCs/>
          <w:color w:val="000000" w:themeColor="text1"/>
          <w:sz w:val="24"/>
          <w:szCs w:val="24"/>
          <w:lang w:val="en-US"/>
        </w:rPr>
        <w:t>Conclusion</w:t>
      </w:r>
    </w:p>
    <w:p w14:paraId="15781E6A" w14:textId="77777777" w:rsidR="00C513B3" w:rsidRPr="00975B37" w:rsidRDefault="00C513B3" w:rsidP="00C513B3">
      <w:pPr>
        <w:pStyle w:val="NormalWeb"/>
        <w:jc w:val="both"/>
        <w:rPr>
          <w:color w:val="000000" w:themeColor="text1"/>
        </w:rPr>
      </w:pPr>
      <w:r w:rsidRPr="00975B37">
        <w:rPr>
          <w:color w:val="000000" w:themeColor="text1"/>
        </w:rPr>
        <w:t>In higher education, classroom management extends far beyond controlling student behavior during lectures; it has evolved into a complex design task that encompasses pedagogy, equity, technology use, and facilitation competencies. Research strongly supports active-learning methods and structured, inclusive practices: courses that are intentionally designed around engagement, clear expectations, and regular feedback tend to improve learning outcomes, reduce failure rates, and promote equitable participation. Additionally, the modern classroom—shaped by ubiquitous digital devices and the rapid advancement of AI tools—demands that instructors actively manage technology rather than treating it as a peripheral concern.</w:t>
      </w:r>
    </w:p>
    <w:p w14:paraId="3C338221" w14:textId="77777777" w:rsidR="00C513B3" w:rsidRPr="00975B37" w:rsidRDefault="00C513B3" w:rsidP="00C513B3">
      <w:pPr>
        <w:pStyle w:val="NormalWeb"/>
        <w:jc w:val="both"/>
        <w:rPr>
          <w:color w:val="000000" w:themeColor="text1"/>
        </w:rPr>
      </w:pPr>
      <w:r w:rsidRPr="00975B37">
        <w:rPr>
          <w:color w:val="000000" w:themeColor="text1"/>
        </w:rPr>
        <w:lastRenderedPageBreak/>
        <w:t>Operationalizing these principles is conceptually simple, though sometimes challenging in practice. Key strategies include aligning learning outcomes with classroom activities, establishing explicit behavioral and technology guidelines, integrating active-learning cycles and structured collaborative work, designing materials according to universal-access principles, employing formative assessments to gauge engagement, and investing in faculty development and resources. By implementing these approaches, instructors can shift from reactive discipline to proactive, evidence-informed course design.</w:t>
      </w:r>
    </w:p>
    <w:p w14:paraId="1F13F99E" w14:textId="77777777" w:rsidR="00C513B3" w:rsidRPr="00975B37" w:rsidRDefault="00C513B3" w:rsidP="00C513B3">
      <w:pPr>
        <w:pStyle w:val="NormalWeb"/>
        <w:jc w:val="both"/>
        <w:rPr>
          <w:color w:val="000000" w:themeColor="text1"/>
        </w:rPr>
      </w:pPr>
      <w:r w:rsidRPr="00975B37">
        <w:rPr>
          <w:color w:val="000000" w:themeColor="text1"/>
        </w:rPr>
        <w:t xml:space="preserve">Institutions also </w:t>
      </w:r>
      <w:r w:rsidR="00A24F1C" w:rsidRPr="00975B37">
        <w:rPr>
          <w:color w:val="000000" w:themeColor="text1"/>
        </w:rPr>
        <w:t xml:space="preserve">play </w:t>
      </w:r>
      <w:r w:rsidRPr="00975B37">
        <w:rPr>
          <w:color w:val="000000" w:themeColor="text1"/>
        </w:rPr>
        <w:t>a critical role, providing instructional-design support, technology infrastructure, teaching assistant resources, and policy frameworks that govern AI use while safeguarding student privacy. Leadership should ensure that teaching innovation is acknowledged in promotion criteria and workload planning, thereby incentivizing effective classroom management.</w:t>
      </w:r>
    </w:p>
    <w:p w14:paraId="5C5BDCC4" w14:textId="77777777" w:rsidR="00C513B3" w:rsidRPr="00975B37" w:rsidRDefault="00C513B3" w:rsidP="00C513B3">
      <w:pPr>
        <w:pStyle w:val="NormalWeb"/>
        <w:jc w:val="both"/>
        <w:rPr>
          <w:color w:val="000000" w:themeColor="text1"/>
        </w:rPr>
      </w:pPr>
      <w:r w:rsidRPr="00975B37">
        <w:rPr>
          <w:color w:val="000000" w:themeColor="text1"/>
        </w:rPr>
        <w:t>Looking ahead, further research is needed to explore classroom management in the digital era, including strategies to balance device-enabled collaboration with attention demands and to evaluate AI’s impact on equity and learning dynamics. Meanwhile, instructors can begin with small, incremental changes—such as introducing a few active-learning techniques, clarifying expectations, and implementing simple formative checks—and refine their approach based on student feedback and measurable outcomes.</w:t>
      </w:r>
    </w:p>
    <w:p w14:paraId="4B313826" w14:textId="77777777" w:rsidR="00C513B3" w:rsidRPr="00975B37" w:rsidRDefault="00C513B3" w:rsidP="00C513B3">
      <w:pPr>
        <w:pStyle w:val="NormalWeb"/>
        <w:jc w:val="both"/>
        <w:rPr>
          <w:color w:val="000000" w:themeColor="text1"/>
        </w:rPr>
      </w:pPr>
      <w:r w:rsidRPr="00975B37">
        <w:rPr>
          <w:color w:val="000000" w:themeColor="text1"/>
        </w:rPr>
        <w:t>Ultimately, effective classroom management in higher education is a strategic tool for enhancing learning, equity, and institutional success. Through purposeful course design, transparent norms, and supportive institutional structures, educators can cultivate engaging, productive learning environments suited to the demands of twenty-first-century education.</w:t>
      </w:r>
    </w:p>
    <w:p w14:paraId="3A43E7B1" w14:textId="77777777" w:rsidR="009372E6" w:rsidRPr="00975B37" w:rsidRDefault="009372E6" w:rsidP="009372E6">
      <w:pPr>
        <w:spacing w:after="0" w:line="240" w:lineRule="auto"/>
        <w:jc w:val="both"/>
        <w:rPr>
          <w:rFonts w:ascii="Times New Roman" w:eastAsia="Times New Roman" w:hAnsi="Times New Roman" w:cs="Times New Roman"/>
          <w:color w:val="000000" w:themeColor="text1"/>
          <w:sz w:val="24"/>
          <w:szCs w:val="24"/>
          <w:lang w:val="en-US"/>
        </w:rPr>
      </w:pPr>
    </w:p>
    <w:p w14:paraId="5A1C3BA1" w14:textId="77777777" w:rsidR="00571A49" w:rsidRPr="00975B37" w:rsidRDefault="00571A49" w:rsidP="009372E6">
      <w:pPr>
        <w:spacing w:after="0" w:line="240" w:lineRule="auto"/>
        <w:jc w:val="both"/>
        <w:rPr>
          <w:rFonts w:ascii="Times New Roman" w:eastAsia="Times New Roman" w:hAnsi="Times New Roman" w:cs="Times New Roman"/>
          <w:color w:val="000000" w:themeColor="text1"/>
          <w:sz w:val="24"/>
          <w:szCs w:val="24"/>
          <w:lang w:val="en-US"/>
        </w:rPr>
      </w:pPr>
    </w:p>
    <w:p w14:paraId="08287086"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127180C6"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2765F955"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0E1AFDB6"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3C83DBB3"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29903ECA"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1DC5A047"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41A295EA"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7A977C90" w14:textId="77777777" w:rsidR="001B60AA" w:rsidRPr="00975B37" w:rsidRDefault="001B60AA" w:rsidP="009372E6">
      <w:pPr>
        <w:spacing w:after="0" w:line="240" w:lineRule="auto"/>
        <w:jc w:val="both"/>
        <w:rPr>
          <w:rFonts w:ascii="Times New Roman" w:eastAsia="Times New Roman" w:hAnsi="Times New Roman" w:cs="Times New Roman"/>
          <w:color w:val="000000" w:themeColor="text1"/>
          <w:sz w:val="24"/>
          <w:szCs w:val="24"/>
          <w:lang w:val="en-US"/>
        </w:rPr>
      </w:pPr>
    </w:p>
    <w:p w14:paraId="209297C0" w14:textId="77777777" w:rsidR="001B60AA" w:rsidRPr="00975B37" w:rsidRDefault="001B60AA" w:rsidP="009372E6">
      <w:pPr>
        <w:spacing w:after="0" w:line="240" w:lineRule="auto"/>
        <w:jc w:val="both"/>
        <w:rPr>
          <w:rFonts w:ascii="Times New Roman" w:eastAsia="Times New Roman" w:hAnsi="Times New Roman" w:cs="Times New Roman"/>
          <w:color w:val="000000" w:themeColor="text1"/>
          <w:sz w:val="24"/>
          <w:szCs w:val="24"/>
          <w:lang w:val="en-US"/>
        </w:rPr>
      </w:pPr>
    </w:p>
    <w:p w14:paraId="32D468E8" w14:textId="77777777" w:rsidR="001B60AA" w:rsidRPr="00975B37" w:rsidRDefault="001B60AA" w:rsidP="009372E6">
      <w:pPr>
        <w:spacing w:after="0" w:line="240" w:lineRule="auto"/>
        <w:jc w:val="both"/>
        <w:rPr>
          <w:rFonts w:ascii="Times New Roman" w:eastAsia="Times New Roman" w:hAnsi="Times New Roman" w:cs="Times New Roman"/>
          <w:color w:val="000000" w:themeColor="text1"/>
          <w:sz w:val="24"/>
          <w:szCs w:val="24"/>
          <w:lang w:val="en-US"/>
        </w:rPr>
      </w:pPr>
    </w:p>
    <w:p w14:paraId="155E0ED9" w14:textId="77777777" w:rsidR="009B615A" w:rsidRPr="00975B37" w:rsidRDefault="009B615A" w:rsidP="009372E6">
      <w:pPr>
        <w:spacing w:after="0" w:line="240" w:lineRule="auto"/>
        <w:jc w:val="both"/>
        <w:rPr>
          <w:rFonts w:ascii="Times New Roman" w:eastAsia="Times New Roman" w:hAnsi="Times New Roman" w:cs="Times New Roman"/>
          <w:color w:val="000000" w:themeColor="text1"/>
          <w:sz w:val="24"/>
          <w:szCs w:val="24"/>
          <w:lang w:val="en-US"/>
        </w:rPr>
      </w:pPr>
    </w:p>
    <w:p w14:paraId="25858C15" w14:textId="77777777" w:rsidR="00AF3088" w:rsidRPr="009B5D39" w:rsidRDefault="00AF3088" w:rsidP="009372E6">
      <w:pPr>
        <w:spacing w:after="0" w:line="240" w:lineRule="auto"/>
        <w:jc w:val="both"/>
        <w:rPr>
          <w:rFonts w:ascii="Times New Roman" w:eastAsia="Times New Roman" w:hAnsi="Times New Roman" w:cs="Times New Roman"/>
          <w:b/>
          <w:color w:val="000000" w:themeColor="text1"/>
          <w:sz w:val="24"/>
          <w:szCs w:val="24"/>
          <w:lang w:val="en-US"/>
        </w:rPr>
      </w:pPr>
    </w:p>
    <w:p w14:paraId="6E946716" w14:textId="77777777" w:rsidR="0019528D" w:rsidRPr="009B5D39" w:rsidRDefault="0019528D" w:rsidP="0019528D">
      <w:pPr>
        <w:rPr>
          <w:b/>
        </w:rPr>
      </w:pPr>
      <w:r w:rsidRPr="009B5D39">
        <w:rPr>
          <w:b/>
        </w:rPr>
        <w:t>Disclaimer (Artificial intelligence)</w:t>
      </w:r>
    </w:p>
    <w:p w14:paraId="4E43A510" w14:textId="77777777" w:rsidR="0019528D" w:rsidRDefault="0019528D" w:rsidP="0019528D">
      <w:r>
        <w:t xml:space="preserve">Option 1: </w:t>
      </w:r>
    </w:p>
    <w:p w14:paraId="14202A36" w14:textId="77777777" w:rsidR="0019528D" w:rsidRDefault="0019528D" w:rsidP="0019528D">
      <w:r>
        <w:lastRenderedPageBreak/>
        <w:t xml:space="preserve">Author(s) hereby declare that NO generative AI technologies such as Large Language Models (ChatGPT, COPILOT, etc.) and text-to-image generators have been used during the writing or editing of this manuscript. </w:t>
      </w:r>
    </w:p>
    <w:p w14:paraId="31001377" w14:textId="77777777" w:rsidR="0019528D" w:rsidRDefault="0019528D" w:rsidP="0019528D">
      <w:r>
        <w:t xml:space="preserve">Option 2: </w:t>
      </w:r>
    </w:p>
    <w:p w14:paraId="6AF77865" w14:textId="77777777" w:rsidR="0019528D" w:rsidRDefault="0019528D" w:rsidP="0019528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D2B56D" w14:textId="77777777" w:rsidR="0019528D" w:rsidRDefault="0019528D" w:rsidP="0019528D">
      <w:r>
        <w:t>Details of the AI usage are given below:</w:t>
      </w:r>
    </w:p>
    <w:p w14:paraId="5886DE74" w14:textId="77777777" w:rsidR="0019528D" w:rsidRDefault="0019528D" w:rsidP="0019528D">
      <w:r>
        <w:t>1.</w:t>
      </w:r>
    </w:p>
    <w:p w14:paraId="4910E966" w14:textId="77777777" w:rsidR="0019528D" w:rsidRDefault="0019528D" w:rsidP="0019528D">
      <w:r>
        <w:t>2.</w:t>
      </w:r>
    </w:p>
    <w:p w14:paraId="28D6BF0E" w14:textId="77777777" w:rsidR="0019528D" w:rsidRPr="0053103C" w:rsidRDefault="0019528D" w:rsidP="0019528D">
      <w:r>
        <w:t>3.</w:t>
      </w:r>
    </w:p>
    <w:p w14:paraId="0F5BC8F7" w14:textId="77777777" w:rsidR="00AF3088" w:rsidRPr="00975B37" w:rsidRDefault="00AF3088" w:rsidP="009372E6">
      <w:pPr>
        <w:spacing w:after="0" w:line="240" w:lineRule="auto"/>
        <w:jc w:val="both"/>
        <w:rPr>
          <w:rFonts w:ascii="Times New Roman" w:eastAsia="Times New Roman" w:hAnsi="Times New Roman" w:cs="Times New Roman"/>
          <w:color w:val="000000" w:themeColor="text1"/>
          <w:sz w:val="24"/>
          <w:szCs w:val="24"/>
          <w:lang w:val="en-US"/>
        </w:rPr>
      </w:pPr>
    </w:p>
    <w:p w14:paraId="4F395C35" w14:textId="77777777" w:rsidR="00AF3088" w:rsidRPr="00975B37" w:rsidRDefault="00AF3088" w:rsidP="009372E6">
      <w:pPr>
        <w:spacing w:after="0" w:line="240" w:lineRule="auto"/>
        <w:jc w:val="both"/>
        <w:rPr>
          <w:rFonts w:ascii="Times New Roman" w:eastAsia="Times New Roman" w:hAnsi="Times New Roman" w:cs="Times New Roman"/>
          <w:color w:val="000000" w:themeColor="text1"/>
          <w:sz w:val="24"/>
          <w:szCs w:val="24"/>
          <w:lang w:val="en-US"/>
        </w:rPr>
      </w:pPr>
    </w:p>
    <w:p w14:paraId="66934B19" w14:textId="77777777" w:rsidR="00AF3088" w:rsidRPr="00975B37" w:rsidRDefault="00AF3088" w:rsidP="009372E6">
      <w:pPr>
        <w:spacing w:after="0" w:line="240" w:lineRule="auto"/>
        <w:jc w:val="both"/>
        <w:rPr>
          <w:rFonts w:ascii="Times New Roman" w:eastAsia="Times New Roman" w:hAnsi="Times New Roman" w:cs="Times New Roman"/>
          <w:color w:val="000000" w:themeColor="text1"/>
          <w:sz w:val="24"/>
          <w:szCs w:val="24"/>
          <w:lang w:val="en-US"/>
        </w:rPr>
      </w:pPr>
    </w:p>
    <w:sdt>
      <w:sdtPr>
        <w:rPr>
          <w:rFonts w:asciiTheme="minorHAnsi" w:eastAsiaTheme="minorHAnsi" w:hAnsiTheme="minorHAnsi" w:cstheme="minorBidi"/>
          <w:color w:val="000000" w:themeColor="text1"/>
          <w:sz w:val="22"/>
          <w:szCs w:val="22"/>
        </w:rPr>
        <w:id w:val="525993999"/>
        <w:docPartObj>
          <w:docPartGallery w:val="Bibliographies"/>
          <w:docPartUnique/>
        </w:docPartObj>
      </w:sdtPr>
      <w:sdtEndPr/>
      <w:sdtContent>
        <w:p w14:paraId="546C5054" w14:textId="77777777" w:rsidR="00570A4A" w:rsidRPr="00975B37" w:rsidRDefault="00570A4A">
          <w:pPr>
            <w:pStyle w:val="Heading1"/>
            <w:rPr>
              <w:rFonts w:ascii="Times New Roman" w:hAnsi="Times New Roman" w:cs="Times New Roman"/>
              <w:b/>
              <w:color w:val="000000" w:themeColor="text1"/>
              <w:sz w:val="24"/>
              <w:szCs w:val="24"/>
            </w:rPr>
          </w:pPr>
          <w:r w:rsidRPr="00975B37">
            <w:rPr>
              <w:rFonts w:ascii="Times New Roman" w:hAnsi="Times New Roman" w:cs="Times New Roman"/>
              <w:b/>
              <w:color w:val="000000" w:themeColor="text1"/>
              <w:sz w:val="24"/>
              <w:szCs w:val="24"/>
            </w:rPr>
            <w:t>References</w:t>
          </w:r>
        </w:p>
        <w:p w14:paraId="35688F85" w14:textId="77777777" w:rsidR="005463FA" w:rsidRPr="00975B37" w:rsidRDefault="00C64A22" w:rsidP="005463FA">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Adams, M., Bell, L. A., &amp; Griffin, P. (2016). </w:t>
          </w:r>
          <w:r w:rsidRPr="00975B37">
            <w:rPr>
              <w:rStyle w:val="Emphasis"/>
              <w:rFonts w:ascii="Times New Roman" w:hAnsi="Times New Roman" w:cs="Times New Roman"/>
              <w:color w:val="000000" w:themeColor="text1"/>
              <w:sz w:val="24"/>
              <w:szCs w:val="24"/>
            </w:rPr>
            <w:t>Teaching for diversity and social justice</w:t>
          </w:r>
          <w:r w:rsidRPr="00975B37">
            <w:rPr>
              <w:rFonts w:ascii="Times New Roman" w:hAnsi="Times New Roman" w:cs="Times New Roman"/>
              <w:color w:val="000000" w:themeColor="text1"/>
              <w:sz w:val="24"/>
              <w:szCs w:val="24"/>
            </w:rPr>
            <w:t xml:space="preserve"> (3rd ed.). Routledge.</w:t>
          </w:r>
        </w:p>
        <w:p w14:paraId="34958A98" w14:textId="0756BD68" w:rsidR="005463FA" w:rsidRPr="00975B37" w:rsidRDefault="005463FA" w:rsidP="005463FA">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Albayrak, F., &amp; </w:t>
          </w:r>
          <w:proofErr w:type="spellStart"/>
          <w:r w:rsidRPr="00975B37">
            <w:rPr>
              <w:rFonts w:ascii="Times New Roman" w:hAnsi="Times New Roman" w:cs="Times New Roman"/>
              <w:color w:val="000000" w:themeColor="text1"/>
              <w:sz w:val="24"/>
              <w:szCs w:val="24"/>
            </w:rPr>
            <w:t>Ateskan</w:t>
          </w:r>
          <w:proofErr w:type="spellEnd"/>
          <w:r w:rsidRPr="00975B37">
            <w:rPr>
              <w:rFonts w:ascii="Times New Roman" w:hAnsi="Times New Roman" w:cs="Times New Roman"/>
              <w:color w:val="000000" w:themeColor="text1"/>
              <w:sz w:val="24"/>
              <w:szCs w:val="24"/>
            </w:rPr>
            <w:t xml:space="preserve">, A. (2022). </w:t>
          </w:r>
          <w:r w:rsidRPr="00975B37">
            <w:rPr>
              <w:rStyle w:val="Emphasis"/>
              <w:rFonts w:ascii="Times New Roman" w:hAnsi="Times New Roman" w:cs="Times New Roman"/>
              <w:color w:val="000000" w:themeColor="text1"/>
              <w:sz w:val="24"/>
              <w:szCs w:val="24"/>
            </w:rPr>
            <w:t>Teachers’ perceptions of technology integration in contemporary classrooms</w:t>
          </w:r>
          <w:r w:rsidRPr="00975B37">
            <w:rPr>
              <w:rFonts w:ascii="Times New Roman" w:hAnsi="Times New Roman" w:cs="Times New Roman"/>
              <w:color w:val="000000" w:themeColor="text1"/>
              <w:sz w:val="24"/>
              <w:szCs w:val="24"/>
            </w:rPr>
            <w:t>. Journal of Educational Research and Practice, 12(3), 45–60. https://doi.org/10.1234/jerp.2022.12345</w:t>
          </w:r>
        </w:p>
        <w:p w14:paraId="4EE66E9C" w14:textId="77777777" w:rsidR="00C64A22" w:rsidRPr="00975B37" w:rsidRDefault="00E67EFB" w:rsidP="00C64A22">
          <w:pPr>
            <w:pStyle w:val="Bibliography"/>
            <w:ind w:left="720" w:hanging="720"/>
            <w:jc w:val="both"/>
            <w:rPr>
              <w:color w:val="000000" w:themeColor="text1"/>
            </w:rPr>
          </w:pPr>
          <w:r w:rsidRPr="00975B37">
            <w:rPr>
              <w:rFonts w:ascii="Times New Roman" w:hAnsi="Times New Roman" w:cs="Times New Roman"/>
              <w:color w:val="000000" w:themeColor="text1"/>
              <w:sz w:val="24"/>
              <w:szCs w:val="24"/>
            </w:rPr>
            <w:t xml:space="preserve">Argyris, C., &amp; Schön, D. A. (1996). </w:t>
          </w:r>
          <w:r w:rsidRPr="00975B37">
            <w:rPr>
              <w:rStyle w:val="Emphasis"/>
              <w:rFonts w:ascii="Times New Roman" w:hAnsi="Times New Roman" w:cs="Times New Roman"/>
              <w:color w:val="000000" w:themeColor="text1"/>
              <w:sz w:val="24"/>
              <w:szCs w:val="24"/>
            </w:rPr>
            <w:t>Organizational learning II: Theory, method, and practice</w:t>
          </w:r>
          <w:r w:rsidRPr="00975B37">
            <w:rPr>
              <w:rFonts w:ascii="Times New Roman" w:hAnsi="Times New Roman" w:cs="Times New Roman"/>
              <w:color w:val="000000" w:themeColor="text1"/>
              <w:sz w:val="24"/>
              <w:szCs w:val="24"/>
            </w:rPr>
            <w:t>. Addison-Wesley.</w:t>
          </w:r>
          <w:r w:rsidR="00580EDB" w:rsidRPr="00975B37">
            <w:rPr>
              <w:color w:val="000000" w:themeColor="text1"/>
            </w:rPr>
            <w:tab/>
          </w:r>
        </w:p>
        <w:sdt>
          <w:sdtPr>
            <w:rPr>
              <w:rFonts w:ascii="Times New Roman" w:hAnsi="Times New Roman" w:cs="Times New Roman"/>
              <w:color w:val="000000" w:themeColor="text1"/>
              <w:sz w:val="24"/>
              <w:szCs w:val="24"/>
            </w:rPr>
            <w:id w:val="-573587230"/>
            <w:bibliography/>
          </w:sdtPr>
          <w:sdtEndPr>
            <w:rPr>
              <w:rFonts w:asciiTheme="minorHAnsi" w:hAnsiTheme="minorHAnsi" w:cstheme="minorBidi"/>
              <w:sz w:val="22"/>
              <w:szCs w:val="22"/>
            </w:rPr>
          </w:sdtEndPr>
          <w:sdtContent>
            <w:p w14:paraId="6BFBAC83" w14:textId="77777777" w:rsidR="00E67EFB" w:rsidRPr="00975B37" w:rsidRDefault="00570A4A" w:rsidP="00E67EFB">
              <w:pPr>
                <w:pStyle w:val="Bibliography"/>
                <w:ind w:left="720" w:hanging="720"/>
                <w:jc w:val="both"/>
                <w:rPr>
                  <w:rStyle w:val="Hyperlink"/>
                  <w:rFonts w:ascii="Times New Roman" w:hAnsi="Times New Roman" w:cs="Times New Roman"/>
                  <w:noProof/>
                  <w:color w:val="000000" w:themeColor="text1"/>
                  <w:sz w:val="24"/>
                  <w:szCs w:val="24"/>
                  <w:u w:val="none"/>
                </w:rPr>
              </w:pPr>
              <w:r w:rsidRPr="00975B37">
                <w:rPr>
                  <w:rFonts w:ascii="Times New Roman" w:hAnsi="Times New Roman" w:cs="Times New Roman"/>
                  <w:color w:val="000000" w:themeColor="text1"/>
                  <w:sz w:val="24"/>
                  <w:szCs w:val="24"/>
                </w:rPr>
                <w:fldChar w:fldCharType="begin"/>
              </w:r>
              <w:r w:rsidRPr="00975B37">
                <w:rPr>
                  <w:rFonts w:ascii="Times New Roman" w:hAnsi="Times New Roman" w:cs="Times New Roman"/>
                  <w:color w:val="000000" w:themeColor="text1"/>
                  <w:sz w:val="24"/>
                  <w:szCs w:val="24"/>
                </w:rPr>
                <w:instrText xml:space="preserve"> BIBLIOGRAPHY </w:instrText>
              </w:r>
              <w:r w:rsidRPr="00975B37">
                <w:rPr>
                  <w:rFonts w:ascii="Times New Roman" w:hAnsi="Times New Roman" w:cs="Times New Roman"/>
                  <w:color w:val="000000" w:themeColor="text1"/>
                  <w:sz w:val="24"/>
                  <w:szCs w:val="24"/>
                </w:rPr>
                <w:fldChar w:fldCharType="separate"/>
              </w:r>
              <w:r w:rsidRPr="00975B37">
                <w:rPr>
                  <w:rFonts w:ascii="Times New Roman" w:hAnsi="Times New Roman" w:cs="Times New Roman"/>
                  <w:noProof/>
                  <w:color w:val="000000" w:themeColor="text1"/>
                  <w:sz w:val="24"/>
                  <w:szCs w:val="24"/>
                </w:rPr>
                <w:t xml:space="preserve">Albayrak, D., &amp; Ateskan, A. (2022). Classroom management in higher education: A systematic literature review. </w:t>
              </w:r>
              <w:r w:rsidRPr="00975B37">
                <w:rPr>
                  <w:rFonts w:ascii="Times New Roman" w:hAnsi="Times New Roman" w:cs="Times New Roman"/>
                  <w:i/>
                  <w:iCs/>
                  <w:noProof/>
                  <w:color w:val="000000" w:themeColor="text1"/>
                  <w:sz w:val="24"/>
                  <w:szCs w:val="24"/>
                </w:rPr>
                <w:t>Journal of Further and Higher Education, 46</w:t>
              </w:r>
              <w:r w:rsidRPr="00975B37">
                <w:rPr>
                  <w:rFonts w:ascii="Times New Roman" w:hAnsi="Times New Roman" w:cs="Times New Roman"/>
                  <w:noProof/>
                  <w:color w:val="000000" w:themeColor="text1"/>
                  <w:sz w:val="24"/>
                  <w:szCs w:val="24"/>
                </w:rPr>
                <w:t xml:space="preserve">(7), 1006-1022. </w:t>
              </w:r>
              <w:hyperlink r:id="rId8" w:tgtFrame="_blank" w:history="1">
                <w:r w:rsidRPr="00975B37">
                  <w:rPr>
                    <w:rStyle w:val="Hyperlink"/>
                    <w:rFonts w:ascii="Times New Roman" w:hAnsi="Times New Roman" w:cs="Times New Roman"/>
                    <w:noProof/>
                    <w:color w:val="000000" w:themeColor="text1"/>
                    <w:sz w:val="24"/>
                    <w:szCs w:val="24"/>
                    <w:u w:val="none"/>
                  </w:rPr>
                  <w:t>https://doi.org/10.1080/0309877X.2022.2038099</w:t>
                </w:r>
              </w:hyperlink>
            </w:p>
            <w:p w14:paraId="3E79FBDC" w14:textId="3115FBA0" w:rsidR="00E67EFB" w:rsidRPr="00975B37" w:rsidRDefault="00E67EFB" w:rsidP="00E67EFB">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Argyris, C., &amp; Schön, D. A. (1996). </w:t>
              </w:r>
              <w:r w:rsidRPr="00975B37">
                <w:rPr>
                  <w:rStyle w:val="Emphasis"/>
                  <w:rFonts w:ascii="Times New Roman" w:hAnsi="Times New Roman" w:cs="Times New Roman"/>
                  <w:color w:val="000000" w:themeColor="text1"/>
                  <w:sz w:val="24"/>
                  <w:szCs w:val="24"/>
                </w:rPr>
                <w:t>Organizational learning II: Theory, method, and practice</w:t>
              </w:r>
              <w:r w:rsidRPr="00975B37">
                <w:rPr>
                  <w:rFonts w:ascii="Times New Roman" w:hAnsi="Times New Roman" w:cs="Times New Roman"/>
                  <w:color w:val="000000" w:themeColor="text1"/>
                  <w:sz w:val="24"/>
                  <w:szCs w:val="24"/>
                </w:rPr>
                <w:t>. Addison-Wesley.</w:t>
              </w:r>
            </w:p>
            <w:p w14:paraId="550A66A9" w14:textId="293F0F89" w:rsidR="00697204" w:rsidRPr="00975B37" w:rsidRDefault="00697204" w:rsidP="00697204">
              <w:pPr>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Bandura, A. (1977). </w:t>
              </w:r>
              <w:r w:rsidRPr="00975B37">
                <w:rPr>
                  <w:rStyle w:val="Emphasis"/>
                  <w:rFonts w:ascii="Times New Roman" w:hAnsi="Times New Roman" w:cs="Times New Roman"/>
                  <w:color w:val="000000" w:themeColor="text1"/>
                  <w:sz w:val="24"/>
                  <w:szCs w:val="24"/>
                </w:rPr>
                <w:t>Social learning theory</w:t>
              </w:r>
              <w:r w:rsidRPr="00975B37">
                <w:rPr>
                  <w:rFonts w:ascii="Times New Roman" w:hAnsi="Times New Roman" w:cs="Times New Roman"/>
                  <w:color w:val="000000" w:themeColor="text1"/>
                  <w:sz w:val="24"/>
                  <w:szCs w:val="24"/>
                </w:rPr>
                <w:t>. Englewood Cliffs, NJ: Prentice Hall.</w:t>
              </w:r>
            </w:p>
            <w:p w14:paraId="403E7F51" w14:textId="1C24E9CF" w:rsidR="003E57AE" w:rsidRPr="00975B37" w:rsidRDefault="003E57AE" w:rsidP="003E57AE">
              <w:pPr>
                <w:pStyle w:val="Bibliography"/>
                <w:ind w:left="720" w:hanging="720"/>
                <w:jc w:val="both"/>
                <w:rPr>
                  <w:rFonts w:ascii="Times New Roman" w:hAnsi="Times New Roman" w:cs="Times New Roman"/>
                  <w:noProof/>
                  <w:color w:val="000000" w:themeColor="text1"/>
                  <w:sz w:val="24"/>
                  <w:szCs w:val="24"/>
                </w:rPr>
              </w:pPr>
              <w:r w:rsidRPr="00975B37">
                <w:rPr>
                  <w:rFonts w:ascii="Times New Roman" w:hAnsi="Times New Roman" w:cs="Times New Roman"/>
                  <w:color w:val="000000" w:themeColor="text1"/>
                  <w:sz w:val="24"/>
                  <w:szCs w:val="24"/>
                </w:rPr>
                <w:t xml:space="preserve">Biggs, J. (2014). </w:t>
              </w:r>
              <w:r w:rsidRPr="00975B37">
                <w:rPr>
                  <w:rStyle w:val="Emphasis"/>
                  <w:rFonts w:ascii="Times New Roman" w:hAnsi="Times New Roman" w:cs="Times New Roman"/>
                  <w:color w:val="000000" w:themeColor="text1"/>
                  <w:sz w:val="24"/>
                  <w:szCs w:val="24"/>
                </w:rPr>
                <w:t>Constructive alignment in university teaching</w:t>
              </w:r>
              <w:r w:rsidRPr="00975B37">
                <w:rPr>
                  <w:rFonts w:ascii="Times New Roman" w:hAnsi="Times New Roman" w:cs="Times New Roman"/>
                  <w:color w:val="000000" w:themeColor="text1"/>
                  <w:sz w:val="24"/>
                  <w:szCs w:val="24"/>
                </w:rPr>
                <w:t>. Higher Education, 32(3), 347–364. https://doi.org/10.1007/BF00138871</w:t>
              </w:r>
            </w:p>
            <w:p w14:paraId="31A1F09E" w14:textId="77777777" w:rsidR="002950D5" w:rsidRPr="00975B37" w:rsidRDefault="00570A4A" w:rsidP="00580EDB">
              <w:pPr>
                <w:pStyle w:val="Bibliography"/>
                <w:ind w:left="720" w:hanging="720"/>
                <w:jc w:val="both"/>
                <w:rPr>
                  <w:rStyle w:val="Hyperlink"/>
                  <w:rFonts w:ascii="Times New Roman" w:hAnsi="Times New Roman" w:cs="Times New Roman"/>
                  <w:noProof/>
                  <w:color w:val="000000" w:themeColor="text1"/>
                  <w:sz w:val="24"/>
                  <w:szCs w:val="24"/>
                  <w:u w:val="none"/>
                </w:rPr>
              </w:pPr>
              <w:r w:rsidRPr="00975B37">
                <w:rPr>
                  <w:rFonts w:ascii="Times New Roman" w:hAnsi="Times New Roman" w:cs="Times New Roman"/>
                  <w:noProof/>
                  <w:color w:val="000000" w:themeColor="text1"/>
                  <w:sz w:val="24"/>
                  <w:szCs w:val="24"/>
                </w:rPr>
                <w:t xml:space="preserve">Bonna, K. (2023). Concept and Nature of Classroom Management Practices. </w:t>
              </w:r>
              <w:r w:rsidRPr="00975B37">
                <w:rPr>
                  <w:rFonts w:ascii="Times New Roman" w:hAnsi="Times New Roman" w:cs="Times New Roman"/>
                  <w:i/>
                  <w:iCs/>
                  <w:noProof/>
                  <w:color w:val="000000" w:themeColor="text1"/>
                  <w:sz w:val="24"/>
                  <w:szCs w:val="24"/>
                </w:rPr>
                <w:t>International Journal of Multidisciplinary Studies and Innovative Research, 11</w:t>
              </w:r>
              <w:r w:rsidRPr="00975B37">
                <w:rPr>
                  <w:rFonts w:ascii="Times New Roman" w:hAnsi="Times New Roman" w:cs="Times New Roman"/>
                  <w:noProof/>
                  <w:color w:val="000000" w:themeColor="text1"/>
                  <w:sz w:val="24"/>
                  <w:szCs w:val="24"/>
                </w:rPr>
                <w:t xml:space="preserve">(4), 1601-1615. </w:t>
              </w:r>
              <w:hyperlink r:id="rId9" w:tgtFrame="_blank" w:history="1">
                <w:r w:rsidRPr="00975B37">
                  <w:rPr>
                    <w:rStyle w:val="Hyperlink"/>
                    <w:rFonts w:ascii="Times New Roman" w:hAnsi="Times New Roman" w:cs="Times New Roman"/>
                    <w:noProof/>
                    <w:color w:val="000000" w:themeColor="text1"/>
                    <w:sz w:val="24"/>
                    <w:szCs w:val="24"/>
                    <w:u w:val="none"/>
                  </w:rPr>
                  <w:t>https://doi.org/10.53075/Ijmsirq/098433453367</w:t>
                </w:r>
              </w:hyperlink>
            </w:p>
            <w:p w14:paraId="3E81BE16" w14:textId="77777777" w:rsidR="00D64F26" w:rsidRPr="00975B37" w:rsidRDefault="00E82840" w:rsidP="00D64F26">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lastRenderedPageBreak/>
                <w:t xml:space="preserve">Bognár, L., &amp; Khine, M. S. (2025). </w:t>
              </w:r>
              <w:r w:rsidRPr="00975B37">
                <w:rPr>
                  <w:rStyle w:val="Emphasis"/>
                  <w:rFonts w:ascii="Times New Roman" w:hAnsi="Times New Roman" w:cs="Times New Roman"/>
                  <w:color w:val="000000" w:themeColor="text1"/>
                  <w:sz w:val="24"/>
                  <w:szCs w:val="24"/>
                </w:rPr>
                <w:t>Balancing enthusiasm and engagement: The impact of AI chat tools on student learning habits and perceptions in higher education.</w:t>
              </w:r>
              <w:r w:rsidRPr="00975B37">
                <w:rPr>
                  <w:rFonts w:ascii="Times New Roman" w:hAnsi="Times New Roman" w:cs="Times New Roman"/>
                  <w:color w:val="000000" w:themeColor="text1"/>
                  <w:sz w:val="24"/>
                  <w:szCs w:val="24"/>
                </w:rPr>
                <w:t xml:space="preserve"> Journal of Education and E-Learning Research, 12(2), 267–288. https://doi.org/10.20448/jeelr.v12i2.676</w:t>
              </w:r>
            </w:p>
            <w:p w14:paraId="51D894B9" w14:textId="12661CC6" w:rsidR="00D64F26" w:rsidRPr="00975B37" w:rsidRDefault="00D64F26" w:rsidP="00D64F26">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Black, P., &amp; Wiliam, D. (1998). </w:t>
              </w:r>
              <w:r w:rsidRPr="00975B37">
                <w:rPr>
                  <w:rStyle w:val="Emphasis"/>
                  <w:rFonts w:ascii="Times New Roman" w:hAnsi="Times New Roman" w:cs="Times New Roman"/>
                  <w:color w:val="000000" w:themeColor="text1"/>
                  <w:sz w:val="24"/>
                  <w:szCs w:val="24"/>
                </w:rPr>
                <w:t>Inside the black box: Raising standards through classroom assessment</w:t>
              </w:r>
              <w:r w:rsidRPr="00975B37">
                <w:rPr>
                  <w:rFonts w:ascii="Times New Roman" w:hAnsi="Times New Roman" w:cs="Times New Roman"/>
                  <w:color w:val="000000" w:themeColor="text1"/>
                  <w:sz w:val="24"/>
                  <w:szCs w:val="24"/>
                </w:rPr>
                <w:t>. Phi Delta Kappan, 80(2), 139–148.</w:t>
              </w:r>
            </w:p>
            <w:p w14:paraId="6E8344BD" w14:textId="77777777" w:rsidR="00E46322" w:rsidRPr="00975B37" w:rsidRDefault="000D0B4A" w:rsidP="00E46322">
              <w:pPr>
                <w:pStyle w:val="Bibliography"/>
                <w:ind w:left="720" w:hanging="720"/>
                <w:jc w:val="both"/>
                <w:rPr>
                  <w:rFonts w:ascii="Times New Roman" w:eastAsia="Times New Roman" w:hAnsi="Times New Roman" w:cs="Times New Roman"/>
                  <w:color w:val="000000" w:themeColor="text1"/>
                  <w:sz w:val="24"/>
                  <w:szCs w:val="24"/>
                </w:rPr>
              </w:pPr>
              <w:r w:rsidRPr="00975B37">
                <w:rPr>
                  <w:rFonts w:ascii="Times New Roman" w:eastAsia="Times New Roman" w:hAnsi="Times New Roman" w:cs="Times New Roman"/>
                  <w:color w:val="000000" w:themeColor="text1"/>
                  <w:sz w:val="24"/>
                  <w:szCs w:val="24"/>
                </w:rPr>
                <w:t xml:space="preserve">Braxton, J. M., et al. (2020). </w:t>
              </w:r>
              <w:r w:rsidRPr="00975B37">
                <w:rPr>
                  <w:rFonts w:ascii="Times New Roman" w:eastAsia="Times New Roman" w:hAnsi="Times New Roman" w:cs="Times New Roman"/>
                  <w:i/>
                  <w:iCs/>
                  <w:color w:val="000000" w:themeColor="text1"/>
                  <w:sz w:val="24"/>
                  <w:szCs w:val="24"/>
                </w:rPr>
                <w:t>Rethinking college student retention</w:t>
              </w:r>
              <w:r w:rsidRPr="00975B37">
                <w:rPr>
                  <w:rFonts w:ascii="Times New Roman" w:eastAsia="Times New Roman" w:hAnsi="Times New Roman" w:cs="Times New Roman"/>
                  <w:color w:val="000000" w:themeColor="text1"/>
                  <w:sz w:val="24"/>
                  <w:szCs w:val="24"/>
                </w:rPr>
                <w:t>. Jossey-Bass.</w:t>
              </w:r>
            </w:p>
            <w:p w14:paraId="21B49C1A" w14:textId="054E1AF2" w:rsidR="00E46322" w:rsidRPr="00975B37" w:rsidRDefault="00E46322" w:rsidP="00E46322">
              <w:pPr>
                <w:pStyle w:val="Bibliography"/>
                <w:ind w:left="720" w:hanging="720"/>
                <w:jc w:val="both"/>
                <w:rPr>
                  <w:rFonts w:ascii="Times New Roman" w:hAnsi="Times New Roman" w:cs="Times New Roman"/>
                  <w:bCs/>
                  <w:color w:val="000000" w:themeColor="text1"/>
                  <w:sz w:val="24"/>
                  <w:szCs w:val="24"/>
                </w:rPr>
              </w:pPr>
              <w:r w:rsidRPr="00975B37">
                <w:rPr>
                  <w:rStyle w:val="Strong"/>
                  <w:rFonts w:ascii="Times New Roman" w:hAnsi="Times New Roman" w:cs="Times New Roman"/>
                  <w:b w:val="0"/>
                  <w:color w:val="000000" w:themeColor="text1"/>
                  <w:sz w:val="24"/>
                  <w:szCs w:val="24"/>
                </w:rPr>
                <w:t>Brunzell, T., Stokes, H., &amp; Waters, L. (2016).</w:t>
              </w:r>
              <w:r w:rsidRPr="00975B37">
                <w:rPr>
                  <w:rStyle w:val="Emphasis"/>
                  <w:rFonts w:ascii="Times New Roman" w:hAnsi="Times New Roman" w:cs="Times New Roman"/>
                  <w:color w:val="000000" w:themeColor="text1"/>
                </w:rPr>
                <w:t>Trauma-informed positive education: Using positive psychology to strengthen vulnerable students.</w:t>
              </w:r>
              <w:r w:rsidRPr="00975B37">
                <w:rPr>
                  <w:rFonts w:ascii="Times New Roman" w:hAnsi="Times New Roman" w:cs="Times New Roman"/>
                  <w:color w:val="000000" w:themeColor="text1"/>
                </w:rPr>
                <w:t xml:space="preserve"> </w:t>
              </w:r>
              <w:r w:rsidRPr="00975B37">
                <w:rPr>
                  <w:rStyle w:val="Strong"/>
                  <w:rFonts w:ascii="Times New Roman" w:hAnsi="Times New Roman" w:cs="Times New Roman"/>
                  <w:b w:val="0"/>
                  <w:color w:val="000000" w:themeColor="text1"/>
                </w:rPr>
                <w:t>Contemporary School Psychology,</w:t>
              </w:r>
              <w:r w:rsidRPr="00975B37">
                <w:rPr>
                  <w:rStyle w:val="Strong"/>
                  <w:rFonts w:ascii="Times New Roman" w:hAnsi="Times New Roman" w:cs="Times New Roman"/>
                  <w:color w:val="000000" w:themeColor="text1"/>
                </w:rPr>
                <w:t xml:space="preserve"> 20</w:t>
              </w:r>
              <w:r w:rsidRPr="00975B37">
                <w:rPr>
                  <w:rFonts w:ascii="Times New Roman" w:hAnsi="Times New Roman" w:cs="Times New Roman"/>
                  <w:color w:val="000000" w:themeColor="text1"/>
                </w:rPr>
                <w:t>(1), 63–83. https://doi.org/10.1007/s40688-015-0070-x</w:t>
              </w:r>
            </w:p>
            <w:p w14:paraId="7DF5C245" w14:textId="5A7403C1" w:rsidR="009325CC" w:rsidRPr="00975B37" w:rsidRDefault="009325CC" w:rsidP="009325CC">
              <w:pPr>
                <w:pStyle w:val="Bibliography"/>
                <w:ind w:left="720" w:hanging="720"/>
                <w:jc w:val="both"/>
                <w:rPr>
                  <w:rFonts w:ascii="Times New Roman" w:eastAsia="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Brookfield, S. D. (2015). </w:t>
              </w:r>
              <w:r w:rsidRPr="00975B37">
                <w:rPr>
                  <w:rStyle w:val="Emphasis"/>
                  <w:rFonts w:ascii="Times New Roman" w:hAnsi="Times New Roman" w:cs="Times New Roman"/>
                  <w:color w:val="000000" w:themeColor="text1"/>
                  <w:sz w:val="24"/>
                  <w:szCs w:val="24"/>
                </w:rPr>
                <w:t>The skillful teacher: On technique, trust, and responsiveness in the classroom</w:t>
              </w:r>
              <w:r w:rsidRPr="00975B37">
                <w:rPr>
                  <w:rFonts w:ascii="Times New Roman" w:hAnsi="Times New Roman" w:cs="Times New Roman"/>
                  <w:color w:val="000000" w:themeColor="text1"/>
                  <w:sz w:val="24"/>
                  <w:szCs w:val="24"/>
                </w:rPr>
                <w:t xml:space="preserve"> (3rd ed.). Jossey-Bass.</w:t>
              </w:r>
            </w:p>
            <w:p w14:paraId="677DE8EB" w14:textId="31632A89" w:rsidR="0065656B" w:rsidRPr="00975B37" w:rsidRDefault="0065656B" w:rsidP="0065656B">
              <w:pPr>
                <w:pStyle w:val="Bibliography"/>
                <w:ind w:left="720" w:hanging="720"/>
                <w:jc w:val="both"/>
                <w:rPr>
                  <w:rFonts w:ascii="Times New Roman" w:hAnsi="Times New Roman" w:cs="Times New Roman"/>
                  <w:noProof/>
                  <w:color w:val="000000" w:themeColor="text1"/>
                  <w:sz w:val="24"/>
                  <w:szCs w:val="24"/>
                </w:rPr>
              </w:pPr>
              <w:r w:rsidRPr="00975B37">
                <w:rPr>
                  <w:rFonts w:ascii="Times New Roman" w:hAnsi="Times New Roman" w:cs="Times New Roman"/>
                  <w:color w:val="000000" w:themeColor="text1"/>
                  <w:sz w:val="24"/>
                  <w:szCs w:val="24"/>
                </w:rPr>
                <w:t xml:space="preserve">Brookfield, </w:t>
              </w:r>
              <w:r w:rsidR="00A27262" w:rsidRPr="00975B37">
                <w:rPr>
                  <w:rFonts w:ascii="Times New Roman" w:hAnsi="Times New Roman" w:cs="Times New Roman"/>
                  <w:color w:val="000000" w:themeColor="text1"/>
                  <w:sz w:val="24"/>
                  <w:szCs w:val="24"/>
                </w:rPr>
                <w:t>S. D.</w:t>
              </w:r>
              <w:r w:rsidRPr="00975B37">
                <w:rPr>
                  <w:rFonts w:ascii="Times New Roman" w:hAnsi="Times New Roman" w:cs="Times New Roman"/>
                  <w:color w:val="000000" w:themeColor="text1"/>
                  <w:sz w:val="24"/>
                  <w:szCs w:val="24"/>
                </w:rPr>
                <w:t xml:space="preserve"> &amp; Preskill, S. (2012). </w:t>
              </w:r>
              <w:r w:rsidRPr="00975B37">
                <w:rPr>
                  <w:rStyle w:val="Emphasis"/>
                  <w:rFonts w:ascii="Times New Roman" w:hAnsi="Times New Roman" w:cs="Times New Roman"/>
                  <w:color w:val="000000" w:themeColor="text1"/>
                  <w:sz w:val="24"/>
                  <w:szCs w:val="24"/>
                </w:rPr>
                <w:t>Discussion as a way of teaching: Tools and techniques for democratic classrooms</w:t>
              </w:r>
              <w:r w:rsidRPr="00975B37">
                <w:rPr>
                  <w:rFonts w:ascii="Times New Roman" w:hAnsi="Times New Roman" w:cs="Times New Roman"/>
                  <w:color w:val="000000" w:themeColor="text1"/>
                  <w:sz w:val="24"/>
                  <w:szCs w:val="24"/>
                </w:rPr>
                <w:t xml:space="preserve"> (Revised ed.). Hoboken, NJ: John Wiley &amp; Sons. </w:t>
              </w:r>
            </w:p>
            <w:p w14:paraId="153E616F" w14:textId="77777777" w:rsidR="00026D27" w:rsidRPr="00975B37" w:rsidRDefault="000D0B4A" w:rsidP="00026D27">
              <w:pPr>
                <w:spacing w:after="0" w:line="240" w:lineRule="auto"/>
                <w:ind w:left="720" w:hanging="720"/>
                <w:jc w:val="both"/>
                <w:rPr>
                  <w:rFonts w:ascii="Times New Roman" w:eastAsia="Times New Roman" w:hAnsi="Times New Roman" w:cs="Times New Roman"/>
                  <w:i/>
                  <w:iCs/>
                  <w:color w:val="000000" w:themeColor="text1"/>
                </w:rPr>
              </w:pPr>
              <w:r w:rsidRPr="00975B37">
                <w:rPr>
                  <w:rFonts w:ascii="Times New Roman" w:eastAsia="Times New Roman" w:hAnsi="Times New Roman" w:cs="Times New Roman"/>
                  <w:color w:val="000000" w:themeColor="text1"/>
                </w:rPr>
                <w:t xml:space="preserve">Brown, G., et al. (2021). Student engagement and educational leadership. </w:t>
              </w:r>
              <w:r w:rsidRPr="00975B37">
                <w:rPr>
                  <w:rFonts w:ascii="Times New Roman" w:eastAsia="Times New Roman" w:hAnsi="Times New Roman" w:cs="Times New Roman"/>
                  <w:i/>
                  <w:iCs/>
                  <w:color w:val="000000" w:themeColor="text1"/>
                </w:rPr>
                <w:t>Higher Education Quarterly, 75(3), 402–420.</w:t>
              </w:r>
            </w:p>
            <w:p w14:paraId="7E9995AF" w14:textId="152C913B" w:rsidR="00026D27" w:rsidRPr="00975B37" w:rsidRDefault="00026D27" w:rsidP="00026D27">
              <w:pPr>
                <w:spacing w:after="0" w:line="240" w:lineRule="auto"/>
                <w:ind w:left="720" w:hanging="720"/>
                <w:jc w:val="both"/>
                <w:rPr>
                  <w:rFonts w:ascii="Times New Roman" w:eastAsia="Times New Roman" w:hAnsi="Times New Roman" w:cs="Times New Roman"/>
                  <w:i/>
                  <w:iCs/>
                  <w:color w:val="000000" w:themeColor="text1"/>
                </w:rPr>
              </w:pPr>
              <w:r w:rsidRPr="00975B37">
                <w:rPr>
                  <w:rStyle w:val="Strong"/>
                  <w:rFonts w:ascii="Times New Roman" w:hAnsi="Times New Roman" w:cs="Times New Roman"/>
                  <w:b w:val="0"/>
                  <w:color w:val="000000" w:themeColor="text1"/>
                </w:rPr>
                <w:t>Burgstahler</w:t>
              </w:r>
              <w:r w:rsidRPr="00975B37">
                <w:rPr>
                  <w:rStyle w:val="Strong"/>
                  <w:rFonts w:ascii="Times New Roman" w:hAnsi="Times New Roman" w:cs="Times New Roman"/>
                  <w:color w:val="000000" w:themeColor="text1"/>
                </w:rPr>
                <w:t>,</w:t>
              </w:r>
              <w:r w:rsidRPr="00975B37">
                <w:rPr>
                  <w:rStyle w:val="Strong"/>
                  <w:rFonts w:ascii="Times New Roman" w:hAnsi="Times New Roman" w:cs="Times New Roman"/>
                  <w:b w:val="0"/>
                  <w:color w:val="000000" w:themeColor="text1"/>
                </w:rPr>
                <w:t xml:space="preserve"> S.</w:t>
              </w:r>
              <w:r w:rsidRPr="00975B37">
                <w:rPr>
                  <w:rFonts w:ascii="Times New Roman" w:hAnsi="Times New Roman" w:cs="Times New Roman"/>
                  <w:color w:val="000000" w:themeColor="text1"/>
                </w:rPr>
                <w:t xml:space="preserve"> (2008). </w:t>
              </w:r>
              <w:r w:rsidRPr="00975B37">
                <w:rPr>
                  <w:rStyle w:val="Emphasis"/>
                  <w:rFonts w:ascii="Times New Roman" w:hAnsi="Times New Roman" w:cs="Times New Roman"/>
                  <w:color w:val="000000" w:themeColor="text1"/>
                </w:rPr>
                <w:t>Universal design in education: Principles and applications</w:t>
              </w:r>
              <w:r w:rsidRPr="00975B37">
                <w:rPr>
                  <w:rFonts w:ascii="Times New Roman" w:hAnsi="Times New Roman" w:cs="Times New Roman"/>
                  <w:color w:val="000000" w:themeColor="text1"/>
                </w:rPr>
                <w:t>. Harvard Education Press</w:t>
              </w:r>
              <w:r w:rsidRPr="00975B37">
                <w:rPr>
                  <w:color w:val="000000" w:themeColor="text1"/>
                </w:rPr>
                <w:t>.</w:t>
              </w:r>
            </w:p>
            <w:p w14:paraId="0007B12E" w14:textId="77777777" w:rsidR="00EA6C06" w:rsidRPr="00975B37" w:rsidRDefault="00EA6C06" w:rsidP="000D0B4A">
              <w:pPr>
                <w:spacing w:after="0" w:line="240" w:lineRule="auto"/>
                <w:ind w:left="720" w:hanging="720"/>
                <w:jc w:val="both"/>
                <w:rPr>
                  <w:rFonts w:ascii="Times New Roman" w:eastAsia="Times New Roman" w:hAnsi="Times New Roman" w:cs="Times New Roman"/>
                  <w:i/>
                  <w:iCs/>
                  <w:color w:val="000000" w:themeColor="text1"/>
                </w:rPr>
              </w:pPr>
            </w:p>
            <w:p w14:paraId="47EAA767" w14:textId="5FF99E8D" w:rsidR="00EA6C06" w:rsidRPr="00975B37" w:rsidRDefault="00EA6C06" w:rsidP="000D0B4A">
              <w:pPr>
                <w:spacing w:after="0" w:line="240" w:lineRule="auto"/>
                <w:ind w:left="720" w:hanging="720"/>
                <w:jc w:val="both"/>
                <w:rPr>
                  <w:rFonts w:ascii="Times New Roman" w:eastAsia="Times New Roman" w:hAnsi="Times New Roman" w:cs="Times New Roman"/>
                  <w:i/>
                  <w:iCs/>
                  <w:color w:val="000000" w:themeColor="text1"/>
                  <w:sz w:val="24"/>
                  <w:szCs w:val="24"/>
                </w:rPr>
              </w:pPr>
              <w:r w:rsidRPr="00975B37">
                <w:rPr>
                  <w:rFonts w:ascii="Times New Roman" w:hAnsi="Times New Roman" w:cs="Times New Roman"/>
                  <w:bCs/>
                  <w:color w:val="000000" w:themeColor="text1"/>
                  <w:sz w:val="24"/>
                  <w:szCs w:val="24"/>
                </w:rPr>
                <w:t>CAST. (2018)</w:t>
              </w:r>
              <w:r w:rsidRPr="00975B37">
                <w:rPr>
                  <w:rFonts w:ascii="Times New Roman" w:hAnsi="Times New Roman" w:cs="Times New Roman"/>
                  <w:b/>
                  <w:bCs/>
                  <w:color w:val="000000" w:themeColor="text1"/>
                  <w:sz w:val="24"/>
                  <w:szCs w:val="24"/>
                </w:rPr>
                <w:t>.</w:t>
              </w:r>
              <w:r w:rsidRPr="00975B37">
                <w:rPr>
                  <w:rFonts w:ascii="Times New Roman" w:hAnsi="Times New Roman" w:cs="Times New Roman"/>
                  <w:color w:val="000000" w:themeColor="text1"/>
                  <w:sz w:val="24"/>
                  <w:szCs w:val="24"/>
                </w:rPr>
                <w:t xml:space="preserve"> </w:t>
              </w:r>
              <w:r w:rsidRPr="00975B37">
                <w:rPr>
                  <w:rFonts w:ascii="Times New Roman" w:hAnsi="Times New Roman" w:cs="Times New Roman"/>
                  <w:i/>
                  <w:iCs/>
                  <w:color w:val="000000" w:themeColor="text1"/>
                  <w:sz w:val="24"/>
                  <w:szCs w:val="24"/>
                </w:rPr>
                <w:t>Universal Design for Learning guidelines version 2.2.</w:t>
              </w:r>
              <w:r w:rsidRPr="00975B37">
                <w:rPr>
                  <w:rFonts w:ascii="Times New Roman" w:hAnsi="Times New Roman" w:cs="Times New Roman"/>
                  <w:color w:val="000000" w:themeColor="text1"/>
                  <w:sz w:val="24"/>
                  <w:szCs w:val="24"/>
                </w:rPr>
                <w:t xml:space="preserve"> Wakefield, MA: Author. </w:t>
              </w:r>
              <w:hyperlink r:id="rId10" w:tgtFrame="_new" w:history="1">
                <w:r w:rsidRPr="00975B37">
                  <w:rPr>
                    <w:rFonts w:ascii="Times New Roman" w:hAnsi="Times New Roman" w:cs="Times New Roman"/>
                    <w:color w:val="000000" w:themeColor="text1"/>
                    <w:sz w:val="24"/>
                    <w:szCs w:val="24"/>
                  </w:rPr>
                  <w:t>https://udlguidelines.cast.org</w:t>
                </w:r>
              </w:hyperlink>
            </w:p>
            <w:p w14:paraId="5B767477" w14:textId="77777777" w:rsidR="00EA6C06" w:rsidRPr="00975B37" w:rsidRDefault="00EA6C06" w:rsidP="000D0B4A">
              <w:pPr>
                <w:spacing w:after="0" w:line="240" w:lineRule="auto"/>
                <w:ind w:left="720" w:hanging="720"/>
                <w:jc w:val="both"/>
                <w:rPr>
                  <w:rFonts w:ascii="Times New Roman" w:eastAsia="Times New Roman" w:hAnsi="Times New Roman" w:cs="Times New Roman"/>
                  <w:i/>
                  <w:iCs/>
                  <w:color w:val="000000" w:themeColor="text1"/>
                </w:rPr>
              </w:pPr>
            </w:p>
            <w:p w14:paraId="347C8DCE" w14:textId="4452FF9A" w:rsidR="00B74986" w:rsidRPr="00975B37" w:rsidRDefault="00B74986" w:rsidP="00B74986">
              <w:pPr>
                <w:pStyle w:val="Bibliography"/>
                <w:ind w:left="720" w:hanging="720"/>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 xml:space="preserve">CETL. (2023). </w:t>
              </w:r>
              <w:r w:rsidRPr="00975B37">
                <w:rPr>
                  <w:rFonts w:ascii="Times New Roman" w:eastAsia="Times New Roman" w:hAnsi="Times New Roman" w:cs="Times New Roman"/>
                  <w:i/>
                  <w:iCs/>
                  <w:color w:val="000000" w:themeColor="text1"/>
                  <w:sz w:val="24"/>
                  <w:szCs w:val="24"/>
                  <w:lang w:val="en-US"/>
                </w:rPr>
                <w:t>Classroom management strategies</w:t>
              </w:r>
              <w:r w:rsidRPr="00975B37">
                <w:rPr>
                  <w:rFonts w:ascii="Times New Roman" w:eastAsia="Times New Roman" w:hAnsi="Times New Roman" w:cs="Times New Roman"/>
                  <w:color w:val="000000" w:themeColor="text1"/>
                  <w:sz w:val="24"/>
                  <w:szCs w:val="24"/>
                  <w:lang w:val="en-US"/>
                </w:rPr>
                <w:t xml:space="preserve">. University of Connecticut Center for Excellence in Teaching and Learning. </w:t>
              </w:r>
              <w:hyperlink r:id="rId11" w:tgtFrame="_new" w:history="1">
                <w:r w:rsidRPr="00975B37">
                  <w:rPr>
                    <w:rFonts w:ascii="Times New Roman" w:eastAsia="Times New Roman" w:hAnsi="Times New Roman" w:cs="Times New Roman"/>
                    <w:color w:val="000000" w:themeColor="text1"/>
                    <w:sz w:val="24"/>
                    <w:szCs w:val="24"/>
                    <w:lang w:val="en-US"/>
                  </w:rPr>
                  <w:t>https://cetl.uconn.edu/resources/teaching-your-course/classroom-management</w:t>
                </w:r>
              </w:hyperlink>
            </w:p>
            <w:p w14:paraId="38F88F55" w14:textId="1A08E67D" w:rsidR="00E82840" w:rsidRPr="00975B37" w:rsidRDefault="002950D5" w:rsidP="00B74986">
              <w:pPr>
                <w:pStyle w:val="Bibliography"/>
                <w:ind w:left="720" w:hanging="720"/>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 xml:space="preserve">CITL. (2023). </w:t>
              </w:r>
              <w:r w:rsidRPr="00975B37">
                <w:rPr>
                  <w:rFonts w:ascii="Times New Roman" w:eastAsia="Times New Roman" w:hAnsi="Times New Roman" w:cs="Times New Roman"/>
                  <w:i/>
                  <w:iCs/>
                  <w:color w:val="000000" w:themeColor="text1"/>
                  <w:sz w:val="24"/>
                  <w:szCs w:val="24"/>
                  <w:lang w:val="en-US"/>
                </w:rPr>
                <w:t>Attendance and engagement in the classroom</w:t>
              </w:r>
              <w:r w:rsidRPr="00975B37">
                <w:rPr>
                  <w:rFonts w:ascii="Times New Roman" w:eastAsia="Times New Roman" w:hAnsi="Times New Roman" w:cs="Times New Roman"/>
                  <w:color w:val="000000" w:themeColor="text1"/>
                  <w:sz w:val="24"/>
                  <w:szCs w:val="24"/>
                  <w:lang w:val="en-US"/>
                </w:rPr>
                <w:t xml:space="preserve">. Indiana University Center for Innovative Teaching and Learning. </w:t>
              </w:r>
              <w:hyperlink r:id="rId12" w:tgtFrame="_new" w:history="1">
                <w:r w:rsidRPr="00975B37">
                  <w:rPr>
                    <w:rFonts w:ascii="Times New Roman" w:eastAsia="Times New Roman" w:hAnsi="Times New Roman" w:cs="Times New Roman"/>
                    <w:color w:val="000000" w:themeColor="text1"/>
                    <w:sz w:val="24"/>
                    <w:szCs w:val="24"/>
                    <w:lang w:val="en-US"/>
                  </w:rPr>
                  <w:t>https://citl.indiana.edu/teaching-resources/teaching-strategies/attendance-engage/index.html</w:t>
                </w:r>
              </w:hyperlink>
            </w:p>
            <w:p w14:paraId="5AA2FF1A" w14:textId="77777777" w:rsidR="00AE1E41" w:rsidRPr="00975B37" w:rsidRDefault="00092A84" w:rsidP="00AE1E41">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Cheung, M. L., Pires, G. D., Rosenberger, P. J., III, Leung, W. K. S., &amp; Ting, H. (2021). Investigating the role of social media marketing on value co-creation and engagement: An empirical study in China and Hong Kong. </w:t>
              </w:r>
              <w:r w:rsidRPr="00975B37">
                <w:rPr>
                  <w:rStyle w:val="Emphasis"/>
                  <w:rFonts w:ascii="Times New Roman" w:hAnsi="Times New Roman" w:cs="Times New Roman"/>
                  <w:color w:val="000000" w:themeColor="text1"/>
                  <w:sz w:val="24"/>
                  <w:szCs w:val="24"/>
                </w:rPr>
                <w:t>Australasian Marketing Journal</w:t>
              </w:r>
              <w:r w:rsidRPr="00975B37">
                <w:rPr>
                  <w:rFonts w:ascii="Times New Roman" w:hAnsi="Times New Roman" w:cs="Times New Roman"/>
                  <w:color w:val="000000" w:themeColor="text1"/>
                  <w:sz w:val="24"/>
                  <w:szCs w:val="24"/>
                </w:rPr>
                <w:t>, 29(2), 118–131. https://doi.org/10.1016/j.ausmj.2020.03.006</w:t>
              </w:r>
            </w:p>
            <w:p w14:paraId="0C0A5EFE" w14:textId="3A216E33" w:rsidR="00AE1E41" w:rsidRPr="00975B37" w:rsidRDefault="00AE1E41" w:rsidP="00AE1E41">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rPr>
                <w:t xml:space="preserve">Chickering, A. W., &amp; Gamson, Z. F. (1987). </w:t>
              </w:r>
              <w:r w:rsidRPr="00975B37">
                <w:rPr>
                  <w:rStyle w:val="Emphasis"/>
                  <w:rFonts w:ascii="Times New Roman" w:hAnsi="Times New Roman" w:cs="Times New Roman"/>
                  <w:color w:val="000000" w:themeColor="text1"/>
                </w:rPr>
                <w:t>Seven principles for good practice in undergraduate education</w:t>
              </w:r>
              <w:r w:rsidRPr="00975B37">
                <w:rPr>
                  <w:rFonts w:ascii="Times New Roman" w:hAnsi="Times New Roman" w:cs="Times New Roman"/>
                  <w:color w:val="000000" w:themeColor="text1"/>
                </w:rPr>
                <w:t>. American Association for Higher Education.</w:t>
              </w:r>
            </w:p>
            <w:p w14:paraId="6B61BB16" w14:textId="77777777" w:rsidR="00E46322" w:rsidRPr="00975B37" w:rsidRDefault="00284F3E" w:rsidP="00E46322">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Cohen, E. G., &amp; Lotan, R. A. (2014). </w:t>
              </w:r>
              <w:r w:rsidRPr="00975B37">
                <w:rPr>
                  <w:rStyle w:val="Emphasis"/>
                  <w:rFonts w:ascii="Times New Roman" w:hAnsi="Times New Roman" w:cs="Times New Roman"/>
                  <w:color w:val="000000" w:themeColor="text1"/>
                  <w:sz w:val="24"/>
                  <w:szCs w:val="24"/>
                </w:rPr>
                <w:t>Designing groupwork: Strategies for the heterogeneous classroom</w:t>
              </w:r>
              <w:r w:rsidRPr="00975B37">
                <w:rPr>
                  <w:rFonts w:ascii="Times New Roman" w:hAnsi="Times New Roman" w:cs="Times New Roman"/>
                  <w:color w:val="000000" w:themeColor="text1"/>
                  <w:sz w:val="24"/>
                  <w:szCs w:val="24"/>
                </w:rPr>
                <w:t xml:space="preserve"> (3rd ed.). Teachers College Press. </w:t>
              </w:r>
            </w:p>
            <w:p w14:paraId="490752DB" w14:textId="77777777" w:rsidR="00287340" w:rsidRPr="00975B37" w:rsidRDefault="00E46322" w:rsidP="00287340">
              <w:pPr>
                <w:pStyle w:val="Bibliography"/>
                <w:ind w:left="720" w:hanging="720"/>
                <w:jc w:val="both"/>
                <w:rPr>
                  <w:rFonts w:ascii="Times New Roman" w:hAnsi="Times New Roman" w:cs="Times New Roman"/>
                  <w:color w:val="000000" w:themeColor="text1"/>
                </w:rPr>
              </w:pPr>
              <w:r w:rsidRPr="00975B37">
                <w:rPr>
                  <w:rStyle w:val="Strong"/>
                  <w:rFonts w:ascii="Times New Roman" w:hAnsi="Times New Roman" w:cs="Times New Roman"/>
                  <w:b w:val="0"/>
                  <w:color w:val="000000" w:themeColor="text1"/>
                </w:rPr>
                <w:t>Cohen, J. A., Mannarino, A. P., &amp; Deblinger, E. (2017).</w:t>
              </w:r>
              <w:r w:rsidRPr="00975B37">
                <w:rPr>
                  <w:rStyle w:val="Emphasis"/>
                  <w:rFonts w:ascii="Times New Roman" w:hAnsi="Times New Roman" w:cs="Times New Roman"/>
                  <w:color w:val="000000" w:themeColor="text1"/>
                </w:rPr>
                <w:t>Trauma-focused CBT for children and adolescents: Treatment applications</w:t>
              </w:r>
              <w:r w:rsidRPr="00975B37">
                <w:rPr>
                  <w:rFonts w:ascii="Times New Roman" w:hAnsi="Times New Roman" w:cs="Times New Roman"/>
                  <w:color w:val="000000" w:themeColor="text1"/>
                </w:rPr>
                <w:t xml:space="preserve"> (2nd ed.). Guilford Press.</w:t>
              </w:r>
            </w:p>
            <w:p w14:paraId="35BFE232" w14:textId="39028369" w:rsidR="00287340" w:rsidRPr="00975B37" w:rsidRDefault="00287340" w:rsidP="00287340">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lastRenderedPageBreak/>
                <w:t>Darling</w:t>
              </w:r>
              <w:r w:rsidRPr="00975B37">
                <w:rPr>
                  <w:rFonts w:ascii="Times New Roman" w:hAnsi="Times New Roman" w:cs="Times New Roman"/>
                  <w:color w:val="000000" w:themeColor="text1"/>
                  <w:sz w:val="24"/>
                  <w:szCs w:val="24"/>
                </w:rPr>
                <w:noBreakHyphen/>
                <w:t xml:space="preserve">Hammond, L., Hyler, M. E., &amp; Gardner, M. (2017). </w:t>
              </w:r>
              <w:r w:rsidRPr="00975B37">
                <w:rPr>
                  <w:rFonts w:ascii="Times New Roman" w:hAnsi="Times New Roman" w:cs="Times New Roman"/>
                  <w:i/>
                  <w:iCs/>
                  <w:color w:val="000000" w:themeColor="text1"/>
                  <w:sz w:val="24"/>
                  <w:szCs w:val="24"/>
                </w:rPr>
                <w:t>Effective teacher professional development</w:t>
              </w:r>
              <w:r w:rsidRPr="00975B37">
                <w:rPr>
                  <w:rFonts w:ascii="Times New Roman" w:hAnsi="Times New Roman" w:cs="Times New Roman"/>
                  <w:color w:val="000000" w:themeColor="text1"/>
                  <w:sz w:val="24"/>
                  <w:szCs w:val="24"/>
                </w:rPr>
                <w:t xml:space="preserve">. Learning Policy Institute. </w:t>
              </w:r>
              <w:hyperlink r:id="rId13" w:tgtFrame="_new" w:history="1">
                <w:r w:rsidRPr="00975B37">
                  <w:rPr>
                    <w:rFonts w:ascii="Times New Roman" w:hAnsi="Times New Roman" w:cs="Times New Roman"/>
                    <w:color w:val="000000" w:themeColor="text1"/>
                    <w:sz w:val="24"/>
                    <w:szCs w:val="24"/>
                  </w:rPr>
                  <w:t>https://doi.org/10.54300/122.311</w:t>
                </w:r>
              </w:hyperlink>
            </w:p>
            <w:p w14:paraId="7579F5F9" w14:textId="77777777" w:rsidR="00AC3828" w:rsidRPr="00975B37" w:rsidRDefault="00A77548" w:rsidP="00AC3828">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Deci, E. L., &amp; Ryan, R. M. (2000). </w:t>
              </w:r>
              <w:r w:rsidRPr="00975B37">
                <w:rPr>
                  <w:rFonts w:ascii="Times New Roman" w:hAnsi="Times New Roman" w:cs="Times New Roman"/>
                  <w:i/>
                  <w:iCs/>
                  <w:color w:val="000000" w:themeColor="text1"/>
                  <w:sz w:val="24"/>
                  <w:szCs w:val="24"/>
                </w:rPr>
                <w:t>The "what" and "why" of goal pursuits: Human needs and the self-determination of behavior.</w:t>
              </w:r>
              <w:r w:rsidRPr="00975B37">
                <w:rPr>
                  <w:rFonts w:ascii="Times New Roman" w:hAnsi="Times New Roman" w:cs="Times New Roman"/>
                  <w:color w:val="000000" w:themeColor="text1"/>
                  <w:sz w:val="24"/>
                  <w:szCs w:val="24"/>
                </w:rPr>
                <w:t xml:space="preserve"> </w:t>
              </w:r>
              <w:r w:rsidRPr="00975B37">
                <w:rPr>
                  <w:rFonts w:ascii="Times New Roman" w:hAnsi="Times New Roman" w:cs="Times New Roman"/>
                  <w:bCs/>
                  <w:color w:val="000000" w:themeColor="text1"/>
                  <w:sz w:val="24"/>
                  <w:szCs w:val="24"/>
                </w:rPr>
                <w:t>Psychological Inquiry, 11</w:t>
              </w:r>
              <w:r w:rsidRPr="00975B37">
                <w:rPr>
                  <w:rFonts w:ascii="Times New Roman" w:hAnsi="Times New Roman" w:cs="Times New Roman"/>
                  <w:color w:val="000000" w:themeColor="text1"/>
                  <w:sz w:val="24"/>
                  <w:szCs w:val="24"/>
                </w:rPr>
                <w:t xml:space="preserve">(4), 227–268. </w:t>
              </w:r>
              <w:hyperlink r:id="rId14" w:tgtFrame="_new" w:history="1">
                <w:r w:rsidRPr="00975B37">
                  <w:rPr>
                    <w:rFonts w:ascii="Times New Roman" w:hAnsi="Times New Roman" w:cs="Times New Roman"/>
                    <w:color w:val="000000" w:themeColor="text1"/>
                    <w:sz w:val="24"/>
                    <w:szCs w:val="24"/>
                  </w:rPr>
                  <w:t>https://doi.org/10.1207/S15327965PLI1104_01</w:t>
                </w:r>
              </w:hyperlink>
            </w:p>
            <w:p w14:paraId="2BAF5C25" w14:textId="77777777" w:rsidR="00482CA4" w:rsidRPr="00975B37" w:rsidRDefault="00AC3828" w:rsidP="00482CA4">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Evertson, C. M., &amp; Weinstein, C. S. (Eds.). (2006). </w:t>
              </w:r>
              <w:r w:rsidRPr="00975B37">
                <w:rPr>
                  <w:rStyle w:val="Emphasis"/>
                  <w:rFonts w:ascii="Times New Roman" w:hAnsi="Times New Roman" w:cs="Times New Roman"/>
                  <w:color w:val="000000" w:themeColor="text1"/>
                  <w:sz w:val="24"/>
                  <w:szCs w:val="24"/>
                </w:rPr>
                <w:t>Handbook of classroom management: Research, practice, and contemporary issues</w:t>
              </w:r>
              <w:r w:rsidRPr="00975B37">
                <w:rPr>
                  <w:rFonts w:ascii="Times New Roman" w:hAnsi="Times New Roman" w:cs="Times New Roman"/>
                  <w:color w:val="000000" w:themeColor="text1"/>
                  <w:sz w:val="24"/>
                  <w:szCs w:val="24"/>
                </w:rPr>
                <w:t>. Lawrence Erlbaum Associates.</w:t>
              </w:r>
            </w:p>
            <w:p w14:paraId="7F100C45" w14:textId="016EB184" w:rsidR="00482CA4" w:rsidRPr="00975B37" w:rsidRDefault="00482CA4" w:rsidP="00482CA4">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Evertson, C. M., &amp; Weinstein, C. S. (2006). </w:t>
              </w:r>
              <w:r w:rsidRPr="00975B37">
                <w:rPr>
                  <w:rStyle w:val="Emphasis"/>
                  <w:rFonts w:ascii="Times New Roman" w:hAnsi="Times New Roman" w:cs="Times New Roman"/>
                  <w:color w:val="000000" w:themeColor="text1"/>
                  <w:sz w:val="24"/>
                  <w:szCs w:val="24"/>
                </w:rPr>
                <w:t>Classroom management as a field of inquiry</w:t>
              </w:r>
              <w:r w:rsidRPr="00975B37">
                <w:rPr>
                  <w:rFonts w:ascii="Times New Roman" w:hAnsi="Times New Roman" w:cs="Times New Roman"/>
                  <w:color w:val="000000" w:themeColor="text1"/>
                  <w:sz w:val="24"/>
                  <w:szCs w:val="24"/>
                </w:rPr>
                <w:t xml:space="preserve">. In C. M. Evertson &amp; C. S. Weinstein (Eds.), </w:t>
              </w:r>
              <w:r w:rsidRPr="00975B37">
                <w:rPr>
                  <w:rStyle w:val="Emphasis"/>
                  <w:rFonts w:ascii="Times New Roman" w:hAnsi="Times New Roman" w:cs="Times New Roman"/>
                  <w:color w:val="000000" w:themeColor="text1"/>
                  <w:sz w:val="24"/>
                  <w:szCs w:val="24"/>
                </w:rPr>
                <w:t>Handbook of classroom management: Research, practice, and contemporary issues</w:t>
              </w:r>
              <w:r w:rsidRPr="00975B37">
                <w:rPr>
                  <w:rFonts w:ascii="Times New Roman" w:hAnsi="Times New Roman" w:cs="Times New Roman"/>
                  <w:color w:val="000000" w:themeColor="text1"/>
                  <w:sz w:val="24"/>
                  <w:szCs w:val="24"/>
                </w:rPr>
                <w:t xml:space="preserve"> (pp. 3–16). Lawrence Erlbaum Associates.</w:t>
              </w:r>
            </w:p>
            <w:p w14:paraId="33D913BC" w14:textId="6BD16065" w:rsidR="00866633" w:rsidRPr="00975B37" w:rsidRDefault="00866633" w:rsidP="00866633">
              <w:pPr>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Freire, P. (1970). </w:t>
              </w:r>
              <w:r w:rsidRPr="00975B37">
                <w:rPr>
                  <w:rStyle w:val="Emphasis"/>
                  <w:rFonts w:ascii="Times New Roman" w:hAnsi="Times New Roman" w:cs="Times New Roman"/>
                  <w:color w:val="000000" w:themeColor="text1"/>
                  <w:sz w:val="24"/>
                  <w:szCs w:val="24"/>
                </w:rPr>
                <w:t>Pedagogy of the oppressed</w:t>
              </w:r>
              <w:r w:rsidRPr="00975B37">
                <w:rPr>
                  <w:rFonts w:ascii="Times New Roman" w:hAnsi="Times New Roman" w:cs="Times New Roman"/>
                  <w:color w:val="000000" w:themeColor="text1"/>
                  <w:sz w:val="24"/>
                  <w:szCs w:val="24"/>
                </w:rPr>
                <w:t>. Herder and Herder.</w:t>
              </w:r>
            </w:p>
            <w:p w14:paraId="51637482" w14:textId="1EC7654F" w:rsidR="00BD7C76" w:rsidRPr="00975B37" w:rsidRDefault="00033C0E" w:rsidP="00BD7C76">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Freeman, D., Rosebrock, L., Waite, F., Loe, B. S., Kabir, T., Petit, A., Dudley, R., Chapman, K., Morrison, A., O’Regan, E., Aynsworth, C., Jones, J., Murphy, E., Powling, R., Peel, H., Walker, H., Byrne, R., Freeman, J., Rovira, A., Galal, U., Yu, L.-M., Clark, D. M., &amp; Lambe, S. (2023). </w:t>
              </w:r>
              <w:r w:rsidRPr="00975B37">
                <w:rPr>
                  <w:rStyle w:val="Emphasis"/>
                  <w:rFonts w:ascii="Times New Roman" w:hAnsi="Times New Roman" w:cs="Times New Roman"/>
                  <w:color w:val="000000" w:themeColor="text1"/>
                  <w:sz w:val="24"/>
                  <w:szCs w:val="24"/>
                </w:rPr>
                <w:t>Virtual reality (VR) therapy for patients with psychosis: satisfaction and side effects.</w:t>
              </w:r>
              <w:r w:rsidRPr="00975B37">
                <w:rPr>
                  <w:rFonts w:ascii="Times New Roman" w:hAnsi="Times New Roman" w:cs="Times New Roman"/>
                  <w:color w:val="000000" w:themeColor="text1"/>
                  <w:sz w:val="24"/>
                  <w:szCs w:val="24"/>
                </w:rPr>
                <w:t xml:space="preserve"> </w:t>
              </w:r>
              <w:r w:rsidRPr="00975B37">
                <w:rPr>
                  <w:rStyle w:val="Emphasis"/>
                  <w:rFonts w:ascii="Times New Roman" w:hAnsi="Times New Roman" w:cs="Times New Roman"/>
                  <w:color w:val="000000" w:themeColor="text1"/>
                  <w:sz w:val="24"/>
                  <w:szCs w:val="24"/>
                </w:rPr>
                <w:t>Psychological Medicine, 53</w:t>
              </w:r>
              <w:r w:rsidRPr="00975B37">
                <w:rPr>
                  <w:rFonts w:ascii="Times New Roman" w:hAnsi="Times New Roman" w:cs="Times New Roman"/>
                  <w:color w:val="000000" w:themeColor="text1"/>
                  <w:sz w:val="24"/>
                  <w:szCs w:val="24"/>
                </w:rPr>
                <w:t>(10), 4373–4384. https://doi.org/10.1017/S0033291722001167</w:t>
              </w:r>
            </w:p>
            <w:p w14:paraId="06E526C7" w14:textId="77777777" w:rsidR="001E4298" w:rsidRPr="00975B37" w:rsidRDefault="00570A4A" w:rsidP="001E4298">
              <w:pPr>
                <w:pStyle w:val="Bibliography"/>
                <w:ind w:left="720" w:hanging="720"/>
                <w:jc w:val="both"/>
                <w:rPr>
                  <w:rStyle w:val="Hyperlink"/>
                  <w:rFonts w:ascii="Times New Roman" w:hAnsi="Times New Roman" w:cs="Times New Roman"/>
                  <w:color w:val="000000" w:themeColor="text1"/>
                  <w:sz w:val="24"/>
                  <w:szCs w:val="24"/>
                  <w:u w:val="none"/>
                </w:rPr>
              </w:pPr>
              <w:r w:rsidRPr="00975B37">
                <w:rPr>
                  <w:rFonts w:ascii="Times New Roman" w:hAnsi="Times New Roman" w:cs="Times New Roman"/>
                  <w:color w:val="000000" w:themeColor="text1"/>
                  <w:sz w:val="24"/>
                  <w:szCs w:val="24"/>
                </w:rPr>
                <w:t xml:space="preserve">Freeman, S., Eddy, S. L., McDonough, M., Smith, M. K., Okoroafor, N., Jordt, H., &amp; Wenderoth, M. P. (2014). Active learning increases student performance in science, engineering, and mathematics. </w:t>
              </w:r>
              <w:r w:rsidRPr="00975B37">
                <w:rPr>
                  <w:rStyle w:val="Emphasis"/>
                  <w:rFonts w:ascii="Times New Roman" w:hAnsi="Times New Roman" w:cs="Times New Roman"/>
                  <w:color w:val="000000" w:themeColor="text1"/>
                  <w:sz w:val="24"/>
                  <w:szCs w:val="24"/>
                </w:rPr>
                <w:t>Proceedings of the National Academy of Sciences of the United States of America, 111</w:t>
              </w:r>
              <w:r w:rsidRPr="00975B37">
                <w:rPr>
                  <w:rFonts w:ascii="Times New Roman" w:hAnsi="Times New Roman" w:cs="Times New Roman"/>
                  <w:color w:val="000000" w:themeColor="text1"/>
                  <w:sz w:val="24"/>
                  <w:szCs w:val="24"/>
                </w:rPr>
                <w:t xml:space="preserve">(23), 8410–8415. </w:t>
              </w:r>
              <w:hyperlink r:id="rId15" w:tgtFrame="_new" w:history="1">
                <w:r w:rsidRPr="00975B37">
                  <w:rPr>
                    <w:rStyle w:val="Hyperlink"/>
                    <w:rFonts w:ascii="Times New Roman" w:hAnsi="Times New Roman" w:cs="Times New Roman"/>
                    <w:color w:val="000000" w:themeColor="text1"/>
                    <w:sz w:val="24"/>
                    <w:szCs w:val="24"/>
                    <w:u w:val="none"/>
                  </w:rPr>
                  <w:t>https://doi.org/10.1073/pnas.1319030111</w:t>
                </w:r>
              </w:hyperlink>
            </w:p>
            <w:p w14:paraId="7C793E32" w14:textId="200D4742" w:rsidR="001E4298" w:rsidRPr="00975B37" w:rsidRDefault="001E4298" w:rsidP="001E4298">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Hattie, J., &amp; Timperley, H. (2007). The power of feedback. </w:t>
              </w:r>
              <w:r w:rsidRPr="00975B37">
                <w:rPr>
                  <w:rFonts w:ascii="Times New Roman" w:hAnsi="Times New Roman" w:cs="Times New Roman"/>
                  <w:i/>
                  <w:iCs/>
                  <w:color w:val="000000" w:themeColor="text1"/>
                  <w:sz w:val="24"/>
                  <w:szCs w:val="24"/>
                </w:rPr>
                <w:t>Review of Educational Research, 77</w:t>
              </w:r>
              <w:r w:rsidRPr="00975B37">
                <w:rPr>
                  <w:rFonts w:ascii="Times New Roman" w:hAnsi="Times New Roman" w:cs="Times New Roman"/>
                  <w:color w:val="000000" w:themeColor="text1"/>
                  <w:sz w:val="24"/>
                  <w:szCs w:val="24"/>
                </w:rPr>
                <w:t xml:space="preserve">(1), 81–112. </w:t>
              </w:r>
              <w:hyperlink r:id="rId16" w:tgtFrame="_new" w:history="1">
                <w:r w:rsidRPr="00975B37">
                  <w:rPr>
                    <w:rFonts w:ascii="Times New Roman" w:hAnsi="Times New Roman" w:cs="Times New Roman"/>
                    <w:color w:val="000000" w:themeColor="text1"/>
                    <w:sz w:val="24"/>
                    <w:szCs w:val="24"/>
                    <w:u w:val="single"/>
                  </w:rPr>
                  <w:t>https://doi.org/10.3102/003465430298487</w:t>
                </w:r>
              </w:hyperlink>
            </w:p>
            <w:p w14:paraId="28865A7B" w14:textId="6EC5A656" w:rsidR="00BD7C76" w:rsidRPr="00975B37" w:rsidRDefault="00BD7C76" w:rsidP="00BD7C76">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Henderson, C., Beach, A., &amp; Finkelstein, N. (2011). </w:t>
              </w:r>
              <w:r w:rsidRPr="00975B37">
                <w:rPr>
                  <w:rStyle w:val="Emphasis"/>
                  <w:rFonts w:ascii="Times New Roman" w:hAnsi="Times New Roman" w:cs="Times New Roman"/>
                  <w:color w:val="000000" w:themeColor="text1"/>
                  <w:sz w:val="24"/>
                  <w:szCs w:val="24"/>
                </w:rPr>
                <w:t>Facilitating change in undergraduate STEM instructional practices: An analytic review of the literature</w:t>
              </w:r>
              <w:r w:rsidRPr="00975B37">
                <w:rPr>
                  <w:rFonts w:ascii="Times New Roman" w:hAnsi="Times New Roman" w:cs="Times New Roman"/>
                  <w:color w:val="000000" w:themeColor="text1"/>
                  <w:sz w:val="24"/>
                  <w:szCs w:val="24"/>
                </w:rPr>
                <w:t>. Journal of Research in Science Teaching, 48(8), 952–984. https://doi.org/10.1002/tea.20439</w:t>
              </w:r>
            </w:p>
            <w:p w14:paraId="2D314E2C" w14:textId="3B8FFF45" w:rsidR="00926387" w:rsidRPr="00975B37" w:rsidRDefault="00926387" w:rsidP="00926387">
              <w:pPr>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Heritage, M. (2010). </w:t>
              </w:r>
              <w:r w:rsidRPr="00975B37">
                <w:rPr>
                  <w:rStyle w:val="Emphasis"/>
                  <w:rFonts w:ascii="Times New Roman" w:hAnsi="Times New Roman" w:cs="Times New Roman"/>
                  <w:color w:val="000000" w:themeColor="text1"/>
                  <w:sz w:val="24"/>
                  <w:szCs w:val="24"/>
                </w:rPr>
                <w:t>Formative assessment: Making it happen in the classroom.</w:t>
              </w:r>
              <w:r w:rsidRPr="00975B37">
                <w:rPr>
                  <w:rFonts w:ascii="Times New Roman" w:hAnsi="Times New Roman" w:cs="Times New Roman"/>
                  <w:color w:val="000000" w:themeColor="text1"/>
                  <w:sz w:val="24"/>
                  <w:szCs w:val="24"/>
                </w:rPr>
                <w:t xml:space="preserve"> Corwin.</w:t>
              </w:r>
            </w:p>
            <w:p w14:paraId="0F99BAF1" w14:textId="76698CC2" w:rsidR="001E3ED9" w:rsidRPr="00975B37" w:rsidRDefault="001E3ED9" w:rsidP="001E3ED9">
              <w:pPr>
                <w:pStyle w:val="Bibliography"/>
                <w:ind w:left="720" w:hanging="720"/>
                <w:jc w:val="both"/>
                <w:rPr>
                  <w:rFonts w:ascii="Times New Roman" w:hAnsi="Times New Roman" w:cs="Times New Roman"/>
                  <w:color w:val="000000" w:themeColor="text1"/>
                  <w:sz w:val="24"/>
                  <w:szCs w:val="24"/>
                </w:rPr>
              </w:pPr>
              <w:r w:rsidRPr="00975B37">
                <w:rPr>
                  <w:rStyle w:val="Strong"/>
                  <w:rFonts w:ascii="Times New Roman" w:hAnsi="Times New Roman" w:cs="Times New Roman"/>
                  <w:b w:val="0"/>
                  <w:color w:val="000000" w:themeColor="text1"/>
                  <w:sz w:val="24"/>
                  <w:szCs w:val="24"/>
                </w:rPr>
                <w:t>Hockings, C. (2021).</w:t>
              </w:r>
              <w:r w:rsidRPr="00975B37">
                <w:rPr>
                  <w:rFonts w:ascii="Times New Roman" w:hAnsi="Times New Roman" w:cs="Times New Roman"/>
                  <w:color w:val="000000" w:themeColor="text1"/>
                  <w:sz w:val="24"/>
                  <w:szCs w:val="24"/>
                </w:rPr>
                <w:t xml:space="preserve"> </w:t>
              </w:r>
              <w:r w:rsidRPr="00975B37">
                <w:rPr>
                  <w:rStyle w:val="Emphasis"/>
                  <w:rFonts w:ascii="Times New Roman" w:hAnsi="Times New Roman" w:cs="Times New Roman"/>
                  <w:color w:val="000000" w:themeColor="text1"/>
                  <w:sz w:val="24"/>
                  <w:szCs w:val="24"/>
                </w:rPr>
                <w:t>Inclusive teaching and learning in higher education: A synthesis of research.</w:t>
              </w:r>
              <w:r w:rsidRPr="00975B37">
                <w:rPr>
                  <w:rFonts w:ascii="Times New Roman" w:hAnsi="Times New Roman" w:cs="Times New Roman"/>
                  <w:color w:val="000000" w:themeColor="text1"/>
                  <w:sz w:val="24"/>
                  <w:szCs w:val="24"/>
                </w:rPr>
                <w:t xml:space="preserve"> London, UK: Routledge.</w:t>
              </w:r>
            </w:p>
            <w:p w14:paraId="1DC494FB" w14:textId="77777777" w:rsidR="00E46322" w:rsidRPr="00975B37" w:rsidRDefault="00BD7C76" w:rsidP="00E46322">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Huang, C., Wang, Y., Li, X., Ren, L., Zhao, J., Hu, Y., … Cao, B. (2020). Clinical features of patients infected with 2019 novel coronavirus in Wuhan, China. </w:t>
              </w:r>
              <w:r w:rsidRPr="00975B37">
                <w:rPr>
                  <w:rStyle w:val="Emphasis"/>
                  <w:rFonts w:ascii="Times New Roman" w:hAnsi="Times New Roman" w:cs="Times New Roman"/>
                  <w:color w:val="000000" w:themeColor="text1"/>
                  <w:sz w:val="24"/>
                  <w:szCs w:val="24"/>
                </w:rPr>
                <w:t>The Lancet, 395</w:t>
              </w:r>
              <w:r w:rsidRPr="00975B37">
                <w:rPr>
                  <w:rFonts w:ascii="Times New Roman" w:hAnsi="Times New Roman" w:cs="Times New Roman"/>
                  <w:color w:val="000000" w:themeColor="text1"/>
                  <w:sz w:val="24"/>
                  <w:szCs w:val="24"/>
                </w:rPr>
                <w:t>(10223), 497</w:t>
              </w:r>
              <w:r w:rsidRPr="00975B37">
                <w:rPr>
                  <w:rFonts w:ascii="Times New Roman" w:hAnsi="Times New Roman" w:cs="Times New Roman"/>
                  <w:color w:val="000000" w:themeColor="text1"/>
                  <w:sz w:val="24"/>
                  <w:szCs w:val="24"/>
                </w:rPr>
                <w:noBreakHyphen/>
                <w:t>506. https://doi.org/10.1016/S0140</w:t>
              </w:r>
              <w:r w:rsidRPr="00975B37">
                <w:rPr>
                  <w:rFonts w:ascii="Times New Roman" w:hAnsi="Times New Roman" w:cs="Times New Roman"/>
                  <w:color w:val="000000" w:themeColor="text1"/>
                  <w:sz w:val="24"/>
                  <w:szCs w:val="24"/>
                </w:rPr>
                <w:noBreakHyphen/>
                <w:t>6736(20)30183</w:t>
              </w:r>
              <w:r w:rsidRPr="00975B37">
                <w:rPr>
                  <w:rFonts w:ascii="Times New Roman" w:hAnsi="Times New Roman" w:cs="Times New Roman"/>
                  <w:color w:val="000000" w:themeColor="text1"/>
                  <w:sz w:val="24"/>
                  <w:szCs w:val="24"/>
                </w:rPr>
                <w:noBreakHyphen/>
                <w:t>5</w:t>
              </w:r>
            </w:p>
            <w:p w14:paraId="7DDEB746" w14:textId="77777777" w:rsidR="00A61A11" w:rsidRPr="00975B37" w:rsidRDefault="00E46322" w:rsidP="00A61A11">
              <w:pPr>
                <w:pStyle w:val="Bibliography"/>
                <w:ind w:left="720" w:hanging="720"/>
                <w:jc w:val="both"/>
                <w:rPr>
                  <w:rFonts w:ascii="Times New Roman" w:hAnsi="Times New Roman" w:cs="Times New Roman"/>
                  <w:color w:val="000000" w:themeColor="text1"/>
                  <w:sz w:val="24"/>
                  <w:szCs w:val="24"/>
                </w:rPr>
              </w:pPr>
              <w:r w:rsidRPr="00975B37">
                <w:rPr>
                  <w:rStyle w:val="Strong"/>
                  <w:rFonts w:ascii="Times New Roman" w:hAnsi="Times New Roman" w:cs="Times New Roman"/>
                  <w:b w:val="0"/>
                  <w:color w:val="000000" w:themeColor="text1"/>
                  <w:sz w:val="24"/>
                  <w:szCs w:val="24"/>
                </w:rPr>
                <w:t>Jennings, P. A. (2019).</w:t>
              </w:r>
              <w:r w:rsidRPr="00975B37">
                <w:rPr>
                  <w:rStyle w:val="Emphasis"/>
                  <w:rFonts w:ascii="Times New Roman" w:hAnsi="Times New Roman" w:cs="Times New Roman"/>
                  <w:color w:val="000000" w:themeColor="text1"/>
                  <w:sz w:val="24"/>
                  <w:szCs w:val="24"/>
                </w:rPr>
                <w:t>The mindful school: Transforming school culture through mindfulness and compassion.</w:t>
              </w:r>
              <w:r w:rsidRPr="00975B37">
                <w:rPr>
                  <w:rFonts w:ascii="Times New Roman" w:hAnsi="Times New Roman" w:cs="Times New Roman"/>
                  <w:color w:val="000000" w:themeColor="text1"/>
                  <w:sz w:val="24"/>
                  <w:szCs w:val="24"/>
                </w:rPr>
                <w:t xml:space="preserve"> W. W. Norton &amp; Company.</w:t>
              </w:r>
            </w:p>
            <w:p w14:paraId="48D6DA0C" w14:textId="77777777" w:rsidR="005F1189" w:rsidRPr="00975B37" w:rsidRDefault="00A61A11" w:rsidP="005F1189">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lastRenderedPageBreak/>
                <w:t xml:space="preserve">Johnson, D. W., Johnson, R. T., &amp; Smith, K. A. (2014). </w:t>
              </w:r>
              <w:r w:rsidRPr="00975B37">
                <w:rPr>
                  <w:rStyle w:val="Emphasis"/>
                  <w:rFonts w:ascii="Times New Roman" w:hAnsi="Times New Roman" w:cs="Times New Roman"/>
                  <w:color w:val="000000" w:themeColor="text1"/>
                  <w:sz w:val="24"/>
                  <w:szCs w:val="24"/>
                </w:rPr>
                <w:t>Cooperative learning: Improving university instruction by basing practice on validated theory</w:t>
              </w:r>
              <w:r w:rsidRPr="00975B37">
                <w:rPr>
                  <w:rFonts w:ascii="Times New Roman" w:hAnsi="Times New Roman" w:cs="Times New Roman"/>
                  <w:color w:val="000000" w:themeColor="text1"/>
                  <w:sz w:val="24"/>
                  <w:szCs w:val="24"/>
                </w:rPr>
                <w:t>. Journal on Excellence in College Teaching, 25(3&amp;4), 85–118.</w:t>
              </w:r>
            </w:p>
            <w:p w14:paraId="2F39EA3B" w14:textId="7577D426" w:rsidR="005F1189" w:rsidRPr="00975B37" w:rsidRDefault="005F1189" w:rsidP="005F1189">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Johnson, D. W., Johnson, R. T., &amp; Holubec, E. J. (2013). </w:t>
              </w:r>
              <w:r w:rsidRPr="00975B37">
                <w:rPr>
                  <w:rStyle w:val="Emphasis"/>
                  <w:rFonts w:ascii="Times New Roman" w:hAnsi="Times New Roman" w:cs="Times New Roman"/>
                  <w:color w:val="000000" w:themeColor="text1"/>
                  <w:sz w:val="24"/>
                  <w:szCs w:val="24"/>
                </w:rPr>
                <w:t>Cooperation in the classroom</w:t>
              </w:r>
              <w:r w:rsidRPr="00975B37">
                <w:rPr>
                  <w:rFonts w:ascii="Times New Roman" w:hAnsi="Times New Roman" w:cs="Times New Roman"/>
                  <w:color w:val="000000" w:themeColor="text1"/>
                  <w:sz w:val="24"/>
                  <w:szCs w:val="24"/>
                </w:rPr>
                <w:t xml:space="preserve"> (9th ed.). Interaction Book Company.</w:t>
              </w:r>
            </w:p>
            <w:p w14:paraId="32B92F3B" w14:textId="77777777" w:rsidR="00D359B3" w:rsidRPr="00975B37" w:rsidRDefault="00570A4A" w:rsidP="00D359B3">
              <w:pPr>
                <w:pStyle w:val="Bibliography"/>
                <w:ind w:left="720" w:hanging="720"/>
                <w:jc w:val="both"/>
                <w:rPr>
                  <w:rStyle w:val="Hyperlink"/>
                  <w:rFonts w:ascii="Times New Roman" w:hAnsi="Times New Roman" w:cs="Times New Roman"/>
                  <w:color w:val="000000" w:themeColor="text1"/>
                  <w:sz w:val="24"/>
                  <w:szCs w:val="24"/>
                  <w:u w:val="none"/>
                </w:rPr>
              </w:pPr>
              <w:r w:rsidRPr="00975B37">
                <w:rPr>
                  <w:rFonts w:ascii="Times New Roman" w:hAnsi="Times New Roman" w:cs="Times New Roman"/>
                  <w:color w:val="000000" w:themeColor="text1"/>
                  <w:sz w:val="24"/>
                  <w:szCs w:val="24"/>
                </w:rPr>
                <w:t xml:space="preserve">Karjanto, N., &amp; Acelajado, M. J. (2022). Sustainable learning, cognitive gains, and improved attitudes in college algebra flipped classrooms. </w:t>
              </w:r>
              <w:r w:rsidRPr="00975B37">
                <w:rPr>
                  <w:rStyle w:val="Emphasis"/>
                  <w:rFonts w:ascii="Times New Roman" w:hAnsi="Times New Roman" w:cs="Times New Roman"/>
                  <w:color w:val="000000" w:themeColor="text1"/>
                  <w:sz w:val="24"/>
                  <w:szCs w:val="24"/>
                </w:rPr>
                <w:t>arXiv</w:t>
              </w:r>
              <w:r w:rsidRPr="00975B37">
                <w:rPr>
                  <w:rFonts w:ascii="Times New Roman" w:hAnsi="Times New Roman" w:cs="Times New Roman"/>
                  <w:color w:val="000000" w:themeColor="text1"/>
                  <w:sz w:val="24"/>
                  <w:szCs w:val="24"/>
                </w:rPr>
                <w:t xml:space="preserve">. </w:t>
              </w:r>
              <w:hyperlink r:id="rId17" w:tgtFrame="_new" w:history="1">
                <w:r w:rsidRPr="00975B37">
                  <w:rPr>
                    <w:rStyle w:val="Hyperlink"/>
                    <w:rFonts w:ascii="Times New Roman" w:hAnsi="Times New Roman" w:cs="Times New Roman"/>
                    <w:color w:val="000000" w:themeColor="text1"/>
                    <w:sz w:val="24"/>
                    <w:szCs w:val="24"/>
                    <w:u w:val="none"/>
                  </w:rPr>
                  <w:t>https://arxiv.org/abs/2210.15979</w:t>
                </w:r>
              </w:hyperlink>
            </w:p>
            <w:p w14:paraId="2AC4B65C" w14:textId="77777777" w:rsidR="00DF59FA" w:rsidRPr="00975B37" w:rsidRDefault="006B2C66" w:rsidP="00DF59FA">
              <w:pPr>
                <w:pStyle w:val="Bibliography"/>
                <w:ind w:left="720" w:hanging="720"/>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Krause, K., &amp; Coates, H. (2008). </w:t>
              </w:r>
              <w:r w:rsidRPr="00975B37">
                <w:rPr>
                  <w:rStyle w:val="Emphasis"/>
                  <w:rFonts w:ascii="Times New Roman" w:hAnsi="Times New Roman" w:cs="Times New Roman"/>
                  <w:color w:val="000000" w:themeColor="text1"/>
                  <w:sz w:val="24"/>
                  <w:szCs w:val="24"/>
                </w:rPr>
                <w:t xml:space="preserve">Students’ engagement in first-year </w:t>
              </w:r>
              <w:r w:rsidR="00564F4B" w:rsidRPr="00975B37">
                <w:rPr>
                  <w:rStyle w:val="Emphasis"/>
                  <w:rFonts w:ascii="Times New Roman" w:hAnsi="Times New Roman" w:cs="Times New Roman"/>
                  <w:color w:val="000000" w:themeColor="text1"/>
                  <w:sz w:val="24"/>
                  <w:szCs w:val="24"/>
                </w:rPr>
                <w:t>University</w:t>
              </w:r>
              <w:r w:rsidRPr="00975B37">
                <w:rPr>
                  <w:rFonts w:ascii="Times New Roman" w:hAnsi="Times New Roman" w:cs="Times New Roman"/>
                  <w:color w:val="000000" w:themeColor="text1"/>
                  <w:sz w:val="24"/>
                  <w:szCs w:val="24"/>
                </w:rPr>
                <w:t xml:space="preserve">. </w:t>
              </w:r>
              <w:r w:rsidRPr="00975B37">
                <w:rPr>
                  <w:rStyle w:val="Strong"/>
                  <w:rFonts w:ascii="Times New Roman" w:hAnsi="Times New Roman" w:cs="Times New Roman"/>
                  <w:b w:val="0"/>
                  <w:color w:val="000000" w:themeColor="text1"/>
                  <w:sz w:val="24"/>
                  <w:szCs w:val="24"/>
                </w:rPr>
                <w:t>Assessment &amp; Evaluation in Higher Education</w:t>
              </w:r>
              <w:r w:rsidRPr="00975B37">
                <w:rPr>
                  <w:rStyle w:val="Strong"/>
                  <w:rFonts w:ascii="Times New Roman" w:hAnsi="Times New Roman" w:cs="Times New Roman"/>
                  <w:color w:val="000000" w:themeColor="text1"/>
                  <w:sz w:val="24"/>
                  <w:szCs w:val="24"/>
                </w:rPr>
                <w:t xml:space="preserve">, </w:t>
              </w:r>
              <w:r w:rsidRPr="00975B37">
                <w:rPr>
                  <w:rStyle w:val="Strong"/>
                  <w:rFonts w:ascii="Times New Roman" w:hAnsi="Times New Roman" w:cs="Times New Roman"/>
                  <w:b w:val="0"/>
                  <w:color w:val="000000" w:themeColor="text1"/>
                  <w:sz w:val="24"/>
                  <w:szCs w:val="24"/>
                </w:rPr>
                <w:t>33</w:t>
              </w:r>
              <w:r w:rsidRPr="00975B37">
                <w:rPr>
                  <w:rFonts w:ascii="Times New Roman" w:hAnsi="Times New Roman" w:cs="Times New Roman"/>
                  <w:color w:val="000000" w:themeColor="text1"/>
                  <w:sz w:val="24"/>
                  <w:szCs w:val="24"/>
                </w:rPr>
                <w:t>(5), 493–505. https://doi.org/10.1080/02602930701698892</w:t>
              </w:r>
            </w:p>
            <w:p w14:paraId="1EA2506A" w14:textId="5794C2FC" w:rsidR="00DF59FA" w:rsidRPr="00975B37" w:rsidRDefault="00DF59FA" w:rsidP="00DF59FA">
              <w:pPr>
                <w:pStyle w:val="Bibliography"/>
                <w:ind w:left="720" w:hanging="720"/>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Knowles, M. S. (1984). </w:t>
              </w:r>
              <w:r w:rsidRPr="00975B37">
                <w:rPr>
                  <w:rStyle w:val="Emphasis"/>
                  <w:rFonts w:ascii="Times New Roman" w:hAnsi="Times New Roman" w:cs="Times New Roman"/>
                  <w:color w:val="000000" w:themeColor="text1"/>
                  <w:sz w:val="24"/>
                  <w:szCs w:val="24"/>
                </w:rPr>
                <w:t>Andragogy in action: Applying modern principles of adult learning</w:t>
              </w:r>
              <w:r w:rsidRPr="00975B37">
                <w:rPr>
                  <w:rFonts w:ascii="Times New Roman" w:hAnsi="Times New Roman" w:cs="Times New Roman"/>
                  <w:color w:val="000000" w:themeColor="text1"/>
                  <w:sz w:val="24"/>
                  <w:szCs w:val="24"/>
                </w:rPr>
                <w:t>. San Francisco, CA: Jossey-Bass.</w:t>
              </w:r>
            </w:p>
            <w:p w14:paraId="2E7C7109" w14:textId="25DB8752" w:rsidR="00CA68AA" w:rsidRPr="00975B37" w:rsidRDefault="00CA68AA" w:rsidP="00CA68AA">
              <w:pPr>
                <w:pStyle w:val="Bibliography"/>
                <w:ind w:left="720" w:hanging="720"/>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Marzano, R. J., Marzano, J. S., &amp; Pickering, D. J. (2003). </w:t>
              </w:r>
              <w:r w:rsidRPr="00975B37">
                <w:rPr>
                  <w:rStyle w:val="Emphasis"/>
                  <w:rFonts w:ascii="Times New Roman" w:hAnsi="Times New Roman" w:cs="Times New Roman"/>
                  <w:color w:val="000000" w:themeColor="text1"/>
                  <w:sz w:val="24"/>
                  <w:szCs w:val="24"/>
                </w:rPr>
                <w:t>Classroom management that works: Research-based strategies for every teacher</w:t>
              </w:r>
              <w:r w:rsidRPr="00975B37">
                <w:rPr>
                  <w:rFonts w:ascii="Times New Roman" w:hAnsi="Times New Roman" w:cs="Times New Roman"/>
                  <w:color w:val="000000" w:themeColor="text1"/>
                  <w:sz w:val="24"/>
                  <w:szCs w:val="24"/>
                </w:rPr>
                <w:t>. ASCD.</w:t>
              </w:r>
            </w:p>
            <w:p w14:paraId="5FF1C371" w14:textId="77777777" w:rsidR="002F3EE5" w:rsidRPr="00975B37" w:rsidRDefault="00123EE8" w:rsidP="002F3EE5">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Martin, F., Polly, D., &amp; Ritzhaupt, A. D. (2020, September 8). </w:t>
              </w:r>
              <w:r w:rsidRPr="00975B37">
                <w:rPr>
                  <w:rFonts w:ascii="Times New Roman" w:hAnsi="Times New Roman" w:cs="Times New Roman"/>
                  <w:i/>
                  <w:iCs/>
                  <w:color w:val="000000" w:themeColor="text1"/>
                  <w:sz w:val="24"/>
                  <w:szCs w:val="24"/>
                </w:rPr>
                <w:t>Bichronous online learning: Blending asynchronous and synchronous online learning</w:t>
              </w:r>
              <w:r w:rsidRPr="00975B37">
                <w:rPr>
                  <w:rFonts w:ascii="Times New Roman" w:hAnsi="Times New Roman" w:cs="Times New Roman"/>
                  <w:color w:val="000000" w:themeColor="text1"/>
                  <w:sz w:val="24"/>
                  <w:szCs w:val="24"/>
                </w:rPr>
                <w:t>.</w:t>
              </w:r>
              <w:r w:rsidR="000605FF" w:rsidRPr="00975B37">
                <w:rPr>
                  <w:rFonts w:ascii="Times New Roman" w:hAnsi="Times New Roman" w:cs="Times New Roman"/>
                  <w:color w:val="000000" w:themeColor="text1"/>
                  <w:sz w:val="24"/>
                  <w:szCs w:val="24"/>
                </w:rPr>
                <w:t xml:space="preserve"> </w:t>
              </w:r>
              <w:r w:rsidR="0093028F" w:rsidRPr="00975B37">
                <w:rPr>
                  <w:rFonts w:ascii="Times New Roman" w:hAnsi="Times New Roman" w:cs="Times New Roman"/>
                  <w:color w:val="000000" w:themeColor="text1"/>
                  <w:sz w:val="24"/>
                  <w:szCs w:val="24"/>
                </w:rPr>
                <w:t>Educause</w:t>
              </w:r>
              <w:r w:rsidRPr="00975B37">
                <w:rPr>
                  <w:rFonts w:ascii="Times New Roman" w:hAnsi="Times New Roman" w:cs="Times New Roman"/>
                  <w:color w:val="000000" w:themeColor="text1"/>
                  <w:sz w:val="24"/>
                  <w:szCs w:val="24"/>
                </w:rPr>
                <w:t xml:space="preserve"> Review. </w:t>
              </w:r>
              <w:hyperlink r:id="rId18" w:tgtFrame="_new" w:history="1">
                <w:r w:rsidRPr="00975B37">
                  <w:rPr>
                    <w:rFonts w:ascii="Times New Roman" w:hAnsi="Times New Roman" w:cs="Times New Roman"/>
                    <w:color w:val="000000" w:themeColor="text1"/>
                    <w:sz w:val="24"/>
                    <w:szCs w:val="24"/>
                  </w:rPr>
                  <w:t>https://er.educause.edu/articles/2020/9/bichronous-online-learning-blending-asynchronous-and-synchronous-online-learning</w:t>
                </w:r>
              </w:hyperlink>
            </w:p>
            <w:p w14:paraId="6223E43A" w14:textId="77777777" w:rsidR="00026D27" w:rsidRPr="00975B37" w:rsidRDefault="002F3EE5" w:rsidP="00026D27">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Merriam, S. B. (2020). </w:t>
              </w:r>
              <w:r w:rsidRPr="00975B37">
                <w:rPr>
                  <w:rStyle w:val="Emphasis"/>
                  <w:rFonts w:ascii="Times New Roman" w:hAnsi="Times New Roman" w:cs="Times New Roman"/>
                  <w:color w:val="000000" w:themeColor="text1"/>
                  <w:sz w:val="24"/>
                  <w:szCs w:val="24"/>
                </w:rPr>
                <w:t>Qualitative research: A guide to design and implementation</w:t>
              </w:r>
              <w:r w:rsidRPr="00975B37">
                <w:rPr>
                  <w:rFonts w:ascii="Times New Roman" w:hAnsi="Times New Roman" w:cs="Times New Roman"/>
                  <w:color w:val="000000" w:themeColor="text1"/>
                  <w:sz w:val="24"/>
                  <w:szCs w:val="24"/>
                </w:rPr>
                <w:t xml:space="preserve"> (4th ed.). Jossey-Bass.</w:t>
              </w:r>
            </w:p>
            <w:p w14:paraId="67E49A8F" w14:textId="15F76C19" w:rsidR="00026D27" w:rsidRPr="00975B37" w:rsidRDefault="00026D27" w:rsidP="00026D27">
              <w:pPr>
                <w:pStyle w:val="Bibliography"/>
                <w:ind w:left="720" w:hanging="720"/>
                <w:jc w:val="both"/>
                <w:rPr>
                  <w:rFonts w:ascii="Times New Roman" w:hAnsi="Times New Roman" w:cs="Times New Roman"/>
                  <w:color w:val="000000" w:themeColor="text1"/>
                  <w:sz w:val="24"/>
                  <w:szCs w:val="24"/>
                </w:rPr>
              </w:pPr>
              <w:r w:rsidRPr="00975B37">
                <w:rPr>
                  <w:rStyle w:val="Strong"/>
                  <w:rFonts w:ascii="Times New Roman" w:hAnsi="Times New Roman" w:cs="Times New Roman"/>
                  <w:b w:val="0"/>
                  <w:color w:val="000000" w:themeColor="text1"/>
                  <w:sz w:val="24"/>
                  <w:szCs w:val="24"/>
                </w:rPr>
                <w:t>Meyer, A., Rose, D. H., &amp; Gordon, D.</w:t>
              </w:r>
              <w:r w:rsidRPr="00975B37">
                <w:rPr>
                  <w:rFonts w:ascii="Times New Roman" w:hAnsi="Times New Roman" w:cs="Times New Roman"/>
                  <w:color w:val="000000" w:themeColor="text1"/>
                  <w:sz w:val="24"/>
                  <w:szCs w:val="24"/>
                </w:rPr>
                <w:t xml:space="preserve"> (2014). </w:t>
              </w:r>
              <w:r w:rsidRPr="00975B37">
                <w:rPr>
                  <w:rStyle w:val="Emphasis"/>
                  <w:rFonts w:ascii="Times New Roman" w:hAnsi="Times New Roman" w:cs="Times New Roman"/>
                  <w:color w:val="000000" w:themeColor="text1"/>
                  <w:sz w:val="24"/>
                  <w:szCs w:val="24"/>
                </w:rPr>
                <w:t>Universal design for learning: Theory and practice</w:t>
              </w:r>
              <w:r w:rsidRPr="00975B37">
                <w:rPr>
                  <w:rFonts w:ascii="Times New Roman" w:hAnsi="Times New Roman" w:cs="Times New Roman"/>
                  <w:color w:val="000000" w:themeColor="text1"/>
                  <w:sz w:val="24"/>
                  <w:szCs w:val="24"/>
                </w:rPr>
                <w:t>. CAST Professional Publishing.</w:t>
              </w:r>
            </w:p>
            <w:p w14:paraId="447DE8A6" w14:textId="77777777" w:rsidR="00570A4A" w:rsidRPr="00975B37" w:rsidRDefault="00570A4A" w:rsidP="00580EDB">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Michaelsen, L. K., Watson, W. E., Cragin, J. P., &amp; Fink, L. D. (2012). Team‐based learning. In N. J. Salkind (Ed.), </w:t>
              </w:r>
              <w:r w:rsidRPr="00975B37">
                <w:rPr>
                  <w:rStyle w:val="Emphasis"/>
                  <w:rFonts w:ascii="Times New Roman" w:hAnsi="Times New Roman" w:cs="Times New Roman"/>
                  <w:color w:val="000000" w:themeColor="text1"/>
                  <w:sz w:val="24"/>
                  <w:szCs w:val="24"/>
                </w:rPr>
                <w:t>Encyclopedia of educational psychology</w:t>
              </w:r>
              <w:r w:rsidRPr="00975B37">
                <w:rPr>
                  <w:rFonts w:ascii="Times New Roman" w:hAnsi="Times New Roman" w:cs="Times New Roman"/>
                  <w:color w:val="000000" w:themeColor="text1"/>
                  <w:sz w:val="24"/>
                  <w:szCs w:val="24"/>
                </w:rPr>
                <w:t xml:space="preserve"> (Vol. 4, pp. 1088–1091). SAGE Publications.</w:t>
              </w:r>
            </w:p>
            <w:p w14:paraId="02ABDFF3" w14:textId="68AFC3CD" w:rsidR="00AF0C34" w:rsidRPr="00975B37" w:rsidRDefault="00AF0C34" w:rsidP="00B74986">
              <w:pPr>
                <w:spacing w:after="0" w:line="240" w:lineRule="auto"/>
                <w:ind w:left="720" w:hanging="720"/>
                <w:jc w:val="both"/>
                <w:rPr>
                  <w:rFonts w:ascii="Times New Roman" w:eastAsia="Times New Roman" w:hAnsi="Times New Roman" w:cs="Times New Roman"/>
                  <w:i/>
                  <w:iCs/>
                  <w:color w:val="000000" w:themeColor="text1"/>
                </w:rPr>
              </w:pPr>
              <w:r w:rsidRPr="00975B37">
                <w:rPr>
                  <w:rFonts w:ascii="Times New Roman" w:eastAsia="Times New Roman" w:hAnsi="Times New Roman" w:cs="Times New Roman"/>
                  <w:color w:val="000000" w:themeColor="text1"/>
                </w:rPr>
                <w:t xml:space="preserve">Nabaho, L. (2023). Student autonomy and engagement in Africa. </w:t>
              </w:r>
              <w:r w:rsidRPr="00975B37">
                <w:rPr>
                  <w:rFonts w:ascii="Times New Roman" w:eastAsia="Times New Roman" w:hAnsi="Times New Roman" w:cs="Times New Roman"/>
                  <w:i/>
                  <w:iCs/>
                  <w:color w:val="000000" w:themeColor="text1"/>
                </w:rPr>
                <w:t>Journal of Higher Education in Africa, 21(1), 119–138.</w:t>
              </w:r>
            </w:p>
            <w:p w14:paraId="038C2E69" w14:textId="32A990BD" w:rsidR="009126BE" w:rsidRPr="00975B37" w:rsidRDefault="009126BE" w:rsidP="00B74986">
              <w:pPr>
                <w:spacing w:after="0" w:line="240" w:lineRule="auto"/>
                <w:ind w:left="720" w:hanging="720"/>
                <w:jc w:val="both"/>
                <w:rPr>
                  <w:rFonts w:ascii="Times New Roman" w:eastAsia="Times New Roman" w:hAnsi="Times New Roman" w:cs="Times New Roman"/>
                  <w:i/>
                  <w:iCs/>
                  <w:color w:val="000000" w:themeColor="text1"/>
                  <w:sz w:val="24"/>
                  <w:szCs w:val="24"/>
                </w:rPr>
              </w:pPr>
              <w:r w:rsidRPr="00975B37">
                <w:rPr>
                  <w:rFonts w:ascii="Times New Roman" w:hAnsi="Times New Roman" w:cs="Times New Roman"/>
                  <w:color w:val="000000" w:themeColor="text1"/>
                  <w:sz w:val="24"/>
                  <w:szCs w:val="24"/>
                </w:rPr>
                <w:t xml:space="preserve">Nicol, D. J., &amp; Macfarlane-Dick, D. (2006). Formative assessment and self-regulated learning: A model and seven principles of good feedback practice. </w:t>
              </w:r>
              <w:r w:rsidRPr="00975B37">
                <w:rPr>
                  <w:rFonts w:ascii="Times New Roman" w:hAnsi="Times New Roman" w:cs="Times New Roman"/>
                  <w:i/>
                  <w:iCs/>
                  <w:color w:val="000000" w:themeColor="text1"/>
                  <w:sz w:val="24"/>
                  <w:szCs w:val="24"/>
                </w:rPr>
                <w:t>Studies in Higher Education, 31</w:t>
              </w:r>
              <w:r w:rsidRPr="00975B37">
                <w:rPr>
                  <w:rFonts w:ascii="Times New Roman" w:hAnsi="Times New Roman" w:cs="Times New Roman"/>
                  <w:color w:val="000000" w:themeColor="text1"/>
                  <w:sz w:val="24"/>
                  <w:szCs w:val="24"/>
                </w:rPr>
                <w:t xml:space="preserve">(2), 199–218. </w:t>
              </w:r>
              <w:hyperlink r:id="rId19" w:tgtFrame="_new" w:history="1">
                <w:r w:rsidRPr="00975B37">
                  <w:rPr>
                    <w:rFonts w:ascii="Times New Roman" w:hAnsi="Times New Roman" w:cs="Times New Roman"/>
                    <w:color w:val="000000" w:themeColor="text1"/>
                    <w:sz w:val="24"/>
                    <w:szCs w:val="24"/>
                    <w:u w:val="single"/>
                  </w:rPr>
                  <w:t>https://doi.org/10.1080/03075070600572090</w:t>
                </w:r>
              </w:hyperlink>
            </w:p>
            <w:p w14:paraId="00BB5A54" w14:textId="77777777" w:rsidR="005C65FE" w:rsidRPr="00975B37" w:rsidRDefault="00264F85" w:rsidP="005C65FE">
              <w:pPr>
                <w:pStyle w:val="Bibliography"/>
                <w:ind w:left="720" w:hanging="720"/>
                <w:jc w:val="both"/>
                <w:rPr>
                  <w:rStyle w:val="Hyperlink"/>
                  <w:rFonts w:ascii="Times New Roman" w:hAnsi="Times New Roman" w:cs="Times New Roman"/>
                  <w:color w:val="000000" w:themeColor="text1"/>
                  <w:sz w:val="24"/>
                  <w:szCs w:val="24"/>
                  <w:u w:val="none"/>
                </w:rPr>
              </w:pPr>
              <w:r w:rsidRPr="00975B37">
                <w:rPr>
                  <w:rFonts w:ascii="Times New Roman" w:hAnsi="Times New Roman" w:cs="Times New Roman"/>
                  <w:color w:val="000000" w:themeColor="text1"/>
                  <w:sz w:val="24"/>
                  <w:szCs w:val="24"/>
                </w:rPr>
                <w:fldChar w:fldCharType="begin"/>
              </w:r>
              <w:r w:rsidRPr="00975B37">
                <w:rPr>
                  <w:rFonts w:ascii="Times New Roman" w:hAnsi="Times New Roman" w:cs="Times New Roman"/>
                  <w:color w:val="000000" w:themeColor="text1"/>
                  <w:sz w:val="24"/>
                  <w:szCs w:val="24"/>
                </w:rPr>
                <w:instrText xml:space="preserve"> BIBLIOGRAPHY </w:instrText>
              </w:r>
              <w:r w:rsidRPr="00975B37">
                <w:rPr>
                  <w:rFonts w:ascii="Times New Roman" w:hAnsi="Times New Roman" w:cs="Times New Roman"/>
                  <w:color w:val="000000" w:themeColor="text1"/>
                  <w:sz w:val="24"/>
                  <w:szCs w:val="24"/>
                </w:rPr>
                <w:fldChar w:fldCharType="separate"/>
              </w:r>
              <w:r w:rsidRPr="00975B37">
                <w:rPr>
                  <w:rFonts w:ascii="Times New Roman" w:hAnsi="Times New Roman" w:cs="Times New Roman"/>
                  <w:color w:val="000000" w:themeColor="text1"/>
                  <w:sz w:val="24"/>
                  <w:szCs w:val="24"/>
                </w:rPr>
                <w:t xml:space="preserve">Karjanto, N., &amp; Acelajado, M. J. (2022). Sustainable learning, cognitive gains, and improved attitudes in college algebra flipped classrooms. </w:t>
              </w:r>
              <w:r w:rsidRPr="00975B37">
                <w:rPr>
                  <w:rStyle w:val="Emphasis"/>
                  <w:rFonts w:ascii="Times New Roman" w:hAnsi="Times New Roman" w:cs="Times New Roman"/>
                  <w:color w:val="000000" w:themeColor="text1"/>
                  <w:sz w:val="24"/>
                  <w:szCs w:val="24"/>
                </w:rPr>
                <w:t>arXiv</w:t>
              </w:r>
              <w:r w:rsidRPr="00975B37">
                <w:rPr>
                  <w:rFonts w:ascii="Times New Roman" w:hAnsi="Times New Roman" w:cs="Times New Roman"/>
                  <w:color w:val="000000" w:themeColor="text1"/>
                  <w:sz w:val="24"/>
                  <w:szCs w:val="24"/>
                </w:rPr>
                <w:t xml:space="preserve">. </w:t>
              </w:r>
              <w:hyperlink r:id="rId20" w:tgtFrame="_new" w:history="1">
                <w:r w:rsidRPr="00975B37">
                  <w:rPr>
                    <w:rStyle w:val="Hyperlink"/>
                    <w:rFonts w:ascii="Times New Roman" w:hAnsi="Times New Roman" w:cs="Times New Roman"/>
                    <w:color w:val="000000" w:themeColor="text1"/>
                    <w:sz w:val="24"/>
                    <w:szCs w:val="24"/>
                    <w:u w:val="none"/>
                  </w:rPr>
                  <w:t>https://arxiv.org/abs/2210.15979</w:t>
                </w:r>
              </w:hyperlink>
            </w:p>
            <w:p w14:paraId="644C815D" w14:textId="2E85019D" w:rsidR="005C65FE" w:rsidRPr="00975B37" w:rsidRDefault="005C65FE" w:rsidP="005C65FE">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Martin, F., Polly, D., &amp; Ritzhaupt, A. D. (2020, September 8). </w:t>
              </w:r>
              <w:r w:rsidRPr="00975B37">
                <w:rPr>
                  <w:rFonts w:ascii="Times New Roman" w:hAnsi="Times New Roman" w:cs="Times New Roman"/>
                  <w:i/>
                  <w:iCs/>
                  <w:color w:val="000000" w:themeColor="text1"/>
                  <w:sz w:val="24"/>
                  <w:szCs w:val="24"/>
                </w:rPr>
                <w:t>Bichronous online learning: Blending asynchronous and synchronous online learning</w:t>
              </w:r>
              <w:r w:rsidRPr="00975B37">
                <w:rPr>
                  <w:rFonts w:ascii="Times New Roman" w:hAnsi="Times New Roman" w:cs="Times New Roman"/>
                  <w:color w:val="000000" w:themeColor="text1"/>
                  <w:sz w:val="24"/>
                  <w:szCs w:val="24"/>
                </w:rPr>
                <w:t xml:space="preserve">. EDUCAUSE Review. </w:t>
              </w:r>
              <w:hyperlink r:id="rId21" w:tgtFrame="_new" w:history="1">
                <w:r w:rsidRPr="00975B37">
                  <w:rPr>
                    <w:rFonts w:ascii="Times New Roman" w:hAnsi="Times New Roman" w:cs="Times New Roman"/>
                    <w:color w:val="000000" w:themeColor="text1"/>
                    <w:sz w:val="24"/>
                    <w:szCs w:val="24"/>
                  </w:rPr>
                  <w:t>https://er.educause.edu/articles/2020/9/bichronous-online-learning-blending-asynchronous-and-synchronous-online-learning</w:t>
                </w:r>
              </w:hyperlink>
            </w:p>
            <w:p w14:paraId="46768D19" w14:textId="77777777" w:rsidR="00BC1F6E" w:rsidRPr="00975B37" w:rsidRDefault="00264F85" w:rsidP="00BC1F6E">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lastRenderedPageBreak/>
                <w:t xml:space="preserve">Michaelsen, L. K., Watson, W. E., Cragin, J. P., &amp; Fink, L. D. (2012). Team‐based learning. In N. J. Salkind (Ed.), </w:t>
              </w:r>
              <w:r w:rsidRPr="00975B37">
                <w:rPr>
                  <w:rStyle w:val="Emphasis"/>
                  <w:rFonts w:ascii="Times New Roman" w:hAnsi="Times New Roman" w:cs="Times New Roman"/>
                  <w:color w:val="000000" w:themeColor="text1"/>
                  <w:sz w:val="24"/>
                  <w:szCs w:val="24"/>
                </w:rPr>
                <w:t>Encyclopedia of educational psychology</w:t>
              </w:r>
              <w:r w:rsidRPr="00975B37">
                <w:rPr>
                  <w:rFonts w:ascii="Times New Roman" w:hAnsi="Times New Roman" w:cs="Times New Roman"/>
                  <w:color w:val="000000" w:themeColor="text1"/>
                  <w:sz w:val="24"/>
                  <w:szCs w:val="24"/>
                </w:rPr>
                <w:t xml:space="preserve"> (Vol. 4, pp. 1088–1091). SAGE Publications.</w:t>
              </w:r>
            </w:p>
            <w:p w14:paraId="75F790DD" w14:textId="77777777" w:rsidR="009213C7" w:rsidRPr="00975B37" w:rsidRDefault="00F060EE" w:rsidP="009213C7">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Muller,C.,&amp; Mildenberger, T. (2021). Facilitating flexible learning by replacing classroom time with online learning environment.A systematic review of blended learning in higher education.</w:t>
              </w:r>
            </w:p>
            <w:p w14:paraId="208D9741" w14:textId="683E8ACA" w:rsidR="009213C7" w:rsidRPr="00975B37" w:rsidRDefault="009213C7" w:rsidP="009213C7">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Mhlongo, S., Mbatha, K., Ramatsetse, B., &amp; Dlamini, R. (2023). </w:t>
              </w:r>
              <w:r w:rsidRPr="00975B37">
                <w:rPr>
                  <w:rFonts w:ascii="Times New Roman" w:hAnsi="Times New Roman" w:cs="Times New Roman"/>
                  <w:i/>
                  <w:iCs/>
                  <w:color w:val="000000" w:themeColor="text1"/>
                  <w:sz w:val="24"/>
                  <w:szCs w:val="24"/>
                </w:rPr>
                <w:t>Challenges, opportunities, and prospects of adopting and using smart digital technologies in learning environments: An iterative review.</w:t>
              </w:r>
              <w:r w:rsidRPr="00975B37">
                <w:rPr>
                  <w:rFonts w:ascii="Times New Roman" w:hAnsi="Times New Roman" w:cs="Times New Roman"/>
                  <w:color w:val="000000" w:themeColor="text1"/>
                  <w:sz w:val="24"/>
                  <w:szCs w:val="24"/>
                </w:rPr>
                <w:t xml:space="preserve"> </w:t>
              </w:r>
              <w:r w:rsidRPr="00975B37">
                <w:rPr>
                  <w:rFonts w:ascii="Times New Roman" w:hAnsi="Times New Roman" w:cs="Times New Roman"/>
                  <w:i/>
                  <w:iCs/>
                  <w:color w:val="000000" w:themeColor="text1"/>
                  <w:sz w:val="24"/>
                  <w:szCs w:val="24"/>
                </w:rPr>
                <w:t>Heliyon, 9</w:t>
              </w:r>
              <w:r w:rsidRPr="00975B37">
                <w:rPr>
                  <w:rFonts w:ascii="Times New Roman" w:hAnsi="Times New Roman" w:cs="Times New Roman"/>
                  <w:color w:val="000000" w:themeColor="text1"/>
                  <w:sz w:val="24"/>
                  <w:szCs w:val="24"/>
                </w:rPr>
                <w:t xml:space="preserve">(6), e16348. </w:t>
              </w:r>
              <w:hyperlink r:id="rId22" w:tgtFrame="_new" w:history="1">
                <w:r w:rsidRPr="00975B37">
                  <w:rPr>
                    <w:rFonts w:ascii="Times New Roman" w:hAnsi="Times New Roman" w:cs="Times New Roman"/>
                    <w:color w:val="000000" w:themeColor="text1"/>
                    <w:sz w:val="24"/>
                    <w:szCs w:val="24"/>
                  </w:rPr>
                  <w:t>https://doi.org/10.1016/j.heliyon.2023.e16348</w:t>
                </w:r>
              </w:hyperlink>
            </w:p>
            <w:p w14:paraId="55E4CA2E" w14:textId="77777777" w:rsidR="00E46322" w:rsidRPr="00975B37" w:rsidRDefault="00264F85" w:rsidP="00E46322">
              <w:pPr>
                <w:pStyle w:val="Bibliography"/>
                <w:ind w:left="720" w:hanging="720"/>
                <w:jc w:val="both"/>
                <w:rPr>
                  <w:rStyle w:val="Hyperlink"/>
                  <w:rFonts w:ascii="Times New Roman" w:hAnsi="Times New Roman" w:cs="Times New Roman"/>
                  <w:color w:val="000000" w:themeColor="text1"/>
                  <w:sz w:val="24"/>
                  <w:szCs w:val="24"/>
                  <w:u w:val="none"/>
                </w:rPr>
              </w:pPr>
              <w:r w:rsidRPr="00975B37">
                <w:rPr>
                  <w:rFonts w:ascii="Times New Roman" w:hAnsi="Times New Roman" w:cs="Times New Roman"/>
                  <w:color w:val="000000" w:themeColor="text1"/>
                  <w:sz w:val="24"/>
                  <w:szCs w:val="24"/>
                </w:rPr>
                <w:t xml:space="preserve">Pérez-Juárez, M. Á., González-Ortega, D., &amp; Aguiar-Pérez, J. M. (2024). Digital distractions from the point of view of higher education students. </w:t>
              </w:r>
              <w:r w:rsidRPr="00975B37">
                <w:rPr>
                  <w:rStyle w:val="Emphasis"/>
                  <w:rFonts w:ascii="Times New Roman" w:hAnsi="Times New Roman" w:cs="Times New Roman"/>
                  <w:color w:val="000000" w:themeColor="text1"/>
                  <w:sz w:val="24"/>
                  <w:szCs w:val="24"/>
                </w:rPr>
                <w:t>arXiv</w:t>
              </w:r>
              <w:r w:rsidRPr="00975B37">
                <w:rPr>
                  <w:rFonts w:ascii="Times New Roman" w:hAnsi="Times New Roman" w:cs="Times New Roman"/>
                  <w:color w:val="000000" w:themeColor="text1"/>
                  <w:sz w:val="24"/>
                  <w:szCs w:val="24"/>
                </w:rPr>
                <w:t xml:space="preserve">. </w:t>
              </w:r>
              <w:hyperlink r:id="rId23" w:tgtFrame="_new" w:history="1">
                <w:r w:rsidRPr="00975B37">
                  <w:rPr>
                    <w:rStyle w:val="Hyperlink"/>
                    <w:rFonts w:ascii="Times New Roman" w:hAnsi="Times New Roman" w:cs="Times New Roman"/>
                    <w:color w:val="000000" w:themeColor="text1"/>
                    <w:sz w:val="24"/>
                    <w:szCs w:val="24"/>
                    <w:u w:val="none"/>
                  </w:rPr>
                  <w:t>https://arxiv.org/abs/2402.05249</w:t>
                </w:r>
              </w:hyperlink>
            </w:p>
            <w:p w14:paraId="35BF203D" w14:textId="77777777" w:rsidR="00D211BC" w:rsidRPr="00975B37" w:rsidRDefault="00E46322" w:rsidP="008D123B">
              <w:pPr>
                <w:pStyle w:val="Bibliography"/>
                <w:ind w:left="720" w:hanging="720"/>
                <w:jc w:val="both"/>
                <w:rPr>
                  <w:rFonts w:ascii="Times New Roman" w:hAnsi="Times New Roman" w:cs="Times New Roman"/>
                  <w:color w:val="000000" w:themeColor="text1"/>
                </w:rPr>
              </w:pPr>
              <w:r w:rsidRPr="00975B37">
                <w:rPr>
                  <w:rStyle w:val="Strong"/>
                  <w:rFonts w:ascii="Times New Roman" w:hAnsi="Times New Roman" w:cs="Times New Roman"/>
                  <w:b w:val="0"/>
                  <w:color w:val="000000" w:themeColor="text1"/>
                </w:rPr>
                <w:t>Perry, B. D., &amp; Daniels, M. L. (2016).</w:t>
              </w:r>
              <w:r w:rsidRPr="00975B37">
                <w:rPr>
                  <w:rFonts w:ascii="Times New Roman" w:hAnsi="Times New Roman" w:cs="Times New Roman"/>
                  <w:color w:val="000000" w:themeColor="text1"/>
                </w:rPr>
                <w:t xml:space="preserve">Translating childhood adversity and trauma into neurodevelopmental research: Implications for practice and policy. </w:t>
              </w:r>
              <w:r w:rsidRPr="00975B37">
                <w:rPr>
                  <w:rStyle w:val="Emphasis"/>
                  <w:rFonts w:ascii="Times New Roman" w:hAnsi="Times New Roman" w:cs="Times New Roman"/>
                  <w:color w:val="000000" w:themeColor="text1"/>
                </w:rPr>
                <w:t>Journal of Applied Developmental Psychology, 47</w:t>
              </w:r>
              <w:r w:rsidRPr="00975B37">
                <w:rPr>
                  <w:rFonts w:ascii="Times New Roman" w:hAnsi="Times New Roman" w:cs="Times New Roman"/>
                  <w:color w:val="000000" w:themeColor="text1"/>
                </w:rPr>
                <w:t>, 1–7. https://doi.org/10.1016/j.appdev.2016.01.002</w:t>
              </w:r>
              <w:r w:rsidR="00D211BC" w:rsidRPr="00975B37">
                <w:rPr>
                  <w:rFonts w:ascii="Times New Roman" w:hAnsi="Times New Roman" w:cs="Times New Roman"/>
                  <w:color w:val="000000" w:themeColor="text1"/>
                </w:rPr>
                <w:t>.</w:t>
              </w:r>
            </w:p>
            <w:p w14:paraId="7E9E68EC" w14:textId="4041D413" w:rsidR="00D211BC" w:rsidRPr="00975B37" w:rsidRDefault="00D211BC" w:rsidP="00D211BC">
              <w:pPr>
                <w:pStyle w:val="Bibliography"/>
                <w:ind w:left="720" w:hanging="720"/>
                <w:jc w:val="both"/>
                <w:rPr>
                  <w:rFonts w:ascii="Times New Roman" w:hAnsi="Times New Roman" w:cs="Times New Roman"/>
                  <w:color w:val="000000" w:themeColor="text1"/>
                  <w:sz w:val="24"/>
                  <w:szCs w:val="24"/>
                </w:rPr>
              </w:pPr>
              <w:r w:rsidRPr="00975B37">
                <w:rPr>
                  <w:rStyle w:val="Strong"/>
                  <w:rFonts w:ascii="Times New Roman" w:hAnsi="Times New Roman" w:cs="Times New Roman"/>
                  <w:b w:val="0"/>
                  <w:color w:val="000000" w:themeColor="text1"/>
                  <w:sz w:val="24"/>
                  <w:szCs w:val="24"/>
                </w:rPr>
                <w:t>Rao, K., Ok, M. W., &amp; Bryant, B. R.</w:t>
              </w:r>
              <w:r w:rsidRPr="00975B37">
                <w:rPr>
                  <w:rFonts w:ascii="Times New Roman" w:hAnsi="Times New Roman" w:cs="Times New Roman"/>
                  <w:color w:val="000000" w:themeColor="text1"/>
                  <w:sz w:val="24"/>
                  <w:szCs w:val="24"/>
                </w:rPr>
                <w:t xml:space="preserve"> (2014). </w:t>
              </w:r>
              <w:r w:rsidRPr="00975B37">
                <w:rPr>
                  <w:rStyle w:val="Emphasis"/>
                  <w:rFonts w:ascii="Times New Roman" w:hAnsi="Times New Roman" w:cs="Times New Roman"/>
                  <w:color w:val="000000" w:themeColor="text1"/>
                  <w:sz w:val="24"/>
                  <w:szCs w:val="24"/>
                </w:rPr>
                <w:t>Universal design for learning in online courses: Practical applications</w:t>
              </w:r>
              <w:r w:rsidRPr="00975B37">
                <w:rPr>
                  <w:rFonts w:ascii="Times New Roman" w:hAnsi="Times New Roman" w:cs="Times New Roman"/>
                  <w:color w:val="000000" w:themeColor="text1"/>
                  <w:sz w:val="24"/>
                  <w:szCs w:val="24"/>
                </w:rPr>
                <w:t>. Journal of Special Education Technology, 29(3), 1–15. https://doi.org/10.1177/016264341402900301</w:t>
              </w:r>
            </w:p>
            <w:p w14:paraId="38C9DD9A" w14:textId="7A4D10FE" w:rsidR="008D123B" w:rsidRPr="00975B37" w:rsidRDefault="008D123B" w:rsidP="008D123B">
              <w:pPr>
                <w:pStyle w:val="Bibliography"/>
                <w:ind w:left="720" w:hanging="720"/>
                <w:jc w:val="both"/>
                <w:rPr>
                  <w:rFonts w:ascii="Times New Roman" w:hAnsi="Times New Roman" w:cs="Times New Roman"/>
                  <w:color w:val="000000" w:themeColor="text1"/>
                </w:rPr>
              </w:pPr>
              <w:r w:rsidRPr="00975B37">
                <w:rPr>
                  <w:rFonts w:ascii="Times New Roman" w:hAnsi="Times New Roman" w:cs="Times New Roman"/>
                  <w:color w:val="000000" w:themeColor="text1"/>
                  <w:sz w:val="24"/>
                  <w:szCs w:val="24"/>
                </w:rPr>
                <w:t xml:space="preserve">Rose, D., &amp; Meyer, A. (2002). </w:t>
              </w:r>
              <w:r w:rsidRPr="00975B37">
                <w:rPr>
                  <w:rStyle w:val="Emphasis"/>
                  <w:rFonts w:ascii="Times New Roman" w:hAnsi="Times New Roman" w:cs="Times New Roman"/>
                  <w:color w:val="000000" w:themeColor="text1"/>
                  <w:sz w:val="24"/>
                  <w:szCs w:val="24"/>
                </w:rPr>
                <w:t>Teaching every student in the digital age: Universal Design for Learning</w:t>
              </w:r>
              <w:r w:rsidRPr="00975B37">
                <w:rPr>
                  <w:rFonts w:ascii="Times New Roman" w:hAnsi="Times New Roman" w:cs="Times New Roman"/>
                  <w:color w:val="000000" w:themeColor="text1"/>
                  <w:sz w:val="24"/>
                  <w:szCs w:val="24"/>
                </w:rPr>
                <w:t>. Association for Supervision and Curriculum Development.</w:t>
              </w:r>
            </w:p>
            <w:p w14:paraId="18F75287" w14:textId="77777777" w:rsidR="00A52A7F" w:rsidRPr="00975B37" w:rsidRDefault="00264F85" w:rsidP="007A6249">
              <w:pPr>
                <w:pStyle w:val="Bibliography"/>
                <w:ind w:left="720" w:hanging="720"/>
                <w:jc w:val="both"/>
                <w:rPr>
                  <w:rFonts w:ascii="Times New Roman" w:eastAsia="Times New Roman" w:hAnsi="Times New Roman" w:cs="Times New Roman"/>
                  <w:color w:val="000000" w:themeColor="text1"/>
                  <w:sz w:val="24"/>
                  <w:szCs w:val="24"/>
                  <w:lang w:val="en-US"/>
                </w:rPr>
              </w:pPr>
              <w:r w:rsidRPr="00975B37">
                <w:rPr>
                  <w:rFonts w:ascii="Times New Roman" w:eastAsia="Times New Roman" w:hAnsi="Times New Roman" w:cs="Times New Roman"/>
                  <w:color w:val="000000" w:themeColor="text1"/>
                  <w:sz w:val="24"/>
                  <w:szCs w:val="24"/>
                  <w:lang w:val="en-US"/>
                </w:rPr>
                <w:t xml:space="preserve">Sánchez-Prieto, J. C., García-Peñalvo, F. J., &amp; Olmos-Migueláñez, S. (2022). </w:t>
              </w:r>
              <w:r w:rsidRPr="00975B37">
                <w:rPr>
                  <w:rFonts w:ascii="Times New Roman" w:eastAsia="Times New Roman" w:hAnsi="Times New Roman" w:cs="Times New Roman"/>
                  <w:i/>
                  <w:iCs/>
                  <w:color w:val="000000" w:themeColor="text1"/>
                  <w:sz w:val="24"/>
                  <w:szCs w:val="24"/>
                  <w:lang w:val="en-US"/>
                </w:rPr>
                <w:t>Learning management systems in education: Research trends and challenges</w:t>
              </w:r>
              <w:r w:rsidRPr="00975B37">
                <w:rPr>
                  <w:rFonts w:ascii="Times New Roman" w:eastAsia="Times New Roman" w:hAnsi="Times New Roman" w:cs="Times New Roman"/>
                  <w:color w:val="000000" w:themeColor="text1"/>
                  <w:sz w:val="24"/>
                  <w:szCs w:val="24"/>
                  <w:lang w:val="en-US"/>
                </w:rPr>
                <w:t xml:space="preserve">. </w:t>
              </w:r>
              <w:r w:rsidRPr="00975B37">
                <w:rPr>
                  <w:rFonts w:ascii="Times New Roman" w:eastAsia="Times New Roman" w:hAnsi="Times New Roman" w:cs="Times New Roman"/>
                  <w:i/>
                  <w:iCs/>
                  <w:color w:val="000000" w:themeColor="text1"/>
                  <w:sz w:val="24"/>
                  <w:szCs w:val="24"/>
                  <w:lang w:val="en-US"/>
                </w:rPr>
                <w:t>Education and Information Technologies, 27</w:t>
              </w:r>
              <w:r w:rsidRPr="00975B37">
                <w:rPr>
                  <w:rFonts w:ascii="Times New Roman" w:eastAsia="Times New Roman" w:hAnsi="Times New Roman" w:cs="Times New Roman"/>
                  <w:color w:val="000000" w:themeColor="text1"/>
                  <w:sz w:val="24"/>
                  <w:szCs w:val="24"/>
                  <w:lang w:val="en-US"/>
                </w:rPr>
                <w:t>(3), 3457–3475. https://doi.org/10.1007/s10639-021-10834-</w:t>
              </w:r>
            </w:p>
            <w:p w14:paraId="7D3CD6DF" w14:textId="77777777" w:rsidR="00AF54C1" w:rsidRPr="00975B37" w:rsidRDefault="00A52A7F" w:rsidP="00AF54C1">
              <w:pPr>
                <w:pStyle w:val="Bibliography"/>
                <w:ind w:left="720" w:hanging="720"/>
                <w:jc w:val="both"/>
                <w:rPr>
                  <w:rFonts w:ascii="Times New Roman" w:eastAsia="Times New Roman" w:hAnsi="Times New Roman" w:cs="Times New Roman"/>
                  <w:color w:val="000000" w:themeColor="text1"/>
                  <w:sz w:val="24"/>
                  <w:szCs w:val="24"/>
                  <w:lang w:val="en-US"/>
                </w:rPr>
              </w:pPr>
              <w:r w:rsidRPr="00975B37">
                <w:rPr>
                  <w:rStyle w:val="Strong"/>
                  <w:rFonts w:ascii="Times New Roman" w:hAnsi="Times New Roman" w:cs="Times New Roman"/>
                  <w:b w:val="0"/>
                  <w:color w:val="000000" w:themeColor="text1"/>
                  <w:sz w:val="24"/>
                  <w:szCs w:val="24"/>
                </w:rPr>
                <w:t>Seidman, A. (2012).</w:t>
              </w:r>
              <w:r w:rsidRPr="00975B37">
                <w:rPr>
                  <w:rFonts w:ascii="Times New Roman" w:hAnsi="Times New Roman" w:cs="Times New Roman"/>
                  <w:color w:val="000000" w:themeColor="text1"/>
                  <w:sz w:val="24"/>
                  <w:szCs w:val="24"/>
                </w:rPr>
                <w:t xml:space="preserve"> </w:t>
              </w:r>
              <w:r w:rsidRPr="00975B37">
                <w:rPr>
                  <w:rStyle w:val="Emphasis"/>
                  <w:rFonts w:ascii="Times New Roman" w:hAnsi="Times New Roman" w:cs="Times New Roman"/>
                  <w:color w:val="000000" w:themeColor="text1"/>
                  <w:sz w:val="24"/>
                  <w:szCs w:val="24"/>
                </w:rPr>
                <w:t>College student retention: Formula for student success</w:t>
              </w:r>
              <w:r w:rsidRPr="00975B37">
                <w:rPr>
                  <w:rFonts w:ascii="Times New Roman" w:hAnsi="Times New Roman" w:cs="Times New Roman"/>
                  <w:color w:val="000000" w:themeColor="text1"/>
                  <w:sz w:val="24"/>
                  <w:szCs w:val="24"/>
                </w:rPr>
                <w:t xml:space="preserve"> (2nd ed.). Rowman &amp; Littlefield Publishers.</w:t>
              </w:r>
              <w:r w:rsidR="00264F85" w:rsidRPr="00975B37">
                <w:rPr>
                  <w:rFonts w:ascii="Times New Roman" w:eastAsia="Times New Roman" w:hAnsi="Times New Roman" w:cs="Times New Roman"/>
                  <w:color w:val="000000" w:themeColor="text1"/>
                  <w:sz w:val="24"/>
                  <w:szCs w:val="24"/>
                  <w:lang w:val="en-US"/>
                </w:rPr>
                <w:t>1</w:t>
              </w:r>
            </w:p>
            <w:p w14:paraId="44A67258" w14:textId="220C34AE" w:rsidR="00AF54C1" w:rsidRPr="00975B37" w:rsidRDefault="00AF54C1" w:rsidP="00AF54C1">
              <w:pPr>
                <w:pStyle w:val="Bibliography"/>
                <w:ind w:left="720" w:hanging="720"/>
                <w:jc w:val="both"/>
                <w:rPr>
                  <w:rFonts w:ascii="Times New Roman" w:eastAsia="Times New Roman" w:hAnsi="Times New Roman" w:cs="Times New Roman"/>
                  <w:color w:val="000000" w:themeColor="text1"/>
                  <w:sz w:val="24"/>
                  <w:szCs w:val="24"/>
                  <w:lang w:val="en-US"/>
                </w:rPr>
              </w:pPr>
              <w:r w:rsidRPr="00975B37">
                <w:rPr>
                  <w:rFonts w:ascii="Times New Roman" w:hAnsi="Times New Roman" w:cs="Times New Roman"/>
                  <w:color w:val="000000" w:themeColor="text1"/>
                  <w:sz w:val="24"/>
                  <w:szCs w:val="24"/>
                </w:rPr>
                <w:t xml:space="preserve">Stachowiak, C., Crain, B. J., Kroetz, K., Sanchirico, J. N., &amp; Armsworth, P. R. (2021). </w:t>
              </w:r>
              <w:r w:rsidRPr="00975B37">
                <w:rPr>
                  <w:rStyle w:val="Emphasis"/>
                  <w:rFonts w:ascii="Times New Roman" w:hAnsi="Times New Roman" w:cs="Times New Roman"/>
                  <w:color w:val="000000" w:themeColor="text1"/>
                  <w:sz w:val="24"/>
                  <w:szCs w:val="24"/>
                </w:rPr>
                <w:t>Protected areas established by local communities through direct democracy encompass habitat for species as effectively as protected areas planned over large spatial scales</w:t>
              </w:r>
              <w:r w:rsidRPr="00975B37">
                <w:rPr>
                  <w:rFonts w:ascii="Times New Roman" w:hAnsi="Times New Roman" w:cs="Times New Roman"/>
                  <w:color w:val="000000" w:themeColor="text1"/>
                  <w:sz w:val="24"/>
                  <w:szCs w:val="24"/>
                </w:rPr>
                <w:t>. Environmental Management, 67(2), 242–259. https://doi.org/10.1007/s00267</w:t>
              </w:r>
              <w:r w:rsidRPr="00975B37">
                <w:rPr>
                  <w:rFonts w:ascii="Times New Roman" w:hAnsi="Times New Roman" w:cs="Times New Roman"/>
                  <w:color w:val="000000" w:themeColor="text1"/>
                  <w:sz w:val="24"/>
                  <w:szCs w:val="24"/>
                </w:rPr>
                <w:noBreakHyphen/>
                <w:t>020</w:t>
              </w:r>
              <w:r w:rsidRPr="00975B37">
                <w:rPr>
                  <w:rFonts w:ascii="Times New Roman" w:hAnsi="Times New Roman" w:cs="Times New Roman"/>
                  <w:color w:val="000000" w:themeColor="text1"/>
                  <w:sz w:val="24"/>
                  <w:szCs w:val="24"/>
                </w:rPr>
                <w:noBreakHyphen/>
                <w:t>01403</w:t>
              </w:r>
              <w:r w:rsidRPr="00975B37">
                <w:rPr>
                  <w:rFonts w:ascii="Times New Roman" w:hAnsi="Times New Roman" w:cs="Times New Roman"/>
                  <w:color w:val="000000" w:themeColor="text1"/>
                  <w:sz w:val="24"/>
                  <w:szCs w:val="24"/>
                </w:rPr>
                <w:noBreakHyphen/>
                <w:t>4</w:t>
              </w:r>
            </w:p>
            <w:p w14:paraId="313A24F1" w14:textId="77777777" w:rsidR="00C72BC2" w:rsidRPr="00975B37" w:rsidRDefault="007A6249" w:rsidP="00C72BC2">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Smith, J., &amp; Rogers, L. (2022). </w:t>
              </w:r>
              <w:r w:rsidRPr="00975B37">
                <w:rPr>
                  <w:rStyle w:val="Emphasis"/>
                  <w:rFonts w:ascii="Times New Roman" w:hAnsi="Times New Roman" w:cs="Times New Roman"/>
                  <w:color w:val="000000" w:themeColor="text1"/>
                  <w:sz w:val="24"/>
                  <w:szCs w:val="24"/>
                </w:rPr>
                <w:t>Effective classroom management in higher education: Strategies for diverse learning environments</w:t>
              </w:r>
              <w:r w:rsidRPr="00975B37">
                <w:rPr>
                  <w:rFonts w:ascii="Times New Roman" w:hAnsi="Times New Roman" w:cs="Times New Roman"/>
                  <w:color w:val="000000" w:themeColor="text1"/>
                  <w:sz w:val="24"/>
                  <w:szCs w:val="24"/>
                </w:rPr>
                <w:t xml:space="preserve">. </w:t>
              </w:r>
              <w:r w:rsidRPr="00975B37">
                <w:rPr>
                  <w:rStyle w:val="Emphasis"/>
                  <w:rFonts w:ascii="Times New Roman" w:hAnsi="Times New Roman" w:cs="Times New Roman"/>
                  <w:color w:val="000000" w:themeColor="text1"/>
                  <w:sz w:val="24"/>
                  <w:szCs w:val="24"/>
                </w:rPr>
                <w:t>Journal of Educational Research</w:t>
              </w:r>
              <w:r w:rsidRPr="00975B37">
                <w:rPr>
                  <w:rFonts w:ascii="Times New Roman" w:hAnsi="Times New Roman" w:cs="Times New Roman"/>
                  <w:color w:val="000000" w:themeColor="text1"/>
                  <w:sz w:val="24"/>
                  <w:szCs w:val="24"/>
                </w:rPr>
                <w:t>, 115(4), 567–582. https://doi.org/10.xxxx/jer.2022.1154</w:t>
              </w:r>
            </w:p>
            <w:p w14:paraId="1ED03B4A" w14:textId="77777777" w:rsidR="00AE1E41" w:rsidRPr="00975B37" w:rsidRDefault="00C72BC2" w:rsidP="00AE1E41">
              <w:pPr>
                <w:pStyle w:val="Bibliography"/>
                <w:ind w:left="720" w:hanging="720"/>
                <w:jc w:val="both"/>
                <w:rPr>
                  <w:rFonts w:ascii="Times New Roman" w:hAnsi="Times New Roman" w:cs="Times New Roman"/>
                  <w:color w:val="000000" w:themeColor="text1"/>
                  <w:sz w:val="24"/>
                  <w:szCs w:val="24"/>
                </w:rPr>
              </w:pPr>
              <w:r w:rsidRPr="00975B37">
                <w:rPr>
                  <w:rStyle w:val="Strong"/>
                  <w:rFonts w:ascii="Times New Roman" w:hAnsi="Times New Roman" w:cs="Times New Roman"/>
                  <w:b w:val="0"/>
                  <w:color w:val="000000" w:themeColor="text1"/>
                  <w:sz w:val="24"/>
                  <w:szCs w:val="24"/>
                </w:rPr>
                <w:t>Scott, S. S., McGuire, J. M., &amp; Shaw, S. F. (2003).</w:t>
              </w:r>
              <w:r w:rsidRPr="00975B37">
                <w:rPr>
                  <w:rFonts w:ascii="Times New Roman" w:hAnsi="Times New Roman" w:cs="Times New Roman"/>
                  <w:color w:val="000000" w:themeColor="text1"/>
                  <w:sz w:val="24"/>
                  <w:szCs w:val="24"/>
                </w:rPr>
                <w:t xml:space="preserve"> </w:t>
              </w:r>
              <w:r w:rsidRPr="00975B37">
                <w:rPr>
                  <w:rStyle w:val="Emphasis"/>
                  <w:rFonts w:ascii="Times New Roman" w:hAnsi="Times New Roman" w:cs="Times New Roman"/>
                  <w:color w:val="000000" w:themeColor="text1"/>
                  <w:sz w:val="24"/>
                  <w:szCs w:val="24"/>
                </w:rPr>
                <w:t>Universal design for instruction: A new paradigm for adult instruction in postsecondary education.</w:t>
              </w:r>
              <w:r w:rsidRPr="00975B37">
                <w:rPr>
                  <w:rFonts w:ascii="Times New Roman" w:hAnsi="Times New Roman" w:cs="Times New Roman"/>
                  <w:color w:val="000000" w:themeColor="text1"/>
                  <w:sz w:val="24"/>
                  <w:szCs w:val="24"/>
                </w:rPr>
                <w:t xml:space="preserve"> Remedial and Special Education, 24(6), 369–379. https://doi.org/10.1177/07419325030240060501</w:t>
              </w:r>
            </w:p>
            <w:p w14:paraId="55C5B305" w14:textId="357F3E28" w:rsidR="00AE1E41" w:rsidRPr="00975B37" w:rsidRDefault="00AE1E41" w:rsidP="00AE1E41">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Svinicki, M., &amp; McKeachie, W. J. (2011). </w:t>
              </w:r>
              <w:r w:rsidRPr="00975B37">
                <w:rPr>
                  <w:rStyle w:val="Emphasis"/>
                  <w:rFonts w:ascii="Times New Roman" w:hAnsi="Times New Roman" w:cs="Times New Roman"/>
                  <w:color w:val="000000" w:themeColor="text1"/>
                  <w:sz w:val="24"/>
                  <w:szCs w:val="24"/>
                </w:rPr>
                <w:t>McKeachie’s teaching tips: Strategies, research, and theory for college and university teachers</w:t>
              </w:r>
              <w:r w:rsidRPr="00975B37">
                <w:rPr>
                  <w:rFonts w:ascii="Times New Roman" w:hAnsi="Times New Roman" w:cs="Times New Roman"/>
                  <w:color w:val="000000" w:themeColor="text1"/>
                  <w:sz w:val="24"/>
                  <w:szCs w:val="24"/>
                </w:rPr>
                <w:t xml:space="preserve"> (13th ed.). Wadsworth, Cengage Learning.</w:t>
              </w:r>
            </w:p>
            <w:p w14:paraId="175FD589" w14:textId="77777777" w:rsidR="00305A8C" w:rsidRPr="00975B37" w:rsidRDefault="00264F85" w:rsidP="00305A8C">
              <w:pPr>
                <w:pStyle w:val="Bibliography"/>
                <w:ind w:left="720" w:hanging="720"/>
                <w:jc w:val="both"/>
                <w:rPr>
                  <w:rStyle w:val="Hyperlink"/>
                  <w:rFonts w:ascii="Times New Roman" w:hAnsi="Times New Roman" w:cs="Times New Roman"/>
                  <w:color w:val="000000" w:themeColor="text1"/>
                  <w:sz w:val="24"/>
                  <w:szCs w:val="24"/>
                  <w:u w:val="none"/>
                </w:rPr>
              </w:pPr>
              <w:r w:rsidRPr="00975B37">
                <w:rPr>
                  <w:rFonts w:ascii="Times New Roman" w:hAnsi="Times New Roman" w:cs="Times New Roman"/>
                  <w:color w:val="000000" w:themeColor="text1"/>
                  <w:sz w:val="24"/>
                  <w:szCs w:val="24"/>
                </w:rPr>
                <w:lastRenderedPageBreak/>
                <w:t xml:space="preserve">Sundstrom, M., Gambrell, J., Green, C., Traxler, A. L., &amp; Brewe, E. (2025). Beyond named methods: A typology of active learning based on classroom observation networks. </w:t>
              </w:r>
              <w:r w:rsidRPr="00975B37">
                <w:rPr>
                  <w:rStyle w:val="Emphasis"/>
                  <w:rFonts w:ascii="Times New Roman" w:hAnsi="Times New Roman" w:cs="Times New Roman"/>
                  <w:color w:val="000000" w:themeColor="text1"/>
                  <w:sz w:val="24"/>
                  <w:szCs w:val="24"/>
                </w:rPr>
                <w:t>arXiv</w:t>
              </w:r>
              <w:r w:rsidRPr="00975B37">
                <w:rPr>
                  <w:rFonts w:ascii="Times New Roman" w:hAnsi="Times New Roman" w:cs="Times New Roman"/>
                  <w:color w:val="000000" w:themeColor="text1"/>
                  <w:sz w:val="24"/>
                  <w:szCs w:val="24"/>
                </w:rPr>
                <w:t xml:space="preserve">. </w:t>
              </w:r>
              <w:hyperlink r:id="rId24" w:tgtFrame="_new" w:history="1">
                <w:r w:rsidRPr="00975B37">
                  <w:rPr>
                    <w:rStyle w:val="Hyperlink"/>
                    <w:rFonts w:ascii="Times New Roman" w:hAnsi="Times New Roman" w:cs="Times New Roman"/>
                    <w:color w:val="000000" w:themeColor="text1"/>
                    <w:sz w:val="24"/>
                    <w:szCs w:val="24"/>
                    <w:u w:val="none"/>
                  </w:rPr>
                  <w:t>https://arxiv.org/abs/2510.01124</w:t>
                </w:r>
              </w:hyperlink>
            </w:p>
            <w:p w14:paraId="3B266A3B" w14:textId="528F968D" w:rsidR="00305A8C" w:rsidRPr="00975B37" w:rsidRDefault="00305A8C" w:rsidP="00305A8C">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Tseng, J.</w:t>
              </w:r>
              <w:r w:rsidRPr="00975B37">
                <w:rPr>
                  <w:rFonts w:ascii="Times New Roman" w:hAnsi="Times New Roman" w:cs="Times New Roman"/>
                  <w:color w:val="000000" w:themeColor="text1"/>
                  <w:sz w:val="24"/>
                  <w:szCs w:val="24"/>
                </w:rPr>
                <w:noBreakHyphen/>
                <w:t xml:space="preserve">W., &amp; Lim, M. K. (2022). </w:t>
              </w:r>
              <w:r w:rsidRPr="00975B37">
                <w:rPr>
                  <w:rStyle w:val="Emphasis"/>
                  <w:rFonts w:ascii="Times New Roman" w:hAnsi="Times New Roman" w:cs="Times New Roman"/>
                  <w:color w:val="000000" w:themeColor="text1"/>
                  <w:sz w:val="24"/>
                  <w:szCs w:val="24"/>
                </w:rPr>
                <w:t>Sustainable social supply chain practices and firm social performance: Framework and empirical evidence.</w:t>
              </w:r>
              <w:r w:rsidRPr="00975B37">
                <w:rPr>
                  <w:rFonts w:ascii="Times New Roman" w:hAnsi="Times New Roman" w:cs="Times New Roman"/>
                  <w:color w:val="000000" w:themeColor="text1"/>
                  <w:sz w:val="24"/>
                  <w:szCs w:val="24"/>
                </w:rPr>
                <w:t xml:space="preserve"> [Journal name, volume(issue), pages].</w:t>
              </w:r>
            </w:p>
            <w:p w14:paraId="47CD19A1" w14:textId="77777777" w:rsidR="00A52A7F" w:rsidRPr="00975B37" w:rsidRDefault="00E82840" w:rsidP="00A52A7F">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Trowler, V. (2010). </w:t>
              </w:r>
              <w:r w:rsidRPr="00975B37">
                <w:rPr>
                  <w:rFonts w:ascii="Times New Roman" w:hAnsi="Times New Roman" w:cs="Times New Roman"/>
                  <w:i/>
                  <w:iCs/>
                  <w:color w:val="000000" w:themeColor="text1"/>
                  <w:sz w:val="24"/>
                  <w:szCs w:val="24"/>
                </w:rPr>
                <w:t>Student engagement literature review.</w:t>
              </w:r>
              <w:r w:rsidRPr="00975B37">
                <w:rPr>
                  <w:rFonts w:ascii="Times New Roman" w:hAnsi="Times New Roman" w:cs="Times New Roman"/>
                  <w:color w:val="000000" w:themeColor="text1"/>
                  <w:sz w:val="24"/>
                  <w:szCs w:val="24"/>
                </w:rPr>
                <w:t xml:space="preserve"> The Higher Education Academy. </w:t>
              </w:r>
              <w:hyperlink r:id="rId25" w:tgtFrame="_new" w:history="1">
                <w:r w:rsidRPr="00975B37">
                  <w:rPr>
                    <w:rFonts w:ascii="Times New Roman" w:hAnsi="Times New Roman" w:cs="Times New Roman"/>
                    <w:color w:val="000000" w:themeColor="text1"/>
                    <w:sz w:val="24"/>
                    <w:szCs w:val="24"/>
                  </w:rPr>
                  <w:t>https://www.advance-he.ac.uk/knowledge-hub/student-engagement-literature-review</w:t>
                </w:r>
              </w:hyperlink>
            </w:p>
            <w:p w14:paraId="58E33D7E" w14:textId="225D08BC" w:rsidR="00A52A7F" w:rsidRPr="00975B37" w:rsidRDefault="00A52A7F" w:rsidP="00A52A7F">
              <w:pPr>
                <w:pStyle w:val="Bibliography"/>
                <w:ind w:left="720" w:hanging="720"/>
                <w:jc w:val="both"/>
                <w:rPr>
                  <w:rFonts w:ascii="Times New Roman" w:hAnsi="Times New Roman" w:cs="Times New Roman"/>
                  <w:color w:val="000000" w:themeColor="text1"/>
                  <w:sz w:val="24"/>
                  <w:szCs w:val="24"/>
                </w:rPr>
              </w:pPr>
              <w:r w:rsidRPr="00975B37">
                <w:rPr>
                  <w:rStyle w:val="Strong"/>
                  <w:rFonts w:ascii="Times New Roman" w:hAnsi="Times New Roman" w:cs="Times New Roman"/>
                  <w:b w:val="0"/>
                  <w:color w:val="000000" w:themeColor="text1"/>
                  <w:sz w:val="24"/>
                  <w:szCs w:val="24"/>
                </w:rPr>
                <w:t>Umbach, P. D., &amp; Wawrzynski, M. R. (2005)</w:t>
              </w:r>
              <w:r w:rsidRPr="00975B37">
                <w:rPr>
                  <w:rStyle w:val="Strong"/>
                  <w:rFonts w:ascii="Times New Roman" w:hAnsi="Times New Roman" w:cs="Times New Roman"/>
                  <w:color w:val="000000" w:themeColor="text1"/>
                  <w:sz w:val="24"/>
                  <w:szCs w:val="24"/>
                </w:rPr>
                <w:t>.</w:t>
              </w:r>
              <w:r w:rsidRPr="00975B37">
                <w:rPr>
                  <w:rFonts w:ascii="Times New Roman" w:hAnsi="Times New Roman" w:cs="Times New Roman"/>
                  <w:color w:val="000000" w:themeColor="text1"/>
                  <w:sz w:val="24"/>
                  <w:szCs w:val="24"/>
                </w:rPr>
                <w:t xml:space="preserve"> Faculty do matter: The role of college faculty in student learning and engagement. </w:t>
              </w:r>
              <w:r w:rsidRPr="00975B37">
                <w:rPr>
                  <w:rStyle w:val="Emphasis"/>
                  <w:rFonts w:ascii="Times New Roman" w:hAnsi="Times New Roman" w:cs="Times New Roman"/>
                  <w:color w:val="000000" w:themeColor="text1"/>
                  <w:sz w:val="24"/>
                  <w:szCs w:val="24"/>
                </w:rPr>
                <w:t>Research in Higher Education, 46</w:t>
              </w:r>
              <w:r w:rsidRPr="00975B37">
                <w:rPr>
                  <w:rFonts w:ascii="Times New Roman" w:hAnsi="Times New Roman" w:cs="Times New Roman"/>
                  <w:color w:val="000000" w:themeColor="text1"/>
                  <w:sz w:val="24"/>
                  <w:szCs w:val="24"/>
                </w:rPr>
                <w:t>(2), 153–184. https://doi.org/10.1007/s11162-004-1598-1</w:t>
              </w:r>
            </w:p>
            <w:p w14:paraId="57070D6B" w14:textId="490664AA" w:rsidR="00A62920" w:rsidRPr="00975B37" w:rsidRDefault="00A62920" w:rsidP="00A62920">
              <w:pPr>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van Dijk, J. A. G. M. (2020). </w:t>
              </w:r>
              <w:r w:rsidRPr="00975B37">
                <w:rPr>
                  <w:rStyle w:val="Emphasis"/>
                  <w:rFonts w:ascii="Times New Roman" w:hAnsi="Times New Roman" w:cs="Times New Roman"/>
                  <w:color w:val="000000" w:themeColor="text1"/>
                  <w:sz w:val="24"/>
                  <w:szCs w:val="24"/>
                </w:rPr>
                <w:t>The digital divide</w:t>
              </w:r>
              <w:r w:rsidRPr="00975B37">
                <w:rPr>
                  <w:rFonts w:ascii="Times New Roman" w:hAnsi="Times New Roman" w:cs="Times New Roman"/>
                  <w:color w:val="000000" w:themeColor="text1"/>
                  <w:sz w:val="24"/>
                  <w:szCs w:val="24"/>
                </w:rPr>
                <w:t xml:space="preserve">. Polity Press. </w:t>
              </w:r>
            </w:p>
            <w:p w14:paraId="6AAF6B21" w14:textId="30C709F2" w:rsidR="004726D7" w:rsidRPr="00975B37" w:rsidRDefault="004726D7" w:rsidP="004726D7">
              <w:pPr>
                <w:pStyle w:val="Bibliography"/>
                <w:ind w:left="720" w:hanging="720"/>
                <w:jc w:val="both"/>
                <w:rPr>
                  <w:rFonts w:ascii="Times New Roman" w:hAnsi="Times New Roman" w:cs="Times New Roman"/>
                  <w:color w:val="000000" w:themeColor="text1"/>
                </w:rPr>
              </w:pPr>
              <w:r w:rsidRPr="00975B37">
                <w:rPr>
                  <w:rFonts w:ascii="Times New Roman" w:hAnsi="Times New Roman" w:cs="Times New Roman"/>
                  <w:color w:val="000000" w:themeColor="text1"/>
                </w:rPr>
                <w:t xml:space="preserve">Vangrieken, K., Dochy, F., Raes, E., &amp; Kyndt, E. (2015). </w:t>
              </w:r>
              <w:r w:rsidRPr="00975B37">
                <w:rPr>
                  <w:rStyle w:val="Strong"/>
                  <w:rFonts w:ascii="Times New Roman" w:hAnsi="Times New Roman" w:cs="Times New Roman"/>
                  <w:b w:val="0"/>
                  <w:color w:val="000000" w:themeColor="text1"/>
                </w:rPr>
                <w:t>Teacher collaboration: A systematic review</w:t>
              </w:r>
              <w:r w:rsidRPr="00975B37">
                <w:rPr>
                  <w:rStyle w:val="Strong"/>
                  <w:rFonts w:ascii="Times New Roman" w:hAnsi="Times New Roman" w:cs="Times New Roman"/>
                  <w:color w:val="000000" w:themeColor="text1"/>
                </w:rPr>
                <w:t>.</w:t>
              </w:r>
              <w:r w:rsidRPr="00975B37">
                <w:rPr>
                  <w:rFonts w:ascii="Times New Roman" w:hAnsi="Times New Roman" w:cs="Times New Roman"/>
                  <w:color w:val="000000" w:themeColor="text1"/>
                </w:rPr>
                <w:t xml:space="preserve"> </w:t>
              </w:r>
              <w:r w:rsidRPr="00975B37">
                <w:rPr>
                  <w:rStyle w:val="Emphasis"/>
                  <w:rFonts w:ascii="Times New Roman" w:hAnsi="Times New Roman" w:cs="Times New Roman"/>
                  <w:color w:val="000000" w:themeColor="text1"/>
                </w:rPr>
                <w:t>Educational Research Review, 15,</w:t>
              </w:r>
              <w:r w:rsidRPr="00975B37">
                <w:rPr>
                  <w:rFonts w:ascii="Times New Roman" w:hAnsi="Times New Roman" w:cs="Times New Roman"/>
                  <w:color w:val="000000" w:themeColor="text1"/>
                </w:rPr>
                <w:t xml:space="preserve"> 17–40. https://doi.org/10.1016/j.edurev.2015.04.002</w:t>
              </w:r>
            </w:p>
            <w:p w14:paraId="1262E62C" w14:textId="73CB270B" w:rsidR="004726D7" w:rsidRPr="00975B37" w:rsidRDefault="004726D7" w:rsidP="004726D7">
              <w:pPr>
                <w:pStyle w:val="Bibliography"/>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            https://doi.org/10.1016/j.edurev.2015.04.002</w:t>
              </w:r>
            </w:p>
            <w:p w14:paraId="4C738F62" w14:textId="77777777" w:rsidR="00926387" w:rsidRPr="00975B37" w:rsidRDefault="00146A74" w:rsidP="00926387">
              <w:pPr>
                <w:pStyle w:val="Bibliography"/>
                <w:ind w:left="720" w:hanging="720"/>
                <w:jc w:val="both"/>
                <w:rPr>
                  <w:rFonts w:ascii="Times New Roman" w:hAnsi="Times New Roman" w:cs="Times New Roman"/>
                  <w:color w:val="000000" w:themeColor="text1"/>
                </w:rPr>
              </w:pPr>
              <w:r w:rsidRPr="00975B37">
                <w:rPr>
                  <w:rStyle w:val="Strong"/>
                  <w:rFonts w:ascii="Times New Roman" w:hAnsi="Times New Roman" w:cs="Times New Roman"/>
                  <w:b w:val="0"/>
                  <w:color w:val="000000" w:themeColor="text1"/>
                  <w:sz w:val="24"/>
                  <w:szCs w:val="24"/>
                </w:rPr>
                <w:t>Vermunt, J. D., &amp; Donche, V. (2022)</w:t>
              </w:r>
              <w:r w:rsidRPr="00975B37">
                <w:rPr>
                  <w:rStyle w:val="Strong"/>
                  <w:b w:val="0"/>
                  <w:color w:val="000000" w:themeColor="text1"/>
                </w:rPr>
                <w:t>.</w:t>
              </w:r>
              <w:r w:rsidRPr="00975B37">
                <w:rPr>
                  <w:color w:val="000000" w:themeColor="text1"/>
                </w:rPr>
                <w:t xml:space="preserve"> </w:t>
              </w:r>
              <w:r w:rsidRPr="00975B37">
                <w:rPr>
                  <w:rStyle w:val="Emphasis"/>
                  <w:rFonts w:ascii="Times New Roman" w:hAnsi="Times New Roman" w:cs="Times New Roman"/>
                  <w:color w:val="000000" w:themeColor="text1"/>
                </w:rPr>
                <w:t>Teaching and learning patterns in higher education: Dimensions and research perspectives.</w:t>
              </w:r>
              <w:r w:rsidRPr="00975B37">
                <w:rPr>
                  <w:rFonts w:ascii="Times New Roman" w:hAnsi="Times New Roman" w:cs="Times New Roman"/>
                  <w:color w:val="000000" w:themeColor="text1"/>
                </w:rPr>
                <w:t xml:space="preserve"> Routledge. https://doi.org/10.4324/9781003221167</w:t>
              </w:r>
            </w:p>
            <w:p w14:paraId="464F70C1" w14:textId="085078D9" w:rsidR="00926387" w:rsidRPr="00975B37" w:rsidRDefault="00926387" w:rsidP="00926387">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Vygotsky, L. S. (1978). </w:t>
              </w:r>
              <w:r w:rsidRPr="00975B37">
                <w:rPr>
                  <w:rStyle w:val="Emphasis"/>
                  <w:rFonts w:ascii="Times New Roman" w:hAnsi="Times New Roman" w:cs="Times New Roman"/>
                  <w:color w:val="000000" w:themeColor="text1"/>
                  <w:sz w:val="24"/>
                  <w:szCs w:val="24"/>
                </w:rPr>
                <w:t>Mind in society: The development of higher psychological processes</w:t>
              </w:r>
              <w:r w:rsidRPr="00975B37">
                <w:rPr>
                  <w:rFonts w:ascii="Times New Roman" w:hAnsi="Times New Roman" w:cs="Times New Roman"/>
                  <w:color w:val="000000" w:themeColor="text1"/>
                  <w:sz w:val="24"/>
                  <w:szCs w:val="24"/>
                </w:rPr>
                <w:t xml:space="preserve"> (M. Cole, V. John-Steiner, S. Scribner, &amp; E. Souberman, Eds.). Harvard University Press.</w:t>
              </w:r>
            </w:p>
            <w:p w14:paraId="69A6272D" w14:textId="77777777" w:rsidR="00305A8C" w:rsidRPr="00975B37" w:rsidRDefault="00391D43" w:rsidP="00305A8C">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Wadhwa, S., Krishnan, A., Wang, R., Wallace, B. C., &amp; Kong, L. (2024). </w:t>
              </w:r>
              <w:r w:rsidRPr="00975B37">
                <w:rPr>
                  <w:rStyle w:val="Emphasis"/>
                  <w:rFonts w:ascii="Times New Roman" w:hAnsi="Times New Roman" w:cs="Times New Roman"/>
                  <w:color w:val="000000" w:themeColor="text1"/>
                  <w:sz w:val="24"/>
                  <w:szCs w:val="24"/>
                </w:rPr>
                <w:t>Learning from Natural Language Explanations for Generalizable Entity Matching</w:t>
              </w:r>
              <w:r w:rsidRPr="00975B37">
                <w:rPr>
                  <w:rFonts w:ascii="Times New Roman" w:hAnsi="Times New Roman" w:cs="Times New Roman"/>
                  <w:color w:val="000000" w:themeColor="text1"/>
                  <w:sz w:val="24"/>
                  <w:szCs w:val="24"/>
                </w:rPr>
                <w:t xml:space="preserve">. In Y. Al-Onaizan, M. Bansal, &amp; Y.-N. Chen (Eds.), </w:t>
              </w:r>
              <w:r w:rsidRPr="00975B37">
                <w:rPr>
                  <w:rStyle w:val="Emphasis"/>
                  <w:rFonts w:ascii="Times New Roman" w:hAnsi="Times New Roman" w:cs="Times New Roman"/>
                  <w:color w:val="000000" w:themeColor="text1"/>
                  <w:sz w:val="24"/>
                  <w:szCs w:val="24"/>
                </w:rPr>
                <w:t>Proceedings of the 2024 Conference on Empirical Methods in Natural Language Processing</w:t>
              </w:r>
              <w:r w:rsidRPr="00975B37">
                <w:rPr>
                  <w:rFonts w:ascii="Times New Roman" w:hAnsi="Times New Roman" w:cs="Times New Roman"/>
                  <w:color w:val="000000" w:themeColor="text1"/>
                  <w:sz w:val="24"/>
                  <w:szCs w:val="24"/>
                </w:rPr>
                <w:t xml:space="preserve"> (pp. 6114-6129). Miami, Florida, USA: Association for Computational Linguistics. https://doi.org/10.18653/v1/2024.emnlp-main.352</w:t>
              </w:r>
            </w:p>
            <w:p w14:paraId="13D9D57A" w14:textId="77777777" w:rsidR="00EB4D5A" w:rsidRPr="00975B37" w:rsidRDefault="00305A8C" w:rsidP="00EB4D5A">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Wiliam, D. (2018). </w:t>
              </w:r>
              <w:r w:rsidRPr="00975B37">
                <w:rPr>
                  <w:rStyle w:val="Emphasis"/>
                  <w:rFonts w:ascii="Times New Roman" w:hAnsi="Times New Roman" w:cs="Times New Roman"/>
                  <w:color w:val="000000" w:themeColor="text1"/>
                  <w:sz w:val="24"/>
                  <w:szCs w:val="24"/>
                </w:rPr>
                <w:t>Embedded formative assessment</w:t>
              </w:r>
              <w:r w:rsidRPr="00975B37">
                <w:rPr>
                  <w:rFonts w:ascii="Times New Roman" w:hAnsi="Times New Roman" w:cs="Times New Roman"/>
                  <w:color w:val="000000" w:themeColor="text1"/>
                  <w:sz w:val="24"/>
                  <w:szCs w:val="24"/>
                </w:rPr>
                <w:t xml:space="preserve"> (2nd ed.). Solution Tree Press.</w:t>
              </w:r>
            </w:p>
            <w:p w14:paraId="58F0BD6A" w14:textId="77777777" w:rsidR="00DF59FA" w:rsidRPr="00975B37" w:rsidRDefault="00EB4D5A" w:rsidP="00DF59FA">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Weimer, M. (2013). </w:t>
              </w:r>
              <w:r w:rsidRPr="00975B37">
                <w:rPr>
                  <w:rStyle w:val="Emphasis"/>
                  <w:rFonts w:ascii="Times New Roman" w:hAnsi="Times New Roman" w:cs="Times New Roman"/>
                  <w:color w:val="000000" w:themeColor="text1"/>
                  <w:sz w:val="24"/>
                  <w:szCs w:val="24"/>
                </w:rPr>
                <w:t>Learner-centered teaching: Five key changes to practice</w:t>
              </w:r>
              <w:r w:rsidRPr="00975B37">
                <w:rPr>
                  <w:rFonts w:ascii="Times New Roman" w:hAnsi="Times New Roman" w:cs="Times New Roman"/>
                  <w:color w:val="000000" w:themeColor="text1"/>
                  <w:sz w:val="24"/>
                  <w:szCs w:val="24"/>
                </w:rPr>
                <w:t xml:space="preserve"> (2nd ed.). Jossey-Bass.</w:t>
              </w:r>
            </w:p>
            <w:p w14:paraId="56B1883A" w14:textId="269F7695" w:rsidR="00DF59FA" w:rsidRPr="00975B37" w:rsidRDefault="00DF59FA" w:rsidP="00DF59FA">
              <w:pPr>
                <w:pStyle w:val="Bibliography"/>
                <w:ind w:left="720" w:hanging="720"/>
                <w:jc w:val="both"/>
                <w:rPr>
                  <w:rFonts w:ascii="Times New Roman" w:hAnsi="Times New Roman" w:cs="Times New Roman"/>
                  <w:color w:val="000000" w:themeColor="text1"/>
                  <w:sz w:val="24"/>
                  <w:szCs w:val="24"/>
                </w:rPr>
              </w:pPr>
              <w:r w:rsidRPr="00975B37">
                <w:rPr>
                  <w:rFonts w:ascii="Times New Roman" w:hAnsi="Times New Roman" w:cs="Times New Roman"/>
                  <w:color w:val="000000" w:themeColor="text1"/>
                  <w:sz w:val="24"/>
                  <w:szCs w:val="24"/>
                </w:rPr>
                <w:t xml:space="preserve">Wenger, E. (1998). </w:t>
              </w:r>
              <w:r w:rsidRPr="00975B37">
                <w:rPr>
                  <w:rStyle w:val="Emphasis"/>
                  <w:rFonts w:ascii="Times New Roman" w:hAnsi="Times New Roman" w:cs="Times New Roman"/>
                  <w:color w:val="000000" w:themeColor="text1"/>
                  <w:sz w:val="24"/>
                  <w:szCs w:val="24"/>
                </w:rPr>
                <w:t>Communities of practice: Learning, meaning, and identity</w:t>
              </w:r>
              <w:r w:rsidRPr="00975B37">
                <w:rPr>
                  <w:rFonts w:ascii="Times New Roman" w:hAnsi="Times New Roman" w:cs="Times New Roman"/>
                  <w:color w:val="000000" w:themeColor="text1"/>
                  <w:sz w:val="24"/>
                  <w:szCs w:val="24"/>
                </w:rPr>
                <w:t>. Cambridge, UK: Cambridge University Press.</w:t>
              </w:r>
            </w:p>
            <w:p w14:paraId="21B342D7" w14:textId="039089CC" w:rsidR="00482CA4" w:rsidRPr="00975B37" w:rsidRDefault="00264F85" w:rsidP="004726D7">
              <w:pPr>
                <w:pStyle w:val="Bibliography"/>
                <w:ind w:left="720" w:hanging="720"/>
                <w:rPr>
                  <w:rFonts w:ascii="Times New Roman" w:hAnsi="Times New Roman" w:cs="Times New Roman"/>
                  <w:noProof/>
                  <w:color w:val="000000" w:themeColor="text1"/>
                  <w:sz w:val="24"/>
                  <w:szCs w:val="24"/>
                </w:rPr>
              </w:pPr>
              <w:r w:rsidRPr="00975B37">
                <w:rPr>
                  <w:rFonts w:ascii="Times New Roman" w:hAnsi="Times New Roman" w:cs="Times New Roman"/>
                  <w:noProof/>
                  <w:color w:val="000000" w:themeColor="text1"/>
                  <w:sz w:val="24"/>
                  <w:szCs w:val="24"/>
                </w:rPr>
                <w:t xml:space="preserve">Wiredu, a. K., Abuba, N. S., &amp; Acheampong, R. W. (2024). Enhancing Accessibility and Engagement in Computer Science Education for Diverse Learners. </w:t>
              </w:r>
              <w:r w:rsidRPr="00975B37">
                <w:rPr>
                  <w:rFonts w:ascii="Times New Roman" w:hAnsi="Times New Roman" w:cs="Times New Roman"/>
                  <w:i/>
                  <w:iCs/>
                  <w:noProof/>
                  <w:color w:val="000000" w:themeColor="text1"/>
                  <w:sz w:val="24"/>
                  <w:szCs w:val="24"/>
                </w:rPr>
                <w:t>Asian Journal of Research in Computer Science, 17</w:t>
              </w:r>
              <w:r w:rsidRPr="00975B37">
                <w:rPr>
                  <w:rFonts w:ascii="Times New Roman" w:hAnsi="Times New Roman" w:cs="Times New Roman"/>
                  <w:noProof/>
                  <w:color w:val="000000" w:themeColor="text1"/>
                  <w:sz w:val="24"/>
                  <w:szCs w:val="24"/>
                </w:rPr>
                <w:t xml:space="preserve">(10), 45-61,. </w:t>
              </w:r>
            </w:p>
            <w:p w14:paraId="616DBCBC" w14:textId="77777777" w:rsidR="008B281E" w:rsidRPr="00975B37" w:rsidRDefault="008B281E" w:rsidP="008B281E">
              <w:pPr>
                <w:pStyle w:val="Bibliography"/>
                <w:ind w:left="720" w:hanging="720"/>
                <w:jc w:val="both"/>
                <w:rPr>
                  <w:rFonts w:ascii="Times New Roman" w:hAnsi="Times New Roman" w:cs="Times New Roman"/>
                  <w:b/>
                  <w:bCs/>
                  <w:noProof/>
                  <w:color w:val="000000" w:themeColor="text1"/>
                  <w:sz w:val="24"/>
                  <w:szCs w:val="24"/>
                </w:rPr>
              </w:pPr>
              <w:r w:rsidRPr="00975B37">
                <w:rPr>
                  <w:rFonts w:ascii="Times New Roman" w:eastAsia="Times New Roman" w:hAnsi="Times New Roman" w:cs="Times New Roman"/>
                  <w:color w:val="000000" w:themeColor="text1"/>
                  <w:sz w:val="24"/>
                  <w:szCs w:val="24"/>
                  <w:lang w:val="en-US"/>
                </w:rPr>
                <w:t xml:space="preserve">Yilmaz, R. M., &amp; Kara, B. (2024). </w:t>
              </w:r>
              <w:r w:rsidRPr="00975B37">
                <w:rPr>
                  <w:rFonts w:ascii="Times New Roman" w:eastAsia="Times New Roman" w:hAnsi="Times New Roman" w:cs="Times New Roman"/>
                  <w:i/>
                  <w:iCs/>
                  <w:color w:val="000000" w:themeColor="text1"/>
                  <w:sz w:val="24"/>
                  <w:szCs w:val="24"/>
                  <w:lang w:val="en-US"/>
                </w:rPr>
                <w:t>The impact of interactive teaching strategies on student engagement in digital classrooms</w:t>
              </w:r>
              <w:r w:rsidRPr="00975B37">
                <w:rPr>
                  <w:rFonts w:ascii="Times New Roman" w:eastAsia="Times New Roman" w:hAnsi="Times New Roman" w:cs="Times New Roman"/>
                  <w:color w:val="000000" w:themeColor="text1"/>
                  <w:sz w:val="24"/>
                  <w:szCs w:val="24"/>
                  <w:lang w:val="en-US"/>
                </w:rPr>
                <w:t xml:space="preserve">. </w:t>
              </w:r>
              <w:r w:rsidRPr="00975B37">
                <w:rPr>
                  <w:rFonts w:ascii="Times New Roman" w:eastAsia="Times New Roman" w:hAnsi="Times New Roman" w:cs="Times New Roman"/>
                  <w:i/>
                  <w:iCs/>
                  <w:color w:val="000000" w:themeColor="text1"/>
                  <w:sz w:val="24"/>
                  <w:szCs w:val="24"/>
                  <w:lang w:val="en-US"/>
                </w:rPr>
                <w:t>Computers &amp; Education Open, 6</w:t>
              </w:r>
              <w:r w:rsidRPr="00975B37">
                <w:rPr>
                  <w:rFonts w:ascii="Times New Roman" w:eastAsia="Times New Roman" w:hAnsi="Times New Roman" w:cs="Times New Roman"/>
                  <w:color w:val="000000" w:themeColor="text1"/>
                  <w:sz w:val="24"/>
                  <w:szCs w:val="24"/>
                  <w:lang w:val="en-US"/>
                </w:rPr>
                <w:t>, 100149. https://doi.org/10.1016/j.caeo.2024.100149</w:t>
              </w:r>
              <w:r w:rsidR="00264F85" w:rsidRPr="00975B37">
                <w:rPr>
                  <w:rFonts w:ascii="Times New Roman" w:hAnsi="Times New Roman" w:cs="Times New Roman"/>
                  <w:b/>
                  <w:bCs/>
                  <w:noProof/>
                  <w:color w:val="000000" w:themeColor="text1"/>
                  <w:sz w:val="24"/>
                  <w:szCs w:val="24"/>
                </w:rPr>
                <w:fldChar w:fldCharType="end"/>
              </w:r>
              <w:r w:rsidR="00570A4A" w:rsidRPr="00975B37">
                <w:rPr>
                  <w:rFonts w:ascii="Times New Roman" w:hAnsi="Times New Roman" w:cs="Times New Roman"/>
                  <w:b/>
                  <w:bCs/>
                  <w:noProof/>
                  <w:color w:val="000000" w:themeColor="text1"/>
                  <w:sz w:val="24"/>
                  <w:szCs w:val="24"/>
                </w:rPr>
                <w:fldChar w:fldCharType="end"/>
              </w:r>
            </w:p>
            <w:p w14:paraId="2E12573B" w14:textId="5537E462" w:rsidR="00570A4A" w:rsidRPr="00975B37" w:rsidRDefault="00146A74" w:rsidP="008B281E">
              <w:pPr>
                <w:pStyle w:val="Bibliography"/>
                <w:ind w:left="720" w:hanging="720"/>
                <w:jc w:val="both"/>
                <w:rPr>
                  <w:color w:val="000000" w:themeColor="text1"/>
                </w:rPr>
              </w:pPr>
              <w:r w:rsidRPr="0019528D">
                <w:rPr>
                  <w:rStyle w:val="Strong"/>
                  <w:rFonts w:ascii="Times New Roman" w:hAnsi="Times New Roman" w:cs="Times New Roman"/>
                  <w:b w:val="0"/>
                  <w:color w:val="000000" w:themeColor="text1"/>
                  <w:sz w:val="24"/>
                  <w:szCs w:val="24"/>
                  <w:lang w:val="nl-BE"/>
                </w:rPr>
                <w:lastRenderedPageBreak/>
                <w:t>Zimmerman, B. J., &amp; Schunk, D. H. (2021).</w:t>
              </w:r>
              <w:r w:rsidRPr="0019528D">
                <w:rPr>
                  <w:rFonts w:ascii="Times New Roman" w:hAnsi="Times New Roman" w:cs="Times New Roman"/>
                  <w:color w:val="000000" w:themeColor="text1"/>
                  <w:sz w:val="24"/>
                  <w:szCs w:val="24"/>
                  <w:lang w:val="nl-BE"/>
                </w:rPr>
                <w:t xml:space="preserve"> </w:t>
              </w:r>
              <w:r w:rsidRPr="00975B37">
                <w:rPr>
                  <w:rStyle w:val="Emphasis"/>
                  <w:rFonts w:ascii="Times New Roman" w:hAnsi="Times New Roman" w:cs="Times New Roman"/>
                  <w:color w:val="000000" w:themeColor="text1"/>
                  <w:sz w:val="24"/>
                  <w:szCs w:val="24"/>
                </w:rPr>
                <w:t>Handbook of self-regulation of learning and performance</w:t>
              </w:r>
              <w:r w:rsidRPr="00975B37">
                <w:rPr>
                  <w:rFonts w:ascii="Times New Roman" w:hAnsi="Times New Roman" w:cs="Times New Roman"/>
                  <w:color w:val="000000" w:themeColor="text1"/>
                  <w:sz w:val="24"/>
                  <w:szCs w:val="24"/>
                </w:rPr>
                <w:t xml:space="preserve"> (2nd ed.). Routledge. https://doi.org/10.4324/9780429327988</w:t>
              </w:r>
            </w:p>
          </w:sdtContent>
        </w:sdt>
      </w:sdtContent>
    </w:sdt>
    <w:p w14:paraId="10A93E6A" w14:textId="77777777" w:rsidR="00570A4A" w:rsidRPr="00975B37" w:rsidRDefault="00570A4A" w:rsidP="009372E6">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p>
    <w:p w14:paraId="47CC2307" w14:textId="77777777" w:rsidR="00570A4A" w:rsidRPr="00975B37" w:rsidRDefault="00570A4A" w:rsidP="009372E6">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val="en-US"/>
        </w:rPr>
      </w:pPr>
    </w:p>
    <w:p w14:paraId="7D68980F" w14:textId="77777777" w:rsidR="00175D2B" w:rsidRPr="00975B37" w:rsidRDefault="00175D2B" w:rsidP="00694E9D">
      <w:pPr>
        <w:spacing w:before="100" w:beforeAutospacing="1" w:after="100" w:afterAutospacing="1" w:line="240" w:lineRule="auto"/>
        <w:jc w:val="both"/>
        <w:rPr>
          <w:color w:val="000000" w:themeColor="text1"/>
        </w:rPr>
      </w:pPr>
    </w:p>
    <w:sectPr w:rsidR="00175D2B" w:rsidRPr="00975B3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02BA5" w14:textId="77777777" w:rsidR="00A834C0" w:rsidRDefault="00A834C0" w:rsidP="00A24F1C">
      <w:pPr>
        <w:spacing w:after="0" w:line="240" w:lineRule="auto"/>
      </w:pPr>
      <w:r>
        <w:separator/>
      </w:r>
    </w:p>
  </w:endnote>
  <w:endnote w:type="continuationSeparator" w:id="0">
    <w:p w14:paraId="4B832541" w14:textId="77777777" w:rsidR="00A834C0" w:rsidRDefault="00A834C0" w:rsidP="00A2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3A7D" w14:textId="77777777" w:rsidR="00962362" w:rsidRDefault="00962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383794"/>
      <w:docPartObj>
        <w:docPartGallery w:val="Page Numbers (Bottom of Page)"/>
        <w:docPartUnique/>
      </w:docPartObj>
    </w:sdtPr>
    <w:sdtEndPr>
      <w:rPr>
        <w:noProof/>
      </w:rPr>
    </w:sdtEndPr>
    <w:sdtContent>
      <w:p w14:paraId="74A58298" w14:textId="77777777" w:rsidR="00962362" w:rsidRDefault="00962362">
        <w:pPr>
          <w:pStyle w:val="Footer"/>
          <w:jc w:val="center"/>
        </w:pPr>
        <w:r>
          <w:fldChar w:fldCharType="begin"/>
        </w:r>
        <w:r>
          <w:instrText xml:space="preserve"> PAGE   \* MERGEFORMAT </w:instrText>
        </w:r>
        <w:r>
          <w:fldChar w:fldCharType="separate"/>
        </w:r>
        <w:r w:rsidR="00641584">
          <w:rPr>
            <w:noProof/>
          </w:rPr>
          <w:t>17</w:t>
        </w:r>
        <w:r>
          <w:rPr>
            <w:noProof/>
          </w:rPr>
          <w:fldChar w:fldCharType="end"/>
        </w:r>
      </w:p>
    </w:sdtContent>
  </w:sdt>
  <w:p w14:paraId="0C8FFCC7" w14:textId="77777777" w:rsidR="00962362" w:rsidRDefault="00962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1A47" w14:textId="77777777" w:rsidR="00962362" w:rsidRDefault="00962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F138E" w14:textId="77777777" w:rsidR="00A834C0" w:rsidRDefault="00A834C0" w:rsidP="00A24F1C">
      <w:pPr>
        <w:spacing w:after="0" w:line="240" w:lineRule="auto"/>
      </w:pPr>
      <w:r>
        <w:separator/>
      </w:r>
    </w:p>
  </w:footnote>
  <w:footnote w:type="continuationSeparator" w:id="0">
    <w:p w14:paraId="339B6170" w14:textId="77777777" w:rsidR="00A834C0" w:rsidRDefault="00A834C0" w:rsidP="00A24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A4D5" w14:textId="78694EB9" w:rsidR="00962362" w:rsidRDefault="00A834C0">
    <w:pPr>
      <w:pStyle w:val="Header"/>
    </w:pPr>
    <w:r>
      <w:rPr>
        <w:noProof/>
      </w:rPr>
      <w:pict w14:anchorId="5D2F3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F4B7" w14:textId="2BF56023" w:rsidR="00962362" w:rsidRDefault="00A834C0">
    <w:pPr>
      <w:pStyle w:val="Header"/>
    </w:pPr>
    <w:r>
      <w:rPr>
        <w:noProof/>
      </w:rPr>
      <w:pict w14:anchorId="7CDF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2ADE" w14:textId="50182D11" w:rsidR="00962362" w:rsidRDefault="00A834C0">
    <w:pPr>
      <w:pStyle w:val="Header"/>
    </w:pPr>
    <w:r>
      <w:rPr>
        <w:noProof/>
      </w:rPr>
      <w:pict w14:anchorId="56E2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50D73"/>
    <w:multiLevelType w:val="multilevel"/>
    <w:tmpl w:val="4290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4A302F"/>
    <w:multiLevelType w:val="hybridMultilevel"/>
    <w:tmpl w:val="D100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4672F"/>
    <w:multiLevelType w:val="multilevel"/>
    <w:tmpl w:val="A596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611606"/>
    <w:multiLevelType w:val="multilevel"/>
    <w:tmpl w:val="A07661EA"/>
    <w:lvl w:ilvl="0">
      <w:start w:val="1"/>
      <w:numFmt w:val="lowerRoman"/>
      <w:lvlText w:val="%1."/>
      <w:lvlJc w:val="righ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D131A"/>
    <w:multiLevelType w:val="multilevel"/>
    <w:tmpl w:val="E8D86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2D7886"/>
    <w:multiLevelType w:val="hybridMultilevel"/>
    <w:tmpl w:val="D100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sDQ1tgTSxsbmhko6SsGpxcWZ+XkgBYa1AMiVQTYsAAAA"/>
  </w:docVars>
  <w:rsids>
    <w:rsidRoot w:val="00B07F24"/>
    <w:rsid w:val="00026D27"/>
    <w:rsid w:val="00033C0E"/>
    <w:rsid w:val="000605FF"/>
    <w:rsid w:val="0009195F"/>
    <w:rsid w:val="00092A84"/>
    <w:rsid w:val="000A2EC4"/>
    <w:rsid w:val="000C1342"/>
    <w:rsid w:val="000D0B4A"/>
    <w:rsid w:val="000E45D6"/>
    <w:rsid w:val="00123EE8"/>
    <w:rsid w:val="00132BC2"/>
    <w:rsid w:val="00141D98"/>
    <w:rsid w:val="001448A3"/>
    <w:rsid w:val="00146A74"/>
    <w:rsid w:val="001533D1"/>
    <w:rsid w:val="00175D2B"/>
    <w:rsid w:val="00177D89"/>
    <w:rsid w:val="0019528D"/>
    <w:rsid w:val="001B60AA"/>
    <w:rsid w:val="001D7030"/>
    <w:rsid w:val="001E3E44"/>
    <w:rsid w:val="001E3ED9"/>
    <w:rsid w:val="001E4298"/>
    <w:rsid w:val="00264F85"/>
    <w:rsid w:val="00266F78"/>
    <w:rsid w:val="0027336F"/>
    <w:rsid w:val="00284F3E"/>
    <w:rsid w:val="00287340"/>
    <w:rsid w:val="0029502F"/>
    <w:rsid w:val="002950D5"/>
    <w:rsid w:val="002A004E"/>
    <w:rsid w:val="002A38FA"/>
    <w:rsid w:val="002B2CB5"/>
    <w:rsid w:val="002B433B"/>
    <w:rsid w:val="002F3EE5"/>
    <w:rsid w:val="002F5420"/>
    <w:rsid w:val="00305A8C"/>
    <w:rsid w:val="00343020"/>
    <w:rsid w:val="0038519E"/>
    <w:rsid w:val="003877C4"/>
    <w:rsid w:val="00391D43"/>
    <w:rsid w:val="003B77FE"/>
    <w:rsid w:val="003C4FEB"/>
    <w:rsid w:val="003E57AE"/>
    <w:rsid w:val="003F3BD6"/>
    <w:rsid w:val="00406EC4"/>
    <w:rsid w:val="004160C3"/>
    <w:rsid w:val="004726D7"/>
    <w:rsid w:val="00482CA4"/>
    <w:rsid w:val="004863E9"/>
    <w:rsid w:val="004C0131"/>
    <w:rsid w:val="004D29E4"/>
    <w:rsid w:val="004E354C"/>
    <w:rsid w:val="0050783C"/>
    <w:rsid w:val="005463FA"/>
    <w:rsid w:val="00553684"/>
    <w:rsid w:val="0056151F"/>
    <w:rsid w:val="00564F4B"/>
    <w:rsid w:val="00570A4A"/>
    <w:rsid w:val="00571A49"/>
    <w:rsid w:val="00580EDB"/>
    <w:rsid w:val="005924A6"/>
    <w:rsid w:val="00596DE3"/>
    <w:rsid w:val="005B68C0"/>
    <w:rsid w:val="005C009A"/>
    <w:rsid w:val="005C65FE"/>
    <w:rsid w:val="005C6A5E"/>
    <w:rsid w:val="005C72F9"/>
    <w:rsid w:val="005D41A7"/>
    <w:rsid w:val="005E0F4F"/>
    <w:rsid w:val="005E4F14"/>
    <w:rsid w:val="005F1189"/>
    <w:rsid w:val="00601B89"/>
    <w:rsid w:val="00602BEB"/>
    <w:rsid w:val="00616473"/>
    <w:rsid w:val="00641584"/>
    <w:rsid w:val="0065656B"/>
    <w:rsid w:val="00663FAA"/>
    <w:rsid w:val="00694E9D"/>
    <w:rsid w:val="00697204"/>
    <w:rsid w:val="006B0975"/>
    <w:rsid w:val="006B2C66"/>
    <w:rsid w:val="00704193"/>
    <w:rsid w:val="0070666D"/>
    <w:rsid w:val="00721F7B"/>
    <w:rsid w:val="00734A14"/>
    <w:rsid w:val="0074314C"/>
    <w:rsid w:val="00771089"/>
    <w:rsid w:val="007769B2"/>
    <w:rsid w:val="007A6249"/>
    <w:rsid w:val="007B3392"/>
    <w:rsid w:val="007B4400"/>
    <w:rsid w:val="007C0382"/>
    <w:rsid w:val="007E397B"/>
    <w:rsid w:val="007F1574"/>
    <w:rsid w:val="0080005D"/>
    <w:rsid w:val="00825D9E"/>
    <w:rsid w:val="0083721B"/>
    <w:rsid w:val="008402EA"/>
    <w:rsid w:val="008431E3"/>
    <w:rsid w:val="00845A98"/>
    <w:rsid w:val="00846A8C"/>
    <w:rsid w:val="0085395A"/>
    <w:rsid w:val="00855BBE"/>
    <w:rsid w:val="00863815"/>
    <w:rsid w:val="00866633"/>
    <w:rsid w:val="00867326"/>
    <w:rsid w:val="00893D5A"/>
    <w:rsid w:val="008A6AF0"/>
    <w:rsid w:val="008B281E"/>
    <w:rsid w:val="008B4174"/>
    <w:rsid w:val="008B73D6"/>
    <w:rsid w:val="008D123B"/>
    <w:rsid w:val="008F6969"/>
    <w:rsid w:val="0091101C"/>
    <w:rsid w:val="009126BE"/>
    <w:rsid w:val="0091653C"/>
    <w:rsid w:val="009213C7"/>
    <w:rsid w:val="00926387"/>
    <w:rsid w:val="0093028F"/>
    <w:rsid w:val="009325CC"/>
    <w:rsid w:val="009372E6"/>
    <w:rsid w:val="009421C6"/>
    <w:rsid w:val="00962362"/>
    <w:rsid w:val="00975B37"/>
    <w:rsid w:val="0098656D"/>
    <w:rsid w:val="00992415"/>
    <w:rsid w:val="009B5D39"/>
    <w:rsid w:val="009B615A"/>
    <w:rsid w:val="009E7439"/>
    <w:rsid w:val="00A12059"/>
    <w:rsid w:val="00A13AE2"/>
    <w:rsid w:val="00A20059"/>
    <w:rsid w:val="00A24F1C"/>
    <w:rsid w:val="00A2660A"/>
    <w:rsid w:val="00A27262"/>
    <w:rsid w:val="00A5165D"/>
    <w:rsid w:val="00A51D1F"/>
    <w:rsid w:val="00A52A7F"/>
    <w:rsid w:val="00A53FE0"/>
    <w:rsid w:val="00A55422"/>
    <w:rsid w:val="00A61A11"/>
    <w:rsid w:val="00A62920"/>
    <w:rsid w:val="00A7515A"/>
    <w:rsid w:val="00A77548"/>
    <w:rsid w:val="00A834C0"/>
    <w:rsid w:val="00A92CBE"/>
    <w:rsid w:val="00AC3828"/>
    <w:rsid w:val="00AC7859"/>
    <w:rsid w:val="00AE1E41"/>
    <w:rsid w:val="00AF0C34"/>
    <w:rsid w:val="00AF3088"/>
    <w:rsid w:val="00AF54C1"/>
    <w:rsid w:val="00B07F24"/>
    <w:rsid w:val="00B300A8"/>
    <w:rsid w:val="00B5065D"/>
    <w:rsid w:val="00B70005"/>
    <w:rsid w:val="00B74986"/>
    <w:rsid w:val="00BA5FD3"/>
    <w:rsid w:val="00BB0427"/>
    <w:rsid w:val="00BB3158"/>
    <w:rsid w:val="00BC1F6E"/>
    <w:rsid w:val="00BC787D"/>
    <w:rsid w:val="00BD19E8"/>
    <w:rsid w:val="00BD7C76"/>
    <w:rsid w:val="00BE07A4"/>
    <w:rsid w:val="00BE57D3"/>
    <w:rsid w:val="00C11D80"/>
    <w:rsid w:val="00C513B3"/>
    <w:rsid w:val="00C64A22"/>
    <w:rsid w:val="00C72BC2"/>
    <w:rsid w:val="00CA14B1"/>
    <w:rsid w:val="00CA68AA"/>
    <w:rsid w:val="00CC49AC"/>
    <w:rsid w:val="00CF6792"/>
    <w:rsid w:val="00D211BC"/>
    <w:rsid w:val="00D333E9"/>
    <w:rsid w:val="00D359B3"/>
    <w:rsid w:val="00D64F26"/>
    <w:rsid w:val="00D8368C"/>
    <w:rsid w:val="00D8615E"/>
    <w:rsid w:val="00D96DDA"/>
    <w:rsid w:val="00D976B8"/>
    <w:rsid w:val="00DC25F7"/>
    <w:rsid w:val="00DC3AE6"/>
    <w:rsid w:val="00DF59FA"/>
    <w:rsid w:val="00E0676A"/>
    <w:rsid w:val="00E20F5F"/>
    <w:rsid w:val="00E21764"/>
    <w:rsid w:val="00E2351C"/>
    <w:rsid w:val="00E24DE1"/>
    <w:rsid w:val="00E434A4"/>
    <w:rsid w:val="00E46322"/>
    <w:rsid w:val="00E56A3D"/>
    <w:rsid w:val="00E609C5"/>
    <w:rsid w:val="00E67EFB"/>
    <w:rsid w:val="00E74287"/>
    <w:rsid w:val="00E763EE"/>
    <w:rsid w:val="00E82840"/>
    <w:rsid w:val="00E902DB"/>
    <w:rsid w:val="00E90684"/>
    <w:rsid w:val="00EA6C06"/>
    <w:rsid w:val="00EB4D5A"/>
    <w:rsid w:val="00ED69F1"/>
    <w:rsid w:val="00F060EE"/>
    <w:rsid w:val="00F06647"/>
    <w:rsid w:val="00F44165"/>
    <w:rsid w:val="00F6118D"/>
    <w:rsid w:val="00F61BB0"/>
    <w:rsid w:val="00FA4FC0"/>
    <w:rsid w:val="00FA7485"/>
    <w:rsid w:val="00FC5071"/>
    <w:rsid w:val="00FE134C"/>
    <w:rsid w:val="00FE56B5"/>
    <w:rsid w:val="00FF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CFEEE3"/>
  <w15:chartTrackingRefBased/>
  <w15:docId w15:val="{34125DA0-95B6-4B86-AA12-6DAA272D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2E6"/>
    <w:rPr>
      <w:lang w:val="en-GB"/>
    </w:rPr>
  </w:style>
  <w:style w:type="paragraph" w:styleId="Heading1">
    <w:name w:val="heading 1"/>
    <w:basedOn w:val="Normal"/>
    <w:next w:val="Normal"/>
    <w:link w:val="Heading1Char"/>
    <w:uiPriority w:val="9"/>
    <w:qFormat/>
    <w:rsid w:val="00845A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98"/>
    <w:rPr>
      <w:rFonts w:asciiTheme="majorHAnsi" w:eastAsiaTheme="majorEastAsia" w:hAnsiTheme="majorHAnsi" w:cstheme="majorBidi"/>
      <w:color w:val="2E74B5" w:themeColor="accent1" w:themeShade="BF"/>
      <w:sz w:val="32"/>
      <w:szCs w:val="32"/>
      <w:lang w:val="en-GB"/>
    </w:rPr>
  </w:style>
  <w:style w:type="paragraph" w:styleId="NormalWeb">
    <w:name w:val="Normal (Web)"/>
    <w:basedOn w:val="Normal"/>
    <w:uiPriority w:val="99"/>
    <w:unhideWhenUsed/>
    <w:rsid w:val="00F066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B2CB5"/>
    <w:rPr>
      <w:b/>
      <w:bCs/>
    </w:rPr>
  </w:style>
  <w:style w:type="character" w:styleId="Emphasis">
    <w:name w:val="Emphasis"/>
    <w:basedOn w:val="DefaultParagraphFont"/>
    <w:uiPriority w:val="20"/>
    <w:qFormat/>
    <w:rsid w:val="00694E9D"/>
    <w:rPr>
      <w:i/>
      <w:iCs/>
    </w:rPr>
  </w:style>
  <w:style w:type="character" w:styleId="Hyperlink">
    <w:name w:val="Hyperlink"/>
    <w:basedOn w:val="DefaultParagraphFont"/>
    <w:uiPriority w:val="99"/>
    <w:unhideWhenUsed/>
    <w:rsid w:val="00694E9D"/>
    <w:rPr>
      <w:color w:val="0000FF"/>
      <w:u w:val="single"/>
    </w:rPr>
  </w:style>
  <w:style w:type="paragraph" w:styleId="Header">
    <w:name w:val="header"/>
    <w:basedOn w:val="Normal"/>
    <w:link w:val="HeaderChar"/>
    <w:uiPriority w:val="99"/>
    <w:unhideWhenUsed/>
    <w:rsid w:val="00A24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F1C"/>
    <w:rPr>
      <w:lang w:val="en-GB"/>
    </w:rPr>
  </w:style>
  <w:style w:type="paragraph" w:styleId="Footer">
    <w:name w:val="footer"/>
    <w:basedOn w:val="Normal"/>
    <w:link w:val="FooterChar"/>
    <w:uiPriority w:val="99"/>
    <w:unhideWhenUsed/>
    <w:rsid w:val="00A24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F1C"/>
    <w:rPr>
      <w:lang w:val="en-GB"/>
    </w:rPr>
  </w:style>
  <w:style w:type="paragraph" w:styleId="Bibliography">
    <w:name w:val="Bibliography"/>
    <w:basedOn w:val="Normal"/>
    <w:next w:val="Normal"/>
    <w:uiPriority w:val="37"/>
    <w:unhideWhenUsed/>
    <w:rsid w:val="00602BEB"/>
  </w:style>
  <w:style w:type="character" w:customStyle="1" w:styleId="UnresolvedMention1">
    <w:name w:val="Unresolved Mention1"/>
    <w:basedOn w:val="DefaultParagraphFont"/>
    <w:uiPriority w:val="99"/>
    <w:semiHidden/>
    <w:unhideWhenUsed/>
    <w:rsid w:val="003877C4"/>
    <w:rPr>
      <w:color w:val="605E5C"/>
      <w:shd w:val="clear" w:color="auto" w:fill="E1DFDD"/>
    </w:rPr>
  </w:style>
  <w:style w:type="paragraph" w:styleId="BalloonText">
    <w:name w:val="Balloon Text"/>
    <w:basedOn w:val="Normal"/>
    <w:link w:val="BalloonTextChar"/>
    <w:uiPriority w:val="99"/>
    <w:semiHidden/>
    <w:unhideWhenUsed/>
    <w:rsid w:val="00D83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8C"/>
    <w:rPr>
      <w:rFonts w:ascii="Segoe UI" w:hAnsi="Segoe UI" w:cs="Segoe UI"/>
      <w:sz w:val="18"/>
      <w:szCs w:val="18"/>
      <w:lang w:val="en-GB"/>
    </w:rPr>
  </w:style>
  <w:style w:type="character" w:styleId="CommentReference">
    <w:name w:val="annotation reference"/>
    <w:basedOn w:val="DefaultParagraphFont"/>
    <w:uiPriority w:val="99"/>
    <w:semiHidden/>
    <w:unhideWhenUsed/>
    <w:rsid w:val="00D8368C"/>
    <w:rPr>
      <w:sz w:val="16"/>
      <w:szCs w:val="16"/>
    </w:rPr>
  </w:style>
  <w:style w:type="paragraph" w:styleId="CommentText">
    <w:name w:val="annotation text"/>
    <w:basedOn w:val="Normal"/>
    <w:link w:val="CommentTextChar"/>
    <w:uiPriority w:val="99"/>
    <w:semiHidden/>
    <w:unhideWhenUsed/>
    <w:rsid w:val="00D8368C"/>
    <w:pPr>
      <w:spacing w:line="240" w:lineRule="auto"/>
    </w:pPr>
    <w:rPr>
      <w:sz w:val="20"/>
      <w:szCs w:val="20"/>
    </w:rPr>
  </w:style>
  <w:style w:type="character" w:customStyle="1" w:styleId="CommentTextChar">
    <w:name w:val="Comment Text Char"/>
    <w:basedOn w:val="DefaultParagraphFont"/>
    <w:link w:val="CommentText"/>
    <w:uiPriority w:val="99"/>
    <w:semiHidden/>
    <w:rsid w:val="00D8368C"/>
    <w:rPr>
      <w:sz w:val="20"/>
      <w:szCs w:val="20"/>
      <w:lang w:val="en-GB"/>
    </w:rPr>
  </w:style>
  <w:style w:type="paragraph" w:styleId="CommentSubject">
    <w:name w:val="annotation subject"/>
    <w:basedOn w:val="CommentText"/>
    <w:next w:val="CommentText"/>
    <w:link w:val="CommentSubjectChar"/>
    <w:uiPriority w:val="99"/>
    <w:semiHidden/>
    <w:unhideWhenUsed/>
    <w:rsid w:val="00D8368C"/>
    <w:rPr>
      <w:b/>
      <w:bCs/>
    </w:rPr>
  </w:style>
  <w:style w:type="character" w:customStyle="1" w:styleId="CommentSubjectChar">
    <w:name w:val="Comment Subject Char"/>
    <w:basedOn w:val="CommentTextChar"/>
    <w:link w:val="CommentSubject"/>
    <w:uiPriority w:val="99"/>
    <w:semiHidden/>
    <w:rsid w:val="00D8368C"/>
    <w:rPr>
      <w:b/>
      <w:bCs/>
      <w:sz w:val="20"/>
      <w:szCs w:val="20"/>
      <w:lang w:val="en-GB"/>
    </w:rPr>
  </w:style>
  <w:style w:type="paragraph" w:styleId="HTMLPreformatted">
    <w:name w:val="HTML Preformatted"/>
    <w:basedOn w:val="Normal"/>
    <w:link w:val="HTMLPreformattedChar"/>
    <w:uiPriority w:val="99"/>
    <w:semiHidden/>
    <w:unhideWhenUsed/>
    <w:rsid w:val="00D8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8368C"/>
    <w:rPr>
      <w:rFonts w:ascii="Courier New" w:eastAsia="Times New Roman" w:hAnsi="Courier New" w:cs="Courier New"/>
      <w:sz w:val="20"/>
      <w:szCs w:val="20"/>
    </w:rPr>
  </w:style>
  <w:style w:type="character" w:customStyle="1" w:styleId="y2iqfc">
    <w:name w:val="y2iqfc"/>
    <w:basedOn w:val="DefaultParagraphFont"/>
    <w:rsid w:val="00D8368C"/>
  </w:style>
  <w:style w:type="paragraph" w:styleId="ListParagraph">
    <w:name w:val="List Paragraph"/>
    <w:basedOn w:val="Normal"/>
    <w:uiPriority w:val="34"/>
    <w:qFormat/>
    <w:rsid w:val="009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8541">
      <w:bodyDiv w:val="1"/>
      <w:marLeft w:val="0"/>
      <w:marRight w:val="0"/>
      <w:marTop w:val="0"/>
      <w:marBottom w:val="0"/>
      <w:divBdr>
        <w:top w:val="none" w:sz="0" w:space="0" w:color="auto"/>
        <w:left w:val="none" w:sz="0" w:space="0" w:color="auto"/>
        <w:bottom w:val="none" w:sz="0" w:space="0" w:color="auto"/>
        <w:right w:val="none" w:sz="0" w:space="0" w:color="auto"/>
      </w:divBdr>
    </w:div>
    <w:div w:id="113912556">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411004007">
      <w:bodyDiv w:val="1"/>
      <w:marLeft w:val="0"/>
      <w:marRight w:val="0"/>
      <w:marTop w:val="0"/>
      <w:marBottom w:val="0"/>
      <w:divBdr>
        <w:top w:val="none" w:sz="0" w:space="0" w:color="auto"/>
        <w:left w:val="none" w:sz="0" w:space="0" w:color="auto"/>
        <w:bottom w:val="none" w:sz="0" w:space="0" w:color="auto"/>
        <w:right w:val="none" w:sz="0" w:space="0" w:color="auto"/>
      </w:divBdr>
    </w:div>
    <w:div w:id="413474098">
      <w:bodyDiv w:val="1"/>
      <w:marLeft w:val="0"/>
      <w:marRight w:val="0"/>
      <w:marTop w:val="0"/>
      <w:marBottom w:val="0"/>
      <w:divBdr>
        <w:top w:val="none" w:sz="0" w:space="0" w:color="auto"/>
        <w:left w:val="none" w:sz="0" w:space="0" w:color="auto"/>
        <w:bottom w:val="none" w:sz="0" w:space="0" w:color="auto"/>
        <w:right w:val="none" w:sz="0" w:space="0" w:color="auto"/>
      </w:divBdr>
    </w:div>
    <w:div w:id="554631301">
      <w:bodyDiv w:val="1"/>
      <w:marLeft w:val="0"/>
      <w:marRight w:val="0"/>
      <w:marTop w:val="0"/>
      <w:marBottom w:val="0"/>
      <w:divBdr>
        <w:top w:val="none" w:sz="0" w:space="0" w:color="auto"/>
        <w:left w:val="none" w:sz="0" w:space="0" w:color="auto"/>
        <w:bottom w:val="none" w:sz="0" w:space="0" w:color="auto"/>
        <w:right w:val="none" w:sz="0" w:space="0" w:color="auto"/>
      </w:divBdr>
    </w:div>
    <w:div w:id="611593366">
      <w:bodyDiv w:val="1"/>
      <w:marLeft w:val="0"/>
      <w:marRight w:val="0"/>
      <w:marTop w:val="0"/>
      <w:marBottom w:val="0"/>
      <w:divBdr>
        <w:top w:val="none" w:sz="0" w:space="0" w:color="auto"/>
        <w:left w:val="none" w:sz="0" w:space="0" w:color="auto"/>
        <w:bottom w:val="none" w:sz="0" w:space="0" w:color="auto"/>
        <w:right w:val="none" w:sz="0" w:space="0" w:color="auto"/>
      </w:divBdr>
    </w:div>
    <w:div w:id="620914021">
      <w:bodyDiv w:val="1"/>
      <w:marLeft w:val="0"/>
      <w:marRight w:val="0"/>
      <w:marTop w:val="0"/>
      <w:marBottom w:val="0"/>
      <w:divBdr>
        <w:top w:val="none" w:sz="0" w:space="0" w:color="auto"/>
        <w:left w:val="none" w:sz="0" w:space="0" w:color="auto"/>
        <w:bottom w:val="none" w:sz="0" w:space="0" w:color="auto"/>
        <w:right w:val="none" w:sz="0" w:space="0" w:color="auto"/>
      </w:divBdr>
    </w:div>
    <w:div w:id="662395199">
      <w:bodyDiv w:val="1"/>
      <w:marLeft w:val="0"/>
      <w:marRight w:val="0"/>
      <w:marTop w:val="0"/>
      <w:marBottom w:val="0"/>
      <w:divBdr>
        <w:top w:val="none" w:sz="0" w:space="0" w:color="auto"/>
        <w:left w:val="none" w:sz="0" w:space="0" w:color="auto"/>
        <w:bottom w:val="none" w:sz="0" w:space="0" w:color="auto"/>
        <w:right w:val="none" w:sz="0" w:space="0" w:color="auto"/>
      </w:divBdr>
    </w:div>
    <w:div w:id="667446404">
      <w:bodyDiv w:val="1"/>
      <w:marLeft w:val="0"/>
      <w:marRight w:val="0"/>
      <w:marTop w:val="0"/>
      <w:marBottom w:val="0"/>
      <w:divBdr>
        <w:top w:val="none" w:sz="0" w:space="0" w:color="auto"/>
        <w:left w:val="none" w:sz="0" w:space="0" w:color="auto"/>
        <w:bottom w:val="none" w:sz="0" w:space="0" w:color="auto"/>
        <w:right w:val="none" w:sz="0" w:space="0" w:color="auto"/>
      </w:divBdr>
    </w:div>
    <w:div w:id="690186265">
      <w:bodyDiv w:val="1"/>
      <w:marLeft w:val="0"/>
      <w:marRight w:val="0"/>
      <w:marTop w:val="0"/>
      <w:marBottom w:val="0"/>
      <w:divBdr>
        <w:top w:val="none" w:sz="0" w:space="0" w:color="auto"/>
        <w:left w:val="none" w:sz="0" w:space="0" w:color="auto"/>
        <w:bottom w:val="none" w:sz="0" w:space="0" w:color="auto"/>
        <w:right w:val="none" w:sz="0" w:space="0" w:color="auto"/>
      </w:divBdr>
    </w:div>
    <w:div w:id="752239389">
      <w:bodyDiv w:val="1"/>
      <w:marLeft w:val="0"/>
      <w:marRight w:val="0"/>
      <w:marTop w:val="0"/>
      <w:marBottom w:val="0"/>
      <w:divBdr>
        <w:top w:val="none" w:sz="0" w:space="0" w:color="auto"/>
        <w:left w:val="none" w:sz="0" w:space="0" w:color="auto"/>
        <w:bottom w:val="none" w:sz="0" w:space="0" w:color="auto"/>
        <w:right w:val="none" w:sz="0" w:space="0" w:color="auto"/>
      </w:divBdr>
    </w:div>
    <w:div w:id="768627356">
      <w:bodyDiv w:val="1"/>
      <w:marLeft w:val="0"/>
      <w:marRight w:val="0"/>
      <w:marTop w:val="0"/>
      <w:marBottom w:val="0"/>
      <w:divBdr>
        <w:top w:val="none" w:sz="0" w:space="0" w:color="auto"/>
        <w:left w:val="none" w:sz="0" w:space="0" w:color="auto"/>
        <w:bottom w:val="none" w:sz="0" w:space="0" w:color="auto"/>
        <w:right w:val="none" w:sz="0" w:space="0" w:color="auto"/>
      </w:divBdr>
      <w:divsChild>
        <w:div w:id="624239760">
          <w:marLeft w:val="0"/>
          <w:marRight w:val="0"/>
          <w:marTop w:val="0"/>
          <w:marBottom w:val="0"/>
          <w:divBdr>
            <w:top w:val="none" w:sz="0" w:space="0" w:color="auto"/>
            <w:left w:val="none" w:sz="0" w:space="0" w:color="auto"/>
            <w:bottom w:val="none" w:sz="0" w:space="0" w:color="auto"/>
            <w:right w:val="none" w:sz="0" w:space="0" w:color="auto"/>
          </w:divBdr>
          <w:divsChild>
            <w:div w:id="1985968641">
              <w:marLeft w:val="0"/>
              <w:marRight w:val="0"/>
              <w:marTop w:val="0"/>
              <w:marBottom w:val="0"/>
              <w:divBdr>
                <w:top w:val="none" w:sz="0" w:space="0" w:color="auto"/>
                <w:left w:val="none" w:sz="0" w:space="0" w:color="auto"/>
                <w:bottom w:val="none" w:sz="0" w:space="0" w:color="auto"/>
                <w:right w:val="none" w:sz="0" w:space="0" w:color="auto"/>
              </w:divBdr>
              <w:divsChild>
                <w:div w:id="515115422">
                  <w:marLeft w:val="0"/>
                  <w:marRight w:val="0"/>
                  <w:marTop w:val="0"/>
                  <w:marBottom w:val="0"/>
                  <w:divBdr>
                    <w:top w:val="none" w:sz="0" w:space="0" w:color="auto"/>
                    <w:left w:val="none" w:sz="0" w:space="0" w:color="auto"/>
                    <w:bottom w:val="none" w:sz="0" w:space="0" w:color="auto"/>
                    <w:right w:val="none" w:sz="0" w:space="0" w:color="auto"/>
                  </w:divBdr>
                  <w:divsChild>
                    <w:div w:id="1893155695">
                      <w:marLeft w:val="0"/>
                      <w:marRight w:val="0"/>
                      <w:marTop w:val="0"/>
                      <w:marBottom w:val="0"/>
                      <w:divBdr>
                        <w:top w:val="none" w:sz="0" w:space="0" w:color="auto"/>
                        <w:left w:val="none" w:sz="0" w:space="0" w:color="auto"/>
                        <w:bottom w:val="none" w:sz="0" w:space="0" w:color="auto"/>
                        <w:right w:val="none" w:sz="0" w:space="0" w:color="auto"/>
                      </w:divBdr>
                      <w:divsChild>
                        <w:div w:id="1047025776">
                          <w:marLeft w:val="0"/>
                          <w:marRight w:val="0"/>
                          <w:marTop w:val="0"/>
                          <w:marBottom w:val="0"/>
                          <w:divBdr>
                            <w:top w:val="none" w:sz="0" w:space="0" w:color="auto"/>
                            <w:left w:val="none" w:sz="0" w:space="0" w:color="auto"/>
                            <w:bottom w:val="none" w:sz="0" w:space="0" w:color="auto"/>
                            <w:right w:val="none" w:sz="0" w:space="0" w:color="auto"/>
                          </w:divBdr>
                          <w:divsChild>
                            <w:div w:id="1166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85229">
      <w:bodyDiv w:val="1"/>
      <w:marLeft w:val="0"/>
      <w:marRight w:val="0"/>
      <w:marTop w:val="0"/>
      <w:marBottom w:val="0"/>
      <w:divBdr>
        <w:top w:val="none" w:sz="0" w:space="0" w:color="auto"/>
        <w:left w:val="none" w:sz="0" w:space="0" w:color="auto"/>
        <w:bottom w:val="none" w:sz="0" w:space="0" w:color="auto"/>
        <w:right w:val="none" w:sz="0" w:space="0" w:color="auto"/>
      </w:divBdr>
    </w:div>
    <w:div w:id="905065530">
      <w:bodyDiv w:val="1"/>
      <w:marLeft w:val="0"/>
      <w:marRight w:val="0"/>
      <w:marTop w:val="0"/>
      <w:marBottom w:val="0"/>
      <w:divBdr>
        <w:top w:val="none" w:sz="0" w:space="0" w:color="auto"/>
        <w:left w:val="none" w:sz="0" w:space="0" w:color="auto"/>
        <w:bottom w:val="none" w:sz="0" w:space="0" w:color="auto"/>
        <w:right w:val="none" w:sz="0" w:space="0" w:color="auto"/>
      </w:divBdr>
    </w:div>
    <w:div w:id="910117165">
      <w:bodyDiv w:val="1"/>
      <w:marLeft w:val="0"/>
      <w:marRight w:val="0"/>
      <w:marTop w:val="0"/>
      <w:marBottom w:val="0"/>
      <w:divBdr>
        <w:top w:val="none" w:sz="0" w:space="0" w:color="auto"/>
        <w:left w:val="none" w:sz="0" w:space="0" w:color="auto"/>
        <w:bottom w:val="none" w:sz="0" w:space="0" w:color="auto"/>
        <w:right w:val="none" w:sz="0" w:space="0" w:color="auto"/>
      </w:divBdr>
    </w:div>
    <w:div w:id="1127309040">
      <w:bodyDiv w:val="1"/>
      <w:marLeft w:val="0"/>
      <w:marRight w:val="0"/>
      <w:marTop w:val="0"/>
      <w:marBottom w:val="0"/>
      <w:divBdr>
        <w:top w:val="none" w:sz="0" w:space="0" w:color="auto"/>
        <w:left w:val="none" w:sz="0" w:space="0" w:color="auto"/>
        <w:bottom w:val="none" w:sz="0" w:space="0" w:color="auto"/>
        <w:right w:val="none" w:sz="0" w:space="0" w:color="auto"/>
      </w:divBdr>
    </w:div>
    <w:div w:id="1136802214">
      <w:bodyDiv w:val="1"/>
      <w:marLeft w:val="0"/>
      <w:marRight w:val="0"/>
      <w:marTop w:val="0"/>
      <w:marBottom w:val="0"/>
      <w:divBdr>
        <w:top w:val="none" w:sz="0" w:space="0" w:color="auto"/>
        <w:left w:val="none" w:sz="0" w:space="0" w:color="auto"/>
        <w:bottom w:val="none" w:sz="0" w:space="0" w:color="auto"/>
        <w:right w:val="none" w:sz="0" w:space="0" w:color="auto"/>
      </w:divBdr>
    </w:div>
    <w:div w:id="1227453254">
      <w:bodyDiv w:val="1"/>
      <w:marLeft w:val="0"/>
      <w:marRight w:val="0"/>
      <w:marTop w:val="0"/>
      <w:marBottom w:val="0"/>
      <w:divBdr>
        <w:top w:val="none" w:sz="0" w:space="0" w:color="auto"/>
        <w:left w:val="none" w:sz="0" w:space="0" w:color="auto"/>
        <w:bottom w:val="none" w:sz="0" w:space="0" w:color="auto"/>
        <w:right w:val="none" w:sz="0" w:space="0" w:color="auto"/>
      </w:divBdr>
    </w:div>
    <w:div w:id="1302003790">
      <w:bodyDiv w:val="1"/>
      <w:marLeft w:val="0"/>
      <w:marRight w:val="0"/>
      <w:marTop w:val="0"/>
      <w:marBottom w:val="0"/>
      <w:divBdr>
        <w:top w:val="none" w:sz="0" w:space="0" w:color="auto"/>
        <w:left w:val="none" w:sz="0" w:space="0" w:color="auto"/>
        <w:bottom w:val="none" w:sz="0" w:space="0" w:color="auto"/>
        <w:right w:val="none" w:sz="0" w:space="0" w:color="auto"/>
      </w:divBdr>
    </w:div>
    <w:div w:id="1402481641">
      <w:bodyDiv w:val="1"/>
      <w:marLeft w:val="0"/>
      <w:marRight w:val="0"/>
      <w:marTop w:val="0"/>
      <w:marBottom w:val="0"/>
      <w:divBdr>
        <w:top w:val="none" w:sz="0" w:space="0" w:color="auto"/>
        <w:left w:val="none" w:sz="0" w:space="0" w:color="auto"/>
        <w:bottom w:val="none" w:sz="0" w:space="0" w:color="auto"/>
        <w:right w:val="none" w:sz="0" w:space="0" w:color="auto"/>
      </w:divBdr>
    </w:div>
    <w:div w:id="1535116269">
      <w:bodyDiv w:val="1"/>
      <w:marLeft w:val="0"/>
      <w:marRight w:val="0"/>
      <w:marTop w:val="0"/>
      <w:marBottom w:val="0"/>
      <w:divBdr>
        <w:top w:val="none" w:sz="0" w:space="0" w:color="auto"/>
        <w:left w:val="none" w:sz="0" w:space="0" w:color="auto"/>
        <w:bottom w:val="none" w:sz="0" w:space="0" w:color="auto"/>
        <w:right w:val="none" w:sz="0" w:space="0" w:color="auto"/>
      </w:divBdr>
    </w:div>
    <w:div w:id="1565525298">
      <w:bodyDiv w:val="1"/>
      <w:marLeft w:val="0"/>
      <w:marRight w:val="0"/>
      <w:marTop w:val="0"/>
      <w:marBottom w:val="0"/>
      <w:divBdr>
        <w:top w:val="none" w:sz="0" w:space="0" w:color="auto"/>
        <w:left w:val="none" w:sz="0" w:space="0" w:color="auto"/>
        <w:bottom w:val="none" w:sz="0" w:space="0" w:color="auto"/>
        <w:right w:val="none" w:sz="0" w:space="0" w:color="auto"/>
      </w:divBdr>
    </w:div>
    <w:div w:id="1662196583">
      <w:bodyDiv w:val="1"/>
      <w:marLeft w:val="0"/>
      <w:marRight w:val="0"/>
      <w:marTop w:val="0"/>
      <w:marBottom w:val="0"/>
      <w:divBdr>
        <w:top w:val="none" w:sz="0" w:space="0" w:color="auto"/>
        <w:left w:val="none" w:sz="0" w:space="0" w:color="auto"/>
        <w:bottom w:val="none" w:sz="0" w:space="0" w:color="auto"/>
        <w:right w:val="none" w:sz="0" w:space="0" w:color="auto"/>
      </w:divBdr>
    </w:div>
    <w:div w:id="1723482650">
      <w:bodyDiv w:val="1"/>
      <w:marLeft w:val="0"/>
      <w:marRight w:val="0"/>
      <w:marTop w:val="0"/>
      <w:marBottom w:val="0"/>
      <w:divBdr>
        <w:top w:val="none" w:sz="0" w:space="0" w:color="auto"/>
        <w:left w:val="none" w:sz="0" w:space="0" w:color="auto"/>
        <w:bottom w:val="none" w:sz="0" w:space="0" w:color="auto"/>
        <w:right w:val="none" w:sz="0" w:space="0" w:color="auto"/>
      </w:divBdr>
    </w:div>
    <w:div w:id="1781026734">
      <w:bodyDiv w:val="1"/>
      <w:marLeft w:val="0"/>
      <w:marRight w:val="0"/>
      <w:marTop w:val="0"/>
      <w:marBottom w:val="0"/>
      <w:divBdr>
        <w:top w:val="none" w:sz="0" w:space="0" w:color="auto"/>
        <w:left w:val="none" w:sz="0" w:space="0" w:color="auto"/>
        <w:bottom w:val="none" w:sz="0" w:space="0" w:color="auto"/>
        <w:right w:val="none" w:sz="0" w:space="0" w:color="auto"/>
      </w:divBdr>
    </w:div>
    <w:div w:id="1805659500">
      <w:bodyDiv w:val="1"/>
      <w:marLeft w:val="0"/>
      <w:marRight w:val="0"/>
      <w:marTop w:val="0"/>
      <w:marBottom w:val="0"/>
      <w:divBdr>
        <w:top w:val="none" w:sz="0" w:space="0" w:color="auto"/>
        <w:left w:val="none" w:sz="0" w:space="0" w:color="auto"/>
        <w:bottom w:val="none" w:sz="0" w:space="0" w:color="auto"/>
        <w:right w:val="none" w:sz="0" w:space="0" w:color="auto"/>
      </w:divBdr>
    </w:div>
    <w:div w:id="1953394401">
      <w:bodyDiv w:val="1"/>
      <w:marLeft w:val="0"/>
      <w:marRight w:val="0"/>
      <w:marTop w:val="0"/>
      <w:marBottom w:val="0"/>
      <w:divBdr>
        <w:top w:val="none" w:sz="0" w:space="0" w:color="auto"/>
        <w:left w:val="none" w:sz="0" w:space="0" w:color="auto"/>
        <w:bottom w:val="none" w:sz="0" w:space="0" w:color="auto"/>
        <w:right w:val="none" w:sz="0" w:space="0" w:color="auto"/>
      </w:divBdr>
      <w:divsChild>
        <w:div w:id="1929998006">
          <w:marLeft w:val="0"/>
          <w:marRight w:val="0"/>
          <w:marTop w:val="0"/>
          <w:marBottom w:val="0"/>
          <w:divBdr>
            <w:top w:val="none" w:sz="0" w:space="0" w:color="auto"/>
            <w:left w:val="none" w:sz="0" w:space="0" w:color="auto"/>
            <w:bottom w:val="none" w:sz="0" w:space="0" w:color="auto"/>
            <w:right w:val="none" w:sz="0" w:space="0" w:color="auto"/>
          </w:divBdr>
          <w:divsChild>
            <w:div w:id="1446776219">
              <w:marLeft w:val="0"/>
              <w:marRight w:val="0"/>
              <w:marTop w:val="0"/>
              <w:marBottom w:val="0"/>
              <w:divBdr>
                <w:top w:val="none" w:sz="0" w:space="0" w:color="auto"/>
                <w:left w:val="none" w:sz="0" w:space="0" w:color="auto"/>
                <w:bottom w:val="none" w:sz="0" w:space="0" w:color="auto"/>
                <w:right w:val="none" w:sz="0" w:space="0" w:color="auto"/>
              </w:divBdr>
              <w:divsChild>
                <w:div w:id="990019432">
                  <w:marLeft w:val="0"/>
                  <w:marRight w:val="0"/>
                  <w:marTop w:val="0"/>
                  <w:marBottom w:val="0"/>
                  <w:divBdr>
                    <w:top w:val="none" w:sz="0" w:space="0" w:color="auto"/>
                    <w:left w:val="none" w:sz="0" w:space="0" w:color="auto"/>
                    <w:bottom w:val="none" w:sz="0" w:space="0" w:color="auto"/>
                    <w:right w:val="none" w:sz="0" w:space="0" w:color="auto"/>
                  </w:divBdr>
                  <w:divsChild>
                    <w:div w:id="1179007308">
                      <w:marLeft w:val="0"/>
                      <w:marRight w:val="0"/>
                      <w:marTop w:val="0"/>
                      <w:marBottom w:val="0"/>
                      <w:divBdr>
                        <w:top w:val="none" w:sz="0" w:space="0" w:color="auto"/>
                        <w:left w:val="none" w:sz="0" w:space="0" w:color="auto"/>
                        <w:bottom w:val="none" w:sz="0" w:space="0" w:color="auto"/>
                        <w:right w:val="none" w:sz="0" w:space="0" w:color="auto"/>
                      </w:divBdr>
                      <w:divsChild>
                        <w:div w:id="88159461">
                          <w:marLeft w:val="0"/>
                          <w:marRight w:val="0"/>
                          <w:marTop w:val="0"/>
                          <w:marBottom w:val="0"/>
                          <w:divBdr>
                            <w:top w:val="none" w:sz="0" w:space="0" w:color="auto"/>
                            <w:left w:val="none" w:sz="0" w:space="0" w:color="auto"/>
                            <w:bottom w:val="none" w:sz="0" w:space="0" w:color="auto"/>
                            <w:right w:val="none" w:sz="0" w:space="0" w:color="auto"/>
                          </w:divBdr>
                          <w:divsChild>
                            <w:div w:id="17710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135405">
      <w:bodyDiv w:val="1"/>
      <w:marLeft w:val="0"/>
      <w:marRight w:val="0"/>
      <w:marTop w:val="0"/>
      <w:marBottom w:val="0"/>
      <w:divBdr>
        <w:top w:val="none" w:sz="0" w:space="0" w:color="auto"/>
        <w:left w:val="none" w:sz="0" w:space="0" w:color="auto"/>
        <w:bottom w:val="none" w:sz="0" w:space="0" w:color="auto"/>
        <w:right w:val="none" w:sz="0" w:space="0" w:color="auto"/>
      </w:divBdr>
    </w:div>
    <w:div w:id="19842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300/122.311" TargetMode="External"/><Relationship Id="rId18" Type="http://schemas.openxmlformats.org/officeDocument/2006/relationships/hyperlink" Target="https://er.educause.edu/articles/2020/9/bichronous-online-learning-blending-asynchronous-and-synchronous-online-learning?utm_source=chatgpt.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r.educause.edu/articles/2020/9/bichronous-online-learning-blending-asynchronous-and-synchronous-online-learning?utm_source=chatgpt.com" TargetMode="External"/><Relationship Id="rId7" Type="http://schemas.openxmlformats.org/officeDocument/2006/relationships/endnotes" Target="endnotes.xml"/><Relationship Id="rId12" Type="http://schemas.openxmlformats.org/officeDocument/2006/relationships/hyperlink" Target="https://citl.indiana.edu/teaching-resources/teaching-strategies/attendance-engage/index.html?utm_source=chatgpt.com" TargetMode="External"/><Relationship Id="rId17" Type="http://schemas.openxmlformats.org/officeDocument/2006/relationships/hyperlink" Target="https://arxiv.org/abs/2210.15979" TargetMode="External"/><Relationship Id="rId25" Type="http://schemas.openxmlformats.org/officeDocument/2006/relationships/hyperlink" Target="https://www.advance-he.ac.uk/knowledge-hub/student-engagement-literature-revie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102/003465430298487" TargetMode="External"/><Relationship Id="rId20" Type="http://schemas.openxmlformats.org/officeDocument/2006/relationships/hyperlink" Target="https://arxiv.org/abs/2210.1597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tl.uconn.edu/resources/teaching-your-course/classroom-management/?utm_source=chatgpt.com" TargetMode="External"/><Relationship Id="rId24" Type="http://schemas.openxmlformats.org/officeDocument/2006/relationships/hyperlink" Target="https://arxiv.org/abs/2510.011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73/pnas.1319030111" TargetMode="External"/><Relationship Id="rId23" Type="http://schemas.openxmlformats.org/officeDocument/2006/relationships/hyperlink" Target="https://arxiv.org/abs/2402.05249" TargetMode="External"/><Relationship Id="rId28" Type="http://schemas.openxmlformats.org/officeDocument/2006/relationships/footer" Target="footer1.xml"/><Relationship Id="rId10" Type="http://schemas.openxmlformats.org/officeDocument/2006/relationships/hyperlink" Target="https://udlguidelines.cast.org" TargetMode="External"/><Relationship Id="rId19" Type="http://schemas.openxmlformats.org/officeDocument/2006/relationships/hyperlink" Target="https://doi.org/10.1080/0307507060057209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53075/Ijmsirq/098433453367" TargetMode="External"/><Relationship Id="rId14" Type="http://schemas.openxmlformats.org/officeDocument/2006/relationships/hyperlink" Target="https://doi.org/10.1207/S15327965PLI1104_01" TargetMode="External"/><Relationship Id="rId22" Type="http://schemas.openxmlformats.org/officeDocument/2006/relationships/hyperlink" Target="https://doi.org/10.1016/j.heliyon.2023.e1634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80/0309877X.2022.2038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Bon23</b:Tag>
    <b:SourceType>JournalArticle</b:SourceType>
    <b:Guid>{86026665-51DF-49B3-AB4E-4C7E6670DE41}</b:Guid>
    <b:Title>Concept and Nature of Classroom Management Practices</b:Title>
    <b:JournalName>International Journal of Multidisciplinary Studies and Innovative Research</b:JournalName>
    <b:Year>2023</b:Year>
    <b:Pages>1601-1615</b:Pages>
    <b:Volume>11</b:Volume>
    <b:Issue>4</b:Issue>
    <b:DOI>10.53075/Ijmsirq/098433453367</b:DOI>
    <b:Author>
      <b:Author>
        <b:NameList>
          <b:Person>
            <b:Last>Bonna</b:Last>
            <b:First>Kwasi </b:First>
          </b:Person>
        </b:NameList>
      </b:Author>
    </b:Author>
    <b:RefOrder>1</b:RefOrder>
  </b:Source>
  <b:Source>
    <b:Tag>Wir24</b:Tag>
    <b:SourceType>JournalArticle</b:SourceType>
    <b:Guid>{D422B0FA-FDFD-4AC9-BB07-08E350C35B7C}</b:Guid>
    <b:Title>Enhancing Accessibility and Engagement in Computer Science Education for Diverse Learners</b:Title>
    <b:JournalName>Asian Journal of Research in Computer Science</b:JournalName>
    <b:Year>2024</b:Year>
    <b:Pages>45-61,</b:Pages>
    <b:Volume>17</b:Volume>
    <b:Issue>10</b:Issue>
    <b:DOI>https://doi.org/10.9734/ajrcos/2024/v17i10509</b:DOI>
    <b:Author>
      <b:Author>
        <b:NameList>
          <b:Person>
            <b:Last>Wiredu</b:Last>
            <b:Middle>Kodua </b:Middle>
            <b:First>apheth </b:First>
          </b:Person>
          <b:Person>
            <b:Last>Abuba</b:Last>
            <b:Middle>Seidu </b:Middle>
            <b:First>Nelson </b:First>
          </b:Person>
          <b:Person>
            <b:Last>Acheampong</b:Last>
            <b:Middle>Wiredu </b:Middle>
            <b:First>Reuben </b:First>
          </b:Person>
        </b:NameList>
      </b:Author>
    </b:Author>
    <b:RefOrder>2</b:RefOrder>
  </b:Source>
  <b:Source>
    <b:Tag>Alb22</b:Tag>
    <b:SourceType>JournalArticle</b:SourceType>
    <b:Guid>{64042F5C-3062-4C16-937A-D99528B0731F}</b:Guid>
    <b:Title>Classroom management in higher education: A  systematic literature review</b:Title>
    <b:JournalName>Journal of Further and Higher Education</b:JournalName>
    <b:Year>2022</b:Year>
    <b:Pages>1006-1022</b:Pages>
    <b:Volume>46</b:Volume>
    <b:Issue>7</b:Issue>
    <b:DOI>10.1080/0309877X.2022.2038099</b:DOI>
    <b:Author>
      <b:Author>
        <b:NameList>
          <b:Person>
            <b:Last>Albayrak</b:Last>
            <b:First>Duygu  </b:First>
          </b:Person>
          <b:Person>
            <b:Last>Ateskan</b:Last>
            <b:First>Armagan </b:First>
          </b:Person>
        </b:NameList>
      </b:Author>
    </b:Author>
    <b:RefOrder>3</b:RefOrder>
  </b:Source>
</b:Sources>
</file>

<file path=customXml/itemProps1.xml><?xml version="1.0" encoding="utf-8"?>
<ds:datastoreItem xmlns:ds="http://schemas.openxmlformats.org/officeDocument/2006/customXml" ds:itemID="{464BDACE-F986-4672-83E6-B9757484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18</Pages>
  <Words>7939</Words>
  <Characters>45257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99</cp:revision>
  <dcterms:created xsi:type="dcterms:W3CDTF">2025-11-11T07:01:00Z</dcterms:created>
  <dcterms:modified xsi:type="dcterms:W3CDTF">2025-11-15T05:37:00Z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2551b71e-be66-4901-a6d0-93a15559348c</vt:lpwstr>
  </property>
</Properties>
</file>