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EBE0C" w14:textId="74F0DD34" w:rsidR="00A258C3" w:rsidRDefault="00C50920" w:rsidP="00C50920">
      <w:pPr>
        <w:pStyle w:val="Author"/>
        <w:spacing w:line="240" w:lineRule="auto"/>
        <w:rPr>
          <w:rFonts w:ascii="Arial" w:hAnsi="Arial" w:cs="Arial"/>
          <w:bCs/>
          <w:iCs/>
          <w:kern w:val="28"/>
          <w:sz w:val="36"/>
        </w:rPr>
      </w:pPr>
      <w:r w:rsidRPr="00C50920">
        <w:rPr>
          <w:rFonts w:ascii="Arial" w:hAnsi="Arial" w:cs="Arial"/>
          <w:bCs/>
          <w:iCs/>
          <w:kern w:val="28"/>
          <w:sz w:val="36"/>
        </w:rPr>
        <w:t>Mathematical Satisfaction</w:t>
      </w:r>
      <w:r w:rsidR="00C47D36">
        <w:rPr>
          <w:rFonts w:ascii="Arial" w:hAnsi="Arial" w:cs="Arial"/>
          <w:bCs/>
          <w:iCs/>
          <w:kern w:val="28"/>
          <w:sz w:val="36"/>
        </w:rPr>
        <w:t xml:space="preserve"> and Attitude towards Mathematics</w:t>
      </w:r>
      <w:r w:rsidRPr="00C50920">
        <w:rPr>
          <w:rFonts w:ascii="Arial" w:hAnsi="Arial" w:cs="Arial"/>
          <w:bCs/>
          <w:iCs/>
          <w:kern w:val="28"/>
          <w:sz w:val="36"/>
        </w:rPr>
        <w:t xml:space="preserve"> as Predictor</w:t>
      </w:r>
      <w:r w:rsidR="00E840FE">
        <w:rPr>
          <w:rFonts w:ascii="Arial" w:hAnsi="Arial" w:cs="Arial"/>
          <w:bCs/>
          <w:iCs/>
          <w:kern w:val="28"/>
          <w:sz w:val="36"/>
        </w:rPr>
        <w:t>s</w:t>
      </w:r>
      <w:r w:rsidRPr="00C50920">
        <w:rPr>
          <w:rFonts w:ascii="Arial" w:hAnsi="Arial" w:cs="Arial"/>
          <w:bCs/>
          <w:iCs/>
          <w:kern w:val="28"/>
          <w:sz w:val="36"/>
        </w:rPr>
        <w:t xml:space="preserve"> of Student Engagement</w:t>
      </w:r>
      <w:r>
        <w:rPr>
          <w:rFonts w:ascii="Arial" w:hAnsi="Arial" w:cs="Arial"/>
          <w:bCs/>
          <w:iCs/>
          <w:kern w:val="28"/>
          <w:sz w:val="36"/>
        </w:rPr>
        <w:t xml:space="preserve"> Among Senior High School Students</w:t>
      </w:r>
    </w:p>
    <w:p w14:paraId="7CEAB9C6" w14:textId="77777777" w:rsidR="00C50920" w:rsidRPr="00790ADA" w:rsidRDefault="00C50920" w:rsidP="00441B6F">
      <w:pPr>
        <w:pStyle w:val="Author"/>
        <w:spacing w:line="240" w:lineRule="auto"/>
        <w:jc w:val="both"/>
        <w:rPr>
          <w:rFonts w:ascii="Arial" w:hAnsi="Arial" w:cs="Arial"/>
          <w:sz w:val="36"/>
        </w:rPr>
      </w:pPr>
    </w:p>
    <w:p w14:paraId="6C3D489B" w14:textId="77777777" w:rsidR="002C57D2" w:rsidRPr="00FB3A86" w:rsidRDefault="002C57D2" w:rsidP="00441B6F">
      <w:pPr>
        <w:pStyle w:val="Affiliation"/>
        <w:spacing w:after="0" w:line="240" w:lineRule="auto"/>
        <w:jc w:val="both"/>
        <w:rPr>
          <w:rFonts w:ascii="Arial" w:hAnsi="Arial" w:cs="Arial"/>
        </w:rPr>
      </w:pPr>
    </w:p>
    <w:p w14:paraId="061740CC" w14:textId="5BEFE5DF" w:rsidR="00B01FCD" w:rsidRPr="00FB3A86" w:rsidRDefault="00727F1C" w:rsidP="00441B6F">
      <w:pPr>
        <w:pStyle w:val="Copyright"/>
        <w:spacing w:after="0" w:line="240" w:lineRule="auto"/>
        <w:jc w:val="both"/>
        <w:rPr>
          <w:rFonts w:ascii="Arial" w:hAnsi="Arial" w:cs="Arial"/>
        </w:rPr>
        <w:sectPr w:rsidR="00B01FCD" w:rsidRPr="00FB3A86" w:rsidSect="00275C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A4FD65A" wp14:editId="5C08E2C1">
                <wp:extent cx="5303520" cy="635"/>
                <wp:effectExtent l="13335" t="13335" r="17145" b="15240"/>
                <wp:docPr id="7923259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CB7C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1D8789" w14:textId="0BB26A9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E559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80B89F" w14:textId="77777777" w:rsidTr="001E44FE">
        <w:tc>
          <w:tcPr>
            <w:tcW w:w="9576" w:type="dxa"/>
            <w:shd w:val="clear" w:color="auto" w:fill="F2F2F2"/>
          </w:tcPr>
          <w:p w14:paraId="317F5F88" w14:textId="7FA58C90" w:rsidR="00505F06" w:rsidRPr="005A6910" w:rsidRDefault="00FE5105" w:rsidP="002A02B8">
            <w:pPr>
              <w:pStyle w:val="Body"/>
              <w:spacing w:after="0"/>
              <w:rPr>
                <w:rFonts w:ascii="Arial" w:eastAsia="Calibri" w:hAnsi="Arial" w:cs="Arial"/>
                <w:sz w:val="22"/>
                <w:szCs w:val="22"/>
              </w:rPr>
            </w:pPr>
            <w:r w:rsidRPr="00FE5105">
              <w:rPr>
                <w:rFonts w:ascii="Arial" w:eastAsia="Calibri" w:hAnsi="Arial" w:cs="Arial"/>
                <w:sz w:val="22"/>
                <w:szCs w:val="22"/>
              </w:rPr>
              <w:t xml:space="preserve">This study investigates mathematical satisfaction and attitudes towards mathematics as determinants of student engagement among senior high school students. This research employed quantitative, non-experimental correlational methodology. This study encompassed 300 senior high school students from Panabo City, Davao del Norte. </w:t>
            </w:r>
            <w:r w:rsidR="005A6910" w:rsidRPr="005A6910">
              <w:rPr>
                <w:rFonts w:ascii="Arial" w:eastAsia="Calibri" w:hAnsi="Arial" w:cs="Arial"/>
                <w:sz w:val="22"/>
                <w:szCs w:val="22"/>
              </w:rPr>
              <w:t xml:space="preserve">The target sample size was obtained using Slovin's formula. Furthermore, a stratified random sampling technique has been used to ensure a representative sample. Results indicate a high level of mathematical satisfaction (M = 3.73, SD = 1.10), attitude towards mathematics (M = 3.52, SD = 1.30), and student engagement in mathematics (M = 3.90, SD = 1.11). The result also reveals a strong, significant relationship between student engagement and both mathematical satisfaction (r = .905, p &lt; .001) and attitude toward mathematics (r = .837, p &lt; .001).  Moreover, regression analysis indicates that mathematical satisfaction (B = 0.694, t = 9.963, p &lt; .001) and attitude towards mathematics (B = 0.260, t = 3.868, p &lt; .001) are both predictors of student engagement, explaining 84% of the variance (R2 =0.84). The findings aligned with the anchored theory, Self Determination Theory, which posits that </w:t>
            </w:r>
            <w:r w:rsidR="00DC287E">
              <w:rPr>
                <w:rFonts w:ascii="Arial" w:eastAsia="Calibri" w:hAnsi="Arial" w:cs="Arial"/>
                <w:sz w:val="22"/>
                <w:szCs w:val="22"/>
              </w:rPr>
              <w:t>w</w:t>
            </w:r>
            <w:r w:rsidR="00DC287E" w:rsidRPr="00DC287E">
              <w:rPr>
                <w:rFonts w:ascii="Arial" w:eastAsia="Calibri" w:hAnsi="Arial" w:cs="Arial"/>
                <w:sz w:val="22"/>
                <w:szCs w:val="22"/>
              </w:rPr>
              <w:t>hen these needs are satisfied in a mathematics classroom, learners can develop positive attitudes and improve their satisfaction with mathematics, which results in greater engagement.</w:t>
            </w:r>
            <w:r w:rsidR="005A6910" w:rsidRPr="005A6910">
              <w:rPr>
                <w:rFonts w:ascii="Arial" w:eastAsia="Calibri" w:hAnsi="Arial" w:cs="Arial"/>
                <w:sz w:val="22"/>
                <w:szCs w:val="22"/>
              </w:rPr>
              <w:t xml:space="preserve"> Increasing student satisfaction and creating a positive attitude are essential for enhancing student engagement and achievement. These findings emphasize that both mathematical satisfaction and attitude toward mathematics play significant roles in predicting student engagement.</w:t>
            </w:r>
          </w:p>
        </w:tc>
      </w:tr>
    </w:tbl>
    <w:p w14:paraId="2B37B242" w14:textId="77777777" w:rsidR="00636EB2" w:rsidRDefault="00636EB2" w:rsidP="00441B6F">
      <w:pPr>
        <w:pStyle w:val="Body"/>
        <w:spacing w:after="0"/>
        <w:rPr>
          <w:rFonts w:ascii="Arial" w:hAnsi="Arial" w:cs="Arial"/>
          <w:i/>
        </w:rPr>
      </w:pPr>
    </w:p>
    <w:p w14:paraId="12BE699E" w14:textId="3DEFB13F" w:rsidR="00A24E7E" w:rsidRDefault="00A24E7E" w:rsidP="00316B29">
      <w:pPr>
        <w:pStyle w:val="Body"/>
        <w:spacing w:after="0"/>
        <w:ind w:left="1440" w:hanging="1440"/>
        <w:rPr>
          <w:rFonts w:ascii="Arial" w:hAnsi="Arial" w:cs="Arial"/>
          <w:i/>
        </w:rPr>
      </w:pPr>
      <w:r>
        <w:rPr>
          <w:rFonts w:ascii="Arial" w:hAnsi="Arial" w:cs="Arial"/>
          <w:i/>
        </w:rPr>
        <w:t>Keywords:</w:t>
      </w:r>
      <w:r w:rsidR="00316B29">
        <w:rPr>
          <w:rFonts w:ascii="Arial" w:hAnsi="Arial" w:cs="Arial"/>
          <w:i/>
        </w:rPr>
        <w:tab/>
      </w:r>
      <w:r w:rsidR="00157AE3">
        <w:rPr>
          <w:rFonts w:ascii="Arial" w:hAnsi="Arial" w:cs="Arial"/>
          <w:i/>
        </w:rPr>
        <w:t xml:space="preserve">Mathematical </w:t>
      </w:r>
      <w:r w:rsidR="002D29C5">
        <w:rPr>
          <w:rFonts w:ascii="Arial" w:hAnsi="Arial" w:cs="Arial"/>
          <w:i/>
        </w:rPr>
        <w:t>s</w:t>
      </w:r>
      <w:r w:rsidR="00157AE3">
        <w:rPr>
          <w:rFonts w:ascii="Arial" w:hAnsi="Arial" w:cs="Arial"/>
          <w:i/>
        </w:rPr>
        <w:t>atisfaction</w:t>
      </w:r>
      <w:r w:rsidR="002D29C5">
        <w:rPr>
          <w:rFonts w:ascii="Arial" w:hAnsi="Arial" w:cs="Arial"/>
          <w:i/>
        </w:rPr>
        <w:t>;</w:t>
      </w:r>
      <w:r w:rsidR="00157AE3">
        <w:rPr>
          <w:rFonts w:ascii="Arial" w:hAnsi="Arial" w:cs="Arial"/>
          <w:i/>
        </w:rPr>
        <w:t xml:space="preserve"> </w:t>
      </w:r>
      <w:r w:rsidR="002D29C5">
        <w:rPr>
          <w:rFonts w:ascii="Arial" w:hAnsi="Arial" w:cs="Arial"/>
          <w:i/>
        </w:rPr>
        <w:t>a</w:t>
      </w:r>
      <w:r w:rsidR="00157AE3">
        <w:rPr>
          <w:rFonts w:ascii="Arial" w:hAnsi="Arial" w:cs="Arial"/>
          <w:i/>
        </w:rPr>
        <w:t xml:space="preserve">ttitude towards </w:t>
      </w:r>
      <w:r w:rsidR="002D29C5">
        <w:rPr>
          <w:rFonts w:ascii="Arial" w:hAnsi="Arial" w:cs="Arial"/>
          <w:i/>
        </w:rPr>
        <w:t>m</w:t>
      </w:r>
      <w:r w:rsidR="00157AE3">
        <w:rPr>
          <w:rFonts w:ascii="Arial" w:hAnsi="Arial" w:cs="Arial"/>
          <w:i/>
        </w:rPr>
        <w:t>athematics</w:t>
      </w:r>
      <w:r w:rsidR="002D29C5">
        <w:rPr>
          <w:rFonts w:ascii="Arial" w:hAnsi="Arial" w:cs="Arial"/>
          <w:i/>
        </w:rPr>
        <w:t>;</w:t>
      </w:r>
      <w:r w:rsidR="00157AE3">
        <w:rPr>
          <w:rFonts w:ascii="Arial" w:hAnsi="Arial" w:cs="Arial"/>
          <w:i/>
        </w:rPr>
        <w:t xml:space="preserve"> </w:t>
      </w:r>
      <w:r w:rsidR="002D29C5">
        <w:rPr>
          <w:rFonts w:ascii="Arial" w:hAnsi="Arial" w:cs="Arial"/>
          <w:i/>
        </w:rPr>
        <w:t>s</w:t>
      </w:r>
      <w:r w:rsidR="00157AE3">
        <w:rPr>
          <w:rFonts w:ascii="Arial" w:hAnsi="Arial" w:cs="Arial"/>
          <w:i/>
        </w:rPr>
        <w:t xml:space="preserve">tudent </w:t>
      </w:r>
      <w:r w:rsidR="002D29C5">
        <w:rPr>
          <w:rFonts w:ascii="Arial" w:hAnsi="Arial" w:cs="Arial"/>
          <w:i/>
        </w:rPr>
        <w:t>e</w:t>
      </w:r>
      <w:r w:rsidR="00157AE3">
        <w:rPr>
          <w:rFonts w:ascii="Arial" w:hAnsi="Arial" w:cs="Arial"/>
          <w:i/>
        </w:rPr>
        <w:t xml:space="preserve">ngagement, </w:t>
      </w:r>
      <w:r w:rsidR="00F060B0">
        <w:rPr>
          <w:rFonts w:ascii="Arial" w:hAnsi="Arial" w:cs="Arial"/>
          <w:i/>
        </w:rPr>
        <w:t>re</w:t>
      </w:r>
      <w:r w:rsidR="00175D26">
        <w:rPr>
          <w:rFonts w:ascii="Arial" w:hAnsi="Arial" w:cs="Arial"/>
          <w:i/>
        </w:rPr>
        <w:t>gression analysis</w:t>
      </w:r>
    </w:p>
    <w:p w14:paraId="7683DEBF" w14:textId="77777777" w:rsidR="0024282C" w:rsidRDefault="0024282C" w:rsidP="00441B6F">
      <w:pPr>
        <w:pStyle w:val="Body"/>
        <w:spacing w:after="0"/>
        <w:rPr>
          <w:rFonts w:ascii="Arial" w:hAnsi="Arial" w:cs="Arial"/>
          <w:i/>
          <w:sz w:val="18"/>
        </w:rPr>
      </w:pPr>
    </w:p>
    <w:p w14:paraId="3C053B83" w14:textId="77777777" w:rsidR="00505F06" w:rsidRPr="00A24E7E" w:rsidRDefault="00505F06" w:rsidP="00441B6F">
      <w:pPr>
        <w:pStyle w:val="Body"/>
        <w:spacing w:after="0"/>
        <w:rPr>
          <w:rFonts w:ascii="Arial" w:hAnsi="Arial" w:cs="Arial"/>
          <w:i/>
        </w:rPr>
      </w:pPr>
    </w:p>
    <w:p w14:paraId="2FC8E509" w14:textId="25AF52E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E25182" w14:textId="77777777" w:rsidR="002C41DE" w:rsidRPr="002C41DE" w:rsidRDefault="002C41DE" w:rsidP="002C41DE">
      <w:pPr>
        <w:widowControl w:val="0"/>
        <w:pBdr>
          <w:top w:val="nil"/>
          <w:left w:val="nil"/>
          <w:bottom w:val="nil"/>
          <w:right w:val="nil"/>
          <w:between w:val="nil"/>
        </w:pBdr>
        <w:spacing w:before="282"/>
        <w:jc w:val="both"/>
        <w:rPr>
          <w:rFonts w:ascii="Arial" w:hAnsi="Arial" w:cs="Arial"/>
          <w:sz w:val="22"/>
          <w:szCs w:val="22"/>
        </w:rPr>
      </w:pPr>
      <w:r w:rsidRPr="002C41DE">
        <w:rPr>
          <w:rFonts w:ascii="Arial" w:hAnsi="Arial" w:cs="Arial"/>
          <w:sz w:val="22"/>
          <w:szCs w:val="22"/>
        </w:rPr>
        <w:t xml:space="preserve">Student engagement in mathematics has emerged as a primary and significant concern in education systems worldwide. Globally, study indicates that distracted students are unequivocally prone to underperform in mathematics and are also prone to abandoning their education, significantly affecting their social development during and beyond their academic tenure. (Grehan, 2016; Skilling &amp; Martin, 2021; Ross-Holmes, 2022; Xia et al., 2022; </w:t>
      </w:r>
      <w:proofErr w:type="spellStart"/>
      <w:r w:rsidRPr="002C41DE">
        <w:rPr>
          <w:rFonts w:ascii="Arial" w:hAnsi="Arial" w:cs="Arial"/>
          <w:sz w:val="22"/>
          <w:szCs w:val="22"/>
        </w:rPr>
        <w:t>af</w:t>
      </w:r>
      <w:proofErr w:type="spellEnd"/>
      <w:r w:rsidRPr="002C41DE">
        <w:rPr>
          <w:rFonts w:ascii="Arial" w:hAnsi="Arial" w:cs="Arial"/>
          <w:sz w:val="22"/>
          <w:szCs w:val="22"/>
        </w:rPr>
        <w:t xml:space="preserve"> Ursin et al., 2023). Moreover, inadequate student engagement has been recognized as an issue in schools throughout the United </w:t>
      </w:r>
      <w:r w:rsidRPr="002C41DE">
        <w:rPr>
          <w:rFonts w:ascii="Arial" w:hAnsi="Arial" w:cs="Arial"/>
          <w:sz w:val="22"/>
          <w:szCs w:val="22"/>
        </w:rPr>
        <w:lastRenderedPageBreak/>
        <w:t>States and beyond. Study shows that unengaged students may lose interest in further education (Urias, 2022).</w:t>
      </w:r>
    </w:p>
    <w:p w14:paraId="1BE8C4AF" w14:textId="77777777" w:rsidR="002C41DE" w:rsidRDefault="002C41DE" w:rsidP="002C41DE">
      <w:pPr>
        <w:widowControl w:val="0"/>
        <w:pBdr>
          <w:top w:val="nil"/>
          <w:left w:val="nil"/>
          <w:bottom w:val="nil"/>
          <w:right w:val="nil"/>
          <w:between w:val="nil"/>
        </w:pBdr>
        <w:spacing w:before="282"/>
        <w:jc w:val="both"/>
        <w:rPr>
          <w:rFonts w:ascii="Arial" w:hAnsi="Arial" w:cs="Arial"/>
          <w:sz w:val="22"/>
          <w:szCs w:val="22"/>
        </w:rPr>
      </w:pPr>
      <w:r w:rsidRPr="002C41DE">
        <w:rPr>
          <w:rFonts w:ascii="Arial" w:hAnsi="Arial" w:cs="Arial"/>
          <w:sz w:val="22"/>
          <w:szCs w:val="22"/>
        </w:rPr>
        <w:t xml:space="preserve">In the Philippines, student engagement in mathematics is also an urgent need. Bernardo (2010), as referenced by </w:t>
      </w:r>
      <w:proofErr w:type="spellStart"/>
      <w:r w:rsidRPr="002C41DE">
        <w:rPr>
          <w:rFonts w:ascii="Arial" w:hAnsi="Arial" w:cs="Arial"/>
          <w:sz w:val="22"/>
          <w:szCs w:val="22"/>
        </w:rPr>
        <w:t>Padingding</w:t>
      </w:r>
      <w:proofErr w:type="spellEnd"/>
      <w:r w:rsidRPr="002C41DE">
        <w:rPr>
          <w:rFonts w:ascii="Arial" w:hAnsi="Arial" w:cs="Arial"/>
          <w:sz w:val="22"/>
          <w:szCs w:val="22"/>
        </w:rPr>
        <w:t xml:space="preserve"> and Gallego (2025), conducted an analysis confirming that several Filipino learners exhibit low engagement levels attributable to conventional memorizing techniques, extensive class sizes, and insufficient support. Moreover, the Philippines ranked among the lowest in the PISA 2018 and 2022 math assessments (</w:t>
      </w:r>
      <w:proofErr w:type="spellStart"/>
      <w:r w:rsidRPr="002C41DE">
        <w:rPr>
          <w:rFonts w:ascii="Arial" w:hAnsi="Arial" w:cs="Arial"/>
          <w:sz w:val="22"/>
          <w:szCs w:val="22"/>
        </w:rPr>
        <w:t>Acido</w:t>
      </w:r>
      <w:proofErr w:type="spellEnd"/>
      <w:r w:rsidRPr="002C41DE">
        <w:rPr>
          <w:rFonts w:ascii="Arial" w:hAnsi="Arial" w:cs="Arial"/>
          <w:sz w:val="22"/>
          <w:szCs w:val="22"/>
        </w:rPr>
        <w:t xml:space="preserve"> &amp; </w:t>
      </w:r>
      <w:proofErr w:type="spellStart"/>
      <w:r w:rsidRPr="002C41DE">
        <w:rPr>
          <w:rFonts w:ascii="Arial" w:hAnsi="Arial" w:cs="Arial"/>
          <w:sz w:val="22"/>
          <w:szCs w:val="22"/>
        </w:rPr>
        <w:t>Caballes</w:t>
      </w:r>
      <w:proofErr w:type="spellEnd"/>
      <w:r w:rsidRPr="002C41DE">
        <w:rPr>
          <w:rFonts w:ascii="Arial" w:hAnsi="Arial" w:cs="Arial"/>
          <w:sz w:val="22"/>
          <w:szCs w:val="22"/>
        </w:rPr>
        <w:t xml:space="preserve">, 2024), indicating systemic challenges in math education quality and student engagement. Locally in Davao City, </w:t>
      </w:r>
      <w:proofErr w:type="spellStart"/>
      <w:r w:rsidRPr="002C41DE">
        <w:rPr>
          <w:rFonts w:ascii="Arial" w:hAnsi="Arial" w:cs="Arial"/>
          <w:sz w:val="22"/>
          <w:szCs w:val="22"/>
        </w:rPr>
        <w:t>Palarisan</w:t>
      </w:r>
      <w:proofErr w:type="spellEnd"/>
      <w:r w:rsidRPr="002C41DE">
        <w:rPr>
          <w:rFonts w:ascii="Arial" w:hAnsi="Arial" w:cs="Arial"/>
          <w:sz w:val="22"/>
          <w:szCs w:val="22"/>
        </w:rPr>
        <w:t xml:space="preserve"> and </w:t>
      </w:r>
      <w:proofErr w:type="spellStart"/>
      <w:r w:rsidRPr="002C41DE">
        <w:rPr>
          <w:rFonts w:ascii="Arial" w:hAnsi="Arial" w:cs="Arial"/>
          <w:sz w:val="22"/>
          <w:szCs w:val="22"/>
        </w:rPr>
        <w:t>Domag</w:t>
      </w:r>
      <w:proofErr w:type="spellEnd"/>
      <w:r w:rsidRPr="002C41DE">
        <w:rPr>
          <w:rFonts w:ascii="Arial" w:hAnsi="Arial" w:cs="Arial"/>
          <w:sz w:val="22"/>
          <w:szCs w:val="22"/>
        </w:rPr>
        <w:t xml:space="preserve"> (2023) state that despite efforts to improve teaching strategies, student success and retention remain a concern and a persistent challenge.</w:t>
      </w:r>
    </w:p>
    <w:p w14:paraId="7797CFB1" w14:textId="7203EEB0" w:rsidR="00024AE4" w:rsidRPr="00024AE4" w:rsidRDefault="00024AE4" w:rsidP="002C41DE">
      <w:pPr>
        <w:widowControl w:val="0"/>
        <w:pBdr>
          <w:top w:val="nil"/>
          <w:left w:val="nil"/>
          <w:bottom w:val="nil"/>
          <w:right w:val="nil"/>
          <w:between w:val="nil"/>
        </w:pBdr>
        <w:spacing w:before="282"/>
        <w:jc w:val="both"/>
        <w:rPr>
          <w:rFonts w:ascii="Arial" w:hAnsi="Arial" w:cs="Arial"/>
          <w:sz w:val="22"/>
          <w:szCs w:val="22"/>
        </w:rPr>
      </w:pPr>
      <w:r w:rsidRPr="00024AE4">
        <w:rPr>
          <w:rFonts w:ascii="Arial" w:hAnsi="Arial" w:cs="Arial"/>
          <w:sz w:val="22"/>
          <w:szCs w:val="22"/>
        </w:rPr>
        <w:t xml:space="preserve">Further, research shows a strong, beneficial link between student engagement and satisfaction with mathematics, as well as an attitude towards mathematics and mathematical satisfaction. </w:t>
      </w:r>
      <w:r w:rsidR="00F7373D" w:rsidRPr="00F7373D">
        <w:rPr>
          <w:rFonts w:ascii="Arial" w:hAnsi="Arial" w:cs="Arial"/>
          <w:sz w:val="22"/>
          <w:szCs w:val="22"/>
        </w:rPr>
        <w:t>Students content with their mathematics learning are more inclined to engage deeply with the subject matter.</w:t>
      </w:r>
      <w:r w:rsidRPr="00024AE4">
        <w:rPr>
          <w:rFonts w:ascii="Arial" w:hAnsi="Arial" w:cs="Arial"/>
          <w:sz w:val="22"/>
          <w:szCs w:val="22"/>
        </w:rPr>
        <w:t xml:space="preserve"> Also, greater engagement in math is generally associated with greater happiness in math (Ryan</w:t>
      </w:r>
      <w:r w:rsidR="00717DE5">
        <w:rPr>
          <w:rFonts w:ascii="Arial" w:hAnsi="Arial" w:cs="Arial"/>
          <w:sz w:val="22"/>
          <w:szCs w:val="22"/>
        </w:rPr>
        <w:t xml:space="preserve"> et al.</w:t>
      </w:r>
      <w:r w:rsidRPr="00024AE4">
        <w:rPr>
          <w:rFonts w:ascii="Arial" w:hAnsi="Arial" w:cs="Arial"/>
          <w:sz w:val="22"/>
          <w:szCs w:val="22"/>
        </w:rPr>
        <w:t>, 2022). Other writers have also supported this idea by showing a substantial link between student involvement and satisfaction with math engagement. (</w:t>
      </w:r>
      <w:proofErr w:type="spellStart"/>
      <w:r w:rsidRPr="00024AE4">
        <w:rPr>
          <w:rFonts w:ascii="Arial" w:hAnsi="Arial" w:cs="Arial"/>
          <w:sz w:val="22"/>
          <w:szCs w:val="22"/>
        </w:rPr>
        <w:t>Maamin</w:t>
      </w:r>
      <w:proofErr w:type="spellEnd"/>
      <w:r w:rsidRPr="00024AE4">
        <w:rPr>
          <w:rFonts w:ascii="Arial" w:hAnsi="Arial" w:cs="Arial"/>
          <w:sz w:val="22"/>
          <w:szCs w:val="22"/>
        </w:rPr>
        <w:t xml:space="preserve"> et al., 2021; </w:t>
      </w:r>
      <w:proofErr w:type="spellStart"/>
      <w:r w:rsidRPr="00024AE4">
        <w:rPr>
          <w:rFonts w:ascii="Arial" w:hAnsi="Arial" w:cs="Arial"/>
          <w:sz w:val="22"/>
          <w:szCs w:val="22"/>
        </w:rPr>
        <w:t>Baloran</w:t>
      </w:r>
      <w:proofErr w:type="spellEnd"/>
      <w:r w:rsidRPr="00024AE4">
        <w:rPr>
          <w:rFonts w:ascii="Arial" w:hAnsi="Arial" w:cs="Arial"/>
          <w:sz w:val="22"/>
          <w:szCs w:val="22"/>
        </w:rPr>
        <w:t xml:space="preserve"> et al., 2021; </w:t>
      </w:r>
      <w:proofErr w:type="spellStart"/>
      <w:r w:rsidRPr="00024AE4">
        <w:rPr>
          <w:rFonts w:ascii="Arial" w:hAnsi="Arial" w:cs="Arial"/>
          <w:sz w:val="22"/>
          <w:szCs w:val="22"/>
        </w:rPr>
        <w:t>Kandiko</w:t>
      </w:r>
      <w:proofErr w:type="spellEnd"/>
      <w:r w:rsidRPr="00024AE4">
        <w:rPr>
          <w:rFonts w:ascii="Arial" w:hAnsi="Arial" w:cs="Arial"/>
          <w:sz w:val="22"/>
          <w:szCs w:val="22"/>
        </w:rPr>
        <w:t xml:space="preserve">, Howson &amp; Matos, 2021). Moreover, a study by </w:t>
      </w:r>
      <w:proofErr w:type="spellStart"/>
      <w:r w:rsidRPr="00024AE4">
        <w:rPr>
          <w:rFonts w:ascii="Arial" w:hAnsi="Arial" w:cs="Arial"/>
          <w:sz w:val="22"/>
          <w:szCs w:val="22"/>
        </w:rPr>
        <w:t>Pondias</w:t>
      </w:r>
      <w:proofErr w:type="spellEnd"/>
      <w:r w:rsidRPr="00024AE4">
        <w:rPr>
          <w:rFonts w:ascii="Arial" w:hAnsi="Arial" w:cs="Arial"/>
          <w:sz w:val="22"/>
          <w:szCs w:val="22"/>
        </w:rPr>
        <w:t xml:space="preserve"> and </w:t>
      </w:r>
      <w:proofErr w:type="spellStart"/>
      <w:r w:rsidRPr="00024AE4">
        <w:rPr>
          <w:rFonts w:ascii="Arial" w:hAnsi="Arial" w:cs="Arial"/>
          <w:sz w:val="22"/>
          <w:szCs w:val="22"/>
        </w:rPr>
        <w:t>Tado</w:t>
      </w:r>
      <w:proofErr w:type="spellEnd"/>
      <w:r w:rsidRPr="00024AE4">
        <w:rPr>
          <w:rFonts w:ascii="Arial" w:hAnsi="Arial" w:cs="Arial"/>
          <w:sz w:val="22"/>
          <w:szCs w:val="22"/>
        </w:rPr>
        <w:t xml:space="preserve"> (2025) found a significant relationship between students' attitudes towards mathematics and their engagement in mathematics. They highlight that a positive attitude towards math is essential to increase engagement.</w:t>
      </w:r>
    </w:p>
    <w:p w14:paraId="38D86871" w14:textId="0C07F296" w:rsidR="00625FBA" w:rsidRDefault="00024AE4" w:rsidP="00024AE4">
      <w:pPr>
        <w:widowControl w:val="0"/>
        <w:pBdr>
          <w:top w:val="nil"/>
          <w:left w:val="nil"/>
          <w:bottom w:val="nil"/>
          <w:right w:val="nil"/>
          <w:between w:val="nil"/>
        </w:pBdr>
        <w:spacing w:before="282"/>
        <w:jc w:val="both"/>
        <w:rPr>
          <w:rFonts w:ascii="Arial" w:hAnsi="Arial" w:cs="Arial"/>
          <w:sz w:val="22"/>
          <w:szCs w:val="22"/>
        </w:rPr>
      </w:pPr>
      <w:r w:rsidRPr="00024AE4">
        <w:rPr>
          <w:rFonts w:ascii="Arial" w:hAnsi="Arial" w:cs="Arial"/>
          <w:sz w:val="22"/>
          <w:szCs w:val="22"/>
        </w:rPr>
        <w:t xml:space="preserve">On the other hand, research conducted by </w:t>
      </w:r>
      <w:proofErr w:type="spellStart"/>
      <w:r w:rsidRPr="00024AE4">
        <w:rPr>
          <w:rFonts w:ascii="Arial" w:hAnsi="Arial" w:cs="Arial"/>
          <w:sz w:val="22"/>
          <w:szCs w:val="22"/>
        </w:rPr>
        <w:t>Alrajeh</w:t>
      </w:r>
      <w:proofErr w:type="spellEnd"/>
      <w:r w:rsidRPr="00024AE4">
        <w:rPr>
          <w:rFonts w:ascii="Arial" w:hAnsi="Arial" w:cs="Arial"/>
          <w:sz w:val="22"/>
          <w:szCs w:val="22"/>
        </w:rPr>
        <w:t xml:space="preserve"> and </w:t>
      </w:r>
      <w:proofErr w:type="spellStart"/>
      <w:r w:rsidRPr="00024AE4">
        <w:rPr>
          <w:rFonts w:ascii="Arial" w:hAnsi="Arial" w:cs="Arial"/>
          <w:sz w:val="22"/>
          <w:szCs w:val="22"/>
        </w:rPr>
        <w:t>Shindel</w:t>
      </w:r>
      <w:proofErr w:type="spellEnd"/>
      <w:r w:rsidRPr="00024AE4">
        <w:rPr>
          <w:rFonts w:ascii="Arial" w:hAnsi="Arial" w:cs="Arial"/>
          <w:sz w:val="22"/>
          <w:szCs w:val="22"/>
        </w:rPr>
        <w:t xml:space="preserve"> (2020), </w:t>
      </w:r>
      <w:proofErr w:type="spellStart"/>
      <w:r w:rsidRPr="00024AE4">
        <w:rPr>
          <w:rFonts w:ascii="Arial" w:hAnsi="Arial" w:cs="Arial"/>
          <w:sz w:val="22"/>
          <w:szCs w:val="22"/>
        </w:rPr>
        <w:t>Maamin</w:t>
      </w:r>
      <w:proofErr w:type="spellEnd"/>
      <w:r w:rsidRPr="00024AE4">
        <w:rPr>
          <w:rFonts w:ascii="Arial" w:hAnsi="Arial" w:cs="Arial"/>
          <w:sz w:val="22"/>
          <w:szCs w:val="22"/>
        </w:rPr>
        <w:t xml:space="preserve"> et al. (2021), </w:t>
      </w:r>
      <w:proofErr w:type="spellStart"/>
      <w:r w:rsidRPr="00024AE4">
        <w:rPr>
          <w:rFonts w:ascii="Arial" w:hAnsi="Arial" w:cs="Arial"/>
          <w:sz w:val="22"/>
          <w:szCs w:val="22"/>
        </w:rPr>
        <w:t>Nugraheni</w:t>
      </w:r>
      <w:proofErr w:type="spellEnd"/>
      <w:r w:rsidRPr="00024AE4">
        <w:rPr>
          <w:rFonts w:ascii="Arial" w:hAnsi="Arial" w:cs="Arial"/>
          <w:sz w:val="22"/>
          <w:szCs w:val="22"/>
        </w:rPr>
        <w:t xml:space="preserve"> et al. (2022), </w:t>
      </w:r>
      <w:proofErr w:type="spellStart"/>
      <w:r w:rsidRPr="00024AE4">
        <w:rPr>
          <w:rFonts w:ascii="Arial" w:hAnsi="Arial" w:cs="Arial"/>
          <w:sz w:val="22"/>
          <w:szCs w:val="22"/>
        </w:rPr>
        <w:t>Palarisan</w:t>
      </w:r>
      <w:proofErr w:type="spellEnd"/>
      <w:r w:rsidRPr="00024AE4">
        <w:rPr>
          <w:rFonts w:ascii="Arial" w:hAnsi="Arial" w:cs="Arial"/>
          <w:sz w:val="22"/>
          <w:szCs w:val="22"/>
        </w:rPr>
        <w:t xml:space="preserve"> and </w:t>
      </w:r>
      <w:proofErr w:type="spellStart"/>
      <w:r w:rsidRPr="00024AE4">
        <w:rPr>
          <w:rFonts w:ascii="Arial" w:hAnsi="Arial" w:cs="Arial"/>
          <w:sz w:val="22"/>
          <w:szCs w:val="22"/>
        </w:rPr>
        <w:t>Domag</w:t>
      </w:r>
      <w:proofErr w:type="spellEnd"/>
      <w:r w:rsidRPr="00024AE4">
        <w:rPr>
          <w:rFonts w:ascii="Arial" w:hAnsi="Arial" w:cs="Arial"/>
          <w:sz w:val="22"/>
          <w:szCs w:val="22"/>
        </w:rPr>
        <w:t xml:space="preserve"> (2023), and </w:t>
      </w:r>
      <w:proofErr w:type="spellStart"/>
      <w:r w:rsidRPr="00024AE4">
        <w:rPr>
          <w:rFonts w:ascii="Arial" w:hAnsi="Arial" w:cs="Arial"/>
          <w:sz w:val="22"/>
          <w:szCs w:val="22"/>
        </w:rPr>
        <w:t>Pondias</w:t>
      </w:r>
      <w:proofErr w:type="spellEnd"/>
      <w:r w:rsidRPr="00024AE4">
        <w:rPr>
          <w:rFonts w:ascii="Arial" w:hAnsi="Arial" w:cs="Arial"/>
          <w:sz w:val="22"/>
          <w:szCs w:val="22"/>
        </w:rPr>
        <w:t xml:space="preserve"> and </w:t>
      </w:r>
      <w:proofErr w:type="spellStart"/>
      <w:r w:rsidRPr="00024AE4">
        <w:rPr>
          <w:rFonts w:ascii="Arial" w:hAnsi="Arial" w:cs="Arial"/>
          <w:sz w:val="22"/>
          <w:szCs w:val="22"/>
        </w:rPr>
        <w:t>Tado</w:t>
      </w:r>
      <w:proofErr w:type="spellEnd"/>
      <w:r w:rsidRPr="00024AE4">
        <w:rPr>
          <w:rFonts w:ascii="Arial" w:hAnsi="Arial" w:cs="Arial"/>
          <w:sz w:val="22"/>
          <w:szCs w:val="22"/>
        </w:rPr>
        <w:t xml:space="preserve"> (2025) has investigated the factors that encourage students to participate in mathematics.  These investigations focus on the factors that influence students' learning and performance in mathematics.  However, data are scarce regarding the extent to which students' attitudes and enjoyment in mathematics classes influence their participation.  </w:t>
      </w:r>
      <w:r w:rsidR="00CF286C">
        <w:rPr>
          <w:rFonts w:ascii="Arial" w:hAnsi="Arial" w:cs="Arial"/>
          <w:sz w:val="22"/>
          <w:szCs w:val="22"/>
        </w:rPr>
        <w:t>Moreover, t</w:t>
      </w:r>
      <w:r w:rsidRPr="00024AE4">
        <w:rPr>
          <w:rFonts w:ascii="Arial" w:hAnsi="Arial" w:cs="Arial"/>
          <w:sz w:val="22"/>
          <w:szCs w:val="22"/>
        </w:rPr>
        <w:t xml:space="preserve">he </w:t>
      </w:r>
      <w:r w:rsidR="00CC4E4B">
        <w:rPr>
          <w:rFonts w:ascii="Arial" w:hAnsi="Arial" w:cs="Arial"/>
          <w:sz w:val="22"/>
          <w:szCs w:val="22"/>
        </w:rPr>
        <w:t>conclusion</w:t>
      </w:r>
      <w:r w:rsidRPr="00024AE4">
        <w:rPr>
          <w:rFonts w:ascii="Arial" w:hAnsi="Arial" w:cs="Arial"/>
          <w:sz w:val="22"/>
          <w:szCs w:val="22"/>
        </w:rPr>
        <w:t xml:space="preserve"> of this </w:t>
      </w:r>
      <w:r w:rsidR="00CC4E4B">
        <w:rPr>
          <w:rFonts w:ascii="Arial" w:hAnsi="Arial" w:cs="Arial"/>
          <w:sz w:val="22"/>
          <w:szCs w:val="22"/>
        </w:rPr>
        <w:t>undertaking</w:t>
      </w:r>
      <w:r w:rsidRPr="00024AE4">
        <w:rPr>
          <w:rFonts w:ascii="Arial" w:hAnsi="Arial" w:cs="Arial"/>
          <w:sz w:val="22"/>
          <w:szCs w:val="22"/>
        </w:rPr>
        <w:t xml:space="preserve"> will provide theoretical evidence for math instructors, students, and other educators, enabling them to </w:t>
      </w:r>
      <w:r w:rsidR="005E73A0">
        <w:rPr>
          <w:rFonts w:ascii="Arial" w:hAnsi="Arial" w:cs="Arial"/>
          <w:sz w:val="22"/>
          <w:szCs w:val="22"/>
        </w:rPr>
        <w:t>attain</w:t>
      </w:r>
      <w:r w:rsidRPr="00024AE4">
        <w:rPr>
          <w:rFonts w:ascii="Arial" w:hAnsi="Arial" w:cs="Arial"/>
          <w:sz w:val="22"/>
          <w:szCs w:val="22"/>
        </w:rPr>
        <w:t xml:space="preserve"> a more </w:t>
      </w:r>
      <w:r w:rsidR="009732EE">
        <w:rPr>
          <w:rFonts w:ascii="Arial" w:hAnsi="Arial" w:cs="Arial"/>
          <w:sz w:val="22"/>
          <w:szCs w:val="22"/>
        </w:rPr>
        <w:t>extensive</w:t>
      </w:r>
      <w:r w:rsidRPr="00024AE4">
        <w:rPr>
          <w:rFonts w:ascii="Arial" w:hAnsi="Arial" w:cs="Arial"/>
          <w:sz w:val="22"/>
          <w:szCs w:val="22"/>
        </w:rPr>
        <w:t xml:space="preserve"> </w:t>
      </w:r>
      <w:r w:rsidR="0051348D">
        <w:rPr>
          <w:rFonts w:ascii="Arial" w:hAnsi="Arial" w:cs="Arial"/>
          <w:sz w:val="22"/>
          <w:szCs w:val="22"/>
        </w:rPr>
        <w:t>discernment</w:t>
      </w:r>
      <w:r w:rsidRPr="00024AE4">
        <w:rPr>
          <w:rFonts w:ascii="Arial" w:hAnsi="Arial" w:cs="Arial"/>
          <w:sz w:val="22"/>
          <w:szCs w:val="22"/>
        </w:rPr>
        <w:t xml:space="preserve"> of mathematical satisfaction and attitudes toward mathematics, and how these factors can enhance students' engagement in mathematics.</w:t>
      </w:r>
    </w:p>
    <w:p w14:paraId="598F43C8" w14:textId="2C8C68F4" w:rsidR="00347526" w:rsidRPr="00347526" w:rsidRDefault="00CF286C" w:rsidP="00024AE4">
      <w:pPr>
        <w:widowControl w:val="0"/>
        <w:pBdr>
          <w:top w:val="nil"/>
          <w:left w:val="nil"/>
          <w:bottom w:val="nil"/>
          <w:right w:val="nil"/>
          <w:between w:val="nil"/>
        </w:pBdr>
        <w:spacing w:before="282"/>
        <w:jc w:val="both"/>
        <w:rPr>
          <w:rFonts w:ascii="Arial" w:hAnsi="Arial" w:cs="Arial"/>
          <w:bCs/>
          <w:color w:val="000000"/>
          <w:sz w:val="22"/>
          <w:szCs w:val="22"/>
        </w:rPr>
      </w:pPr>
      <w:r>
        <w:rPr>
          <w:rFonts w:ascii="Arial" w:hAnsi="Arial" w:cs="Arial"/>
          <w:bCs/>
          <w:color w:val="000000"/>
          <w:sz w:val="22"/>
          <w:szCs w:val="22"/>
        </w:rPr>
        <w:t xml:space="preserve">Therefore, </w:t>
      </w:r>
      <w:r w:rsidR="005A6910">
        <w:rPr>
          <w:rFonts w:ascii="Arial" w:hAnsi="Arial" w:cs="Arial"/>
          <w:bCs/>
          <w:color w:val="000000"/>
          <w:sz w:val="22"/>
          <w:szCs w:val="22"/>
        </w:rPr>
        <w:t>t</w:t>
      </w:r>
      <w:r w:rsidR="00347526" w:rsidRPr="00347526">
        <w:rPr>
          <w:rFonts w:ascii="Arial" w:hAnsi="Arial" w:cs="Arial"/>
          <w:bCs/>
          <w:color w:val="000000"/>
          <w:sz w:val="22"/>
          <w:szCs w:val="22"/>
        </w:rPr>
        <w:t>he study aims to investigate mathematical satisfaction and attitude towards mathematics as predictors of student engagement among senior high school students</w:t>
      </w:r>
      <w:r w:rsidR="007050B9">
        <w:rPr>
          <w:rFonts w:ascii="Arial" w:hAnsi="Arial" w:cs="Arial"/>
          <w:bCs/>
          <w:color w:val="000000"/>
          <w:sz w:val="22"/>
          <w:szCs w:val="22"/>
        </w:rPr>
        <w:t xml:space="preserve">. </w:t>
      </w:r>
      <w:r w:rsidR="00347526" w:rsidRPr="00347526">
        <w:rPr>
          <w:rFonts w:ascii="Arial" w:hAnsi="Arial" w:cs="Arial"/>
          <w:bCs/>
          <w:color w:val="000000"/>
          <w:sz w:val="22"/>
          <w:szCs w:val="22"/>
        </w:rPr>
        <w:t xml:space="preserve">Specifically, it seeks to address the following </w:t>
      </w:r>
      <w:r w:rsidR="0001163A">
        <w:rPr>
          <w:rFonts w:ascii="Arial" w:hAnsi="Arial" w:cs="Arial"/>
          <w:bCs/>
          <w:color w:val="000000"/>
          <w:sz w:val="22"/>
          <w:szCs w:val="22"/>
        </w:rPr>
        <w:t>undertaking</w:t>
      </w:r>
      <w:r w:rsidR="00347526" w:rsidRPr="00347526">
        <w:rPr>
          <w:rFonts w:ascii="Arial" w:hAnsi="Arial" w:cs="Arial"/>
          <w:bCs/>
          <w:color w:val="000000"/>
          <w:sz w:val="22"/>
          <w:szCs w:val="22"/>
        </w:rPr>
        <w:t xml:space="preserve">: to determine the level of mathematical satisfaction in terms of skill satisfaction, real life, academic satisfaction, praise satisfaction, and task accomplishment; to determine the level of attitude towards mathematics in terms of perception of mathematical incompetence, enjoyment of mathematics, perception of utility, and mathematical self-concept; to measure the level of student engagement in mathematics in terms of cognitive engagement, behavioral engagement, and affective engagement; to examine </w:t>
      </w:r>
      <w:r w:rsidR="00CF126D">
        <w:rPr>
          <w:rFonts w:ascii="Arial" w:hAnsi="Arial" w:cs="Arial"/>
          <w:bCs/>
          <w:color w:val="000000"/>
          <w:sz w:val="22"/>
          <w:szCs w:val="22"/>
        </w:rPr>
        <w:t>w</w:t>
      </w:r>
      <w:r w:rsidR="00347526" w:rsidRPr="00347526">
        <w:rPr>
          <w:rFonts w:ascii="Arial" w:hAnsi="Arial" w:cs="Arial"/>
          <w:bCs/>
          <w:color w:val="000000"/>
          <w:sz w:val="22"/>
          <w:szCs w:val="22"/>
        </w:rPr>
        <w:t xml:space="preserve">hether there is a significant relationship between mathematical satisfaction and student engagement and attitude towards mathematics and student engagement; to </w:t>
      </w:r>
      <w:r w:rsidR="00347526" w:rsidRPr="00347526">
        <w:rPr>
          <w:rFonts w:ascii="Arial" w:hAnsi="Arial" w:cs="Arial"/>
          <w:bCs/>
          <w:color w:val="000000"/>
          <w:sz w:val="22"/>
          <w:szCs w:val="22"/>
        </w:rPr>
        <w:lastRenderedPageBreak/>
        <w:t>examine whether mathematical satisfaction and attitude towards mathematics significantly influences the student engagement.</w:t>
      </w:r>
    </w:p>
    <w:p w14:paraId="42EFE3DF" w14:textId="77777777" w:rsidR="009F4F77" w:rsidRDefault="009F4F77" w:rsidP="00621B7F">
      <w:pPr>
        <w:widowControl w:val="0"/>
        <w:pBdr>
          <w:top w:val="nil"/>
          <w:left w:val="nil"/>
          <w:bottom w:val="nil"/>
          <w:right w:val="nil"/>
          <w:between w:val="nil"/>
        </w:pBdr>
        <w:spacing w:before="282"/>
        <w:jc w:val="both"/>
        <w:rPr>
          <w:rFonts w:ascii="Arial" w:hAnsi="Arial" w:cs="Arial"/>
          <w:bCs/>
          <w:color w:val="000000"/>
          <w:sz w:val="22"/>
          <w:szCs w:val="22"/>
        </w:rPr>
      </w:pPr>
      <w:r w:rsidRPr="009F4F77">
        <w:rPr>
          <w:rFonts w:ascii="Arial" w:hAnsi="Arial" w:cs="Arial"/>
          <w:bCs/>
          <w:color w:val="000000"/>
          <w:sz w:val="22"/>
          <w:szCs w:val="22"/>
        </w:rPr>
        <w:t>Furthermore, the undertaking is anchored in Deci and Ryan's (2012) Self-Determination Theory (SDT), which offers an extensive framework for discerning factors influencing students' engagement. SDT examined how meeting basic psychological necessities, regulating motivation, developing positive attitudes, and engaging in mathematics are related.  Further, SDT says that meeting three fundamental psychological needs, which are autonomy, competence, and relatedness. These are necessary for promoting optimal motivation, a positive attitude, and active participation in learning.  When these needs are satisfied in a mathematics classroom, learners can develop positive attitudes and improve their satisfaction with mathematics, which results in greater engagement.</w:t>
      </w:r>
    </w:p>
    <w:p w14:paraId="39106F13" w14:textId="19701FCC" w:rsidR="007062A8" w:rsidRDefault="007062A8" w:rsidP="00621B7F">
      <w:pPr>
        <w:widowControl w:val="0"/>
        <w:pBdr>
          <w:top w:val="nil"/>
          <w:left w:val="nil"/>
          <w:bottom w:val="nil"/>
          <w:right w:val="nil"/>
          <w:between w:val="nil"/>
        </w:pBdr>
        <w:spacing w:before="282"/>
        <w:jc w:val="both"/>
        <w:rPr>
          <w:rFonts w:ascii="Arial" w:hAnsi="Arial" w:cs="Arial"/>
          <w:bCs/>
          <w:color w:val="000000"/>
          <w:sz w:val="22"/>
          <w:szCs w:val="22"/>
        </w:rPr>
      </w:pPr>
      <w:r w:rsidRPr="007062A8">
        <w:rPr>
          <w:rFonts w:ascii="Arial" w:hAnsi="Arial" w:cs="Arial"/>
          <w:bCs/>
          <w:color w:val="000000"/>
          <w:sz w:val="22"/>
          <w:szCs w:val="22"/>
        </w:rPr>
        <w:t>Drawing on SDT, the conceptual framework of this study further explores the relationships among mathematical satisfaction, attitude towards mathematics, and student engagement in mathematics. The independent variables are mathematical satisfaction and attitude towards mathematics, while student engagement serves as the dependent variable.</w:t>
      </w:r>
    </w:p>
    <w:p w14:paraId="08BD0DFB" w14:textId="29C3FA02" w:rsidR="00621B7F" w:rsidRPr="00621B7F" w:rsidRDefault="005A6910" w:rsidP="00621B7F">
      <w:pPr>
        <w:widowControl w:val="0"/>
        <w:pBdr>
          <w:top w:val="nil"/>
          <w:left w:val="nil"/>
          <w:bottom w:val="nil"/>
          <w:right w:val="nil"/>
          <w:between w:val="nil"/>
        </w:pBdr>
        <w:spacing w:before="282"/>
        <w:jc w:val="both"/>
        <w:rPr>
          <w:rFonts w:ascii="Arial" w:hAnsi="Arial" w:cs="Arial"/>
          <w:bCs/>
          <w:color w:val="000000"/>
          <w:sz w:val="22"/>
          <w:szCs w:val="22"/>
        </w:rPr>
      </w:pPr>
      <w:r>
        <w:rPr>
          <w:rFonts w:ascii="Arial" w:hAnsi="Arial" w:cs="Arial"/>
          <w:bCs/>
          <w:color w:val="000000"/>
          <w:sz w:val="22"/>
          <w:szCs w:val="22"/>
        </w:rPr>
        <w:t>Also, t</w:t>
      </w:r>
      <w:r w:rsidR="00621B7F" w:rsidRPr="00621B7F">
        <w:rPr>
          <w:rFonts w:ascii="Arial" w:hAnsi="Arial" w:cs="Arial"/>
          <w:bCs/>
          <w:color w:val="000000"/>
          <w:sz w:val="22"/>
          <w:szCs w:val="22"/>
        </w:rPr>
        <w:t xml:space="preserve">his study encompasses comparable literature and studies that focus on factors and associations. Mathematical satisfaction concerns students' </w:t>
      </w:r>
      <w:r w:rsidR="00611669" w:rsidRPr="00611669">
        <w:rPr>
          <w:rFonts w:ascii="Arial" w:hAnsi="Arial" w:cs="Arial"/>
          <w:bCs/>
          <w:color w:val="000000"/>
          <w:sz w:val="22"/>
          <w:szCs w:val="22"/>
        </w:rPr>
        <w:t>inherent</w:t>
      </w:r>
      <w:r w:rsidR="00621B7F" w:rsidRPr="00621B7F">
        <w:rPr>
          <w:rFonts w:ascii="Arial" w:hAnsi="Arial" w:cs="Arial"/>
          <w:bCs/>
          <w:color w:val="000000"/>
          <w:sz w:val="22"/>
          <w:szCs w:val="22"/>
        </w:rPr>
        <w:t xml:space="preserve"> and </w:t>
      </w:r>
      <w:r w:rsidR="003436F9" w:rsidRPr="003436F9">
        <w:rPr>
          <w:rFonts w:ascii="Arial" w:hAnsi="Arial" w:cs="Arial"/>
          <w:bCs/>
          <w:color w:val="000000"/>
          <w:sz w:val="22"/>
          <w:szCs w:val="22"/>
        </w:rPr>
        <w:t>extraneous</w:t>
      </w:r>
      <w:r w:rsidR="00621B7F" w:rsidRPr="00621B7F">
        <w:rPr>
          <w:rFonts w:ascii="Arial" w:hAnsi="Arial" w:cs="Arial"/>
          <w:bCs/>
          <w:color w:val="000000"/>
          <w:sz w:val="22"/>
          <w:szCs w:val="22"/>
        </w:rPr>
        <w:t xml:space="preserve"> satisfaction with mathematics and </w:t>
      </w:r>
      <w:r w:rsidR="00650B54" w:rsidRPr="00650B54">
        <w:rPr>
          <w:rFonts w:ascii="Arial" w:hAnsi="Arial" w:cs="Arial"/>
          <w:bCs/>
          <w:color w:val="000000"/>
          <w:sz w:val="22"/>
          <w:szCs w:val="22"/>
        </w:rPr>
        <w:t>circumscribe</w:t>
      </w:r>
      <w:r w:rsidR="00621B7F" w:rsidRPr="00621B7F">
        <w:rPr>
          <w:rFonts w:ascii="Arial" w:hAnsi="Arial" w:cs="Arial"/>
          <w:bCs/>
          <w:color w:val="000000"/>
          <w:sz w:val="22"/>
          <w:szCs w:val="22"/>
        </w:rPr>
        <w:t xml:space="preserve"> </w:t>
      </w:r>
      <w:r w:rsidR="004439B7">
        <w:rPr>
          <w:rFonts w:ascii="Arial" w:hAnsi="Arial" w:cs="Arial"/>
          <w:bCs/>
          <w:color w:val="000000"/>
          <w:sz w:val="22"/>
          <w:szCs w:val="22"/>
        </w:rPr>
        <w:t xml:space="preserve">compliment </w:t>
      </w:r>
      <w:r w:rsidR="00621B7F" w:rsidRPr="00621B7F">
        <w:rPr>
          <w:rFonts w:ascii="Arial" w:hAnsi="Arial" w:cs="Arial"/>
          <w:bCs/>
          <w:color w:val="000000"/>
          <w:sz w:val="22"/>
          <w:szCs w:val="22"/>
        </w:rPr>
        <w:t xml:space="preserve">from others, skill </w:t>
      </w:r>
      <w:r w:rsidR="006F5844" w:rsidRPr="006F5844">
        <w:rPr>
          <w:rFonts w:ascii="Arial" w:hAnsi="Arial" w:cs="Arial"/>
          <w:bCs/>
          <w:color w:val="000000"/>
          <w:sz w:val="22"/>
          <w:szCs w:val="22"/>
        </w:rPr>
        <w:t>gratification</w:t>
      </w:r>
      <w:r w:rsidR="00621B7F" w:rsidRPr="00621B7F">
        <w:rPr>
          <w:rFonts w:ascii="Arial" w:hAnsi="Arial" w:cs="Arial"/>
          <w:bCs/>
          <w:color w:val="000000"/>
          <w:sz w:val="22"/>
          <w:szCs w:val="22"/>
        </w:rPr>
        <w:t xml:space="preserve">, task accomplishment, academic </w:t>
      </w:r>
      <w:r w:rsidR="006F5844" w:rsidRPr="006F5844">
        <w:rPr>
          <w:rFonts w:ascii="Arial" w:hAnsi="Arial" w:cs="Arial"/>
          <w:bCs/>
          <w:color w:val="000000"/>
          <w:sz w:val="22"/>
          <w:szCs w:val="22"/>
        </w:rPr>
        <w:t>gratification</w:t>
      </w:r>
      <w:r w:rsidR="00621B7F" w:rsidRPr="00621B7F">
        <w:rPr>
          <w:rFonts w:ascii="Arial" w:hAnsi="Arial" w:cs="Arial"/>
          <w:bCs/>
          <w:color w:val="000000"/>
          <w:sz w:val="22"/>
          <w:szCs w:val="22"/>
        </w:rPr>
        <w:t>, and real-life situations (</w:t>
      </w:r>
      <w:proofErr w:type="spellStart"/>
      <w:r w:rsidR="00621B7F" w:rsidRPr="00621B7F">
        <w:rPr>
          <w:rFonts w:ascii="Arial" w:hAnsi="Arial" w:cs="Arial"/>
          <w:bCs/>
          <w:color w:val="000000"/>
          <w:sz w:val="22"/>
          <w:szCs w:val="22"/>
        </w:rPr>
        <w:t>Capinding</w:t>
      </w:r>
      <w:proofErr w:type="spellEnd"/>
      <w:r w:rsidR="00621B7F" w:rsidRPr="00621B7F">
        <w:rPr>
          <w:rFonts w:ascii="Arial" w:hAnsi="Arial" w:cs="Arial"/>
          <w:bCs/>
          <w:color w:val="000000"/>
          <w:sz w:val="22"/>
          <w:szCs w:val="22"/>
        </w:rPr>
        <w:t xml:space="preserve">, 2023). Mathematical satisfaction can inspire students to study and strive for </w:t>
      </w:r>
      <w:r w:rsidR="00017866" w:rsidRPr="00017866">
        <w:rPr>
          <w:rFonts w:ascii="Arial" w:hAnsi="Arial" w:cs="Arial"/>
          <w:bCs/>
          <w:color w:val="000000"/>
          <w:sz w:val="22"/>
          <w:szCs w:val="22"/>
        </w:rPr>
        <w:t>transcendence</w:t>
      </w:r>
      <w:r w:rsidR="00621B7F" w:rsidRPr="00621B7F">
        <w:rPr>
          <w:rFonts w:ascii="Arial" w:hAnsi="Arial" w:cs="Arial"/>
          <w:bCs/>
          <w:color w:val="000000"/>
          <w:sz w:val="22"/>
          <w:szCs w:val="22"/>
        </w:rPr>
        <w:t xml:space="preserve"> in mathematics. Satisfaction in mathematics is often viewed as a </w:t>
      </w:r>
      <w:r w:rsidR="00A96093">
        <w:rPr>
          <w:rFonts w:ascii="Arial" w:hAnsi="Arial" w:cs="Arial"/>
          <w:bCs/>
          <w:color w:val="000000"/>
          <w:sz w:val="22"/>
          <w:szCs w:val="22"/>
        </w:rPr>
        <w:t>preferable</w:t>
      </w:r>
      <w:r w:rsidR="00621B7F" w:rsidRPr="00621B7F">
        <w:rPr>
          <w:rFonts w:ascii="Arial" w:hAnsi="Arial" w:cs="Arial"/>
          <w:bCs/>
          <w:color w:val="000000"/>
          <w:sz w:val="22"/>
          <w:szCs w:val="22"/>
        </w:rPr>
        <w:t xml:space="preserve">, positive emotion during the learning process (Barnes, 2021). As a result, it is </w:t>
      </w:r>
      <w:r w:rsidR="00DE5939">
        <w:rPr>
          <w:rFonts w:ascii="Arial" w:hAnsi="Arial" w:cs="Arial"/>
          <w:bCs/>
          <w:color w:val="000000"/>
          <w:sz w:val="22"/>
          <w:szCs w:val="22"/>
        </w:rPr>
        <w:t>requ</w:t>
      </w:r>
      <w:r w:rsidR="00EF364E">
        <w:rPr>
          <w:rFonts w:ascii="Arial" w:hAnsi="Arial" w:cs="Arial"/>
          <w:bCs/>
          <w:color w:val="000000"/>
          <w:sz w:val="22"/>
          <w:szCs w:val="22"/>
        </w:rPr>
        <w:t>isite</w:t>
      </w:r>
      <w:r w:rsidR="00621B7F" w:rsidRPr="00621B7F">
        <w:rPr>
          <w:rFonts w:ascii="Arial" w:hAnsi="Arial" w:cs="Arial"/>
          <w:bCs/>
          <w:color w:val="000000"/>
          <w:sz w:val="22"/>
          <w:szCs w:val="22"/>
        </w:rPr>
        <w:t xml:space="preserve"> to </w:t>
      </w:r>
      <w:r w:rsidR="00EF364E">
        <w:rPr>
          <w:rFonts w:ascii="Arial" w:hAnsi="Arial" w:cs="Arial"/>
          <w:bCs/>
          <w:color w:val="000000"/>
          <w:sz w:val="22"/>
          <w:szCs w:val="22"/>
        </w:rPr>
        <w:t>evaluate</w:t>
      </w:r>
      <w:r w:rsidR="00621B7F" w:rsidRPr="00621B7F">
        <w:rPr>
          <w:rFonts w:ascii="Arial" w:hAnsi="Arial" w:cs="Arial"/>
          <w:bCs/>
          <w:color w:val="000000"/>
          <w:sz w:val="22"/>
          <w:szCs w:val="22"/>
        </w:rPr>
        <w:t xml:space="preserve"> the student's mathematical </w:t>
      </w:r>
      <w:r w:rsidR="00EF364E" w:rsidRPr="006F5844">
        <w:rPr>
          <w:rFonts w:ascii="Arial" w:hAnsi="Arial" w:cs="Arial"/>
          <w:bCs/>
          <w:color w:val="000000"/>
          <w:sz w:val="22"/>
          <w:szCs w:val="22"/>
        </w:rPr>
        <w:t>gratification</w:t>
      </w:r>
      <w:r w:rsidR="00621B7F" w:rsidRPr="00621B7F">
        <w:rPr>
          <w:rFonts w:ascii="Arial" w:hAnsi="Arial" w:cs="Arial"/>
          <w:bCs/>
          <w:color w:val="000000"/>
          <w:sz w:val="22"/>
          <w:szCs w:val="22"/>
        </w:rPr>
        <w:t xml:space="preserve"> using the five constructs</w:t>
      </w:r>
      <w:r w:rsidR="00B921D1">
        <w:rPr>
          <w:rFonts w:ascii="Arial" w:hAnsi="Arial" w:cs="Arial"/>
          <w:bCs/>
          <w:color w:val="000000"/>
          <w:sz w:val="22"/>
          <w:szCs w:val="22"/>
        </w:rPr>
        <w:t xml:space="preserve">: </w:t>
      </w:r>
      <w:r w:rsidR="00621B7F" w:rsidRPr="00621B7F">
        <w:rPr>
          <w:rFonts w:ascii="Arial" w:hAnsi="Arial" w:cs="Arial"/>
          <w:bCs/>
          <w:color w:val="000000"/>
          <w:sz w:val="22"/>
          <w:szCs w:val="22"/>
        </w:rPr>
        <w:t xml:space="preserve">skill, real-life, academic, praise, and task completion to provide appropriate assistance in mathematics teaching. </w:t>
      </w:r>
      <w:r w:rsidR="00415945">
        <w:rPr>
          <w:rFonts w:ascii="Arial" w:hAnsi="Arial" w:cs="Arial"/>
          <w:bCs/>
          <w:color w:val="000000"/>
          <w:sz w:val="22"/>
          <w:szCs w:val="22"/>
        </w:rPr>
        <w:t>Listing</w:t>
      </w:r>
      <w:r w:rsidR="00621B7F" w:rsidRPr="00621B7F">
        <w:rPr>
          <w:rFonts w:ascii="Arial" w:hAnsi="Arial" w:cs="Arial"/>
          <w:bCs/>
          <w:color w:val="000000"/>
          <w:sz w:val="22"/>
          <w:szCs w:val="22"/>
        </w:rPr>
        <w:t xml:space="preserve"> the </w:t>
      </w:r>
      <w:r w:rsidR="007D35B4">
        <w:rPr>
          <w:rFonts w:ascii="Arial" w:hAnsi="Arial" w:cs="Arial"/>
          <w:bCs/>
          <w:color w:val="000000"/>
          <w:sz w:val="22"/>
          <w:szCs w:val="22"/>
        </w:rPr>
        <w:t>feature</w:t>
      </w:r>
      <w:r w:rsidR="00621B7F" w:rsidRPr="00621B7F">
        <w:rPr>
          <w:rFonts w:ascii="Arial" w:hAnsi="Arial" w:cs="Arial"/>
          <w:bCs/>
          <w:color w:val="000000"/>
          <w:sz w:val="22"/>
          <w:szCs w:val="22"/>
        </w:rPr>
        <w:t xml:space="preserve"> that </w:t>
      </w:r>
      <w:r w:rsidR="007D35B4" w:rsidRPr="00621B7F">
        <w:rPr>
          <w:rFonts w:ascii="Arial" w:hAnsi="Arial" w:cs="Arial"/>
          <w:bCs/>
          <w:color w:val="000000"/>
          <w:sz w:val="22"/>
          <w:szCs w:val="22"/>
        </w:rPr>
        <w:t>led</w:t>
      </w:r>
      <w:r w:rsidR="00621B7F" w:rsidRPr="00621B7F">
        <w:rPr>
          <w:rFonts w:ascii="Arial" w:hAnsi="Arial" w:cs="Arial"/>
          <w:bCs/>
          <w:color w:val="000000"/>
          <w:sz w:val="22"/>
          <w:szCs w:val="22"/>
        </w:rPr>
        <w:t xml:space="preserve"> to student satisfaction in mathematics learning is, on the other hand, </w:t>
      </w:r>
      <w:r w:rsidR="00F7373D">
        <w:rPr>
          <w:rFonts w:ascii="Arial" w:hAnsi="Arial" w:cs="Arial"/>
          <w:bCs/>
          <w:color w:val="000000"/>
          <w:sz w:val="22"/>
          <w:szCs w:val="22"/>
        </w:rPr>
        <w:t>crucial</w:t>
      </w:r>
      <w:r w:rsidR="00621B7F" w:rsidRPr="00621B7F">
        <w:rPr>
          <w:rFonts w:ascii="Arial" w:hAnsi="Arial" w:cs="Arial"/>
          <w:bCs/>
          <w:color w:val="000000"/>
          <w:sz w:val="22"/>
          <w:szCs w:val="22"/>
        </w:rPr>
        <w:t xml:space="preserve"> for educators. </w:t>
      </w:r>
    </w:p>
    <w:p w14:paraId="57CE1BA4" w14:textId="58422C82" w:rsidR="00621B7F" w:rsidRPr="00621B7F" w:rsidRDefault="005A6910" w:rsidP="00621B7F">
      <w:pPr>
        <w:widowControl w:val="0"/>
        <w:pBdr>
          <w:top w:val="nil"/>
          <w:left w:val="nil"/>
          <w:bottom w:val="nil"/>
          <w:right w:val="nil"/>
          <w:between w:val="nil"/>
        </w:pBdr>
        <w:spacing w:before="282"/>
        <w:jc w:val="both"/>
        <w:rPr>
          <w:rFonts w:ascii="Arial" w:hAnsi="Arial" w:cs="Arial"/>
          <w:bCs/>
          <w:color w:val="000000"/>
          <w:sz w:val="22"/>
          <w:szCs w:val="22"/>
        </w:rPr>
      </w:pPr>
      <w:r>
        <w:rPr>
          <w:rFonts w:ascii="Arial" w:hAnsi="Arial" w:cs="Arial"/>
          <w:bCs/>
          <w:color w:val="000000"/>
          <w:sz w:val="22"/>
          <w:szCs w:val="22"/>
        </w:rPr>
        <w:t>In addition, a</w:t>
      </w:r>
      <w:r w:rsidR="00621B7F" w:rsidRPr="00621B7F">
        <w:rPr>
          <w:rFonts w:ascii="Arial" w:hAnsi="Arial" w:cs="Arial"/>
          <w:bCs/>
          <w:color w:val="000000"/>
          <w:sz w:val="22"/>
          <w:szCs w:val="22"/>
        </w:rPr>
        <w:t xml:space="preserve">ttitudes toward mathematics can affect students' overall math achievement. Attitude is defined as the thoughts or feelings an individual holds about something.  (Morton, 2014). </w:t>
      </w:r>
      <w:r w:rsidR="00DD3F6D" w:rsidRPr="00DD3F6D">
        <w:rPr>
          <w:rFonts w:ascii="Arial" w:hAnsi="Arial" w:cs="Arial"/>
          <w:bCs/>
          <w:color w:val="000000"/>
          <w:sz w:val="22"/>
          <w:szCs w:val="22"/>
        </w:rPr>
        <w:t>Furthermore, favorable perceptions of mathematics are most prominently observed during the initial stages of students' educational journeys, as they cultivate thorough and extensive competencies throughout their elementary and secondary schooling (Jacobs, 2014). Studies derived from mathematical autobiographies of educators indicated that students who excel in mathematics generally have a fondness for the subject and achieve high grades in this discipline; conversely, when mathematics poses challenges for students, their attitudes toward the subject tend to differ (Aguilar, 2021). As students mature and encounter increased cognitive challenges in mathematics, these positive attitudes often diminish. Nonetheless, the perspectives that students hold regarding mathematics as they mature can significantly influence their performance in the subject (Syyeda, 2015).</w:t>
      </w:r>
    </w:p>
    <w:p w14:paraId="47BF8BC2" w14:textId="77777777" w:rsidR="0079453D" w:rsidRDefault="0079453D" w:rsidP="00621B7F">
      <w:pPr>
        <w:widowControl w:val="0"/>
        <w:pBdr>
          <w:top w:val="nil"/>
          <w:left w:val="nil"/>
          <w:bottom w:val="nil"/>
          <w:right w:val="nil"/>
          <w:between w:val="nil"/>
        </w:pBdr>
        <w:spacing w:before="282"/>
        <w:jc w:val="both"/>
        <w:rPr>
          <w:rFonts w:ascii="Arial" w:hAnsi="Arial" w:cs="Arial"/>
          <w:bCs/>
          <w:color w:val="000000"/>
          <w:sz w:val="22"/>
          <w:szCs w:val="22"/>
        </w:rPr>
      </w:pPr>
    </w:p>
    <w:p w14:paraId="2B039398" w14:textId="7D808D74" w:rsidR="00484663" w:rsidRDefault="005A6910" w:rsidP="00621B7F">
      <w:pPr>
        <w:widowControl w:val="0"/>
        <w:pBdr>
          <w:top w:val="nil"/>
          <w:left w:val="nil"/>
          <w:bottom w:val="nil"/>
          <w:right w:val="nil"/>
          <w:between w:val="nil"/>
        </w:pBdr>
        <w:spacing w:before="282"/>
        <w:jc w:val="both"/>
        <w:rPr>
          <w:rFonts w:ascii="Arial" w:hAnsi="Arial" w:cs="Arial"/>
          <w:bCs/>
          <w:color w:val="000000"/>
          <w:sz w:val="22"/>
          <w:szCs w:val="22"/>
        </w:rPr>
      </w:pPr>
      <w:r>
        <w:rPr>
          <w:rFonts w:ascii="Arial" w:hAnsi="Arial" w:cs="Arial"/>
          <w:bCs/>
          <w:color w:val="000000"/>
          <w:sz w:val="22"/>
          <w:szCs w:val="22"/>
        </w:rPr>
        <w:lastRenderedPageBreak/>
        <w:t>Further</w:t>
      </w:r>
      <w:r w:rsidR="000C39D9" w:rsidRPr="000C39D9">
        <w:rPr>
          <w:rFonts w:ascii="Arial" w:hAnsi="Arial" w:cs="Arial"/>
          <w:bCs/>
          <w:color w:val="000000"/>
          <w:sz w:val="22"/>
          <w:szCs w:val="22"/>
        </w:rPr>
        <w:t xml:space="preserve">, student engagement in mathematics pertains to the level of concentration, keen interest, eagerness, and enthusiasm that students exhibit during the learning process or while receiving instruction. </w:t>
      </w:r>
      <w:r w:rsidR="00621B7F" w:rsidRPr="00621B7F">
        <w:rPr>
          <w:rFonts w:ascii="Arial" w:hAnsi="Arial" w:cs="Arial"/>
          <w:bCs/>
          <w:color w:val="000000"/>
          <w:sz w:val="22"/>
          <w:szCs w:val="22"/>
        </w:rPr>
        <w:t>It involves cognitive, behavioral, and affective dimensions (</w:t>
      </w:r>
      <w:proofErr w:type="spellStart"/>
      <w:r w:rsidR="00621B7F" w:rsidRPr="00621B7F">
        <w:rPr>
          <w:rFonts w:ascii="Arial" w:hAnsi="Arial" w:cs="Arial"/>
          <w:bCs/>
          <w:color w:val="000000"/>
          <w:sz w:val="22"/>
          <w:szCs w:val="22"/>
        </w:rPr>
        <w:t>Maamin</w:t>
      </w:r>
      <w:proofErr w:type="spellEnd"/>
      <w:r w:rsidR="00621B7F" w:rsidRPr="00621B7F">
        <w:rPr>
          <w:rFonts w:ascii="Arial" w:hAnsi="Arial" w:cs="Arial"/>
          <w:bCs/>
          <w:color w:val="000000"/>
          <w:sz w:val="22"/>
          <w:szCs w:val="22"/>
        </w:rPr>
        <w:t xml:space="preserve"> et al., 202</w:t>
      </w:r>
      <w:r w:rsidR="003D5CEF">
        <w:rPr>
          <w:rFonts w:ascii="Arial" w:hAnsi="Arial" w:cs="Arial"/>
          <w:bCs/>
          <w:color w:val="000000"/>
          <w:sz w:val="22"/>
          <w:szCs w:val="22"/>
        </w:rPr>
        <w:t>1</w:t>
      </w:r>
      <w:r w:rsidR="00621B7F" w:rsidRPr="00621B7F">
        <w:rPr>
          <w:rFonts w:ascii="Arial" w:hAnsi="Arial" w:cs="Arial"/>
          <w:bCs/>
          <w:color w:val="000000"/>
          <w:sz w:val="22"/>
          <w:szCs w:val="22"/>
        </w:rPr>
        <w:t xml:space="preserve">).  Moreover, measuring student engagement is crucial because it predicts academic performance, particularly in mathematics, where many students struggle with motivation and persistence. </w:t>
      </w:r>
    </w:p>
    <w:p w14:paraId="47D62D53" w14:textId="6BD13181" w:rsidR="00621B7F" w:rsidRPr="00621B7F" w:rsidRDefault="00484663" w:rsidP="00621B7F">
      <w:pPr>
        <w:widowControl w:val="0"/>
        <w:pBdr>
          <w:top w:val="nil"/>
          <w:left w:val="nil"/>
          <w:bottom w:val="nil"/>
          <w:right w:val="nil"/>
          <w:between w:val="nil"/>
        </w:pBdr>
        <w:spacing w:before="282"/>
        <w:jc w:val="both"/>
        <w:rPr>
          <w:rFonts w:ascii="Arial" w:hAnsi="Arial" w:cs="Arial"/>
          <w:bCs/>
          <w:color w:val="000000"/>
          <w:sz w:val="22"/>
          <w:szCs w:val="22"/>
        </w:rPr>
      </w:pPr>
      <w:r>
        <w:rPr>
          <w:rFonts w:ascii="Arial" w:hAnsi="Arial" w:cs="Arial"/>
          <w:bCs/>
          <w:color w:val="000000"/>
          <w:sz w:val="22"/>
          <w:szCs w:val="22"/>
        </w:rPr>
        <w:t xml:space="preserve">Similarly, </w:t>
      </w:r>
      <w:proofErr w:type="spellStart"/>
      <w:r w:rsidR="00621B7F" w:rsidRPr="00621B7F">
        <w:rPr>
          <w:rFonts w:ascii="Arial" w:hAnsi="Arial" w:cs="Arial"/>
          <w:bCs/>
          <w:color w:val="000000"/>
          <w:sz w:val="22"/>
          <w:szCs w:val="22"/>
        </w:rPr>
        <w:t>Maamin</w:t>
      </w:r>
      <w:proofErr w:type="spellEnd"/>
      <w:r w:rsidR="00621B7F" w:rsidRPr="00621B7F">
        <w:rPr>
          <w:rFonts w:ascii="Arial" w:hAnsi="Arial" w:cs="Arial"/>
          <w:bCs/>
          <w:color w:val="000000"/>
          <w:sz w:val="22"/>
          <w:szCs w:val="22"/>
        </w:rPr>
        <w:t xml:space="preserve"> et al. (202</w:t>
      </w:r>
      <w:r w:rsidR="003D5CEF">
        <w:rPr>
          <w:rFonts w:ascii="Arial" w:hAnsi="Arial" w:cs="Arial"/>
          <w:bCs/>
          <w:color w:val="000000"/>
          <w:sz w:val="22"/>
          <w:szCs w:val="22"/>
        </w:rPr>
        <w:t>1</w:t>
      </w:r>
      <w:r w:rsidR="00621B7F" w:rsidRPr="00621B7F">
        <w:rPr>
          <w:rFonts w:ascii="Arial" w:hAnsi="Arial" w:cs="Arial"/>
          <w:bCs/>
          <w:color w:val="000000"/>
          <w:sz w:val="22"/>
          <w:szCs w:val="22"/>
        </w:rPr>
        <w:t xml:space="preserve">) emphasized that engagement serves as a key factor influencing mathematical achievement, noting that students with high levels of </w:t>
      </w:r>
      <w:r w:rsidRPr="00621B7F">
        <w:rPr>
          <w:rFonts w:ascii="Arial" w:hAnsi="Arial" w:cs="Arial"/>
          <w:bCs/>
          <w:color w:val="000000"/>
          <w:sz w:val="22"/>
          <w:szCs w:val="22"/>
        </w:rPr>
        <w:t>affection</w:t>
      </w:r>
      <w:r w:rsidR="00621B7F" w:rsidRPr="00621B7F">
        <w:rPr>
          <w:rFonts w:ascii="Arial" w:hAnsi="Arial" w:cs="Arial"/>
          <w:bCs/>
          <w:color w:val="000000"/>
          <w:sz w:val="22"/>
          <w:szCs w:val="22"/>
        </w:rPr>
        <w:t xml:space="preserve"> and behavioral engagement tend to perform better academically. The study found that affective engagement, such as students' interest in math and exam orientation, was the strongest predictor of achievement, followed by behavioral engagement (e.g., attention and diligence). In contrast, cognitive engagement showed a negative relationship in the regression model.</w:t>
      </w:r>
    </w:p>
    <w:p w14:paraId="50806BF1" w14:textId="0402CF8C" w:rsidR="00B921D1" w:rsidRDefault="005A6910" w:rsidP="00621B7F">
      <w:pPr>
        <w:widowControl w:val="0"/>
        <w:pBdr>
          <w:top w:val="nil"/>
          <w:left w:val="nil"/>
          <w:bottom w:val="nil"/>
          <w:right w:val="nil"/>
          <w:between w:val="nil"/>
        </w:pBdr>
        <w:spacing w:before="282"/>
        <w:jc w:val="both"/>
        <w:rPr>
          <w:rFonts w:ascii="Arial" w:hAnsi="Arial" w:cs="Arial"/>
          <w:bCs/>
          <w:color w:val="000000"/>
          <w:sz w:val="22"/>
          <w:szCs w:val="22"/>
        </w:rPr>
      </w:pPr>
      <w:r>
        <w:rPr>
          <w:rFonts w:ascii="Arial" w:hAnsi="Arial" w:cs="Arial"/>
          <w:bCs/>
          <w:color w:val="000000"/>
          <w:sz w:val="22"/>
          <w:szCs w:val="22"/>
        </w:rPr>
        <w:t xml:space="preserve">Consequently, </w:t>
      </w:r>
      <w:r w:rsidR="006B60F0">
        <w:rPr>
          <w:rFonts w:ascii="Arial" w:hAnsi="Arial" w:cs="Arial"/>
          <w:bCs/>
          <w:color w:val="000000"/>
          <w:sz w:val="22"/>
          <w:szCs w:val="22"/>
        </w:rPr>
        <w:t>m</w:t>
      </w:r>
      <w:r w:rsidR="006B60F0" w:rsidRPr="006B60F0">
        <w:rPr>
          <w:rFonts w:ascii="Arial" w:hAnsi="Arial" w:cs="Arial"/>
          <w:bCs/>
          <w:color w:val="000000"/>
          <w:sz w:val="22"/>
          <w:szCs w:val="22"/>
        </w:rPr>
        <w:t>athematical satisfaction is essential for students' involvement and performance in mathematics instruction (</w:t>
      </w:r>
      <w:proofErr w:type="spellStart"/>
      <w:r w:rsidR="006B60F0" w:rsidRPr="006B60F0">
        <w:rPr>
          <w:rFonts w:ascii="Arial" w:hAnsi="Arial" w:cs="Arial"/>
          <w:bCs/>
          <w:color w:val="000000"/>
          <w:sz w:val="22"/>
          <w:szCs w:val="22"/>
        </w:rPr>
        <w:t>Capinding</w:t>
      </w:r>
      <w:proofErr w:type="spellEnd"/>
      <w:r w:rsidR="006B60F0" w:rsidRPr="006B60F0">
        <w:rPr>
          <w:rFonts w:ascii="Arial" w:hAnsi="Arial" w:cs="Arial"/>
          <w:bCs/>
          <w:color w:val="000000"/>
          <w:sz w:val="22"/>
          <w:szCs w:val="22"/>
        </w:rPr>
        <w:t>, 2023).</w:t>
      </w:r>
      <w:r w:rsidR="006B60F0">
        <w:rPr>
          <w:rFonts w:ascii="Arial" w:hAnsi="Arial" w:cs="Arial"/>
          <w:bCs/>
          <w:color w:val="000000"/>
          <w:sz w:val="22"/>
          <w:szCs w:val="22"/>
        </w:rPr>
        <w:t xml:space="preserve"> </w:t>
      </w:r>
      <w:r w:rsidR="00621B7F" w:rsidRPr="00621B7F">
        <w:rPr>
          <w:rFonts w:ascii="Arial" w:hAnsi="Arial" w:cs="Arial"/>
          <w:bCs/>
          <w:color w:val="000000"/>
          <w:sz w:val="22"/>
          <w:szCs w:val="22"/>
        </w:rPr>
        <w:t xml:space="preserve">Likewise, the study of Aquino and </w:t>
      </w:r>
      <w:proofErr w:type="spellStart"/>
      <w:r w:rsidR="00621B7F" w:rsidRPr="00621B7F">
        <w:rPr>
          <w:rFonts w:ascii="Arial" w:hAnsi="Arial" w:cs="Arial"/>
          <w:bCs/>
          <w:color w:val="000000"/>
          <w:sz w:val="22"/>
          <w:szCs w:val="22"/>
        </w:rPr>
        <w:t>Gurat</w:t>
      </w:r>
      <w:proofErr w:type="spellEnd"/>
      <w:r w:rsidR="00621B7F" w:rsidRPr="00621B7F">
        <w:rPr>
          <w:rFonts w:ascii="Arial" w:hAnsi="Arial" w:cs="Arial"/>
          <w:bCs/>
          <w:color w:val="000000"/>
          <w:sz w:val="22"/>
          <w:szCs w:val="22"/>
        </w:rPr>
        <w:t xml:space="preserve"> (2023) found that students' satisfaction with instructional strategies significantly influenced their engagement and academic performance. Furthermore, </w:t>
      </w:r>
      <w:r w:rsidR="001E2CC5" w:rsidRPr="001E2CC5">
        <w:rPr>
          <w:rFonts w:ascii="Arial" w:hAnsi="Arial" w:cs="Arial"/>
          <w:bCs/>
          <w:color w:val="000000"/>
          <w:sz w:val="22"/>
          <w:szCs w:val="22"/>
        </w:rPr>
        <w:t xml:space="preserve">Hwang and Son (2021) contend that learners with an optimistic mindset towards mathematics are far more inclined to participate in mathematics-related activities. </w:t>
      </w:r>
      <w:r w:rsidR="00621B7F" w:rsidRPr="00621B7F">
        <w:rPr>
          <w:rFonts w:ascii="Arial" w:hAnsi="Arial" w:cs="Arial"/>
          <w:bCs/>
          <w:color w:val="000000"/>
          <w:sz w:val="22"/>
          <w:szCs w:val="22"/>
        </w:rPr>
        <w:t>Reciprocally, as students become more engaged in their mathematics classes, their attitudes toward learning mathematics improve (</w:t>
      </w:r>
      <w:proofErr w:type="spellStart"/>
      <w:r w:rsidR="00621B7F" w:rsidRPr="00621B7F">
        <w:rPr>
          <w:rFonts w:ascii="Arial" w:hAnsi="Arial" w:cs="Arial"/>
          <w:bCs/>
          <w:color w:val="000000"/>
          <w:sz w:val="22"/>
          <w:szCs w:val="22"/>
        </w:rPr>
        <w:t>Carcueva</w:t>
      </w:r>
      <w:proofErr w:type="spellEnd"/>
      <w:r w:rsidR="00621B7F" w:rsidRPr="00621B7F">
        <w:rPr>
          <w:rFonts w:ascii="Arial" w:hAnsi="Arial" w:cs="Arial"/>
          <w:bCs/>
          <w:color w:val="000000"/>
          <w:sz w:val="22"/>
          <w:szCs w:val="22"/>
        </w:rPr>
        <w:t>, 2024).</w:t>
      </w:r>
    </w:p>
    <w:p w14:paraId="6A3B4204" w14:textId="3A81B15C" w:rsidR="007F7B32" w:rsidRPr="00693D99" w:rsidRDefault="00693D99" w:rsidP="00621B7F">
      <w:pPr>
        <w:widowControl w:val="0"/>
        <w:pBdr>
          <w:top w:val="nil"/>
          <w:left w:val="nil"/>
          <w:bottom w:val="nil"/>
          <w:right w:val="nil"/>
          <w:between w:val="nil"/>
        </w:pBdr>
        <w:spacing w:before="282"/>
        <w:jc w:val="both"/>
        <w:rPr>
          <w:rFonts w:ascii="Arial" w:hAnsi="Arial" w:cs="Arial"/>
          <w:b/>
          <w:bCs/>
          <w:sz w:val="22"/>
          <w:szCs w:val="22"/>
        </w:rPr>
      </w:pPr>
      <w:r w:rsidRPr="00693D99">
        <w:rPr>
          <w:rFonts w:ascii="Arial" w:hAnsi="Arial" w:cs="Arial"/>
          <w:b/>
          <w:bCs/>
          <w:sz w:val="22"/>
          <w:szCs w:val="22"/>
        </w:rPr>
        <w:t>2. METHOD</w:t>
      </w:r>
      <w:r w:rsidR="0040778C">
        <w:rPr>
          <w:rFonts w:ascii="Arial" w:hAnsi="Arial" w:cs="Arial"/>
          <w:b/>
          <w:bCs/>
          <w:sz w:val="22"/>
          <w:szCs w:val="22"/>
        </w:rPr>
        <w:t>OLOGY</w:t>
      </w:r>
    </w:p>
    <w:p w14:paraId="76CE4E3C" w14:textId="0F7E6FD1" w:rsidR="005D3A4A" w:rsidRPr="005D3A4A" w:rsidRDefault="005D3A4A" w:rsidP="005D3A4A">
      <w:pPr>
        <w:rPr>
          <w:rFonts w:ascii="Arial" w:hAnsi="Arial" w:cs="Arial"/>
          <w:b/>
          <w:bCs/>
          <w:sz w:val="22"/>
          <w:szCs w:val="22"/>
        </w:rPr>
      </w:pPr>
    </w:p>
    <w:p w14:paraId="0B96E914" w14:textId="080B170E" w:rsidR="005D3A4A" w:rsidRDefault="006C16A7" w:rsidP="005D3A4A">
      <w:pPr>
        <w:rPr>
          <w:rFonts w:ascii="Arial" w:hAnsi="Arial" w:cs="Arial"/>
          <w:b/>
          <w:bCs/>
          <w:sz w:val="22"/>
          <w:szCs w:val="22"/>
        </w:rPr>
      </w:pPr>
      <w:r>
        <w:rPr>
          <w:rFonts w:ascii="Arial" w:hAnsi="Arial" w:cs="Arial"/>
          <w:b/>
          <w:bCs/>
          <w:sz w:val="22"/>
          <w:szCs w:val="22"/>
        </w:rPr>
        <w:t xml:space="preserve">2.1 </w:t>
      </w:r>
      <w:r w:rsidR="00DF00C1">
        <w:rPr>
          <w:rFonts w:ascii="Arial" w:hAnsi="Arial" w:cs="Arial"/>
          <w:b/>
          <w:bCs/>
          <w:sz w:val="22"/>
          <w:szCs w:val="22"/>
        </w:rPr>
        <w:t>Participants</w:t>
      </w:r>
    </w:p>
    <w:p w14:paraId="236A38FE" w14:textId="77777777" w:rsidR="00DF00C1" w:rsidRDefault="00DF00C1" w:rsidP="005D3A4A">
      <w:pPr>
        <w:rPr>
          <w:rFonts w:ascii="Arial" w:hAnsi="Arial" w:cs="Arial"/>
          <w:b/>
          <w:bCs/>
          <w:sz w:val="22"/>
          <w:szCs w:val="22"/>
        </w:rPr>
      </w:pPr>
    </w:p>
    <w:p w14:paraId="305FC830" w14:textId="1251FE86" w:rsidR="00245CAB" w:rsidRDefault="005D09D3" w:rsidP="009478B1">
      <w:pPr>
        <w:jc w:val="both"/>
        <w:rPr>
          <w:rFonts w:ascii="Arial" w:hAnsi="Arial" w:cs="Arial"/>
          <w:sz w:val="22"/>
          <w:szCs w:val="22"/>
        </w:rPr>
      </w:pPr>
      <w:r w:rsidRPr="005D09D3">
        <w:rPr>
          <w:rFonts w:ascii="Arial" w:hAnsi="Arial" w:cs="Arial"/>
          <w:sz w:val="22"/>
          <w:szCs w:val="22"/>
        </w:rPr>
        <w:t>The study was conducted in Panabo City, Davao del Norte. Participants have satisfied the criteria for inclusion in the study. The subjects, who were senior high school students, voluntarily consented to partake in the study. Those who decline to participate or do not meet these criteria have been excluded from analysis. This research involved 300 senior high school students from a population of 1,200 students. The target sample size was determined using Slovin's formula, which computes the maximum sample size necessary to achieve a certain sample size according to the overall population size and confidence interval. The researcher allocated the data from the chosen schools as follows: 39% to School X (117 participants), 33% to School Y (99 participants), and 28% to School Z (84 participants).</w:t>
      </w:r>
    </w:p>
    <w:p w14:paraId="1899A917" w14:textId="77777777" w:rsidR="00F7373D" w:rsidRDefault="00F7373D" w:rsidP="009478B1">
      <w:pPr>
        <w:jc w:val="both"/>
        <w:rPr>
          <w:rFonts w:ascii="Arial" w:hAnsi="Arial" w:cs="Arial"/>
          <w:sz w:val="22"/>
          <w:szCs w:val="22"/>
        </w:rPr>
      </w:pPr>
    </w:p>
    <w:p w14:paraId="047E96A8" w14:textId="7BB84ED6" w:rsidR="00F14CFA" w:rsidRDefault="00E93958" w:rsidP="009478B1">
      <w:pPr>
        <w:jc w:val="both"/>
        <w:rPr>
          <w:rFonts w:ascii="Arial" w:hAnsi="Arial" w:cs="Arial"/>
          <w:sz w:val="22"/>
          <w:szCs w:val="22"/>
        </w:rPr>
      </w:pPr>
      <w:r w:rsidRPr="00E93958">
        <w:rPr>
          <w:rFonts w:ascii="Arial" w:hAnsi="Arial" w:cs="Arial"/>
          <w:sz w:val="22"/>
          <w:szCs w:val="22"/>
        </w:rPr>
        <w:t>Furthermore, a stratified random sampling technique has been used to choose participants to ensure a representative sample.</w:t>
      </w:r>
      <w:r w:rsidR="00B93D85">
        <w:rPr>
          <w:rFonts w:ascii="Arial" w:hAnsi="Arial" w:cs="Arial"/>
          <w:sz w:val="22"/>
          <w:szCs w:val="22"/>
        </w:rPr>
        <w:t xml:space="preserve"> This technique involves initially segmenting the population into discrete, non-overlapping groupings, or “strata, according to common trait.</w:t>
      </w:r>
      <w:r w:rsidRPr="00E93958">
        <w:rPr>
          <w:rFonts w:ascii="Arial" w:hAnsi="Arial" w:cs="Arial"/>
          <w:sz w:val="22"/>
          <w:szCs w:val="22"/>
        </w:rPr>
        <w:t xml:space="preserve"> </w:t>
      </w:r>
      <w:r w:rsidR="00AF3003" w:rsidRPr="00AF3003">
        <w:rPr>
          <w:rFonts w:ascii="Arial" w:hAnsi="Arial" w:cs="Arial"/>
          <w:sz w:val="22"/>
          <w:szCs w:val="22"/>
        </w:rPr>
        <w:t xml:space="preserve">Creswell &amp; Creswell (2017) assert that stratified random sampling minimizes disparities among various individual classifications and facilitates the extraction of representative samples while decreasing the necessary sample size. </w:t>
      </w:r>
      <w:r w:rsidRPr="00E93958">
        <w:rPr>
          <w:rFonts w:ascii="Arial" w:hAnsi="Arial" w:cs="Arial"/>
          <w:sz w:val="22"/>
          <w:szCs w:val="22"/>
        </w:rPr>
        <w:t xml:space="preserve">Lastly, the participants have been given the right to withdraw their involvement </w:t>
      </w:r>
      <w:r w:rsidRPr="00E93958">
        <w:rPr>
          <w:rFonts w:ascii="Arial" w:hAnsi="Arial" w:cs="Arial"/>
          <w:sz w:val="22"/>
          <w:szCs w:val="22"/>
        </w:rPr>
        <w:lastRenderedPageBreak/>
        <w:t>anytime during the study without facing any penalties if they feel threatened or uncomfortable while responding to the survey questionnaire.</w:t>
      </w:r>
    </w:p>
    <w:p w14:paraId="1F8189ED" w14:textId="77777777" w:rsidR="00245CAB" w:rsidRDefault="00245CAB" w:rsidP="009478B1">
      <w:pPr>
        <w:jc w:val="both"/>
        <w:rPr>
          <w:rFonts w:ascii="Arial" w:hAnsi="Arial" w:cs="Arial"/>
          <w:sz w:val="22"/>
          <w:szCs w:val="22"/>
        </w:rPr>
      </w:pPr>
    </w:p>
    <w:p w14:paraId="3E42102E" w14:textId="77777777" w:rsidR="00245CAB" w:rsidRDefault="00245CAB" w:rsidP="009478B1">
      <w:pPr>
        <w:jc w:val="both"/>
        <w:rPr>
          <w:rFonts w:ascii="Arial" w:hAnsi="Arial" w:cs="Arial"/>
          <w:sz w:val="22"/>
          <w:szCs w:val="22"/>
        </w:rPr>
      </w:pPr>
    </w:p>
    <w:p w14:paraId="580FB7AF" w14:textId="36EFEBC1" w:rsidR="00F14CFA" w:rsidRPr="00F14CFA" w:rsidRDefault="006C16A7" w:rsidP="009478B1">
      <w:pPr>
        <w:jc w:val="both"/>
        <w:rPr>
          <w:rFonts w:ascii="Arial" w:hAnsi="Arial" w:cs="Arial"/>
          <w:b/>
          <w:bCs/>
          <w:sz w:val="22"/>
          <w:szCs w:val="22"/>
        </w:rPr>
      </w:pPr>
      <w:r>
        <w:rPr>
          <w:rFonts w:ascii="Arial" w:hAnsi="Arial" w:cs="Arial"/>
          <w:b/>
          <w:bCs/>
          <w:sz w:val="22"/>
          <w:szCs w:val="22"/>
        </w:rPr>
        <w:t xml:space="preserve">2.2 </w:t>
      </w:r>
      <w:r w:rsidR="00F14CFA" w:rsidRPr="00F14CFA">
        <w:rPr>
          <w:rFonts w:ascii="Arial" w:hAnsi="Arial" w:cs="Arial"/>
          <w:b/>
          <w:bCs/>
          <w:sz w:val="22"/>
          <w:szCs w:val="22"/>
        </w:rPr>
        <w:t>Materials and Instrument</w:t>
      </w:r>
    </w:p>
    <w:p w14:paraId="1B546858" w14:textId="77777777" w:rsidR="005D3A4A" w:rsidRDefault="005D3A4A" w:rsidP="005D3A4A">
      <w:pPr>
        <w:rPr>
          <w:rFonts w:ascii="Arial" w:hAnsi="Arial" w:cs="Arial"/>
          <w:b/>
          <w:bCs/>
          <w:sz w:val="22"/>
          <w:szCs w:val="22"/>
        </w:rPr>
      </w:pPr>
    </w:p>
    <w:p w14:paraId="6B6C623A" w14:textId="33DA83C9" w:rsidR="00245CAB" w:rsidRDefault="00245CAB" w:rsidP="00693D99">
      <w:pPr>
        <w:pStyle w:val="Body"/>
        <w:spacing w:after="0"/>
        <w:rPr>
          <w:rFonts w:ascii="Arial" w:hAnsi="Arial" w:cs="Arial"/>
          <w:sz w:val="22"/>
          <w:szCs w:val="22"/>
        </w:rPr>
      </w:pPr>
      <w:r w:rsidRPr="00245CAB">
        <w:rPr>
          <w:rFonts w:ascii="Arial" w:hAnsi="Arial" w:cs="Arial"/>
          <w:sz w:val="22"/>
          <w:szCs w:val="22"/>
        </w:rPr>
        <w:t xml:space="preserve">The researcher used three sets of survey questionnaires adapted from prior studies to collect data from respondents. Moreover, the questionnaire underwent pilot testing with 30 participants, who were excluded from the study, to assess reliability and validity. The first questionnaire has been adapted from </w:t>
      </w:r>
      <w:proofErr w:type="spellStart"/>
      <w:r w:rsidRPr="00245CAB">
        <w:rPr>
          <w:rFonts w:ascii="Arial" w:hAnsi="Arial" w:cs="Arial"/>
          <w:sz w:val="22"/>
          <w:szCs w:val="22"/>
        </w:rPr>
        <w:t>Capinding’s</w:t>
      </w:r>
      <w:proofErr w:type="spellEnd"/>
      <w:r w:rsidRPr="00245CAB">
        <w:rPr>
          <w:rFonts w:ascii="Arial" w:hAnsi="Arial" w:cs="Arial"/>
          <w:sz w:val="22"/>
          <w:szCs w:val="22"/>
        </w:rPr>
        <w:t xml:space="preserve"> (2023) mathematical satisfaction questionnaires, which have calculated Cronbach’s alpha of 0.923. It has five indicators, namely, praise satisfaction, skill satisfaction, task accomplishment, academic satisfaction, and real-life satisfaction. The second questionnaire has been adopted from Palacios et al. (2014), which is the attitude toward mathematics questionnaire with the following indicators: perception of mathematical incompetence, enjoyment of mathematics, perception of utility, and mathematical self-concept, and has a computed Cronbach’s alpha of 0.972. </w:t>
      </w:r>
      <w:r w:rsidR="004F5130" w:rsidRPr="004F5130">
        <w:rPr>
          <w:rFonts w:ascii="Arial" w:hAnsi="Arial" w:cs="Arial"/>
          <w:sz w:val="22"/>
          <w:szCs w:val="22"/>
        </w:rPr>
        <w:t>The instruments exceed the requisite threshold value of 0.70, so affirming their reliability and validity in the study.</w:t>
      </w:r>
    </w:p>
    <w:p w14:paraId="38921C57" w14:textId="77777777" w:rsidR="004F5130" w:rsidRDefault="004F5130" w:rsidP="00693D99">
      <w:pPr>
        <w:pStyle w:val="Body"/>
        <w:spacing w:after="0"/>
        <w:rPr>
          <w:rFonts w:ascii="Arial" w:hAnsi="Arial" w:cs="Arial"/>
          <w:sz w:val="22"/>
          <w:szCs w:val="22"/>
        </w:rPr>
      </w:pPr>
    </w:p>
    <w:p w14:paraId="59AB26BB" w14:textId="05994996" w:rsidR="00693D99" w:rsidRDefault="00A93FE5" w:rsidP="00693D99">
      <w:pPr>
        <w:pStyle w:val="Body"/>
        <w:spacing w:after="0"/>
        <w:rPr>
          <w:rFonts w:ascii="Arial" w:hAnsi="Arial" w:cs="Arial"/>
          <w:sz w:val="22"/>
          <w:szCs w:val="22"/>
        </w:rPr>
      </w:pPr>
      <w:r w:rsidRPr="00A93FE5">
        <w:rPr>
          <w:rFonts w:ascii="Arial" w:hAnsi="Arial" w:cs="Arial"/>
          <w:sz w:val="22"/>
          <w:szCs w:val="22"/>
        </w:rPr>
        <w:t xml:space="preserve">In addition, the third questionnaire was derived from the research conducted by </w:t>
      </w:r>
      <w:proofErr w:type="spellStart"/>
      <w:r w:rsidRPr="00A93FE5">
        <w:rPr>
          <w:rFonts w:ascii="Arial" w:hAnsi="Arial" w:cs="Arial"/>
          <w:sz w:val="22"/>
          <w:szCs w:val="22"/>
        </w:rPr>
        <w:t>Maamin</w:t>
      </w:r>
      <w:proofErr w:type="spellEnd"/>
      <w:r w:rsidRPr="00A93FE5">
        <w:rPr>
          <w:rFonts w:ascii="Arial" w:hAnsi="Arial" w:cs="Arial"/>
          <w:sz w:val="22"/>
          <w:szCs w:val="22"/>
        </w:rPr>
        <w:t xml:space="preserve"> et al. (2021) and assesses students' participation in mathematics.  It has four indicators: cognitive engagement, behavioral engagement, affective engagement, and a calculated Cronbach's alpha of 0.867.  The survey employs a 5-point Likert scale ranging from strongly disagree (1) to strongly agree (5), with neutral (3) and agree (4) in between.  The research employed the subsequent scale to assess the magnitude of each variable.  A range of 4.20 to 5.00 signifies an exceptionally high level.  A high descriptive level ranges from 3.40 to 4.19.  A moderate level is defined as falling between 2.60 and 3.39.  The interval of 1.80 to 2.59 signifies a poor descriptive level.  The descriptive level is categorized as extremely low, ranging from 1.00 to 1.79.</w:t>
      </w:r>
    </w:p>
    <w:p w14:paraId="1F87F959" w14:textId="77777777" w:rsidR="00A93FE5" w:rsidRDefault="00A93FE5" w:rsidP="00693D99">
      <w:pPr>
        <w:pStyle w:val="Body"/>
        <w:spacing w:after="0"/>
        <w:rPr>
          <w:rFonts w:ascii="Arial" w:hAnsi="Arial" w:cs="Arial"/>
        </w:rPr>
      </w:pPr>
    </w:p>
    <w:p w14:paraId="3EAA82CC" w14:textId="387392F8" w:rsidR="00BE4FEB" w:rsidRPr="00E93958" w:rsidRDefault="006C16A7" w:rsidP="00441B6F">
      <w:pPr>
        <w:pStyle w:val="Body"/>
        <w:spacing w:after="0"/>
        <w:rPr>
          <w:rFonts w:ascii="Arial" w:hAnsi="Arial" w:cs="Arial"/>
          <w:b/>
          <w:bCs/>
        </w:rPr>
      </w:pPr>
      <w:r>
        <w:rPr>
          <w:rFonts w:ascii="Arial" w:hAnsi="Arial" w:cs="Arial"/>
          <w:b/>
          <w:bCs/>
        </w:rPr>
        <w:t xml:space="preserve">2.3 </w:t>
      </w:r>
      <w:r w:rsidR="00E93958" w:rsidRPr="00E93958">
        <w:rPr>
          <w:rFonts w:ascii="Arial" w:hAnsi="Arial" w:cs="Arial"/>
          <w:b/>
          <w:bCs/>
        </w:rPr>
        <w:t>Design and Procedure</w:t>
      </w:r>
    </w:p>
    <w:p w14:paraId="245819E3" w14:textId="77777777" w:rsidR="00BE4FEB" w:rsidRDefault="00BE4FEB" w:rsidP="00441B6F">
      <w:pPr>
        <w:pStyle w:val="Body"/>
        <w:spacing w:after="0"/>
        <w:rPr>
          <w:rFonts w:ascii="Arial" w:hAnsi="Arial" w:cs="Arial"/>
        </w:rPr>
      </w:pPr>
    </w:p>
    <w:p w14:paraId="6A06B5DA" w14:textId="2206E49D" w:rsidR="00484663" w:rsidRDefault="00852720" w:rsidP="00766AEB">
      <w:pPr>
        <w:jc w:val="both"/>
        <w:rPr>
          <w:rFonts w:ascii="Arial" w:hAnsi="Arial" w:cs="Arial"/>
          <w:sz w:val="22"/>
          <w:szCs w:val="22"/>
        </w:rPr>
      </w:pPr>
      <w:r w:rsidRPr="00852720">
        <w:rPr>
          <w:rFonts w:ascii="Arial" w:hAnsi="Arial" w:cs="Arial"/>
          <w:sz w:val="22"/>
          <w:szCs w:val="22"/>
        </w:rPr>
        <w:t xml:space="preserve">This study employed a quantitative, non-experimental correlational strategy, utilizing correlational statistics to delineate and evaluate the extent of link between two or more variables or score sets (Creswell &amp; Creswell, 2017).  The researchers employed a quantitative, non-experimental, correlational design to evaluate the degree of relationship among various factors or score sets.  A variety of statistical methods </w:t>
      </w:r>
      <w:r w:rsidR="00A90296" w:rsidRPr="00852720">
        <w:rPr>
          <w:rFonts w:ascii="Arial" w:hAnsi="Arial" w:cs="Arial"/>
          <w:sz w:val="22"/>
          <w:szCs w:val="22"/>
        </w:rPr>
        <w:t>have</w:t>
      </w:r>
      <w:r w:rsidRPr="00852720">
        <w:rPr>
          <w:rFonts w:ascii="Arial" w:hAnsi="Arial" w:cs="Arial"/>
          <w:sz w:val="22"/>
          <w:szCs w:val="22"/>
        </w:rPr>
        <w:t xml:space="preserve"> been employed to guarantee precise interpretation and analysis of the data, including standard deviation, mean, Pearson Product-Moment Correlation, and multiple regression.</w:t>
      </w:r>
    </w:p>
    <w:p w14:paraId="6FA2001B" w14:textId="38697E90" w:rsidR="00852720" w:rsidRDefault="00852720" w:rsidP="00766AEB">
      <w:pPr>
        <w:jc w:val="both"/>
        <w:rPr>
          <w:rFonts w:ascii="Arial" w:hAnsi="Arial" w:cs="Arial"/>
          <w:sz w:val="22"/>
          <w:szCs w:val="22"/>
        </w:rPr>
      </w:pPr>
    </w:p>
    <w:p w14:paraId="0DA1AC93" w14:textId="02CA1D75" w:rsidR="00484663" w:rsidRPr="00484663" w:rsidRDefault="00F7373D" w:rsidP="00484663">
      <w:pPr>
        <w:jc w:val="both"/>
        <w:rPr>
          <w:rFonts w:ascii="Arial" w:hAnsi="Arial" w:cs="Arial"/>
          <w:sz w:val="22"/>
          <w:szCs w:val="22"/>
        </w:rPr>
      </w:pPr>
      <w:r>
        <w:rPr>
          <w:rFonts w:ascii="Arial" w:hAnsi="Arial" w:cs="Arial"/>
          <w:sz w:val="22"/>
          <w:szCs w:val="22"/>
        </w:rPr>
        <w:t>A</w:t>
      </w:r>
      <w:r w:rsidR="00484663" w:rsidRPr="00484663">
        <w:rPr>
          <w:rFonts w:ascii="Arial" w:hAnsi="Arial" w:cs="Arial"/>
          <w:sz w:val="22"/>
          <w:szCs w:val="22"/>
        </w:rPr>
        <w:t xml:space="preserve">ssumption testing was conducted to validate the accuracy of the regression model. Linearity was confirmed by scatterplots, and the residuals demonstrated a tendency towards normal distribution as assessed visually via histograms and Q-Q plots. Homoscedasticity was evident in the residual plots, signifying uniform variation across projected values. Variance Inflation Factor (VIF) scores ranged from 3.29 to 11.70, with Attitude towards Mathematics demonstrating a VIF of 10.40, signifying moderate </w:t>
      </w:r>
      <w:r w:rsidR="00484663" w:rsidRPr="00484663">
        <w:rPr>
          <w:rFonts w:ascii="Arial" w:hAnsi="Arial" w:cs="Arial"/>
          <w:sz w:val="22"/>
          <w:szCs w:val="22"/>
        </w:rPr>
        <w:lastRenderedPageBreak/>
        <w:t>multicollinearity. The Durbin-Watson statistics were 1.63, indicating the independence of residuals and the lack of significant autocorrelation. The findings confirm the appropriateness of the regression model utilized in the research.</w:t>
      </w:r>
    </w:p>
    <w:p w14:paraId="0E66469E" w14:textId="77777777" w:rsidR="00484663" w:rsidRPr="00484663" w:rsidRDefault="00484663" w:rsidP="00484663">
      <w:pPr>
        <w:jc w:val="both"/>
        <w:rPr>
          <w:rFonts w:ascii="Arial" w:hAnsi="Arial" w:cs="Arial"/>
          <w:sz w:val="22"/>
          <w:szCs w:val="22"/>
        </w:rPr>
      </w:pPr>
    </w:p>
    <w:p w14:paraId="5C94009D" w14:textId="2847BDA9" w:rsidR="00484663" w:rsidRDefault="004C573A" w:rsidP="00766AEB">
      <w:pPr>
        <w:jc w:val="both"/>
        <w:rPr>
          <w:rFonts w:ascii="Arial" w:hAnsi="Arial" w:cs="Arial"/>
          <w:sz w:val="22"/>
          <w:szCs w:val="22"/>
        </w:rPr>
      </w:pPr>
      <w:r w:rsidRPr="004C573A">
        <w:rPr>
          <w:rFonts w:ascii="Arial" w:hAnsi="Arial" w:cs="Arial"/>
          <w:sz w:val="22"/>
          <w:szCs w:val="22"/>
        </w:rPr>
        <w:t>Additionally, Harman's single-factor test was conducted to assess common method bias. The first component accounted for less than 50% of the total variability, illustrating that common method bias is not a substantial concern.</w:t>
      </w:r>
    </w:p>
    <w:p w14:paraId="37BEA42D" w14:textId="77777777" w:rsidR="004C573A" w:rsidRDefault="004C573A" w:rsidP="00766AEB">
      <w:pPr>
        <w:jc w:val="both"/>
        <w:rPr>
          <w:rFonts w:ascii="Arial" w:hAnsi="Arial" w:cs="Arial"/>
          <w:sz w:val="22"/>
          <w:szCs w:val="22"/>
        </w:rPr>
      </w:pPr>
    </w:p>
    <w:p w14:paraId="66A35C69" w14:textId="7DE1984D" w:rsidR="00153268"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bookmarkStart w:id="0" w:name="_GoBack"/>
      <w:r>
        <w:rPr>
          <w:rFonts w:ascii="Arial" w:hAnsi="Arial" w:cs="Arial"/>
        </w:rPr>
        <w:t>result</w:t>
      </w:r>
      <w:bookmarkEnd w:id="0"/>
      <w:r>
        <w:rPr>
          <w:rFonts w:ascii="Arial" w:hAnsi="Arial" w:cs="Arial"/>
        </w:rPr>
        <w:t>s and discussion</w:t>
      </w:r>
    </w:p>
    <w:tbl>
      <w:tblPr>
        <w:tblpPr w:leftFromText="180" w:rightFromText="180" w:vertAnchor="text" w:horzAnchor="margin" w:tblpY="170"/>
        <w:tblW w:w="8336" w:type="dxa"/>
        <w:tblLook w:val="04A0" w:firstRow="1" w:lastRow="0" w:firstColumn="1" w:lastColumn="0" w:noHBand="0" w:noVBand="1"/>
      </w:tblPr>
      <w:tblGrid>
        <w:gridCol w:w="3296"/>
        <w:gridCol w:w="1311"/>
        <w:gridCol w:w="1884"/>
        <w:gridCol w:w="1845"/>
      </w:tblGrid>
      <w:tr w:rsidR="005C7114" w:rsidRPr="00137BFE" w14:paraId="3B56823B" w14:textId="77777777" w:rsidTr="00856701">
        <w:trPr>
          <w:trHeight w:val="235"/>
        </w:trPr>
        <w:tc>
          <w:tcPr>
            <w:tcW w:w="8336" w:type="dxa"/>
            <w:gridSpan w:val="4"/>
            <w:tcBorders>
              <w:top w:val="nil"/>
              <w:left w:val="nil"/>
              <w:bottom w:val="nil"/>
              <w:right w:val="nil"/>
            </w:tcBorders>
            <w:shd w:val="clear" w:color="000000" w:fill="FFFFFF"/>
            <w:noWrap/>
            <w:vAlign w:val="center"/>
            <w:hideMark/>
          </w:tcPr>
          <w:p w14:paraId="50AAEDED" w14:textId="02329F9D" w:rsidR="005C7114" w:rsidRPr="00137BFE" w:rsidRDefault="005C7114" w:rsidP="005C7114">
            <w:pPr>
              <w:rPr>
                <w:rFonts w:ascii="Arial" w:hAnsi="Arial" w:cs="Arial"/>
                <w:b/>
                <w:bCs/>
                <w:sz w:val="22"/>
                <w:szCs w:val="22"/>
                <w:lang w:val="en-PH" w:eastAsia="en-PH"/>
              </w:rPr>
            </w:pPr>
            <w:bookmarkStart w:id="1" w:name="_Hlk172024858"/>
            <w:r w:rsidRPr="00137BFE">
              <w:rPr>
                <w:rFonts w:ascii="Arial" w:hAnsi="Arial" w:cs="Arial"/>
                <w:b/>
                <w:bCs/>
                <w:sz w:val="22"/>
                <w:szCs w:val="22"/>
                <w:lang w:val="en-PH" w:eastAsia="en-PH"/>
              </w:rPr>
              <w:t xml:space="preserve">Table 1. Level of Mathematical Satisfaction </w:t>
            </w:r>
          </w:p>
          <w:p w14:paraId="48767391" w14:textId="77777777" w:rsidR="005C7114" w:rsidRPr="00137BFE" w:rsidRDefault="005C7114" w:rsidP="005C7114">
            <w:pPr>
              <w:rPr>
                <w:rFonts w:ascii="Arial" w:hAnsi="Arial" w:cs="Arial"/>
                <w:b/>
                <w:bCs/>
                <w:sz w:val="22"/>
                <w:szCs w:val="22"/>
                <w:lang w:val="en-PH" w:eastAsia="en-PH"/>
              </w:rPr>
            </w:pPr>
          </w:p>
          <w:p w14:paraId="033C4CAF" w14:textId="77777777" w:rsidR="005C7114" w:rsidRPr="00137BFE" w:rsidRDefault="005C7114" w:rsidP="005C7114">
            <w:pPr>
              <w:rPr>
                <w:rFonts w:ascii="Arial" w:hAnsi="Arial" w:cs="Arial"/>
                <w:i/>
                <w:iCs/>
                <w:sz w:val="22"/>
                <w:szCs w:val="22"/>
                <w:lang w:val="en-PH" w:eastAsia="en-PH"/>
              </w:rPr>
            </w:pPr>
          </w:p>
        </w:tc>
      </w:tr>
      <w:tr w:rsidR="005C7114" w:rsidRPr="00137BFE" w14:paraId="06D803F5" w14:textId="77777777" w:rsidTr="00856701">
        <w:trPr>
          <w:trHeight w:val="479"/>
        </w:trPr>
        <w:tc>
          <w:tcPr>
            <w:tcW w:w="3296" w:type="dxa"/>
            <w:tcBorders>
              <w:top w:val="single" w:sz="4" w:space="0" w:color="auto"/>
              <w:left w:val="nil"/>
              <w:bottom w:val="single" w:sz="4" w:space="0" w:color="auto"/>
              <w:right w:val="nil"/>
            </w:tcBorders>
            <w:shd w:val="clear" w:color="000000" w:fill="FFFFFF"/>
            <w:noWrap/>
            <w:vAlign w:val="center"/>
            <w:hideMark/>
          </w:tcPr>
          <w:p w14:paraId="00CEF52B" w14:textId="77777777" w:rsidR="005C7114" w:rsidRPr="00137BFE" w:rsidRDefault="005C7114" w:rsidP="005C7114">
            <w:pPr>
              <w:rPr>
                <w:rFonts w:ascii="Arial" w:hAnsi="Arial" w:cs="Arial"/>
                <w:b/>
                <w:bCs/>
                <w:sz w:val="22"/>
                <w:szCs w:val="22"/>
                <w:lang w:val="en-PH" w:eastAsia="en-PH"/>
              </w:rPr>
            </w:pPr>
            <w:r w:rsidRPr="00137BFE">
              <w:rPr>
                <w:rFonts w:ascii="Arial" w:hAnsi="Arial" w:cs="Arial"/>
                <w:b/>
                <w:bCs/>
                <w:sz w:val="22"/>
                <w:szCs w:val="22"/>
                <w:lang w:val="en-PH" w:eastAsia="en-PH"/>
              </w:rPr>
              <w:t>Indicators</w:t>
            </w:r>
          </w:p>
        </w:tc>
        <w:tc>
          <w:tcPr>
            <w:tcW w:w="1311" w:type="dxa"/>
            <w:tcBorders>
              <w:top w:val="single" w:sz="4" w:space="0" w:color="auto"/>
              <w:left w:val="nil"/>
              <w:bottom w:val="single" w:sz="4" w:space="0" w:color="auto"/>
              <w:right w:val="nil"/>
            </w:tcBorders>
            <w:shd w:val="clear" w:color="000000" w:fill="FFFFFF"/>
            <w:noWrap/>
            <w:vAlign w:val="center"/>
            <w:hideMark/>
          </w:tcPr>
          <w:p w14:paraId="1EA03409" w14:textId="77777777"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Standard Deviation</w:t>
            </w:r>
          </w:p>
        </w:tc>
        <w:tc>
          <w:tcPr>
            <w:tcW w:w="1884" w:type="dxa"/>
            <w:tcBorders>
              <w:top w:val="single" w:sz="4" w:space="0" w:color="auto"/>
              <w:left w:val="nil"/>
              <w:bottom w:val="single" w:sz="4" w:space="0" w:color="auto"/>
              <w:right w:val="nil"/>
            </w:tcBorders>
            <w:shd w:val="clear" w:color="000000" w:fill="FFFFFF"/>
            <w:noWrap/>
            <w:vAlign w:val="center"/>
            <w:hideMark/>
          </w:tcPr>
          <w:p w14:paraId="02F906B4" w14:textId="77777777"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Mean</w:t>
            </w:r>
          </w:p>
        </w:tc>
        <w:tc>
          <w:tcPr>
            <w:tcW w:w="1845" w:type="dxa"/>
            <w:tcBorders>
              <w:top w:val="single" w:sz="4" w:space="0" w:color="auto"/>
              <w:left w:val="nil"/>
              <w:bottom w:val="single" w:sz="4" w:space="0" w:color="auto"/>
              <w:right w:val="nil"/>
            </w:tcBorders>
            <w:shd w:val="clear" w:color="000000" w:fill="FFFFFF"/>
            <w:noWrap/>
            <w:vAlign w:val="center"/>
            <w:hideMark/>
          </w:tcPr>
          <w:p w14:paraId="2682E6AB" w14:textId="77777777"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Descriptive Equivalent</w:t>
            </w:r>
          </w:p>
        </w:tc>
      </w:tr>
      <w:tr w:rsidR="005C7114" w:rsidRPr="00137BFE" w14:paraId="09E9D69A" w14:textId="77777777" w:rsidTr="00856701">
        <w:trPr>
          <w:trHeight w:val="304"/>
        </w:trPr>
        <w:tc>
          <w:tcPr>
            <w:tcW w:w="3296" w:type="dxa"/>
            <w:tcBorders>
              <w:top w:val="nil"/>
              <w:left w:val="nil"/>
              <w:bottom w:val="nil"/>
              <w:right w:val="nil"/>
            </w:tcBorders>
            <w:shd w:val="clear" w:color="000000" w:fill="FFFFFF"/>
            <w:noWrap/>
            <w:vAlign w:val="center"/>
            <w:hideMark/>
          </w:tcPr>
          <w:p w14:paraId="281C87F6" w14:textId="77777777" w:rsidR="005C7114" w:rsidRPr="00137BFE" w:rsidRDefault="005C7114" w:rsidP="005C7114">
            <w:pPr>
              <w:rPr>
                <w:rFonts w:ascii="Arial" w:hAnsi="Arial" w:cs="Arial"/>
                <w:sz w:val="22"/>
                <w:szCs w:val="22"/>
                <w:lang w:val="en-PH" w:eastAsia="en-PH"/>
              </w:rPr>
            </w:pPr>
            <w:bookmarkStart w:id="2" w:name="_Hlk212538907"/>
            <w:r w:rsidRPr="00137BFE">
              <w:rPr>
                <w:rFonts w:ascii="Arial" w:hAnsi="Arial" w:cs="Arial"/>
                <w:sz w:val="22"/>
                <w:szCs w:val="22"/>
                <w:lang w:val="en-PH" w:eastAsia="en-PH"/>
              </w:rPr>
              <w:t>Skill Satisfaction</w:t>
            </w:r>
          </w:p>
        </w:tc>
        <w:tc>
          <w:tcPr>
            <w:tcW w:w="1311" w:type="dxa"/>
            <w:tcBorders>
              <w:top w:val="nil"/>
              <w:left w:val="nil"/>
              <w:bottom w:val="nil"/>
              <w:right w:val="nil"/>
            </w:tcBorders>
            <w:shd w:val="clear" w:color="000000" w:fill="FFFFFF"/>
            <w:noWrap/>
            <w:vAlign w:val="center"/>
          </w:tcPr>
          <w:p w14:paraId="6998C22B"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1.01</w:t>
            </w:r>
          </w:p>
        </w:tc>
        <w:tc>
          <w:tcPr>
            <w:tcW w:w="1884" w:type="dxa"/>
            <w:tcBorders>
              <w:top w:val="nil"/>
              <w:left w:val="nil"/>
              <w:bottom w:val="nil"/>
              <w:right w:val="nil"/>
            </w:tcBorders>
            <w:shd w:val="clear" w:color="000000" w:fill="FFFFFF"/>
            <w:noWrap/>
            <w:vAlign w:val="center"/>
            <w:hideMark/>
          </w:tcPr>
          <w:p w14:paraId="245DCCFE"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3.73</w:t>
            </w:r>
          </w:p>
        </w:tc>
        <w:tc>
          <w:tcPr>
            <w:tcW w:w="1845" w:type="dxa"/>
            <w:tcBorders>
              <w:top w:val="nil"/>
              <w:left w:val="nil"/>
              <w:bottom w:val="nil"/>
              <w:right w:val="nil"/>
            </w:tcBorders>
            <w:shd w:val="clear" w:color="000000" w:fill="FFFFFF"/>
            <w:noWrap/>
            <w:vAlign w:val="center"/>
            <w:hideMark/>
          </w:tcPr>
          <w:p w14:paraId="3D8DF481"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High</w:t>
            </w:r>
          </w:p>
        </w:tc>
      </w:tr>
      <w:tr w:rsidR="005C7114" w:rsidRPr="00137BFE" w14:paraId="4EF436AC" w14:textId="77777777" w:rsidTr="00856701">
        <w:trPr>
          <w:trHeight w:val="316"/>
        </w:trPr>
        <w:tc>
          <w:tcPr>
            <w:tcW w:w="3296" w:type="dxa"/>
            <w:tcBorders>
              <w:top w:val="nil"/>
              <w:left w:val="nil"/>
              <w:bottom w:val="nil"/>
              <w:right w:val="nil"/>
            </w:tcBorders>
            <w:shd w:val="clear" w:color="000000" w:fill="FFFFFF"/>
            <w:noWrap/>
            <w:vAlign w:val="center"/>
            <w:hideMark/>
          </w:tcPr>
          <w:p w14:paraId="6ADA8E56" w14:textId="77777777" w:rsidR="005C7114" w:rsidRPr="00137BFE" w:rsidRDefault="005C7114" w:rsidP="005C7114">
            <w:pPr>
              <w:rPr>
                <w:rFonts w:ascii="Arial" w:hAnsi="Arial" w:cs="Arial"/>
                <w:sz w:val="22"/>
                <w:szCs w:val="22"/>
                <w:lang w:val="en-PH" w:eastAsia="en-PH"/>
              </w:rPr>
            </w:pPr>
            <w:r w:rsidRPr="00137BFE">
              <w:rPr>
                <w:rFonts w:ascii="Arial" w:hAnsi="Arial" w:cs="Arial"/>
                <w:sz w:val="22"/>
                <w:szCs w:val="22"/>
                <w:lang w:val="en-PH" w:eastAsia="en-PH"/>
              </w:rPr>
              <w:t>Real Life</w:t>
            </w:r>
          </w:p>
        </w:tc>
        <w:tc>
          <w:tcPr>
            <w:tcW w:w="1311" w:type="dxa"/>
            <w:tcBorders>
              <w:top w:val="nil"/>
              <w:left w:val="nil"/>
              <w:bottom w:val="nil"/>
              <w:right w:val="nil"/>
            </w:tcBorders>
            <w:shd w:val="clear" w:color="000000" w:fill="FFFFFF"/>
            <w:noWrap/>
            <w:vAlign w:val="center"/>
          </w:tcPr>
          <w:p w14:paraId="5D936284"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1.10</w:t>
            </w:r>
          </w:p>
        </w:tc>
        <w:tc>
          <w:tcPr>
            <w:tcW w:w="1884" w:type="dxa"/>
            <w:tcBorders>
              <w:top w:val="nil"/>
              <w:left w:val="nil"/>
              <w:bottom w:val="nil"/>
              <w:right w:val="nil"/>
            </w:tcBorders>
            <w:shd w:val="clear" w:color="000000" w:fill="FFFFFF"/>
            <w:noWrap/>
            <w:vAlign w:val="center"/>
            <w:hideMark/>
          </w:tcPr>
          <w:p w14:paraId="7A3743BB"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3.70</w:t>
            </w:r>
          </w:p>
        </w:tc>
        <w:tc>
          <w:tcPr>
            <w:tcW w:w="1845" w:type="dxa"/>
            <w:tcBorders>
              <w:top w:val="nil"/>
              <w:left w:val="nil"/>
              <w:bottom w:val="nil"/>
              <w:right w:val="nil"/>
            </w:tcBorders>
            <w:shd w:val="clear" w:color="000000" w:fill="FFFFFF"/>
            <w:noWrap/>
            <w:vAlign w:val="center"/>
            <w:hideMark/>
          </w:tcPr>
          <w:p w14:paraId="352E5EB6"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High</w:t>
            </w:r>
          </w:p>
        </w:tc>
      </w:tr>
      <w:tr w:rsidR="005C7114" w:rsidRPr="00137BFE" w14:paraId="68E953E8" w14:textId="77777777" w:rsidTr="00856701">
        <w:trPr>
          <w:trHeight w:val="321"/>
        </w:trPr>
        <w:tc>
          <w:tcPr>
            <w:tcW w:w="3296" w:type="dxa"/>
            <w:tcBorders>
              <w:top w:val="nil"/>
              <w:left w:val="nil"/>
              <w:bottom w:val="nil"/>
              <w:right w:val="nil"/>
            </w:tcBorders>
            <w:shd w:val="clear" w:color="000000" w:fill="FFFFFF"/>
            <w:noWrap/>
            <w:vAlign w:val="center"/>
            <w:hideMark/>
          </w:tcPr>
          <w:p w14:paraId="09E23410" w14:textId="77777777" w:rsidR="005C7114" w:rsidRPr="00137BFE" w:rsidRDefault="005C7114" w:rsidP="005C7114">
            <w:pPr>
              <w:rPr>
                <w:rFonts w:ascii="Arial" w:hAnsi="Arial" w:cs="Arial"/>
                <w:sz w:val="22"/>
                <w:szCs w:val="22"/>
                <w:lang w:val="en-PH" w:eastAsia="en-PH"/>
              </w:rPr>
            </w:pPr>
            <w:r w:rsidRPr="00137BFE">
              <w:rPr>
                <w:rFonts w:ascii="Arial" w:hAnsi="Arial" w:cs="Arial"/>
                <w:sz w:val="22"/>
                <w:szCs w:val="22"/>
                <w:lang w:val="en-PH" w:eastAsia="en-PH"/>
              </w:rPr>
              <w:t>Academic Satisfaction</w:t>
            </w:r>
          </w:p>
        </w:tc>
        <w:tc>
          <w:tcPr>
            <w:tcW w:w="1311" w:type="dxa"/>
            <w:tcBorders>
              <w:top w:val="nil"/>
              <w:left w:val="nil"/>
              <w:bottom w:val="nil"/>
              <w:right w:val="nil"/>
            </w:tcBorders>
            <w:shd w:val="clear" w:color="000000" w:fill="FFFFFF"/>
            <w:noWrap/>
            <w:vAlign w:val="center"/>
          </w:tcPr>
          <w:p w14:paraId="45F3F98B"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1.07</w:t>
            </w:r>
          </w:p>
        </w:tc>
        <w:tc>
          <w:tcPr>
            <w:tcW w:w="1884" w:type="dxa"/>
            <w:tcBorders>
              <w:top w:val="nil"/>
              <w:left w:val="nil"/>
              <w:bottom w:val="nil"/>
              <w:right w:val="nil"/>
            </w:tcBorders>
            <w:shd w:val="clear" w:color="000000" w:fill="FFFFFF"/>
            <w:noWrap/>
            <w:vAlign w:val="center"/>
          </w:tcPr>
          <w:p w14:paraId="3BB91806"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3.76</w:t>
            </w:r>
          </w:p>
        </w:tc>
        <w:tc>
          <w:tcPr>
            <w:tcW w:w="1845" w:type="dxa"/>
            <w:tcBorders>
              <w:top w:val="nil"/>
              <w:left w:val="nil"/>
              <w:bottom w:val="nil"/>
              <w:right w:val="nil"/>
            </w:tcBorders>
            <w:shd w:val="clear" w:color="000000" w:fill="FFFFFF"/>
            <w:noWrap/>
            <w:vAlign w:val="center"/>
            <w:hideMark/>
          </w:tcPr>
          <w:p w14:paraId="46DB5F71"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High</w:t>
            </w:r>
          </w:p>
        </w:tc>
      </w:tr>
      <w:tr w:rsidR="005C7114" w:rsidRPr="00137BFE" w14:paraId="0CC89E13" w14:textId="77777777" w:rsidTr="00856701">
        <w:trPr>
          <w:trHeight w:val="315"/>
        </w:trPr>
        <w:tc>
          <w:tcPr>
            <w:tcW w:w="3296" w:type="dxa"/>
            <w:tcBorders>
              <w:top w:val="nil"/>
              <w:left w:val="nil"/>
              <w:right w:val="nil"/>
            </w:tcBorders>
            <w:shd w:val="clear" w:color="000000" w:fill="FFFFFF"/>
            <w:noWrap/>
            <w:vAlign w:val="center"/>
            <w:hideMark/>
          </w:tcPr>
          <w:p w14:paraId="5A44CDA9" w14:textId="77777777" w:rsidR="005C7114" w:rsidRPr="00137BFE" w:rsidRDefault="005C7114" w:rsidP="005C7114">
            <w:pPr>
              <w:rPr>
                <w:rFonts w:ascii="Arial" w:hAnsi="Arial" w:cs="Arial"/>
                <w:sz w:val="22"/>
                <w:szCs w:val="22"/>
                <w:lang w:val="en-PH" w:eastAsia="en-PH"/>
              </w:rPr>
            </w:pPr>
            <w:r w:rsidRPr="00137BFE">
              <w:rPr>
                <w:rFonts w:ascii="Arial" w:hAnsi="Arial" w:cs="Arial"/>
                <w:sz w:val="22"/>
                <w:szCs w:val="22"/>
                <w:lang w:val="en-PH" w:eastAsia="en-PH"/>
              </w:rPr>
              <w:t>Praise Satisfaction</w:t>
            </w:r>
          </w:p>
        </w:tc>
        <w:tc>
          <w:tcPr>
            <w:tcW w:w="1311" w:type="dxa"/>
            <w:tcBorders>
              <w:top w:val="nil"/>
              <w:left w:val="nil"/>
              <w:right w:val="nil"/>
            </w:tcBorders>
            <w:shd w:val="clear" w:color="000000" w:fill="FFFFFF"/>
            <w:noWrap/>
            <w:vAlign w:val="center"/>
          </w:tcPr>
          <w:p w14:paraId="1C92B931"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1.12</w:t>
            </w:r>
          </w:p>
        </w:tc>
        <w:tc>
          <w:tcPr>
            <w:tcW w:w="1884" w:type="dxa"/>
            <w:tcBorders>
              <w:top w:val="nil"/>
              <w:left w:val="nil"/>
              <w:right w:val="nil"/>
            </w:tcBorders>
            <w:shd w:val="clear" w:color="000000" w:fill="FFFFFF"/>
            <w:noWrap/>
            <w:vAlign w:val="center"/>
          </w:tcPr>
          <w:p w14:paraId="43D75CC0"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3.74</w:t>
            </w:r>
          </w:p>
        </w:tc>
        <w:tc>
          <w:tcPr>
            <w:tcW w:w="1845" w:type="dxa"/>
            <w:tcBorders>
              <w:top w:val="nil"/>
              <w:left w:val="nil"/>
              <w:right w:val="nil"/>
            </w:tcBorders>
            <w:shd w:val="clear" w:color="000000" w:fill="FFFFFF"/>
            <w:noWrap/>
            <w:vAlign w:val="center"/>
          </w:tcPr>
          <w:p w14:paraId="380E0452"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High</w:t>
            </w:r>
          </w:p>
        </w:tc>
      </w:tr>
      <w:tr w:rsidR="005C7114" w:rsidRPr="00137BFE" w14:paraId="45330B16" w14:textId="77777777" w:rsidTr="00856701">
        <w:trPr>
          <w:trHeight w:val="315"/>
        </w:trPr>
        <w:tc>
          <w:tcPr>
            <w:tcW w:w="3296" w:type="dxa"/>
            <w:tcBorders>
              <w:top w:val="nil"/>
              <w:left w:val="nil"/>
              <w:right w:val="nil"/>
            </w:tcBorders>
            <w:shd w:val="clear" w:color="000000" w:fill="FFFFFF"/>
            <w:noWrap/>
            <w:vAlign w:val="center"/>
          </w:tcPr>
          <w:p w14:paraId="0765020B" w14:textId="77777777" w:rsidR="005C7114" w:rsidRPr="00137BFE" w:rsidRDefault="005C7114" w:rsidP="005C7114">
            <w:pPr>
              <w:rPr>
                <w:rFonts w:ascii="Arial" w:hAnsi="Arial" w:cs="Arial"/>
                <w:sz w:val="22"/>
                <w:szCs w:val="22"/>
                <w:lang w:val="en-PH" w:eastAsia="en-PH"/>
              </w:rPr>
            </w:pPr>
            <w:r w:rsidRPr="00137BFE">
              <w:rPr>
                <w:rFonts w:ascii="Arial" w:hAnsi="Arial" w:cs="Arial"/>
                <w:sz w:val="22"/>
                <w:szCs w:val="22"/>
                <w:lang w:val="en-PH" w:eastAsia="en-PH"/>
              </w:rPr>
              <w:t>Task Accomplishment</w:t>
            </w:r>
          </w:p>
        </w:tc>
        <w:tc>
          <w:tcPr>
            <w:tcW w:w="1311" w:type="dxa"/>
            <w:tcBorders>
              <w:top w:val="nil"/>
              <w:left w:val="nil"/>
              <w:right w:val="nil"/>
            </w:tcBorders>
            <w:shd w:val="clear" w:color="000000" w:fill="FFFFFF"/>
            <w:noWrap/>
            <w:vAlign w:val="center"/>
          </w:tcPr>
          <w:p w14:paraId="490C09E1"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1.12</w:t>
            </w:r>
          </w:p>
        </w:tc>
        <w:tc>
          <w:tcPr>
            <w:tcW w:w="1884" w:type="dxa"/>
            <w:tcBorders>
              <w:top w:val="nil"/>
              <w:left w:val="nil"/>
              <w:right w:val="nil"/>
            </w:tcBorders>
            <w:shd w:val="clear" w:color="000000" w:fill="FFFFFF"/>
            <w:noWrap/>
            <w:vAlign w:val="center"/>
          </w:tcPr>
          <w:p w14:paraId="6DE3EB2E"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3.77</w:t>
            </w:r>
          </w:p>
        </w:tc>
        <w:tc>
          <w:tcPr>
            <w:tcW w:w="1845" w:type="dxa"/>
            <w:tcBorders>
              <w:top w:val="nil"/>
              <w:left w:val="nil"/>
              <w:right w:val="nil"/>
            </w:tcBorders>
            <w:shd w:val="clear" w:color="000000" w:fill="FFFFFF"/>
            <w:noWrap/>
            <w:vAlign w:val="center"/>
          </w:tcPr>
          <w:p w14:paraId="5BC239DF"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High</w:t>
            </w:r>
          </w:p>
        </w:tc>
      </w:tr>
      <w:bookmarkEnd w:id="2"/>
      <w:tr w:rsidR="005C7114" w:rsidRPr="00137BFE" w14:paraId="1515784F" w14:textId="77777777" w:rsidTr="00856701">
        <w:trPr>
          <w:trHeight w:val="411"/>
        </w:trPr>
        <w:tc>
          <w:tcPr>
            <w:tcW w:w="3296" w:type="dxa"/>
            <w:tcBorders>
              <w:left w:val="nil"/>
              <w:bottom w:val="single" w:sz="8" w:space="0" w:color="auto"/>
              <w:right w:val="nil"/>
            </w:tcBorders>
            <w:shd w:val="clear" w:color="000000" w:fill="FFFFFF"/>
            <w:noWrap/>
            <w:vAlign w:val="center"/>
            <w:hideMark/>
          </w:tcPr>
          <w:p w14:paraId="523D141F" w14:textId="77777777" w:rsidR="005C7114" w:rsidRPr="00137BFE" w:rsidRDefault="005C7114" w:rsidP="005C7114">
            <w:pPr>
              <w:rPr>
                <w:rFonts w:ascii="Arial" w:hAnsi="Arial" w:cs="Arial"/>
                <w:b/>
                <w:bCs/>
                <w:sz w:val="22"/>
                <w:szCs w:val="22"/>
                <w:lang w:val="en-PH" w:eastAsia="en-PH"/>
              </w:rPr>
            </w:pPr>
            <w:r w:rsidRPr="00137BFE">
              <w:rPr>
                <w:rFonts w:ascii="Arial" w:hAnsi="Arial" w:cs="Arial"/>
                <w:b/>
                <w:bCs/>
                <w:sz w:val="22"/>
                <w:szCs w:val="22"/>
                <w:lang w:val="en-PH" w:eastAsia="en-PH"/>
              </w:rPr>
              <w:t>Overall Result</w:t>
            </w:r>
          </w:p>
        </w:tc>
        <w:tc>
          <w:tcPr>
            <w:tcW w:w="1311" w:type="dxa"/>
            <w:tcBorders>
              <w:left w:val="nil"/>
              <w:bottom w:val="single" w:sz="8" w:space="0" w:color="auto"/>
              <w:right w:val="nil"/>
            </w:tcBorders>
            <w:shd w:val="clear" w:color="000000" w:fill="FFFFFF"/>
            <w:noWrap/>
            <w:vAlign w:val="center"/>
          </w:tcPr>
          <w:p w14:paraId="0C39CDE5" w14:textId="77777777"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1.10</w:t>
            </w:r>
          </w:p>
        </w:tc>
        <w:tc>
          <w:tcPr>
            <w:tcW w:w="1884" w:type="dxa"/>
            <w:tcBorders>
              <w:left w:val="nil"/>
              <w:bottom w:val="single" w:sz="8" w:space="0" w:color="auto"/>
              <w:right w:val="nil"/>
            </w:tcBorders>
            <w:shd w:val="clear" w:color="000000" w:fill="FFFFFF"/>
            <w:noWrap/>
            <w:vAlign w:val="center"/>
            <w:hideMark/>
          </w:tcPr>
          <w:p w14:paraId="209C7B7F" w14:textId="57BBAEBB"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3.</w:t>
            </w:r>
            <w:r w:rsidR="000B7E0A">
              <w:rPr>
                <w:rFonts w:ascii="Arial" w:hAnsi="Arial" w:cs="Arial"/>
                <w:b/>
                <w:bCs/>
                <w:sz w:val="22"/>
                <w:szCs w:val="22"/>
                <w:lang w:val="en-PH" w:eastAsia="en-PH"/>
              </w:rPr>
              <w:t>73</w:t>
            </w:r>
          </w:p>
        </w:tc>
        <w:tc>
          <w:tcPr>
            <w:tcW w:w="1845" w:type="dxa"/>
            <w:tcBorders>
              <w:left w:val="nil"/>
              <w:bottom w:val="single" w:sz="8" w:space="0" w:color="auto"/>
              <w:right w:val="nil"/>
            </w:tcBorders>
            <w:shd w:val="clear" w:color="000000" w:fill="FFFFFF"/>
            <w:noWrap/>
            <w:vAlign w:val="center"/>
            <w:hideMark/>
          </w:tcPr>
          <w:p w14:paraId="2E3A7E8B" w14:textId="77777777"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High</w:t>
            </w:r>
          </w:p>
        </w:tc>
      </w:tr>
      <w:bookmarkEnd w:id="1"/>
    </w:tbl>
    <w:p w14:paraId="20FCF6FA" w14:textId="77777777" w:rsidR="00742C2E" w:rsidRDefault="00742C2E" w:rsidP="00766AEB">
      <w:pPr>
        <w:jc w:val="both"/>
        <w:rPr>
          <w:rFonts w:ascii="Arial" w:hAnsi="Arial" w:cs="Arial"/>
          <w:sz w:val="22"/>
          <w:szCs w:val="22"/>
        </w:rPr>
      </w:pPr>
    </w:p>
    <w:p w14:paraId="4A1C3EF1" w14:textId="394AFABE" w:rsidR="00742C2E" w:rsidRPr="00742C2E" w:rsidRDefault="00DA5FB2" w:rsidP="00DA5FB2">
      <w:pPr>
        <w:jc w:val="both"/>
        <w:rPr>
          <w:rFonts w:ascii="Arial" w:hAnsi="Arial" w:cs="Arial"/>
        </w:rPr>
      </w:pPr>
      <w:r w:rsidRPr="00DA5FB2">
        <w:rPr>
          <w:rFonts w:ascii="Arial" w:hAnsi="Arial" w:cs="Arial"/>
          <w:sz w:val="22"/>
          <w:szCs w:val="22"/>
        </w:rPr>
        <w:t>Table 1 displays descriptive results on the level of mathematical satisfaction among students in Panabo City.  The descriptive analysis indicated a high level of mathematical satisfaction among students</w:t>
      </w:r>
      <w:r w:rsidR="00655F5A">
        <w:rPr>
          <w:rFonts w:ascii="Arial" w:hAnsi="Arial" w:cs="Arial"/>
          <w:sz w:val="22"/>
          <w:szCs w:val="22"/>
        </w:rPr>
        <w:t xml:space="preserve"> (M</w:t>
      </w:r>
      <w:r w:rsidRPr="00DA5FB2">
        <w:rPr>
          <w:rFonts w:ascii="Arial" w:hAnsi="Arial" w:cs="Arial"/>
          <w:sz w:val="22"/>
          <w:szCs w:val="22"/>
        </w:rPr>
        <w:t xml:space="preserve">ean </w:t>
      </w:r>
      <w:r w:rsidR="00655F5A">
        <w:rPr>
          <w:rFonts w:ascii="Arial" w:hAnsi="Arial" w:cs="Arial"/>
          <w:sz w:val="22"/>
          <w:szCs w:val="22"/>
        </w:rPr>
        <w:t>=</w:t>
      </w:r>
      <w:r w:rsidRPr="00DA5FB2">
        <w:rPr>
          <w:rFonts w:ascii="Arial" w:hAnsi="Arial" w:cs="Arial"/>
          <w:sz w:val="22"/>
          <w:szCs w:val="22"/>
        </w:rPr>
        <w:t xml:space="preserve"> 3.73</w:t>
      </w:r>
      <w:r w:rsidR="00655F5A">
        <w:rPr>
          <w:rFonts w:ascii="Arial" w:hAnsi="Arial" w:cs="Arial"/>
          <w:sz w:val="22"/>
          <w:szCs w:val="22"/>
        </w:rPr>
        <w:t>; SD =</w:t>
      </w:r>
      <w:r w:rsidRPr="00DA5FB2">
        <w:rPr>
          <w:rFonts w:ascii="Arial" w:hAnsi="Arial" w:cs="Arial"/>
          <w:sz w:val="22"/>
          <w:szCs w:val="22"/>
        </w:rPr>
        <w:t>1.10</w:t>
      </w:r>
      <w:r w:rsidR="00655F5A">
        <w:rPr>
          <w:rFonts w:ascii="Arial" w:hAnsi="Arial" w:cs="Arial"/>
          <w:sz w:val="22"/>
          <w:szCs w:val="22"/>
        </w:rPr>
        <w:t>)</w:t>
      </w:r>
      <w:r w:rsidRPr="00DA5FB2">
        <w:rPr>
          <w:rFonts w:ascii="Arial" w:hAnsi="Arial" w:cs="Arial"/>
          <w:sz w:val="22"/>
          <w:szCs w:val="22"/>
        </w:rPr>
        <w:t>.  The factors also reside within the elevated descriptive range, specifically skill satisfaction (Mean = 3.73; SD = 1.01), real life (Mean = 3.70; SD = 1.10), academic satisfaction (Mean of 3.76; SD = 1.07, praise satisfaction (Mean = 3.74; SD = 1.12), and task accomplishment (Mean = 3.77; SD = 1.12.  It suggests that senior high school students held a favorable view of mathematics, deriving satisfaction from multiple facets of the subject, such as their abilities, the applicability of mathematics to real-life contexts, their academic achievements, the acknowledgment they received, and their sense of fulfillment upon completing mathematical tasks.  The findings corresponded with earlier research by Boadu and Boateng (2024) and Feng et al. (2025), which indicated that high level of mathematical satisfaction enhances motivation, therefore it leads to a higher involvement in the mathematics classroom and perhaps improving mathematical performance.</w:t>
      </w:r>
    </w:p>
    <w:p w14:paraId="0EE39B96" w14:textId="77777777" w:rsidR="00742C2E" w:rsidRDefault="00742C2E" w:rsidP="00742C2E">
      <w:pPr>
        <w:rPr>
          <w:rFonts w:ascii="Arial" w:hAnsi="Arial" w:cs="Arial"/>
        </w:rPr>
      </w:pPr>
    </w:p>
    <w:tbl>
      <w:tblPr>
        <w:tblpPr w:leftFromText="180" w:rightFromText="180" w:vertAnchor="text" w:horzAnchor="margin" w:tblpY="-37"/>
        <w:tblW w:w="8455" w:type="dxa"/>
        <w:tblLook w:val="04A0" w:firstRow="1" w:lastRow="0" w:firstColumn="1" w:lastColumn="0" w:noHBand="0" w:noVBand="1"/>
      </w:tblPr>
      <w:tblGrid>
        <w:gridCol w:w="3344"/>
        <w:gridCol w:w="1329"/>
        <w:gridCol w:w="1911"/>
        <w:gridCol w:w="1871"/>
      </w:tblGrid>
      <w:tr w:rsidR="00856701" w:rsidRPr="0022777B" w14:paraId="57DB84F8" w14:textId="77777777" w:rsidTr="00856701">
        <w:trPr>
          <w:trHeight w:val="239"/>
        </w:trPr>
        <w:tc>
          <w:tcPr>
            <w:tcW w:w="8455" w:type="dxa"/>
            <w:gridSpan w:val="4"/>
            <w:tcBorders>
              <w:top w:val="nil"/>
              <w:left w:val="nil"/>
              <w:bottom w:val="nil"/>
              <w:right w:val="nil"/>
            </w:tcBorders>
            <w:shd w:val="clear" w:color="000000" w:fill="FFFFFF"/>
            <w:noWrap/>
            <w:vAlign w:val="center"/>
            <w:hideMark/>
          </w:tcPr>
          <w:p w14:paraId="66ABF019" w14:textId="6B21F378" w:rsidR="00856701" w:rsidRDefault="00856701" w:rsidP="00856701">
            <w:pPr>
              <w:rPr>
                <w:rFonts w:ascii="Arial" w:hAnsi="Arial" w:cs="Arial"/>
                <w:b/>
                <w:bCs/>
                <w:sz w:val="22"/>
                <w:szCs w:val="22"/>
                <w:lang w:val="en-PH" w:eastAsia="en-PH"/>
              </w:rPr>
            </w:pPr>
            <w:r w:rsidRPr="00742C2E">
              <w:rPr>
                <w:rFonts w:ascii="Arial" w:hAnsi="Arial" w:cs="Arial"/>
                <w:b/>
                <w:bCs/>
                <w:sz w:val="22"/>
                <w:szCs w:val="22"/>
                <w:lang w:val="en-PH" w:eastAsia="en-PH"/>
              </w:rPr>
              <w:lastRenderedPageBreak/>
              <w:t xml:space="preserve">Table 2. Level of Attitude towards Mathematics </w:t>
            </w:r>
          </w:p>
          <w:p w14:paraId="4CF115BB" w14:textId="77777777" w:rsidR="00A9667F" w:rsidRPr="00742C2E" w:rsidRDefault="00A9667F" w:rsidP="00856701">
            <w:pPr>
              <w:rPr>
                <w:rFonts w:ascii="Arial" w:hAnsi="Arial" w:cs="Arial"/>
                <w:b/>
                <w:bCs/>
                <w:sz w:val="22"/>
                <w:szCs w:val="22"/>
                <w:lang w:val="en-PH" w:eastAsia="en-PH"/>
              </w:rPr>
            </w:pPr>
          </w:p>
        </w:tc>
      </w:tr>
      <w:tr w:rsidR="00856701" w:rsidRPr="0022777B" w14:paraId="7F39CE65" w14:textId="77777777" w:rsidTr="00856701">
        <w:trPr>
          <w:trHeight w:val="488"/>
        </w:trPr>
        <w:tc>
          <w:tcPr>
            <w:tcW w:w="3344" w:type="dxa"/>
            <w:tcBorders>
              <w:top w:val="single" w:sz="4" w:space="0" w:color="auto"/>
              <w:left w:val="nil"/>
              <w:bottom w:val="single" w:sz="4" w:space="0" w:color="auto"/>
              <w:right w:val="nil"/>
            </w:tcBorders>
            <w:shd w:val="clear" w:color="000000" w:fill="FFFFFF"/>
            <w:noWrap/>
            <w:vAlign w:val="center"/>
            <w:hideMark/>
          </w:tcPr>
          <w:p w14:paraId="1B8901D3" w14:textId="77777777" w:rsidR="00856701" w:rsidRPr="00742C2E" w:rsidRDefault="00856701" w:rsidP="00856701">
            <w:pPr>
              <w:rPr>
                <w:rFonts w:ascii="Arial" w:hAnsi="Arial" w:cs="Arial"/>
                <w:b/>
                <w:bCs/>
                <w:sz w:val="22"/>
                <w:szCs w:val="22"/>
                <w:lang w:val="en-PH" w:eastAsia="en-PH"/>
              </w:rPr>
            </w:pPr>
            <w:r w:rsidRPr="00742C2E">
              <w:rPr>
                <w:rFonts w:ascii="Arial" w:hAnsi="Arial" w:cs="Arial"/>
                <w:b/>
                <w:bCs/>
                <w:sz w:val="22"/>
                <w:szCs w:val="22"/>
                <w:lang w:val="en-PH" w:eastAsia="en-PH"/>
              </w:rPr>
              <w:t>Indicators</w:t>
            </w:r>
          </w:p>
        </w:tc>
        <w:tc>
          <w:tcPr>
            <w:tcW w:w="1329" w:type="dxa"/>
            <w:tcBorders>
              <w:top w:val="single" w:sz="4" w:space="0" w:color="auto"/>
              <w:left w:val="nil"/>
              <w:bottom w:val="single" w:sz="4" w:space="0" w:color="auto"/>
              <w:right w:val="nil"/>
            </w:tcBorders>
            <w:shd w:val="clear" w:color="000000" w:fill="FFFFFF"/>
            <w:noWrap/>
            <w:vAlign w:val="center"/>
            <w:hideMark/>
          </w:tcPr>
          <w:p w14:paraId="7217CC6C"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Standard Deviation</w:t>
            </w:r>
          </w:p>
        </w:tc>
        <w:tc>
          <w:tcPr>
            <w:tcW w:w="1911" w:type="dxa"/>
            <w:tcBorders>
              <w:top w:val="single" w:sz="4" w:space="0" w:color="auto"/>
              <w:left w:val="nil"/>
              <w:bottom w:val="single" w:sz="4" w:space="0" w:color="auto"/>
              <w:right w:val="nil"/>
            </w:tcBorders>
            <w:shd w:val="clear" w:color="000000" w:fill="FFFFFF"/>
            <w:noWrap/>
            <w:vAlign w:val="center"/>
            <w:hideMark/>
          </w:tcPr>
          <w:p w14:paraId="160A4419"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Mean</w:t>
            </w:r>
          </w:p>
        </w:tc>
        <w:tc>
          <w:tcPr>
            <w:tcW w:w="1871" w:type="dxa"/>
            <w:tcBorders>
              <w:top w:val="single" w:sz="4" w:space="0" w:color="auto"/>
              <w:left w:val="nil"/>
              <w:bottom w:val="single" w:sz="4" w:space="0" w:color="auto"/>
              <w:right w:val="nil"/>
            </w:tcBorders>
            <w:shd w:val="clear" w:color="000000" w:fill="FFFFFF"/>
            <w:noWrap/>
            <w:vAlign w:val="center"/>
            <w:hideMark/>
          </w:tcPr>
          <w:p w14:paraId="22E3261C"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Descriptive Equivalent</w:t>
            </w:r>
          </w:p>
        </w:tc>
      </w:tr>
      <w:tr w:rsidR="00856701" w:rsidRPr="0022777B" w14:paraId="4070CB7D" w14:textId="77777777" w:rsidTr="00856701">
        <w:trPr>
          <w:trHeight w:val="309"/>
        </w:trPr>
        <w:tc>
          <w:tcPr>
            <w:tcW w:w="3344" w:type="dxa"/>
            <w:tcBorders>
              <w:top w:val="nil"/>
              <w:left w:val="nil"/>
              <w:bottom w:val="nil"/>
              <w:right w:val="nil"/>
            </w:tcBorders>
            <w:shd w:val="clear" w:color="000000" w:fill="FFFFFF"/>
            <w:noWrap/>
            <w:vAlign w:val="center"/>
            <w:hideMark/>
          </w:tcPr>
          <w:p w14:paraId="67AFEACE" w14:textId="77777777" w:rsidR="00856701" w:rsidRPr="00742C2E" w:rsidRDefault="00856701" w:rsidP="00856701">
            <w:pPr>
              <w:rPr>
                <w:rFonts w:ascii="Arial" w:hAnsi="Arial" w:cs="Arial"/>
                <w:sz w:val="22"/>
                <w:szCs w:val="22"/>
                <w:lang w:val="en-PH" w:eastAsia="en-PH"/>
              </w:rPr>
            </w:pPr>
            <w:r w:rsidRPr="00742C2E">
              <w:rPr>
                <w:rFonts w:ascii="Arial" w:hAnsi="Arial" w:cs="Arial"/>
                <w:sz w:val="22"/>
                <w:szCs w:val="22"/>
                <w:lang w:val="en-PH" w:eastAsia="en-PH"/>
              </w:rPr>
              <w:t>Perception of Mathematical Incompetence</w:t>
            </w:r>
          </w:p>
        </w:tc>
        <w:tc>
          <w:tcPr>
            <w:tcW w:w="1329" w:type="dxa"/>
            <w:tcBorders>
              <w:top w:val="nil"/>
              <w:left w:val="nil"/>
              <w:bottom w:val="nil"/>
              <w:right w:val="nil"/>
            </w:tcBorders>
            <w:shd w:val="clear" w:color="000000" w:fill="FFFFFF"/>
            <w:noWrap/>
            <w:vAlign w:val="center"/>
          </w:tcPr>
          <w:p w14:paraId="62CFD340"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1.30</w:t>
            </w:r>
          </w:p>
        </w:tc>
        <w:tc>
          <w:tcPr>
            <w:tcW w:w="1911" w:type="dxa"/>
            <w:tcBorders>
              <w:top w:val="nil"/>
              <w:left w:val="nil"/>
              <w:bottom w:val="nil"/>
              <w:right w:val="nil"/>
            </w:tcBorders>
            <w:shd w:val="clear" w:color="000000" w:fill="FFFFFF"/>
            <w:noWrap/>
            <w:vAlign w:val="center"/>
            <w:hideMark/>
          </w:tcPr>
          <w:p w14:paraId="59E82619"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3.</w:t>
            </w:r>
            <w:r>
              <w:rPr>
                <w:rFonts w:ascii="Arial" w:hAnsi="Arial" w:cs="Arial"/>
                <w:sz w:val="22"/>
                <w:szCs w:val="22"/>
                <w:lang w:val="en-PH" w:eastAsia="en-PH"/>
              </w:rPr>
              <w:t>40</w:t>
            </w:r>
          </w:p>
        </w:tc>
        <w:tc>
          <w:tcPr>
            <w:tcW w:w="1871" w:type="dxa"/>
            <w:tcBorders>
              <w:top w:val="nil"/>
              <w:left w:val="nil"/>
              <w:bottom w:val="nil"/>
              <w:right w:val="nil"/>
            </w:tcBorders>
            <w:shd w:val="clear" w:color="000000" w:fill="FFFFFF"/>
            <w:noWrap/>
            <w:vAlign w:val="center"/>
            <w:hideMark/>
          </w:tcPr>
          <w:p w14:paraId="3A0A83D8" w14:textId="77777777" w:rsidR="00856701" w:rsidRPr="00742C2E" w:rsidRDefault="00856701" w:rsidP="00856701">
            <w:pPr>
              <w:jc w:val="center"/>
              <w:rPr>
                <w:rFonts w:ascii="Arial" w:hAnsi="Arial" w:cs="Arial"/>
                <w:sz w:val="22"/>
                <w:szCs w:val="22"/>
                <w:lang w:val="en-PH" w:eastAsia="en-PH"/>
              </w:rPr>
            </w:pPr>
            <w:r>
              <w:rPr>
                <w:rFonts w:ascii="Arial" w:hAnsi="Arial" w:cs="Arial"/>
                <w:sz w:val="22"/>
                <w:szCs w:val="22"/>
                <w:lang w:val="en-PH" w:eastAsia="en-PH"/>
              </w:rPr>
              <w:t>High</w:t>
            </w:r>
          </w:p>
        </w:tc>
      </w:tr>
      <w:tr w:rsidR="00856701" w:rsidRPr="0022777B" w14:paraId="685F70C8" w14:textId="77777777" w:rsidTr="00856701">
        <w:trPr>
          <w:trHeight w:val="322"/>
        </w:trPr>
        <w:tc>
          <w:tcPr>
            <w:tcW w:w="3344" w:type="dxa"/>
            <w:tcBorders>
              <w:top w:val="nil"/>
              <w:left w:val="nil"/>
              <w:bottom w:val="nil"/>
              <w:right w:val="nil"/>
            </w:tcBorders>
            <w:shd w:val="clear" w:color="000000" w:fill="FFFFFF"/>
            <w:noWrap/>
            <w:vAlign w:val="center"/>
            <w:hideMark/>
          </w:tcPr>
          <w:p w14:paraId="423B41F8" w14:textId="77777777" w:rsidR="00856701" w:rsidRPr="00742C2E" w:rsidRDefault="00856701" w:rsidP="00856701">
            <w:pPr>
              <w:rPr>
                <w:rFonts w:ascii="Arial" w:hAnsi="Arial" w:cs="Arial"/>
                <w:sz w:val="22"/>
                <w:szCs w:val="22"/>
                <w:lang w:val="en-PH" w:eastAsia="en-PH"/>
              </w:rPr>
            </w:pPr>
            <w:r w:rsidRPr="00742C2E">
              <w:rPr>
                <w:rFonts w:ascii="Arial" w:hAnsi="Arial" w:cs="Arial"/>
                <w:sz w:val="22"/>
                <w:szCs w:val="22"/>
                <w:lang w:val="en-PH" w:eastAsia="en-PH"/>
              </w:rPr>
              <w:t>Enjoyment of Mathematics</w:t>
            </w:r>
          </w:p>
        </w:tc>
        <w:tc>
          <w:tcPr>
            <w:tcW w:w="1329" w:type="dxa"/>
            <w:tcBorders>
              <w:top w:val="nil"/>
              <w:left w:val="nil"/>
              <w:bottom w:val="nil"/>
              <w:right w:val="nil"/>
            </w:tcBorders>
            <w:shd w:val="clear" w:color="000000" w:fill="FFFFFF"/>
            <w:noWrap/>
            <w:vAlign w:val="center"/>
          </w:tcPr>
          <w:p w14:paraId="765E8C79" w14:textId="250DED7A"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1.3</w:t>
            </w:r>
            <w:r w:rsidR="00B80534">
              <w:rPr>
                <w:rFonts w:ascii="Arial" w:hAnsi="Arial" w:cs="Arial"/>
                <w:sz w:val="22"/>
                <w:szCs w:val="22"/>
                <w:lang w:val="en-PH" w:eastAsia="en-PH"/>
              </w:rPr>
              <w:t>2</w:t>
            </w:r>
          </w:p>
        </w:tc>
        <w:tc>
          <w:tcPr>
            <w:tcW w:w="1911" w:type="dxa"/>
            <w:tcBorders>
              <w:top w:val="nil"/>
              <w:left w:val="nil"/>
              <w:bottom w:val="nil"/>
              <w:right w:val="nil"/>
            </w:tcBorders>
            <w:shd w:val="clear" w:color="000000" w:fill="FFFFFF"/>
            <w:noWrap/>
            <w:vAlign w:val="center"/>
            <w:hideMark/>
          </w:tcPr>
          <w:p w14:paraId="244005CE"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3.</w:t>
            </w:r>
            <w:r>
              <w:rPr>
                <w:rFonts w:ascii="Arial" w:hAnsi="Arial" w:cs="Arial"/>
                <w:sz w:val="22"/>
                <w:szCs w:val="22"/>
                <w:lang w:val="en-PH" w:eastAsia="en-PH"/>
              </w:rPr>
              <w:t>53</w:t>
            </w:r>
          </w:p>
        </w:tc>
        <w:tc>
          <w:tcPr>
            <w:tcW w:w="1871" w:type="dxa"/>
            <w:tcBorders>
              <w:top w:val="nil"/>
              <w:left w:val="nil"/>
              <w:bottom w:val="nil"/>
              <w:right w:val="nil"/>
            </w:tcBorders>
            <w:shd w:val="clear" w:color="000000" w:fill="FFFFFF"/>
            <w:noWrap/>
            <w:vAlign w:val="center"/>
            <w:hideMark/>
          </w:tcPr>
          <w:p w14:paraId="472B6F73" w14:textId="77777777" w:rsidR="00856701" w:rsidRPr="00742C2E" w:rsidRDefault="00856701" w:rsidP="00856701">
            <w:pPr>
              <w:jc w:val="center"/>
              <w:rPr>
                <w:rFonts w:ascii="Arial" w:hAnsi="Arial" w:cs="Arial"/>
                <w:sz w:val="22"/>
                <w:szCs w:val="22"/>
                <w:lang w:val="en-PH" w:eastAsia="en-PH"/>
              </w:rPr>
            </w:pPr>
            <w:r>
              <w:rPr>
                <w:rFonts w:ascii="Arial" w:hAnsi="Arial" w:cs="Arial"/>
                <w:sz w:val="22"/>
                <w:szCs w:val="22"/>
                <w:lang w:val="en-PH" w:eastAsia="en-PH"/>
              </w:rPr>
              <w:t>High</w:t>
            </w:r>
          </w:p>
        </w:tc>
      </w:tr>
      <w:tr w:rsidR="00856701" w:rsidRPr="0022777B" w14:paraId="1B725415" w14:textId="77777777" w:rsidTr="00856701">
        <w:trPr>
          <w:trHeight w:val="326"/>
        </w:trPr>
        <w:tc>
          <w:tcPr>
            <w:tcW w:w="3344" w:type="dxa"/>
            <w:tcBorders>
              <w:top w:val="nil"/>
              <w:left w:val="nil"/>
              <w:bottom w:val="nil"/>
              <w:right w:val="nil"/>
            </w:tcBorders>
            <w:shd w:val="clear" w:color="000000" w:fill="FFFFFF"/>
            <w:noWrap/>
            <w:vAlign w:val="center"/>
            <w:hideMark/>
          </w:tcPr>
          <w:p w14:paraId="307698FA" w14:textId="77777777" w:rsidR="00856701" w:rsidRPr="00742C2E" w:rsidRDefault="00856701" w:rsidP="00856701">
            <w:pPr>
              <w:rPr>
                <w:rFonts w:ascii="Arial" w:hAnsi="Arial" w:cs="Arial"/>
                <w:sz w:val="22"/>
                <w:szCs w:val="22"/>
                <w:lang w:val="en-PH" w:eastAsia="en-PH"/>
              </w:rPr>
            </w:pPr>
            <w:r w:rsidRPr="00742C2E">
              <w:rPr>
                <w:rFonts w:ascii="Arial" w:hAnsi="Arial" w:cs="Arial"/>
                <w:sz w:val="22"/>
                <w:szCs w:val="22"/>
                <w:lang w:val="en-PH" w:eastAsia="en-PH"/>
              </w:rPr>
              <w:t>Perception of Utility</w:t>
            </w:r>
          </w:p>
        </w:tc>
        <w:tc>
          <w:tcPr>
            <w:tcW w:w="1329" w:type="dxa"/>
            <w:tcBorders>
              <w:top w:val="nil"/>
              <w:left w:val="nil"/>
              <w:bottom w:val="nil"/>
              <w:right w:val="nil"/>
            </w:tcBorders>
            <w:shd w:val="clear" w:color="000000" w:fill="FFFFFF"/>
            <w:noWrap/>
            <w:vAlign w:val="center"/>
          </w:tcPr>
          <w:p w14:paraId="50D76D03" w14:textId="425FDEBB"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1.2</w:t>
            </w:r>
            <w:r w:rsidR="00B80534">
              <w:rPr>
                <w:rFonts w:ascii="Arial" w:hAnsi="Arial" w:cs="Arial"/>
                <w:sz w:val="22"/>
                <w:szCs w:val="22"/>
                <w:lang w:val="en-PH" w:eastAsia="en-PH"/>
              </w:rPr>
              <w:t>9</w:t>
            </w:r>
          </w:p>
        </w:tc>
        <w:tc>
          <w:tcPr>
            <w:tcW w:w="1911" w:type="dxa"/>
            <w:tcBorders>
              <w:top w:val="nil"/>
              <w:left w:val="nil"/>
              <w:bottom w:val="nil"/>
              <w:right w:val="nil"/>
            </w:tcBorders>
            <w:shd w:val="clear" w:color="000000" w:fill="FFFFFF"/>
            <w:noWrap/>
            <w:vAlign w:val="center"/>
            <w:hideMark/>
          </w:tcPr>
          <w:p w14:paraId="737DDCC9"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3.</w:t>
            </w:r>
            <w:r>
              <w:rPr>
                <w:rFonts w:ascii="Arial" w:hAnsi="Arial" w:cs="Arial"/>
                <w:sz w:val="22"/>
                <w:szCs w:val="22"/>
                <w:lang w:val="en-PH" w:eastAsia="en-PH"/>
              </w:rPr>
              <w:t>6</w:t>
            </w:r>
            <w:r w:rsidRPr="00742C2E">
              <w:rPr>
                <w:rFonts w:ascii="Arial" w:hAnsi="Arial" w:cs="Arial"/>
                <w:sz w:val="22"/>
                <w:szCs w:val="22"/>
                <w:lang w:val="en-PH" w:eastAsia="en-PH"/>
              </w:rPr>
              <w:t>8</w:t>
            </w:r>
          </w:p>
        </w:tc>
        <w:tc>
          <w:tcPr>
            <w:tcW w:w="1871" w:type="dxa"/>
            <w:tcBorders>
              <w:top w:val="nil"/>
              <w:left w:val="nil"/>
              <w:bottom w:val="nil"/>
              <w:right w:val="nil"/>
            </w:tcBorders>
            <w:shd w:val="clear" w:color="000000" w:fill="FFFFFF"/>
            <w:noWrap/>
            <w:vAlign w:val="center"/>
            <w:hideMark/>
          </w:tcPr>
          <w:p w14:paraId="3E8BFCE9"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High</w:t>
            </w:r>
          </w:p>
        </w:tc>
      </w:tr>
      <w:tr w:rsidR="00856701" w:rsidRPr="0022777B" w14:paraId="7CC01362" w14:textId="77777777" w:rsidTr="00856701">
        <w:trPr>
          <w:trHeight w:val="320"/>
        </w:trPr>
        <w:tc>
          <w:tcPr>
            <w:tcW w:w="3344" w:type="dxa"/>
            <w:tcBorders>
              <w:top w:val="nil"/>
              <w:left w:val="nil"/>
              <w:right w:val="nil"/>
            </w:tcBorders>
            <w:shd w:val="clear" w:color="000000" w:fill="FFFFFF"/>
            <w:noWrap/>
            <w:vAlign w:val="center"/>
            <w:hideMark/>
          </w:tcPr>
          <w:p w14:paraId="0C107084" w14:textId="77777777" w:rsidR="00856701" w:rsidRPr="00742C2E" w:rsidRDefault="00856701" w:rsidP="00856701">
            <w:pPr>
              <w:rPr>
                <w:rFonts w:ascii="Arial" w:hAnsi="Arial" w:cs="Arial"/>
                <w:sz w:val="22"/>
                <w:szCs w:val="22"/>
                <w:lang w:val="en-PH" w:eastAsia="en-PH"/>
              </w:rPr>
            </w:pPr>
            <w:r w:rsidRPr="00742C2E">
              <w:rPr>
                <w:rFonts w:ascii="Arial" w:hAnsi="Arial" w:cs="Arial"/>
                <w:sz w:val="22"/>
                <w:szCs w:val="22"/>
                <w:lang w:val="en-PH" w:eastAsia="en-PH"/>
              </w:rPr>
              <w:t>Math Self-concept</w:t>
            </w:r>
          </w:p>
        </w:tc>
        <w:tc>
          <w:tcPr>
            <w:tcW w:w="1329" w:type="dxa"/>
            <w:tcBorders>
              <w:top w:val="nil"/>
              <w:left w:val="nil"/>
              <w:right w:val="nil"/>
            </w:tcBorders>
            <w:shd w:val="clear" w:color="000000" w:fill="FFFFFF"/>
            <w:noWrap/>
            <w:vAlign w:val="center"/>
          </w:tcPr>
          <w:p w14:paraId="6DB924FC" w14:textId="0685110F"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1.2</w:t>
            </w:r>
            <w:r w:rsidR="00B80534">
              <w:rPr>
                <w:rFonts w:ascii="Arial" w:hAnsi="Arial" w:cs="Arial"/>
                <w:sz w:val="22"/>
                <w:szCs w:val="22"/>
                <w:lang w:val="en-PH" w:eastAsia="en-PH"/>
              </w:rPr>
              <w:t>4</w:t>
            </w:r>
          </w:p>
        </w:tc>
        <w:tc>
          <w:tcPr>
            <w:tcW w:w="1911" w:type="dxa"/>
            <w:tcBorders>
              <w:top w:val="nil"/>
              <w:left w:val="nil"/>
              <w:right w:val="nil"/>
            </w:tcBorders>
            <w:shd w:val="clear" w:color="000000" w:fill="FFFFFF"/>
            <w:noWrap/>
            <w:vAlign w:val="center"/>
            <w:hideMark/>
          </w:tcPr>
          <w:p w14:paraId="72CCB7C1"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3.</w:t>
            </w:r>
            <w:r>
              <w:rPr>
                <w:rFonts w:ascii="Arial" w:hAnsi="Arial" w:cs="Arial"/>
                <w:sz w:val="22"/>
                <w:szCs w:val="22"/>
                <w:lang w:val="en-PH" w:eastAsia="en-PH"/>
              </w:rPr>
              <w:t>70</w:t>
            </w:r>
          </w:p>
        </w:tc>
        <w:tc>
          <w:tcPr>
            <w:tcW w:w="1871" w:type="dxa"/>
            <w:tcBorders>
              <w:top w:val="nil"/>
              <w:left w:val="nil"/>
              <w:right w:val="nil"/>
            </w:tcBorders>
            <w:shd w:val="clear" w:color="000000" w:fill="FFFFFF"/>
            <w:noWrap/>
            <w:vAlign w:val="center"/>
            <w:hideMark/>
          </w:tcPr>
          <w:p w14:paraId="32B249A5"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High</w:t>
            </w:r>
          </w:p>
        </w:tc>
      </w:tr>
      <w:tr w:rsidR="00856701" w:rsidRPr="0022777B" w14:paraId="2574DF11" w14:textId="77777777" w:rsidTr="00856701">
        <w:trPr>
          <w:trHeight w:val="418"/>
        </w:trPr>
        <w:tc>
          <w:tcPr>
            <w:tcW w:w="3344" w:type="dxa"/>
            <w:tcBorders>
              <w:left w:val="nil"/>
              <w:bottom w:val="single" w:sz="8" w:space="0" w:color="auto"/>
              <w:right w:val="nil"/>
            </w:tcBorders>
            <w:shd w:val="clear" w:color="000000" w:fill="FFFFFF"/>
            <w:noWrap/>
            <w:vAlign w:val="center"/>
            <w:hideMark/>
          </w:tcPr>
          <w:p w14:paraId="6FB48BA3" w14:textId="77777777" w:rsidR="00856701" w:rsidRPr="00742C2E" w:rsidRDefault="00856701" w:rsidP="00856701">
            <w:pPr>
              <w:rPr>
                <w:rFonts w:ascii="Arial" w:hAnsi="Arial" w:cs="Arial"/>
                <w:b/>
                <w:bCs/>
                <w:sz w:val="22"/>
                <w:szCs w:val="22"/>
                <w:lang w:val="en-PH" w:eastAsia="en-PH"/>
              </w:rPr>
            </w:pPr>
            <w:r w:rsidRPr="00742C2E">
              <w:rPr>
                <w:rFonts w:ascii="Arial" w:hAnsi="Arial" w:cs="Arial"/>
                <w:b/>
                <w:bCs/>
                <w:sz w:val="22"/>
                <w:szCs w:val="22"/>
                <w:lang w:val="en-PH" w:eastAsia="en-PH"/>
              </w:rPr>
              <w:t>Overall Result</w:t>
            </w:r>
          </w:p>
        </w:tc>
        <w:tc>
          <w:tcPr>
            <w:tcW w:w="1329" w:type="dxa"/>
            <w:tcBorders>
              <w:left w:val="nil"/>
              <w:bottom w:val="single" w:sz="8" w:space="0" w:color="auto"/>
              <w:right w:val="nil"/>
            </w:tcBorders>
            <w:shd w:val="clear" w:color="000000" w:fill="FFFFFF"/>
            <w:noWrap/>
            <w:vAlign w:val="center"/>
          </w:tcPr>
          <w:p w14:paraId="7C5DE1ED"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1.30</w:t>
            </w:r>
          </w:p>
        </w:tc>
        <w:tc>
          <w:tcPr>
            <w:tcW w:w="1911" w:type="dxa"/>
            <w:tcBorders>
              <w:left w:val="nil"/>
              <w:bottom w:val="single" w:sz="8" w:space="0" w:color="auto"/>
              <w:right w:val="nil"/>
            </w:tcBorders>
            <w:shd w:val="clear" w:color="000000" w:fill="FFFFFF"/>
            <w:noWrap/>
            <w:vAlign w:val="center"/>
            <w:hideMark/>
          </w:tcPr>
          <w:p w14:paraId="38B128B9"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3.</w:t>
            </w:r>
            <w:r>
              <w:rPr>
                <w:rFonts w:ascii="Arial" w:hAnsi="Arial" w:cs="Arial"/>
                <w:b/>
                <w:bCs/>
                <w:sz w:val="22"/>
                <w:szCs w:val="22"/>
                <w:lang w:val="en-PH" w:eastAsia="en-PH"/>
              </w:rPr>
              <w:t>5</w:t>
            </w:r>
            <w:r w:rsidRPr="00742C2E">
              <w:rPr>
                <w:rFonts w:ascii="Arial" w:hAnsi="Arial" w:cs="Arial"/>
                <w:b/>
                <w:bCs/>
                <w:sz w:val="22"/>
                <w:szCs w:val="22"/>
                <w:lang w:val="en-PH" w:eastAsia="en-PH"/>
              </w:rPr>
              <w:t>2</w:t>
            </w:r>
          </w:p>
        </w:tc>
        <w:tc>
          <w:tcPr>
            <w:tcW w:w="1871" w:type="dxa"/>
            <w:tcBorders>
              <w:left w:val="nil"/>
              <w:bottom w:val="single" w:sz="8" w:space="0" w:color="auto"/>
              <w:right w:val="nil"/>
            </w:tcBorders>
            <w:shd w:val="clear" w:color="000000" w:fill="FFFFFF"/>
            <w:noWrap/>
            <w:vAlign w:val="center"/>
            <w:hideMark/>
          </w:tcPr>
          <w:p w14:paraId="7F742322"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High</w:t>
            </w:r>
          </w:p>
        </w:tc>
      </w:tr>
    </w:tbl>
    <w:p w14:paraId="7061F87F" w14:textId="77777777" w:rsidR="00875DB7" w:rsidRDefault="00875DB7" w:rsidP="000B5D61">
      <w:pPr>
        <w:jc w:val="both"/>
        <w:rPr>
          <w:rFonts w:ascii="Arial" w:hAnsi="Arial" w:cs="Arial"/>
          <w:sz w:val="22"/>
          <w:szCs w:val="22"/>
        </w:rPr>
      </w:pPr>
    </w:p>
    <w:p w14:paraId="0DCDFCEA" w14:textId="13E2AB82" w:rsidR="00742C2E" w:rsidRDefault="00875DB7" w:rsidP="00875DB7">
      <w:pPr>
        <w:jc w:val="both"/>
        <w:rPr>
          <w:rFonts w:ascii="Arial" w:hAnsi="Arial" w:cs="Arial"/>
          <w:sz w:val="22"/>
          <w:szCs w:val="22"/>
        </w:rPr>
      </w:pPr>
      <w:r>
        <w:rPr>
          <w:rFonts w:ascii="Arial" w:hAnsi="Arial" w:cs="Arial"/>
          <w:sz w:val="22"/>
          <w:szCs w:val="22"/>
        </w:rPr>
        <w:t>T</w:t>
      </w:r>
      <w:r w:rsidRPr="00875DB7">
        <w:rPr>
          <w:rFonts w:ascii="Arial" w:hAnsi="Arial" w:cs="Arial"/>
          <w:sz w:val="22"/>
          <w:szCs w:val="22"/>
        </w:rPr>
        <w:t xml:space="preserve">able 2 depicts descriptive results on the level of attitude towards mathematics among senior high school students. The explanatory report indicated a high level of attitude towards mathematics among students (Mean =3.52; SD = 1.30. The elevated level is also apparent in its indicators, namely perception of mathematical incompetence (Mean = 3.40; SD = 1.30), enjoyment of mathematics (Mean = 3.53; SD = 1.32), perception of utility (Mean = 3.68; SD = 1.29), and math self-concept (Mean = 3.70; SD = 1.24). This analysis showed that the students in Panabo City typically exhibit a favorable disposition toward mathematics, as demonstrated by the elevated overall mean score. The unequivocal perception is seen in various dimensions, including self-concept in mathematics, valuation of the topic, and concession of its practical applicability. A positive attitude towards mathematics among students correlates with enhanced performance, increased engagement, superior overall success, and practical application of mathematics in real life (Hwang &amp; Son, 2021; </w:t>
      </w:r>
      <w:proofErr w:type="spellStart"/>
      <w:r w:rsidRPr="00875DB7">
        <w:rPr>
          <w:rFonts w:ascii="Arial" w:hAnsi="Arial" w:cs="Arial"/>
          <w:sz w:val="22"/>
          <w:szCs w:val="22"/>
        </w:rPr>
        <w:t>Wakhata</w:t>
      </w:r>
      <w:proofErr w:type="spellEnd"/>
      <w:r w:rsidRPr="00875DB7">
        <w:rPr>
          <w:rFonts w:ascii="Arial" w:hAnsi="Arial" w:cs="Arial"/>
          <w:sz w:val="22"/>
          <w:szCs w:val="22"/>
        </w:rPr>
        <w:t xml:space="preserve"> et al., 2022)</w:t>
      </w:r>
    </w:p>
    <w:p w14:paraId="75D1FCF8" w14:textId="77777777" w:rsidR="00875DB7" w:rsidRPr="00742C2E" w:rsidRDefault="00875DB7" w:rsidP="00742C2E">
      <w:pPr>
        <w:rPr>
          <w:rFonts w:ascii="Arial" w:hAnsi="Arial" w:cs="Arial"/>
        </w:rPr>
      </w:pPr>
    </w:p>
    <w:tbl>
      <w:tblPr>
        <w:tblpPr w:leftFromText="180" w:rightFromText="180" w:vertAnchor="text" w:horzAnchor="margin" w:tblpY="90"/>
        <w:tblW w:w="8244" w:type="dxa"/>
        <w:tblLook w:val="04A0" w:firstRow="1" w:lastRow="0" w:firstColumn="1" w:lastColumn="0" w:noHBand="0" w:noVBand="1"/>
      </w:tblPr>
      <w:tblGrid>
        <w:gridCol w:w="3261"/>
        <w:gridCol w:w="1297"/>
        <w:gridCol w:w="1864"/>
        <w:gridCol w:w="1822"/>
      </w:tblGrid>
      <w:tr w:rsidR="00EC4F7D" w:rsidRPr="00D73222" w14:paraId="189322B0" w14:textId="77777777" w:rsidTr="00EC4F7D">
        <w:trPr>
          <w:trHeight w:val="314"/>
        </w:trPr>
        <w:tc>
          <w:tcPr>
            <w:tcW w:w="8244" w:type="dxa"/>
            <w:gridSpan w:val="4"/>
            <w:tcBorders>
              <w:top w:val="nil"/>
              <w:left w:val="nil"/>
              <w:bottom w:val="nil"/>
              <w:right w:val="nil"/>
            </w:tcBorders>
            <w:shd w:val="clear" w:color="000000" w:fill="FFFFFF"/>
            <w:noWrap/>
            <w:vAlign w:val="center"/>
            <w:hideMark/>
          </w:tcPr>
          <w:p w14:paraId="608A18A0" w14:textId="10862D99" w:rsidR="00EC4F7D" w:rsidRPr="00D73222" w:rsidRDefault="00EC4F7D" w:rsidP="00EC4F7D">
            <w:pPr>
              <w:rPr>
                <w:rFonts w:ascii="Arial" w:hAnsi="Arial" w:cs="Arial"/>
                <w:b/>
                <w:bCs/>
                <w:sz w:val="22"/>
                <w:szCs w:val="22"/>
                <w:lang w:val="en-PH" w:eastAsia="en-PH"/>
              </w:rPr>
            </w:pPr>
            <w:r w:rsidRPr="00D73222">
              <w:rPr>
                <w:rFonts w:ascii="Arial" w:hAnsi="Arial" w:cs="Arial"/>
                <w:b/>
                <w:bCs/>
                <w:sz w:val="22"/>
                <w:szCs w:val="22"/>
                <w:lang w:val="en-PH" w:eastAsia="en-PH"/>
              </w:rPr>
              <w:t xml:space="preserve">Table 3. Level of Student Engagement in Mathematics </w:t>
            </w:r>
          </w:p>
          <w:p w14:paraId="2CDF963B" w14:textId="77777777" w:rsidR="00EC4F7D" w:rsidRPr="00D73222" w:rsidRDefault="00EC4F7D" w:rsidP="00EC4F7D">
            <w:pPr>
              <w:rPr>
                <w:rFonts w:ascii="Arial" w:hAnsi="Arial" w:cs="Arial"/>
                <w:b/>
                <w:bCs/>
                <w:sz w:val="22"/>
                <w:szCs w:val="22"/>
                <w:lang w:val="en-PH" w:eastAsia="en-PH"/>
              </w:rPr>
            </w:pPr>
          </w:p>
        </w:tc>
      </w:tr>
      <w:tr w:rsidR="00EC4F7D" w:rsidRPr="00D73222" w14:paraId="18CE3888" w14:textId="77777777" w:rsidTr="00EC4F7D">
        <w:trPr>
          <w:trHeight w:val="639"/>
        </w:trPr>
        <w:tc>
          <w:tcPr>
            <w:tcW w:w="3261" w:type="dxa"/>
            <w:tcBorders>
              <w:top w:val="single" w:sz="4" w:space="0" w:color="auto"/>
              <w:left w:val="nil"/>
              <w:bottom w:val="single" w:sz="4" w:space="0" w:color="auto"/>
              <w:right w:val="nil"/>
            </w:tcBorders>
            <w:shd w:val="clear" w:color="000000" w:fill="FFFFFF"/>
            <w:noWrap/>
            <w:vAlign w:val="center"/>
            <w:hideMark/>
          </w:tcPr>
          <w:p w14:paraId="5FA677D4" w14:textId="77777777" w:rsidR="00EC4F7D" w:rsidRPr="00D73222" w:rsidRDefault="00EC4F7D" w:rsidP="00EC4F7D">
            <w:pPr>
              <w:rPr>
                <w:rFonts w:ascii="Arial" w:hAnsi="Arial" w:cs="Arial"/>
                <w:b/>
                <w:bCs/>
                <w:sz w:val="22"/>
                <w:szCs w:val="22"/>
                <w:lang w:val="en-PH" w:eastAsia="en-PH"/>
              </w:rPr>
            </w:pPr>
            <w:r w:rsidRPr="00D73222">
              <w:rPr>
                <w:rFonts w:ascii="Arial" w:hAnsi="Arial" w:cs="Arial"/>
                <w:b/>
                <w:bCs/>
                <w:sz w:val="22"/>
                <w:szCs w:val="22"/>
                <w:lang w:val="en-PH" w:eastAsia="en-PH"/>
              </w:rPr>
              <w:t>Indicators</w:t>
            </w:r>
          </w:p>
        </w:tc>
        <w:tc>
          <w:tcPr>
            <w:tcW w:w="1297" w:type="dxa"/>
            <w:tcBorders>
              <w:top w:val="single" w:sz="4" w:space="0" w:color="auto"/>
              <w:left w:val="nil"/>
              <w:bottom w:val="single" w:sz="4" w:space="0" w:color="auto"/>
              <w:right w:val="nil"/>
            </w:tcBorders>
            <w:shd w:val="clear" w:color="000000" w:fill="FFFFFF"/>
            <w:noWrap/>
            <w:vAlign w:val="center"/>
            <w:hideMark/>
          </w:tcPr>
          <w:p w14:paraId="104FDB35"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Standard Deviation</w:t>
            </w:r>
          </w:p>
        </w:tc>
        <w:tc>
          <w:tcPr>
            <w:tcW w:w="1864" w:type="dxa"/>
            <w:tcBorders>
              <w:top w:val="single" w:sz="4" w:space="0" w:color="auto"/>
              <w:left w:val="nil"/>
              <w:bottom w:val="single" w:sz="4" w:space="0" w:color="auto"/>
              <w:right w:val="nil"/>
            </w:tcBorders>
            <w:shd w:val="clear" w:color="000000" w:fill="FFFFFF"/>
            <w:noWrap/>
            <w:vAlign w:val="center"/>
            <w:hideMark/>
          </w:tcPr>
          <w:p w14:paraId="629935E7"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Mean</w:t>
            </w:r>
          </w:p>
        </w:tc>
        <w:tc>
          <w:tcPr>
            <w:tcW w:w="1822" w:type="dxa"/>
            <w:tcBorders>
              <w:top w:val="single" w:sz="4" w:space="0" w:color="auto"/>
              <w:left w:val="nil"/>
              <w:bottom w:val="single" w:sz="4" w:space="0" w:color="auto"/>
              <w:right w:val="nil"/>
            </w:tcBorders>
            <w:shd w:val="clear" w:color="000000" w:fill="FFFFFF"/>
            <w:noWrap/>
            <w:vAlign w:val="center"/>
            <w:hideMark/>
          </w:tcPr>
          <w:p w14:paraId="2AB5BADB"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Descriptive Equivalent</w:t>
            </w:r>
          </w:p>
        </w:tc>
      </w:tr>
      <w:tr w:rsidR="00EC4F7D" w:rsidRPr="00D73222" w14:paraId="08BEB7AB" w14:textId="77777777" w:rsidTr="00EC4F7D">
        <w:trPr>
          <w:trHeight w:val="406"/>
        </w:trPr>
        <w:tc>
          <w:tcPr>
            <w:tcW w:w="3261" w:type="dxa"/>
            <w:tcBorders>
              <w:top w:val="nil"/>
              <w:left w:val="nil"/>
              <w:bottom w:val="nil"/>
              <w:right w:val="nil"/>
            </w:tcBorders>
            <w:shd w:val="clear" w:color="000000" w:fill="FFFFFF"/>
            <w:noWrap/>
            <w:vAlign w:val="center"/>
            <w:hideMark/>
          </w:tcPr>
          <w:p w14:paraId="3A5B6C22" w14:textId="77777777" w:rsidR="00EC4F7D" w:rsidRPr="00D73222" w:rsidRDefault="00EC4F7D" w:rsidP="00EC4F7D">
            <w:pPr>
              <w:rPr>
                <w:rFonts w:ascii="Arial" w:hAnsi="Arial" w:cs="Arial"/>
                <w:sz w:val="22"/>
                <w:szCs w:val="22"/>
                <w:lang w:val="en-PH" w:eastAsia="en-PH"/>
              </w:rPr>
            </w:pPr>
            <w:r w:rsidRPr="00D73222">
              <w:rPr>
                <w:rFonts w:ascii="Arial" w:hAnsi="Arial" w:cs="Arial"/>
                <w:sz w:val="22"/>
                <w:szCs w:val="22"/>
                <w:lang w:val="en-PH" w:eastAsia="en-PH"/>
              </w:rPr>
              <w:t>Cognitive Engagement</w:t>
            </w:r>
          </w:p>
        </w:tc>
        <w:tc>
          <w:tcPr>
            <w:tcW w:w="1297" w:type="dxa"/>
            <w:tcBorders>
              <w:top w:val="nil"/>
              <w:left w:val="nil"/>
              <w:bottom w:val="nil"/>
              <w:right w:val="nil"/>
            </w:tcBorders>
            <w:shd w:val="clear" w:color="000000" w:fill="FFFFFF"/>
            <w:noWrap/>
            <w:vAlign w:val="center"/>
          </w:tcPr>
          <w:p w14:paraId="60502D11"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1.15</w:t>
            </w:r>
          </w:p>
        </w:tc>
        <w:tc>
          <w:tcPr>
            <w:tcW w:w="1864" w:type="dxa"/>
            <w:tcBorders>
              <w:top w:val="nil"/>
              <w:left w:val="nil"/>
              <w:bottom w:val="nil"/>
              <w:right w:val="nil"/>
            </w:tcBorders>
            <w:shd w:val="clear" w:color="000000" w:fill="FFFFFF"/>
            <w:noWrap/>
            <w:vAlign w:val="center"/>
            <w:hideMark/>
          </w:tcPr>
          <w:p w14:paraId="7EDDC169"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3.81</w:t>
            </w:r>
          </w:p>
        </w:tc>
        <w:tc>
          <w:tcPr>
            <w:tcW w:w="1822" w:type="dxa"/>
            <w:tcBorders>
              <w:top w:val="nil"/>
              <w:left w:val="nil"/>
              <w:bottom w:val="nil"/>
              <w:right w:val="nil"/>
            </w:tcBorders>
            <w:shd w:val="clear" w:color="000000" w:fill="FFFFFF"/>
            <w:noWrap/>
            <w:vAlign w:val="center"/>
            <w:hideMark/>
          </w:tcPr>
          <w:p w14:paraId="1C51C9FD"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High</w:t>
            </w:r>
          </w:p>
        </w:tc>
      </w:tr>
      <w:tr w:rsidR="00EC4F7D" w:rsidRPr="00D73222" w14:paraId="48D53816" w14:textId="77777777" w:rsidTr="00EC4F7D">
        <w:trPr>
          <w:trHeight w:val="422"/>
        </w:trPr>
        <w:tc>
          <w:tcPr>
            <w:tcW w:w="3261" w:type="dxa"/>
            <w:tcBorders>
              <w:top w:val="nil"/>
              <w:left w:val="nil"/>
              <w:bottom w:val="nil"/>
              <w:right w:val="nil"/>
            </w:tcBorders>
            <w:shd w:val="clear" w:color="000000" w:fill="FFFFFF"/>
            <w:noWrap/>
            <w:vAlign w:val="center"/>
            <w:hideMark/>
          </w:tcPr>
          <w:p w14:paraId="1798DCE9" w14:textId="77777777" w:rsidR="00EC4F7D" w:rsidRPr="00D73222" w:rsidRDefault="00EC4F7D" w:rsidP="00EC4F7D">
            <w:pPr>
              <w:rPr>
                <w:rFonts w:ascii="Arial" w:hAnsi="Arial" w:cs="Arial"/>
                <w:sz w:val="22"/>
                <w:szCs w:val="22"/>
                <w:lang w:val="en-PH" w:eastAsia="en-PH"/>
              </w:rPr>
            </w:pPr>
            <w:r w:rsidRPr="00D73222">
              <w:rPr>
                <w:rFonts w:ascii="Arial" w:hAnsi="Arial" w:cs="Arial"/>
                <w:sz w:val="22"/>
                <w:szCs w:val="22"/>
                <w:lang w:val="en-PH" w:eastAsia="en-PH"/>
              </w:rPr>
              <w:t>Behavioral Engagement</w:t>
            </w:r>
          </w:p>
        </w:tc>
        <w:tc>
          <w:tcPr>
            <w:tcW w:w="1297" w:type="dxa"/>
            <w:tcBorders>
              <w:top w:val="nil"/>
              <w:left w:val="nil"/>
              <w:bottom w:val="nil"/>
              <w:right w:val="nil"/>
            </w:tcBorders>
            <w:shd w:val="clear" w:color="000000" w:fill="FFFFFF"/>
            <w:noWrap/>
            <w:vAlign w:val="center"/>
          </w:tcPr>
          <w:p w14:paraId="5E5F9C8D"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1.10</w:t>
            </w:r>
          </w:p>
        </w:tc>
        <w:tc>
          <w:tcPr>
            <w:tcW w:w="1864" w:type="dxa"/>
            <w:tcBorders>
              <w:top w:val="nil"/>
              <w:left w:val="nil"/>
              <w:bottom w:val="nil"/>
              <w:right w:val="nil"/>
            </w:tcBorders>
            <w:shd w:val="clear" w:color="000000" w:fill="FFFFFF"/>
            <w:noWrap/>
            <w:vAlign w:val="center"/>
            <w:hideMark/>
          </w:tcPr>
          <w:p w14:paraId="1505B91F"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3.97</w:t>
            </w:r>
          </w:p>
        </w:tc>
        <w:tc>
          <w:tcPr>
            <w:tcW w:w="1822" w:type="dxa"/>
            <w:tcBorders>
              <w:top w:val="nil"/>
              <w:left w:val="nil"/>
              <w:bottom w:val="nil"/>
              <w:right w:val="nil"/>
            </w:tcBorders>
            <w:shd w:val="clear" w:color="000000" w:fill="FFFFFF"/>
            <w:noWrap/>
            <w:vAlign w:val="center"/>
            <w:hideMark/>
          </w:tcPr>
          <w:p w14:paraId="179BA352"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High</w:t>
            </w:r>
          </w:p>
        </w:tc>
      </w:tr>
      <w:tr w:rsidR="00EC4F7D" w:rsidRPr="00D73222" w14:paraId="13B69C30" w14:textId="77777777" w:rsidTr="00EC4F7D">
        <w:trPr>
          <w:trHeight w:val="428"/>
        </w:trPr>
        <w:tc>
          <w:tcPr>
            <w:tcW w:w="3261" w:type="dxa"/>
            <w:tcBorders>
              <w:top w:val="nil"/>
              <w:left w:val="nil"/>
              <w:bottom w:val="nil"/>
              <w:right w:val="nil"/>
            </w:tcBorders>
            <w:shd w:val="clear" w:color="000000" w:fill="FFFFFF"/>
            <w:noWrap/>
            <w:vAlign w:val="center"/>
            <w:hideMark/>
          </w:tcPr>
          <w:p w14:paraId="36D57FC8" w14:textId="77777777" w:rsidR="00EC4F7D" w:rsidRPr="00D73222" w:rsidRDefault="00EC4F7D" w:rsidP="00EC4F7D">
            <w:pPr>
              <w:rPr>
                <w:rFonts w:ascii="Arial" w:hAnsi="Arial" w:cs="Arial"/>
                <w:sz w:val="22"/>
                <w:szCs w:val="22"/>
                <w:lang w:val="en-PH" w:eastAsia="en-PH"/>
              </w:rPr>
            </w:pPr>
            <w:r w:rsidRPr="00D73222">
              <w:rPr>
                <w:rFonts w:ascii="Arial" w:hAnsi="Arial" w:cs="Arial"/>
                <w:sz w:val="22"/>
                <w:szCs w:val="22"/>
                <w:lang w:val="en-PH" w:eastAsia="en-PH"/>
              </w:rPr>
              <w:t>Affective Engagement</w:t>
            </w:r>
          </w:p>
        </w:tc>
        <w:tc>
          <w:tcPr>
            <w:tcW w:w="1297" w:type="dxa"/>
            <w:tcBorders>
              <w:top w:val="nil"/>
              <w:left w:val="nil"/>
              <w:bottom w:val="nil"/>
              <w:right w:val="nil"/>
            </w:tcBorders>
            <w:shd w:val="clear" w:color="000000" w:fill="FFFFFF"/>
            <w:noWrap/>
            <w:vAlign w:val="center"/>
          </w:tcPr>
          <w:p w14:paraId="3793E2B0"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1.08</w:t>
            </w:r>
          </w:p>
        </w:tc>
        <w:tc>
          <w:tcPr>
            <w:tcW w:w="1864" w:type="dxa"/>
            <w:tcBorders>
              <w:top w:val="nil"/>
              <w:left w:val="nil"/>
              <w:bottom w:val="nil"/>
              <w:right w:val="nil"/>
            </w:tcBorders>
            <w:shd w:val="clear" w:color="000000" w:fill="FFFFFF"/>
            <w:noWrap/>
            <w:vAlign w:val="center"/>
            <w:hideMark/>
          </w:tcPr>
          <w:p w14:paraId="3F6C5B45"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3.98</w:t>
            </w:r>
          </w:p>
        </w:tc>
        <w:tc>
          <w:tcPr>
            <w:tcW w:w="1822" w:type="dxa"/>
            <w:tcBorders>
              <w:top w:val="nil"/>
              <w:left w:val="nil"/>
              <w:bottom w:val="nil"/>
              <w:right w:val="nil"/>
            </w:tcBorders>
            <w:shd w:val="clear" w:color="000000" w:fill="FFFFFF"/>
            <w:noWrap/>
            <w:vAlign w:val="center"/>
            <w:hideMark/>
          </w:tcPr>
          <w:p w14:paraId="3AF63E08"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High</w:t>
            </w:r>
          </w:p>
        </w:tc>
      </w:tr>
      <w:tr w:rsidR="00EC4F7D" w:rsidRPr="00D73222" w14:paraId="104D020B" w14:textId="77777777" w:rsidTr="00EC4F7D">
        <w:trPr>
          <w:trHeight w:val="548"/>
        </w:trPr>
        <w:tc>
          <w:tcPr>
            <w:tcW w:w="3261" w:type="dxa"/>
            <w:tcBorders>
              <w:left w:val="nil"/>
              <w:bottom w:val="single" w:sz="8" w:space="0" w:color="auto"/>
              <w:right w:val="nil"/>
            </w:tcBorders>
            <w:shd w:val="clear" w:color="000000" w:fill="FFFFFF"/>
            <w:noWrap/>
            <w:vAlign w:val="center"/>
            <w:hideMark/>
          </w:tcPr>
          <w:p w14:paraId="5F92AAC3" w14:textId="77777777" w:rsidR="00EC4F7D" w:rsidRPr="00D73222" w:rsidRDefault="00EC4F7D" w:rsidP="00EC4F7D">
            <w:pPr>
              <w:rPr>
                <w:rFonts w:ascii="Arial" w:hAnsi="Arial" w:cs="Arial"/>
                <w:b/>
                <w:bCs/>
                <w:sz w:val="22"/>
                <w:szCs w:val="22"/>
                <w:lang w:val="en-PH" w:eastAsia="en-PH"/>
              </w:rPr>
            </w:pPr>
            <w:r w:rsidRPr="00D73222">
              <w:rPr>
                <w:rFonts w:ascii="Arial" w:hAnsi="Arial" w:cs="Arial"/>
                <w:b/>
                <w:bCs/>
                <w:sz w:val="22"/>
                <w:szCs w:val="22"/>
                <w:lang w:val="en-PH" w:eastAsia="en-PH"/>
              </w:rPr>
              <w:t>Overall Result</w:t>
            </w:r>
          </w:p>
        </w:tc>
        <w:tc>
          <w:tcPr>
            <w:tcW w:w="1297" w:type="dxa"/>
            <w:tcBorders>
              <w:left w:val="nil"/>
              <w:bottom w:val="single" w:sz="8" w:space="0" w:color="auto"/>
              <w:right w:val="nil"/>
            </w:tcBorders>
            <w:shd w:val="clear" w:color="000000" w:fill="FFFFFF"/>
            <w:noWrap/>
            <w:vAlign w:val="center"/>
          </w:tcPr>
          <w:p w14:paraId="18ADE611"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1.11</w:t>
            </w:r>
          </w:p>
        </w:tc>
        <w:tc>
          <w:tcPr>
            <w:tcW w:w="1864" w:type="dxa"/>
            <w:tcBorders>
              <w:left w:val="nil"/>
              <w:bottom w:val="single" w:sz="8" w:space="0" w:color="auto"/>
              <w:right w:val="nil"/>
            </w:tcBorders>
            <w:shd w:val="clear" w:color="000000" w:fill="FFFFFF"/>
            <w:noWrap/>
            <w:vAlign w:val="center"/>
            <w:hideMark/>
          </w:tcPr>
          <w:p w14:paraId="625FCAE1"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3.90</w:t>
            </w:r>
          </w:p>
        </w:tc>
        <w:tc>
          <w:tcPr>
            <w:tcW w:w="1822" w:type="dxa"/>
            <w:tcBorders>
              <w:left w:val="nil"/>
              <w:bottom w:val="single" w:sz="8" w:space="0" w:color="auto"/>
              <w:right w:val="nil"/>
            </w:tcBorders>
            <w:shd w:val="clear" w:color="000000" w:fill="FFFFFF"/>
            <w:noWrap/>
            <w:vAlign w:val="center"/>
            <w:hideMark/>
          </w:tcPr>
          <w:p w14:paraId="0FF6F621"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High</w:t>
            </w:r>
          </w:p>
        </w:tc>
      </w:tr>
    </w:tbl>
    <w:p w14:paraId="02DC59C1" w14:textId="77777777" w:rsidR="00742C2E" w:rsidRPr="00742C2E" w:rsidRDefault="00742C2E" w:rsidP="00742C2E">
      <w:pPr>
        <w:rPr>
          <w:rFonts w:ascii="Arial" w:hAnsi="Arial" w:cs="Arial"/>
        </w:rPr>
      </w:pPr>
    </w:p>
    <w:p w14:paraId="2B936857" w14:textId="516F8754" w:rsidR="00742C2E" w:rsidRDefault="002E16DC" w:rsidP="002E16DC">
      <w:pPr>
        <w:jc w:val="both"/>
        <w:rPr>
          <w:rFonts w:ascii="Arial" w:hAnsi="Arial" w:cs="Arial"/>
          <w:sz w:val="22"/>
          <w:szCs w:val="22"/>
        </w:rPr>
      </w:pPr>
      <w:r w:rsidRPr="002E16DC">
        <w:rPr>
          <w:rFonts w:ascii="Arial" w:hAnsi="Arial" w:cs="Arial"/>
          <w:sz w:val="22"/>
          <w:szCs w:val="22"/>
        </w:rPr>
        <w:t xml:space="preserve">Table 3 depicts descriptive insights about the levels of student engagement among senior high school learners.  The report suggested a high degree of student engagement, with a mean of 3.90 and a standard deviation of 1.11.  The elevated level is also apparent in its indicators: cognitive engagement (Mean = 3.81; SD = 1.15), behavioral engagement (Mean = 3.97; SD = 1.10), and affective involvement (Mean = 3.98; SD = 1.08).  This study's results demonstrate that senior high school students are cognitively, behaviorally, and emotionally engaged in mathematics, leading to effective learning, pleasant feelings, and appreciation for the subject, which can enhance their academic success and sustain interest in mathematics.  This outcome corresponds with the research conducted by Lo and Hew (2020) and </w:t>
      </w:r>
      <w:proofErr w:type="spellStart"/>
      <w:r w:rsidRPr="002E16DC">
        <w:rPr>
          <w:rFonts w:ascii="Arial" w:hAnsi="Arial" w:cs="Arial"/>
          <w:sz w:val="22"/>
          <w:szCs w:val="22"/>
        </w:rPr>
        <w:lastRenderedPageBreak/>
        <w:t>Maamin</w:t>
      </w:r>
      <w:proofErr w:type="spellEnd"/>
      <w:r w:rsidRPr="002E16DC">
        <w:rPr>
          <w:rFonts w:ascii="Arial" w:hAnsi="Arial" w:cs="Arial"/>
          <w:sz w:val="22"/>
          <w:szCs w:val="22"/>
        </w:rPr>
        <w:t xml:space="preserve"> et al. (2021), which assert that student engagement is crucial for learning, since elevated levels of engagement correlate with numerous favorable results and enhance mathematics achievement.</w:t>
      </w:r>
    </w:p>
    <w:p w14:paraId="03D8734A" w14:textId="77777777" w:rsidR="002E16DC" w:rsidRPr="00742C2E" w:rsidRDefault="002E16DC" w:rsidP="002E16DC">
      <w:pPr>
        <w:jc w:val="both"/>
        <w:rPr>
          <w:rFonts w:ascii="Arial" w:hAnsi="Arial" w:cs="Arial"/>
        </w:rPr>
      </w:pPr>
    </w:p>
    <w:tbl>
      <w:tblPr>
        <w:tblpPr w:leftFromText="180" w:rightFromText="180" w:vertAnchor="text" w:horzAnchor="margin" w:tblpY="-51"/>
        <w:tblW w:w="8375" w:type="dxa"/>
        <w:tblLook w:val="04A0" w:firstRow="1" w:lastRow="0" w:firstColumn="1" w:lastColumn="0" w:noHBand="0" w:noVBand="1"/>
      </w:tblPr>
      <w:tblGrid>
        <w:gridCol w:w="1291"/>
        <w:gridCol w:w="3239"/>
        <w:gridCol w:w="1390"/>
        <w:gridCol w:w="1197"/>
        <w:gridCol w:w="1258"/>
      </w:tblGrid>
      <w:tr w:rsidR="005A6712" w:rsidRPr="00974328" w14:paraId="737677DA" w14:textId="77777777" w:rsidTr="00C0500F">
        <w:trPr>
          <w:trHeight w:val="763"/>
        </w:trPr>
        <w:tc>
          <w:tcPr>
            <w:tcW w:w="8375" w:type="dxa"/>
            <w:gridSpan w:val="5"/>
            <w:tcBorders>
              <w:top w:val="nil"/>
              <w:left w:val="nil"/>
              <w:bottom w:val="nil"/>
              <w:right w:val="nil"/>
            </w:tcBorders>
            <w:shd w:val="clear" w:color="000000" w:fill="FFFFFF"/>
            <w:noWrap/>
            <w:vAlign w:val="bottom"/>
            <w:hideMark/>
          </w:tcPr>
          <w:p w14:paraId="65FA80F9" w14:textId="77777777" w:rsidR="005A6712" w:rsidRPr="00974328" w:rsidRDefault="005A6712" w:rsidP="002E16DC">
            <w:pPr>
              <w:ind w:left="720" w:hanging="720"/>
              <w:jc w:val="both"/>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Table 4. Significant Relationship between Mathematical Satisfaction, Attitude towards Mathematics and Student Engagement in Mathematics</w:t>
            </w:r>
          </w:p>
          <w:p w14:paraId="5632BC81"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 </w:t>
            </w:r>
          </w:p>
        </w:tc>
      </w:tr>
      <w:tr w:rsidR="005A6712" w:rsidRPr="00974328" w14:paraId="2086BDF5" w14:textId="77777777" w:rsidTr="00C0500F">
        <w:trPr>
          <w:trHeight w:val="665"/>
        </w:trPr>
        <w:tc>
          <w:tcPr>
            <w:tcW w:w="1291" w:type="dxa"/>
            <w:tcBorders>
              <w:top w:val="single" w:sz="8" w:space="0" w:color="auto"/>
              <w:left w:val="nil"/>
              <w:bottom w:val="single" w:sz="8" w:space="0" w:color="auto"/>
              <w:right w:val="nil"/>
            </w:tcBorders>
            <w:shd w:val="clear" w:color="000000" w:fill="FFFFFF"/>
            <w:noWrap/>
            <w:vAlign w:val="center"/>
            <w:hideMark/>
          </w:tcPr>
          <w:p w14:paraId="22E0E1FB" w14:textId="77777777" w:rsidR="005A6712" w:rsidRPr="00974328" w:rsidRDefault="005A6712" w:rsidP="002E16DC">
            <w:pPr>
              <w:jc w:val="both"/>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Pair</w:t>
            </w:r>
          </w:p>
        </w:tc>
        <w:tc>
          <w:tcPr>
            <w:tcW w:w="3239" w:type="dxa"/>
            <w:tcBorders>
              <w:top w:val="single" w:sz="8" w:space="0" w:color="auto"/>
              <w:left w:val="nil"/>
              <w:bottom w:val="single" w:sz="8" w:space="0" w:color="auto"/>
              <w:right w:val="nil"/>
            </w:tcBorders>
            <w:shd w:val="clear" w:color="000000" w:fill="FFFFFF"/>
            <w:noWrap/>
            <w:vAlign w:val="center"/>
            <w:hideMark/>
          </w:tcPr>
          <w:p w14:paraId="284A105C" w14:textId="77777777" w:rsidR="005A6712" w:rsidRPr="00974328" w:rsidRDefault="005A6712" w:rsidP="002E16DC">
            <w:pPr>
              <w:jc w:val="both"/>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Variables</w:t>
            </w:r>
          </w:p>
        </w:tc>
        <w:tc>
          <w:tcPr>
            <w:tcW w:w="1390" w:type="dxa"/>
            <w:tcBorders>
              <w:top w:val="single" w:sz="8" w:space="0" w:color="auto"/>
              <w:left w:val="nil"/>
              <w:bottom w:val="single" w:sz="8" w:space="0" w:color="auto"/>
              <w:right w:val="nil"/>
            </w:tcBorders>
            <w:shd w:val="clear" w:color="000000" w:fill="FFFFFF"/>
            <w:vAlign w:val="center"/>
            <w:hideMark/>
          </w:tcPr>
          <w:p w14:paraId="3C625969" w14:textId="77777777" w:rsidR="005A6712" w:rsidRPr="00974328" w:rsidRDefault="005A6712" w:rsidP="002E16DC">
            <w:pPr>
              <w:jc w:val="both"/>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Correlation Coefficient</w:t>
            </w:r>
          </w:p>
        </w:tc>
        <w:tc>
          <w:tcPr>
            <w:tcW w:w="1197" w:type="dxa"/>
            <w:tcBorders>
              <w:top w:val="single" w:sz="8" w:space="0" w:color="auto"/>
              <w:left w:val="nil"/>
              <w:bottom w:val="single" w:sz="8" w:space="0" w:color="auto"/>
              <w:right w:val="nil"/>
            </w:tcBorders>
            <w:shd w:val="clear" w:color="000000" w:fill="FFFFFF"/>
            <w:vAlign w:val="center"/>
            <w:hideMark/>
          </w:tcPr>
          <w:p w14:paraId="240CEFA2" w14:textId="77777777" w:rsidR="005A6712" w:rsidRPr="00974328" w:rsidRDefault="005A6712" w:rsidP="002E16DC">
            <w:pPr>
              <w:jc w:val="both"/>
              <w:rPr>
                <w:rFonts w:ascii="Arial" w:hAnsi="Arial" w:cs="Arial"/>
                <w:b/>
                <w:bCs/>
                <w:i/>
                <w:iCs/>
                <w:color w:val="000000"/>
                <w:sz w:val="22"/>
                <w:szCs w:val="22"/>
                <w:lang w:val="en-PH" w:eastAsia="en-PH"/>
              </w:rPr>
            </w:pPr>
            <w:r w:rsidRPr="00974328">
              <w:rPr>
                <w:rFonts w:ascii="Arial" w:hAnsi="Arial" w:cs="Arial"/>
                <w:b/>
                <w:bCs/>
                <w:i/>
                <w:iCs/>
                <w:color w:val="000000"/>
                <w:sz w:val="22"/>
                <w:szCs w:val="22"/>
                <w:lang w:val="en-PH" w:eastAsia="en-PH"/>
              </w:rPr>
              <w:t>p-value</w:t>
            </w:r>
          </w:p>
        </w:tc>
        <w:tc>
          <w:tcPr>
            <w:tcW w:w="1258" w:type="dxa"/>
            <w:tcBorders>
              <w:top w:val="single" w:sz="8" w:space="0" w:color="auto"/>
              <w:left w:val="nil"/>
              <w:bottom w:val="single" w:sz="8" w:space="0" w:color="auto"/>
              <w:right w:val="nil"/>
            </w:tcBorders>
            <w:shd w:val="clear" w:color="000000" w:fill="FFFFFF"/>
            <w:vAlign w:val="center"/>
            <w:hideMark/>
          </w:tcPr>
          <w:p w14:paraId="1F51CF34" w14:textId="77777777" w:rsidR="005A6712" w:rsidRPr="00974328" w:rsidRDefault="005A6712" w:rsidP="002E16DC">
            <w:pPr>
              <w:jc w:val="both"/>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Decision</w:t>
            </w:r>
          </w:p>
        </w:tc>
      </w:tr>
      <w:tr w:rsidR="005A6712" w:rsidRPr="00974328" w14:paraId="1FD72494" w14:textId="77777777" w:rsidTr="00C0500F">
        <w:trPr>
          <w:trHeight w:val="807"/>
        </w:trPr>
        <w:tc>
          <w:tcPr>
            <w:tcW w:w="1291" w:type="dxa"/>
            <w:tcBorders>
              <w:top w:val="nil"/>
              <w:left w:val="nil"/>
              <w:bottom w:val="nil"/>
              <w:right w:val="nil"/>
            </w:tcBorders>
            <w:shd w:val="clear" w:color="000000" w:fill="FFFFFF"/>
            <w:vAlign w:val="center"/>
            <w:hideMark/>
          </w:tcPr>
          <w:p w14:paraId="6C321F17"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IV1 and DV</w:t>
            </w:r>
          </w:p>
        </w:tc>
        <w:tc>
          <w:tcPr>
            <w:tcW w:w="3239" w:type="dxa"/>
            <w:tcBorders>
              <w:top w:val="nil"/>
              <w:left w:val="nil"/>
              <w:bottom w:val="nil"/>
              <w:right w:val="nil"/>
            </w:tcBorders>
            <w:shd w:val="clear" w:color="000000" w:fill="FFFFFF"/>
            <w:vAlign w:val="center"/>
            <w:hideMark/>
          </w:tcPr>
          <w:p w14:paraId="59DFB34F"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Mathematical Satisfaction and Student Engagement</w:t>
            </w:r>
          </w:p>
        </w:tc>
        <w:tc>
          <w:tcPr>
            <w:tcW w:w="1390" w:type="dxa"/>
            <w:tcBorders>
              <w:top w:val="nil"/>
              <w:left w:val="nil"/>
              <w:bottom w:val="nil"/>
              <w:right w:val="nil"/>
            </w:tcBorders>
            <w:shd w:val="clear" w:color="000000" w:fill="FFFFFF"/>
            <w:noWrap/>
            <w:vAlign w:val="center"/>
            <w:hideMark/>
          </w:tcPr>
          <w:p w14:paraId="75EEC493"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.905**</w:t>
            </w:r>
          </w:p>
        </w:tc>
        <w:tc>
          <w:tcPr>
            <w:tcW w:w="1197" w:type="dxa"/>
            <w:tcBorders>
              <w:top w:val="nil"/>
              <w:left w:val="nil"/>
              <w:bottom w:val="nil"/>
              <w:right w:val="nil"/>
            </w:tcBorders>
            <w:shd w:val="clear" w:color="000000" w:fill="FFFFFF"/>
            <w:noWrap/>
            <w:vAlign w:val="center"/>
            <w:hideMark/>
          </w:tcPr>
          <w:p w14:paraId="63F8244D"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.000</w:t>
            </w:r>
          </w:p>
        </w:tc>
        <w:tc>
          <w:tcPr>
            <w:tcW w:w="1258" w:type="dxa"/>
            <w:tcBorders>
              <w:top w:val="nil"/>
              <w:left w:val="nil"/>
              <w:bottom w:val="nil"/>
              <w:right w:val="nil"/>
            </w:tcBorders>
            <w:shd w:val="clear" w:color="000000" w:fill="FFFFFF"/>
            <w:noWrap/>
            <w:vAlign w:val="center"/>
            <w:hideMark/>
          </w:tcPr>
          <w:p w14:paraId="41958333"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Reject</w:t>
            </w:r>
          </w:p>
        </w:tc>
      </w:tr>
      <w:tr w:rsidR="005A6712" w:rsidRPr="00974328" w14:paraId="247ADDC8" w14:textId="77777777" w:rsidTr="00C0500F">
        <w:trPr>
          <w:trHeight w:val="949"/>
        </w:trPr>
        <w:tc>
          <w:tcPr>
            <w:tcW w:w="1291" w:type="dxa"/>
            <w:tcBorders>
              <w:top w:val="nil"/>
              <w:left w:val="nil"/>
              <w:bottom w:val="nil"/>
              <w:right w:val="nil"/>
            </w:tcBorders>
            <w:shd w:val="clear" w:color="000000" w:fill="FFFFFF"/>
            <w:vAlign w:val="center"/>
            <w:hideMark/>
          </w:tcPr>
          <w:p w14:paraId="1BA30E92"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IV2 and DV</w:t>
            </w:r>
          </w:p>
        </w:tc>
        <w:tc>
          <w:tcPr>
            <w:tcW w:w="3239" w:type="dxa"/>
            <w:tcBorders>
              <w:top w:val="nil"/>
              <w:left w:val="nil"/>
              <w:bottom w:val="nil"/>
              <w:right w:val="nil"/>
            </w:tcBorders>
            <w:shd w:val="clear" w:color="000000" w:fill="FFFFFF"/>
            <w:vAlign w:val="center"/>
            <w:hideMark/>
          </w:tcPr>
          <w:p w14:paraId="5972B17B"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Attitude towards Mathematics and Student Engagement</w:t>
            </w:r>
          </w:p>
        </w:tc>
        <w:tc>
          <w:tcPr>
            <w:tcW w:w="1390" w:type="dxa"/>
            <w:tcBorders>
              <w:top w:val="nil"/>
              <w:left w:val="nil"/>
              <w:bottom w:val="nil"/>
              <w:right w:val="nil"/>
            </w:tcBorders>
            <w:shd w:val="clear" w:color="000000" w:fill="FFFFFF"/>
            <w:noWrap/>
            <w:vAlign w:val="center"/>
            <w:hideMark/>
          </w:tcPr>
          <w:p w14:paraId="200FAF9A"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.837**</w:t>
            </w:r>
          </w:p>
        </w:tc>
        <w:tc>
          <w:tcPr>
            <w:tcW w:w="1197" w:type="dxa"/>
            <w:tcBorders>
              <w:top w:val="nil"/>
              <w:left w:val="nil"/>
              <w:bottom w:val="nil"/>
              <w:right w:val="nil"/>
            </w:tcBorders>
            <w:shd w:val="clear" w:color="000000" w:fill="FFFFFF"/>
            <w:noWrap/>
            <w:vAlign w:val="center"/>
            <w:hideMark/>
          </w:tcPr>
          <w:p w14:paraId="14D05A59"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.000</w:t>
            </w:r>
          </w:p>
        </w:tc>
        <w:tc>
          <w:tcPr>
            <w:tcW w:w="1258" w:type="dxa"/>
            <w:tcBorders>
              <w:top w:val="nil"/>
              <w:left w:val="nil"/>
              <w:bottom w:val="nil"/>
              <w:right w:val="nil"/>
            </w:tcBorders>
            <w:shd w:val="clear" w:color="000000" w:fill="FFFFFF"/>
            <w:noWrap/>
            <w:vAlign w:val="center"/>
            <w:hideMark/>
          </w:tcPr>
          <w:p w14:paraId="1826D30A"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Reject</w:t>
            </w:r>
          </w:p>
        </w:tc>
      </w:tr>
      <w:tr w:rsidR="005A6712" w:rsidRPr="00974328" w14:paraId="3C8DDC8D" w14:textId="77777777" w:rsidTr="00C0500F">
        <w:trPr>
          <w:trHeight w:val="246"/>
        </w:trPr>
        <w:tc>
          <w:tcPr>
            <w:tcW w:w="1291" w:type="dxa"/>
            <w:tcBorders>
              <w:top w:val="nil"/>
              <w:left w:val="nil"/>
              <w:bottom w:val="single" w:sz="8" w:space="0" w:color="auto"/>
              <w:right w:val="nil"/>
            </w:tcBorders>
            <w:shd w:val="clear" w:color="000000" w:fill="FFFFFF"/>
            <w:noWrap/>
            <w:vAlign w:val="bottom"/>
            <w:hideMark/>
          </w:tcPr>
          <w:p w14:paraId="189B0F82"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 </w:t>
            </w:r>
          </w:p>
        </w:tc>
        <w:tc>
          <w:tcPr>
            <w:tcW w:w="3239" w:type="dxa"/>
            <w:tcBorders>
              <w:top w:val="nil"/>
              <w:left w:val="nil"/>
              <w:bottom w:val="single" w:sz="8" w:space="0" w:color="auto"/>
              <w:right w:val="nil"/>
            </w:tcBorders>
            <w:shd w:val="clear" w:color="000000" w:fill="FFFFFF"/>
            <w:noWrap/>
            <w:vAlign w:val="center"/>
            <w:hideMark/>
          </w:tcPr>
          <w:p w14:paraId="0FAEBD81" w14:textId="3439007E" w:rsidR="005A6712" w:rsidRPr="00974328" w:rsidRDefault="005A6712" w:rsidP="002E16DC">
            <w:pPr>
              <w:jc w:val="both"/>
              <w:rPr>
                <w:rFonts w:ascii="Arial" w:hAnsi="Arial" w:cs="Arial"/>
                <w:color w:val="000000"/>
                <w:sz w:val="22"/>
                <w:szCs w:val="22"/>
                <w:lang w:val="en-PH" w:eastAsia="en-PH"/>
              </w:rPr>
            </w:pPr>
          </w:p>
        </w:tc>
        <w:tc>
          <w:tcPr>
            <w:tcW w:w="1390" w:type="dxa"/>
            <w:tcBorders>
              <w:top w:val="nil"/>
              <w:left w:val="nil"/>
              <w:bottom w:val="single" w:sz="8" w:space="0" w:color="auto"/>
              <w:right w:val="nil"/>
            </w:tcBorders>
            <w:shd w:val="clear" w:color="000000" w:fill="FFFFFF"/>
            <w:noWrap/>
            <w:vAlign w:val="center"/>
            <w:hideMark/>
          </w:tcPr>
          <w:p w14:paraId="3DA8B815"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 </w:t>
            </w:r>
          </w:p>
        </w:tc>
        <w:tc>
          <w:tcPr>
            <w:tcW w:w="1197" w:type="dxa"/>
            <w:tcBorders>
              <w:top w:val="nil"/>
              <w:left w:val="nil"/>
              <w:bottom w:val="single" w:sz="8" w:space="0" w:color="auto"/>
              <w:right w:val="nil"/>
            </w:tcBorders>
            <w:shd w:val="clear" w:color="000000" w:fill="FFFFFF"/>
            <w:noWrap/>
            <w:vAlign w:val="center"/>
            <w:hideMark/>
          </w:tcPr>
          <w:p w14:paraId="0CAADCA4" w14:textId="77777777" w:rsidR="005A6712" w:rsidRPr="00974328" w:rsidRDefault="005A6712" w:rsidP="002E16DC">
            <w:pPr>
              <w:jc w:val="both"/>
              <w:rPr>
                <w:rFonts w:ascii="Arial" w:hAnsi="Arial" w:cs="Arial"/>
                <w:color w:val="000000"/>
                <w:sz w:val="22"/>
                <w:szCs w:val="22"/>
                <w:lang w:val="en-PH" w:eastAsia="en-PH"/>
              </w:rPr>
            </w:pPr>
            <w:r w:rsidRPr="00974328">
              <w:rPr>
                <w:rFonts w:ascii="Arial" w:hAnsi="Arial" w:cs="Arial"/>
                <w:color w:val="000000"/>
                <w:sz w:val="22"/>
                <w:szCs w:val="22"/>
                <w:lang w:val="en-PH" w:eastAsia="en-PH"/>
              </w:rPr>
              <w:t> </w:t>
            </w:r>
          </w:p>
        </w:tc>
        <w:tc>
          <w:tcPr>
            <w:tcW w:w="1258" w:type="dxa"/>
            <w:tcBorders>
              <w:top w:val="nil"/>
              <w:left w:val="nil"/>
              <w:bottom w:val="single" w:sz="8" w:space="0" w:color="auto"/>
              <w:right w:val="nil"/>
            </w:tcBorders>
            <w:shd w:val="clear" w:color="000000" w:fill="FFFFFF"/>
            <w:noWrap/>
            <w:vAlign w:val="center"/>
            <w:hideMark/>
          </w:tcPr>
          <w:p w14:paraId="11DF3F58" w14:textId="77777777" w:rsidR="005A6712" w:rsidRPr="00974328" w:rsidRDefault="005A6712" w:rsidP="002E16DC">
            <w:pPr>
              <w:jc w:val="both"/>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 </w:t>
            </w:r>
          </w:p>
        </w:tc>
      </w:tr>
    </w:tbl>
    <w:p w14:paraId="0FF44EF8" w14:textId="3EFA37D0" w:rsidR="009D5C14" w:rsidRDefault="00C0500F" w:rsidP="009D5C14">
      <w:pPr>
        <w:jc w:val="both"/>
        <w:rPr>
          <w:rFonts w:ascii="Arial" w:hAnsi="Arial" w:cs="Arial"/>
          <w:sz w:val="22"/>
          <w:szCs w:val="22"/>
        </w:rPr>
      </w:pPr>
      <w:r w:rsidRPr="00C0500F">
        <w:rPr>
          <w:rFonts w:ascii="Arial" w:hAnsi="Arial" w:cs="Arial"/>
          <w:sz w:val="22"/>
          <w:szCs w:val="22"/>
        </w:rPr>
        <w:t xml:space="preserve">Table 4 illustrates the association between </w:t>
      </w:r>
      <w:r w:rsidR="002E16DC" w:rsidRPr="00C0500F">
        <w:rPr>
          <w:rFonts w:ascii="Arial" w:hAnsi="Arial" w:cs="Arial"/>
          <w:sz w:val="22"/>
          <w:szCs w:val="22"/>
        </w:rPr>
        <w:t>independent</w:t>
      </w:r>
      <w:r w:rsidRPr="00C0500F">
        <w:rPr>
          <w:rFonts w:ascii="Arial" w:hAnsi="Arial" w:cs="Arial"/>
          <w:sz w:val="22"/>
          <w:szCs w:val="22"/>
        </w:rPr>
        <w:t xml:space="preserve"> and dependent variables.  The study indicates a robust, significant, positive correlation between mathematical satisfaction and student involvement (r = .905, p &lt; .001).  This suggests that math students with a greater degree of mathematical satisfaction are more inclined to engage actively in their study.  This outcome corresponds with the findings of Ryan et al. (2022), which assert that increased participation in mathematics is typically linked to enhanced satisfaction in the subject matter.  Feng et al. (2025) stated that augmenting student happiness is crucial for improving engagement and academic performance.</w:t>
      </w:r>
    </w:p>
    <w:p w14:paraId="5A8A767F" w14:textId="77777777" w:rsidR="00CF126D" w:rsidRDefault="00CF126D" w:rsidP="009D5C14">
      <w:pPr>
        <w:jc w:val="both"/>
        <w:rPr>
          <w:rFonts w:ascii="Arial" w:hAnsi="Arial" w:cs="Arial"/>
          <w:sz w:val="22"/>
          <w:szCs w:val="22"/>
        </w:rPr>
      </w:pPr>
    </w:p>
    <w:p w14:paraId="0D05611C" w14:textId="77777777" w:rsidR="00CF126D" w:rsidRDefault="00CF126D" w:rsidP="00CF126D">
      <w:pPr>
        <w:jc w:val="both"/>
        <w:rPr>
          <w:rFonts w:ascii="Arial" w:hAnsi="Arial" w:cs="Arial"/>
          <w:sz w:val="22"/>
          <w:szCs w:val="22"/>
        </w:rPr>
      </w:pPr>
      <w:r w:rsidRPr="00241E05">
        <w:rPr>
          <w:rFonts w:ascii="Arial" w:hAnsi="Arial" w:cs="Arial"/>
          <w:sz w:val="22"/>
          <w:szCs w:val="22"/>
        </w:rPr>
        <w:t xml:space="preserve">The results illustrated a substantial, favorable, and statistically significant correlation between attitudes toward mathematics and student engagement in mathematics (r = .837, p &lt; .001).  This indicates that learners with a favorable disposition towards mathematics are far more inclined to involve themselves actively in their learning endeavors. The results correspond with the research by </w:t>
      </w:r>
      <w:proofErr w:type="spellStart"/>
      <w:r w:rsidRPr="00241E05">
        <w:rPr>
          <w:rFonts w:ascii="Arial" w:hAnsi="Arial" w:cs="Arial"/>
          <w:sz w:val="22"/>
          <w:szCs w:val="22"/>
        </w:rPr>
        <w:t>Pondias</w:t>
      </w:r>
      <w:proofErr w:type="spellEnd"/>
      <w:r w:rsidRPr="00241E05">
        <w:rPr>
          <w:rFonts w:ascii="Arial" w:hAnsi="Arial" w:cs="Arial"/>
          <w:sz w:val="22"/>
          <w:szCs w:val="22"/>
        </w:rPr>
        <w:t xml:space="preserve"> and </w:t>
      </w:r>
      <w:proofErr w:type="spellStart"/>
      <w:r w:rsidRPr="00241E05">
        <w:rPr>
          <w:rFonts w:ascii="Arial" w:hAnsi="Arial" w:cs="Arial"/>
          <w:sz w:val="22"/>
          <w:szCs w:val="22"/>
        </w:rPr>
        <w:t>Tado</w:t>
      </w:r>
      <w:proofErr w:type="spellEnd"/>
      <w:r w:rsidRPr="00241E05">
        <w:rPr>
          <w:rFonts w:ascii="Arial" w:hAnsi="Arial" w:cs="Arial"/>
          <w:sz w:val="22"/>
          <w:szCs w:val="22"/>
        </w:rPr>
        <w:t xml:space="preserve"> (2025), which demonstrated a substantial correlation between students' attitudes towards mathematics and their involvement in the subject. They argue that an optimistic attitude towards mathematics is essential for increasing engagement. Similarly, </w:t>
      </w:r>
      <w:proofErr w:type="spellStart"/>
      <w:r w:rsidRPr="00241E05">
        <w:rPr>
          <w:rFonts w:ascii="Arial" w:hAnsi="Arial" w:cs="Arial"/>
          <w:sz w:val="22"/>
          <w:szCs w:val="22"/>
        </w:rPr>
        <w:t>Wakhata</w:t>
      </w:r>
      <w:proofErr w:type="spellEnd"/>
      <w:r w:rsidRPr="00241E05">
        <w:rPr>
          <w:rFonts w:ascii="Arial" w:hAnsi="Arial" w:cs="Arial"/>
          <w:sz w:val="22"/>
          <w:szCs w:val="22"/>
        </w:rPr>
        <w:t xml:space="preserve"> et al. (2022) asserted that an optimistic attitude towards mathematics among students enhances their performance and can impact their overall achievement in the subject.</w:t>
      </w:r>
    </w:p>
    <w:p w14:paraId="0CC21752" w14:textId="77777777" w:rsidR="00CF126D" w:rsidRPr="009D5C14" w:rsidRDefault="00CF126D" w:rsidP="009D5C14">
      <w:pPr>
        <w:jc w:val="both"/>
        <w:rPr>
          <w:rFonts w:ascii="Arial" w:hAnsi="Arial" w:cs="Arial"/>
          <w:sz w:val="22"/>
          <w:szCs w:val="22"/>
        </w:rPr>
      </w:pPr>
    </w:p>
    <w:p w14:paraId="022F9A17" w14:textId="77777777" w:rsidR="00241E05" w:rsidRPr="00872B97" w:rsidRDefault="00241E05" w:rsidP="009D5C14">
      <w:pPr>
        <w:jc w:val="both"/>
        <w:rPr>
          <w:rFonts w:ascii="Arial" w:hAnsi="Arial" w:cs="Arial"/>
          <w:sz w:val="22"/>
          <w:szCs w:val="22"/>
        </w:rPr>
      </w:pPr>
    </w:p>
    <w:tbl>
      <w:tblPr>
        <w:tblpPr w:leftFromText="180" w:rightFromText="180" w:vertAnchor="text" w:horzAnchor="margin" w:tblpY="-11"/>
        <w:tblW w:w="8100" w:type="dxa"/>
        <w:tblLook w:val="04A0" w:firstRow="1" w:lastRow="0" w:firstColumn="1" w:lastColumn="0" w:noHBand="0" w:noVBand="1"/>
      </w:tblPr>
      <w:tblGrid>
        <w:gridCol w:w="993"/>
        <w:gridCol w:w="1441"/>
        <w:gridCol w:w="358"/>
        <w:gridCol w:w="307"/>
        <w:gridCol w:w="1277"/>
        <w:gridCol w:w="128"/>
        <w:gridCol w:w="665"/>
        <w:gridCol w:w="134"/>
        <w:gridCol w:w="720"/>
        <w:gridCol w:w="423"/>
        <w:gridCol w:w="927"/>
        <w:gridCol w:w="727"/>
      </w:tblGrid>
      <w:tr w:rsidR="000921D0" w:rsidRPr="00585DF8" w14:paraId="01832154" w14:textId="77777777" w:rsidTr="000921D0">
        <w:trPr>
          <w:trHeight w:val="451"/>
        </w:trPr>
        <w:tc>
          <w:tcPr>
            <w:tcW w:w="8100" w:type="dxa"/>
            <w:gridSpan w:val="12"/>
            <w:tcBorders>
              <w:top w:val="nil"/>
              <w:left w:val="nil"/>
              <w:bottom w:val="nil"/>
              <w:right w:val="nil"/>
            </w:tcBorders>
            <w:shd w:val="clear" w:color="000000" w:fill="FFFFFF"/>
            <w:vAlign w:val="bottom"/>
            <w:hideMark/>
          </w:tcPr>
          <w:p w14:paraId="74E1478F" w14:textId="77777777" w:rsidR="000921D0" w:rsidRPr="00585DF8" w:rsidRDefault="000921D0" w:rsidP="000921D0">
            <w:pP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lastRenderedPageBreak/>
              <w:t>Table 5. Regression Analysis of Mathematical Satisfaction and Attitude toward Mathematics on Student Engagement</w:t>
            </w:r>
          </w:p>
        </w:tc>
      </w:tr>
      <w:tr w:rsidR="000921D0" w:rsidRPr="00B1477A" w14:paraId="25A560FE" w14:textId="77777777" w:rsidTr="000921D0">
        <w:trPr>
          <w:trHeight w:val="221"/>
        </w:trPr>
        <w:tc>
          <w:tcPr>
            <w:tcW w:w="993" w:type="dxa"/>
            <w:tcBorders>
              <w:top w:val="nil"/>
              <w:left w:val="nil"/>
              <w:bottom w:val="nil"/>
              <w:right w:val="nil"/>
            </w:tcBorders>
            <w:shd w:val="clear" w:color="000000" w:fill="FFFFFF"/>
            <w:noWrap/>
            <w:vAlign w:val="bottom"/>
            <w:hideMark/>
          </w:tcPr>
          <w:p w14:paraId="1EA2480B" w14:textId="77777777" w:rsidR="000921D0" w:rsidRPr="00585DF8" w:rsidRDefault="000921D0" w:rsidP="000921D0">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99" w:type="dxa"/>
            <w:gridSpan w:val="2"/>
            <w:tcBorders>
              <w:top w:val="nil"/>
              <w:left w:val="nil"/>
              <w:bottom w:val="nil"/>
              <w:right w:val="nil"/>
            </w:tcBorders>
            <w:shd w:val="clear" w:color="000000" w:fill="FFFFFF"/>
            <w:noWrap/>
            <w:vAlign w:val="bottom"/>
            <w:hideMark/>
          </w:tcPr>
          <w:p w14:paraId="52B28E23"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12" w:type="dxa"/>
            <w:gridSpan w:val="3"/>
            <w:tcBorders>
              <w:top w:val="nil"/>
              <w:left w:val="nil"/>
              <w:bottom w:val="nil"/>
              <w:right w:val="nil"/>
            </w:tcBorders>
            <w:shd w:val="clear" w:color="000000" w:fill="FFFFFF"/>
            <w:noWrap/>
            <w:vAlign w:val="bottom"/>
            <w:hideMark/>
          </w:tcPr>
          <w:p w14:paraId="2703A647"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665" w:type="dxa"/>
            <w:tcBorders>
              <w:top w:val="nil"/>
              <w:left w:val="nil"/>
              <w:bottom w:val="nil"/>
              <w:right w:val="nil"/>
            </w:tcBorders>
            <w:shd w:val="clear" w:color="000000" w:fill="FFFFFF"/>
            <w:noWrap/>
            <w:vAlign w:val="bottom"/>
            <w:hideMark/>
          </w:tcPr>
          <w:p w14:paraId="520EAD96"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277" w:type="dxa"/>
            <w:gridSpan w:val="3"/>
            <w:tcBorders>
              <w:top w:val="nil"/>
              <w:left w:val="nil"/>
              <w:bottom w:val="nil"/>
              <w:right w:val="nil"/>
            </w:tcBorders>
            <w:shd w:val="clear" w:color="000000" w:fill="FFFFFF"/>
            <w:noWrap/>
            <w:vAlign w:val="bottom"/>
            <w:hideMark/>
          </w:tcPr>
          <w:p w14:paraId="18262B63"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927" w:type="dxa"/>
            <w:tcBorders>
              <w:top w:val="nil"/>
              <w:left w:val="nil"/>
              <w:bottom w:val="nil"/>
              <w:right w:val="nil"/>
            </w:tcBorders>
            <w:shd w:val="clear" w:color="000000" w:fill="FFFFFF"/>
            <w:noWrap/>
            <w:vAlign w:val="bottom"/>
            <w:hideMark/>
          </w:tcPr>
          <w:p w14:paraId="0B5B2AEB"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727" w:type="dxa"/>
            <w:tcBorders>
              <w:top w:val="nil"/>
              <w:left w:val="nil"/>
              <w:bottom w:val="nil"/>
              <w:right w:val="nil"/>
            </w:tcBorders>
            <w:shd w:val="clear" w:color="000000" w:fill="FFFFFF"/>
            <w:noWrap/>
            <w:vAlign w:val="bottom"/>
            <w:hideMark/>
          </w:tcPr>
          <w:p w14:paraId="438A2474"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r>
      <w:tr w:rsidR="000921D0" w:rsidRPr="00B1477A" w14:paraId="64209D63" w14:textId="77777777" w:rsidTr="000921D0">
        <w:trPr>
          <w:trHeight w:val="387"/>
        </w:trPr>
        <w:tc>
          <w:tcPr>
            <w:tcW w:w="993" w:type="dxa"/>
            <w:tcBorders>
              <w:top w:val="single" w:sz="8" w:space="0" w:color="auto"/>
              <w:left w:val="nil"/>
              <w:bottom w:val="single" w:sz="8" w:space="0" w:color="auto"/>
              <w:right w:val="nil"/>
            </w:tcBorders>
            <w:shd w:val="clear" w:color="000000" w:fill="FFFFFF"/>
            <w:noWrap/>
            <w:vAlign w:val="center"/>
            <w:hideMark/>
          </w:tcPr>
          <w:p w14:paraId="5486A47F" w14:textId="77777777" w:rsidR="000921D0" w:rsidRPr="00585DF8" w:rsidRDefault="000921D0" w:rsidP="000921D0">
            <w:pP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Model</w:t>
            </w:r>
          </w:p>
        </w:tc>
        <w:tc>
          <w:tcPr>
            <w:tcW w:w="1799" w:type="dxa"/>
            <w:gridSpan w:val="2"/>
            <w:tcBorders>
              <w:top w:val="single" w:sz="8" w:space="0" w:color="auto"/>
              <w:left w:val="nil"/>
              <w:bottom w:val="single" w:sz="8" w:space="0" w:color="auto"/>
              <w:right w:val="nil"/>
            </w:tcBorders>
            <w:shd w:val="clear" w:color="000000" w:fill="FFFFFF"/>
            <w:noWrap/>
            <w:vAlign w:val="center"/>
            <w:hideMark/>
          </w:tcPr>
          <w:p w14:paraId="4C618D21" w14:textId="77777777" w:rsidR="000921D0" w:rsidRPr="00585DF8" w:rsidRDefault="000921D0" w:rsidP="000921D0">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Model</w:t>
            </w:r>
          </w:p>
        </w:tc>
        <w:tc>
          <w:tcPr>
            <w:tcW w:w="1712" w:type="dxa"/>
            <w:gridSpan w:val="3"/>
            <w:tcBorders>
              <w:top w:val="single" w:sz="8" w:space="0" w:color="auto"/>
              <w:left w:val="nil"/>
              <w:bottom w:val="single" w:sz="8" w:space="0" w:color="auto"/>
              <w:right w:val="nil"/>
            </w:tcBorders>
            <w:shd w:val="clear" w:color="000000" w:fill="FFFFFF"/>
            <w:vAlign w:val="center"/>
            <w:hideMark/>
          </w:tcPr>
          <w:p w14:paraId="55700188" w14:textId="77777777" w:rsidR="000921D0" w:rsidRPr="00585DF8" w:rsidRDefault="000921D0" w:rsidP="000921D0">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B</w:t>
            </w:r>
          </w:p>
        </w:tc>
        <w:tc>
          <w:tcPr>
            <w:tcW w:w="665" w:type="dxa"/>
            <w:tcBorders>
              <w:top w:val="single" w:sz="8" w:space="0" w:color="auto"/>
              <w:left w:val="nil"/>
              <w:bottom w:val="single" w:sz="8" w:space="0" w:color="auto"/>
              <w:right w:val="nil"/>
            </w:tcBorders>
            <w:shd w:val="clear" w:color="000000" w:fill="FFFFFF"/>
            <w:noWrap/>
            <w:vAlign w:val="center"/>
            <w:hideMark/>
          </w:tcPr>
          <w:p w14:paraId="44F79061" w14:textId="77777777" w:rsidR="000921D0" w:rsidRPr="00585DF8" w:rsidRDefault="000921D0" w:rsidP="000921D0">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SE</w:t>
            </w:r>
          </w:p>
        </w:tc>
        <w:tc>
          <w:tcPr>
            <w:tcW w:w="1277" w:type="dxa"/>
            <w:gridSpan w:val="3"/>
            <w:tcBorders>
              <w:top w:val="single" w:sz="8" w:space="0" w:color="auto"/>
              <w:left w:val="nil"/>
              <w:bottom w:val="single" w:sz="8" w:space="0" w:color="auto"/>
              <w:right w:val="nil"/>
            </w:tcBorders>
            <w:shd w:val="clear" w:color="000000" w:fill="FFFFFF"/>
            <w:noWrap/>
            <w:vAlign w:val="center"/>
            <w:hideMark/>
          </w:tcPr>
          <w:p w14:paraId="686AA823" w14:textId="77777777" w:rsidR="000921D0" w:rsidRPr="00585DF8" w:rsidRDefault="000921D0" w:rsidP="000921D0">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Beta</w:t>
            </w:r>
          </w:p>
        </w:tc>
        <w:tc>
          <w:tcPr>
            <w:tcW w:w="927" w:type="dxa"/>
            <w:tcBorders>
              <w:top w:val="single" w:sz="8" w:space="0" w:color="auto"/>
              <w:left w:val="nil"/>
              <w:bottom w:val="single" w:sz="8" w:space="0" w:color="auto"/>
              <w:right w:val="nil"/>
            </w:tcBorders>
            <w:shd w:val="clear" w:color="000000" w:fill="FFFFFF"/>
            <w:noWrap/>
            <w:vAlign w:val="center"/>
            <w:hideMark/>
          </w:tcPr>
          <w:p w14:paraId="5EC12AD1" w14:textId="77777777" w:rsidR="000921D0" w:rsidRPr="00585DF8" w:rsidRDefault="000921D0" w:rsidP="000921D0">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t-ratio</w:t>
            </w:r>
          </w:p>
        </w:tc>
        <w:tc>
          <w:tcPr>
            <w:tcW w:w="727" w:type="dxa"/>
            <w:tcBorders>
              <w:top w:val="single" w:sz="8" w:space="0" w:color="auto"/>
              <w:left w:val="nil"/>
              <w:bottom w:val="single" w:sz="8" w:space="0" w:color="auto"/>
              <w:right w:val="nil"/>
            </w:tcBorders>
            <w:shd w:val="clear" w:color="000000" w:fill="FFFFFF"/>
            <w:noWrap/>
            <w:vAlign w:val="center"/>
            <w:hideMark/>
          </w:tcPr>
          <w:p w14:paraId="3394878B" w14:textId="77777777" w:rsidR="000921D0" w:rsidRPr="00585DF8" w:rsidRDefault="000921D0" w:rsidP="000921D0">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Sig.</w:t>
            </w:r>
          </w:p>
        </w:tc>
      </w:tr>
      <w:tr w:rsidR="000921D0" w:rsidRPr="00B1477A" w14:paraId="5C8B10EB" w14:textId="77777777" w:rsidTr="000921D0">
        <w:trPr>
          <w:trHeight w:val="430"/>
        </w:trPr>
        <w:tc>
          <w:tcPr>
            <w:tcW w:w="993" w:type="dxa"/>
            <w:tcBorders>
              <w:top w:val="nil"/>
              <w:left w:val="nil"/>
              <w:bottom w:val="nil"/>
              <w:right w:val="nil"/>
            </w:tcBorders>
            <w:shd w:val="clear" w:color="000000" w:fill="FFFFFF"/>
            <w:noWrap/>
            <w:hideMark/>
          </w:tcPr>
          <w:p w14:paraId="5242BA27" w14:textId="77777777" w:rsidR="000921D0" w:rsidRPr="00585DF8" w:rsidRDefault="000921D0" w:rsidP="000921D0">
            <w:pPr>
              <w:rPr>
                <w:rFonts w:ascii="Arial" w:hAnsi="Arial" w:cs="Arial"/>
                <w:color w:val="000000"/>
                <w:sz w:val="22"/>
                <w:szCs w:val="22"/>
                <w:lang w:val="en-PH" w:eastAsia="en-PH"/>
              </w:rPr>
            </w:pPr>
            <w:r w:rsidRPr="00585DF8">
              <w:rPr>
                <w:rFonts w:ascii="Arial" w:hAnsi="Arial" w:cs="Arial"/>
                <w:color w:val="000000"/>
                <w:sz w:val="22"/>
                <w:szCs w:val="22"/>
                <w:lang w:val="en-PH" w:eastAsia="en-PH"/>
              </w:rPr>
              <w:t>1</w:t>
            </w:r>
          </w:p>
        </w:tc>
        <w:tc>
          <w:tcPr>
            <w:tcW w:w="1799" w:type="dxa"/>
            <w:gridSpan w:val="2"/>
            <w:tcBorders>
              <w:top w:val="nil"/>
              <w:left w:val="nil"/>
              <w:bottom w:val="nil"/>
              <w:right w:val="nil"/>
            </w:tcBorders>
            <w:shd w:val="clear" w:color="000000" w:fill="FFFFFF"/>
            <w:noWrap/>
            <w:vAlign w:val="center"/>
            <w:hideMark/>
          </w:tcPr>
          <w:p w14:paraId="64EC462E"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(Constant)</w:t>
            </w:r>
          </w:p>
        </w:tc>
        <w:tc>
          <w:tcPr>
            <w:tcW w:w="1712" w:type="dxa"/>
            <w:gridSpan w:val="3"/>
            <w:tcBorders>
              <w:top w:val="nil"/>
              <w:left w:val="nil"/>
              <w:bottom w:val="nil"/>
              <w:right w:val="nil"/>
            </w:tcBorders>
            <w:shd w:val="clear" w:color="000000" w:fill="FFFFFF"/>
            <w:noWrap/>
            <w:vAlign w:val="center"/>
            <w:hideMark/>
          </w:tcPr>
          <w:p w14:paraId="574D2EA6"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0.306</w:t>
            </w:r>
          </w:p>
        </w:tc>
        <w:tc>
          <w:tcPr>
            <w:tcW w:w="665" w:type="dxa"/>
            <w:tcBorders>
              <w:top w:val="nil"/>
              <w:left w:val="nil"/>
              <w:bottom w:val="nil"/>
              <w:right w:val="nil"/>
            </w:tcBorders>
            <w:shd w:val="clear" w:color="000000" w:fill="FFFFFF"/>
            <w:noWrap/>
            <w:vAlign w:val="center"/>
            <w:hideMark/>
          </w:tcPr>
          <w:p w14:paraId="47036B46"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.152</w:t>
            </w:r>
          </w:p>
        </w:tc>
        <w:tc>
          <w:tcPr>
            <w:tcW w:w="1277" w:type="dxa"/>
            <w:gridSpan w:val="3"/>
            <w:tcBorders>
              <w:top w:val="nil"/>
              <w:left w:val="nil"/>
              <w:bottom w:val="nil"/>
              <w:right w:val="nil"/>
            </w:tcBorders>
            <w:shd w:val="clear" w:color="000000" w:fill="FFFFFF"/>
            <w:noWrap/>
            <w:vAlign w:val="center"/>
            <w:hideMark/>
          </w:tcPr>
          <w:p w14:paraId="69373584"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927" w:type="dxa"/>
            <w:tcBorders>
              <w:top w:val="nil"/>
              <w:left w:val="nil"/>
              <w:bottom w:val="nil"/>
              <w:right w:val="nil"/>
            </w:tcBorders>
            <w:shd w:val="clear" w:color="000000" w:fill="FFFFFF"/>
            <w:noWrap/>
            <w:vAlign w:val="center"/>
            <w:hideMark/>
          </w:tcPr>
          <w:p w14:paraId="060D0809"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2.017</w:t>
            </w:r>
          </w:p>
        </w:tc>
        <w:tc>
          <w:tcPr>
            <w:tcW w:w="727" w:type="dxa"/>
            <w:tcBorders>
              <w:top w:val="nil"/>
              <w:left w:val="nil"/>
              <w:bottom w:val="nil"/>
              <w:right w:val="nil"/>
            </w:tcBorders>
            <w:shd w:val="clear" w:color="000000" w:fill="FFFFFF"/>
            <w:noWrap/>
            <w:vAlign w:val="center"/>
            <w:hideMark/>
          </w:tcPr>
          <w:p w14:paraId="3CF9F725"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.046</w:t>
            </w:r>
          </w:p>
        </w:tc>
      </w:tr>
      <w:tr w:rsidR="000921D0" w:rsidRPr="00B1477A" w14:paraId="736ACD26" w14:textId="77777777" w:rsidTr="000921D0">
        <w:trPr>
          <w:trHeight w:val="624"/>
        </w:trPr>
        <w:tc>
          <w:tcPr>
            <w:tcW w:w="993" w:type="dxa"/>
            <w:tcBorders>
              <w:top w:val="nil"/>
              <w:left w:val="nil"/>
              <w:bottom w:val="nil"/>
              <w:right w:val="nil"/>
            </w:tcBorders>
            <w:shd w:val="clear" w:color="000000" w:fill="FFFFFF"/>
            <w:noWrap/>
            <w:hideMark/>
          </w:tcPr>
          <w:p w14:paraId="5E14F657" w14:textId="77777777" w:rsidR="000921D0" w:rsidRPr="00585DF8" w:rsidRDefault="000921D0" w:rsidP="000921D0">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99" w:type="dxa"/>
            <w:gridSpan w:val="2"/>
            <w:tcBorders>
              <w:top w:val="nil"/>
              <w:left w:val="nil"/>
              <w:bottom w:val="nil"/>
              <w:right w:val="nil"/>
            </w:tcBorders>
            <w:shd w:val="clear" w:color="000000" w:fill="FFFFFF"/>
            <w:vAlign w:val="center"/>
            <w:hideMark/>
          </w:tcPr>
          <w:p w14:paraId="653B41D1"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xml:space="preserve">Mathematical </w:t>
            </w:r>
            <w:r w:rsidRPr="00585DF8">
              <w:rPr>
                <w:rFonts w:ascii="Arial" w:hAnsi="Arial" w:cs="Arial"/>
                <w:color w:val="000000"/>
                <w:sz w:val="22"/>
                <w:szCs w:val="22"/>
                <w:lang w:val="en-PH" w:eastAsia="en-PH"/>
              </w:rPr>
              <w:br/>
              <w:t>Satisfaction</w:t>
            </w:r>
          </w:p>
        </w:tc>
        <w:tc>
          <w:tcPr>
            <w:tcW w:w="1712" w:type="dxa"/>
            <w:gridSpan w:val="3"/>
            <w:tcBorders>
              <w:top w:val="nil"/>
              <w:left w:val="nil"/>
              <w:bottom w:val="nil"/>
              <w:right w:val="nil"/>
            </w:tcBorders>
            <w:shd w:val="clear" w:color="000000" w:fill="FFFFFF"/>
            <w:noWrap/>
            <w:vAlign w:val="center"/>
            <w:hideMark/>
          </w:tcPr>
          <w:p w14:paraId="2D58E371"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.694</w:t>
            </w:r>
          </w:p>
        </w:tc>
        <w:tc>
          <w:tcPr>
            <w:tcW w:w="665" w:type="dxa"/>
            <w:tcBorders>
              <w:top w:val="nil"/>
              <w:left w:val="nil"/>
              <w:bottom w:val="nil"/>
              <w:right w:val="nil"/>
            </w:tcBorders>
            <w:shd w:val="clear" w:color="000000" w:fill="FFFFFF"/>
            <w:noWrap/>
            <w:vAlign w:val="center"/>
            <w:hideMark/>
          </w:tcPr>
          <w:p w14:paraId="461A2AD6"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.070</w:t>
            </w:r>
          </w:p>
        </w:tc>
        <w:tc>
          <w:tcPr>
            <w:tcW w:w="1277" w:type="dxa"/>
            <w:gridSpan w:val="3"/>
            <w:tcBorders>
              <w:top w:val="nil"/>
              <w:left w:val="nil"/>
              <w:bottom w:val="nil"/>
              <w:right w:val="nil"/>
            </w:tcBorders>
            <w:shd w:val="clear" w:color="000000" w:fill="FFFFFF"/>
            <w:noWrap/>
            <w:vAlign w:val="center"/>
            <w:hideMark/>
          </w:tcPr>
          <w:p w14:paraId="74EA23D6"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.683</w:t>
            </w:r>
          </w:p>
        </w:tc>
        <w:tc>
          <w:tcPr>
            <w:tcW w:w="927" w:type="dxa"/>
            <w:tcBorders>
              <w:top w:val="nil"/>
              <w:left w:val="nil"/>
              <w:bottom w:val="nil"/>
              <w:right w:val="nil"/>
            </w:tcBorders>
            <w:shd w:val="clear" w:color="000000" w:fill="FFFFFF"/>
            <w:noWrap/>
            <w:vAlign w:val="center"/>
            <w:hideMark/>
          </w:tcPr>
          <w:p w14:paraId="556DCF9D"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9.963</w:t>
            </w:r>
          </w:p>
        </w:tc>
        <w:tc>
          <w:tcPr>
            <w:tcW w:w="727" w:type="dxa"/>
            <w:tcBorders>
              <w:top w:val="nil"/>
              <w:left w:val="nil"/>
              <w:bottom w:val="nil"/>
              <w:right w:val="nil"/>
            </w:tcBorders>
            <w:shd w:val="clear" w:color="000000" w:fill="FFFFFF"/>
            <w:noWrap/>
            <w:vAlign w:val="center"/>
            <w:hideMark/>
          </w:tcPr>
          <w:p w14:paraId="70C29213"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.000</w:t>
            </w:r>
          </w:p>
        </w:tc>
      </w:tr>
      <w:tr w:rsidR="000921D0" w:rsidRPr="00B1477A" w14:paraId="1C2677A5" w14:textId="77777777" w:rsidTr="000921D0">
        <w:trPr>
          <w:trHeight w:val="492"/>
        </w:trPr>
        <w:tc>
          <w:tcPr>
            <w:tcW w:w="993" w:type="dxa"/>
            <w:tcBorders>
              <w:top w:val="nil"/>
              <w:left w:val="nil"/>
              <w:bottom w:val="nil"/>
              <w:right w:val="nil"/>
            </w:tcBorders>
            <w:shd w:val="clear" w:color="000000" w:fill="FFFFFF"/>
            <w:noWrap/>
            <w:hideMark/>
          </w:tcPr>
          <w:p w14:paraId="634D1A85" w14:textId="77777777" w:rsidR="000921D0" w:rsidRPr="00585DF8" w:rsidRDefault="000921D0" w:rsidP="000921D0">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99" w:type="dxa"/>
            <w:gridSpan w:val="2"/>
            <w:tcBorders>
              <w:top w:val="nil"/>
              <w:left w:val="nil"/>
              <w:bottom w:val="nil"/>
              <w:right w:val="nil"/>
            </w:tcBorders>
            <w:shd w:val="clear" w:color="000000" w:fill="FFFFFF"/>
            <w:vAlign w:val="center"/>
            <w:hideMark/>
          </w:tcPr>
          <w:p w14:paraId="1FFF59ED"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Attitude towa</w:t>
            </w:r>
            <w:r w:rsidRPr="00B1477A">
              <w:rPr>
                <w:rFonts w:ascii="Arial" w:hAnsi="Arial" w:cs="Arial"/>
                <w:color w:val="000000"/>
                <w:sz w:val="22"/>
                <w:szCs w:val="22"/>
                <w:lang w:val="en-PH" w:eastAsia="en-PH"/>
              </w:rPr>
              <w:t>r</w:t>
            </w:r>
            <w:r w:rsidRPr="00585DF8">
              <w:rPr>
                <w:rFonts w:ascii="Arial" w:hAnsi="Arial" w:cs="Arial"/>
                <w:color w:val="000000"/>
                <w:sz w:val="22"/>
                <w:szCs w:val="22"/>
                <w:lang w:val="en-PH" w:eastAsia="en-PH"/>
              </w:rPr>
              <w:t xml:space="preserve">ds </w:t>
            </w:r>
            <w:r w:rsidRPr="00585DF8">
              <w:rPr>
                <w:rFonts w:ascii="Arial" w:hAnsi="Arial" w:cs="Arial"/>
                <w:color w:val="000000"/>
                <w:sz w:val="22"/>
                <w:szCs w:val="22"/>
                <w:lang w:val="en-PH" w:eastAsia="en-PH"/>
              </w:rPr>
              <w:br/>
              <w:t>Mathematics</w:t>
            </w:r>
          </w:p>
        </w:tc>
        <w:tc>
          <w:tcPr>
            <w:tcW w:w="1712" w:type="dxa"/>
            <w:gridSpan w:val="3"/>
            <w:tcBorders>
              <w:top w:val="nil"/>
              <w:left w:val="nil"/>
              <w:bottom w:val="nil"/>
              <w:right w:val="nil"/>
            </w:tcBorders>
            <w:shd w:val="clear" w:color="000000" w:fill="FFFFFF"/>
            <w:noWrap/>
            <w:vAlign w:val="center"/>
            <w:hideMark/>
          </w:tcPr>
          <w:p w14:paraId="2229AB5F"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.260</w:t>
            </w:r>
          </w:p>
        </w:tc>
        <w:tc>
          <w:tcPr>
            <w:tcW w:w="665" w:type="dxa"/>
            <w:tcBorders>
              <w:top w:val="nil"/>
              <w:left w:val="nil"/>
              <w:bottom w:val="nil"/>
              <w:right w:val="nil"/>
            </w:tcBorders>
            <w:shd w:val="clear" w:color="000000" w:fill="FFFFFF"/>
            <w:noWrap/>
            <w:vAlign w:val="center"/>
            <w:hideMark/>
          </w:tcPr>
          <w:p w14:paraId="33A01FEC"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.067</w:t>
            </w:r>
          </w:p>
        </w:tc>
        <w:tc>
          <w:tcPr>
            <w:tcW w:w="1277" w:type="dxa"/>
            <w:gridSpan w:val="3"/>
            <w:tcBorders>
              <w:top w:val="nil"/>
              <w:left w:val="nil"/>
              <w:bottom w:val="nil"/>
              <w:right w:val="nil"/>
            </w:tcBorders>
            <w:shd w:val="clear" w:color="000000" w:fill="FFFFFF"/>
            <w:noWrap/>
            <w:vAlign w:val="center"/>
            <w:hideMark/>
          </w:tcPr>
          <w:p w14:paraId="20F5745B"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.265</w:t>
            </w:r>
          </w:p>
        </w:tc>
        <w:tc>
          <w:tcPr>
            <w:tcW w:w="927" w:type="dxa"/>
            <w:tcBorders>
              <w:top w:val="nil"/>
              <w:left w:val="nil"/>
              <w:bottom w:val="nil"/>
              <w:right w:val="nil"/>
            </w:tcBorders>
            <w:shd w:val="clear" w:color="000000" w:fill="FFFFFF"/>
            <w:noWrap/>
            <w:vAlign w:val="center"/>
            <w:hideMark/>
          </w:tcPr>
          <w:p w14:paraId="037D95D0"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3.868</w:t>
            </w:r>
          </w:p>
        </w:tc>
        <w:tc>
          <w:tcPr>
            <w:tcW w:w="727" w:type="dxa"/>
            <w:tcBorders>
              <w:top w:val="nil"/>
              <w:left w:val="nil"/>
              <w:bottom w:val="nil"/>
              <w:right w:val="nil"/>
            </w:tcBorders>
            <w:shd w:val="clear" w:color="000000" w:fill="FFFFFF"/>
            <w:noWrap/>
            <w:vAlign w:val="center"/>
            <w:hideMark/>
          </w:tcPr>
          <w:p w14:paraId="03E8FC5F"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.000</w:t>
            </w:r>
          </w:p>
        </w:tc>
      </w:tr>
      <w:tr w:rsidR="000921D0" w:rsidRPr="00B1477A" w14:paraId="53C52643" w14:textId="77777777" w:rsidTr="000921D0">
        <w:trPr>
          <w:trHeight w:val="33"/>
        </w:trPr>
        <w:tc>
          <w:tcPr>
            <w:tcW w:w="993" w:type="dxa"/>
            <w:tcBorders>
              <w:top w:val="nil"/>
              <w:left w:val="nil"/>
              <w:bottom w:val="single" w:sz="8" w:space="0" w:color="auto"/>
              <w:right w:val="nil"/>
            </w:tcBorders>
            <w:shd w:val="clear" w:color="000000" w:fill="FFFFFF"/>
            <w:noWrap/>
            <w:vAlign w:val="bottom"/>
            <w:hideMark/>
          </w:tcPr>
          <w:p w14:paraId="0AC8B216" w14:textId="77777777" w:rsidR="000921D0" w:rsidRPr="00585DF8" w:rsidRDefault="000921D0" w:rsidP="000921D0">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99" w:type="dxa"/>
            <w:gridSpan w:val="2"/>
            <w:tcBorders>
              <w:top w:val="nil"/>
              <w:left w:val="nil"/>
              <w:bottom w:val="single" w:sz="8" w:space="0" w:color="auto"/>
              <w:right w:val="nil"/>
            </w:tcBorders>
            <w:shd w:val="clear" w:color="000000" w:fill="FFFFFF"/>
            <w:noWrap/>
            <w:vAlign w:val="bottom"/>
            <w:hideMark/>
          </w:tcPr>
          <w:p w14:paraId="5064B1DC"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12" w:type="dxa"/>
            <w:gridSpan w:val="3"/>
            <w:tcBorders>
              <w:top w:val="nil"/>
              <w:left w:val="nil"/>
              <w:bottom w:val="single" w:sz="8" w:space="0" w:color="auto"/>
              <w:right w:val="nil"/>
            </w:tcBorders>
            <w:shd w:val="clear" w:color="000000" w:fill="FFFFFF"/>
            <w:noWrap/>
            <w:vAlign w:val="bottom"/>
            <w:hideMark/>
          </w:tcPr>
          <w:p w14:paraId="420823C8"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665" w:type="dxa"/>
            <w:tcBorders>
              <w:top w:val="nil"/>
              <w:left w:val="nil"/>
              <w:bottom w:val="single" w:sz="8" w:space="0" w:color="auto"/>
              <w:right w:val="nil"/>
            </w:tcBorders>
            <w:shd w:val="clear" w:color="000000" w:fill="FFFFFF"/>
            <w:noWrap/>
            <w:vAlign w:val="bottom"/>
            <w:hideMark/>
          </w:tcPr>
          <w:p w14:paraId="4D5187D9"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277" w:type="dxa"/>
            <w:gridSpan w:val="3"/>
            <w:tcBorders>
              <w:top w:val="nil"/>
              <w:left w:val="nil"/>
              <w:bottom w:val="single" w:sz="8" w:space="0" w:color="auto"/>
              <w:right w:val="nil"/>
            </w:tcBorders>
            <w:shd w:val="clear" w:color="000000" w:fill="FFFFFF"/>
            <w:noWrap/>
            <w:vAlign w:val="bottom"/>
            <w:hideMark/>
          </w:tcPr>
          <w:p w14:paraId="4BD561A7"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927" w:type="dxa"/>
            <w:tcBorders>
              <w:top w:val="nil"/>
              <w:left w:val="nil"/>
              <w:bottom w:val="single" w:sz="8" w:space="0" w:color="auto"/>
              <w:right w:val="nil"/>
            </w:tcBorders>
            <w:shd w:val="clear" w:color="000000" w:fill="FFFFFF"/>
            <w:noWrap/>
            <w:vAlign w:val="bottom"/>
            <w:hideMark/>
          </w:tcPr>
          <w:p w14:paraId="54102AFE"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727" w:type="dxa"/>
            <w:tcBorders>
              <w:top w:val="nil"/>
              <w:left w:val="nil"/>
              <w:bottom w:val="single" w:sz="8" w:space="0" w:color="auto"/>
              <w:right w:val="nil"/>
            </w:tcBorders>
            <w:shd w:val="clear" w:color="000000" w:fill="FFFFFF"/>
            <w:noWrap/>
            <w:vAlign w:val="bottom"/>
            <w:hideMark/>
          </w:tcPr>
          <w:p w14:paraId="0B4E3EA0"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r>
      <w:tr w:rsidR="000921D0" w:rsidRPr="00B1477A" w14:paraId="486CFC7D" w14:textId="77777777" w:rsidTr="000921D0">
        <w:trPr>
          <w:gridAfter w:val="3"/>
          <w:wAfter w:w="2077" w:type="dxa"/>
          <w:trHeight w:val="84"/>
        </w:trPr>
        <w:tc>
          <w:tcPr>
            <w:tcW w:w="993" w:type="dxa"/>
            <w:tcBorders>
              <w:top w:val="nil"/>
              <w:left w:val="nil"/>
              <w:bottom w:val="nil"/>
              <w:right w:val="nil"/>
            </w:tcBorders>
            <w:shd w:val="clear" w:color="000000" w:fill="FFFFFF"/>
            <w:noWrap/>
            <w:vAlign w:val="bottom"/>
            <w:hideMark/>
          </w:tcPr>
          <w:p w14:paraId="4D59C3A3" w14:textId="77777777" w:rsidR="000921D0" w:rsidRPr="00585DF8" w:rsidRDefault="000921D0" w:rsidP="000921D0">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441" w:type="dxa"/>
            <w:tcBorders>
              <w:top w:val="nil"/>
              <w:left w:val="nil"/>
              <w:bottom w:val="nil"/>
              <w:right w:val="nil"/>
            </w:tcBorders>
            <w:shd w:val="clear" w:color="000000" w:fill="FFFFFF"/>
            <w:noWrap/>
            <w:vAlign w:val="bottom"/>
            <w:hideMark/>
          </w:tcPr>
          <w:p w14:paraId="07B32241" w14:textId="77777777" w:rsidR="000921D0" w:rsidRPr="00585DF8" w:rsidRDefault="000921D0" w:rsidP="000921D0">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665" w:type="dxa"/>
            <w:gridSpan w:val="2"/>
            <w:tcBorders>
              <w:top w:val="nil"/>
              <w:left w:val="nil"/>
              <w:bottom w:val="nil"/>
              <w:right w:val="nil"/>
            </w:tcBorders>
            <w:shd w:val="clear" w:color="000000" w:fill="FFFFFF"/>
            <w:noWrap/>
            <w:vAlign w:val="bottom"/>
            <w:hideMark/>
          </w:tcPr>
          <w:p w14:paraId="7E35C983" w14:textId="77777777" w:rsidR="000921D0" w:rsidRPr="00585DF8" w:rsidRDefault="000921D0" w:rsidP="000921D0">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277" w:type="dxa"/>
            <w:tcBorders>
              <w:top w:val="nil"/>
              <w:left w:val="nil"/>
              <w:bottom w:val="nil"/>
              <w:right w:val="nil"/>
            </w:tcBorders>
            <w:shd w:val="clear" w:color="000000" w:fill="FFFFFF"/>
            <w:noWrap/>
            <w:vAlign w:val="bottom"/>
            <w:hideMark/>
          </w:tcPr>
          <w:p w14:paraId="7080A5BE" w14:textId="77777777" w:rsidR="000921D0" w:rsidRPr="00585DF8" w:rsidRDefault="000921D0" w:rsidP="000921D0">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927" w:type="dxa"/>
            <w:gridSpan w:val="3"/>
            <w:tcBorders>
              <w:top w:val="nil"/>
              <w:left w:val="nil"/>
              <w:bottom w:val="nil"/>
              <w:right w:val="nil"/>
            </w:tcBorders>
            <w:shd w:val="clear" w:color="000000" w:fill="FFFFFF"/>
            <w:noWrap/>
            <w:vAlign w:val="bottom"/>
            <w:hideMark/>
          </w:tcPr>
          <w:p w14:paraId="12634D4E" w14:textId="77777777" w:rsidR="000921D0" w:rsidRPr="00585DF8" w:rsidRDefault="000921D0" w:rsidP="000921D0">
            <w:pPr>
              <w:rPr>
                <w:rFonts w:ascii="Arial" w:hAnsi="Arial" w:cs="Arial"/>
                <w:color w:val="000000"/>
                <w:sz w:val="22"/>
                <w:szCs w:val="22"/>
                <w:lang w:val="en-PH" w:eastAsia="en-PH"/>
              </w:rPr>
            </w:pPr>
          </w:p>
        </w:tc>
        <w:tc>
          <w:tcPr>
            <w:tcW w:w="720" w:type="dxa"/>
            <w:tcBorders>
              <w:top w:val="nil"/>
              <w:left w:val="nil"/>
              <w:bottom w:val="nil"/>
              <w:right w:val="nil"/>
            </w:tcBorders>
            <w:shd w:val="clear" w:color="000000" w:fill="FFFFFF"/>
            <w:noWrap/>
            <w:vAlign w:val="bottom"/>
            <w:hideMark/>
          </w:tcPr>
          <w:p w14:paraId="069976BE" w14:textId="77777777" w:rsidR="000921D0" w:rsidRPr="00585DF8" w:rsidRDefault="000921D0" w:rsidP="000921D0">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r>
      <w:tr w:rsidR="000921D0" w:rsidRPr="00B1477A" w14:paraId="519F1BC1" w14:textId="77777777" w:rsidTr="000921D0">
        <w:trPr>
          <w:trHeight w:val="214"/>
        </w:trPr>
        <w:tc>
          <w:tcPr>
            <w:tcW w:w="993" w:type="dxa"/>
            <w:tcBorders>
              <w:top w:val="nil"/>
              <w:left w:val="nil"/>
              <w:bottom w:val="nil"/>
              <w:right w:val="nil"/>
            </w:tcBorders>
            <w:shd w:val="clear" w:color="000000" w:fill="FFFFFF"/>
            <w:noWrap/>
            <w:vAlign w:val="bottom"/>
            <w:hideMark/>
          </w:tcPr>
          <w:p w14:paraId="181F1A5C" w14:textId="77777777" w:rsidR="000921D0" w:rsidRPr="00585DF8" w:rsidRDefault="000921D0" w:rsidP="000921D0">
            <w:pPr>
              <w:rPr>
                <w:rFonts w:ascii="Arial" w:hAnsi="Arial" w:cs="Arial"/>
                <w:color w:val="000000"/>
                <w:sz w:val="21"/>
                <w:szCs w:val="21"/>
                <w:lang w:val="en-PH" w:eastAsia="en-PH"/>
              </w:rPr>
            </w:pPr>
            <w:r w:rsidRPr="00585DF8">
              <w:rPr>
                <w:rFonts w:ascii="Arial" w:hAnsi="Arial" w:cs="Arial"/>
                <w:color w:val="000000"/>
                <w:sz w:val="21"/>
                <w:szCs w:val="21"/>
                <w:lang w:val="en-PH" w:eastAsia="en-PH"/>
              </w:rPr>
              <w:t>R =.917</w:t>
            </w:r>
          </w:p>
        </w:tc>
        <w:tc>
          <w:tcPr>
            <w:tcW w:w="1799" w:type="dxa"/>
            <w:gridSpan w:val="2"/>
            <w:tcBorders>
              <w:top w:val="nil"/>
              <w:left w:val="nil"/>
              <w:bottom w:val="nil"/>
              <w:right w:val="nil"/>
            </w:tcBorders>
            <w:shd w:val="clear" w:color="000000" w:fill="FFFFFF"/>
            <w:noWrap/>
            <w:vAlign w:val="bottom"/>
            <w:hideMark/>
          </w:tcPr>
          <w:p w14:paraId="7C42F1D1" w14:textId="77777777" w:rsidR="000921D0" w:rsidRPr="00585DF8" w:rsidRDefault="000921D0" w:rsidP="000921D0">
            <w:pPr>
              <w:jc w:val="center"/>
              <w:rPr>
                <w:rFonts w:ascii="Arial" w:hAnsi="Arial" w:cs="Arial"/>
                <w:color w:val="000000"/>
                <w:sz w:val="21"/>
                <w:szCs w:val="21"/>
                <w:lang w:val="en-PH" w:eastAsia="en-PH"/>
              </w:rPr>
            </w:pPr>
            <w:r w:rsidRPr="00585DF8">
              <w:rPr>
                <w:rFonts w:ascii="Arial" w:hAnsi="Arial" w:cs="Arial"/>
                <w:color w:val="000000"/>
                <w:sz w:val="21"/>
                <w:szCs w:val="21"/>
                <w:lang w:val="en-PH" w:eastAsia="en-PH"/>
              </w:rPr>
              <w:t>R^2 = 0.840</w:t>
            </w:r>
          </w:p>
        </w:tc>
        <w:tc>
          <w:tcPr>
            <w:tcW w:w="2377" w:type="dxa"/>
            <w:gridSpan w:val="4"/>
            <w:tcBorders>
              <w:top w:val="nil"/>
              <w:left w:val="nil"/>
              <w:bottom w:val="nil"/>
              <w:right w:val="nil"/>
            </w:tcBorders>
            <w:shd w:val="clear" w:color="000000" w:fill="FFFFFF"/>
            <w:noWrap/>
            <w:vAlign w:val="bottom"/>
            <w:hideMark/>
          </w:tcPr>
          <w:p w14:paraId="2F43DA2F" w14:textId="77777777" w:rsidR="000921D0" w:rsidRPr="00585DF8" w:rsidRDefault="000921D0" w:rsidP="000921D0">
            <w:pPr>
              <w:jc w:val="center"/>
              <w:rPr>
                <w:rFonts w:ascii="Arial" w:hAnsi="Arial" w:cs="Arial"/>
                <w:color w:val="000000"/>
                <w:sz w:val="21"/>
                <w:szCs w:val="21"/>
                <w:lang w:val="en-PH" w:eastAsia="en-PH"/>
              </w:rPr>
            </w:pPr>
            <w:r w:rsidRPr="00585DF8">
              <w:rPr>
                <w:rFonts w:ascii="Arial" w:hAnsi="Arial" w:cs="Arial"/>
                <w:color w:val="000000"/>
                <w:sz w:val="21"/>
                <w:szCs w:val="21"/>
                <w:lang w:val="en-PH" w:eastAsia="en-PH"/>
              </w:rPr>
              <w:t>deltaR^2 = 0.837</w:t>
            </w:r>
          </w:p>
        </w:tc>
        <w:tc>
          <w:tcPr>
            <w:tcW w:w="1277" w:type="dxa"/>
            <w:gridSpan w:val="3"/>
            <w:tcBorders>
              <w:top w:val="nil"/>
              <w:left w:val="nil"/>
              <w:bottom w:val="nil"/>
              <w:right w:val="nil"/>
            </w:tcBorders>
            <w:shd w:val="clear" w:color="000000" w:fill="FFFFFF"/>
            <w:noWrap/>
            <w:vAlign w:val="bottom"/>
            <w:hideMark/>
          </w:tcPr>
          <w:p w14:paraId="59160F45" w14:textId="77777777" w:rsidR="000921D0" w:rsidRPr="00585DF8" w:rsidRDefault="000921D0" w:rsidP="000921D0">
            <w:pPr>
              <w:rPr>
                <w:rFonts w:ascii="Arial" w:hAnsi="Arial" w:cs="Arial"/>
                <w:color w:val="000000"/>
                <w:sz w:val="21"/>
                <w:szCs w:val="21"/>
                <w:lang w:val="en-PH" w:eastAsia="en-PH"/>
              </w:rPr>
            </w:pPr>
            <w:r w:rsidRPr="00585DF8">
              <w:rPr>
                <w:rFonts w:ascii="Arial" w:hAnsi="Arial" w:cs="Arial"/>
                <w:color w:val="000000"/>
                <w:sz w:val="21"/>
                <w:szCs w:val="21"/>
                <w:lang w:val="en-PH" w:eastAsia="en-PH"/>
              </w:rPr>
              <w:t>F = 299.84</w:t>
            </w:r>
          </w:p>
        </w:tc>
        <w:tc>
          <w:tcPr>
            <w:tcW w:w="1654" w:type="dxa"/>
            <w:gridSpan w:val="2"/>
            <w:tcBorders>
              <w:top w:val="nil"/>
              <w:left w:val="nil"/>
              <w:bottom w:val="nil"/>
              <w:right w:val="nil"/>
            </w:tcBorders>
            <w:shd w:val="clear" w:color="000000" w:fill="FFFFFF"/>
            <w:noWrap/>
            <w:vAlign w:val="bottom"/>
            <w:hideMark/>
          </w:tcPr>
          <w:p w14:paraId="3E54ADDF" w14:textId="77777777" w:rsidR="000921D0" w:rsidRPr="00585DF8" w:rsidRDefault="000921D0" w:rsidP="000921D0">
            <w:pPr>
              <w:jc w:val="center"/>
              <w:rPr>
                <w:rFonts w:ascii="Arial" w:hAnsi="Arial" w:cs="Arial"/>
                <w:color w:val="000000"/>
                <w:sz w:val="21"/>
                <w:szCs w:val="21"/>
                <w:lang w:val="en-PH" w:eastAsia="en-PH"/>
              </w:rPr>
            </w:pPr>
            <w:r w:rsidRPr="00585DF8">
              <w:rPr>
                <w:rFonts w:ascii="Arial" w:hAnsi="Arial" w:cs="Arial"/>
                <w:color w:val="000000"/>
                <w:sz w:val="21"/>
                <w:szCs w:val="21"/>
                <w:lang w:val="en-PH" w:eastAsia="en-PH"/>
              </w:rPr>
              <w:t>p-value = 0.000</w:t>
            </w:r>
          </w:p>
        </w:tc>
      </w:tr>
      <w:tr w:rsidR="000921D0" w:rsidRPr="00B1477A" w14:paraId="20ED63B1" w14:textId="77777777" w:rsidTr="000921D0">
        <w:trPr>
          <w:trHeight w:val="214"/>
        </w:trPr>
        <w:tc>
          <w:tcPr>
            <w:tcW w:w="993" w:type="dxa"/>
            <w:tcBorders>
              <w:top w:val="nil"/>
              <w:left w:val="nil"/>
              <w:bottom w:val="nil"/>
              <w:right w:val="nil"/>
            </w:tcBorders>
            <w:shd w:val="clear" w:color="000000" w:fill="FFFFFF"/>
            <w:noWrap/>
            <w:vAlign w:val="bottom"/>
            <w:hideMark/>
          </w:tcPr>
          <w:p w14:paraId="5FF8897D" w14:textId="77777777" w:rsidR="000921D0" w:rsidRPr="00585DF8" w:rsidRDefault="000921D0" w:rsidP="000921D0">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99" w:type="dxa"/>
            <w:gridSpan w:val="2"/>
            <w:tcBorders>
              <w:top w:val="nil"/>
              <w:left w:val="nil"/>
              <w:bottom w:val="nil"/>
              <w:right w:val="nil"/>
            </w:tcBorders>
            <w:shd w:val="clear" w:color="000000" w:fill="FFFFFF"/>
            <w:noWrap/>
            <w:vAlign w:val="bottom"/>
            <w:hideMark/>
          </w:tcPr>
          <w:p w14:paraId="5CBF5A19"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12" w:type="dxa"/>
            <w:gridSpan w:val="3"/>
            <w:tcBorders>
              <w:top w:val="nil"/>
              <w:left w:val="nil"/>
              <w:bottom w:val="nil"/>
              <w:right w:val="nil"/>
            </w:tcBorders>
            <w:shd w:val="clear" w:color="000000" w:fill="FFFFFF"/>
            <w:noWrap/>
            <w:vAlign w:val="bottom"/>
            <w:hideMark/>
          </w:tcPr>
          <w:p w14:paraId="33F05B2E"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665" w:type="dxa"/>
            <w:tcBorders>
              <w:top w:val="nil"/>
              <w:left w:val="nil"/>
              <w:bottom w:val="nil"/>
              <w:right w:val="nil"/>
            </w:tcBorders>
            <w:shd w:val="clear" w:color="000000" w:fill="FFFFFF"/>
            <w:noWrap/>
            <w:vAlign w:val="bottom"/>
            <w:hideMark/>
          </w:tcPr>
          <w:p w14:paraId="26E6D558"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277" w:type="dxa"/>
            <w:gridSpan w:val="3"/>
            <w:tcBorders>
              <w:top w:val="nil"/>
              <w:left w:val="nil"/>
              <w:bottom w:val="nil"/>
              <w:right w:val="nil"/>
            </w:tcBorders>
            <w:shd w:val="clear" w:color="000000" w:fill="FFFFFF"/>
            <w:noWrap/>
            <w:vAlign w:val="bottom"/>
            <w:hideMark/>
          </w:tcPr>
          <w:p w14:paraId="00935E73"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927" w:type="dxa"/>
            <w:tcBorders>
              <w:top w:val="nil"/>
              <w:left w:val="nil"/>
              <w:bottom w:val="nil"/>
              <w:right w:val="nil"/>
            </w:tcBorders>
            <w:shd w:val="clear" w:color="000000" w:fill="FFFFFF"/>
            <w:noWrap/>
            <w:vAlign w:val="bottom"/>
            <w:hideMark/>
          </w:tcPr>
          <w:p w14:paraId="309B0E36"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727" w:type="dxa"/>
            <w:tcBorders>
              <w:top w:val="nil"/>
              <w:left w:val="nil"/>
              <w:bottom w:val="nil"/>
              <w:right w:val="nil"/>
            </w:tcBorders>
            <w:shd w:val="clear" w:color="000000" w:fill="FFFFFF"/>
            <w:noWrap/>
            <w:vAlign w:val="bottom"/>
            <w:hideMark/>
          </w:tcPr>
          <w:p w14:paraId="477CFC71" w14:textId="77777777" w:rsidR="000921D0" w:rsidRPr="00585DF8" w:rsidRDefault="000921D0" w:rsidP="000921D0">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r>
    </w:tbl>
    <w:p w14:paraId="6B607E42" w14:textId="74341AE9" w:rsidR="00F071CF" w:rsidRDefault="00FD16AB" w:rsidP="00F071CF">
      <w:pPr>
        <w:jc w:val="both"/>
        <w:rPr>
          <w:rFonts w:ascii="Arial" w:hAnsi="Arial" w:cs="Arial"/>
          <w:sz w:val="22"/>
          <w:szCs w:val="22"/>
        </w:rPr>
      </w:pPr>
      <w:r w:rsidRPr="00FD16AB">
        <w:rPr>
          <w:rFonts w:ascii="Arial" w:hAnsi="Arial" w:cs="Arial"/>
          <w:sz w:val="22"/>
          <w:szCs w:val="22"/>
        </w:rPr>
        <w:t>Table 5 exhibits the outcomes of a multiple regression analysis investigating the degree to which mathematical satisfaction and attitudes towards mathematics affect participation among learners.</w:t>
      </w:r>
      <w:r w:rsidR="00F071CF" w:rsidRPr="00F071CF">
        <w:rPr>
          <w:rFonts w:ascii="Arial" w:hAnsi="Arial" w:cs="Arial"/>
          <w:sz w:val="22"/>
          <w:szCs w:val="22"/>
        </w:rPr>
        <w:t xml:space="preserve"> Based on the results, the regression model is statistically significant (F = 299.84, p &lt; .001) and shows that both mathematical satisfaction and attitude toward mathematics are significant predictors of student engagement. </w:t>
      </w:r>
      <w:r w:rsidR="00E33EB6" w:rsidRPr="00E33EB6">
        <w:rPr>
          <w:rFonts w:ascii="Arial" w:hAnsi="Arial" w:cs="Arial"/>
          <w:sz w:val="22"/>
          <w:szCs w:val="22"/>
        </w:rPr>
        <w:t xml:space="preserve">The R-value of .917 signifies a robust </w:t>
      </w:r>
      <w:r w:rsidR="00E33EB6">
        <w:rPr>
          <w:rFonts w:ascii="Arial" w:hAnsi="Arial" w:cs="Arial"/>
          <w:sz w:val="22"/>
          <w:szCs w:val="22"/>
        </w:rPr>
        <w:t>interr</w:t>
      </w:r>
      <w:r w:rsidR="002B020B">
        <w:rPr>
          <w:rFonts w:ascii="Arial" w:hAnsi="Arial" w:cs="Arial"/>
          <w:sz w:val="22"/>
          <w:szCs w:val="22"/>
        </w:rPr>
        <w:t>elation</w:t>
      </w:r>
      <w:r w:rsidR="00E33EB6" w:rsidRPr="00E33EB6">
        <w:rPr>
          <w:rFonts w:ascii="Arial" w:hAnsi="Arial" w:cs="Arial"/>
          <w:sz w:val="22"/>
          <w:szCs w:val="22"/>
        </w:rPr>
        <w:t xml:space="preserve"> between the variables and student involvement, and the R² of .840 denotes that the model accounts for 84% of </w:t>
      </w:r>
      <w:r w:rsidR="00AC66D6" w:rsidRPr="00AC66D6">
        <w:rPr>
          <w:rFonts w:ascii="Arial" w:hAnsi="Arial" w:cs="Arial"/>
          <w:sz w:val="22"/>
          <w:szCs w:val="22"/>
        </w:rPr>
        <w:t>total variability</w:t>
      </w:r>
      <w:r w:rsidR="00AC66D6">
        <w:rPr>
          <w:rFonts w:ascii="Arial" w:hAnsi="Arial" w:cs="Arial"/>
          <w:sz w:val="22"/>
          <w:szCs w:val="22"/>
        </w:rPr>
        <w:t xml:space="preserve"> </w:t>
      </w:r>
      <w:r w:rsidR="00E33EB6" w:rsidRPr="00E33EB6">
        <w:rPr>
          <w:rFonts w:ascii="Arial" w:hAnsi="Arial" w:cs="Arial"/>
          <w:sz w:val="22"/>
          <w:szCs w:val="22"/>
        </w:rPr>
        <w:t>in student engagement.</w:t>
      </w:r>
    </w:p>
    <w:p w14:paraId="31BE7D6B" w14:textId="77777777" w:rsidR="00E33EB6" w:rsidRPr="00F071CF" w:rsidRDefault="00E33EB6" w:rsidP="00F071CF">
      <w:pPr>
        <w:jc w:val="both"/>
        <w:rPr>
          <w:rFonts w:ascii="Arial" w:hAnsi="Arial" w:cs="Arial"/>
          <w:sz w:val="22"/>
          <w:szCs w:val="22"/>
        </w:rPr>
      </w:pPr>
    </w:p>
    <w:p w14:paraId="6FD8A54E" w14:textId="49C71B12" w:rsidR="00F071CF" w:rsidRDefault="00F071CF" w:rsidP="00F071CF">
      <w:pPr>
        <w:jc w:val="both"/>
        <w:rPr>
          <w:rFonts w:ascii="Arial" w:hAnsi="Arial" w:cs="Arial"/>
          <w:sz w:val="22"/>
          <w:szCs w:val="22"/>
        </w:rPr>
      </w:pPr>
      <w:r w:rsidRPr="00F071CF">
        <w:rPr>
          <w:rFonts w:ascii="Arial" w:hAnsi="Arial" w:cs="Arial"/>
          <w:sz w:val="22"/>
          <w:szCs w:val="22"/>
        </w:rPr>
        <w:t>Moreover, the analysis reveals that mathematical satisfaction has a stronger significant influence (B = 0.694, t = 9.963, p &lt; .001) on student engagement than attitude toward mathematics, which also contributes significantly (B = 0.260, t = 3.868, p &lt; .001). The standardized coefficients further show that mathematical satisfaction has a stronger influence (β = 0.683) than attitude towards mathematics (β = 0.265) on student engagement.</w:t>
      </w:r>
    </w:p>
    <w:p w14:paraId="6F00EACB" w14:textId="77777777" w:rsidR="00941915" w:rsidRDefault="00941915" w:rsidP="009D5C14">
      <w:pPr>
        <w:jc w:val="both"/>
        <w:rPr>
          <w:rFonts w:ascii="Arial" w:hAnsi="Arial" w:cs="Arial"/>
          <w:sz w:val="22"/>
          <w:szCs w:val="22"/>
        </w:rPr>
      </w:pPr>
    </w:p>
    <w:tbl>
      <w:tblPr>
        <w:tblpPr w:leftFromText="180" w:rightFromText="180" w:vertAnchor="text" w:horzAnchor="margin" w:tblpY="78"/>
        <w:tblW w:w="8138" w:type="dxa"/>
        <w:tblLook w:val="04A0" w:firstRow="1" w:lastRow="0" w:firstColumn="1" w:lastColumn="0" w:noHBand="0" w:noVBand="1"/>
      </w:tblPr>
      <w:tblGrid>
        <w:gridCol w:w="816"/>
        <w:gridCol w:w="441"/>
        <w:gridCol w:w="2768"/>
        <w:gridCol w:w="982"/>
        <w:gridCol w:w="1213"/>
        <w:gridCol w:w="982"/>
        <w:gridCol w:w="982"/>
      </w:tblGrid>
      <w:tr w:rsidR="00EA311D" w:rsidRPr="00FE2672" w14:paraId="576CF87F" w14:textId="77777777" w:rsidTr="00EA311D">
        <w:trPr>
          <w:trHeight w:val="319"/>
        </w:trPr>
        <w:tc>
          <w:tcPr>
            <w:tcW w:w="3977" w:type="dxa"/>
            <w:gridSpan w:val="3"/>
            <w:tcBorders>
              <w:top w:val="nil"/>
              <w:left w:val="nil"/>
              <w:bottom w:val="nil"/>
              <w:right w:val="nil"/>
            </w:tcBorders>
            <w:shd w:val="clear" w:color="000000" w:fill="FFFFFF"/>
            <w:noWrap/>
            <w:vAlign w:val="bottom"/>
            <w:hideMark/>
          </w:tcPr>
          <w:p w14:paraId="7A43F2BB" w14:textId="77777777" w:rsidR="00941915" w:rsidRPr="00FE2672" w:rsidRDefault="00941915" w:rsidP="00941915">
            <w:pPr>
              <w:rPr>
                <w:rFonts w:ascii="Arial" w:hAnsi="Arial" w:cs="Arial"/>
                <w:b/>
                <w:bCs/>
                <w:color w:val="000000"/>
                <w:sz w:val="22"/>
                <w:szCs w:val="22"/>
                <w:lang w:val="en-PH" w:eastAsia="en-PH"/>
              </w:rPr>
            </w:pPr>
            <w:r w:rsidRPr="00FE2672">
              <w:rPr>
                <w:rFonts w:ascii="Arial" w:hAnsi="Arial" w:cs="Arial"/>
                <w:b/>
                <w:bCs/>
                <w:color w:val="000000"/>
                <w:sz w:val="22"/>
                <w:szCs w:val="22"/>
                <w:lang w:val="en-PH" w:eastAsia="en-PH"/>
              </w:rPr>
              <w:t>Table 6. Final Prediction Model</w:t>
            </w:r>
          </w:p>
        </w:tc>
        <w:tc>
          <w:tcPr>
            <w:tcW w:w="982" w:type="dxa"/>
            <w:tcBorders>
              <w:top w:val="nil"/>
              <w:left w:val="nil"/>
              <w:bottom w:val="nil"/>
              <w:right w:val="nil"/>
            </w:tcBorders>
            <w:shd w:val="clear" w:color="000000" w:fill="FFFFFF"/>
            <w:noWrap/>
            <w:vAlign w:val="bottom"/>
            <w:hideMark/>
          </w:tcPr>
          <w:p w14:paraId="1BC3F3F6"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1213" w:type="dxa"/>
            <w:tcBorders>
              <w:top w:val="nil"/>
              <w:left w:val="nil"/>
              <w:bottom w:val="nil"/>
              <w:right w:val="nil"/>
            </w:tcBorders>
            <w:shd w:val="clear" w:color="000000" w:fill="FFFFFF"/>
            <w:noWrap/>
            <w:vAlign w:val="bottom"/>
            <w:hideMark/>
          </w:tcPr>
          <w:p w14:paraId="4772D9F1"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1C1FC786"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0A361269"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r w:rsidR="00EA311D" w:rsidRPr="00FE2672" w14:paraId="78077286" w14:textId="77777777" w:rsidTr="00EA311D">
        <w:trPr>
          <w:trHeight w:val="329"/>
        </w:trPr>
        <w:tc>
          <w:tcPr>
            <w:tcW w:w="785" w:type="dxa"/>
            <w:tcBorders>
              <w:top w:val="nil"/>
              <w:left w:val="nil"/>
              <w:bottom w:val="nil"/>
              <w:right w:val="nil"/>
            </w:tcBorders>
            <w:shd w:val="clear" w:color="000000" w:fill="FFFFFF"/>
            <w:noWrap/>
            <w:vAlign w:val="bottom"/>
            <w:hideMark/>
          </w:tcPr>
          <w:p w14:paraId="0A85FC61"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424" w:type="dxa"/>
            <w:tcBorders>
              <w:top w:val="nil"/>
              <w:left w:val="nil"/>
              <w:bottom w:val="nil"/>
              <w:right w:val="nil"/>
            </w:tcBorders>
            <w:shd w:val="clear" w:color="000000" w:fill="FFFFFF"/>
            <w:noWrap/>
            <w:vAlign w:val="bottom"/>
            <w:hideMark/>
          </w:tcPr>
          <w:p w14:paraId="512FB95A"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2767" w:type="dxa"/>
            <w:tcBorders>
              <w:top w:val="nil"/>
              <w:left w:val="nil"/>
              <w:bottom w:val="nil"/>
              <w:right w:val="nil"/>
            </w:tcBorders>
            <w:shd w:val="clear" w:color="000000" w:fill="FFFFFF"/>
            <w:noWrap/>
            <w:vAlign w:val="bottom"/>
            <w:hideMark/>
          </w:tcPr>
          <w:p w14:paraId="2EE6A0AA"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60AE73F8"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1213" w:type="dxa"/>
            <w:tcBorders>
              <w:top w:val="nil"/>
              <w:left w:val="nil"/>
              <w:bottom w:val="nil"/>
              <w:right w:val="nil"/>
            </w:tcBorders>
            <w:shd w:val="clear" w:color="000000" w:fill="FFFFFF"/>
            <w:noWrap/>
            <w:vAlign w:val="bottom"/>
            <w:hideMark/>
          </w:tcPr>
          <w:p w14:paraId="1FA3E59C"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6DAC5674"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077D969B"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r w:rsidR="00941915" w:rsidRPr="00FE2672" w14:paraId="2AF3CCDA" w14:textId="77777777" w:rsidTr="00EA311D">
        <w:trPr>
          <w:trHeight w:val="772"/>
        </w:trPr>
        <w:tc>
          <w:tcPr>
            <w:tcW w:w="8138" w:type="dxa"/>
            <w:gridSpan w:val="7"/>
            <w:tcBorders>
              <w:top w:val="single" w:sz="8" w:space="0" w:color="auto"/>
              <w:left w:val="nil"/>
              <w:bottom w:val="single" w:sz="8" w:space="0" w:color="auto"/>
              <w:right w:val="nil"/>
            </w:tcBorders>
            <w:shd w:val="clear" w:color="000000" w:fill="FFFFFF"/>
            <w:vAlign w:val="center"/>
            <w:hideMark/>
          </w:tcPr>
          <w:p w14:paraId="50C1840D" w14:textId="77777777" w:rsidR="00941915" w:rsidRPr="00FE2672" w:rsidRDefault="00941915" w:rsidP="00941915">
            <w:pPr>
              <w:jc w:val="center"/>
              <w:rPr>
                <w:rFonts w:ascii="Arial" w:hAnsi="Arial" w:cs="Arial"/>
                <w:b/>
                <w:bCs/>
                <w:color w:val="000000"/>
                <w:sz w:val="22"/>
                <w:szCs w:val="22"/>
                <w:vertAlign w:val="subscript"/>
                <w:lang w:val="en-PH" w:eastAsia="en-PH"/>
              </w:rPr>
            </w:pPr>
            <w:r w:rsidRPr="00FE2672">
              <w:rPr>
                <w:rFonts w:ascii="Arial" w:hAnsi="Arial" w:cs="Arial"/>
                <w:b/>
                <w:bCs/>
                <w:color w:val="000000"/>
                <w:sz w:val="22"/>
                <w:szCs w:val="22"/>
                <w:lang w:val="en-PH" w:eastAsia="en-PH"/>
              </w:rPr>
              <w:t>Y = 0.306+0.694X</w:t>
            </w:r>
            <w:r>
              <w:rPr>
                <w:rFonts w:ascii="Arial" w:hAnsi="Arial" w:cs="Arial"/>
                <w:b/>
                <w:bCs/>
                <w:color w:val="000000"/>
                <w:sz w:val="22"/>
                <w:szCs w:val="22"/>
                <w:vertAlign w:val="subscript"/>
                <w:lang w:val="en-PH" w:eastAsia="en-PH"/>
              </w:rPr>
              <w:t>1</w:t>
            </w:r>
            <w:r w:rsidRPr="00FE2672">
              <w:rPr>
                <w:rFonts w:ascii="Arial" w:hAnsi="Arial" w:cs="Arial"/>
                <w:b/>
                <w:bCs/>
                <w:color w:val="000000"/>
                <w:sz w:val="22"/>
                <w:szCs w:val="22"/>
                <w:lang w:val="en-PH" w:eastAsia="en-PH"/>
              </w:rPr>
              <w:t>+0.260X</w:t>
            </w:r>
            <w:r>
              <w:rPr>
                <w:rFonts w:ascii="Arial" w:hAnsi="Arial" w:cs="Arial"/>
                <w:b/>
                <w:bCs/>
                <w:color w:val="000000"/>
                <w:sz w:val="22"/>
                <w:szCs w:val="22"/>
                <w:vertAlign w:val="subscript"/>
                <w:lang w:val="en-PH" w:eastAsia="en-PH"/>
              </w:rPr>
              <w:t>2</w:t>
            </w:r>
          </w:p>
        </w:tc>
      </w:tr>
      <w:tr w:rsidR="00EA311D" w:rsidRPr="00FE2672" w14:paraId="196675B4" w14:textId="77777777" w:rsidTr="00EA311D">
        <w:trPr>
          <w:trHeight w:val="319"/>
        </w:trPr>
        <w:tc>
          <w:tcPr>
            <w:tcW w:w="785" w:type="dxa"/>
            <w:tcBorders>
              <w:top w:val="nil"/>
              <w:left w:val="nil"/>
              <w:bottom w:val="nil"/>
              <w:right w:val="nil"/>
            </w:tcBorders>
            <w:shd w:val="clear" w:color="000000" w:fill="FFFFFF"/>
            <w:noWrap/>
            <w:vAlign w:val="bottom"/>
            <w:hideMark/>
          </w:tcPr>
          <w:p w14:paraId="660690C6"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where</w:t>
            </w:r>
          </w:p>
        </w:tc>
        <w:tc>
          <w:tcPr>
            <w:tcW w:w="424" w:type="dxa"/>
            <w:tcBorders>
              <w:top w:val="nil"/>
              <w:left w:val="nil"/>
              <w:bottom w:val="nil"/>
              <w:right w:val="nil"/>
            </w:tcBorders>
            <w:shd w:val="clear" w:color="000000" w:fill="FFFFFF"/>
            <w:noWrap/>
            <w:vAlign w:val="bottom"/>
            <w:hideMark/>
          </w:tcPr>
          <w:p w14:paraId="24ECE402"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2767" w:type="dxa"/>
            <w:tcBorders>
              <w:top w:val="nil"/>
              <w:left w:val="nil"/>
              <w:bottom w:val="nil"/>
              <w:right w:val="nil"/>
            </w:tcBorders>
            <w:shd w:val="clear" w:color="000000" w:fill="FFFFFF"/>
            <w:noWrap/>
            <w:vAlign w:val="bottom"/>
            <w:hideMark/>
          </w:tcPr>
          <w:p w14:paraId="2EF3DFAB"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5CD86CC6"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1213" w:type="dxa"/>
            <w:tcBorders>
              <w:top w:val="nil"/>
              <w:left w:val="nil"/>
              <w:bottom w:val="nil"/>
              <w:right w:val="nil"/>
            </w:tcBorders>
            <w:shd w:val="clear" w:color="000000" w:fill="FFFFFF"/>
            <w:noWrap/>
            <w:vAlign w:val="bottom"/>
            <w:hideMark/>
          </w:tcPr>
          <w:p w14:paraId="75D1D6F8"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0E30EFA4"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066630B0"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r w:rsidR="00EA311D" w:rsidRPr="00FE2672" w14:paraId="701CFEF9" w14:textId="77777777" w:rsidTr="00EA311D">
        <w:trPr>
          <w:trHeight w:val="319"/>
        </w:trPr>
        <w:tc>
          <w:tcPr>
            <w:tcW w:w="785" w:type="dxa"/>
            <w:tcBorders>
              <w:top w:val="nil"/>
              <w:left w:val="nil"/>
              <w:bottom w:val="nil"/>
              <w:right w:val="nil"/>
            </w:tcBorders>
            <w:shd w:val="clear" w:color="000000" w:fill="FFFFFF"/>
            <w:noWrap/>
            <w:vAlign w:val="bottom"/>
            <w:hideMark/>
          </w:tcPr>
          <w:p w14:paraId="0ABE42DA"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424" w:type="dxa"/>
            <w:tcBorders>
              <w:top w:val="nil"/>
              <w:left w:val="nil"/>
              <w:bottom w:val="nil"/>
              <w:right w:val="nil"/>
            </w:tcBorders>
            <w:shd w:val="clear" w:color="000000" w:fill="FFFFFF"/>
            <w:noWrap/>
            <w:vAlign w:val="bottom"/>
            <w:hideMark/>
          </w:tcPr>
          <w:p w14:paraId="40174B1C" w14:textId="77777777" w:rsidR="00941915" w:rsidRPr="00FE2672" w:rsidRDefault="00941915" w:rsidP="00941915">
            <w:pPr>
              <w:rPr>
                <w:rFonts w:ascii="Arial" w:hAnsi="Arial" w:cs="Arial"/>
                <w:color w:val="000000"/>
                <w:sz w:val="22"/>
                <w:szCs w:val="22"/>
                <w:vertAlign w:val="subscript"/>
                <w:lang w:val="en-PH" w:eastAsia="en-PH"/>
              </w:rPr>
            </w:pPr>
            <w:r w:rsidRPr="00FE2672">
              <w:rPr>
                <w:rFonts w:ascii="Arial" w:hAnsi="Arial" w:cs="Arial"/>
                <w:color w:val="000000"/>
                <w:sz w:val="22"/>
                <w:szCs w:val="22"/>
                <w:lang w:val="en-PH" w:eastAsia="en-PH"/>
              </w:rPr>
              <w:t>X</w:t>
            </w:r>
            <w:r>
              <w:rPr>
                <w:rFonts w:ascii="Arial" w:hAnsi="Arial" w:cs="Arial"/>
                <w:color w:val="000000"/>
                <w:sz w:val="22"/>
                <w:szCs w:val="22"/>
                <w:vertAlign w:val="subscript"/>
                <w:lang w:val="en-PH" w:eastAsia="en-PH"/>
              </w:rPr>
              <w:t>1</w:t>
            </w:r>
          </w:p>
        </w:tc>
        <w:tc>
          <w:tcPr>
            <w:tcW w:w="2767" w:type="dxa"/>
            <w:tcBorders>
              <w:top w:val="nil"/>
              <w:left w:val="nil"/>
              <w:bottom w:val="nil"/>
              <w:right w:val="nil"/>
            </w:tcBorders>
            <w:noWrap/>
            <w:vAlign w:val="center"/>
            <w:hideMark/>
          </w:tcPr>
          <w:p w14:paraId="58A94790"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Mathematical Satisfaction</w:t>
            </w:r>
          </w:p>
        </w:tc>
        <w:tc>
          <w:tcPr>
            <w:tcW w:w="982" w:type="dxa"/>
            <w:tcBorders>
              <w:top w:val="nil"/>
              <w:left w:val="nil"/>
              <w:bottom w:val="nil"/>
              <w:right w:val="nil"/>
            </w:tcBorders>
            <w:shd w:val="clear" w:color="000000" w:fill="FFFFFF"/>
            <w:noWrap/>
            <w:vAlign w:val="bottom"/>
            <w:hideMark/>
          </w:tcPr>
          <w:p w14:paraId="712B49B5"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1213" w:type="dxa"/>
            <w:tcBorders>
              <w:top w:val="nil"/>
              <w:left w:val="nil"/>
              <w:bottom w:val="nil"/>
              <w:right w:val="nil"/>
            </w:tcBorders>
            <w:shd w:val="clear" w:color="000000" w:fill="FFFFFF"/>
            <w:noWrap/>
            <w:vAlign w:val="bottom"/>
            <w:hideMark/>
          </w:tcPr>
          <w:p w14:paraId="24B7A243"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33D8A168"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18B4EE0C"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r w:rsidR="00EA311D" w:rsidRPr="00FE2672" w14:paraId="0E767CFE" w14:textId="77777777" w:rsidTr="00EA311D">
        <w:trPr>
          <w:trHeight w:val="319"/>
        </w:trPr>
        <w:tc>
          <w:tcPr>
            <w:tcW w:w="785" w:type="dxa"/>
            <w:tcBorders>
              <w:top w:val="nil"/>
              <w:left w:val="nil"/>
              <w:bottom w:val="nil"/>
              <w:right w:val="nil"/>
            </w:tcBorders>
            <w:shd w:val="clear" w:color="000000" w:fill="FFFFFF"/>
            <w:noWrap/>
            <w:vAlign w:val="bottom"/>
            <w:hideMark/>
          </w:tcPr>
          <w:p w14:paraId="236E94A3"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424" w:type="dxa"/>
            <w:tcBorders>
              <w:top w:val="nil"/>
              <w:left w:val="nil"/>
              <w:bottom w:val="nil"/>
              <w:right w:val="nil"/>
            </w:tcBorders>
            <w:shd w:val="clear" w:color="000000" w:fill="FFFFFF"/>
            <w:noWrap/>
            <w:vAlign w:val="bottom"/>
            <w:hideMark/>
          </w:tcPr>
          <w:p w14:paraId="6449068E" w14:textId="77777777" w:rsidR="00941915" w:rsidRPr="00FE2672" w:rsidRDefault="00941915" w:rsidP="00941915">
            <w:pPr>
              <w:rPr>
                <w:rFonts w:ascii="Arial" w:hAnsi="Arial" w:cs="Arial"/>
                <w:color w:val="000000"/>
                <w:sz w:val="22"/>
                <w:szCs w:val="22"/>
                <w:vertAlign w:val="subscript"/>
                <w:lang w:val="en-PH" w:eastAsia="en-PH"/>
              </w:rPr>
            </w:pPr>
            <w:r w:rsidRPr="00FE2672">
              <w:rPr>
                <w:rFonts w:ascii="Arial" w:hAnsi="Arial" w:cs="Arial"/>
                <w:color w:val="000000"/>
                <w:sz w:val="22"/>
                <w:szCs w:val="22"/>
                <w:lang w:val="en-PH" w:eastAsia="en-PH"/>
              </w:rPr>
              <w:t>X</w:t>
            </w:r>
            <w:r>
              <w:rPr>
                <w:rFonts w:ascii="Arial" w:hAnsi="Arial" w:cs="Arial"/>
                <w:color w:val="000000"/>
                <w:sz w:val="22"/>
                <w:szCs w:val="22"/>
                <w:vertAlign w:val="subscript"/>
                <w:lang w:val="en-PH" w:eastAsia="en-PH"/>
              </w:rPr>
              <w:t>2</w:t>
            </w:r>
          </w:p>
        </w:tc>
        <w:tc>
          <w:tcPr>
            <w:tcW w:w="4963" w:type="dxa"/>
            <w:gridSpan w:val="3"/>
            <w:tcBorders>
              <w:top w:val="nil"/>
              <w:left w:val="nil"/>
              <w:bottom w:val="nil"/>
              <w:right w:val="nil"/>
            </w:tcBorders>
            <w:shd w:val="clear" w:color="000000" w:fill="FFFFFF"/>
            <w:noWrap/>
            <w:vAlign w:val="center"/>
            <w:hideMark/>
          </w:tcPr>
          <w:p w14:paraId="608D7184"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Attitude towards Mathematics</w:t>
            </w:r>
          </w:p>
        </w:tc>
        <w:tc>
          <w:tcPr>
            <w:tcW w:w="982" w:type="dxa"/>
            <w:tcBorders>
              <w:top w:val="nil"/>
              <w:left w:val="nil"/>
              <w:bottom w:val="nil"/>
              <w:right w:val="nil"/>
            </w:tcBorders>
            <w:shd w:val="clear" w:color="000000" w:fill="FFFFFF"/>
            <w:noWrap/>
            <w:vAlign w:val="bottom"/>
            <w:hideMark/>
          </w:tcPr>
          <w:p w14:paraId="2D48BF6D"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5AE496B5"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r w:rsidR="00C30BDB" w:rsidRPr="00FE2672" w14:paraId="081C6922" w14:textId="77777777" w:rsidTr="00EA311D">
        <w:trPr>
          <w:trHeight w:val="319"/>
        </w:trPr>
        <w:tc>
          <w:tcPr>
            <w:tcW w:w="785" w:type="dxa"/>
            <w:tcBorders>
              <w:top w:val="nil"/>
              <w:left w:val="nil"/>
              <w:bottom w:val="single" w:sz="4" w:space="0" w:color="auto"/>
              <w:right w:val="nil"/>
            </w:tcBorders>
            <w:shd w:val="clear" w:color="000000" w:fill="FFFFFF"/>
            <w:noWrap/>
            <w:vAlign w:val="bottom"/>
            <w:hideMark/>
          </w:tcPr>
          <w:p w14:paraId="72A5CA94" w14:textId="40B0774F" w:rsidR="00C30BDB" w:rsidRPr="00FE2672" w:rsidRDefault="00C30BDB" w:rsidP="00941915">
            <w:pPr>
              <w:rPr>
                <w:rFonts w:ascii="Arial" w:hAnsi="Arial" w:cs="Arial"/>
                <w:color w:val="000000"/>
                <w:sz w:val="22"/>
                <w:szCs w:val="22"/>
                <w:lang w:val="en-PH" w:eastAsia="en-PH"/>
              </w:rPr>
            </w:pPr>
          </w:p>
        </w:tc>
        <w:tc>
          <w:tcPr>
            <w:tcW w:w="424" w:type="dxa"/>
            <w:tcBorders>
              <w:top w:val="nil"/>
              <w:left w:val="nil"/>
              <w:bottom w:val="single" w:sz="4" w:space="0" w:color="auto"/>
              <w:right w:val="nil"/>
            </w:tcBorders>
            <w:shd w:val="clear" w:color="000000" w:fill="FFFFFF"/>
            <w:noWrap/>
            <w:vAlign w:val="bottom"/>
            <w:hideMark/>
          </w:tcPr>
          <w:p w14:paraId="5D597358"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2767" w:type="dxa"/>
            <w:tcBorders>
              <w:top w:val="nil"/>
              <w:left w:val="nil"/>
              <w:bottom w:val="single" w:sz="4" w:space="0" w:color="auto"/>
              <w:right w:val="nil"/>
            </w:tcBorders>
            <w:shd w:val="clear" w:color="000000" w:fill="FFFFFF"/>
            <w:noWrap/>
            <w:vAlign w:val="center"/>
            <w:hideMark/>
          </w:tcPr>
          <w:p w14:paraId="4BAAE03E"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single" w:sz="4" w:space="0" w:color="auto"/>
              <w:right w:val="nil"/>
            </w:tcBorders>
            <w:shd w:val="clear" w:color="000000" w:fill="FFFFFF"/>
            <w:noWrap/>
            <w:vAlign w:val="bottom"/>
            <w:hideMark/>
          </w:tcPr>
          <w:p w14:paraId="75698C3A"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1213" w:type="dxa"/>
            <w:tcBorders>
              <w:top w:val="nil"/>
              <w:left w:val="nil"/>
              <w:bottom w:val="single" w:sz="4" w:space="0" w:color="auto"/>
              <w:right w:val="nil"/>
            </w:tcBorders>
            <w:shd w:val="clear" w:color="000000" w:fill="FFFFFF"/>
            <w:noWrap/>
            <w:vAlign w:val="bottom"/>
            <w:hideMark/>
          </w:tcPr>
          <w:p w14:paraId="6D3587E0"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single" w:sz="4" w:space="0" w:color="auto"/>
              <w:right w:val="nil"/>
            </w:tcBorders>
            <w:shd w:val="clear" w:color="000000" w:fill="FFFFFF"/>
            <w:noWrap/>
            <w:vAlign w:val="bottom"/>
            <w:hideMark/>
          </w:tcPr>
          <w:p w14:paraId="39AA917D"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single" w:sz="4" w:space="0" w:color="auto"/>
              <w:right w:val="nil"/>
            </w:tcBorders>
            <w:shd w:val="clear" w:color="000000" w:fill="FFFFFF"/>
            <w:noWrap/>
            <w:vAlign w:val="bottom"/>
            <w:hideMark/>
          </w:tcPr>
          <w:p w14:paraId="5F9C3EA7"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bl>
    <w:p w14:paraId="130BB1CA" w14:textId="77777777" w:rsidR="00941915" w:rsidRDefault="00941915" w:rsidP="009D5C14">
      <w:pPr>
        <w:jc w:val="both"/>
        <w:rPr>
          <w:rFonts w:ascii="Arial" w:hAnsi="Arial" w:cs="Arial"/>
          <w:sz w:val="22"/>
          <w:szCs w:val="22"/>
        </w:rPr>
      </w:pPr>
    </w:p>
    <w:p w14:paraId="690FFDF0" w14:textId="4D438A31" w:rsidR="00E053D0" w:rsidRDefault="00754040" w:rsidP="00441B6F">
      <w:pPr>
        <w:pStyle w:val="Body"/>
        <w:spacing w:after="0"/>
        <w:rPr>
          <w:rFonts w:ascii="Arial" w:hAnsi="Arial" w:cs="Arial"/>
        </w:rPr>
      </w:pPr>
      <w:r w:rsidRPr="00754040">
        <w:rPr>
          <w:rFonts w:ascii="Arial" w:hAnsi="Arial" w:cs="Arial"/>
          <w:sz w:val="22"/>
          <w:szCs w:val="22"/>
        </w:rPr>
        <w:t>Table 6 presents the final regression model, in which Y predicts student engagement, with X</w:t>
      </w:r>
      <w:r w:rsidRPr="00754040">
        <w:rPr>
          <w:rFonts w:ascii="Arial" w:hAnsi="Arial" w:cs="Arial"/>
          <w:sz w:val="22"/>
          <w:szCs w:val="22"/>
          <w:vertAlign w:val="subscript"/>
        </w:rPr>
        <w:t>1</w:t>
      </w:r>
      <w:r w:rsidRPr="00754040">
        <w:rPr>
          <w:rFonts w:ascii="Arial" w:hAnsi="Arial" w:cs="Arial"/>
          <w:sz w:val="22"/>
          <w:szCs w:val="22"/>
        </w:rPr>
        <w:t xml:space="preserve"> denoting mathematical satisfaction and X</w:t>
      </w:r>
      <w:r w:rsidRPr="00754040">
        <w:rPr>
          <w:rFonts w:ascii="Arial" w:hAnsi="Arial" w:cs="Arial"/>
          <w:sz w:val="22"/>
          <w:szCs w:val="22"/>
          <w:vertAlign w:val="subscript"/>
        </w:rPr>
        <w:t>2</w:t>
      </w:r>
      <w:r w:rsidRPr="00754040">
        <w:rPr>
          <w:rFonts w:ascii="Arial" w:hAnsi="Arial" w:cs="Arial"/>
          <w:sz w:val="22"/>
          <w:szCs w:val="22"/>
        </w:rPr>
        <w:t xml:space="preserve"> representing attitude towards mathematics</w:t>
      </w:r>
      <w:r w:rsidR="00DD6978">
        <w:rPr>
          <w:rFonts w:ascii="Arial" w:hAnsi="Arial" w:cs="Arial"/>
          <w:sz w:val="22"/>
          <w:szCs w:val="22"/>
        </w:rPr>
        <w:t>. It i</w:t>
      </w:r>
      <w:r w:rsidRPr="00754040">
        <w:rPr>
          <w:rFonts w:ascii="Arial" w:hAnsi="Arial" w:cs="Arial"/>
          <w:sz w:val="22"/>
          <w:szCs w:val="22"/>
        </w:rPr>
        <w:t>ndicat</w:t>
      </w:r>
      <w:r w:rsidR="00DD6978">
        <w:rPr>
          <w:rFonts w:ascii="Arial" w:hAnsi="Arial" w:cs="Arial"/>
          <w:sz w:val="22"/>
          <w:szCs w:val="22"/>
        </w:rPr>
        <w:t>es</w:t>
      </w:r>
      <w:r w:rsidRPr="00754040">
        <w:rPr>
          <w:rFonts w:ascii="Arial" w:hAnsi="Arial" w:cs="Arial"/>
          <w:sz w:val="22"/>
          <w:szCs w:val="22"/>
        </w:rPr>
        <w:t xml:space="preserve"> that both predictors significantly influence student engagement. The model intercept (0.306) represents the baseline level of student </w:t>
      </w:r>
      <w:r w:rsidRPr="00754040">
        <w:rPr>
          <w:rFonts w:ascii="Arial" w:hAnsi="Arial" w:cs="Arial"/>
          <w:sz w:val="22"/>
          <w:szCs w:val="22"/>
        </w:rPr>
        <w:lastRenderedPageBreak/>
        <w:t xml:space="preserve">engagement when both predictors are equal to zero. </w:t>
      </w:r>
      <w:r w:rsidR="000501B6" w:rsidRPr="000501B6">
        <w:rPr>
          <w:rFonts w:ascii="Arial" w:hAnsi="Arial" w:cs="Arial"/>
          <w:sz w:val="22"/>
          <w:szCs w:val="22"/>
        </w:rPr>
        <w:t xml:space="preserve">The coefficient for mathematical satisfaction (B = 0.694) signifies that each one-unit improvement in mathematical satisfaction corresponds to a 0.694 unit increase in student engagement. The mathematics attitude coefficient (B = 0.260) indicates that a one-unit increase in attitude corresponds to a 0.260 unit increase in student involvement. </w:t>
      </w:r>
      <w:r w:rsidRPr="00754040">
        <w:rPr>
          <w:rFonts w:ascii="Arial" w:hAnsi="Arial" w:cs="Arial"/>
          <w:sz w:val="22"/>
          <w:szCs w:val="22"/>
        </w:rPr>
        <w:t>This means enhancing students’ satisfaction with mathematics can significantly boost their engagement. Likewise, cultivating a positive attitude can also meaningfully strengthen student engagement. These findings emphasize that both mathematical satisfaction and attitude toward mathematics play significant roles in predicting student engagement.</w:t>
      </w:r>
    </w:p>
    <w:p w14:paraId="258DC2B8" w14:textId="77777777" w:rsidR="00790ADA" w:rsidRPr="00FB3A86" w:rsidRDefault="00790ADA" w:rsidP="00441B6F">
      <w:pPr>
        <w:pStyle w:val="Body"/>
        <w:spacing w:after="0"/>
        <w:rPr>
          <w:rFonts w:ascii="Arial" w:hAnsi="Arial" w:cs="Arial"/>
        </w:rPr>
      </w:pPr>
    </w:p>
    <w:p w14:paraId="4A73E136" w14:textId="164D2A59"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134803">
        <w:rPr>
          <w:rFonts w:ascii="Arial" w:hAnsi="Arial" w:cs="Arial"/>
        </w:rPr>
        <w:t xml:space="preserve"> and </w:t>
      </w:r>
      <w:r w:rsidR="00754040">
        <w:rPr>
          <w:rFonts w:ascii="Arial" w:hAnsi="Arial" w:cs="Arial"/>
        </w:rPr>
        <w:t>recommendation</w:t>
      </w:r>
    </w:p>
    <w:p w14:paraId="5A93C2B0" w14:textId="77777777" w:rsidR="00790ADA" w:rsidRPr="00FB3A86" w:rsidRDefault="00790ADA" w:rsidP="00441B6F">
      <w:pPr>
        <w:pStyle w:val="ConcHead"/>
        <w:spacing w:after="0"/>
        <w:jc w:val="both"/>
        <w:rPr>
          <w:rFonts w:ascii="Arial" w:hAnsi="Arial" w:cs="Arial"/>
        </w:rPr>
      </w:pPr>
    </w:p>
    <w:p w14:paraId="748F1102" w14:textId="31345EEE" w:rsidR="00F334A3" w:rsidRPr="00F334A3" w:rsidRDefault="0014570A" w:rsidP="00F334A3">
      <w:pPr>
        <w:pStyle w:val="Body"/>
        <w:rPr>
          <w:rFonts w:ascii="Arial" w:hAnsi="Arial" w:cs="Arial"/>
          <w:sz w:val="22"/>
          <w:szCs w:val="22"/>
        </w:rPr>
      </w:pPr>
      <w:r w:rsidRPr="0014570A">
        <w:rPr>
          <w:rFonts w:ascii="Arial" w:hAnsi="Arial" w:cs="Arial"/>
          <w:sz w:val="22"/>
          <w:szCs w:val="22"/>
        </w:rPr>
        <w:t xml:space="preserve">The study conducted in Panabo City revealed that mathematical satisfaction and attitude towards mathematics are significant determinants of student engagement in mathematics among senior high school students, with high levels of satisfaction, positive attitudes, and engagement seen. </w:t>
      </w:r>
      <w:r w:rsidR="00F334A3" w:rsidRPr="00F334A3">
        <w:rPr>
          <w:rFonts w:ascii="Arial" w:hAnsi="Arial" w:cs="Arial"/>
          <w:sz w:val="22"/>
          <w:szCs w:val="22"/>
        </w:rPr>
        <w:t xml:space="preserve">Each indicator of the three variables also indicates a high level. This result suggests that students in Panabo City hold a favorable view of mathematics, stemming from satisfaction, a positive disposition, and holistic engagement. </w:t>
      </w:r>
      <w:r w:rsidR="00551E35" w:rsidRPr="00551E35">
        <w:rPr>
          <w:rFonts w:ascii="Arial" w:hAnsi="Arial" w:cs="Arial"/>
          <w:sz w:val="22"/>
          <w:szCs w:val="22"/>
        </w:rPr>
        <w:t>The study demonstrated a substantial correlation between mathematical satisfaction and student involvement, consistent with Ryan et al.'s (2022) assertion. Augmenting student satisfaction is crucial for improving student engagement and academic success.</w:t>
      </w:r>
    </w:p>
    <w:p w14:paraId="37A66AF9" w14:textId="097ED021" w:rsidR="00086995" w:rsidRPr="00086995" w:rsidRDefault="009A7760" w:rsidP="00086995">
      <w:pPr>
        <w:pStyle w:val="Body"/>
        <w:rPr>
          <w:rFonts w:ascii="Arial" w:hAnsi="Arial" w:cs="Arial"/>
          <w:sz w:val="22"/>
          <w:szCs w:val="22"/>
        </w:rPr>
      </w:pPr>
      <w:r>
        <w:rPr>
          <w:rFonts w:ascii="Arial" w:hAnsi="Arial" w:cs="Arial"/>
          <w:sz w:val="22"/>
          <w:szCs w:val="22"/>
        </w:rPr>
        <w:t>Likewise, t</w:t>
      </w:r>
      <w:r w:rsidRPr="009A7760">
        <w:rPr>
          <w:rFonts w:ascii="Arial" w:hAnsi="Arial" w:cs="Arial"/>
          <w:sz w:val="22"/>
          <w:szCs w:val="22"/>
        </w:rPr>
        <w:t xml:space="preserve">he study demonstrated a substantial correlation between attitudes toward mathematics and student participation. This outcome corresponds with the assertion made by </w:t>
      </w:r>
      <w:proofErr w:type="spellStart"/>
      <w:r w:rsidRPr="009A7760">
        <w:rPr>
          <w:rFonts w:ascii="Arial" w:hAnsi="Arial" w:cs="Arial"/>
          <w:sz w:val="22"/>
          <w:szCs w:val="22"/>
        </w:rPr>
        <w:t>Pondias</w:t>
      </w:r>
      <w:proofErr w:type="spellEnd"/>
      <w:r w:rsidRPr="009A7760">
        <w:rPr>
          <w:rFonts w:ascii="Arial" w:hAnsi="Arial" w:cs="Arial"/>
          <w:sz w:val="22"/>
          <w:szCs w:val="22"/>
        </w:rPr>
        <w:t xml:space="preserve"> and </w:t>
      </w:r>
      <w:proofErr w:type="spellStart"/>
      <w:r w:rsidRPr="009A7760">
        <w:rPr>
          <w:rFonts w:ascii="Arial" w:hAnsi="Arial" w:cs="Arial"/>
          <w:sz w:val="22"/>
          <w:szCs w:val="22"/>
        </w:rPr>
        <w:t>Tado</w:t>
      </w:r>
      <w:proofErr w:type="spellEnd"/>
      <w:r w:rsidRPr="009A7760">
        <w:rPr>
          <w:rFonts w:ascii="Arial" w:hAnsi="Arial" w:cs="Arial"/>
          <w:sz w:val="22"/>
          <w:szCs w:val="22"/>
        </w:rPr>
        <w:t xml:space="preserve"> (2025). </w:t>
      </w:r>
      <w:r w:rsidR="00086995" w:rsidRPr="00086995">
        <w:rPr>
          <w:rFonts w:ascii="Arial" w:hAnsi="Arial" w:cs="Arial"/>
          <w:sz w:val="22"/>
          <w:szCs w:val="22"/>
        </w:rPr>
        <w:t xml:space="preserve">Developing a positive disposition in mathematics increases student engagement. Moreover, the regression analysis validated this connection by revealing that both mathematical satisfaction and attitude towards mathematics serve as a significant factor of student engagement which aligned with the anchored theory, </w:t>
      </w:r>
      <w:r w:rsidR="00B2723D" w:rsidRPr="00B2723D">
        <w:rPr>
          <w:rFonts w:ascii="Arial" w:hAnsi="Arial" w:cs="Arial"/>
          <w:sz w:val="22"/>
          <w:szCs w:val="22"/>
        </w:rPr>
        <w:t xml:space="preserve">Self-Determination Theory </w:t>
      </w:r>
      <w:r w:rsidR="00B2723D">
        <w:rPr>
          <w:rFonts w:ascii="Arial" w:hAnsi="Arial" w:cs="Arial"/>
          <w:sz w:val="22"/>
          <w:szCs w:val="22"/>
        </w:rPr>
        <w:t xml:space="preserve">which </w:t>
      </w:r>
      <w:r w:rsidR="00B2723D" w:rsidRPr="00B2723D">
        <w:rPr>
          <w:rFonts w:ascii="Arial" w:hAnsi="Arial" w:cs="Arial"/>
          <w:sz w:val="22"/>
          <w:szCs w:val="22"/>
        </w:rPr>
        <w:t>asserts that when these requirements are fulfilled in a mathematics classroom, students are more inclined to cultivate positive attitudes, enhance their happiness in mathematics, and consequently achieve better engagement.</w:t>
      </w:r>
    </w:p>
    <w:p w14:paraId="32C65152" w14:textId="0662A0C3" w:rsidR="006642B8" w:rsidRPr="00F334A3" w:rsidRDefault="00086995" w:rsidP="00086995">
      <w:pPr>
        <w:pStyle w:val="Body"/>
        <w:rPr>
          <w:rFonts w:ascii="Arial" w:hAnsi="Arial" w:cs="Arial"/>
          <w:sz w:val="22"/>
          <w:szCs w:val="22"/>
        </w:rPr>
      </w:pPr>
      <w:r w:rsidRPr="00086995">
        <w:rPr>
          <w:rFonts w:ascii="Arial" w:hAnsi="Arial" w:cs="Arial"/>
          <w:sz w:val="22"/>
          <w:szCs w:val="22"/>
        </w:rPr>
        <w:t>However, this study used a correlational design, which limits the ability to infer causality. Although strong relationships were found, the high R² value may reflect genuine associations or potential measurement overlap. Moderate multicollinearity was observed, and while common method bias was assessed, future studies should consider using mixed methods or longitudinal designs to strengthen causal claims and reduce bias.</w:t>
      </w:r>
    </w:p>
    <w:p w14:paraId="56A536E8" w14:textId="38AD7E22" w:rsidR="00EF593C" w:rsidRPr="00AF0C02" w:rsidRDefault="00086995" w:rsidP="00441B6F">
      <w:pPr>
        <w:pStyle w:val="Body"/>
        <w:spacing w:after="0"/>
        <w:rPr>
          <w:rFonts w:ascii="Arial" w:hAnsi="Arial" w:cs="Arial"/>
          <w:sz w:val="22"/>
          <w:szCs w:val="22"/>
        </w:rPr>
      </w:pPr>
      <w:r>
        <w:rPr>
          <w:rFonts w:ascii="Arial" w:hAnsi="Arial" w:cs="Arial"/>
          <w:sz w:val="22"/>
          <w:szCs w:val="22"/>
        </w:rPr>
        <w:t>In this study, t</w:t>
      </w:r>
      <w:r w:rsidR="006642B8" w:rsidRPr="006642B8">
        <w:rPr>
          <w:rFonts w:ascii="Arial" w:hAnsi="Arial" w:cs="Arial"/>
          <w:sz w:val="22"/>
          <w:szCs w:val="22"/>
        </w:rPr>
        <w:t xml:space="preserve">he researchers propose that educators, including school administrators, teachers, and curriculum developers, should devise and execute strategies to augment students' mathematical satisfaction and attitudes toward mathematics so that the learning process can be more engaging with pertinent learning experiences. Educators should also incorporate real-life applications of mathematics to enhance relevance and satisfaction. Additionally, they should provide positive feedback and acknowledgment to improve learners' self-assurance and enjoyment. They should </w:t>
      </w:r>
      <w:r w:rsidR="006642B8" w:rsidRPr="006642B8">
        <w:rPr>
          <w:rFonts w:ascii="Arial" w:hAnsi="Arial" w:cs="Arial"/>
          <w:sz w:val="22"/>
          <w:szCs w:val="22"/>
        </w:rPr>
        <w:lastRenderedPageBreak/>
        <w:t>encourage and develop collaborative activities, facilitate peer discussions, and use interactive technologies and platforms to enhance the engagement and accessibility of learning. Lastly, they must allow students to make decisions in their learning process to improve autonomy and motivation. Thus, this study's findings emphasize that both mathematical satisfaction and attitude toward mathematics play significant roles in predicting student engagement</w:t>
      </w:r>
      <w:r w:rsidR="000B3915">
        <w:rPr>
          <w:rFonts w:ascii="Arial" w:hAnsi="Arial" w:cs="Arial"/>
          <w:sz w:val="22"/>
          <w:szCs w:val="22"/>
        </w:rPr>
        <w:t xml:space="preserve"> in mathematics</w:t>
      </w:r>
      <w:r w:rsidR="006642B8" w:rsidRPr="006642B8">
        <w:rPr>
          <w:rFonts w:ascii="Arial" w:hAnsi="Arial" w:cs="Arial"/>
          <w:sz w:val="22"/>
          <w:szCs w:val="22"/>
        </w:rPr>
        <w:t>.</w:t>
      </w:r>
    </w:p>
    <w:p w14:paraId="383FCAF0" w14:textId="77777777" w:rsidR="003B5707" w:rsidRDefault="003B5707" w:rsidP="00441B6F">
      <w:pPr>
        <w:pStyle w:val="Body"/>
        <w:spacing w:after="0"/>
        <w:rPr>
          <w:rFonts w:ascii="Arial" w:hAnsi="Arial" w:cs="Arial"/>
        </w:rPr>
      </w:pPr>
    </w:p>
    <w:p w14:paraId="6156925F" w14:textId="77777777" w:rsidR="00D803CD" w:rsidRPr="00D803CD" w:rsidRDefault="00D803CD" w:rsidP="00D803CD">
      <w:pPr>
        <w:rPr>
          <w:b/>
        </w:rPr>
      </w:pPr>
      <w:r w:rsidRPr="00D803CD">
        <w:rPr>
          <w:b/>
        </w:rPr>
        <w:t>Ethical Approval:</w:t>
      </w:r>
    </w:p>
    <w:p w14:paraId="513A2FEF" w14:textId="77777777" w:rsidR="00D803CD" w:rsidRPr="00D803CD" w:rsidRDefault="00D803CD" w:rsidP="00D803CD">
      <w:pPr>
        <w:rPr>
          <w:b/>
        </w:rPr>
      </w:pPr>
    </w:p>
    <w:p w14:paraId="0589A157" w14:textId="6A305CDD" w:rsidR="00D803CD" w:rsidRPr="00D803CD" w:rsidRDefault="00D803CD" w:rsidP="00D803CD">
      <w:r w:rsidRPr="00D803CD">
        <w:t>As per international standards or university standards written ethical approval has been collected and preserved by the author(s).</w:t>
      </w:r>
    </w:p>
    <w:p w14:paraId="5C677129" w14:textId="77777777" w:rsidR="00D803CD" w:rsidRDefault="00D803CD" w:rsidP="00D803CD">
      <w:pPr>
        <w:rPr>
          <w:b/>
        </w:rPr>
      </w:pPr>
    </w:p>
    <w:p w14:paraId="573C2221" w14:textId="77777777" w:rsidR="00D803CD" w:rsidRDefault="00D803CD" w:rsidP="00D803CD">
      <w:pPr>
        <w:rPr>
          <w:b/>
        </w:rPr>
      </w:pPr>
    </w:p>
    <w:p w14:paraId="0A98580A" w14:textId="0BFF2BB3" w:rsidR="00D803CD" w:rsidRPr="00D803CD" w:rsidRDefault="00D803CD" w:rsidP="00D803CD">
      <w:pPr>
        <w:rPr>
          <w:b/>
        </w:rPr>
      </w:pPr>
      <w:r w:rsidRPr="00D803CD">
        <w:rPr>
          <w:b/>
        </w:rPr>
        <w:t xml:space="preserve">Consent </w:t>
      </w:r>
    </w:p>
    <w:p w14:paraId="5DCF8157" w14:textId="0547EF5B" w:rsidR="00364EE5" w:rsidRDefault="00D803CD" w:rsidP="0040778C">
      <w:pPr>
        <w:pStyle w:val="ReferHead"/>
        <w:spacing w:after="0"/>
        <w:jc w:val="both"/>
        <w:rPr>
          <w:b w:val="0"/>
          <w:caps w:val="0"/>
          <w:sz w:val="20"/>
        </w:rPr>
      </w:pPr>
      <w:r w:rsidRPr="00D803CD">
        <w:rPr>
          <w:b w:val="0"/>
          <w:caps w:val="0"/>
          <w:sz w:val="20"/>
        </w:rPr>
        <w:t>As per international standards, parental written consent has been collected and preserved by the author(s).</w:t>
      </w:r>
      <w:r>
        <w:rPr>
          <w:b w:val="0"/>
          <w:caps w:val="0"/>
          <w:sz w:val="20"/>
        </w:rPr>
        <w:t>’</w:t>
      </w:r>
    </w:p>
    <w:p w14:paraId="33B636A6" w14:textId="77777777" w:rsidR="00D803CD" w:rsidRDefault="00D803CD" w:rsidP="0040778C">
      <w:pPr>
        <w:pStyle w:val="ReferHead"/>
        <w:spacing w:after="0"/>
        <w:jc w:val="both"/>
        <w:rPr>
          <w:rFonts w:ascii="Arial" w:hAnsi="Arial" w:cs="Arial"/>
          <w:b w:val="0"/>
          <w:caps w:val="0"/>
          <w:szCs w:val="22"/>
        </w:rPr>
      </w:pPr>
    </w:p>
    <w:p w14:paraId="182AAB49" w14:textId="77777777" w:rsidR="00364EE5" w:rsidRPr="00D803CD" w:rsidRDefault="00364EE5" w:rsidP="00364EE5">
      <w:pPr>
        <w:rPr>
          <w:rFonts w:ascii="Calibri" w:eastAsia="Calibri" w:hAnsi="Calibri"/>
          <w:b/>
          <w:kern w:val="2"/>
          <w:highlight w:val="yellow"/>
        </w:rPr>
      </w:pPr>
      <w:bookmarkStart w:id="3" w:name="_Hlk197682619"/>
      <w:bookmarkStart w:id="4" w:name="_Hlk180402183"/>
      <w:bookmarkStart w:id="5" w:name="_Hlk183680988"/>
      <w:r w:rsidRPr="00D803CD">
        <w:rPr>
          <w:rFonts w:ascii="Calibri" w:eastAsia="Calibri" w:hAnsi="Calibri"/>
          <w:b/>
          <w:kern w:val="2"/>
          <w:highlight w:val="yellow"/>
        </w:rPr>
        <w:t>Disclaimer (Artificial intelligence)</w:t>
      </w:r>
    </w:p>
    <w:p w14:paraId="37F9D74D" w14:textId="77777777" w:rsidR="00364EE5" w:rsidRPr="009C5487" w:rsidRDefault="00364EE5" w:rsidP="00364EE5">
      <w:pPr>
        <w:rPr>
          <w:rFonts w:ascii="Calibri" w:eastAsia="Calibri" w:hAnsi="Calibri"/>
          <w:kern w:val="2"/>
          <w:highlight w:val="yellow"/>
        </w:rPr>
      </w:pPr>
      <w:r w:rsidRPr="009C5487">
        <w:rPr>
          <w:rFonts w:ascii="Calibri" w:eastAsia="Calibri" w:hAnsi="Calibri"/>
          <w:kern w:val="2"/>
          <w:highlight w:val="yellow"/>
        </w:rPr>
        <w:t xml:space="preserve">Option 1: </w:t>
      </w:r>
    </w:p>
    <w:p w14:paraId="06C57F44" w14:textId="77777777" w:rsidR="00364EE5" w:rsidRPr="009C5487" w:rsidRDefault="00364EE5" w:rsidP="00364EE5">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1B00275" w14:textId="77777777" w:rsidR="00364EE5" w:rsidRPr="009C5487" w:rsidRDefault="00364EE5" w:rsidP="00364EE5">
      <w:pPr>
        <w:rPr>
          <w:rFonts w:ascii="Calibri" w:eastAsia="Calibri" w:hAnsi="Calibri"/>
          <w:kern w:val="2"/>
          <w:highlight w:val="yellow"/>
        </w:rPr>
      </w:pPr>
      <w:r w:rsidRPr="009C5487">
        <w:rPr>
          <w:rFonts w:ascii="Calibri" w:eastAsia="Calibri" w:hAnsi="Calibri"/>
          <w:kern w:val="2"/>
          <w:highlight w:val="yellow"/>
        </w:rPr>
        <w:t xml:space="preserve">Option 2: </w:t>
      </w:r>
    </w:p>
    <w:p w14:paraId="385B2988" w14:textId="77777777" w:rsidR="00364EE5" w:rsidRPr="009C5487" w:rsidRDefault="00364EE5" w:rsidP="00364EE5">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5516E2" w14:textId="77777777" w:rsidR="00364EE5" w:rsidRPr="009C5487" w:rsidRDefault="00364EE5" w:rsidP="00364EE5">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75B92BA" w14:textId="77777777" w:rsidR="00364EE5" w:rsidRPr="009C5487" w:rsidRDefault="00364EE5" w:rsidP="00364EE5">
      <w:pPr>
        <w:rPr>
          <w:rFonts w:ascii="Calibri" w:eastAsia="Calibri" w:hAnsi="Calibri"/>
          <w:kern w:val="2"/>
          <w:highlight w:val="yellow"/>
        </w:rPr>
      </w:pPr>
      <w:r w:rsidRPr="009C5487">
        <w:rPr>
          <w:rFonts w:ascii="Calibri" w:eastAsia="Calibri" w:hAnsi="Calibri"/>
          <w:kern w:val="2"/>
          <w:highlight w:val="yellow"/>
        </w:rPr>
        <w:t>1.</w:t>
      </w:r>
    </w:p>
    <w:p w14:paraId="5F18AD01" w14:textId="77777777" w:rsidR="00364EE5" w:rsidRPr="009C5487" w:rsidRDefault="00364EE5" w:rsidP="00364EE5">
      <w:pPr>
        <w:rPr>
          <w:rFonts w:ascii="Calibri" w:eastAsia="Calibri" w:hAnsi="Calibri"/>
          <w:kern w:val="2"/>
          <w:highlight w:val="yellow"/>
        </w:rPr>
      </w:pPr>
      <w:r w:rsidRPr="009C5487">
        <w:rPr>
          <w:rFonts w:ascii="Calibri" w:eastAsia="Calibri" w:hAnsi="Calibri"/>
          <w:kern w:val="2"/>
          <w:highlight w:val="yellow"/>
        </w:rPr>
        <w:t>2.</w:t>
      </w:r>
    </w:p>
    <w:p w14:paraId="50B1EB7C" w14:textId="77777777" w:rsidR="00364EE5" w:rsidRPr="009C5487" w:rsidRDefault="00364EE5" w:rsidP="00364EE5">
      <w:pPr>
        <w:rPr>
          <w:rFonts w:ascii="Calibri" w:eastAsia="Calibri" w:hAnsi="Calibri"/>
          <w:kern w:val="2"/>
        </w:rPr>
      </w:pPr>
      <w:bookmarkStart w:id="6" w:name="_Hlk197682629"/>
      <w:bookmarkEnd w:id="3"/>
      <w:r w:rsidRPr="009C5487">
        <w:rPr>
          <w:rFonts w:ascii="Calibri" w:eastAsia="Calibri" w:hAnsi="Calibri"/>
          <w:kern w:val="2"/>
          <w:highlight w:val="yellow"/>
        </w:rPr>
        <w:t>3.</w:t>
      </w:r>
    </w:p>
    <w:bookmarkEnd w:id="4"/>
    <w:bookmarkEnd w:id="5"/>
    <w:bookmarkEnd w:id="6"/>
    <w:p w14:paraId="64EAA0E0" w14:textId="77777777" w:rsidR="00364EE5" w:rsidRPr="000A60DA" w:rsidRDefault="00364EE5" w:rsidP="0040778C">
      <w:pPr>
        <w:pStyle w:val="ReferHead"/>
        <w:spacing w:after="0"/>
        <w:jc w:val="both"/>
        <w:rPr>
          <w:rFonts w:ascii="Arial" w:hAnsi="Arial" w:cs="Arial"/>
          <w:b w:val="0"/>
          <w:caps w:val="0"/>
          <w:szCs w:val="22"/>
        </w:rPr>
      </w:pPr>
    </w:p>
    <w:p w14:paraId="56F6323C" w14:textId="77777777" w:rsidR="002B685A" w:rsidRDefault="002B685A" w:rsidP="00441B6F">
      <w:pPr>
        <w:pStyle w:val="ReferHead"/>
        <w:spacing w:after="0"/>
        <w:jc w:val="both"/>
        <w:rPr>
          <w:rFonts w:ascii="Arial" w:hAnsi="Arial" w:cs="Arial"/>
          <w:bCs/>
        </w:rPr>
      </w:pPr>
    </w:p>
    <w:p w14:paraId="7B40406E" w14:textId="77777777" w:rsidR="00B73E79" w:rsidRDefault="00B73E79" w:rsidP="00441B6F">
      <w:pPr>
        <w:pStyle w:val="ReferHead"/>
        <w:spacing w:after="0"/>
        <w:jc w:val="both"/>
        <w:rPr>
          <w:rFonts w:ascii="Arial" w:hAnsi="Arial" w:cs="Arial"/>
          <w:b w:val="0"/>
          <w:caps w:val="0"/>
          <w:sz w:val="20"/>
        </w:rPr>
      </w:pPr>
    </w:p>
    <w:p w14:paraId="07253F8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30C645A" w14:textId="77777777" w:rsidR="004B2C79" w:rsidRDefault="004B2C79" w:rsidP="005D1A3B">
      <w:pPr>
        <w:rPr>
          <w:rFonts w:ascii="Arial" w:hAnsi="Arial" w:cs="Arial"/>
        </w:rPr>
      </w:pPr>
    </w:p>
    <w:p w14:paraId="0F6DA9E9" w14:textId="77777777" w:rsidR="00A63C67" w:rsidRPr="00A63C67" w:rsidRDefault="00A63C67" w:rsidP="00A63C67">
      <w:pPr>
        <w:ind w:left="720" w:hanging="720"/>
        <w:jc w:val="both"/>
        <w:rPr>
          <w:rFonts w:ascii="Arial" w:hAnsi="Arial" w:cs="Arial"/>
          <w:sz w:val="22"/>
          <w:szCs w:val="22"/>
        </w:rPr>
      </w:pPr>
      <w:proofErr w:type="spellStart"/>
      <w:r w:rsidRPr="00A63C67">
        <w:rPr>
          <w:rFonts w:ascii="Arial" w:hAnsi="Arial" w:cs="Arial"/>
          <w:sz w:val="22"/>
          <w:szCs w:val="22"/>
        </w:rPr>
        <w:t>af</w:t>
      </w:r>
      <w:proofErr w:type="spellEnd"/>
      <w:r w:rsidRPr="00A63C67">
        <w:rPr>
          <w:rFonts w:ascii="Arial" w:hAnsi="Arial" w:cs="Arial"/>
          <w:sz w:val="22"/>
          <w:szCs w:val="22"/>
        </w:rPr>
        <w:t xml:space="preserve"> Ursin, P., Tikkanen, J., &amp; Järvinen, T. (2023). Student disengagement in Finnish comprehensive schooling. In Finland’s famous education system: Unvarnished insights into Finnish schooling (pp. 435-450). Singapore: Springer Nature Singapore.</w:t>
      </w:r>
    </w:p>
    <w:p w14:paraId="7D1C195F" w14:textId="77777777" w:rsidR="00A63C67" w:rsidRPr="00A63C67" w:rsidRDefault="00A63C67" w:rsidP="00A63C67">
      <w:pPr>
        <w:ind w:left="720" w:hanging="720"/>
        <w:jc w:val="both"/>
        <w:rPr>
          <w:rFonts w:ascii="Arial" w:hAnsi="Arial" w:cs="Arial"/>
          <w:color w:val="000000" w:themeColor="text1"/>
          <w:sz w:val="22"/>
          <w:szCs w:val="22"/>
        </w:rPr>
      </w:pPr>
      <w:r w:rsidRPr="00A63C67">
        <w:rPr>
          <w:rFonts w:ascii="Arial" w:hAnsi="Arial" w:cs="Arial"/>
          <w:sz w:val="22"/>
          <w:szCs w:val="22"/>
        </w:rPr>
        <w:t>Aguilar, J. J. (2021). High school students’ reasons for disliking mathematics: The intersection between teacher’s role and student’s emotions, belief and self-efficacy. International electronic journal of mathematics education, 16(3), em0658</w:t>
      </w:r>
    </w:p>
    <w:p w14:paraId="050CACE3" w14:textId="462268FD" w:rsidR="00A63C67" w:rsidRPr="00A63C67" w:rsidRDefault="00A63C67" w:rsidP="00A63C67">
      <w:pPr>
        <w:ind w:left="720" w:hanging="720"/>
        <w:jc w:val="both"/>
        <w:rPr>
          <w:rFonts w:ascii="Arial" w:hAnsi="Arial" w:cs="Arial"/>
          <w:sz w:val="22"/>
          <w:szCs w:val="22"/>
        </w:rPr>
      </w:pPr>
      <w:proofErr w:type="spellStart"/>
      <w:r w:rsidRPr="00A63C67">
        <w:rPr>
          <w:rFonts w:ascii="Arial" w:hAnsi="Arial" w:cs="Arial"/>
          <w:sz w:val="22"/>
          <w:szCs w:val="22"/>
        </w:rPr>
        <w:t>Alrajeh</w:t>
      </w:r>
      <w:proofErr w:type="spellEnd"/>
      <w:r w:rsidRPr="00A63C67">
        <w:rPr>
          <w:rFonts w:ascii="Arial" w:hAnsi="Arial" w:cs="Arial"/>
          <w:sz w:val="22"/>
          <w:szCs w:val="22"/>
        </w:rPr>
        <w:t>, T. S., &amp; Shindel, B. W. (2020). Student Engagement and Math Teachers Support. </w:t>
      </w:r>
      <w:r w:rsidRPr="00A63C67">
        <w:rPr>
          <w:rFonts w:ascii="Arial" w:hAnsi="Arial" w:cs="Arial"/>
          <w:i/>
          <w:iCs/>
          <w:sz w:val="22"/>
          <w:szCs w:val="22"/>
        </w:rPr>
        <w:t>Journal on mathematics education</w:t>
      </w:r>
      <w:r w:rsidRPr="00A63C67">
        <w:rPr>
          <w:rFonts w:ascii="Arial" w:hAnsi="Arial" w:cs="Arial"/>
          <w:sz w:val="22"/>
          <w:szCs w:val="22"/>
        </w:rPr>
        <w:t>, </w:t>
      </w:r>
      <w:r w:rsidRPr="00A63C67">
        <w:rPr>
          <w:rFonts w:ascii="Arial" w:hAnsi="Arial" w:cs="Arial"/>
          <w:i/>
          <w:iCs/>
          <w:sz w:val="22"/>
          <w:szCs w:val="22"/>
        </w:rPr>
        <w:t>11</w:t>
      </w:r>
      <w:r w:rsidRPr="00A63C67">
        <w:rPr>
          <w:rFonts w:ascii="Arial" w:hAnsi="Arial" w:cs="Arial"/>
          <w:sz w:val="22"/>
          <w:szCs w:val="22"/>
        </w:rPr>
        <w:t>(2), 167-180.</w:t>
      </w:r>
    </w:p>
    <w:p w14:paraId="04426F4D"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t xml:space="preserve">Aquino, E. T., &amp; </w:t>
      </w:r>
      <w:proofErr w:type="spellStart"/>
      <w:r w:rsidRPr="00A63C67">
        <w:rPr>
          <w:rFonts w:ascii="Arial" w:hAnsi="Arial" w:cs="Arial"/>
          <w:bCs/>
          <w:sz w:val="22"/>
          <w:szCs w:val="22"/>
        </w:rPr>
        <w:t>Gurat</w:t>
      </w:r>
      <w:proofErr w:type="spellEnd"/>
      <w:r w:rsidRPr="00A63C67">
        <w:rPr>
          <w:rFonts w:ascii="Arial" w:hAnsi="Arial" w:cs="Arial"/>
          <w:bCs/>
          <w:sz w:val="22"/>
          <w:szCs w:val="22"/>
        </w:rPr>
        <w:t>, M. (2023). Satisfaction of students in the methods used in Mathematics in the Modern World in a new normal.</w:t>
      </w:r>
    </w:p>
    <w:p w14:paraId="03B49A7E" w14:textId="77777777" w:rsidR="00A63C67" w:rsidRPr="00A63C67" w:rsidRDefault="00A63C67" w:rsidP="00A63C67">
      <w:pPr>
        <w:pStyle w:val="Body"/>
        <w:ind w:left="720" w:hanging="720"/>
        <w:rPr>
          <w:rFonts w:ascii="Arial" w:hAnsi="Arial" w:cs="Arial"/>
          <w:bCs/>
          <w:sz w:val="22"/>
          <w:szCs w:val="22"/>
        </w:rPr>
      </w:pPr>
      <w:proofErr w:type="spellStart"/>
      <w:r w:rsidRPr="00A63C67">
        <w:rPr>
          <w:rFonts w:ascii="Arial" w:hAnsi="Arial" w:cs="Arial"/>
          <w:bCs/>
          <w:sz w:val="22"/>
          <w:szCs w:val="22"/>
        </w:rPr>
        <w:lastRenderedPageBreak/>
        <w:t>Baloran</w:t>
      </w:r>
      <w:proofErr w:type="spellEnd"/>
      <w:r w:rsidRPr="00A63C67">
        <w:rPr>
          <w:rFonts w:ascii="Arial" w:hAnsi="Arial" w:cs="Arial"/>
          <w:bCs/>
          <w:sz w:val="22"/>
          <w:szCs w:val="22"/>
        </w:rPr>
        <w:t xml:space="preserve">, E. T., Hernan, J. T., &amp; </w:t>
      </w:r>
      <w:proofErr w:type="spellStart"/>
      <w:r w:rsidRPr="00A63C67">
        <w:rPr>
          <w:rFonts w:ascii="Arial" w:hAnsi="Arial" w:cs="Arial"/>
          <w:bCs/>
          <w:sz w:val="22"/>
          <w:szCs w:val="22"/>
        </w:rPr>
        <w:t>Taoy</w:t>
      </w:r>
      <w:proofErr w:type="spellEnd"/>
      <w:r w:rsidRPr="00A63C67">
        <w:rPr>
          <w:rFonts w:ascii="Arial" w:hAnsi="Arial" w:cs="Arial"/>
          <w:bCs/>
          <w:sz w:val="22"/>
          <w:szCs w:val="22"/>
        </w:rPr>
        <w:t>, J. S. (2021). Course satisfaction and student engagement in online learning amid COVID-19 pandemic: A structural equation model. Turkish Online Journal of Distance Education, 22(4), 1-12.</w:t>
      </w:r>
    </w:p>
    <w:p w14:paraId="42978C1F"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t>Barnes, A. (2021). Enjoyment in learning mathematics: Its role as a potential barrier to children’s perseverance in mathematical reasoning. </w:t>
      </w:r>
      <w:r w:rsidRPr="00A63C67">
        <w:rPr>
          <w:rFonts w:ascii="Arial" w:hAnsi="Arial" w:cs="Arial"/>
          <w:bCs/>
          <w:i/>
          <w:iCs/>
          <w:sz w:val="22"/>
          <w:szCs w:val="22"/>
        </w:rPr>
        <w:t>Educational Studies in Mathematics</w:t>
      </w:r>
      <w:r w:rsidRPr="00A63C67">
        <w:rPr>
          <w:rFonts w:ascii="Arial" w:hAnsi="Arial" w:cs="Arial"/>
          <w:bCs/>
          <w:sz w:val="22"/>
          <w:szCs w:val="22"/>
        </w:rPr>
        <w:t>, </w:t>
      </w:r>
      <w:r w:rsidRPr="00A63C67">
        <w:rPr>
          <w:rFonts w:ascii="Arial" w:hAnsi="Arial" w:cs="Arial"/>
          <w:bCs/>
          <w:i/>
          <w:iCs/>
          <w:sz w:val="22"/>
          <w:szCs w:val="22"/>
        </w:rPr>
        <w:t>106</w:t>
      </w:r>
      <w:r w:rsidRPr="00A63C67">
        <w:rPr>
          <w:rFonts w:ascii="Arial" w:hAnsi="Arial" w:cs="Arial"/>
          <w:bCs/>
          <w:sz w:val="22"/>
          <w:szCs w:val="22"/>
        </w:rPr>
        <w:t>(1), 45-63.</w:t>
      </w:r>
    </w:p>
    <w:p w14:paraId="4AE74B84" w14:textId="77777777" w:rsidR="00A63C67" w:rsidRPr="00A63C67" w:rsidRDefault="00A63C67" w:rsidP="00A63C67">
      <w:pPr>
        <w:pStyle w:val="Body"/>
        <w:spacing w:after="0"/>
        <w:ind w:left="720" w:hanging="720"/>
        <w:rPr>
          <w:rFonts w:ascii="Arial" w:hAnsi="Arial" w:cs="Arial"/>
          <w:sz w:val="22"/>
          <w:szCs w:val="22"/>
        </w:rPr>
      </w:pPr>
      <w:r w:rsidRPr="00A63C67">
        <w:rPr>
          <w:rFonts w:ascii="Arial" w:hAnsi="Arial" w:cs="Arial"/>
          <w:sz w:val="22"/>
          <w:szCs w:val="22"/>
        </w:rPr>
        <w:t>Boadu, S. K., &amp; Boateng, F. O. (2024). Enhancing students’ achievement in mathematics education in the 21st century through technology integration, collaborative learning, and student motivation: The mediating role of student interest. </w:t>
      </w:r>
      <w:r w:rsidRPr="00A63C67">
        <w:rPr>
          <w:rFonts w:ascii="Arial" w:hAnsi="Arial" w:cs="Arial"/>
          <w:i/>
          <w:iCs/>
          <w:sz w:val="22"/>
          <w:szCs w:val="22"/>
        </w:rPr>
        <w:t>Eurasia Journal of Mathematics, Science and Technology Education</w:t>
      </w:r>
      <w:r w:rsidRPr="00A63C67">
        <w:rPr>
          <w:rFonts w:ascii="Arial" w:hAnsi="Arial" w:cs="Arial"/>
          <w:sz w:val="22"/>
          <w:szCs w:val="22"/>
        </w:rPr>
        <w:t>, </w:t>
      </w:r>
      <w:r w:rsidRPr="00A63C67">
        <w:rPr>
          <w:rFonts w:ascii="Arial" w:hAnsi="Arial" w:cs="Arial"/>
          <w:i/>
          <w:iCs/>
          <w:sz w:val="22"/>
          <w:szCs w:val="22"/>
        </w:rPr>
        <w:t>20</w:t>
      </w:r>
      <w:r w:rsidRPr="00A63C67">
        <w:rPr>
          <w:rFonts w:ascii="Arial" w:hAnsi="Arial" w:cs="Arial"/>
          <w:sz w:val="22"/>
          <w:szCs w:val="22"/>
        </w:rPr>
        <w:t>(11), em2534.</w:t>
      </w:r>
    </w:p>
    <w:p w14:paraId="2648E105" w14:textId="77777777"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t xml:space="preserve">Bourgeois, S. J., &amp; Boberg, J. E. (2016). High achieving cognitively disengaged middle level mathematics students: A self-determination theory perspective. </w:t>
      </w:r>
      <w:proofErr w:type="spellStart"/>
      <w:r w:rsidRPr="00A63C67">
        <w:rPr>
          <w:rFonts w:ascii="Arial" w:hAnsi="Arial" w:cs="Arial"/>
          <w:sz w:val="22"/>
          <w:szCs w:val="22"/>
        </w:rPr>
        <w:t>Rmle</w:t>
      </w:r>
      <w:proofErr w:type="spellEnd"/>
      <w:r w:rsidRPr="00A63C67">
        <w:rPr>
          <w:rFonts w:ascii="Arial" w:hAnsi="Arial" w:cs="Arial"/>
          <w:sz w:val="22"/>
          <w:szCs w:val="22"/>
        </w:rPr>
        <w:t xml:space="preserve"> Online, 39(9), 1-18.</w:t>
      </w:r>
    </w:p>
    <w:p w14:paraId="54ED3D07" w14:textId="77777777" w:rsidR="00A63C67" w:rsidRPr="00A63C67" w:rsidRDefault="00A63C67" w:rsidP="00A63C67">
      <w:pPr>
        <w:pStyle w:val="Body"/>
        <w:spacing w:after="0"/>
        <w:ind w:left="720" w:hanging="720"/>
        <w:rPr>
          <w:rFonts w:ascii="Arial" w:hAnsi="Arial" w:cs="Arial"/>
          <w:bCs/>
          <w:sz w:val="22"/>
          <w:szCs w:val="22"/>
        </w:rPr>
      </w:pPr>
      <w:proofErr w:type="spellStart"/>
      <w:r w:rsidRPr="00A63C67">
        <w:rPr>
          <w:rFonts w:ascii="Arial" w:hAnsi="Arial" w:cs="Arial"/>
          <w:bCs/>
          <w:sz w:val="22"/>
          <w:szCs w:val="22"/>
        </w:rPr>
        <w:t>Capinding</w:t>
      </w:r>
      <w:proofErr w:type="spellEnd"/>
      <w:r w:rsidRPr="00A63C67">
        <w:rPr>
          <w:rFonts w:ascii="Arial" w:hAnsi="Arial" w:cs="Arial"/>
          <w:bCs/>
          <w:sz w:val="22"/>
          <w:szCs w:val="22"/>
        </w:rPr>
        <w:t>, A. T. (2023). Construction and validation of mathematical satisfaction questionnaire: An exploratory and confirmatory factor analysis. </w:t>
      </w:r>
      <w:r w:rsidRPr="00A63C67">
        <w:rPr>
          <w:rFonts w:ascii="Arial" w:hAnsi="Arial" w:cs="Arial"/>
          <w:bCs/>
          <w:i/>
          <w:iCs/>
          <w:sz w:val="22"/>
          <w:szCs w:val="22"/>
        </w:rPr>
        <w:t>Problems of Education in the 21st Century</w:t>
      </w:r>
      <w:r w:rsidRPr="00A63C67">
        <w:rPr>
          <w:rFonts w:ascii="Arial" w:hAnsi="Arial" w:cs="Arial"/>
          <w:bCs/>
          <w:sz w:val="22"/>
          <w:szCs w:val="22"/>
        </w:rPr>
        <w:t>, </w:t>
      </w:r>
      <w:r w:rsidRPr="00A63C67">
        <w:rPr>
          <w:rFonts w:ascii="Arial" w:hAnsi="Arial" w:cs="Arial"/>
          <w:bCs/>
          <w:i/>
          <w:iCs/>
          <w:sz w:val="22"/>
          <w:szCs w:val="22"/>
        </w:rPr>
        <w:t>81</w:t>
      </w:r>
      <w:r w:rsidRPr="00A63C67">
        <w:rPr>
          <w:rFonts w:ascii="Arial" w:hAnsi="Arial" w:cs="Arial"/>
          <w:bCs/>
          <w:sz w:val="22"/>
          <w:szCs w:val="22"/>
        </w:rPr>
        <w:t>(3), 327-339.</w:t>
      </w:r>
    </w:p>
    <w:p w14:paraId="2C4B28EF" w14:textId="77777777" w:rsidR="00A63C67" w:rsidRPr="00A63C67" w:rsidRDefault="00A63C67" w:rsidP="00A63C67">
      <w:pPr>
        <w:pStyle w:val="Body"/>
        <w:spacing w:after="0"/>
        <w:ind w:left="720" w:hanging="720"/>
        <w:rPr>
          <w:rFonts w:ascii="Arial" w:hAnsi="Arial" w:cs="Arial"/>
          <w:bCs/>
          <w:sz w:val="22"/>
          <w:szCs w:val="22"/>
        </w:rPr>
      </w:pPr>
      <w:proofErr w:type="spellStart"/>
      <w:r w:rsidRPr="00A63C67">
        <w:rPr>
          <w:rFonts w:ascii="Arial" w:hAnsi="Arial" w:cs="Arial"/>
          <w:bCs/>
          <w:sz w:val="22"/>
          <w:szCs w:val="22"/>
        </w:rPr>
        <w:t>Carcueva</w:t>
      </w:r>
      <w:proofErr w:type="spellEnd"/>
      <w:r w:rsidRPr="00A63C67">
        <w:rPr>
          <w:rFonts w:ascii="Arial" w:hAnsi="Arial" w:cs="Arial"/>
          <w:bCs/>
          <w:sz w:val="22"/>
          <w:szCs w:val="22"/>
        </w:rPr>
        <w:t>, R. (2024). Attitude in learning as a mediator for engagement and academic performance in Mathematics. Journal of Interdisciplinary Perspectives, 2(6), 188-196.</w:t>
      </w:r>
    </w:p>
    <w:p w14:paraId="04C8ABB5" w14:textId="079FA5C9"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t>Creswell, J. W., &amp; Creswell, J. D. (2017). Research design: Qualitative, quantitative, and mixed methods approaches. Sage publications</w:t>
      </w:r>
    </w:p>
    <w:p w14:paraId="4F080789"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t>Deci, E. L., &amp; Ryan, R. M. (2012). Self-determination theory. </w:t>
      </w:r>
      <w:r w:rsidRPr="00A63C67">
        <w:rPr>
          <w:rFonts w:ascii="Arial" w:hAnsi="Arial" w:cs="Arial"/>
          <w:bCs/>
          <w:i/>
          <w:iCs/>
          <w:sz w:val="22"/>
          <w:szCs w:val="22"/>
        </w:rPr>
        <w:t>Handbook of theories of social psychology</w:t>
      </w:r>
      <w:r w:rsidRPr="00A63C67">
        <w:rPr>
          <w:rFonts w:ascii="Arial" w:hAnsi="Arial" w:cs="Arial"/>
          <w:bCs/>
          <w:sz w:val="22"/>
          <w:szCs w:val="22"/>
        </w:rPr>
        <w:t>, </w:t>
      </w:r>
      <w:r w:rsidRPr="00A63C67">
        <w:rPr>
          <w:rFonts w:ascii="Arial" w:hAnsi="Arial" w:cs="Arial"/>
          <w:bCs/>
          <w:i/>
          <w:iCs/>
          <w:sz w:val="22"/>
          <w:szCs w:val="22"/>
        </w:rPr>
        <w:t>1</w:t>
      </w:r>
      <w:r w:rsidRPr="00A63C67">
        <w:rPr>
          <w:rFonts w:ascii="Arial" w:hAnsi="Arial" w:cs="Arial"/>
          <w:bCs/>
          <w:sz w:val="22"/>
          <w:szCs w:val="22"/>
        </w:rPr>
        <w:t>(20), 416-436.</w:t>
      </w:r>
    </w:p>
    <w:p w14:paraId="0215EDA9" w14:textId="77777777" w:rsidR="00A63C67" w:rsidRPr="00A63C67" w:rsidRDefault="00A63C67" w:rsidP="00A63C67">
      <w:pPr>
        <w:pStyle w:val="Body"/>
        <w:spacing w:after="0"/>
        <w:ind w:left="720" w:hanging="720"/>
        <w:rPr>
          <w:rFonts w:ascii="Arial" w:hAnsi="Arial" w:cs="Arial"/>
          <w:sz w:val="22"/>
          <w:szCs w:val="22"/>
        </w:rPr>
      </w:pPr>
      <w:r w:rsidRPr="00A63C67">
        <w:rPr>
          <w:rFonts w:ascii="Arial" w:hAnsi="Arial" w:cs="Arial"/>
          <w:sz w:val="22"/>
          <w:szCs w:val="22"/>
        </w:rPr>
        <w:t xml:space="preserve">Feng, M., Wijaya, T. T., Ananda, R., &amp; Du, W. (2025). Exploring factors influencing student satisfaction in mathematics education using PLS-SEM and fuzzy sets </w:t>
      </w:r>
      <w:proofErr w:type="spellStart"/>
      <w:r w:rsidRPr="00A63C67">
        <w:rPr>
          <w:rFonts w:ascii="Arial" w:hAnsi="Arial" w:cs="Arial"/>
          <w:sz w:val="22"/>
          <w:szCs w:val="22"/>
        </w:rPr>
        <w:t>FsQCA</w:t>
      </w:r>
      <w:proofErr w:type="spellEnd"/>
      <w:r w:rsidRPr="00A63C67">
        <w:rPr>
          <w:rFonts w:ascii="Arial" w:hAnsi="Arial" w:cs="Arial"/>
          <w:sz w:val="22"/>
          <w:szCs w:val="22"/>
        </w:rPr>
        <w:t>. Scientific Reports, 15(1), 1-15.</w:t>
      </w:r>
    </w:p>
    <w:p w14:paraId="44F849D4"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t xml:space="preserve">Fuertes, H., Evangelista Jr, I., </w:t>
      </w:r>
      <w:proofErr w:type="spellStart"/>
      <w:r w:rsidRPr="00A63C67">
        <w:rPr>
          <w:rFonts w:ascii="Arial" w:hAnsi="Arial" w:cs="Arial"/>
          <w:bCs/>
          <w:sz w:val="22"/>
          <w:szCs w:val="22"/>
        </w:rPr>
        <w:t>Marcellones</w:t>
      </w:r>
      <w:proofErr w:type="spellEnd"/>
      <w:r w:rsidRPr="00A63C67">
        <w:rPr>
          <w:rFonts w:ascii="Arial" w:hAnsi="Arial" w:cs="Arial"/>
          <w:bCs/>
          <w:sz w:val="22"/>
          <w:szCs w:val="22"/>
        </w:rPr>
        <w:t>, I. J., &amp; Bacatan, J. (2023). Student engagement, academic motivation, and academic performance of intermediate level students.</w:t>
      </w:r>
    </w:p>
    <w:p w14:paraId="0435347E" w14:textId="77777777"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t xml:space="preserve">Grehan, M., Mac </w:t>
      </w:r>
      <w:proofErr w:type="gramStart"/>
      <w:r w:rsidRPr="00A63C67">
        <w:rPr>
          <w:rFonts w:ascii="Arial" w:hAnsi="Arial" w:cs="Arial"/>
          <w:sz w:val="22"/>
          <w:szCs w:val="22"/>
        </w:rPr>
        <w:t>an</w:t>
      </w:r>
      <w:proofErr w:type="gramEnd"/>
      <w:r w:rsidRPr="00A63C67">
        <w:rPr>
          <w:rFonts w:ascii="Arial" w:hAnsi="Arial" w:cs="Arial"/>
          <w:sz w:val="22"/>
          <w:szCs w:val="22"/>
        </w:rPr>
        <w:t xml:space="preserve"> Bhaird, C., &amp; O'Shea, A. (2016). Investigating students' levels of engagement with mathematics: critical events, motivations, and influences on </w:t>
      </w:r>
      <w:proofErr w:type="spellStart"/>
      <w:r w:rsidRPr="00A63C67">
        <w:rPr>
          <w:rFonts w:ascii="Arial" w:hAnsi="Arial" w:cs="Arial"/>
          <w:sz w:val="22"/>
          <w:szCs w:val="22"/>
        </w:rPr>
        <w:t>behaviour</w:t>
      </w:r>
      <w:proofErr w:type="spellEnd"/>
      <w:r w:rsidRPr="00A63C67">
        <w:rPr>
          <w:rFonts w:ascii="Arial" w:hAnsi="Arial" w:cs="Arial"/>
          <w:sz w:val="22"/>
          <w:szCs w:val="22"/>
        </w:rPr>
        <w:t>. International Journal of Mathematical Education in Science and Technology, 47(1), 1-28.</w:t>
      </w:r>
    </w:p>
    <w:p w14:paraId="082B7D86"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t>Hofverberg, A., Winberg, M., Palmberg, B., Andersson, C., &amp; Palm, T. (2022). Relationships between basic psychological need satisfaction, regulations, and behavioral engagement in mathematics. Frontiers in Psychology, 13, 829958.</w:t>
      </w:r>
    </w:p>
    <w:p w14:paraId="077B368E" w14:textId="77777777" w:rsidR="00A63C67" w:rsidRPr="00A63C67" w:rsidRDefault="00A63C67" w:rsidP="00A63C67">
      <w:pPr>
        <w:pStyle w:val="Body"/>
        <w:spacing w:after="0"/>
        <w:ind w:left="720" w:hanging="720"/>
        <w:rPr>
          <w:rFonts w:ascii="Arial" w:hAnsi="Arial" w:cs="Arial"/>
          <w:sz w:val="22"/>
          <w:szCs w:val="22"/>
        </w:rPr>
      </w:pPr>
      <w:r w:rsidRPr="00A63C67">
        <w:rPr>
          <w:rFonts w:ascii="Arial" w:hAnsi="Arial" w:cs="Arial"/>
          <w:sz w:val="22"/>
          <w:szCs w:val="22"/>
        </w:rPr>
        <w:t>Hwang, S., &amp; Son, T. (2021). Students' Attitude toward Mathematics and Its Relationship with Mathematics Achievement. </w:t>
      </w:r>
      <w:r w:rsidRPr="00A63C67">
        <w:rPr>
          <w:rFonts w:ascii="Arial" w:hAnsi="Arial" w:cs="Arial"/>
          <w:i/>
          <w:iCs/>
          <w:sz w:val="22"/>
          <w:szCs w:val="22"/>
        </w:rPr>
        <w:t>Journal of Education and E-learning Research</w:t>
      </w:r>
      <w:r w:rsidRPr="00A63C67">
        <w:rPr>
          <w:rFonts w:ascii="Arial" w:hAnsi="Arial" w:cs="Arial"/>
          <w:sz w:val="22"/>
          <w:szCs w:val="22"/>
        </w:rPr>
        <w:t>, </w:t>
      </w:r>
      <w:r w:rsidRPr="00A63C67">
        <w:rPr>
          <w:rFonts w:ascii="Arial" w:hAnsi="Arial" w:cs="Arial"/>
          <w:i/>
          <w:iCs/>
          <w:sz w:val="22"/>
          <w:szCs w:val="22"/>
        </w:rPr>
        <w:t>8</w:t>
      </w:r>
      <w:r w:rsidRPr="00A63C67">
        <w:rPr>
          <w:rFonts w:ascii="Arial" w:hAnsi="Arial" w:cs="Arial"/>
          <w:sz w:val="22"/>
          <w:szCs w:val="22"/>
        </w:rPr>
        <w:t>(3), 272-280.</w:t>
      </w:r>
    </w:p>
    <w:p w14:paraId="1CE893E5"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t>Jacobs, G. J., &amp; Spangenberg, E. D. (2014). MATHEMATICS TEACHERS’ATTITUDES TOWARDS THE SUBJECT: THE INFLUENCE OF GENDER, AGE AND TEACHING EXPERIENCE. In </w:t>
      </w:r>
      <w:r w:rsidRPr="00A63C67">
        <w:rPr>
          <w:rFonts w:ascii="Arial" w:hAnsi="Arial" w:cs="Arial"/>
          <w:bCs/>
          <w:i/>
          <w:iCs/>
          <w:sz w:val="22"/>
          <w:szCs w:val="22"/>
        </w:rPr>
        <w:t>ISTE International Conference on Mathematics, Science, and Technology Education</w:t>
      </w:r>
      <w:r w:rsidRPr="00A63C67">
        <w:rPr>
          <w:rFonts w:ascii="Arial" w:hAnsi="Arial" w:cs="Arial"/>
          <w:bCs/>
          <w:sz w:val="22"/>
          <w:szCs w:val="22"/>
        </w:rPr>
        <w:t> (pp. 91-100).</w:t>
      </w:r>
    </w:p>
    <w:p w14:paraId="217E7569"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lastRenderedPageBreak/>
        <w:t>Joshi, D. R., Adhikari, K. P., Khanal, B., Khadka, J., &amp; Belbase, S. (2022). Behavioral, cognitive, emotional and social engagement in mathematics learning during COVID-19 pandemic. PLOS ONE, 17(11), e0278052. https://doi.org/10.1371/journal.pone.0278052</w:t>
      </w:r>
    </w:p>
    <w:p w14:paraId="0B6AFFFC"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t xml:space="preserve">Li, J., &amp; Xue, E. (2023). Dynamic interaction between student learning </w:t>
      </w:r>
      <w:proofErr w:type="spellStart"/>
      <w:r w:rsidRPr="00A63C67">
        <w:rPr>
          <w:rFonts w:ascii="Arial" w:hAnsi="Arial" w:cs="Arial"/>
          <w:bCs/>
          <w:sz w:val="22"/>
          <w:szCs w:val="22"/>
        </w:rPr>
        <w:t>behaviour</w:t>
      </w:r>
      <w:proofErr w:type="spellEnd"/>
      <w:r w:rsidRPr="00A63C67">
        <w:rPr>
          <w:rFonts w:ascii="Arial" w:hAnsi="Arial" w:cs="Arial"/>
          <w:bCs/>
          <w:sz w:val="22"/>
          <w:szCs w:val="22"/>
        </w:rPr>
        <w:t xml:space="preserve"> and learning environment: Meta-analysis of student engagement and its influencing factors. Behavioral Sciences, 13(1), 59.</w:t>
      </w:r>
    </w:p>
    <w:p w14:paraId="3074A84D"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t>Lo, C. K., &amp; Hew, K. F. (2021). Student engagement in mathematics flipped classrooms: Implications of journal publications from 2011 to 2020. </w:t>
      </w:r>
      <w:r w:rsidRPr="00A63C67">
        <w:rPr>
          <w:rFonts w:ascii="Arial" w:hAnsi="Arial" w:cs="Arial"/>
          <w:bCs/>
          <w:i/>
          <w:iCs/>
          <w:sz w:val="22"/>
          <w:szCs w:val="22"/>
        </w:rPr>
        <w:t>Frontiers in Psychology</w:t>
      </w:r>
      <w:r w:rsidRPr="00A63C67">
        <w:rPr>
          <w:rFonts w:ascii="Arial" w:hAnsi="Arial" w:cs="Arial"/>
          <w:bCs/>
          <w:sz w:val="22"/>
          <w:szCs w:val="22"/>
        </w:rPr>
        <w:t>, </w:t>
      </w:r>
      <w:r w:rsidRPr="00A63C67">
        <w:rPr>
          <w:rFonts w:ascii="Arial" w:hAnsi="Arial" w:cs="Arial"/>
          <w:bCs/>
          <w:i/>
          <w:iCs/>
          <w:sz w:val="22"/>
          <w:szCs w:val="22"/>
        </w:rPr>
        <w:t>12</w:t>
      </w:r>
      <w:r w:rsidRPr="00A63C67">
        <w:rPr>
          <w:rFonts w:ascii="Arial" w:hAnsi="Arial" w:cs="Arial"/>
          <w:bCs/>
          <w:sz w:val="22"/>
          <w:szCs w:val="22"/>
        </w:rPr>
        <w:t>, 672610.</w:t>
      </w:r>
    </w:p>
    <w:p w14:paraId="72FE976F" w14:textId="77777777" w:rsidR="00A63C67" w:rsidRPr="00A63C67" w:rsidRDefault="00A63C67" w:rsidP="00A63C67">
      <w:pPr>
        <w:pStyle w:val="Body"/>
        <w:ind w:left="720" w:hanging="720"/>
        <w:rPr>
          <w:rFonts w:ascii="Arial" w:hAnsi="Arial" w:cs="Arial"/>
          <w:bCs/>
          <w:sz w:val="22"/>
          <w:szCs w:val="22"/>
        </w:rPr>
      </w:pPr>
      <w:proofErr w:type="spellStart"/>
      <w:r w:rsidRPr="00A63C67">
        <w:rPr>
          <w:rFonts w:ascii="Arial" w:hAnsi="Arial" w:cs="Arial"/>
          <w:bCs/>
          <w:sz w:val="22"/>
          <w:szCs w:val="22"/>
        </w:rPr>
        <w:t>Maamin</w:t>
      </w:r>
      <w:proofErr w:type="spellEnd"/>
      <w:r w:rsidRPr="00A63C67">
        <w:rPr>
          <w:rFonts w:ascii="Arial" w:hAnsi="Arial" w:cs="Arial"/>
          <w:bCs/>
          <w:sz w:val="22"/>
          <w:szCs w:val="22"/>
        </w:rPr>
        <w:t xml:space="preserve">, M., Maat, S. M., &amp; H. </w:t>
      </w:r>
      <w:proofErr w:type="spellStart"/>
      <w:r w:rsidRPr="00A63C67">
        <w:rPr>
          <w:rFonts w:ascii="Arial" w:hAnsi="Arial" w:cs="Arial"/>
          <w:bCs/>
          <w:sz w:val="22"/>
          <w:szCs w:val="22"/>
        </w:rPr>
        <w:t>Iksan</w:t>
      </w:r>
      <w:proofErr w:type="spellEnd"/>
      <w:r w:rsidRPr="00A63C67">
        <w:rPr>
          <w:rFonts w:ascii="Arial" w:hAnsi="Arial" w:cs="Arial"/>
          <w:bCs/>
          <w:sz w:val="22"/>
          <w:szCs w:val="22"/>
        </w:rPr>
        <w:t>, Z. (2021). The influence of student engagement on mathematical achievement among secondary school students. Mathematics, 10(1), 41.</w:t>
      </w:r>
    </w:p>
    <w:p w14:paraId="2C0474B0" w14:textId="77777777" w:rsidR="00A63C67" w:rsidRPr="00A63C67" w:rsidRDefault="00A63C67" w:rsidP="00A63C67">
      <w:pPr>
        <w:pStyle w:val="Body"/>
        <w:ind w:left="720" w:hanging="720"/>
        <w:rPr>
          <w:rFonts w:ascii="Arial" w:hAnsi="Arial" w:cs="Arial"/>
          <w:bCs/>
          <w:sz w:val="22"/>
          <w:szCs w:val="22"/>
        </w:rPr>
      </w:pPr>
      <w:proofErr w:type="spellStart"/>
      <w:r w:rsidRPr="00A63C67">
        <w:rPr>
          <w:rFonts w:ascii="Arial" w:hAnsi="Arial" w:cs="Arial"/>
          <w:bCs/>
          <w:sz w:val="22"/>
          <w:szCs w:val="22"/>
        </w:rPr>
        <w:t>Manazza</w:t>
      </w:r>
      <w:proofErr w:type="spellEnd"/>
      <w:r w:rsidRPr="00A63C67">
        <w:rPr>
          <w:rFonts w:ascii="Arial" w:hAnsi="Arial" w:cs="Arial"/>
          <w:bCs/>
          <w:sz w:val="22"/>
          <w:szCs w:val="22"/>
        </w:rPr>
        <w:t xml:space="preserve"> Saqib, Dr Fahd Naveed Kausar, &amp; Memona Ashrafs. (2024). Students’ Engagement in Learning Mathematics: Influence on Students’ Achievement at Secondary Level in District Lahore. Educational Administration: Theory and Practice, 30(1), 4992–5001. https://doi.org/10.53555/kuey.v30i1.8568</w:t>
      </w:r>
    </w:p>
    <w:p w14:paraId="41FD450D" w14:textId="77777777" w:rsidR="00A63C67" w:rsidRPr="00A63C67" w:rsidRDefault="00A63C67" w:rsidP="002F1202">
      <w:pPr>
        <w:ind w:left="720" w:hanging="720"/>
        <w:jc w:val="both"/>
        <w:rPr>
          <w:rFonts w:ascii="Arial" w:hAnsi="Arial" w:cs="Arial"/>
          <w:b/>
          <w:sz w:val="22"/>
          <w:szCs w:val="22"/>
        </w:rPr>
      </w:pPr>
      <w:r w:rsidRPr="00A63C67">
        <w:rPr>
          <w:rFonts w:ascii="Arial" w:hAnsi="Arial" w:cs="Arial"/>
          <w:sz w:val="22"/>
          <w:szCs w:val="22"/>
        </w:rPr>
        <w:t>Morton, C.H. (2014). A story of African American students as mathematics learners. International Journal of Education in Mathematics, Science and Technology, 2(3), 234- 245. Retrieve from https://files.eric.ed.gov/fulltext/ED548756.pdf</w:t>
      </w:r>
    </w:p>
    <w:p w14:paraId="2C4ED7A5" w14:textId="77777777" w:rsidR="00A63C67" w:rsidRPr="00A63C67" w:rsidRDefault="00A63C67" w:rsidP="00A63C67">
      <w:pPr>
        <w:ind w:left="720" w:hanging="720"/>
        <w:jc w:val="both"/>
        <w:rPr>
          <w:rFonts w:ascii="Arial" w:hAnsi="Arial" w:cs="Arial"/>
          <w:sz w:val="22"/>
          <w:szCs w:val="22"/>
        </w:rPr>
      </w:pPr>
      <w:proofErr w:type="spellStart"/>
      <w:r w:rsidRPr="00A63C67">
        <w:rPr>
          <w:rFonts w:ascii="Arial" w:hAnsi="Arial" w:cs="Arial"/>
          <w:sz w:val="22"/>
          <w:szCs w:val="22"/>
        </w:rPr>
        <w:t>Nugraheni</w:t>
      </w:r>
      <w:proofErr w:type="spellEnd"/>
      <w:r w:rsidRPr="00A63C67">
        <w:rPr>
          <w:rFonts w:ascii="Arial" w:hAnsi="Arial" w:cs="Arial"/>
          <w:sz w:val="22"/>
          <w:szCs w:val="22"/>
        </w:rPr>
        <w:t xml:space="preserve">, M. M. Y., </w:t>
      </w:r>
      <w:proofErr w:type="spellStart"/>
      <w:r w:rsidRPr="00A63C67">
        <w:rPr>
          <w:rFonts w:ascii="Arial" w:hAnsi="Arial" w:cs="Arial"/>
          <w:sz w:val="22"/>
          <w:szCs w:val="22"/>
        </w:rPr>
        <w:t>Suryaningrum</w:t>
      </w:r>
      <w:proofErr w:type="spellEnd"/>
      <w:r w:rsidRPr="00A63C67">
        <w:rPr>
          <w:rFonts w:ascii="Arial" w:hAnsi="Arial" w:cs="Arial"/>
          <w:sz w:val="22"/>
          <w:szCs w:val="22"/>
        </w:rPr>
        <w:t xml:space="preserve">, P., &amp; </w:t>
      </w:r>
      <w:proofErr w:type="spellStart"/>
      <w:r w:rsidRPr="00A63C67">
        <w:rPr>
          <w:rFonts w:ascii="Arial" w:hAnsi="Arial" w:cs="Arial"/>
          <w:sz w:val="22"/>
          <w:szCs w:val="22"/>
        </w:rPr>
        <w:t>Rudito</w:t>
      </w:r>
      <w:proofErr w:type="spellEnd"/>
      <w:r w:rsidRPr="00A63C67">
        <w:rPr>
          <w:rFonts w:ascii="Arial" w:hAnsi="Arial" w:cs="Arial"/>
          <w:sz w:val="22"/>
          <w:szCs w:val="22"/>
        </w:rPr>
        <w:t>, M. A. (2022). Analysis of The Students’ Engagement in The Process of Learning Mathematics using a Flipped-Classroom Approach to Trigonometry. </w:t>
      </w:r>
      <w:r w:rsidRPr="00A63C67">
        <w:rPr>
          <w:rFonts w:ascii="Arial" w:hAnsi="Arial" w:cs="Arial"/>
          <w:i/>
          <w:iCs/>
          <w:sz w:val="22"/>
          <w:szCs w:val="22"/>
        </w:rPr>
        <w:t>Journal of Mathematics and Mathematics Education</w:t>
      </w:r>
      <w:r w:rsidRPr="00A63C67">
        <w:rPr>
          <w:rFonts w:ascii="Arial" w:hAnsi="Arial" w:cs="Arial"/>
          <w:sz w:val="22"/>
          <w:szCs w:val="22"/>
        </w:rPr>
        <w:t>, </w:t>
      </w:r>
      <w:r w:rsidRPr="00A63C67">
        <w:rPr>
          <w:rFonts w:ascii="Arial" w:hAnsi="Arial" w:cs="Arial"/>
          <w:i/>
          <w:iCs/>
          <w:sz w:val="22"/>
          <w:szCs w:val="22"/>
        </w:rPr>
        <w:t>12</w:t>
      </w:r>
      <w:r w:rsidRPr="00A63C67">
        <w:rPr>
          <w:rFonts w:ascii="Arial" w:hAnsi="Arial" w:cs="Arial"/>
          <w:sz w:val="22"/>
          <w:szCs w:val="22"/>
        </w:rPr>
        <w:t>(2), 52-60.</w:t>
      </w:r>
    </w:p>
    <w:p w14:paraId="67B39933" w14:textId="281FE678" w:rsidR="00A63C67" w:rsidRPr="00A63C67" w:rsidRDefault="00A63C67" w:rsidP="00A63C67">
      <w:pPr>
        <w:pStyle w:val="Body"/>
        <w:ind w:left="720" w:hanging="720"/>
        <w:rPr>
          <w:rFonts w:ascii="Arial" w:hAnsi="Arial" w:cs="Arial"/>
          <w:bCs/>
          <w:sz w:val="22"/>
          <w:szCs w:val="22"/>
        </w:rPr>
      </w:pPr>
      <w:proofErr w:type="spellStart"/>
      <w:r w:rsidRPr="00A63C67">
        <w:rPr>
          <w:rFonts w:ascii="Arial" w:hAnsi="Arial" w:cs="Arial"/>
          <w:bCs/>
          <w:sz w:val="22"/>
          <w:szCs w:val="22"/>
        </w:rPr>
        <w:t>Nugraheni</w:t>
      </w:r>
      <w:proofErr w:type="spellEnd"/>
      <w:r w:rsidRPr="00A63C67">
        <w:rPr>
          <w:rFonts w:ascii="Arial" w:hAnsi="Arial" w:cs="Arial"/>
          <w:bCs/>
          <w:sz w:val="22"/>
          <w:szCs w:val="22"/>
        </w:rPr>
        <w:t xml:space="preserve">, M. M. Y., </w:t>
      </w:r>
      <w:proofErr w:type="spellStart"/>
      <w:r w:rsidRPr="00A63C67">
        <w:rPr>
          <w:rFonts w:ascii="Arial" w:hAnsi="Arial" w:cs="Arial"/>
          <w:bCs/>
          <w:sz w:val="22"/>
          <w:szCs w:val="22"/>
        </w:rPr>
        <w:t>Suryaningrum</w:t>
      </w:r>
      <w:proofErr w:type="spellEnd"/>
      <w:r w:rsidRPr="00A63C67">
        <w:rPr>
          <w:rFonts w:ascii="Arial" w:hAnsi="Arial" w:cs="Arial"/>
          <w:bCs/>
          <w:sz w:val="22"/>
          <w:szCs w:val="22"/>
        </w:rPr>
        <w:t xml:space="preserve">, P., &amp; </w:t>
      </w:r>
      <w:proofErr w:type="spellStart"/>
      <w:r w:rsidRPr="00A63C67">
        <w:rPr>
          <w:rFonts w:ascii="Arial" w:hAnsi="Arial" w:cs="Arial"/>
          <w:bCs/>
          <w:sz w:val="22"/>
          <w:szCs w:val="22"/>
        </w:rPr>
        <w:t>Rudito</w:t>
      </w:r>
      <w:proofErr w:type="spellEnd"/>
      <w:r w:rsidRPr="00A63C67">
        <w:rPr>
          <w:rFonts w:ascii="Arial" w:hAnsi="Arial" w:cs="Arial"/>
          <w:bCs/>
          <w:sz w:val="22"/>
          <w:szCs w:val="22"/>
        </w:rPr>
        <w:t xml:space="preserve">, M. A. (2022). Analysis of The </w:t>
      </w:r>
    </w:p>
    <w:p w14:paraId="70092592" w14:textId="77777777" w:rsidR="00A63C67" w:rsidRPr="00A63C67" w:rsidRDefault="00A63C67" w:rsidP="00A63C67">
      <w:pPr>
        <w:pStyle w:val="Body"/>
        <w:spacing w:after="0"/>
        <w:ind w:left="720" w:hanging="720"/>
        <w:rPr>
          <w:rFonts w:ascii="Arial" w:hAnsi="Arial" w:cs="Arial"/>
          <w:sz w:val="22"/>
          <w:szCs w:val="22"/>
        </w:rPr>
      </w:pPr>
      <w:proofErr w:type="spellStart"/>
      <w:r w:rsidRPr="00A63C67">
        <w:rPr>
          <w:rFonts w:ascii="Arial" w:hAnsi="Arial" w:cs="Arial"/>
          <w:sz w:val="22"/>
          <w:szCs w:val="22"/>
        </w:rPr>
        <w:t>Padingding</w:t>
      </w:r>
      <w:proofErr w:type="spellEnd"/>
      <w:r w:rsidRPr="00A63C67">
        <w:rPr>
          <w:rFonts w:ascii="Arial" w:hAnsi="Arial" w:cs="Arial"/>
          <w:sz w:val="22"/>
          <w:szCs w:val="22"/>
        </w:rPr>
        <w:t xml:space="preserve">, L. B., &amp; Gallego, M. G. O. (2025). Innovative Learning Strategies and </w:t>
      </w:r>
      <w:proofErr w:type="spellStart"/>
      <w:r w:rsidRPr="00A63C67">
        <w:rPr>
          <w:rFonts w:ascii="Arial" w:hAnsi="Arial" w:cs="Arial"/>
          <w:sz w:val="22"/>
          <w:szCs w:val="22"/>
        </w:rPr>
        <w:t>Studentsâ</w:t>
      </w:r>
      <w:proofErr w:type="spellEnd"/>
      <w:r w:rsidRPr="00A63C67">
        <w:rPr>
          <w:rFonts w:ascii="Arial" w:hAnsi="Arial" w:cs="Arial"/>
          <w:sz w:val="22"/>
          <w:szCs w:val="22"/>
        </w:rPr>
        <w:t>€™ Engagement in Social Science in Public Secondary High Schools. International Journal of Research and Innovation in Social Science, 9(5), 555-563.</w:t>
      </w:r>
    </w:p>
    <w:p w14:paraId="29F34F65" w14:textId="77777777" w:rsidR="00A63C67" w:rsidRPr="002F1202" w:rsidRDefault="00A63C67" w:rsidP="002F1202">
      <w:pPr>
        <w:ind w:left="720" w:hanging="720"/>
        <w:jc w:val="both"/>
        <w:rPr>
          <w:rFonts w:ascii="Arial" w:hAnsi="Arial" w:cs="Arial"/>
          <w:sz w:val="22"/>
          <w:szCs w:val="22"/>
        </w:rPr>
      </w:pPr>
      <w:r w:rsidRPr="002F1202">
        <w:rPr>
          <w:rFonts w:ascii="Arial" w:hAnsi="Arial" w:cs="Arial"/>
          <w:sz w:val="22"/>
          <w:szCs w:val="22"/>
        </w:rPr>
        <w:t xml:space="preserve">Palacios, A., Arias, V., &amp; Arias, B. (2014). Attitudes towards mathematics: construction and validation of a measuring instrument. </w:t>
      </w:r>
      <w:proofErr w:type="spellStart"/>
      <w:r w:rsidRPr="002F1202">
        <w:rPr>
          <w:rFonts w:ascii="Arial" w:hAnsi="Arial" w:cs="Arial"/>
          <w:sz w:val="22"/>
          <w:szCs w:val="22"/>
        </w:rPr>
        <w:t>Revista</w:t>
      </w:r>
      <w:proofErr w:type="spellEnd"/>
      <w:r w:rsidRPr="002F1202">
        <w:rPr>
          <w:rFonts w:ascii="Arial" w:hAnsi="Arial" w:cs="Arial"/>
          <w:sz w:val="22"/>
          <w:szCs w:val="22"/>
        </w:rPr>
        <w:t xml:space="preserve"> de </w:t>
      </w:r>
      <w:proofErr w:type="spellStart"/>
      <w:r w:rsidRPr="002F1202">
        <w:rPr>
          <w:rFonts w:ascii="Arial" w:hAnsi="Arial" w:cs="Arial"/>
          <w:sz w:val="22"/>
          <w:szCs w:val="22"/>
        </w:rPr>
        <w:t>Psicodidáctica</w:t>
      </w:r>
      <w:proofErr w:type="spellEnd"/>
      <w:r w:rsidRPr="002F1202">
        <w:rPr>
          <w:rFonts w:ascii="Arial" w:hAnsi="Arial" w:cs="Arial"/>
          <w:sz w:val="22"/>
          <w:szCs w:val="22"/>
        </w:rPr>
        <w:t>, 2014, 19(1). Retrieved January 17, 2023, from https://www.researchgate.net/publication/290171801</w:t>
      </w:r>
    </w:p>
    <w:p w14:paraId="7639AB2E" w14:textId="77777777" w:rsidR="00A63C67" w:rsidRPr="00A63C67" w:rsidRDefault="00A63C67" w:rsidP="00A63C67">
      <w:pPr>
        <w:ind w:left="720" w:hanging="720"/>
        <w:jc w:val="both"/>
        <w:rPr>
          <w:rFonts w:ascii="Arial" w:hAnsi="Arial" w:cs="Arial"/>
          <w:sz w:val="22"/>
          <w:szCs w:val="22"/>
        </w:rPr>
      </w:pPr>
      <w:proofErr w:type="spellStart"/>
      <w:r w:rsidRPr="00A63C67">
        <w:rPr>
          <w:rFonts w:ascii="Arial" w:hAnsi="Arial" w:cs="Arial"/>
          <w:sz w:val="22"/>
          <w:szCs w:val="22"/>
        </w:rPr>
        <w:t>Palarisan</w:t>
      </w:r>
      <w:proofErr w:type="spellEnd"/>
      <w:r w:rsidRPr="00A63C67">
        <w:rPr>
          <w:rFonts w:ascii="Arial" w:hAnsi="Arial" w:cs="Arial"/>
          <w:sz w:val="22"/>
          <w:szCs w:val="22"/>
        </w:rPr>
        <w:t xml:space="preserve">, N. J. B., &amp; </w:t>
      </w:r>
      <w:proofErr w:type="spellStart"/>
      <w:r w:rsidRPr="00A63C67">
        <w:rPr>
          <w:rFonts w:ascii="Arial" w:hAnsi="Arial" w:cs="Arial"/>
          <w:sz w:val="22"/>
          <w:szCs w:val="22"/>
        </w:rPr>
        <w:t>Domag</w:t>
      </w:r>
      <w:proofErr w:type="spellEnd"/>
      <w:r w:rsidRPr="00A63C67">
        <w:rPr>
          <w:rFonts w:ascii="Arial" w:hAnsi="Arial" w:cs="Arial"/>
          <w:sz w:val="22"/>
          <w:szCs w:val="22"/>
        </w:rPr>
        <w:t>, C. M. (2023). The socio-emotional classroom management and student engagement of tertiary teachers in Davao City. Asian Journal of Education and Social Studies, 48(2), 26-38.</w:t>
      </w:r>
    </w:p>
    <w:p w14:paraId="1D690D95" w14:textId="77777777" w:rsidR="00A63C67" w:rsidRPr="00A63C67" w:rsidRDefault="00A63C67" w:rsidP="00A63C67">
      <w:pPr>
        <w:ind w:left="720" w:hanging="720"/>
        <w:jc w:val="both"/>
        <w:rPr>
          <w:rFonts w:ascii="Arial" w:hAnsi="Arial" w:cs="Arial"/>
          <w:b/>
          <w:caps/>
          <w:sz w:val="22"/>
          <w:szCs w:val="22"/>
        </w:rPr>
      </w:pPr>
      <w:proofErr w:type="spellStart"/>
      <w:r w:rsidRPr="00A63C67">
        <w:rPr>
          <w:rFonts w:ascii="Arial" w:hAnsi="Arial" w:cs="Arial"/>
          <w:color w:val="000000" w:themeColor="text1"/>
          <w:sz w:val="22"/>
          <w:szCs w:val="22"/>
        </w:rPr>
        <w:t>Pondias</w:t>
      </w:r>
      <w:proofErr w:type="spellEnd"/>
      <w:r w:rsidRPr="00A63C67">
        <w:rPr>
          <w:rFonts w:ascii="Arial" w:hAnsi="Arial" w:cs="Arial"/>
          <w:color w:val="000000" w:themeColor="text1"/>
          <w:sz w:val="22"/>
          <w:szCs w:val="22"/>
        </w:rPr>
        <w:t xml:space="preserve">, N. J. V., &amp; Tado, N. P. P. (2025). The Mediating Role of Attitude Towards Mathematics in the Relationship Between Classroom Management and Mathematics Engagement among Students. EPRA International Journal of Multidisciplinary Research (IJMR), 345–351. </w:t>
      </w:r>
      <w:hyperlink r:id="rId14" w:history="1">
        <w:r w:rsidRPr="00A63C67">
          <w:rPr>
            <w:rStyle w:val="Hyperlink"/>
            <w:rFonts w:ascii="Arial" w:hAnsi="Arial" w:cs="Arial"/>
            <w:color w:val="000000" w:themeColor="text1"/>
            <w:sz w:val="22"/>
            <w:szCs w:val="22"/>
            <w:u w:val="none"/>
          </w:rPr>
          <w:t>https://doi.org/10.36713/epra20585</w:t>
        </w:r>
      </w:hyperlink>
    </w:p>
    <w:p w14:paraId="043DBD80" w14:textId="77777777"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t>Ross-Holmes, G. R. (2022). Middle school teachers’ perceptions of student disengagement and its role in low academic achievement (Doctoral dissertation, Walden University).</w:t>
      </w:r>
    </w:p>
    <w:p w14:paraId="1CF02D57"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lastRenderedPageBreak/>
        <w:t>Ryan, V., Fitzmaurice, O., &amp; O’Donoghue, J. (2022). Student interest and engagement in mathematics after the first year of secondary education.</w:t>
      </w:r>
    </w:p>
    <w:p w14:paraId="45082391"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t>Sá, M. J. (2023). Student academic and social engagement in the life of the academy—a lever for retention and persistence in higher education. Education Sciences, 13(3), 269.</w:t>
      </w:r>
    </w:p>
    <w:p w14:paraId="6DA8D8AE" w14:textId="5466D9AB" w:rsidR="00A63C67" w:rsidRPr="002F1202" w:rsidRDefault="00A63C67" w:rsidP="002F1202">
      <w:pPr>
        <w:pStyle w:val="Body"/>
        <w:ind w:left="720" w:hanging="720"/>
        <w:rPr>
          <w:rFonts w:ascii="Arial" w:hAnsi="Arial" w:cs="Arial"/>
          <w:bCs/>
          <w:sz w:val="22"/>
          <w:szCs w:val="22"/>
        </w:rPr>
      </w:pPr>
      <w:r w:rsidRPr="00A63C67">
        <w:rPr>
          <w:rFonts w:ascii="Arial" w:hAnsi="Arial" w:cs="Arial"/>
          <w:bCs/>
          <w:sz w:val="22"/>
          <w:szCs w:val="22"/>
        </w:rPr>
        <w:t>Sayed Munna, A., &amp; Kalam, A. (2021). Impact of active learning strategy on the student engagement. An Interdisciplinary J. Human Theory and Praxis, 4(2).</w:t>
      </w:r>
    </w:p>
    <w:p w14:paraId="018D7683"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t>Skilling, K., Bobis, J., &amp; Martin, A. J. (2021). The “ins and outs” of student engagement in mathematics: Shifts in engagement factors among high and low achievers. Mathematics Education Research Journal, 33(3), 469-493.</w:t>
      </w:r>
    </w:p>
    <w:p w14:paraId="2B083743" w14:textId="77777777" w:rsidR="00A63C67" w:rsidRPr="00A63C67" w:rsidRDefault="00A63C67" w:rsidP="002F1202">
      <w:pPr>
        <w:ind w:left="720" w:hanging="720"/>
        <w:jc w:val="both"/>
        <w:rPr>
          <w:rFonts w:ascii="Arial" w:hAnsi="Arial" w:cs="Arial"/>
          <w:sz w:val="22"/>
          <w:szCs w:val="22"/>
        </w:rPr>
      </w:pPr>
      <w:r w:rsidRPr="00A63C67">
        <w:rPr>
          <w:rFonts w:ascii="Arial" w:hAnsi="Arial" w:cs="Arial"/>
          <w:sz w:val="22"/>
          <w:szCs w:val="22"/>
        </w:rPr>
        <w:t>Syyeda, F. (2015). A picture is worth a thousand words: Examining learners’ illustrations to understand attitudes towards Mathematics. Exchanges: The Warwick Research Journal, 2.</w:t>
      </w:r>
    </w:p>
    <w:p w14:paraId="753CDD9B" w14:textId="77777777"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t>Urias, L. R. (2022). Addressing the problem of student engagement in the classroom.</w:t>
      </w:r>
    </w:p>
    <w:p w14:paraId="2439E3FE" w14:textId="77777777" w:rsidR="002F1202" w:rsidRDefault="002F1202" w:rsidP="00A63C67">
      <w:pPr>
        <w:pStyle w:val="Body"/>
        <w:spacing w:after="0"/>
        <w:ind w:left="720" w:hanging="720"/>
        <w:rPr>
          <w:rFonts w:ascii="Arial" w:hAnsi="Arial" w:cs="Arial"/>
          <w:sz w:val="22"/>
          <w:szCs w:val="22"/>
        </w:rPr>
      </w:pPr>
    </w:p>
    <w:p w14:paraId="3B0E679A" w14:textId="40C016DD" w:rsidR="00A63C67" w:rsidRPr="00A63C67" w:rsidRDefault="00A63C67" w:rsidP="00A63C67">
      <w:pPr>
        <w:pStyle w:val="Body"/>
        <w:spacing w:after="0"/>
        <w:ind w:left="720" w:hanging="720"/>
        <w:rPr>
          <w:rFonts w:ascii="Arial" w:hAnsi="Arial" w:cs="Arial"/>
          <w:sz w:val="22"/>
          <w:szCs w:val="22"/>
        </w:rPr>
      </w:pPr>
      <w:proofErr w:type="spellStart"/>
      <w:r w:rsidRPr="00A63C67">
        <w:rPr>
          <w:rFonts w:ascii="Arial" w:hAnsi="Arial" w:cs="Arial"/>
          <w:sz w:val="22"/>
          <w:szCs w:val="22"/>
        </w:rPr>
        <w:t>Wakhata</w:t>
      </w:r>
      <w:proofErr w:type="spellEnd"/>
      <w:r w:rsidRPr="00A63C67">
        <w:rPr>
          <w:rFonts w:ascii="Arial" w:hAnsi="Arial" w:cs="Arial"/>
          <w:sz w:val="22"/>
          <w:szCs w:val="22"/>
        </w:rPr>
        <w:t xml:space="preserve">, R., </w:t>
      </w:r>
      <w:proofErr w:type="spellStart"/>
      <w:r w:rsidRPr="00A63C67">
        <w:rPr>
          <w:rFonts w:ascii="Arial" w:hAnsi="Arial" w:cs="Arial"/>
          <w:sz w:val="22"/>
          <w:szCs w:val="22"/>
        </w:rPr>
        <w:t>Mutarutinya</w:t>
      </w:r>
      <w:proofErr w:type="spellEnd"/>
      <w:r w:rsidRPr="00A63C67">
        <w:rPr>
          <w:rFonts w:ascii="Arial" w:hAnsi="Arial" w:cs="Arial"/>
          <w:sz w:val="22"/>
          <w:szCs w:val="22"/>
        </w:rPr>
        <w:t xml:space="preserve">, V., &amp; </w:t>
      </w:r>
      <w:proofErr w:type="spellStart"/>
      <w:r w:rsidRPr="00A63C67">
        <w:rPr>
          <w:rFonts w:ascii="Arial" w:hAnsi="Arial" w:cs="Arial"/>
          <w:sz w:val="22"/>
          <w:szCs w:val="22"/>
        </w:rPr>
        <w:t>Balimuttajjo</w:t>
      </w:r>
      <w:proofErr w:type="spellEnd"/>
      <w:r w:rsidRPr="00A63C67">
        <w:rPr>
          <w:rFonts w:ascii="Arial" w:hAnsi="Arial" w:cs="Arial"/>
          <w:sz w:val="22"/>
          <w:szCs w:val="22"/>
        </w:rPr>
        <w:t>, S. (2022). Secondary school students’ attitude towards mathematics word problems. </w:t>
      </w:r>
      <w:r w:rsidRPr="00A63C67">
        <w:rPr>
          <w:rFonts w:ascii="Arial" w:hAnsi="Arial" w:cs="Arial"/>
          <w:i/>
          <w:iCs/>
          <w:sz w:val="22"/>
          <w:szCs w:val="22"/>
        </w:rPr>
        <w:t>Humanities and social sciences communications</w:t>
      </w:r>
      <w:r w:rsidRPr="00A63C67">
        <w:rPr>
          <w:rFonts w:ascii="Arial" w:hAnsi="Arial" w:cs="Arial"/>
          <w:sz w:val="22"/>
          <w:szCs w:val="22"/>
        </w:rPr>
        <w:t>, </w:t>
      </w:r>
      <w:r w:rsidRPr="00A63C67">
        <w:rPr>
          <w:rFonts w:ascii="Arial" w:hAnsi="Arial" w:cs="Arial"/>
          <w:i/>
          <w:iCs/>
          <w:sz w:val="22"/>
          <w:szCs w:val="22"/>
        </w:rPr>
        <w:t>9</w:t>
      </w:r>
      <w:r w:rsidRPr="00A63C67">
        <w:rPr>
          <w:rFonts w:ascii="Arial" w:hAnsi="Arial" w:cs="Arial"/>
          <w:sz w:val="22"/>
          <w:szCs w:val="22"/>
        </w:rPr>
        <w:t>(1), 1-11.</w:t>
      </w:r>
    </w:p>
    <w:p w14:paraId="32A94A8D" w14:textId="77777777"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t>Xia, Q., Yin, H., Hu, R., Li, X., &amp; Shang, J. (2022). Motivation, engagement, and mathematics achievement: An exploratory study among Chinese primary students. Sage Open, 12(4), 21582440221134609.</w:t>
      </w:r>
    </w:p>
    <w:sectPr w:rsidR="00A63C67" w:rsidRPr="00A63C67" w:rsidSect="00275CA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0CB07" w14:textId="77777777" w:rsidR="00E13C8C" w:rsidRDefault="00E13C8C" w:rsidP="00C37E61">
      <w:r>
        <w:separator/>
      </w:r>
    </w:p>
  </w:endnote>
  <w:endnote w:type="continuationSeparator" w:id="0">
    <w:p w14:paraId="45BAFF35" w14:textId="77777777" w:rsidR="00E13C8C" w:rsidRDefault="00E13C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D98B5" w14:textId="77777777" w:rsidR="00275CA9" w:rsidRDefault="00275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D3E93" w14:textId="77777777" w:rsidR="00275CA9" w:rsidRDefault="00275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5FAC" w14:textId="77777777" w:rsidR="009E048A" w:rsidRDefault="009E048A">
    <w:pPr>
      <w:pStyle w:val="Footer"/>
      <w:rPr>
        <w:rFonts w:ascii="Arial" w:hAnsi="Arial" w:cs="Arial"/>
        <w:sz w:val="16"/>
      </w:rPr>
    </w:pPr>
  </w:p>
  <w:p w14:paraId="54B0473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A8DAE1" w14:textId="77777777" w:rsidR="009E048A" w:rsidRDefault="009E048A">
    <w:pPr>
      <w:pStyle w:val="Footer"/>
      <w:rPr>
        <w:rFonts w:ascii="Arial" w:hAnsi="Arial" w:cs="Arial"/>
        <w:sz w:val="16"/>
      </w:rPr>
    </w:pPr>
  </w:p>
  <w:p w14:paraId="2DE1B1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84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16D0F" w14:textId="77777777" w:rsidR="00E13C8C" w:rsidRDefault="00E13C8C" w:rsidP="00C37E61">
      <w:r>
        <w:separator/>
      </w:r>
    </w:p>
  </w:footnote>
  <w:footnote w:type="continuationSeparator" w:id="0">
    <w:p w14:paraId="259EB8D6" w14:textId="77777777" w:rsidR="00E13C8C" w:rsidRDefault="00E13C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776D" w14:textId="14C72C24" w:rsidR="00275CA9" w:rsidRDefault="00E13C8C">
    <w:pPr>
      <w:pStyle w:val="Header"/>
    </w:pPr>
    <w:r>
      <w:rPr>
        <w:noProof/>
      </w:rPr>
      <w:pict w14:anchorId="64AE7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96AC" w14:textId="63FF8984" w:rsidR="00275CA9" w:rsidRDefault="00E13C8C">
    <w:pPr>
      <w:pStyle w:val="Header"/>
    </w:pPr>
    <w:r>
      <w:rPr>
        <w:noProof/>
      </w:rPr>
      <w:pict w14:anchorId="7703B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C77F" w14:textId="6607C36C" w:rsidR="00296529" w:rsidRPr="00296529" w:rsidRDefault="00E13C8C" w:rsidP="00296529">
    <w:pPr>
      <w:ind w:left="2160"/>
      <w:jc w:val="center"/>
      <w:rPr>
        <w:rFonts w:ascii="Times New Roman" w:eastAsia="Calibri" w:hAnsi="Times New Roman"/>
        <w:i/>
        <w:sz w:val="18"/>
        <w:szCs w:val="22"/>
      </w:rPr>
    </w:pPr>
    <w:r>
      <w:rPr>
        <w:noProof/>
      </w:rPr>
      <w:pict w14:anchorId="0A728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CE2C3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8385C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B04C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6A55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70584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F8093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5365" w14:textId="2F2A92A6" w:rsidR="00275CA9" w:rsidRDefault="00E13C8C">
    <w:pPr>
      <w:pStyle w:val="Header"/>
    </w:pPr>
    <w:r>
      <w:rPr>
        <w:noProof/>
      </w:rPr>
      <w:pict w14:anchorId="72A7E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F171" w14:textId="64E6C718" w:rsidR="00275CA9" w:rsidRDefault="00E13C8C">
    <w:pPr>
      <w:pStyle w:val="Header"/>
    </w:pPr>
    <w:r>
      <w:rPr>
        <w:noProof/>
      </w:rPr>
      <w:pict w14:anchorId="7D05D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2ADEF" w14:textId="14F99416" w:rsidR="00275CA9" w:rsidRDefault="00E13C8C">
    <w:pPr>
      <w:pStyle w:val="Header"/>
    </w:pPr>
    <w:r>
      <w:rPr>
        <w:noProof/>
      </w:rPr>
      <w:pict w14:anchorId="3D843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3C9"/>
    <w:rsid w:val="0001163A"/>
    <w:rsid w:val="00013117"/>
    <w:rsid w:val="00017866"/>
    <w:rsid w:val="0002005E"/>
    <w:rsid w:val="00024AE4"/>
    <w:rsid w:val="000271B2"/>
    <w:rsid w:val="00030174"/>
    <w:rsid w:val="000314DD"/>
    <w:rsid w:val="00032371"/>
    <w:rsid w:val="00035E80"/>
    <w:rsid w:val="0004579C"/>
    <w:rsid w:val="00047A6B"/>
    <w:rsid w:val="000501B6"/>
    <w:rsid w:val="00050DEE"/>
    <w:rsid w:val="00052718"/>
    <w:rsid w:val="0006402B"/>
    <w:rsid w:val="000656BA"/>
    <w:rsid w:val="00086995"/>
    <w:rsid w:val="000921D0"/>
    <w:rsid w:val="00095A1E"/>
    <w:rsid w:val="000966A4"/>
    <w:rsid w:val="0009672E"/>
    <w:rsid w:val="000A47FA"/>
    <w:rsid w:val="000A60DA"/>
    <w:rsid w:val="000A65D3"/>
    <w:rsid w:val="000B1E33"/>
    <w:rsid w:val="000B2715"/>
    <w:rsid w:val="000B2FB6"/>
    <w:rsid w:val="000B3915"/>
    <w:rsid w:val="000B5D61"/>
    <w:rsid w:val="000B6547"/>
    <w:rsid w:val="000B7975"/>
    <w:rsid w:val="000B7E0A"/>
    <w:rsid w:val="000C1085"/>
    <w:rsid w:val="000C139B"/>
    <w:rsid w:val="000C39D9"/>
    <w:rsid w:val="000C5380"/>
    <w:rsid w:val="000D01B9"/>
    <w:rsid w:val="000D689F"/>
    <w:rsid w:val="000E330D"/>
    <w:rsid w:val="000E5A4B"/>
    <w:rsid w:val="000E71BA"/>
    <w:rsid w:val="000E7B7B"/>
    <w:rsid w:val="000E7D62"/>
    <w:rsid w:val="000F6CBB"/>
    <w:rsid w:val="000F762A"/>
    <w:rsid w:val="00103357"/>
    <w:rsid w:val="001064C0"/>
    <w:rsid w:val="00120E45"/>
    <w:rsid w:val="00122A4A"/>
    <w:rsid w:val="00123C9F"/>
    <w:rsid w:val="001258DB"/>
    <w:rsid w:val="00126190"/>
    <w:rsid w:val="00130F17"/>
    <w:rsid w:val="001320BF"/>
    <w:rsid w:val="0013393F"/>
    <w:rsid w:val="00134803"/>
    <w:rsid w:val="001375B0"/>
    <w:rsid w:val="00137BFE"/>
    <w:rsid w:val="001411F5"/>
    <w:rsid w:val="00142369"/>
    <w:rsid w:val="0014570A"/>
    <w:rsid w:val="00153268"/>
    <w:rsid w:val="00157AE3"/>
    <w:rsid w:val="00157C01"/>
    <w:rsid w:val="00161166"/>
    <w:rsid w:val="00161E98"/>
    <w:rsid w:val="00163623"/>
    <w:rsid w:val="00163BC4"/>
    <w:rsid w:val="0016778C"/>
    <w:rsid w:val="00175D26"/>
    <w:rsid w:val="00181646"/>
    <w:rsid w:val="00183C4D"/>
    <w:rsid w:val="00186D21"/>
    <w:rsid w:val="00191062"/>
    <w:rsid w:val="00192B72"/>
    <w:rsid w:val="00193AFD"/>
    <w:rsid w:val="001A08D7"/>
    <w:rsid w:val="001A29D8"/>
    <w:rsid w:val="001A5CAA"/>
    <w:rsid w:val="001B0427"/>
    <w:rsid w:val="001C120E"/>
    <w:rsid w:val="001C5743"/>
    <w:rsid w:val="001C6A0A"/>
    <w:rsid w:val="001D246D"/>
    <w:rsid w:val="001D2734"/>
    <w:rsid w:val="001D3A51"/>
    <w:rsid w:val="001D3D52"/>
    <w:rsid w:val="001D7890"/>
    <w:rsid w:val="001E10D2"/>
    <w:rsid w:val="001E25B4"/>
    <w:rsid w:val="001E2BFE"/>
    <w:rsid w:val="001E2CC5"/>
    <w:rsid w:val="001E44FE"/>
    <w:rsid w:val="001F2C79"/>
    <w:rsid w:val="001F6B6F"/>
    <w:rsid w:val="00200595"/>
    <w:rsid w:val="002029F2"/>
    <w:rsid w:val="00204835"/>
    <w:rsid w:val="002061FB"/>
    <w:rsid w:val="002179BD"/>
    <w:rsid w:val="00217A63"/>
    <w:rsid w:val="00220007"/>
    <w:rsid w:val="00220C6C"/>
    <w:rsid w:val="0022777B"/>
    <w:rsid w:val="00231920"/>
    <w:rsid w:val="0023195C"/>
    <w:rsid w:val="00236A47"/>
    <w:rsid w:val="00240647"/>
    <w:rsid w:val="00241E05"/>
    <w:rsid w:val="0024282C"/>
    <w:rsid w:val="00245CAB"/>
    <w:rsid w:val="002460DC"/>
    <w:rsid w:val="002501C8"/>
    <w:rsid w:val="00250985"/>
    <w:rsid w:val="002556F6"/>
    <w:rsid w:val="00256A79"/>
    <w:rsid w:val="00261738"/>
    <w:rsid w:val="002635F2"/>
    <w:rsid w:val="00263B09"/>
    <w:rsid w:val="002702CC"/>
    <w:rsid w:val="00271181"/>
    <w:rsid w:val="002749F2"/>
    <w:rsid w:val="00275170"/>
    <w:rsid w:val="00275CA9"/>
    <w:rsid w:val="00282D6F"/>
    <w:rsid w:val="00283105"/>
    <w:rsid w:val="00284C4C"/>
    <w:rsid w:val="00286E2A"/>
    <w:rsid w:val="00287E68"/>
    <w:rsid w:val="00292085"/>
    <w:rsid w:val="00296529"/>
    <w:rsid w:val="002A0282"/>
    <w:rsid w:val="002A02B8"/>
    <w:rsid w:val="002A1BEE"/>
    <w:rsid w:val="002A3AFA"/>
    <w:rsid w:val="002B020B"/>
    <w:rsid w:val="002B1413"/>
    <w:rsid w:val="002B27FB"/>
    <w:rsid w:val="002B2894"/>
    <w:rsid w:val="002B47A1"/>
    <w:rsid w:val="002B6791"/>
    <w:rsid w:val="002B67E7"/>
    <w:rsid w:val="002B685A"/>
    <w:rsid w:val="002C083A"/>
    <w:rsid w:val="002C3613"/>
    <w:rsid w:val="002C41DE"/>
    <w:rsid w:val="002C57D2"/>
    <w:rsid w:val="002D29C5"/>
    <w:rsid w:val="002D3BB7"/>
    <w:rsid w:val="002E0D56"/>
    <w:rsid w:val="002E16DC"/>
    <w:rsid w:val="002E3A34"/>
    <w:rsid w:val="002E51E8"/>
    <w:rsid w:val="002E64B3"/>
    <w:rsid w:val="002E670E"/>
    <w:rsid w:val="002E7167"/>
    <w:rsid w:val="002F0CED"/>
    <w:rsid w:val="002F1202"/>
    <w:rsid w:val="002F54BE"/>
    <w:rsid w:val="002F5BDA"/>
    <w:rsid w:val="002F5BF6"/>
    <w:rsid w:val="00305BB9"/>
    <w:rsid w:val="003129D5"/>
    <w:rsid w:val="00313214"/>
    <w:rsid w:val="00315186"/>
    <w:rsid w:val="00315BE5"/>
    <w:rsid w:val="0031685C"/>
    <w:rsid w:val="00316B29"/>
    <w:rsid w:val="00325CD3"/>
    <w:rsid w:val="00326045"/>
    <w:rsid w:val="003308BB"/>
    <w:rsid w:val="0033343E"/>
    <w:rsid w:val="00333B4D"/>
    <w:rsid w:val="003436F9"/>
    <w:rsid w:val="00347526"/>
    <w:rsid w:val="003512C2"/>
    <w:rsid w:val="00352544"/>
    <w:rsid w:val="003550A6"/>
    <w:rsid w:val="00357DD5"/>
    <w:rsid w:val="00364EE5"/>
    <w:rsid w:val="00367784"/>
    <w:rsid w:val="003677A9"/>
    <w:rsid w:val="0037017C"/>
    <w:rsid w:val="00371C3D"/>
    <w:rsid w:val="00371FB6"/>
    <w:rsid w:val="00373352"/>
    <w:rsid w:val="0037372F"/>
    <w:rsid w:val="0037637D"/>
    <w:rsid w:val="003763C1"/>
    <w:rsid w:val="00376BBE"/>
    <w:rsid w:val="00380816"/>
    <w:rsid w:val="00380A64"/>
    <w:rsid w:val="00383700"/>
    <w:rsid w:val="003918E3"/>
    <w:rsid w:val="0039224F"/>
    <w:rsid w:val="0039320C"/>
    <w:rsid w:val="0039685B"/>
    <w:rsid w:val="00396E32"/>
    <w:rsid w:val="00397164"/>
    <w:rsid w:val="00397805"/>
    <w:rsid w:val="003A43A4"/>
    <w:rsid w:val="003A4A4F"/>
    <w:rsid w:val="003A7E18"/>
    <w:rsid w:val="003B07CD"/>
    <w:rsid w:val="003B49C0"/>
    <w:rsid w:val="003B5707"/>
    <w:rsid w:val="003C27B4"/>
    <w:rsid w:val="003C46B3"/>
    <w:rsid w:val="003C4C86"/>
    <w:rsid w:val="003C6258"/>
    <w:rsid w:val="003D44D2"/>
    <w:rsid w:val="003D5CEF"/>
    <w:rsid w:val="003D6ACF"/>
    <w:rsid w:val="003E2904"/>
    <w:rsid w:val="003E53F9"/>
    <w:rsid w:val="003E5CA6"/>
    <w:rsid w:val="003E69E2"/>
    <w:rsid w:val="003F1762"/>
    <w:rsid w:val="003F2F8B"/>
    <w:rsid w:val="003F35B5"/>
    <w:rsid w:val="003F3A98"/>
    <w:rsid w:val="00401927"/>
    <w:rsid w:val="0040778C"/>
    <w:rsid w:val="0041027F"/>
    <w:rsid w:val="00412475"/>
    <w:rsid w:val="00415945"/>
    <w:rsid w:val="00422687"/>
    <w:rsid w:val="00423789"/>
    <w:rsid w:val="004319A7"/>
    <w:rsid w:val="004333F9"/>
    <w:rsid w:val="00434C50"/>
    <w:rsid w:val="00437BC2"/>
    <w:rsid w:val="00437E1E"/>
    <w:rsid w:val="00440F43"/>
    <w:rsid w:val="00441B6F"/>
    <w:rsid w:val="004439B7"/>
    <w:rsid w:val="00445BFA"/>
    <w:rsid w:val="00446221"/>
    <w:rsid w:val="004477A5"/>
    <w:rsid w:val="00450E62"/>
    <w:rsid w:val="004539DB"/>
    <w:rsid w:val="004569F1"/>
    <w:rsid w:val="00471A80"/>
    <w:rsid w:val="00474AD4"/>
    <w:rsid w:val="004752B7"/>
    <w:rsid w:val="00475725"/>
    <w:rsid w:val="00477221"/>
    <w:rsid w:val="004778E8"/>
    <w:rsid w:val="00481086"/>
    <w:rsid w:val="00481394"/>
    <w:rsid w:val="00484663"/>
    <w:rsid w:val="00485C1F"/>
    <w:rsid w:val="0049034B"/>
    <w:rsid w:val="00496CD7"/>
    <w:rsid w:val="004A1EA1"/>
    <w:rsid w:val="004A60F6"/>
    <w:rsid w:val="004B0534"/>
    <w:rsid w:val="004B0789"/>
    <w:rsid w:val="004B1F96"/>
    <w:rsid w:val="004B2C79"/>
    <w:rsid w:val="004B4A89"/>
    <w:rsid w:val="004C573A"/>
    <w:rsid w:val="004D305E"/>
    <w:rsid w:val="004D4277"/>
    <w:rsid w:val="004E6EE9"/>
    <w:rsid w:val="004F5130"/>
    <w:rsid w:val="004F518E"/>
    <w:rsid w:val="004F6BA8"/>
    <w:rsid w:val="00502516"/>
    <w:rsid w:val="00504681"/>
    <w:rsid w:val="00505F06"/>
    <w:rsid w:val="00506828"/>
    <w:rsid w:val="00511C8A"/>
    <w:rsid w:val="0051348D"/>
    <w:rsid w:val="005142B9"/>
    <w:rsid w:val="00516E1A"/>
    <w:rsid w:val="00525649"/>
    <w:rsid w:val="005256D7"/>
    <w:rsid w:val="00525A70"/>
    <w:rsid w:val="00527083"/>
    <w:rsid w:val="0053056E"/>
    <w:rsid w:val="00532579"/>
    <w:rsid w:val="00550590"/>
    <w:rsid w:val="00551E35"/>
    <w:rsid w:val="00554FDA"/>
    <w:rsid w:val="005567DF"/>
    <w:rsid w:val="0056385C"/>
    <w:rsid w:val="00563DB6"/>
    <w:rsid w:val="00571FA9"/>
    <w:rsid w:val="00573910"/>
    <w:rsid w:val="00581F00"/>
    <w:rsid w:val="005832C8"/>
    <w:rsid w:val="00585DF8"/>
    <w:rsid w:val="00590921"/>
    <w:rsid w:val="00591E3C"/>
    <w:rsid w:val="005A53B9"/>
    <w:rsid w:val="005A6712"/>
    <w:rsid w:val="005A6910"/>
    <w:rsid w:val="005C7114"/>
    <w:rsid w:val="005C784C"/>
    <w:rsid w:val="005D09D3"/>
    <w:rsid w:val="005D17F6"/>
    <w:rsid w:val="005D1A3B"/>
    <w:rsid w:val="005D3A4A"/>
    <w:rsid w:val="005E5539"/>
    <w:rsid w:val="005E73A0"/>
    <w:rsid w:val="005F0280"/>
    <w:rsid w:val="005F7F72"/>
    <w:rsid w:val="00600D00"/>
    <w:rsid w:val="00602BF5"/>
    <w:rsid w:val="00606C56"/>
    <w:rsid w:val="00611669"/>
    <w:rsid w:val="00615D8E"/>
    <w:rsid w:val="00617FDD"/>
    <w:rsid w:val="00621B7F"/>
    <w:rsid w:val="00623FBE"/>
    <w:rsid w:val="00625FBA"/>
    <w:rsid w:val="00626C12"/>
    <w:rsid w:val="006277A1"/>
    <w:rsid w:val="00631A02"/>
    <w:rsid w:val="00633614"/>
    <w:rsid w:val="00633A94"/>
    <w:rsid w:val="00633F68"/>
    <w:rsid w:val="006362DD"/>
    <w:rsid w:val="00636EB2"/>
    <w:rsid w:val="006375B8"/>
    <w:rsid w:val="00637B65"/>
    <w:rsid w:val="0064585A"/>
    <w:rsid w:val="00646AC3"/>
    <w:rsid w:val="00650B54"/>
    <w:rsid w:val="00651B2D"/>
    <w:rsid w:val="00655F5A"/>
    <w:rsid w:val="00656CC9"/>
    <w:rsid w:val="006642B8"/>
    <w:rsid w:val="0066510A"/>
    <w:rsid w:val="00673F9F"/>
    <w:rsid w:val="00674495"/>
    <w:rsid w:val="006759F2"/>
    <w:rsid w:val="006772A1"/>
    <w:rsid w:val="0068424F"/>
    <w:rsid w:val="00686953"/>
    <w:rsid w:val="00687DEA"/>
    <w:rsid w:val="00687E67"/>
    <w:rsid w:val="00690E09"/>
    <w:rsid w:val="00693D99"/>
    <w:rsid w:val="00694E2A"/>
    <w:rsid w:val="006967F7"/>
    <w:rsid w:val="0069762C"/>
    <w:rsid w:val="006A250C"/>
    <w:rsid w:val="006A48C2"/>
    <w:rsid w:val="006B07BB"/>
    <w:rsid w:val="006B0AE8"/>
    <w:rsid w:val="006B21D3"/>
    <w:rsid w:val="006B4292"/>
    <w:rsid w:val="006B57D0"/>
    <w:rsid w:val="006B60F0"/>
    <w:rsid w:val="006C11E0"/>
    <w:rsid w:val="006C16A7"/>
    <w:rsid w:val="006C1B9F"/>
    <w:rsid w:val="006C2424"/>
    <w:rsid w:val="006D17B7"/>
    <w:rsid w:val="006D30FF"/>
    <w:rsid w:val="006D6940"/>
    <w:rsid w:val="006E2B87"/>
    <w:rsid w:val="006E597D"/>
    <w:rsid w:val="006F11EC"/>
    <w:rsid w:val="006F1764"/>
    <w:rsid w:val="006F2900"/>
    <w:rsid w:val="006F2C87"/>
    <w:rsid w:val="006F4337"/>
    <w:rsid w:val="006F5844"/>
    <w:rsid w:val="00700313"/>
    <w:rsid w:val="0070082C"/>
    <w:rsid w:val="00700A6B"/>
    <w:rsid w:val="00700F28"/>
    <w:rsid w:val="0070144F"/>
    <w:rsid w:val="007050B9"/>
    <w:rsid w:val="007062A8"/>
    <w:rsid w:val="0070714F"/>
    <w:rsid w:val="00710B79"/>
    <w:rsid w:val="00710C09"/>
    <w:rsid w:val="007114FD"/>
    <w:rsid w:val="007143FA"/>
    <w:rsid w:val="00716002"/>
    <w:rsid w:val="00717DE5"/>
    <w:rsid w:val="00727F1C"/>
    <w:rsid w:val="00735C88"/>
    <w:rsid w:val="007369E6"/>
    <w:rsid w:val="007428DD"/>
    <w:rsid w:val="00742C2E"/>
    <w:rsid w:val="00746E59"/>
    <w:rsid w:val="00746EC6"/>
    <w:rsid w:val="007500DE"/>
    <w:rsid w:val="00752809"/>
    <w:rsid w:val="00754040"/>
    <w:rsid w:val="00754C9A"/>
    <w:rsid w:val="0075599A"/>
    <w:rsid w:val="007560DE"/>
    <w:rsid w:val="00756D48"/>
    <w:rsid w:val="00760B78"/>
    <w:rsid w:val="00761D52"/>
    <w:rsid w:val="00763C40"/>
    <w:rsid w:val="00766AEB"/>
    <w:rsid w:val="007726BD"/>
    <w:rsid w:val="00773151"/>
    <w:rsid w:val="00773E9C"/>
    <w:rsid w:val="0077749E"/>
    <w:rsid w:val="00782D5F"/>
    <w:rsid w:val="00783D7F"/>
    <w:rsid w:val="007843ED"/>
    <w:rsid w:val="00787A98"/>
    <w:rsid w:val="00790495"/>
    <w:rsid w:val="00790ADA"/>
    <w:rsid w:val="007916AA"/>
    <w:rsid w:val="0079453D"/>
    <w:rsid w:val="007965B4"/>
    <w:rsid w:val="007A360F"/>
    <w:rsid w:val="007A50AE"/>
    <w:rsid w:val="007B2FBC"/>
    <w:rsid w:val="007B4EAB"/>
    <w:rsid w:val="007B67C1"/>
    <w:rsid w:val="007C2687"/>
    <w:rsid w:val="007D2288"/>
    <w:rsid w:val="007D2817"/>
    <w:rsid w:val="007D35B4"/>
    <w:rsid w:val="007D5A72"/>
    <w:rsid w:val="007D7DA1"/>
    <w:rsid w:val="007E088F"/>
    <w:rsid w:val="007E65C3"/>
    <w:rsid w:val="007F486D"/>
    <w:rsid w:val="007F7B32"/>
    <w:rsid w:val="008005E7"/>
    <w:rsid w:val="008030DD"/>
    <w:rsid w:val="00804BC2"/>
    <w:rsid w:val="00806B09"/>
    <w:rsid w:val="00811E87"/>
    <w:rsid w:val="0081431A"/>
    <w:rsid w:val="008202CE"/>
    <w:rsid w:val="00822595"/>
    <w:rsid w:val="00826BEB"/>
    <w:rsid w:val="0083216F"/>
    <w:rsid w:val="00840169"/>
    <w:rsid w:val="00845281"/>
    <w:rsid w:val="00845936"/>
    <w:rsid w:val="00845EF6"/>
    <w:rsid w:val="008461F7"/>
    <w:rsid w:val="00852720"/>
    <w:rsid w:val="00856701"/>
    <w:rsid w:val="00860000"/>
    <w:rsid w:val="0086104D"/>
    <w:rsid w:val="00863023"/>
    <w:rsid w:val="00863BD3"/>
    <w:rsid w:val="00863C2A"/>
    <w:rsid w:val="008641ED"/>
    <w:rsid w:val="00864302"/>
    <w:rsid w:val="00866D66"/>
    <w:rsid w:val="008671C6"/>
    <w:rsid w:val="00867957"/>
    <w:rsid w:val="00872B97"/>
    <w:rsid w:val="00875803"/>
    <w:rsid w:val="00875DB7"/>
    <w:rsid w:val="00877622"/>
    <w:rsid w:val="0088130B"/>
    <w:rsid w:val="00890496"/>
    <w:rsid w:val="008B073B"/>
    <w:rsid w:val="008B1720"/>
    <w:rsid w:val="008B3DEA"/>
    <w:rsid w:val="008B459E"/>
    <w:rsid w:val="008B611D"/>
    <w:rsid w:val="008C25E5"/>
    <w:rsid w:val="008C796B"/>
    <w:rsid w:val="008D3332"/>
    <w:rsid w:val="008D3A95"/>
    <w:rsid w:val="008D5434"/>
    <w:rsid w:val="008D5A18"/>
    <w:rsid w:val="008D62DA"/>
    <w:rsid w:val="008E13AE"/>
    <w:rsid w:val="008E1506"/>
    <w:rsid w:val="008E2EFB"/>
    <w:rsid w:val="008E3518"/>
    <w:rsid w:val="008E3BF8"/>
    <w:rsid w:val="008E710C"/>
    <w:rsid w:val="008E77BB"/>
    <w:rsid w:val="008F397D"/>
    <w:rsid w:val="008F4934"/>
    <w:rsid w:val="008F69D6"/>
    <w:rsid w:val="008F6CC8"/>
    <w:rsid w:val="009000EB"/>
    <w:rsid w:val="00902823"/>
    <w:rsid w:val="00903B87"/>
    <w:rsid w:val="00907512"/>
    <w:rsid w:val="00913D20"/>
    <w:rsid w:val="00915CA6"/>
    <w:rsid w:val="00916588"/>
    <w:rsid w:val="00917B2F"/>
    <w:rsid w:val="00925D1B"/>
    <w:rsid w:val="00927834"/>
    <w:rsid w:val="00930ADE"/>
    <w:rsid w:val="00934147"/>
    <w:rsid w:val="009372F6"/>
    <w:rsid w:val="00941915"/>
    <w:rsid w:val="0094686E"/>
    <w:rsid w:val="009478B1"/>
    <w:rsid w:val="009500A6"/>
    <w:rsid w:val="00951B0A"/>
    <w:rsid w:val="00957C18"/>
    <w:rsid w:val="009659BA"/>
    <w:rsid w:val="0097028B"/>
    <w:rsid w:val="00972884"/>
    <w:rsid w:val="009732EE"/>
    <w:rsid w:val="00974328"/>
    <w:rsid w:val="009822A8"/>
    <w:rsid w:val="00982725"/>
    <w:rsid w:val="00983040"/>
    <w:rsid w:val="009831AE"/>
    <w:rsid w:val="0099328F"/>
    <w:rsid w:val="00996C09"/>
    <w:rsid w:val="009A7760"/>
    <w:rsid w:val="009B3FB9"/>
    <w:rsid w:val="009B5788"/>
    <w:rsid w:val="009C2465"/>
    <w:rsid w:val="009C4DAF"/>
    <w:rsid w:val="009C5302"/>
    <w:rsid w:val="009D35A0"/>
    <w:rsid w:val="009D5C14"/>
    <w:rsid w:val="009D735E"/>
    <w:rsid w:val="009D7EB7"/>
    <w:rsid w:val="009E048A"/>
    <w:rsid w:val="009E08E9"/>
    <w:rsid w:val="009E1AA1"/>
    <w:rsid w:val="009E3DB9"/>
    <w:rsid w:val="009E4E53"/>
    <w:rsid w:val="009E6E35"/>
    <w:rsid w:val="009F0662"/>
    <w:rsid w:val="009F0EDA"/>
    <w:rsid w:val="009F128B"/>
    <w:rsid w:val="009F1523"/>
    <w:rsid w:val="009F4F77"/>
    <w:rsid w:val="00A018AB"/>
    <w:rsid w:val="00A02466"/>
    <w:rsid w:val="00A036EB"/>
    <w:rsid w:val="00A03B96"/>
    <w:rsid w:val="00A04FF2"/>
    <w:rsid w:val="00A05B19"/>
    <w:rsid w:val="00A1134E"/>
    <w:rsid w:val="00A11D26"/>
    <w:rsid w:val="00A131E1"/>
    <w:rsid w:val="00A16187"/>
    <w:rsid w:val="00A206A9"/>
    <w:rsid w:val="00A24E7E"/>
    <w:rsid w:val="00A258C3"/>
    <w:rsid w:val="00A320A4"/>
    <w:rsid w:val="00A347C0"/>
    <w:rsid w:val="00A47D52"/>
    <w:rsid w:val="00A51431"/>
    <w:rsid w:val="00A539AD"/>
    <w:rsid w:val="00A5743C"/>
    <w:rsid w:val="00A62261"/>
    <w:rsid w:val="00A63C67"/>
    <w:rsid w:val="00A6543D"/>
    <w:rsid w:val="00A71CFB"/>
    <w:rsid w:val="00A72288"/>
    <w:rsid w:val="00A779E8"/>
    <w:rsid w:val="00A82BEA"/>
    <w:rsid w:val="00A90296"/>
    <w:rsid w:val="00A93FE5"/>
    <w:rsid w:val="00A94063"/>
    <w:rsid w:val="00A94382"/>
    <w:rsid w:val="00A96093"/>
    <w:rsid w:val="00A9667F"/>
    <w:rsid w:val="00AA1412"/>
    <w:rsid w:val="00AA211D"/>
    <w:rsid w:val="00AA3072"/>
    <w:rsid w:val="00AA6219"/>
    <w:rsid w:val="00AA74E0"/>
    <w:rsid w:val="00AA7C49"/>
    <w:rsid w:val="00AB02FF"/>
    <w:rsid w:val="00AB3533"/>
    <w:rsid w:val="00AB703F"/>
    <w:rsid w:val="00AC66D6"/>
    <w:rsid w:val="00AC6BB8"/>
    <w:rsid w:val="00AD69DA"/>
    <w:rsid w:val="00AE008F"/>
    <w:rsid w:val="00AE0726"/>
    <w:rsid w:val="00AE1535"/>
    <w:rsid w:val="00AE5D78"/>
    <w:rsid w:val="00AE7C4A"/>
    <w:rsid w:val="00AF0C02"/>
    <w:rsid w:val="00AF3003"/>
    <w:rsid w:val="00AF42B6"/>
    <w:rsid w:val="00B017BD"/>
    <w:rsid w:val="00B01FCD"/>
    <w:rsid w:val="00B117A6"/>
    <w:rsid w:val="00B1477A"/>
    <w:rsid w:val="00B152FE"/>
    <w:rsid w:val="00B1776C"/>
    <w:rsid w:val="00B200E2"/>
    <w:rsid w:val="00B20DCB"/>
    <w:rsid w:val="00B21200"/>
    <w:rsid w:val="00B2723D"/>
    <w:rsid w:val="00B27E71"/>
    <w:rsid w:val="00B34FC1"/>
    <w:rsid w:val="00B36238"/>
    <w:rsid w:val="00B40156"/>
    <w:rsid w:val="00B52583"/>
    <w:rsid w:val="00B52896"/>
    <w:rsid w:val="00B54B6C"/>
    <w:rsid w:val="00B5579E"/>
    <w:rsid w:val="00B57348"/>
    <w:rsid w:val="00B60F42"/>
    <w:rsid w:val="00B6275F"/>
    <w:rsid w:val="00B654F3"/>
    <w:rsid w:val="00B6657C"/>
    <w:rsid w:val="00B73E79"/>
    <w:rsid w:val="00B80534"/>
    <w:rsid w:val="00B82997"/>
    <w:rsid w:val="00B921D1"/>
    <w:rsid w:val="00B92608"/>
    <w:rsid w:val="00B93D85"/>
    <w:rsid w:val="00B95236"/>
    <w:rsid w:val="00B956DA"/>
    <w:rsid w:val="00B96BD9"/>
    <w:rsid w:val="00BA0A21"/>
    <w:rsid w:val="00BA1B01"/>
    <w:rsid w:val="00BA2641"/>
    <w:rsid w:val="00BA3AFA"/>
    <w:rsid w:val="00BA6952"/>
    <w:rsid w:val="00BA6B92"/>
    <w:rsid w:val="00BB37AA"/>
    <w:rsid w:val="00BB7231"/>
    <w:rsid w:val="00BC2037"/>
    <w:rsid w:val="00BC45AB"/>
    <w:rsid w:val="00BC53A0"/>
    <w:rsid w:val="00BC7745"/>
    <w:rsid w:val="00BD353F"/>
    <w:rsid w:val="00BD3F2B"/>
    <w:rsid w:val="00BE4FEB"/>
    <w:rsid w:val="00BE62AD"/>
    <w:rsid w:val="00BE7171"/>
    <w:rsid w:val="00BF121F"/>
    <w:rsid w:val="00BF1F80"/>
    <w:rsid w:val="00BF5E95"/>
    <w:rsid w:val="00C01C47"/>
    <w:rsid w:val="00C02924"/>
    <w:rsid w:val="00C03AC8"/>
    <w:rsid w:val="00C0500F"/>
    <w:rsid w:val="00C05B7A"/>
    <w:rsid w:val="00C079A5"/>
    <w:rsid w:val="00C166EF"/>
    <w:rsid w:val="00C17EB0"/>
    <w:rsid w:val="00C2460D"/>
    <w:rsid w:val="00C249D6"/>
    <w:rsid w:val="00C27F5F"/>
    <w:rsid w:val="00C30A0F"/>
    <w:rsid w:val="00C30BDB"/>
    <w:rsid w:val="00C33AE7"/>
    <w:rsid w:val="00C37E61"/>
    <w:rsid w:val="00C47D36"/>
    <w:rsid w:val="00C50823"/>
    <w:rsid w:val="00C50920"/>
    <w:rsid w:val="00C667EC"/>
    <w:rsid w:val="00C70F1B"/>
    <w:rsid w:val="00C71A47"/>
    <w:rsid w:val="00C7464C"/>
    <w:rsid w:val="00C840C5"/>
    <w:rsid w:val="00C85588"/>
    <w:rsid w:val="00C978D6"/>
    <w:rsid w:val="00CC41C7"/>
    <w:rsid w:val="00CC4E4B"/>
    <w:rsid w:val="00CD170A"/>
    <w:rsid w:val="00CD6755"/>
    <w:rsid w:val="00CD6856"/>
    <w:rsid w:val="00CD6DEA"/>
    <w:rsid w:val="00CE0089"/>
    <w:rsid w:val="00CE3A7E"/>
    <w:rsid w:val="00CE3CD8"/>
    <w:rsid w:val="00CE793C"/>
    <w:rsid w:val="00CF126D"/>
    <w:rsid w:val="00CF193C"/>
    <w:rsid w:val="00CF286C"/>
    <w:rsid w:val="00D00AD1"/>
    <w:rsid w:val="00D011E5"/>
    <w:rsid w:val="00D01B54"/>
    <w:rsid w:val="00D173F1"/>
    <w:rsid w:val="00D25979"/>
    <w:rsid w:val="00D309CE"/>
    <w:rsid w:val="00D3375B"/>
    <w:rsid w:val="00D3461E"/>
    <w:rsid w:val="00D43089"/>
    <w:rsid w:val="00D4665E"/>
    <w:rsid w:val="00D5443E"/>
    <w:rsid w:val="00D5680B"/>
    <w:rsid w:val="00D574E8"/>
    <w:rsid w:val="00D73222"/>
    <w:rsid w:val="00D74176"/>
    <w:rsid w:val="00D74CB0"/>
    <w:rsid w:val="00D803CD"/>
    <w:rsid w:val="00D8295D"/>
    <w:rsid w:val="00D83B39"/>
    <w:rsid w:val="00D926C2"/>
    <w:rsid w:val="00D963D6"/>
    <w:rsid w:val="00DA544B"/>
    <w:rsid w:val="00DA5FB2"/>
    <w:rsid w:val="00DB17E7"/>
    <w:rsid w:val="00DB1A7B"/>
    <w:rsid w:val="00DB343B"/>
    <w:rsid w:val="00DB378D"/>
    <w:rsid w:val="00DB5D5F"/>
    <w:rsid w:val="00DC287E"/>
    <w:rsid w:val="00DC2A65"/>
    <w:rsid w:val="00DC7158"/>
    <w:rsid w:val="00DD0E9D"/>
    <w:rsid w:val="00DD227C"/>
    <w:rsid w:val="00DD3F6D"/>
    <w:rsid w:val="00DD5FCD"/>
    <w:rsid w:val="00DD67BB"/>
    <w:rsid w:val="00DD6978"/>
    <w:rsid w:val="00DE10CC"/>
    <w:rsid w:val="00DE15F0"/>
    <w:rsid w:val="00DE1A10"/>
    <w:rsid w:val="00DE5663"/>
    <w:rsid w:val="00DE5939"/>
    <w:rsid w:val="00DE78AA"/>
    <w:rsid w:val="00DF00C1"/>
    <w:rsid w:val="00E053D0"/>
    <w:rsid w:val="00E13C8C"/>
    <w:rsid w:val="00E15994"/>
    <w:rsid w:val="00E20204"/>
    <w:rsid w:val="00E2450B"/>
    <w:rsid w:val="00E24583"/>
    <w:rsid w:val="00E3114E"/>
    <w:rsid w:val="00E31A70"/>
    <w:rsid w:val="00E33901"/>
    <w:rsid w:val="00E33EB6"/>
    <w:rsid w:val="00E3490E"/>
    <w:rsid w:val="00E35B02"/>
    <w:rsid w:val="00E4050C"/>
    <w:rsid w:val="00E63727"/>
    <w:rsid w:val="00E650C4"/>
    <w:rsid w:val="00E66496"/>
    <w:rsid w:val="00E66B35"/>
    <w:rsid w:val="00E66E10"/>
    <w:rsid w:val="00E7059A"/>
    <w:rsid w:val="00E769F6"/>
    <w:rsid w:val="00E82F36"/>
    <w:rsid w:val="00E8407C"/>
    <w:rsid w:val="00E840FE"/>
    <w:rsid w:val="00E84F3C"/>
    <w:rsid w:val="00E913BA"/>
    <w:rsid w:val="00E93958"/>
    <w:rsid w:val="00E950F9"/>
    <w:rsid w:val="00E96E0A"/>
    <w:rsid w:val="00EA012C"/>
    <w:rsid w:val="00EA311D"/>
    <w:rsid w:val="00EC1D00"/>
    <w:rsid w:val="00EC4F7D"/>
    <w:rsid w:val="00EC6A55"/>
    <w:rsid w:val="00ED0288"/>
    <w:rsid w:val="00ED5CD3"/>
    <w:rsid w:val="00ED7D68"/>
    <w:rsid w:val="00EE52CB"/>
    <w:rsid w:val="00EE6076"/>
    <w:rsid w:val="00EE6942"/>
    <w:rsid w:val="00EF12CC"/>
    <w:rsid w:val="00EF364E"/>
    <w:rsid w:val="00EF581D"/>
    <w:rsid w:val="00EF593C"/>
    <w:rsid w:val="00EF60D3"/>
    <w:rsid w:val="00EF7FD8"/>
    <w:rsid w:val="00F003A7"/>
    <w:rsid w:val="00F020F0"/>
    <w:rsid w:val="00F05B61"/>
    <w:rsid w:val="00F060B0"/>
    <w:rsid w:val="00F06F59"/>
    <w:rsid w:val="00F071CF"/>
    <w:rsid w:val="00F077EF"/>
    <w:rsid w:val="00F12389"/>
    <w:rsid w:val="00F14CFA"/>
    <w:rsid w:val="00F17988"/>
    <w:rsid w:val="00F17A8D"/>
    <w:rsid w:val="00F24750"/>
    <w:rsid w:val="00F24C4F"/>
    <w:rsid w:val="00F309B4"/>
    <w:rsid w:val="00F31F90"/>
    <w:rsid w:val="00F31FC4"/>
    <w:rsid w:val="00F334A3"/>
    <w:rsid w:val="00F425BB"/>
    <w:rsid w:val="00F43E78"/>
    <w:rsid w:val="00F44740"/>
    <w:rsid w:val="00F44B8B"/>
    <w:rsid w:val="00F469F0"/>
    <w:rsid w:val="00F53273"/>
    <w:rsid w:val="00F53DAF"/>
    <w:rsid w:val="00F540AF"/>
    <w:rsid w:val="00F54C64"/>
    <w:rsid w:val="00F65E22"/>
    <w:rsid w:val="00F70141"/>
    <w:rsid w:val="00F72C0C"/>
    <w:rsid w:val="00F72FA1"/>
    <w:rsid w:val="00F7373D"/>
    <w:rsid w:val="00F75061"/>
    <w:rsid w:val="00F755E4"/>
    <w:rsid w:val="00F775BF"/>
    <w:rsid w:val="00F77D02"/>
    <w:rsid w:val="00F844F3"/>
    <w:rsid w:val="00F96DCA"/>
    <w:rsid w:val="00FA5A14"/>
    <w:rsid w:val="00FB3A86"/>
    <w:rsid w:val="00FC263B"/>
    <w:rsid w:val="00FC642F"/>
    <w:rsid w:val="00FD16AB"/>
    <w:rsid w:val="00FD36C8"/>
    <w:rsid w:val="00FE14ED"/>
    <w:rsid w:val="00FE2672"/>
    <w:rsid w:val="00FE5105"/>
    <w:rsid w:val="00FE6753"/>
    <w:rsid w:val="00FF5E86"/>
    <w:rsid w:val="00FF6C4C"/>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4BFC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C4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6713/epra205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63A5-E296-4161-B5D9-232F551C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14</Pages>
  <Words>5446</Words>
  <Characters>31045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65</cp:revision>
  <cp:lastPrinted>1999-07-06T11:00:00Z</cp:lastPrinted>
  <dcterms:created xsi:type="dcterms:W3CDTF">2025-11-01T03:07:00Z</dcterms:created>
  <dcterms:modified xsi:type="dcterms:W3CDTF">2025-11-03T12:38:00Z</dcterms:modified>
</cp:coreProperties>
</file>