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1572" w:rsidRPr="00A21572" w:rsidRDefault="00A21572" w:rsidP="00A21572">
      <w:pPr>
        <w:jc w:val="center"/>
        <w:rPr>
          <w:rFonts w:ascii="Times New Roman" w:hAnsi="Times New Roman" w:cs="Times New Roman"/>
          <w:b/>
          <w:sz w:val="22"/>
          <w:szCs w:val="22"/>
        </w:rPr>
      </w:pPr>
      <w:r w:rsidRPr="00A21572">
        <w:rPr>
          <w:rFonts w:ascii="Times New Roman" w:hAnsi="Times New Roman" w:cs="Times New Roman"/>
          <w:b/>
          <w:sz w:val="22"/>
          <w:szCs w:val="22"/>
        </w:rPr>
        <w:t>Evaluating Interior D</w:t>
      </w:r>
      <w:r>
        <w:rPr>
          <w:rFonts w:ascii="Times New Roman" w:hAnsi="Times New Roman" w:cs="Times New Roman"/>
          <w:b/>
          <w:sz w:val="22"/>
          <w:szCs w:val="22"/>
        </w:rPr>
        <w:t>esign Principles Comprehension a</w:t>
      </w:r>
      <w:r w:rsidRPr="00A21572">
        <w:rPr>
          <w:rFonts w:ascii="Times New Roman" w:hAnsi="Times New Roman" w:cs="Times New Roman"/>
          <w:b/>
          <w:sz w:val="22"/>
          <w:szCs w:val="22"/>
        </w:rPr>
        <w:t>mong Architecture Students: Insights from Ladoke Akintola University of Technology, Nigeria</w:t>
      </w:r>
    </w:p>
    <w:p w:rsidR="009A128D" w:rsidRDefault="009A128D" w:rsidP="009A128D">
      <w:pPr>
        <w:pStyle w:val="BodyText"/>
        <w:spacing w:after="0" w:line="360" w:lineRule="auto"/>
        <w:jc w:val="both"/>
        <w:rPr>
          <w:rFonts w:ascii="Times New Roman" w:hAnsi="Times New Roman"/>
          <w:b/>
          <w:bCs/>
          <w:sz w:val="22"/>
          <w:szCs w:val="22"/>
        </w:rPr>
      </w:pPr>
      <w:r>
        <w:rPr>
          <w:rFonts w:ascii="Times New Roman" w:hAnsi="Times New Roman"/>
          <w:b/>
          <w:bCs/>
          <w:sz w:val="22"/>
          <w:szCs w:val="22"/>
        </w:rPr>
        <w:t>Abstract</w:t>
      </w:r>
    </w:p>
    <w:p w:rsidR="00A21572" w:rsidRPr="00A21572" w:rsidRDefault="00A21572" w:rsidP="00A21572">
      <w:pPr>
        <w:rPr>
          <w:rFonts w:ascii="Times New Roman" w:hAnsi="Times New Roman" w:cs="Times New Roman"/>
          <w:i/>
          <w:sz w:val="24"/>
        </w:rPr>
      </w:pPr>
      <w:r w:rsidRPr="00A21572">
        <w:rPr>
          <w:rFonts w:ascii="Times New Roman" w:hAnsi="Times New Roman" w:cs="Times New Roman"/>
          <w:i/>
          <w:sz w:val="24"/>
        </w:rPr>
        <w:t>Despite the well-documented interdependence between architecture and interior design in scholarly literature, architectural education has not sufficiently integrated interior design principles into its curricula. This study evaluates architecture students’ comprehension of</w:t>
      </w:r>
      <w:r>
        <w:rPr>
          <w:rFonts w:ascii="Times New Roman" w:hAnsi="Times New Roman" w:cs="Times New Roman"/>
          <w:i/>
          <w:sz w:val="24"/>
        </w:rPr>
        <w:t xml:space="preserve"> key interior design principles </w:t>
      </w:r>
      <w:r w:rsidRPr="00A21572">
        <w:rPr>
          <w:rFonts w:ascii="Times New Roman" w:hAnsi="Times New Roman" w:cs="Times New Roman"/>
          <w:i/>
          <w:sz w:val="24"/>
        </w:rPr>
        <w:t>space planning, lighting design, furniture selection, color</w:t>
      </w:r>
      <w:r>
        <w:rPr>
          <w:rFonts w:ascii="Times New Roman" w:hAnsi="Times New Roman" w:cs="Times New Roman"/>
          <w:i/>
          <w:sz w:val="24"/>
        </w:rPr>
        <w:t xml:space="preserve"> theory, and material selection </w:t>
      </w:r>
      <w:r w:rsidRPr="00A21572">
        <w:rPr>
          <w:rFonts w:ascii="Times New Roman" w:hAnsi="Times New Roman" w:cs="Times New Roman"/>
          <w:i/>
          <w:sz w:val="24"/>
        </w:rPr>
        <w:t>at Ladoke Akintola University of Technology (LAUTECH), Nigeria. A quantitative research design was employed using structured questionnaires administered to 175 students across four academic levels (200–500 Levels) in the Department of Architecture. Descriptive and inferential analyses revealed strong proficiency in color theory (M = 4.00) and material selection (M = 3.97), but weaker understanding in lighting design (M = 2.88) and space planning (M = 3.42). These findings echo global trends of curricular imbalance in architectural education. The study emphasizes the need for integrating interior design principles more deeply into architecture programs to promote all-inclusive design thinking and user-centered outcomes. A brief note on limitations acknowledges the study’s institutional focus, suggesting future comparative studies across multiple universities. Overall, the study underscores the importance of curricular reform and interdisciplinary collaboration to enhance architectural education’s responsiveness to human experience and professional realities.</w:t>
      </w:r>
    </w:p>
    <w:p w:rsidR="00A21572" w:rsidRPr="00A21572" w:rsidRDefault="00A21572" w:rsidP="00A21572">
      <w:pPr>
        <w:rPr>
          <w:rFonts w:ascii="Times New Roman" w:hAnsi="Times New Roman" w:cs="Times New Roman"/>
          <w:sz w:val="24"/>
        </w:rPr>
      </w:pPr>
      <w:r w:rsidRPr="00A21572">
        <w:rPr>
          <w:rFonts w:ascii="Times New Roman" w:hAnsi="Times New Roman" w:cs="Times New Roman"/>
          <w:b/>
          <w:sz w:val="24"/>
        </w:rPr>
        <w:t>Keywords:</w:t>
      </w:r>
      <w:r w:rsidRPr="00A21572">
        <w:rPr>
          <w:rFonts w:ascii="Times New Roman" w:hAnsi="Times New Roman" w:cs="Times New Roman"/>
          <w:sz w:val="24"/>
        </w:rPr>
        <w:t xml:space="preserve"> </w:t>
      </w:r>
      <w:r w:rsidRPr="00A21572">
        <w:rPr>
          <w:rFonts w:ascii="Times New Roman" w:hAnsi="Times New Roman" w:cs="Times New Roman"/>
          <w:i/>
          <w:sz w:val="24"/>
        </w:rPr>
        <w:t>Interior Design Education, Interdisciplinary Partnership, Architectural Pedagogy, Curriculum Assessment</w:t>
      </w:r>
    </w:p>
    <w:p w:rsidR="00753ADC" w:rsidRPr="00F82EC2" w:rsidRDefault="009A128D" w:rsidP="00F82EC2">
      <w:pPr>
        <w:spacing w:after="0" w:line="360" w:lineRule="auto"/>
        <w:rPr>
          <w:rFonts w:ascii="Times New Roman" w:hAnsi="Times New Roman" w:cs="Times New Roman"/>
          <w:b/>
          <w:sz w:val="24"/>
        </w:rPr>
      </w:pPr>
      <w:r w:rsidRPr="00F82EC2">
        <w:rPr>
          <w:rFonts w:ascii="Times New Roman" w:hAnsi="Times New Roman" w:cs="Times New Roman"/>
          <w:b/>
          <w:sz w:val="24"/>
        </w:rPr>
        <w:t>1.</w:t>
      </w:r>
      <w:r>
        <w:rPr>
          <w:rFonts w:ascii="Times New Roman" w:hAnsi="Times New Roman" w:cs="Times New Roman"/>
          <w:b/>
          <w:sz w:val="24"/>
        </w:rPr>
        <w:t>0</w:t>
      </w:r>
      <w:r w:rsidRPr="00F82EC2">
        <w:rPr>
          <w:rFonts w:ascii="Times New Roman" w:hAnsi="Times New Roman" w:cs="Times New Roman"/>
          <w:b/>
          <w:sz w:val="24"/>
        </w:rPr>
        <w:t xml:space="preserve"> </w:t>
      </w:r>
      <w:r>
        <w:rPr>
          <w:rFonts w:ascii="Times New Roman" w:hAnsi="Times New Roman" w:cs="Times New Roman"/>
          <w:b/>
          <w:sz w:val="24"/>
        </w:rPr>
        <w:tab/>
      </w:r>
      <w:r w:rsidRPr="00F82EC2">
        <w:rPr>
          <w:rFonts w:ascii="Times New Roman" w:hAnsi="Times New Roman" w:cs="Times New Roman"/>
          <w:b/>
          <w:sz w:val="24"/>
        </w:rPr>
        <w:t>INTRODUCTION</w:t>
      </w:r>
    </w:p>
    <w:p w:rsidR="00753ADC" w:rsidRPr="00F82EC2" w:rsidRDefault="009A128D" w:rsidP="00F82EC2">
      <w:pPr>
        <w:spacing w:after="0" w:line="360" w:lineRule="auto"/>
        <w:rPr>
          <w:rFonts w:ascii="Times New Roman" w:hAnsi="Times New Roman" w:cs="Times New Roman"/>
          <w:sz w:val="24"/>
        </w:rPr>
      </w:pPr>
      <w:r w:rsidRPr="00F82EC2">
        <w:rPr>
          <w:rFonts w:ascii="Times New Roman" w:hAnsi="Times New Roman" w:cs="Times New Roman"/>
          <w:sz w:val="24"/>
        </w:rPr>
        <w:t>The quality of the built environment depends as much on interior spatial performance as on external architectural form: interiors shape movement, comfort, usability and the social life of buildings, and therefore are central to user-</w:t>
      </w:r>
      <w:proofErr w:type="spellStart"/>
      <w:r w:rsidRPr="00F82EC2">
        <w:rPr>
          <w:rFonts w:ascii="Times New Roman" w:hAnsi="Times New Roman" w:cs="Times New Roman"/>
          <w:sz w:val="24"/>
        </w:rPr>
        <w:t>centred</w:t>
      </w:r>
      <w:proofErr w:type="spellEnd"/>
      <w:r w:rsidRPr="00F82EC2">
        <w:rPr>
          <w:rFonts w:ascii="Times New Roman" w:hAnsi="Times New Roman" w:cs="Times New Roman"/>
          <w:sz w:val="24"/>
        </w:rPr>
        <w:t xml:space="preserve"> design outcomes (Grimley &amp; Harris Smith, 2022). Despite this, interior design is frequently </w:t>
      </w:r>
      <w:proofErr w:type="spellStart"/>
      <w:r w:rsidRPr="00F82EC2">
        <w:rPr>
          <w:rFonts w:ascii="Times New Roman" w:hAnsi="Times New Roman" w:cs="Times New Roman"/>
          <w:sz w:val="24"/>
        </w:rPr>
        <w:t>marginalised</w:t>
      </w:r>
      <w:proofErr w:type="spellEnd"/>
      <w:r w:rsidRPr="00F82EC2">
        <w:rPr>
          <w:rFonts w:ascii="Times New Roman" w:hAnsi="Times New Roman" w:cs="Times New Roman"/>
          <w:sz w:val="24"/>
        </w:rPr>
        <w:t xml:space="preserve"> in architectural education and often appears within architecture programmes as an ancillary or elective subject rather than as a core, thoroughly integrated discipline (</w:t>
      </w:r>
      <w:proofErr w:type="spellStart"/>
      <w:r w:rsidRPr="00F82EC2">
        <w:rPr>
          <w:rFonts w:ascii="Times New Roman" w:hAnsi="Times New Roman" w:cs="Times New Roman"/>
          <w:sz w:val="24"/>
        </w:rPr>
        <w:t>Enwerekowe</w:t>
      </w:r>
      <w:proofErr w:type="spellEnd"/>
      <w:r w:rsidRPr="00F82EC2">
        <w:rPr>
          <w:rFonts w:ascii="Times New Roman" w:hAnsi="Times New Roman" w:cs="Times New Roman"/>
          <w:sz w:val="24"/>
        </w:rPr>
        <w:t xml:space="preserve"> </w:t>
      </w:r>
      <w:r w:rsidRPr="00F82EC2">
        <w:rPr>
          <w:rFonts w:ascii="Times New Roman" w:hAnsi="Times New Roman" w:cs="Times New Roman"/>
          <w:i/>
          <w:sz w:val="24"/>
        </w:rPr>
        <w:t>et al.,</w:t>
      </w:r>
      <w:r w:rsidRPr="00F82EC2">
        <w:rPr>
          <w:rFonts w:ascii="Times New Roman" w:hAnsi="Times New Roman" w:cs="Times New Roman"/>
          <w:sz w:val="24"/>
        </w:rPr>
        <w:t xml:space="preserve"> 2023; Akande </w:t>
      </w:r>
      <w:r w:rsidRPr="00F82EC2">
        <w:rPr>
          <w:rFonts w:ascii="Times New Roman" w:hAnsi="Times New Roman" w:cs="Times New Roman"/>
          <w:i/>
          <w:sz w:val="24"/>
        </w:rPr>
        <w:t>et al.,</w:t>
      </w:r>
      <w:r w:rsidRPr="00F82EC2">
        <w:rPr>
          <w:rFonts w:ascii="Times New Roman" w:hAnsi="Times New Roman" w:cs="Times New Roman"/>
          <w:sz w:val="24"/>
        </w:rPr>
        <w:t xml:space="preserve"> 2024). In the Nigerian context, several recent studies point to curricular and physical-environment gaps that limit students’ experiential learning and the capacity of architectural programmes to respond to evolving pedagogical and professional demands (Mba &amp; Okeke, 2024).</w:t>
      </w:r>
    </w:p>
    <w:p w:rsidR="00753ADC" w:rsidRPr="00F82EC2" w:rsidRDefault="009A128D" w:rsidP="00460C29">
      <w:pPr>
        <w:spacing w:after="0" w:line="360" w:lineRule="auto"/>
        <w:rPr>
          <w:rFonts w:ascii="Times New Roman" w:hAnsi="Times New Roman" w:cs="Times New Roman"/>
          <w:sz w:val="24"/>
        </w:rPr>
      </w:pPr>
      <w:r w:rsidRPr="00F82EC2">
        <w:rPr>
          <w:rFonts w:ascii="Times New Roman" w:hAnsi="Times New Roman" w:cs="Times New Roman"/>
          <w:sz w:val="24"/>
        </w:rPr>
        <w:t xml:space="preserve">Fundamental interior design principles commonly listed as balance, proportion/scale, </w:t>
      </w:r>
      <w:r w:rsidRPr="00F82EC2">
        <w:rPr>
          <w:rFonts w:ascii="Times New Roman" w:hAnsi="Times New Roman" w:cs="Times New Roman"/>
          <w:sz w:val="24"/>
        </w:rPr>
        <w:lastRenderedPageBreak/>
        <w:t>rhythm, emphasis, unity/harmony a</w:t>
      </w:r>
      <w:r w:rsidR="00F82EC2">
        <w:rPr>
          <w:rFonts w:ascii="Times New Roman" w:hAnsi="Times New Roman" w:cs="Times New Roman"/>
          <w:sz w:val="24"/>
        </w:rPr>
        <w:t>nd contrast</w:t>
      </w:r>
      <w:r w:rsidRPr="00F82EC2">
        <w:rPr>
          <w:rFonts w:ascii="Times New Roman" w:hAnsi="Times New Roman" w:cs="Times New Roman"/>
          <w:sz w:val="24"/>
        </w:rPr>
        <w:t xml:space="preserve"> provide the conceptual tools designers use to produce interior spaces that are both functional and legible to users (Grimley &amp; Harris Smith, 2022). However, empirical work specifically assessing architecture students’ understanding and application of these principles is limited. International studies of interior-studio pedagogy (including adaptations during and after the pandemic) indicate that learning conditions (studio format, critique culture, blended teaching methods) materially affect student engagement with core design concepts (</w:t>
      </w:r>
      <w:proofErr w:type="spellStart"/>
      <w:r w:rsidRPr="00F82EC2">
        <w:rPr>
          <w:rFonts w:ascii="Times New Roman" w:hAnsi="Times New Roman" w:cs="Times New Roman"/>
          <w:sz w:val="24"/>
        </w:rPr>
        <w:t>Özsırkıntı</w:t>
      </w:r>
      <w:proofErr w:type="spellEnd"/>
      <w:r w:rsidRPr="00F82EC2">
        <w:rPr>
          <w:rFonts w:ascii="Times New Roman" w:hAnsi="Times New Roman" w:cs="Times New Roman"/>
          <w:sz w:val="24"/>
        </w:rPr>
        <w:t xml:space="preserve"> </w:t>
      </w:r>
      <w:proofErr w:type="spellStart"/>
      <w:r w:rsidRPr="00F82EC2">
        <w:rPr>
          <w:rFonts w:ascii="Times New Roman" w:hAnsi="Times New Roman" w:cs="Times New Roman"/>
          <w:sz w:val="24"/>
        </w:rPr>
        <w:t>Kasap</w:t>
      </w:r>
      <w:proofErr w:type="spellEnd"/>
      <w:r w:rsidRPr="00F82EC2">
        <w:rPr>
          <w:rFonts w:ascii="Times New Roman" w:hAnsi="Times New Roman" w:cs="Times New Roman"/>
          <w:sz w:val="24"/>
        </w:rPr>
        <w:t xml:space="preserve"> </w:t>
      </w:r>
      <w:r w:rsidRPr="00F82EC2">
        <w:rPr>
          <w:rFonts w:ascii="Times New Roman" w:hAnsi="Times New Roman" w:cs="Times New Roman"/>
          <w:i/>
          <w:sz w:val="24"/>
        </w:rPr>
        <w:t>et al.,</w:t>
      </w:r>
      <w:r w:rsidRPr="00F82EC2">
        <w:rPr>
          <w:rFonts w:ascii="Times New Roman" w:hAnsi="Times New Roman" w:cs="Times New Roman"/>
          <w:sz w:val="24"/>
        </w:rPr>
        <w:t xml:space="preserve"> 2022; Assali </w:t>
      </w:r>
      <w:r w:rsidRPr="00F82EC2">
        <w:rPr>
          <w:rFonts w:ascii="Times New Roman" w:hAnsi="Times New Roman" w:cs="Times New Roman"/>
          <w:i/>
          <w:sz w:val="24"/>
        </w:rPr>
        <w:t>et al</w:t>
      </w:r>
      <w:r w:rsidRPr="00F82EC2">
        <w:rPr>
          <w:rFonts w:ascii="Times New Roman" w:hAnsi="Times New Roman" w:cs="Times New Roman"/>
          <w:sz w:val="24"/>
        </w:rPr>
        <w:t xml:space="preserve">., 2023). Translating those findings to Nigerian architecture schools suggests that limited curricular emphasis, constrained studio facilities and pedagogical practices may impede students’ conceptual grasp of interior design principles and their consistent application in design work (Akande </w:t>
      </w:r>
      <w:r w:rsidR="008F7780">
        <w:rPr>
          <w:rFonts w:ascii="Times New Roman" w:hAnsi="Times New Roman" w:cs="Times New Roman"/>
          <w:i/>
          <w:sz w:val="24"/>
        </w:rPr>
        <w:t xml:space="preserve">  </w:t>
      </w:r>
      <w:r w:rsidRPr="00F82EC2">
        <w:rPr>
          <w:rFonts w:ascii="Times New Roman" w:hAnsi="Times New Roman" w:cs="Times New Roman"/>
          <w:sz w:val="24"/>
        </w:rPr>
        <w:t xml:space="preserve"> 2024).</w:t>
      </w:r>
    </w:p>
    <w:p w:rsidR="00753ADC" w:rsidRPr="00F82EC2" w:rsidRDefault="009A128D" w:rsidP="00F82EC2">
      <w:pPr>
        <w:spacing w:line="360" w:lineRule="auto"/>
        <w:rPr>
          <w:rFonts w:ascii="Times New Roman" w:hAnsi="Times New Roman" w:cs="Times New Roman"/>
          <w:sz w:val="24"/>
        </w:rPr>
      </w:pPr>
      <w:r w:rsidRPr="00F82EC2">
        <w:rPr>
          <w:rFonts w:ascii="Times New Roman" w:hAnsi="Times New Roman" w:cs="Times New Roman"/>
          <w:sz w:val="24"/>
        </w:rPr>
        <w:t xml:space="preserve">This study is grounded in constructivist learning theory, which </w:t>
      </w:r>
      <w:proofErr w:type="spellStart"/>
      <w:r w:rsidRPr="00F82EC2">
        <w:rPr>
          <w:rFonts w:ascii="Times New Roman" w:hAnsi="Times New Roman" w:cs="Times New Roman"/>
          <w:sz w:val="24"/>
        </w:rPr>
        <w:t>emphasises</w:t>
      </w:r>
      <w:proofErr w:type="spellEnd"/>
      <w:r w:rsidRPr="00F82EC2">
        <w:rPr>
          <w:rFonts w:ascii="Times New Roman" w:hAnsi="Times New Roman" w:cs="Times New Roman"/>
          <w:sz w:val="24"/>
        </w:rPr>
        <w:t xml:space="preserve"> active engagement, social interaction and iterative reflection as central to knowledge construction (Piaget, 1972; Vygotsky, 1978). Applied to design education, constructivism predicts that students who experience hands-on, reflective, studio-based engagement with interior principles will develop stronger problem-solving skills and more user-</w:t>
      </w:r>
      <w:proofErr w:type="spellStart"/>
      <w:r w:rsidRPr="00F82EC2">
        <w:rPr>
          <w:rFonts w:ascii="Times New Roman" w:hAnsi="Times New Roman" w:cs="Times New Roman"/>
          <w:sz w:val="24"/>
        </w:rPr>
        <w:t>centred</w:t>
      </w:r>
      <w:proofErr w:type="spellEnd"/>
      <w:r w:rsidRPr="00F82EC2">
        <w:rPr>
          <w:rFonts w:ascii="Times New Roman" w:hAnsi="Times New Roman" w:cs="Times New Roman"/>
          <w:sz w:val="24"/>
        </w:rPr>
        <w:t xml:space="preserve"> design reasoning. Guided by this perspective, the present research assesses the extent to which architecture students at Ladoke Akintola University of Technology (LAUTECH) understand and apply fundamental interior design principles, identifies which principles show the largest comprehension gaps, and proposes curricular/pedagogical interventions to address those gaps.</w:t>
      </w:r>
    </w:p>
    <w:p w:rsidR="00827464" w:rsidRDefault="009A128D" w:rsidP="00F82EC2">
      <w:pPr>
        <w:spacing w:line="360" w:lineRule="auto"/>
        <w:rPr>
          <w:rFonts w:ascii="Times New Roman" w:hAnsi="Times New Roman" w:cs="Times New Roman"/>
          <w:sz w:val="24"/>
        </w:rPr>
      </w:pPr>
      <w:r w:rsidRPr="00F82EC2">
        <w:rPr>
          <w:rFonts w:ascii="Times New Roman" w:hAnsi="Times New Roman" w:cs="Times New Roman"/>
          <w:sz w:val="24"/>
        </w:rPr>
        <w:t xml:space="preserve">The research addresses three specific questions: (1) To what extent are LAUTECH architecture students proficient in identifying and applying the key interior design principles (balance, proportion/scale, rhythm, emphasis, unity/harmony) in their studio work? (2) Which principles exhibit the most significant shortcomings in comprehension or application among these students? (3) What targeted curricular or studio-pedagogical interventions could strengthen students’ mastery and integration of interior design principles within architectural training? By answering these questions, the study </w:t>
      </w:r>
      <w:r w:rsidRPr="00F82EC2">
        <w:rPr>
          <w:rFonts w:ascii="Times New Roman" w:hAnsi="Times New Roman" w:cs="Times New Roman"/>
          <w:sz w:val="24"/>
        </w:rPr>
        <w:lastRenderedPageBreak/>
        <w:t xml:space="preserve">contributes empirical evidence to debates on interdisciplinary design education and offers actionable recommendations for curriculum reform in Nigerian architecture </w:t>
      </w:r>
      <w:proofErr w:type="spellStart"/>
      <w:r w:rsidRPr="00F82EC2">
        <w:rPr>
          <w:rFonts w:ascii="Times New Roman" w:hAnsi="Times New Roman" w:cs="Times New Roman"/>
          <w:sz w:val="24"/>
        </w:rPr>
        <w:t>programmes</w:t>
      </w:r>
      <w:proofErr w:type="spellEnd"/>
      <w:r w:rsidRPr="00F82EC2">
        <w:rPr>
          <w:rFonts w:ascii="Times New Roman" w:hAnsi="Times New Roman" w:cs="Times New Roman"/>
          <w:sz w:val="24"/>
        </w:rPr>
        <w:t xml:space="preserve"> (</w:t>
      </w:r>
      <w:proofErr w:type="spellStart"/>
      <w:r w:rsidRPr="00F82EC2">
        <w:rPr>
          <w:rFonts w:ascii="Times New Roman" w:hAnsi="Times New Roman" w:cs="Times New Roman"/>
          <w:sz w:val="24"/>
        </w:rPr>
        <w:t>Enwerekowe</w:t>
      </w:r>
      <w:proofErr w:type="spellEnd"/>
      <w:r w:rsidRPr="00F82EC2">
        <w:rPr>
          <w:rFonts w:ascii="Times New Roman" w:hAnsi="Times New Roman" w:cs="Times New Roman"/>
          <w:sz w:val="24"/>
        </w:rPr>
        <w:t xml:space="preserve"> et al., 2023; Akande et al., 2024</w:t>
      </w:r>
      <w:r w:rsidR="00827464">
        <w:rPr>
          <w:rFonts w:ascii="Times New Roman" w:hAnsi="Times New Roman" w:cs="Times New Roman"/>
          <w:sz w:val="24"/>
        </w:rPr>
        <w:t>)</w:t>
      </w:r>
    </w:p>
    <w:p w:rsidR="00AB2DAF" w:rsidRDefault="00AB2DAF" w:rsidP="00AB2DAF">
      <w:pPr>
        <w:widowControl/>
        <w:autoSpaceDE w:val="0"/>
        <w:autoSpaceDN w:val="0"/>
        <w:adjustRightInd w:val="0"/>
        <w:spacing w:after="0" w:line="240" w:lineRule="auto"/>
        <w:jc w:val="left"/>
        <w:rPr>
          <w:rFonts w:ascii="Times New Roman" w:eastAsia="SimSun" w:hAnsi="Times New Roman" w:cs="Times New Roman"/>
          <w:b/>
          <w:bCs/>
          <w:kern w:val="0"/>
          <w:sz w:val="24"/>
          <w:lang w:eastAsia="en-US"/>
        </w:rPr>
      </w:pPr>
      <w:r>
        <w:rPr>
          <w:rFonts w:ascii="Times New Roman" w:hAnsi="Times New Roman" w:cs="Times New Roman"/>
          <w:sz w:val="24"/>
        </w:rPr>
        <w:t>1.2</w:t>
      </w:r>
      <w:r>
        <w:rPr>
          <w:rFonts w:ascii="Times New Roman" w:hAnsi="Times New Roman" w:cs="Times New Roman"/>
          <w:sz w:val="24"/>
        </w:rPr>
        <w:tab/>
      </w:r>
      <w:r>
        <w:rPr>
          <w:rFonts w:ascii="Times New Roman" w:eastAsia="SimSun" w:hAnsi="Times New Roman" w:cs="Times New Roman"/>
          <w:b/>
          <w:bCs/>
          <w:kern w:val="0"/>
          <w:sz w:val="24"/>
          <w:lang w:eastAsia="en-US"/>
        </w:rPr>
        <w:t>Study Area</w:t>
      </w:r>
    </w:p>
    <w:p w:rsidR="00AB2DAF" w:rsidRDefault="00AB2DAF" w:rsidP="001E61B9">
      <w:pPr>
        <w:widowControl/>
        <w:autoSpaceDE w:val="0"/>
        <w:autoSpaceDN w:val="0"/>
        <w:adjustRightInd w:val="0"/>
        <w:spacing w:after="0" w:line="360" w:lineRule="auto"/>
        <w:rPr>
          <w:rFonts w:ascii="Times New Roman" w:eastAsia="SimSun" w:hAnsi="Times New Roman" w:cs="Times New Roman"/>
          <w:kern w:val="0"/>
          <w:sz w:val="24"/>
          <w:lang w:eastAsia="en-US"/>
        </w:rPr>
      </w:pPr>
      <w:r>
        <w:rPr>
          <w:rFonts w:ascii="Times New Roman" w:eastAsia="SimSun" w:hAnsi="Times New Roman" w:cs="Times New Roman"/>
          <w:kern w:val="0"/>
          <w:sz w:val="24"/>
          <w:lang w:eastAsia="en-US"/>
        </w:rPr>
        <w:t xml:space="preserve">The study was carried out in Ladoke Akintola University of Technology, (LAUTECH) </w:t>
      </w:r>
      <w:proofErr w:type="spellStart"/>
      <w:r>
        <w:rPr>
          <w:rFonts w:ascii="Times New Roman" w:eastAsia="SimSun" w:hAnsi="Times New Roman" w:cs="Times New Roman"/>
          <w:kern w:val="0"/>
          <w:sz w:val="24"/>
          <w:lang w:eastAsia="en-US"/>
        </w:rPr>
        <w:t>Ogbomoṣo</w:t>
      </w:r>
      <w:proofErr w:type="spellEnd"/>
      <w:r>
        <w:rPr>
          <w:rFonts w:ascii="Times New Roman" w:eastAsia="SimSun" w:hAnsi="Times New Roman" w:cs="Times New Roman"/>
          <w:kern w:val="0"/>
          <w:sz w:val="24"/>
          <w:lang w:eastAsia="en-US"/>
        </w:rPr>
        <w:t xml:space="preserve">, Oyo state, Nigeria; </w:t>
      </w:r>
      <w:proofErr w:type="spellStart"/>
      <w:r>
        <w:rPr>
          <w:rFonts w:ascii="Times New Roman" w:eastAsia="SimSun" w:hAnsi="Times New Roman" w:cs="Times New Roman"/>
          <w:kern w:val="0"/>
          <w:sz w:val="24"/>
          <w:lang w:eastAsia="en-US"/>
        </w:rPr>
        <w:t>Ogbomoso</w:t>
      </w:r>
      <w:proofErr w:type="spellEnd"/>
      <w:r>
        <w:rPr>
          <w:rFonts w:ascii="Times New Roman" w:eastAsia="SimSun" w:hAnsi="Times New Roman" w:cs="Times New Roman"/>
          <w:kern w:val="0"/>
          <w:sz w:val="24"/>
          <w:lang w:eastAsia="en-US"/>
        </w:rPr>
        <w:t xml:space="preserve"> is situated on Latitude 8°8′0′′N of the Equator and Longitude 4</w:t>
      </w:r>
      <w:r>
        <w:rPr>
          <w:rFonts w:ascii="Times New Roman" w:eastAsia="SimSun" w:hAnsi="Times New Roman" w:cs="Times New Roman"/>
          <w:kern w:val="0"/>
          <w:sz w:val="16"/>
          <w:szCs w:val="16"/>
          <w:lang w:eastAsia="en-US"/>
        </w:rPr>
        <w:t>o</w:t>
      </w:r>
      <w:r>
        <w:rPr>
          <w:rFonts w:ascii="Times New Roman" w:eastAsia="SimSun" w:hAnsi="Times New Roman" w:cs="Times New Roman"/>
          <w:kern w:val="0"/>
          <w:sz w:val="24"/>
          <w:lang w:eastAsia="en-US"/>
        </w:rPr>
        <w:t xml:space="preserve">16′0′′E of the Greenwich meridian. LAUTECH was established in April 1990 and has a land mass of 9880.771 hectares. </w:t>
      </w:r>
    </w:p>
    <w:p w:rsidR="001E61B9" w:rsidRDefault="00AB2DAF" w:rsidP="001E61B9">
      <w:pPr>
        <w:widowControl/>
        <w:autoSpaceDE w:val="0"/>
        <w:autoSpaceDN w:val="0"/>
        <w:adjustRightInd w:val="0"/>
        <w:spacing w:after="0" w:line="360" w:lineRule="auto"/>
        <w:rPr>
          <w:rFonts w:ascii="Times New Roman" w:eastAsia="SimSun" w:hAnsi="Times New Roman" w:cs="Times New Roman"/>
          <w:kern w:val="0"/>
          <w:sz w:val="24"/>
          <w:lang w:eastAsia="en-US"/>
        </w:rPr>
      </w:pPr>
      <w:r>
        <w:rPr>
          <w:rFonts w:ascii="Times New Roman" w:eastAsia="SimSun" w:hAnsi="Times New Roman" w:cs="Times New Roman"/>
          <w:kern w:val="0"/>
          <w:sz w:val="24"/>
          <w:lang w:eastAsia="en-US"/>
        </w:rPr>
        <w:t xml:space="preserve">The department of Architecture is dedicated in training innovative and environmentally conscious aspiring architects. Established under the faculty of Environmental Sciences, the department offers comprehensive academic and professional programs that </w:t>
      </w:r>
      <w:r w:rsidR="001E61B9">
        <w:rPr>
          <w:rFonts w:ascii="Times New Roman" w:eastAsia="SimSun" w:hAnsi="Times New Roman" w:cs="Times New Roman"/>
          <w:kern w:val="0"/>
          <w:sz w:val="24"/>
          <w:lang w:eastAsia="en-US"/>
        </w:rPr>
        <w:t>blend theory, design, technology and sustainability.  Through studio-based learning, research and practical exposure, students develop the technical and artistic skills required for effective architectural practice.</w:t>
      </w:r>
    </w:p>
    <w:p w:rsidR="001E61B9" w:rsidRPr="00AB2DAF" w:rsidRDefault="001E61B9" w:rsidP="001E61B9">
      <w:pPr>
        <w:widowControl/>
        <w:autoSpaceDE w:val="0"/>
        <w:autoSpaceDN w:val="0"/>
        <w:adjustRightInd w:val="0"/>
        <w:spacing w:after="0" w:line="360" w:lineRule="auto"/>
        <w:rPr>
          <w:rFonts w:ascii="Times New Roman" w:eastAsia="SimSun" w:hAnsi="Times New Roman" w:cs="Times New Roman"/>
          <w:kern w:val="0"/>
          <w:sz w:val="24"/>
          <w:lang w:eastAsia="en-US"/>
        </w:rPr>
      </w:pPr>
      <w:r w:rsidRPr="001E61B9">
        <w:rPr>
          <w:rFonts w:ascii="Times New Roman" w:eastAsia="SimSun" w:hAnsi="Times New Roman" w:cs="Times New Roman"/>
          <w:noProof/>
          <w:kern w:val="0"/>
          <w:sz w:val="24"/>
          <w:lang w:eastAsia="en-US"/>
        </w:rPr>
        <w:drawing>
          <wp:inline distT="0" distB="0" distL="0" distR="0">
            <wp:extent cx="5099050" cy="3300248"/>
            <wp:effectExtent l="0" t="0" r="6350" b="0"/>
            <wp:docPr id="5" name="Picture 5" descr="C:\Users\COSTA\Desktop\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OSTA\Desktop\t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07633" cy="3305803"/>
                    </a:xfrm>
                    <a:prstGeom prst="rect">
                      <a:avLst/>
                    </a:prstGeom>
                    <a:noFill/>
                    <a:ln>
                      <a:noFill/>
                    </a:ln>
                  </pic:spPr>
                </pic:pic>
              </a:graphicData>
            </a:graphic>
          </wp:inline>
        </w:drawing>
      </w:r>
    </w:p>
    <w:p w:rsidR="001E61B9" w:rsidRDefault="001E61B9" w:rsidP="001E61B9">
      <w:pPr>
        <w:widowControl/>
        <w:autoSpaceDE w:val="0"/>
        <w:autoSpaceDN w:val="0"/>
        <w:adjustRightInd w:val="0"/>
        <w:spacing w:after="0" w:line="240" w:lineRule="auto"/>
        <w:jc w:val="left"/>
        <w:rPr>
          <w:rFonts w:ascii="Times New Roman" w:eastAsia="SimSun" w:hAnsi="Times New Roman" w:cs="Times New Roman"/>
          <w:kern w:val="0"/>
          <w:sz w:val="24"/>
          <w:lang w:eastAsia="en-US"/>
        </w:rPr>
      </w:pPr>
      <w:r>
        <w:rPr>
          <w:rFonts w:ascii="Times New Roman" w:eastAsia="SimSun" w:hAnsi="Times New Roman" w:cs="Times New Roman"/>
          <w:kern w:val="0"/>
          <w:sz w:val="24"/>
          <w:lang w:eastAsia="en-US"/>
        </w:rPr>
        <w:t xml:space="preserve">Plate 1: </w:t>
      </w:r>
      <w:proofErr w:type="spellStart"/>
      <w:r>
        <w:rPr>
          <w:rFonts w:ascii="Times New Roman" w:eastAsia="SimSun" w:hAnsi="Times New Roman" w:cs="Times New Roman"/>
          <w:kern w:val="0"/>
          <w:sz w:val="24"/>
          <w:lang w:eastAsia="en-US"/>
        </w:rPr>
        <w:t>Lautech</w:t>
      </w:r>
      <w:proofErr w:type="spellEnd"/>
      <w:r>
        <w:rPr>
          <w:rFonts w:ascii="Times New Roman" w:eastAsia="SimSun" w:hAnsi="Times New Roman" w:cs="Times New Roman"/>
          <w:kern w:val="0"/>
          <w:sz w:val="24"/>
          <w:lang w:eastAsia="en-US"/>
        </w:rPr>
        <w:t xml:space="preserve"> imagery showing department of Architecture </w:t>
      </w:r>
    </w:p>
    <w:p w:rsidR="001E61B9" w:rsidRDefault="001E61B9" w:rsidP="001E61B9">
      <w:pPr>
        <w:spacing w:line="360" w:lineRule="auto"/>
        <w:rPr>
          <w:rFonts w:ascii="Times New Roman" w:eastAsia="SimSun" w:hAnsi="Times New Roman" w:cs="Times New Roman"/>
          <w:kern w:val="0"/>
          <w:sz w:val="24"/>
          <w:lang w:eastAsia="en-US"/>
        </w:rPr>
      </w:pPr>
      <w:r>
        <w:rPr>
          <w:rFonts w:ascii="Times New Roman" w:eastAsia="SimSun" w:hAnsi="Times New Roman" w:cs="Times New Roman"/>
          <w:kern w:val="0"/>
          <w:sz w:val="24"/>
          <w:lang w:eastAsia="en-US"/>
        </w:rPr>
        <w:t>Source: Google earth, 2025</w:t>
      </w:r>
    </w:p>
    <w:p w:rsidR="00753ADC" w:rsidRPr="008F7780" w:rsidRDefault="008F7780" w:rsidP="001E61B9">
      <w:pPr>
        <w:spacing w:line="360" w:lineRule="auto"/>
        <w:rPr>
          <w:rFonts w:ascii="Times New Roman" w:hAnsi="Times New Roman" w:cs="Times New Roman"/>
          <w:b/>
          <w:sz w:val="24"/>
        </w:rPr>
      </w:pPr>
      <w:r>
        <w:rPr>
          <w:rFonts w:ascii="Times New Roman" w:hAnsi="Times New Roman" w:cs="Times New Roman"/>
          <w:b/>
          <w:sz w:val="24"/>
        </w:rPr>
        <w:t>2.0</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sidRPr="008F7780">
        <w:rPr>
          <w:rFonts w:ascii="Times New Roman" w:hAnsi="Times New Roman" w:cs="Times New Roman"/>
          <w:b/>
          <w:sz w:val="24"/>
        </w:rPr>
        <w:t>LITERATURE REVIEW</w:t>
      </w:r>
      <w:r w:rsidR="001E61B9">
        <w:rPr>
          <w:rFonts w:ascii="Times New Roman" w:hAnsi="Times New Roman" w:cs="Times New Roman"/>
          <w:b/>
          <w:sz w:val="24"/>
        </w:rPr>
        <w:t xml:space="preserve">  </w:t>
      </w:r>
    </w:p>
    <w:p w:rsidR="00753ADC" w:rsidRPr="008F7780" w:rsidRDefault="009A128D" w:rsidP="00F82EC2">
      <w:pPr>
        <w:spacing w:line="360" w:lineRule="auto"/>
        <w:rPr>
          <w:rFonts w:ascii="Times New Roman" w:hAnsi="Times New Roman" w:cs="Times New Roman"/>
          <w:b/>
          <w:sz w:val="22"/>
          <w:szCs w:val="22"/>
        </w:rPr>
      </w:pPr>
      <w:r w:rsidRPr="008F7780">
        <w:rPr>
          <w:rFonts w:ascii="Times New Roman" w:hAnsi="Times New Roman" w:cs="Times New Roman"/>
          <w:b/>
          <w:sz w:val="22"/>
          <w:szCs w:val="22"/>
        </w:rPr>
        <w:t xml:space="preserve">2.1 </w:t>
      </w:r>
      <w:r w:rsidR="008F7780">
        <w:rPr>
          <w:rFonts w:ascii="Times New Roman" w:hAnsi="Times New Roman" w:cs="Times New Roman"/>
          <w:b/>
          <w:sz w:val="22"/>
          <w:szCs w:val="22"/>
        </w:rPr>
        <w:tab/>
      </w:r>
      <w:r w:rsidRPr="008F7780">
        <w:rPr>
          <w:rFonts w:ascii="Times New Roman" w:hAnsi="Times New Roman" w:cs="Times New Roman"/>
          <w:b/>
          <w:sz w:val="22"/>
          <w:szCs w:val="22"/>
        </w:rPr>
        <w:t>The role of interior design in architectural practice</w:t>
      </w:r>
    </w:p>
    <w:p w:rsidR="00753ADC" w:rsidRPr="00F82EC2" w:rsidRDefault="009A128D" w:rsidP="00F82EC2">
      <w:pPr>
        <w:spacing w:line="360" w:lineRule="auto"/>
        <w:rPr>
          <w:rFonts w:ascii="Times New Roman" w:hAnsi="Times New Roman" w:cs="Times New Roman"/>
          <w:sz w:val="24"/>
        </w:rPr>
      </w:pPr>
      <w:r w:rsidRPr="00F82EC2">
        <w:rPr>
          <w:rFonts w:ascii="Times New Roman" w:hAnsi="Times New Roman" w:cs="Times New Roman"/>
          <w:sz w:val="24"/>
        </w:rPr>
        <w:lastRenderedPageBreak/>
        <w:t>Interior design is a discipline that goes beyond surface aesthetics to shape how people experience and use spaces through manipulation of scale, proportion, materiality, lighting and ergonomics (Ching &amp; Binggeli, 2012). Empirical research shows that well-designed interiors positively affect comfort, productivity and wellbeing in institutional and work environments (</w:t>
      </w:r>
      <w:proofErr w:type="spellStart"/>
      <w:r w:rsidRPr="00F82EC2">
        <w:rPr>
          <w:rFonts w:ascii="Times New Roman" w:hAnsi="Times New Roman" w:cs="Times New Roman"/>
          <w:sz w:val="24"/>
        </w:rPr>
        <w:t>Abouelela</w:t>
      </w:r>
      <w:proofErr w:type="spellEnd"/>
      <w:r w:rsidRPr="00F82EC2">
        <w:rPr>
          <w:rFonts w:ascii="Times New Roman" w:hAnsi="Times New Roman" w:cs="Times New Roman"/>
          <w:sz w:val="24"/>
        </w:rPr>
        <w:t>, 2022). In professional practice, architects frequently assume responsibility for interiors; when that responsibility is taken without specialist interior design training the outcome can be less functional or less attuned to user needs (</w:t>
      </w:r>
      <w:proofErr w:type="spellStart"/>
      <w:r w:rsidRPr="00F82EC2">
        <w:rPr>
          <w:rFonts w:ascii="Times New Roman" w:hAnsi="Times New Roman" w:cs="Times New Roman"/>
          <w:sz w:val="24"/>
        </w:rPr>
        <w:t>Abouelela</w:t>
      </w:r>
      <w:proofErr w:type="spellEnd"/>
      <w:r w:rsidRPr="00F82EC2">
        <w:rPr>
          <w:rFonts w:ascii="Times New Roman" w:hAnsi="Times New Roman" w:cs="Times New Roman"/>
          <w:sz w:val="24"/>
        </w:rPr>
        <w:t>, 2022). In the Nigerian context, scholars have highlighted limited institutional emphasis on interior-design training and few clearly defined pathways for specialist interior education within many architecture faculties, which contributes to gaps in interior spatial literacy among graduates (</w:t>
      </w:r>
      <w:proofErr w:type="spellStart"/>
      <w:r w:rsidRPr="00F82EC2">
        <w:rPr>
          <w:rFonts w:ascii="Times New Roman" w:hAnsi="Times New Roman" w:cs="Times New Roman"/>
          <w:sz w:val="24"/>
        </w:rPr>
        <w:t>Enwerekowe</w:t>
      </w:r>
      <w:proofErr w:type="spellEnd"/>
      <w:r w:rsidRPr="00F82EC2">
        <w:rPr>
          <w:rFonts w:ascii="Times New Roman" w:hAnsi="Times New Roman" w:cs="Times New Roman"/>
          <w:sz w:val="24"/>
        </w:rPr>
        <w:t xml:space="preserve">, Doyle &amp; </w:t>
      </w:r>
      <w:proofErr w:type="spellStart"/>
      <w:r w:rsidRPr="00F82EC2">
        <w:rPr>
          <w:rFonts w:ascii="Times New Roman" w:hAnsi="Times New Roman" w:cs="Times New Roman"/>
          <w:sz w:val="24"/>
        </w:rPr>
        <w:t>Adetula</w:t>
      </w:r>
      <w:proofErr w:type="spellEnd"/>
      <w:r w:rsidRPr="00F82EC2">
        <w:rPr>
          <w:rFonts w:ascii="Times New Roman" w:hAnsi="Times New Roman" w:cs="Times New Roman"/>
          <w:sz w:val="24"/>
        </w:rPr>
        <w:t>, 2023).</w:t>
      </w:r>
    </w:p>
    <w:p w:rsidR="00753ADC" w:rsidRPr="008F7780" w:rsidRDefault="009A128D" w:rsidP="008F7780">
      <w:pPr>
        <w:spacing w:after="0" w:line="360" w:lineRule="auto"/>
        <w:rPr>
          <w:rFonts w:ascii="Times New Roman" w:hAnsi="Times New Roman" w:cs="Times New Roman"/>
          <w:b/>
          <w:sz w:val="22"/>
          <w:szCs w:val="22"/>
        </w:rPr>
      </w:pPr>
      <w:r w:rsidRPr="008F7780">
        <w:rPr>
          <w:rFonts w:ascii="Times New Roman" w:hAnsi="Times New Roman" w:cs="Times New Roman"/>
          <w:b/>
          <w:sz w:val="22"/>
          <w:szCs w:val="22"/>
        </w:rPr>
        <w:t>2.2 Curricular and pedagogical disconnects in design education</w:t>
      </w:r>
    </w:p>
    <w:p w:rsidR="00753ADC" w:rsidRPr="00F82EC2" w:rsidRDefault="009A128D" w:rsidP="00F82EC2">
      <w:pPr>
        <w:spacing w:line="360" w:lineRule="auto"/>
        <w:rPr>
          <w:rFonts w:ascii="Times New Roman" w:hAnsi="Times New Roman" w:cs="Times New Roman"/>
          <w:sz w:val="24"/>
        </w:rPr>
      </w:pPr>
      <w:r w:rsidRPr="00F82EC2">
        <w:rPr>
          <w:rFonts w:ascii="Times New Roman" w:hAnsi="Times New Roman" w:cs="Times New Roman"/>
          <w:sz w:val="24"/>
        </w:rPr>
        <w:t>Internationally, design-education scholarship advocates integrating interior design principles throughout studio curricula (“threaded learning”) rather than leaving them to isolated electives, since studio modes of learning better support synthesis of principles such as balance, rhythm, scale and unity (</w:t>
      </w:r>
      <w:proofErr w:type="spellStart"/>
      <w:r w:rsidRPr="00F82EC2">
        <w:rPr>
          <w:rFonts w:ascii="Times New Roman" w:hAnsi="Times New Roman" w:cs="Times New Roman"/>
          <w:sz w:val="24"/>
        </w:rPr>
        <w:t>Özsırkınt</w:t>
      </w:r>
      <w:r w:rsidR="008F7780">
        <w:rPr>
          <w:rFonts w:ascii="Times New Roman" w:hAnsi="Times New Roman" w:cs="Times New Roman"/>
          <w:sz w:val="24"/>
        </w:rPr>
        <w:t>ı</w:t>
      </w:r>
      <w:proofErr w:type="spellEnd"/>
      <w:r w:rsidR="008F7780">
        <w:rPr>
          <w:rFonts w:ascii="Times New Roman" w:hAnsi="Times New Roman" w:cs="Times New Roman"/>
          <w:sz w:val="24"/>
        </w:rPr>
        <w:t xml:space="preserve"> </w:t>
      </w:r>
      <w:proofErr w:type="spellStart"/>
      <w:r w:rsidR="008F7780">
        <w:rPr>
          <w:rFonts w:ascii="Times New Roman" w:hAnsi="Times New Roman" w:cs="Times New Roman"/>
          <w:sz w:val="24"/>
        </w:rPr>
        <w:t>Kasap</w:t>
      </w:r>
      <w:proofErr w:type="spellEnd"/>
      <w:r w:rsidR="008F7780">
        <w:rPr>
          <w:rFonts w:ascii="Times New Roman" w:hAnsi="Times New Roman" w:cs="Times New Roman"/>
          <w:sz w:val="24"/>
        </w:rPr>
        <w:t xml:space="preserve">, </w:t>
      </w:r>
      <w:proofErr w:type="spellStart"/>
      <w:r w:rsidR="008F7780">
        <w:rPr>
          <w:rFonts w:ascii="Times New Roman" w:hAnsi="Times New Roman" w:cs="Times New Roman"/>
          <w:sz w:val="24"/>
        </w:rPr>
        <w:t>Altın</w:t>
      </w:r>
      <w:proofErr w:type="spellEnd"/>
      <w:r w:rsidR="008F7780">
        <w:rPr>
          <w:rFonts w:ascii="Times New Roman" w:hAnsi="Times New Roman" w:cs="Times New Roman"/>
          <w:sz w:val="24"/>
        </w:rPr>
        <w:t xml:space="preserve"> &amp; </w:t>
      </w:r>
      <w:proofErr w:type="spellStart"/>
      <w:r w:rsidR="008F7780">
        <w:rPr>
          <w:rFonts w:ascii="Times New Roman" w:hAnsi="Times New Roman" w:cs="Times New Roman"/>
          <w:sz w:val="24"/>
        </w:rPr>
        <w:t>Ergene</w:t>
      </w:r>
      <w:proofErr w:type="spellEnd"/>
      <w:r w:rsidR="008F7780">
        <w:rPr>
          <w:rFonts w:ascii="Times New Roman" w:hAnsi="Times New Roman" w:cs="Times New Roman"/>
          <w:sz w:val="24"/>
        </w:rPr>
        <w:t>, 2022).</w:t>
      </w:r>
      <w:r w:rsidRPr="00F82EC2">
        <w:rPr>
          <w:rFonts w:ascii="Times New Roman" w:hAnsi="Times New Roman" w:cs="Times New Roman"/>
          <w:sz w:val="24"/>
        </w:rPr>
        <w:t>Recent Nigerian studies corroborate concerns about curriculum-level weaknesses: a review of architectural education pointed to outdated curricula, inadequate facilities and uneven alignment between intended learning ou</w:t>
      </w:r>
      <w:r w:rsidR="008F7780">
        <w:rPr>
          <w:rFonts w:ascii="Times New Roman" w:hAnsi="Times New Roman" w:cs="Times New Roman"/>
          <w:sz w:val="24"/>
        </w:rPr>
        <w:t xml:space="preserve">tcomes and assessment practices </w:t>
      </w:r>
      <w:r w:rsidRPr="00F82EC2">
        <w:rPr>
          <w:rFonts w:ascii="Times New Roman" w:hAnsi="Times New Roman" w:cs="Times New Roman"/>
          <w:sz w:val="24"/>
        </w:rPr>
        <w:t xml:space="preserve">factors that constrain students’ opportunities to develop robust design competencies (Obi, Okeke &amp; Nnaemeka-Okeke, 2022). Complementing this, research on design education in Nigeria </w:t>
      </w:r>
      <w:proofErr w:type="spellStart"/>
      <w:r w:rsidRPr="00F82EC2">
        <w:rPr>
          <w:rFonts w:ascii="Times New Roman" w:hAnsi="Times New Roman" w:cs="Times New Roman"/>
          <w:sz w:val="24"/>
        </w:rPr>
        <w:t>emphasises</w:t>
      </w:r>
      <w:proofErr w:type="spellEnd"/>
      <w:r w:rsidRPr="00F82EC2">
        <w:rPr>
          <w:rFonts w:ascii="Times New Roman" w:hAnsi="Times New Roman" w:cs="Times New Roman"/>
          <w:sz w:val="24"/>
        </w:rPr>
        <w:t xml:space="preserve"> that student learning styles and personality traits influence studio engagement and outcomes, suggesting that one-size-fits-all pedagogies may further limit students’ grasp of interior design concepts (</w:t>
      </w:r>
      <w:proofErr w:type="spellStart"/>
      <w:r w:rsidRPr="00F82EC2">
        <w:rPr>
          <w:rFonts w:ascii="Times New Roman" w:hAnsi="Times New Roman" w:cs="Times New Roman"/>
          <w:sz w:val="24"/>
        </w:rPr>
        <w:t>Enwerekowe</w:t>
      </w:r>
      <w:proofErr w:type="spellEnd"/>
      <w:r w:rsidRPr="00F82EC2">
        <w:rPr>
          <w:rFonts w:ascii="Times New Roman" w:hAnsi="Times New Roman" w:cs="Times New Roman"/>
          <w:sz w:val="24"/>
        </w:rPr>
        <w:t xml:space="preserve"> </w:t>
      </w:r>
      <w:r w:rsidRPr="008F7780">
        <w:rPr>
          <w:rFonts w:ascii="Times New Roman" w:hAnsi="Times New Roman" w:cs="Times New Roman"/>
          <w:i/>
          <w:sz w:val="24"/>
        </w:rPr>
        <w:t>et al.,</w:t>
      </w:r>
      <w:r w:rsidRPr="00F82EC2">
        <w:rPr>
          <w:rFonts w:ascii="Times New Roman" w:hAnsi="Times New Roman" w:cs="Times New Roman"/>
          <w:sz w:val="24"/>
        </w:rPr>
        <w:t xml:space="preserve"> 2023). Together, these studies imply that architecture students in Nigerian universities may receive insufficient, fragmented exposure to fundamental interior design principles, thereby hindering their application of those principles in real design work.</w:t>
      </w:r>
    </w:p>
    <w:p w:rsidR="00753ADC" w:rsidRPr="008F7780" w:rsidRDefault="009A128D" w:rsidP="008F7780">
      <w:pPr>
        <w:spacing w:after="0" w:line="240" w:lineRule="auto"/>
        <w:rPr>
          <w:rFonts w:ascii="Times New Roman" w:hAnsi="Times New Roman" w:cs="Times New Roman"/>
          <w:b/>
          <w:sz w:val="22"/>
          <w:szCs w:val="22"/>
        </w:rPr>
      </w:pPr>
      <w:r w:rsidRPr="008F7780">
        <w:rPr>
          <w:rFonts w:ascii="Times New Roman" w:hAnsi="Times New Roman" w:cs="Times New Roman"/>
          <w:b/>
          <w:sz w:val="22"/>
          <w:szCs w:val="22"/>
        </w:rPr>
        <w:t xml:space="preserve">2.3 Learning frameworks for interior design competence: constructivist and experiential </w:t>
      </w:r>
      <w:r w:rsidRPr="008F7780">
        <w:rPr>
          <w:rFonts w:ascii="Times New Roman" w:hAnsi="Times New Roman" w:cs="Times New Roman"/>
          <w:b/>
          <w:sz w:val="22"/>
          <w:szCs w:val="22"/>
        </w:rPr>
        <w:lastRenderedPageBreak/>
        <w:t>approaches</w:t>
      </w:r>
    </w:p>
    <w:p w:rsidR="009A128D" w:rsidRPr="001E61B9" w:rsidRDefault="009A128D" w:rsidP="00F82EC2">
      <w:pPr>
        <w:spacing w:line="360" w:lineRule="auto"/>
        <w:rPr>
          <w:rFonts w:ascii="Times New Roman" w:hAnsi="Times New Roman" w:cs="Times New Roman"/>
          <w:sz w:val="24"/>
        </w:rPr>
      </w:pPr>
      <w:r w:rsidRPr="00F82EC2">
        <w:rPr>
          <w:rFonts w:ascii="Times New Roman" w:hAnsi="Times New Roman" w:cs="Times New Roman"/>
          <w:sz w:val="24"/>
        </w:rPr>
        <w:t xml:space="preserve">Constructivist and experiential learning theories underpin contemporary studio pedagogy. Constructivism argues that learners actively construct knowledge through experience and social interaction (Piaget, 1972; Vygotsky, 1978), while Kolb’s experiential learning cycle </w:t>
      </w:r>
      <w:proofErr w:type="spellStart"/>
      <w:r w:rsidRPr="00F82EC2">
        <w:rPr>
          <w:rFonts w:ascii="Times New Roman" w:hAnsi="Times New Roman" w:cs="Times New Roman"/>
          <w:sz w:val="24"/>
        </w:rPr>
        <w:t>emphasises</w:t>
      </w:r>
      <w:proofErr w:type="spellEnd"/>
      <w:r w:rsidRPr="00F82EC2">
        <w:rPr>
          <w:rFonts w:ascii="Times New Roman" w:hAnsi="Times New Roman" w:cs="Times New Roman"/>
          <w:sz w:val="24"/>
        </w:rPr>
        <w:t xml:space="preserve"> learning by doing followed by reflection, abstraction and re-testing (Kolb, 1984). Empirical work on interior/studio pedagogy during the COVID-19 pandemic shows that students’ conceptual development of design principles depends heavily on iterative studio tasks, critique cu</w:t>
      </w:r>
      <w:r w:rsidR="008F7780">
        <w:rPr>
          <w:rFonts w:ascii="Times New Roman" w:hAnsi="Times New Roman" w:cs="Times New Roman"/>
          <w:sz w:val="24"/>
        </w:rPr>
        <w:t xml:space="preserve">lture and reflective practice  </w:t>
      </w:r>
      <w:r w:rsidRPr="00F82EC2">
        <w:rPr>
          <w:rFonts w:ascii="Times New Roman" w:hAnsi="Times New Roman" w:cs="Times New Roman"/>
          <w:sz w:val="24"/>
        </w:rPr>
        <w:t>features that are diminished when studio conditions or curricular emphasis are weak (</w:t>
      </w:r>
      <w:proofErr w:type="spellStart"/>
      <w:r w:rsidRPr="00F82EC2">
        <w:rPr>
          <w:rFonts w:ascii="Times New Roman" w:hAnsi="Times New Roman" w:cs="Times New Roman"/>
          <w:sz w:val="24"/>
        </w:rPr>
        <w:t>Özsırkıntı</w:t>
      </w:r>
      <w:proofErr w:type="spellEnd"/>
      <w:r w:rsidRPr="00F82EC2">
        <w:rPr>
          <w:rFonts w:ascii="Times New Roman" w:hAnsi="Times New Roman" w:cs="Times New Roman"/>
          <w:sz w:val="24"/>
        </w:rPr>
        <w:t xml:space="preserve"> </w:t>
      </w:r>
      <w:proofErr w:type="spellStart"/>
      <w:r w:rsidRPr="00F82EC2">
        <w:rPr>
          <w:rFonts w:ascii="Times New Roman" w:hAnsi="Times New Roman" w:cs="Times New Roman"/>
          <w:sz w:val="24"/>
        </w:rPr>
        <w:t>Kasap</w:t>
      </w:r>
      <w:proofErr w:type="spellEnd"/>
      <w:r w:rsidRPr="00F82EC2">
        <w:rPr>
          <w:rFonts w:ascii="Times New Roman" w:hAnsi="Times New Roman" w:cs="Times New Roman"/>
          <w:sz w:val="24"/>
        </w:rPr>
        <w:t xml:space="preserve"> </w:t>
      </w:r>
      <w:r w:rsidRPr="008F7780">
        <w:rPr>
          <w:rFonts w:ascii="Times New Roman" w:hAnsi="Times New Roman" w:cs="Times New Roman"/>
          <w:i/>
          <w:sz w:val="24"/>
        </w:rPr>
        <w:t>et al.,</w:t>
      </w:r>
      <w:r w:rsidRPr="00F82EC2">
        <w:rPr>
          <w:rFonts w:ascii="Times New Roman" w:hAnsi="Times New Roman" w:cs="Times New Roman"/>
          <w:sz w:val="24"/>
        </w:rPr>
        <w:t xml:space="preserve"> 2022). Applying these frameworks to the Nigerian situation indicates that embedding interior design principles across studio work, providing repeated hands-on exercises, and aligning assessment with those learning activities will likely improve students’ interior-design literacy and user-</w:t>
      </w:r>
      <w:proofErr w:type="spellStart"/>
      <w:r w:rsidRPr="00F82EC2">
        <w:rPr>
          <w:rFonts w:ascii="Times New Roman" w:hAnsi="Times New Roman" w:cs="Times New Roman"/>
          <w:sz w:val="24"/>
        </w:rPr>
        <w:t>centred</w:t>
      </w:r>
      <w:proofErr w:type="spellEnd"/>
      <w:r w:rsidRPr="00F82EC2">
        <w:rPr>
          <w:rFonts w:ascii="Times New Roman" w:hAnsi="Times New Roman" w:cs="Times New Roman"/>
          <w:sz w:val="24"/>
        </w:rPr>
        <w:t xml:space="preserve"> design capabilities.</w:t>
      </w:r>
    </w:p>
    <w:p w:rsidR="00753ADC" w:rsidRPr="008F7780" w:rsidRDefault="008F7780" w:rsidP="00F82EC2">
      <w:pPr>
        <w:spacing w:line="360" w:lineRule="auto"/>
        <w:rPr>
          <w:rFonts w:ascii="Times New Roman" w:hAnsi="Times New Roman" w:cs="Times New Roman"/>
          <w:b/>
          <w:sz w:val="24"/>
        </w:rPr>
      </w:pPr>
      <w:r w:rsidRPr="008F7780">
        <w:rPr>
          <w:rFonts w:ascii="Times New Roman" w:hAnsi="Times New Roman" w:cs="Times New Roman"/>
          <w:b/>
          <w:sz w:val="24"/>
        </w:rPr>
        <w:t>3.0</w:t>
      </w:r>
      <w:r>
        <w:rPr>
          <w:rFonts w:ascii="Times New Roman" w:hAnsi="Times New Roman" w:cs="Times New Roman"/>
          <w:b/>
          <w:sz w:val="24"/>
        </w:rPr>
        <w:tab/>
      </w:r>
      <w:r>
        <w:rPr>
          <w:rFonts w:ascii="Times New Roman" w:hAnsi="Times New Roman" w:cs="Times New Roman"/>
          <w:b/>
          <w:sz w:val="24"/>
        </w:rPr>
        <w:tab/>
      </w:r>
      <w:r w:rsidRPr="008F7780">
        <w:rPr>
          <w:rFonts w:ascii="Times New Roman" w:hAnsi="Times New Roman" w:cs="Times New Roman"/>
          <w:b/>
          <w:sz w:val="24"/>
        </w:rPr>
        <w:t xml:space="preserve"> METHODOLOGY </w:t>
      </w:r>
    </w:p>
    <w:p w:rsidR="00753ADC" w:rsidRPr="00F82EC2" w:rsidRDefault="009A128D" w:rsidP="008F7780">
      <w:pPr>
        <w:spacing w:after="0" w:line="360" w:lineRule="auto"/>
        <w:rPr>
          <w:rFonts w:ascii="Times New Roman" w:hAnsi="Times New Roman" w:cs="Times New Roman"/>
          <w:sz w:val="24"/>
        </w:rPr>
      </w:pPr>
      <w:r w:rsidRPr="00F82EC2">
        <w:rPr>
          <w:rFonts w:ascii="Times New Roman" w:hAnsi="Times New Roman" w:cs="Times New Roman"/>
          <w:sz w:val="24"/>
        </w:rPr>
        <w:t xml:space="preserve">This study adopted a quantitative cross-sectional survey design to assess architecture students’ understanding of fundamental interior design principles at Ladoke Akintola University of Technology (LAUTECH), Ogbomoso, Nigeria. The design was suitable for examining differences in students’ comprehension across academic levels at a single point in </w:t>
      </w:r>
      <w:proofErr w:type="spellStart"/>
      <w:r w:rsidRPr="00F82EC2">
        <w:rPr>
          <w:rFonts w:ascii="Times New Roman" w:hAnsi="Times New Roman" w:cs="Times New Roman"/>
          <w:sz w:val="24"/>
        </w:rPr>
        <w:t>time.The</w:t>
      </w:r>
      <w:proofErr w:type="spellEnd"/>
      <w:r w:rsidRPr="00F82EC2">
        <w:rPr>
          <w:rFonts w:ascii="Times New Roman" w:hAnsi="Times New Roman" w:cs="Times New Roman"/>
          <w:sz w:val="24"/>
        </w:rPr>
        <w:t xml:space="preserve"> study population consisted of 210 undergraduate architecture students in the 2024/2025 academic session across 200–500 levels. A stratified random sampling technique was used to ensure proportional representation from each level. A total of 210 questionnaires were administered, and 175 valid responses were retrieved, giving an 83% response rate, which was considered adequate for analysis.</w:t>
      </w:r>
    </w:p>
    <w:p w:rsidR="008F7780" w:rsidRDefault="009A128D" w:rsidP="008F7780">
      <w:pPr>
        <w:spacing w:after="0" w:line="360" w:lineRule="auto"/>
        <w:rPr>
          <w:rFonts w:ascii="Times New Roman" w:hAnsi="Times New Roman" w:cs="Times New Roman"/>
          <w:sz w:val="24"/>
        </w:rPr>
      </w:pPr>
      <w:r w:rsidRPr="00F82EC2">
        <w:rPr>
          <w:rFonts w:ascii="Times New Roman" w:hAnsi="Times New Roman" w:cs="Times New Roman"/>
          <w:sz w:val="24"/>
        </w:rPr>
        <w:t xml:space="preserve">Data were collected using a structured questionnaire containing 23 items divided into two sections. Section A obtained demographic information such as gender, academic level, and prior exposure to interior design courses. Section B assessed students’ proficiency in key interior design principles including balance, rhythm, proportion, harmony, emphasis, scale, and functionality. Responses were rated on a five-point </w:t>
      </w:r>
      <w:r w:rsidRPr="00F82EC2">
        <w:rPr>
          <w:rFonts w:ascii="Times New Roman" w:hAnsi="Times New Roman" w:cs="Times New Roman"/>
          <w:sz w:val="24"/>
        </w:rPr>
        <w:lastRenderedPageBreak/>
        <w:t>Likert scale ranging from 1 = Poor to 5 = Excellent.</w:t>
      </w:r>
      <w:r w:rsidR="00F82EC2" w:rsidRPr="00F82EC2">
        <w:rPr>
          <w:rFonts w:ascii="Times New Roman" w:hAnsi="Times New Roman" w:cs="Times New Roman"/>
          <w:sz w:val="24"/>
        </w:rPr>
        <w:t xml:space="preserve"> </w:t>
      </w:r>
      <w:r w:rsidRPr="00F82EC2">
        <w:rPr>
          <w:rFonts w:ascii="Times New Roman" w:hAnsi="Times New Roman" w:cs="Times New Roman"/>
          <w:sz w:val="24"/>
        </w:rPr>
        <w:t xml:space="preserve">The questionnaire’s content validity was confirmed through expert review by specialists in architecture and interior design education. A pilot study conducted with 25 students, who were later excluded from the main survey, yielded a Cronbach’s Alpha value of 0.82, confirming internal reliability. Data collection spanned three weeks and was conducted during lecture hours with departmental approval. Participation was voluntary, and confidentiality was maintained. </w:t>
      </w:r>
    </w:p>
    <w:p w:rsidR="00753ADC" w:rsidRPr="00F82EC2" w:rsidRDefault="009A128D" w:rsidP="00F82EC2">
      <w:pPr>
        <w:spacing w:line="360" w:lineRule="auto"/>
        <w:rPr>
          <w:rFonts w:ascii="Times New Roman" w:hAnsi="Times New Roman" w:cs="Times New Roman"/>
          <w:sz w:val="24"/>
        </w:rPr>
      </w:pPr>
      <w:r w:rsidRPr="00F82EC2">
        <w:rPr>
          <w:rFonts w:ascii="Times New Roman" w:hAnsi="Times New Roman" w:cs="Times New Roman"/>
          <w:sz w:val="24"/>
        </w:rPr>
        <w:t>Data analysis was carried out using IBM SPSS Statistics (Version 26). Descriptive statistics such as mean, standard deviation, and frequency distribution were used to summarize students’ proficiency levels. To test for significant differences across academic levels, a one-way Analysis of Variance (ANOVA) was employed, followed by Tukey’s Honestly Significant Difference (HSD) post-hoc tests where applicable. Statistical significance was set at p &lt; 0.05.</w:t>
      </w:r>
      <w:r w:rsidR="00F82EC2" w:rsidRPr="00F82EC2">
        <w:rPr>
          <w:rFonts w:ascii="Times New Roman" w:hAnsi="Times New Roman" w:cs="Times New Roman"/>
          <w:sz w:val="24"/>
        </w:rPr>
        <w:t xml:space="preserve"> </w:t>
      </w:r>
      <w:r w:rsidRPr="00F82EC2">
        <w:rPr>
          <w:rFonts w:ascii="Times New Roman" w:hAnsi="Times New Roman" w:cs="Times New Roman"/>
          <w:sz w:val="24"/>
        </w:rPr>
        <w:t>This methodological approach provided a structured and reliable basis for evaluating students’ understanding of fundamental interior design principles and identifying areas requiring curricular improvement within architectural education.</w:t>
      </w:r>
    </w:p>
    <w:p w:rsidR="00753ADC" w:rsidRPr="008F7780" w:rsidRDefault="008F7780" w:rsidP="00F82EC2">
      <w:pPr>
        <w:spacing w:line="360" w:lineRule="auto"/>
        <w:rPr>
          <w:rFonts w:ascii="Times New Roman" w:hAnsi="Times New Roman" w:cs="Times New Roman"/>
          <w:b/>
          <w:sz w:val="24"/>
        </w:rPr>
      </w:pPr>
      <w:r w:rsidRPr="008F7780">
        <w:rPr>
          <w:rFonts w:ascii="Times New Roman" w:hAnsi="Times New Roman" w:cs="Times New Roman"/>
          <w:b/>
          <w:sz w:val="24"/>
        </w:rPr>
        <w:t>4.0</w:t>
      </w:r>
      <w:r w:rsidRPr="008F7780">
        <w:rPr>
          <w:rFonts w:ascii="Times New Roman" w:hAnsi="Times New Roman" w:cs="Times New Roman"/>
          <w:b/>
          <w:sz w:val="24"/>
        </w:rPr>
        <w:tab/>
      </w:r>
      <w:r w:rsidRPr="008F7780">
        <w:rPr>
          <w:rFonts w:ascii="Times New Roman" w:hAnsi="Times New Roman" w:cs="Times New Roman"/>
          <w:b/>
          <w:sz w:val="24"/>
        </w:rPr>
        <w:tab/>
        <w:t xml:space="preserve"> RESULTS </w:t>
      </w:r>
    </w:p>
    <w:p w:rsidR="00753ADC" w:rsidRPr="008F7780" w:rsidRDefault="009A128D" w:rsidP="00F82EC2">
      <w:pPr>
        <w:spacing w:line="360" w:lineRule="auto"/>
        <w:rPr>
          <w:rFonts w:ascii="Times New Roman" w:hAnsi="Times New Roman" w:cs="Times New Roman"/>
          <w:b/>
          <w:sz w:val="22"/>
          <w:szCs w:val="22"/>
        </w:rPr>
      </w:pPr>
      <w:r w:rsidRPr="008F7780">
        <w:rPr>
          <w:rFonts w:ascii="Times New Roman" w:hAnsi="Times New Roman" w:cs="Times New Roman"/>
          <w:b/>
          <w:sz w:val="22"/>
          <w:szCs w:val="22"/>
        </w:rPr>
        <w:t>4.1 Overall Proficiency</w:t>
      </w:r>
    </w:p>
    <w:p w:rsidR="00753ADC" w:rsidRPr="00F82EC2" w:rsidRDefault="009A128D" w:rsidP="008F7780">
      <w:pPr>
        <w:spacing w:after="0" w:line="360" w:lineRule="auto"/>
        <w:rPr>
          <w:rFonts w:ascii="Times New Roman" w:hAnsi="Times New Roman" w:cs="Times New Roman"/>
          <w:sz w:val="24"/>
        </w:rPr>
      </w:pPr>
      <w:r w:rsidRPr="00F82EC2">
        <w:rPr>
          <w:rFonts w:ascii="Times New Roman" w:hAnsi="Times New Roman" w:cs="Times New Roman"/>
          <w:sz w:val="24"/>
        </w:rPr>
        <w:t>The results revealed varied levels of proficiency across the seven core interior design principles. Students demonstrated their strongest performance in Color Theory (M = 4.00, SD = 0.44) and Material Selection (M = 3.97, SD = 0.53), suggesting that these areas receive better curricular emphasis through design studio courses and theoretical modules. These competencies indicate that students understand chromatic harmonies, surface finishes, and sustainable material applications.</w:t>
      </w:r>
    </w:p>
    <w:p w:rsidR="00753ADC" w:rsidRPr="00F82EC2" w:rsidRDefault="009A128D" w:rsidP="00F82EC2">
      <w:pPr>
        <w:spacing w:line="360" w:lineRule="auto"/>
        <w:rPr>
          <w:rFonts w:ascii="Times New Roman" w:hAnsi="Times New Roman" w:cs="Times New Roman"/>
          <w:sz w:val="24"/>
        </w:rPr>
      </w:pPr>
      <w:r w:rsidRPr="00F82EC2">
        <w:rPr>
          <w:rFonts w:ascii="Times New Roman" w:hAnsi="Times New Roman" w:cs="Times New Roman"/>
          <w:sz w:val="24"/>
        </w:rPr>
        <w:t>However, noticeable gaps emerged in Lighting Design (M = 2.88, SD = 0.92) and Space Planning (M = 3.42, SD = 0.86). About 62% of students rated their knowledge of lighting as “Fair” or “Poor,” reflecting inadequate exposure to artificial and natural lighting systems and their spatial implications. Similarly, only 38% demonstrated strong understanding of spatial zoning, circulation, and furniture ergonomics, suggesting a weakness in functional design thinking.</w:t>
      </w:r>
    </w:p>
    <w:p w:rsidR="00753ADC" w:rsidRPr="00F82EC2" w:rsidRDefault="00827464" w:rsidP="00F82EC2">
      <w:pPr>
        <w:spacing w:line="360" w:lineRule="auto"/>
        <w:rPr>
          <w:rFonts w:ascii="Times New Roman" w:hAnsi="Times New Roman" w:cs="Times New Roman"/>
          <w:sz w:val="24"/>
        </w:rPr>
      </w:pPr>
      <w:r w:rsidRPr="00827464">
        <w:rPr>
          <w:rFonts w:ascii="Times New Roman" w:hAnsi="Times New Roman" w:cs="Times New Roman"/>
          <w:noProof/>
          <w:sz w:val="24"/>
          <w:lang w:eastAsia="en-US"/>
        </w:rPr>
        <w:lastRenderedPageBreak/>
        <w:drawing>
          <wp:inline distT="0" distB="0" distL="0" distR="0">
            <wp:extent cx="5273863" cy="2950210"/>
            <wp:effectExtent l="0" t="0" r="3175" b="2540"/>
            <wp:docPr id="1" name="Picture 1" descr="C:\Users\COSTA\Desktop\to Publish\IMG-20251020-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STA\Desktop\to Publish\IMG-20251020-WA0013.jpg"/>
                    <pic:cNvPicPr>
                      <a:picLocks noChangeAspect="1" noChangeArrowheads="1"/>
                    </pic:cNvPicPr>
                  </pic:nvPicPr>
                  <pic:blipFill rotWithShape="1">
                    <a:blip r:embed="rId7">
                      <a:extLst>
                        <a:ext uri="{28A0092B-C50C-407E-A947-70E740481C1C}">
                          <a14:useLocalDpi xmlns:a14="http://schemas.microsoft.com/office/drawing/2010/main" val="0"/>
                        </a:ext>
                      </a:extLst>
                    </a:blip>
                    <a:srcRect t="6631"/>
                    <a:stretch/>
                  </pic:blipFill>
                  <pic:spPr bwMode="auto">
                    <a:xfrm>
                      <a:off x="0" y="0"/>
                      <a:ext cx="5274310" cy="2950460"/>
                    </a:xfrm>
                    <a:prstGeom prst="rect">
                      <a:avLst/>
                    </a:prstGeom>
                    <a:noFill/>
                    <a:ln>
                      <a:noFill/>
                    </a:ln>
                    <a:extLst>
                      <a:ext uri="{53640926-AAD7-44D8-BBD7-CCE9431645EC}">
                        <a14:shadowObscured xmlns:a14="http://schemas.microsoft.com/office/drawing/2010/main"/>
                      </a:ext>
                    </a:extLst>
                  </pic:spPr>
                </pic:pic>
              </a:graphicData>
            </a:graphic>
          </wp:inline>
        </w:drawing>
      </w:r>
    </w:p>
    <w:p w:rsidR="008E2554" w:rsidRDefault="008E2554" w:rsidP="008F7780">
      <w:pPr>
        <w:spacing w:after="0" w:line="360" w:lineRule="auto"/>
        <w:rPr>
          <w:rFonts w:ascii="Times New Roman" w:hAnsi="Times New Roman" w:cs="Times New Roman"/>
          <w:b/>
          <w:sz w:val="22"/>
          <w:szCs w:val="22"/>
        </w:rPr>
      </w:pPr>
      <w:r>
        <w:rPr>
          <w:rFonts w:ascii="Times New Roman" w:hAnsi="Times New Roman" w:cs="Times New Roman"/>
          <w:b/>
          <w:sz w:val="22"/>
          <w:szCs w:val="22"/>
        </w:rPr>
        <w:t>Fig 1: Students mean proficiency across interior design principles</w:t>
      </w:r>
    </w:p>
    <w:p w:rsidR="00753ADC" w:rsidRPr="008F7780" w:rsidRDefault="009A128D" w:rsidP="008F7780">
      <w:pPr>
        <w:spacing w:after="0" w:line="360" w:lineRule="auto"/>
        <w:rPr>
          <w:rFonts w:ascii="Times New Roman" w:hAnsi="Times New Roman" w:cs="Times New Roman"/>
          <w:b/>
          <w:sz w:val="22"/>
          <w:szCs w:val="22"/>
        </w:rPr>
      </w:pPr>
      <w:r w:rsidRPr="008F7780">
        <w:rPr>
          <w:rFonts w:ascii="Times New Roman" w:hAnsi="Times New Roman" w:cs="Times New Roman"/>
          <w:b/>
          <w:sz w:val="22"/>
          <w:szCs w:val="22"/>
        </w:rPr>
        <w:t>4.2 Academic-Level Variations</w:t>
      </w:r>
    </w:p>
    <w:p w:rsidR="00753ADC" w:rsidRDefault="009A128D" w:rsidP="00F82EC2">
      <w:pPr>
        <w:spacing w:line="360" w:lineRule="auto"/>
        <w:rPr>
          <w:rFonts w:ascii="Times New Roman" w:hAnsi="Times New Roman" w:cs="Times New Roman"/>
          <w:sz w:val="24"/>
        </w:rPr>
      </w:pPr>
      <w:r w:rsidRPr="00F82EC2">
        <w:rPr>
          <w:rFonts w:ascii="Times New Roman" w:hAnsi="Times New Roman" w:cs="Times New Roman"/>
          <w:sz w:val="24"/>
        </w:rPr>
        <w:t>Analysis of Variance (ANOVA) indicated a significant difference in students’ overall proficiency across academic levels (</w:t>
      </w:r>
      <w:proofErr w:type="gramStart"/>
      <w:r w:rsidRPr="00F82EC2">
        <w:rPr>
          <w:rFonts w:ascii="Times New Roman" w:hAnsi="Times New Roman" w:cs="Times New Roman"/>
          <w:sz w:val="24"/>
        </w:rPr>
        <w:t>F(</w:t>
      </w:r>
      <w:proofErr w:type="gramEnd"/>
      <w:r w:rsidRPr="00F82EC2">
        <w:rPr>
          <w:rFonts w:ascii="Times New Roman" w:hAnsi="Times New Roman" w:cs="Times New Roman"/>
          <w:sz w:val="24"/>
        </w:rPr>
        <w:t>3,171) = 3.45, p = 0.018). Post-hoc Tukey tests revealed that 500-level students (M = 4.50) outperformed 200-level students (M = 3.33) and 300-level students (M = 3.67), while differences between 400-level (M = 3.97) and 500-level students were not statistically significant. This pattern demonstrates a steady improvement with academic progression, reflecting the cumulative effect of design studio exposure and applied coursework.</w:t>
      </w:r>
    </w:p>
    <w:p w:rsidR="008E2554" w:rsidRDefault="008E2554" w:rsidP="00F82EC2">
      <w:pPr>
        <w:spacing w:line="360" w:lineRule="auto"/>
        <w:rPr>
          <w:rFonts w:ascii="Times New Roman" w:hAnsi="Times New Roman" w:cs="Times New Roman"/>
          <w:sz w:val="24"/>
        </w:rPr>
      </w:pPr>
    </w:p>
    <w:p w:rsidR="008E2554" w:rsidRDefault="008E2554" w:rsidP="00F82EC2">
      <w:pPr>
        <w:spacing w:line="360" w:lineRule="auto"/>
        <w:rPr>
          <w:rFonts w:ascii="Times New Roman" w:hAnsi="Times New Roman" w:cs="Times New Roman"/>
          <w:sz w:val="24"/>
        </w:rPr>
      </w:pPr>
    </w:p>
    <w:p w:rsidR="008E2554" w:rsidRDefault="008E2554" w:rsidP="00F82EC2">
      <w:pPr>
        <w:spacing w:line="360" w:lineRule="auto"/>
        <w:rPr>
          <w:rFonts w:ascii="Times New Roman" w:hAnsi="Times New Roman" w:cs="Times New Roman"/>
          <w:sz w:val="24"/>
        </w:rPr>
      </w:pPr>
    </w:p>
    <w:p w:rsidR="00827464" w:rsidRDefault="00827464" w:rsidP="00F82EC2">
      <w:pPr>
        <w:spacing w:line="360" w:lineRule="auto"/>
        <w:rPr>
          <w:rFonts w:ascii="Times New Roman" w:hAnsi="Times New Roman" w:cs="Times New Roman"/>
          <w:sz w:val="24"/>
        </w:rPr>
      </w:pPr>
      <w:r w:rsidRPr="00827464">
        <w:rPr>
          <w:rFonts w:ascii="Times New Roman" w:hAnsi="Times New Roman" w:cs="Times New Roman"/>
          <w:noProof/>
          <w:sz w:val="24"/>
          <w:lang w:eastAsia="en-US"/>
        </w:rPr>
        <w:lastRenderedPageBreak/>
        <w:drawing>
          <wp:inline distT="0" distB="0" distL="0" distR="0" wp14:anchorId="503E27E9" wp14:editId="7B8DFBB2">
            <wp:extent cx="4316050" cy="4623435"/>
            <wp:effectExtent l="0" t="0" r="8890" b="5715"/>
            <wp:docPr id="4" name="Picture 4" descr="C:\Users\COSTA\Desktop\to Publish\IMG-20251020-WA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STA\Desktop\to Publish\IMG-20251020-WA0014.jpg"/>
                    <pic:cNvPicPr>
                      <a:picLocks noChangeAspect="1" noChangeArrowheads="1"/>
                    </pic:cNvPicPr>
                  </pic:nvPicPr>
                  <pic:blipFill rotWithShape="1">
                    <a:blip r:embed="rId8">
                      <a:extLst>
                        <a:ext uri="{28A0092B-C50C-407E-A947-70E740481C1C}">
                          <a14:useLocalDpi xmlns:a14="http://schemas.microsoft.com/office/drawing/2010/main" val="0"/>
                        </a:ext>
                      </a:extLst>
                    </a:blip>
                    <a:srcRect t="7083"/>
                    <a:stretch/>
                  </pic:blipFill>
                  <pic:spPr bwMode="auto">
                    <a:xfrm>
                      <a:off x="0" y="0"/>
                      <a:ext cx="4331214" cy="4639679"/>
                    </a:xfrm>
                    <a:prstGeom prst="rect">
                      <a:avLst/>
                    </a:prstGeom>
                    <a:noFill/>
                    <a:ln>
                      <a:noFill/>
                    </a:ln>
                    <a:extLst>
                      <a:ext uri="{53640926-AAD7-44D8-BBD7-CCE9431645EC}">
                        <a14:shadowObscured xmlns:a14="http://schemas.microsoft.com/office/drawing/2010/main"/>
                      </a:ext>
                    </a:extLst>
                  </pic:spPr>
                </pic:pic>
              </a:graphicData>
            </a:graphic>
          </wp:inline>
        </w:drawing>
      </w:r>
    </w:p>
    <w:p w:rsidR="008E2554" w:rsidRPr="008E2554" w:rsidRDefault="008E2554" w:rsidP="00F82EC2">
      <w:pPr>
        <w:spacing w:line="360" w:lineRule="auto"/>
        <w:rPr>
          <w:rFonts w:ascii="Times New Roman" w:hAnsi="Times New Roman" w:cs="Times New Roman"/>
          <w:b/>
          <w:sz w:val="24"/>
        </w:rPr>
      </w:pPr>
      <w:r w:rsidRPr="008E2554">
        <w:rPr>
          <w:rFonts w:ascii="Times New Roman" w:hAnsi="Times New Roman" w:cs="Times New Roman"/>
          <w:b/>
          <w:sz w:val="24"/>
        </w:rPr>
        <w:t>Fig 2: Graph showing the mean scores of interior design proficiency by academic level</w:t>
      </w:r>
    </w:p>
    <w:p w:rsidR="00827464" w:rsidRDefault="00827464" w:rsidP="00F82EC2">
      <w:pPr>
        <w:spacing w:line="360" w:lineRule="auto"/>
        <w:rPr>
          <w:rFonts w:ascii="Times New Roman" w:hAnsi="Times New Roman" w:cs="Times New Roman"/>
          <w:sz w:val="24"/>
        </w:rPr>
      </w:pPr>
      <w:r>
        <w:rPr>
          <w:rFonts w:ascii="Times New Roman" w:hAnsi="Times New Roman" w:cs="Times New Roman"/>
          <w:sz w:val="24"/>
        </w:rPr>
        <w:t>Figure 2</w:t>
      </w:r>
      <w:r w:rsidR="008E2554">
        <w:rPr>
          <w:rFonts w:ascii="Times New Roman" w:hAnsi="Times New Roman" w:cs="Times New Roman"/>
          <w:sz w:val="24"/>
        </w:rPr>
        <w:t xml:space="preserve"> </w:t>
      </w:r>
      <w:r w:rsidRPr="00827464">
        <w:rPr>
          <w:rFonts w:ascii="Times New Roman" w:hAnsi="Times New Roman" w:cs="Times New Roman"/>
          <w:sz w:val="22"/>
          <w:szCs w:val="22"/>
        </w:rPr>
        <w:t>illustrating mean scores for each principle Color Theory, Material Selection, Space Planning, Lighting, Balance, Proportion, and Emphasis.</w:t>
      </w:r>
    </w:p>
    <w:p w:rsidR="00827464" w:rsidRPr="00827464" w:rsidRDefault="00827464" w:rsidP="00827464">
      <w:pPr>
        <w:pStyle w:val="BodyText"/>
        <w:spacing w:after="0" w:line="240" w:lineRule="auto"/>
        <w:jc w:val="both"/>
        <w:rPr>
          <w:rFonts w:ascii="Times New Roman" w:hAnsi="Times New Roman"/>
          <w:b/>
          <w:bCs/>
          <w:sz w:val="22"/>
          <w:szCs w:val="22"/>
        </w:rPr>
      </w:pPr>
      <w:r>
        <w:rPr>
          <w:rFonts w:ascii="Times New Roman" w:hAnsi="Times New Roman"/>
          <w:b/>
          <w:bCs/>
          <w:sz w:val="22"/>
          <w:szCs w:val="22"/>
        </w:rPr>
        <w:t xml:space="preserve">Table 1. </w:t>
      </w:r>
      <w:r>
        <w:rPr>
          <w:rFonts w:ascii="Times New Roman" w:hAnsi="Times New Roman"/>
          <w:sz w:val="22"/>
          <w:szCs w:val="22"/>
        </w:rPr>
        <w:t>Mean scores of Interior Design Proficiency by Academic level.</w:t>
      </w:r>
    </w:p>
    <w:tbl>
      <w:tblPr>
        <w:tblW w:w="6648" w:type="dxa"/>
        <w:tblInd w:w="238" w:type="dxa"/>
        <w:tblLayout w:type="fixed"/>
        <w:tblCellMar>
          <w:top w:w="55" w:type="dxa"/>
          <w:left w:w="55" w:type="dxa"/>
          <w:bottom w:w="55" w:type="dxa"/>
          <w:right w:w="55" w:type="dxa"/>
        </w:tblCellMar>
        <w:tblLook w:val="0000" w:firstRow="0" w:lastRow="0" w:firstColumn="0" w:lastColumn="0" w:noHBand="0" w:noVBand="0"/>
      </w:tblPr>
      <w:tblGrid>
        <w:gridCol w:w="1855"/>
        <w:gridCol w:w="2004"/>
        <w:gridCol w:w="2789"/>
      </w:tblGrid>
      <w:tr w:rsidR="009A128D" w:rsidTr="00474CE8">
        <w:trPr>
          <w:trHeight w:val="539"/>
        </w:trPr>
        <w:tc>
          <w:tcPr>
            <w:tcW w:w="1855" w:type="dxa"/>
            <w:tcBorders>
              <w:top w:val="single" w:sz="4" w:space="0" w:color="000000"/>
              <w:left w:val="single" w:sz="4" w:space="0" w:color="000000"/>
              <w:bottom w:val="single" w:sz="4" w:space="0" w:color="000000"/>
            </w:tcBorders>
          </w:tcPr>
          <w:p w:rsidR="009A128D" w:rsidRDefault="009A128D" w:rsidP="00474CE8">
            <w:pPr>
              <w:pStyle w:val="TableContents"/>
              <w:rPr>
                <w:rFonts w:ascii="Times New Roman" w:hAnsi="Times New Roman"/>
                <w:b/>
                <w:bCs/>
                <w:color w:val="000000"/>
                <w:sz w:val="22"/>
                <w:szCs w:val="22"/>
              </w:rPr>
            </w:pPr>
            <w:r>
              <w:rPr>
                <w:rFonts w:ascii="Times New Roman" w:hAnsi="Times New Roman"/>
                <w:b/>
                <w:bCs/>
                <w:color w:val="000000"/>
                <w:sz w:val="22"/>
                <w:szCs w:val="22"/>
              </w:rPr>
              <w:t>Academic Level</w:t>
            </w:r>
          </w:p>
        </w:tc>
        <w:tc>
          <w:tcPr>
            <w:tcW w:w="2004" w:type="dxa"/>
            <w:tcBorders>
              <w:top w:val="single" w:sz="4" w:space="0" w:color="000000"/>
              <w:left w:val="single" w:sz="4" w:space="0" w:color="000000"/>
              <w:bottom w:val="single" w:sz="4" w:space="0" w:color="000000"/>
            </w:tcBorders>
          </w:tcPr>
          <w:p w:rsidR="009A128D" w:rsidRDefault="009A128D" w:rsidP="00474CE8">
            <w:pPr>
              <w:pStyle w:val="TableContents"/>
              <w:jc w:val="center"/>
              <w:rPr>
                <w:rFonts w:ascii="Times New Roman" w:hAnsi="Times New Roman"/>
                <w:b/>
                <w:bCs/>
                <w:color w:val="000000"/>
                <w:sz w:val="22"/>
                <w:szCs w:val="22"/>
              </w:rPr>
            </w:pPr>
            <w:r>
              <w:rPr>
                <w:rFonts w:ascii="Times New Roman" w:hAnsi="Times New Roman"/>
                <w:b/>
                <w:bCs/>
                <w:color w:val="000000"/>
                <w:sz w:val="22"/>
                <w:szCs w:val="22"/>
              </w:rPr>
              <w:t>Mean Score (M)</w:t>
            </w:r>
          </w:p>
        </w:tc>
        <w:tc>
          <w:tcPr>
            <w:tcW w:w="2789" w:type="dxa"/>
            <w:tcBorders>
              <w:top w:val="single" w:sz="4" w:space="0" w:color="000000"/>
              <w:left w:val="single" w:sz="4" w:space="0" w:color="000000"/>
              <w:bottom w:val="single" w:sz="4" w:space="0" w:color="000000"/>
              <w:right w:val="single" w:sz="4" w:space="0" w:color="000000"/>
            </w:tcBorders>
          </w:tcPr>
          <w:p w:rsidR="009A128D" w:rsidRDefault="009A128D" w:rsidP="00474CE8">
            <w:pPr>
              <w:pStyle w:val="TableContents"/>
              <w:jc w:val="center"/>
              <w:rPr>
                <w:rFonts w:ascii="Times New Roman" w:hAnsi="Times New Roman"/>
                <w:b/>
                <w:bCs/>
                <w:color w:val="000000"/>
                <w:sz w:val="22"/>
                <w:szCs w:val="22"/>
              </w:rPr>
            </w:pPr>
            <w:r>
              <w:rPr>
                <w:rFonts w:ascii="Times New Roman" w:hAnsi="Times New Roman"/>
                <w:b/>
                <w:bCs/>
                <w:color w:val="000000"/>
                <w:sz w:val="22"/>
                <w:szCs w:val="22"/>
              </w:rPr>
              <w:t xml:space="preserve">Significant Difference </w:t>
            </w:r>
          </w:p>
        </w:tc>
      </w:tr>
      <w:tr w:rsidR="009A128D" w:rsidTr="00474CE8">
        <w:trPr>
          <w:trHeight w:val="327"/>
        </w:trPr>
        <w:tc>
          <w:tcPr>
            <w:tcW w:w="1855" w:type="dxa"/>
            <w:tcBorders>
              <w:left w:val="single" w:sz="4" w:space="0" w:color="000000"/>
              <w:bottom w:val="single" w:sz="4" w:space="0" w:color="000000"/>
            </w:tcBorders>
          </w:tcPr>
          <w:p w:rsidR="009A128D" w:rsidRDefault="009A128D" w:rsidP="00474CE8">
            <w:pPr>
              <w:pStyle w:val="TableContents"/>
              <w:rPr>
                <w:rFonts w:ascii="Times New Roman" w:hAnsi="Times New Roman"/>
                <w:b/>
                <w:bCs/>
                <w:color w:val="000000"/>
                <w:sz w:val="22"/>
                <w:szCs w:val="22"/>
              </w:rPr>
            </w:pPr>
            <w:r>
              <w:rPr>
                <w:rFonts w:ascii="Times New Roman" w:hAnsi="Times New Roman"/>
                <w:b/>
                <w:bCs/>
                <w:color w:val="000000"/>
                <w:sz w:val="22"/>
                <w:szCs w:val="22"/>
              </w:rPr>
              <w:t xml:space="preserve">200 Level </w:t>
            </w:r>
          </w:p>
        </w:tc>
        <w:tc>
          <w:tcPr>
            <w:tcW w:w="2004" w:type="dxa"/>
            <w:tcBorders>
              <w:left w:val="single" w:sz="4" w:space="0" w:color="000000"/>
              <w:bottom w:val="single" w:sz="4" w:space="0" w:color="000000"/>
            </w:tcBorders>
          </w:tcPr>
          <w:p w:rsidR="009A128D" w:rsidRDefault="009A128D" w:rsidP="00474CE8">
            <w:pPr>
              <w:pStyle w:val="TableContents"/>
              <w:jc w:val="center"/>
              <w:rPr>
                <w:rFonts w:ascii="Times New Roman" w:hAnsi="Times New Roman"/>
                <w:color w:val="000000"/>
                <w:sz w:val="22"/>
                <w:szCs w:val="22"/>
              </w:rPr>
            </w:pPr>
            <w:r>
              <w:rPr>
                <w:rFonts w:ascii="Times New Roman" w:hAnsi="Times New Roman"/>
                <w:color w:val="000000"/>
                <w:sz w:val="22"/>
                <w:szCs w:val="22"/>
              </w:rPr>
              <w:t>3.33</w:t>
            </w:r>
          </w:p>
        </w:tc>
        <w:tc>
          <w:tcPr>
            <w:tcW w:w="2789" w:type="dxa"/>
            <w:tcBorders>
              <w:left w:val="single" w:sz="4" w:space="0" w:color="000000"/>
              <w:bottom w:val="single" w:sz="4" w:space="0" w:color="000000"/>
              <w:right w:val="single" w:sz="4" w:space="0" w:color="000000"/>
            </w:tcBorders>
          </w:tcPr>
          <w:p w:rsidR="009A128D" w:rsidRDefault="009A128D" w:rsidP="00474CE8">
            <w:pPr>
              <w:pStyle w:val="TableContents"/>
              <w:jc w:val="center"/>
              <w:rPr>
                <w:rFonts w:ascii="Times New Roman" w:hAnsi="Times New Roman"/>
                <w:color w:val="000000"/>
                <w:sz w:val="22"/>
                <w:szCs w:val="22"/>
              </w:rPr>
            </w:pPr>
            <w:r>
              <w:rPr>
                <w:rFonts w:ascii="Times New Roman" w:hAnsi="Times New Roman"/>
                <w:color w:val="000000"/>
                <w:sz w:val="22"/>
                <w:szCs w:val="22"/>
              </w:rPr>
              <w:t xml:space="preserve">Lower than 500 Level </w:t>
            </w:r>
          </w:p>
        </w:tc>
      </w:tr>
      <w:tr w:rsidR="009A128D" w:rsidTr="00474CE8">
        <w:tc>
          <w:tcPr>
            <w:tcW w:w="1855" w:type="dxa"/>
            <w:tcBorders>
              <w:left w:val="single" w:sz="4" w:space="0" w:color="000000"/>
              <w:bottom w:val="single" w:sz="4" w:space="0" w:color="000000"/>
            </w:tcBorders>
          </w:tcPr>
          <w:p w:rsidR="009A128D" w:rsidRDefault="009A128D" w:rsidP="00474CE8">
            <w:pPr>
              <w:pStyle w:val="TableContents"/>
              <w:rPr>
                <w:rFonts w:ascii="Times New Roman" w:hAnsi="Times New Roman"/>
                <w:b/>
                <w:bCs/>
                <w:color w:val="000000"/>
                <w:sz w:val="22"/>
                <w:szCs w:val="22"/>
              </w:rPr>
            </w:pPr>
            <w:r>
              <w:rPr>
                <w:rFonts w:ascii="Times New Roman" w:hAnsi="Times New Roman"/>
                <w:b/>
                <w:bCs/>
                <w:color w:val="000000"/>
                <w:sz w:val="22"/>
                <w:szCs w:val="22"/>
              </w:rPr>
              <w:t xml:space="preserve">300 Level </w:t>
            </w:r>
          </w:p>
        </w:tc>
        <w:tc>
          <w:tcPr>
            <w:tcW w:w="2004" w:type="dxa"/>
            <w:tcBorders>
              <w:left w:val="single" w:sz="4" w:space="0" w:color="000000"/>
              <w:bottom w:val="single" w:sz="4" w:space="0" w:color="000000"/>
            </w:tcBorders>
          </w:tcPr>
          <w:p w:rsidR="009A128D" w:rsidRDefault="009A128D" w:rsidP="00474CE8">
            <w:pPr>
              <w:pStyle w:val="TableContents"/>
              <w:jc w:val="center"/>
              <w:rPr>
                <w:rFonts w:ascii="Times New Roman" w:hAnsi="Times New Roman"/>
                <w:color w:val="000000"/>
                <w:sz w:val="22"/>
                <w:szCs w:val="22"/>
              </w:rPr>
            </w:pPr>
            <w:r>
              <w:rPr>
                <w:rFonts w:ascii="Times New Roman" w:hAnsi="Times New Roman"/>
                <w:color w:val="000000"/>
                <w:sz w:val="22"/>
                <w:szCs w:val="22"/>
              </w:rPr>
              <w:t>3.67</w:t>
            </w:r>
          </w:p>
        </w:tc>
        <w:tc>
          <w:tcPr>
            <w:tcW w:w="2789" w:type="dxa"/>
            <w:tcBorders>
              <w:left w:val="single" w:sz="4" w:space="0" w:color="000000"/>
              <w:bottom w:val="single" w:sz="4" w:space="0" w:color="000000"/>
              <w:right w:val="single" w:sz="4" w:space="0" w:color="000000"/>
            </w:tcBorders>
          </w:tcPr>
          <w:p w:rsidR="009A128D" w:rsidRDefault="009A128D" w:rsidP="00474CE8">
            <w:pPr>
              <w:pStyle w:val="TableContents"/>
              <w:jc w:val="center"/>
              <w:rPr>
                <w:rFonts w:ascii="Times New Roman" w:hAnsi="Times New Roman"/>
                <w:color w:val="000000"/>
                <w:sz w:val="22"/>
                <w:szCs w:val="22"/>
              </w:rPr>
            </w:pPr>
            <w:r>
              <w:rPr>
                <w:rFonts w:ascii="Times New Roman" w:hAnsi="Times New Roman"/>
                <w:color w:val="000000"/>
                <w:sz w:val="22"/>
                <w:szCs w:val="22"/>
              </w:rPr>
              <w:t xml:space="preserve">Lower than 500 Level </w:t>
            </w:r>
          </w:p>
        </w:tc>
      </w:tr>
      <w:tr w:rsidR="009A128D" w:rsidTr="00474CE8">
        <w:tc>
          <w:tcPr>
            <w:tcW w:w="1855" w:type="dxa"/>
            <w:tcBorders>
              <w:left w:val="single" w:sz="4" w:space="0" w:color="000000"/>
              <w:bottom w:val="single" w:sz="4" w:space="0" w:color="000000"/>
            </w:tcBorders>
          </w:tcPr>
          <w:p w:rsidR="009A128D" w:rsidRDefault="009A128D" w:rsidP="00474CE8">
            <w:pPr>
              <w:pStyle w:val="TableContents"/>
              <w:rPr>
                <w:rFonts w:ascii="Times New Roman" w:hAnsi="Times New Roman"/>
                <w:b/>
                <w:bCs/>
                <w:color w:val="000000"/>
                <w:sz w:val="22"/>
                <w:szCs w:val="22"/>
              </w:rPr>
            </w:pPr>
            <w:r>
              <w:rPr>
                <w:rFonts w:ascii="Times New Roman" w:hAnsi="Times New Roman"/>
                <w:b/>
                <w:bCs/>
                <w:color w:val="000000"/>
                <w:sz w:val="22"/>
                <w:szCs w:val="22"/>
              </w:rPr>
              <w:t xml:space="preserve">400 Level </w:t>
            </w:r>
          </w:p>
        </w:tc>
        <w:tc>
          <w:tcPr>
            <w:tcW w:w="2004" w:type="dxa"/>
            <w:tcBorders>
              <w:left w:val="single" w:sz="4" w:space="0" w:color="000000"/>
              <w:bottom w:val="single" w:sz="4" w:space="0" w:color="000000"/>
            </w:tcBorders>
          </w:tcPr>
          <w:p w:rsidR="009A128D" w:rsidRDefault="009A128D" w:rsidP="00474CE8">
            <w:pPr>
              <w:pStyle w:val="TableContents"/>
              <w:jc w:val="center"/>
              <w:rPr>
                <w:rFonts w:ascii="Times New Roman" w:hAnsi="Times New Roman"/>
                <w:color w:val="000000"/>
                <w:sz w:val="22"/>
                <w:szCs w:val="22"/>
              </w:rPr>
            </w:pPr>
            <w:r>
              <w:rPr>
                <w:rFonts w:ascii="Times New Roman" w:hAnsi="Times New Roman"/>
                <w:color w:val="000000"/>
                <w:sz w:val="22"/>
                <w:szCs w:val="22"/>
              </w:rPr>
              <w:t>3.97</w:t>
            </w:r>
          </w:p>
        </w:tc>
        <w:tc>
          <w:tcPr>
            <w:tcW w:w="2789" w:type="dxa"/>
            <w:tcBorders>
              <w:left w:val="single" w:sz="4" w:space="0" w:color="000000"/>
              <w:bottom w:val="single" w:sz="4" w:space="0" w:color="000000"/>
              <w:right w:val="single" w:sz="4" w:space="0" w:color="000000"/>
            </w:tcBorders>
          </w:tcPr>
          <w:p w:rsidR="009A128D" w:rsidRDefault="009A128D" w:rsidP="00474CE8">
            <w:pPr>
              <w:pStyle w:val="TableContents"/>
              <w:jc w:val="center"/>
              <w:rPr>
                <w:rFonts w:ascii="Times New Roman" w:hAnsi="Times New Roman"/>
                <w:color w:val="000000"/>
                <w:sz w:val="22"/>
                <w:szCs w:val="22"/>
              </w:rPr>
            </w:pPr>
            <w:r>
              <w:rPr>
                <w:rFonts w:ascii="Times New Roman" w:hAnsi="Times New Roman"/>
                <w:color w:val="000000"/>
                <w:sz w:val="22"/>
                <w:szCs w:val="22"/>
              </w:rPr>
              <w:t xml:space="preserve">Not significantly different </w:t>
            </w:r>
          </w:p>
        </w:tc>
      </w:tr>
      <w:tr w:rsidR="009A128D" w:rsidTr="00474CE8">
        <w:tc>
          <w:tcPr>
            <w:tcW w:w="1855" w:type="dxa"/>
            <w:tcBorders>
              <w:left w:val="single" w:sz="4" w:space="0" w:color="000000"/>
              <w:bottom w:val="single" w:sz="4" w:space="0" w:color="000000"/>
            </w:tcBorders>
          </w:tcPr>
          <w:p w:rsidR="009A128D" w:rsidRDefault="009A128D" w:rsidP="00474CE8">
            <w:pPr>
              <w:pStyle w:val="TableContents"/>
              <w:rPr>
                <w:rFonts w:ascii="Times New Roman" w:hAnsi="Times New Roman"/>
                <w:b/>
                <w:bCs/>
                <w:color w:val="000000"/>
                <w:sz w:val="22"/>
                <w:szCs w:val="22"/>
              </w:rPr>
            </w:pPr>
            <w:r>
              <w:rPr>
                <w:rFonts w:ascii="Times New Roman" w:hAnsi="Times New Roman"/>
                <w:b/>
                <w:bCs/>
                <w:color w:val="000000"/>
                <w:sz w:val="22"/>
                <w:szCs w:val="22"/>
              </w:rPr>
              <w:t xml:space="preserve">500 Level </w:t>
            </w:r>
          </w:p>
        </w:tc>
        <w:tc>
          <w:tcPr>
            <w:tcW w:w="2004" w:type="dxa"/>
            <w:tcBorders>
              <w:left w:val="single" w:sz="4" w:space="0" w:color="000000"/>
              <w:bottom w:val="single" w:sz="4" w:space="0" w:color="000000"/>
            </w:tcBorders>
          </w:tcPr>
          <w:p w:rsidR="009A128D" w:rsidRDefault="009A128D" w:rsidP="00474CE8">
            <w:pPr>
              <w:pStyle w:val="TableContents"/>
              <w:jc w:val="center"/>
              <w:rPr>
                <w:rFonts w:ascii="Times New Roman" w:hAnsi="Times New Roman"/>
                <w:color w:val="000000"/>
                <w:sz w:val="22"/>
                <w:szCs w:val="22"/>
              </w:rPr>
            </w:pPr>
            <w:r>
              <w:rPr>
                <w:rFonts w:ascii="Times New Roman" w:hAnsi="Times New Roman"/>
                <w:color w:val="000000"/>
                <w:sz w:val="22"/>
                <w:szCs w:val="22"/>
              </w:rPr>
              <w:t>4.50</w:t>
            </w:r>
          </w:p>
        </w:tc>
        <w:tc>
          <w:tcPr>
            <w:tcW w:w="2789" w:type="dxa"/>
            <w:tcBorders>
              <w:left w:val="single" w:sz="4" w:space="0" w:color="000000"/>
              <w:bottom w:val="single" w:sz="4" w:space="0" w:color="000000"/>
              <w:right w:val="single" w:sz="4" w:space="0" w:color="000000"/>
            </w:tcBorders>
          </w:tcPr>
          <w:p w:rsidR="009A128D" w:rsidRDefault="009A128D" w:rsidP="00474CE8">
            <w:pPr>
              <w:pStyle w:val="TableContents"/>
              <w:jc w:val="center"/>
              <w:rPr>
                <w:rFonts w:ascii="Times New Roman" w:hAnsi="Times New Roman"/>
                <w:color w:val="000000"/>
                <w:sz w:val="22"/>
                <w:szCs w:val="22"/>
              </w:rPr>
            </w:pPr>
            <w:r>
              <w:rPr>
                <w:rFonts w:ascii="Times New Roman" w:hAnsi="Times New Roman"/>
                <w:color w:val="000000"/>
                <w:sz w:val="22"/>
                <w:szCs w:val="22"/>
              </w:rPr>
              <w:t xml:space="preserve">Higher than 200 &amp; 300 </w:t>
            </w:r>
          </w:p>
        </w:tc>
      </w:tr>
    </w:tbl>
    <w:p w:rsidR="009A128D" w:rsidRDefault="009A128D" w:rsidP="009A128D">
      <w:pPr>
        <w:pStyle w:val="BodyText"/>
        <w:spacing w:line="240" w:lineRule="auto"/>
        <w:jc w:val="both"/>
        <w:rPr>
          <w:rFonts w:ascii="Times New Roman" w:hAnsi="Times New Roman"/>
          <w:b/>
          <w:bCs/>
          <w:sz w:val="22"/>
          <w:szCs w:val="22"/>
        </w:rPr>
      </w:pPr>
      <w:r>
        <w:rPr>
          <w:rFonts w:ascii="Times New Roman" w:hAnsi="Times New Roman"/>
          <w:b/>
          <w:bCs/>
          <w:sz w:val="22"/>
          <w:szCs w:val="22"/>
        </w:rPr>
        <w:t xml:space="preserve">Source: </w:t>
      </w:r>
      <w:r>
        <w:rPr>
          <w:rFonts w:ascii="Times New Roman" w:hAnsi="Times New Roman"/>
          <w:sz w:val="22"/>
          <w:szCs w:val="22"/>
        </w:rPr>
        <w:t>Author’s Compilation, 2025</w:t>
      </w:r>
    </w:p>
    <w:p w:rsidR="00753ADC" w:rsidRPr="008F7780" w:rsidRDefault="008F7780" w:rsidP="00F82EC2">
      <w:pPr>
        <w:spacing w:line="360" w:lineRule="auto"/>
        <w:rPr>
          <w:rFonts w:ascii="Times New Roman" w:hAnsi="Times New Roman" w:cs="Times New Roman"/>
          <w:b/>
          <w:sz w:val="22"/>
          <w:szCs w:val="22"/>
        </w:rPr>
      </w:pPr>
      <w:r>
        <w:rPr>
          <w:rFonts w:ascii="Times New Roman" w:hAnsi="Times New Roman" w:cs="Times New Roman"/>
          <w:b/>
          <w:sz w:val="22"/>
          <w:szCs w:val="22"/>
        </w:rPr>
        <w:t>5.0</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sidRPr="008F7780">
        <w:rPr>
          <w:rFonts w:ascii="Times New Roman" w:hAnsi="Times New Roman" w:cs="Times New Roman"/>
          <w:b/>
          <w:sz w:val="22"/>
          <w:szCs w:val="22"/>
        </w:rPr>
        <w:t>DISCUSSION</w:t>
      </w:r>
    </w:p>
    <w:p w:rsidR="00753ADC" w:rsidRPr="00F82EC2" w:rsidRDefault="009A128D" w:rsidP="008F7780">
      <w:pPr>
        <w:spacing w:after="0" w:line="360" w:lineRule="auto"/>
        <w:rPr>
          <w:rFonts w:ascii="Times New Roman" w:hAnsi="Times New Roman" w:cs="Times New Roman"/>
          <w:sz w:val="24"/>
        </w:rPr>
      </w:pPr>
      <w:r w:rsidRPr="00F82EC2">
        <w:rPr>
          <w:rFonts w:ascii="Times New Roman" w:hAnsi="Times New Roman" w:cs="Times New Roman"/>
          <w:sz w:val="24"/>
        </w:rPr>
        <w:lastRenderedPageBreak/>
        <w:t>The findings reveal a partial understanding of fundamental interior design principles among LAUTECH architecture students. The strong performance in color theory and material selection suggests that the curriculum effectively integrates aesthetic and sustainable material considerations into design studios. However, the weak outcomes in lighting design and space planning expose an instructional gap that undermines user-centered design outcomes.</w:t>
      </w:r>
    </w:p>
    <w:p w:rsidR="00753ADC" w:rsidRPr="00F82EC2" w:rsidRDefault="009A128D" w:rsidP="008F7780">
      <w:pPr>
        <w:spacing w:after="0" w:line="360" w:lineRule="auto"/>
        <w:rPr>
          <w:rFonts w:ascii="Times New Roman" w:hAnsi="Times New Roman" w:cs="Times New Roman"/>
          <w:sz w:val="24"/>
        </w:rPr>
      </w:pPr>
      <w:r w:rsidRPr="00F82EC2">
        <w:rPr>
          <w:rFonts w:ascii="Times New Roman" w:hAnsi="Times New Roman" w:cs="Times New Roman"/>
          <w:sz w:val="24"/>
        </w:rPr>
        <w:t>These results align with global concerns about the marginalization of interior design knowledge in architectural education. Many programs prioritize structure, form, and technical construction over spatial functionality and sensory experience. This imbalance mirrors Pelletier’s (2017) assertion that architectural curricula often privilege structural systems over interior tectonics. As a result, graduates may be proficient in building form but less capable of designing responsive and livable interiors.</w:t>
      </w:r>
    </w:p>
    <w:p w:rsidR="00753ADC" w:rsidRPr="00F82EC2" w:rsidRDefault="009A128D" w:rsidP="008F7780">
      <w:pPr>
        <w:spacing w:after="0" w:line="360" w:lineRule="auto"/>
        <w:rPr>
          <w:rFonts w:ascii="Times New Roman" w:hAnsi="Times New Roman" w:cs="Times New Roman"/>
          <w:sz w:val="24"/>
        </w:rPr>
      </w:pPr>
      <w:r w:rsidRPr="00F82EC2">
        <w:rPr>
          <w:rFonts w:ascii="Times New Roman" w:hAnsi="Times New Roman" w:cs="Times New Roman"/>
          <w:sz w:val="24"/>
        </w:rPr>
        <w:t xml:space="preserve">The significant progression in performance across academic levels underscores the value of progressive design studio training. By the 500 level, students demonstrate deeper integration of interior concepts, confirming the cumulative benefit of experiential learning. However, as </w:t>
      </w:r>
      <w:proofErr w:type="spellStart"/>
      <w:r w:rsidRPr="00F82EC2">
        <w:rPr>
          <w:rFonts w:ascii="Times New Roman" w:hAnsi="Times New Roman" w:cs="Times New Roman"/>
          <w:sz w:val="24"/>
        </w:rPr>
        <w:t>Šafárová</w:t>
      </w:r>
      <w:proofErr w:type="spellEnd"/>
      <w:r w:rsidRPr="00F82EC2">
        <w:rPr>
          <w:rFonts w:ascii="Times New Roman" w:hAnsi="Times New Roman" w:cs="Times New Roman"/>
          <w:sz w:val="24"/>
        </w:rPr>
        <w:t xml:space="preserve"> </w:t>
      </w:r>
      <w:r w:rsidRPr="008F7780">
        <w:rPr>
          <w:rFonts w:ascii="Times New Roman" w:hAnsi="Times New Roman" w:cs="Times New Roman"/>
          <w:i/>
          <w:sz w:val="24"/>
        </w:rPr>
        <w:t>et al</w:t>
      </w:r>
      <w:r w:rsidRPr="00F82EC2">
        <w:rPr>
          <w:rFonts w:ascii="Times New Roman" w:hAnsi="Times New Roman" w:cs="Times New Roman"/>
          <w:sz w:val="24"/>
        </w:rPr>
        <w:t>. (2019) cautioned, remediation at advanced stages is less effective than early integration. Therefore, interior design principles should be introduced earlier in the curriculum and reinforced consistently through studio projects, rather than as supplementary content.</w:t>
      </w:r>
    </w:p>
    <w:p w:rsidR="00753ADC" w:rsidRDefault="009A128D" w:rsidP="00A21572">
      <w:pPr>
        <w:spacing w:after="0" w:line="360" w:lineRule="auto"/>
        <w:rPr>
          <w:rFonts w:ascii="Times New Roman" w:hAnsi="Times New Roman" w:cs="Times New Roman"/>
          <w:sz w:val="24"/>
        </w:rPr>
      </w:pPr>
      <w:r w:rsidRPr="00F82EC2">
        <w:rPr>
          <w:rFonts w:ascii="Times New Roman" w:hAnsi="Times New Roman" w:cs="Times New Roman"/>
          <w:sz w:val="24"/>
        </w:rPr>
        <w:t>Overall, the study highlights the need for a pedagogical restructuring that embeds interior design competencies as core components of architectural education. Strengthening modules in lighting, spatial organization, and human-environment interaction would enhance students’ design literacy and better prepare them for interdisciplinary professional practice.</w:t>
      </w:r>
    </w:p>
    <w:p w:rsidR="00A21572" w:rsidRPr="00A21572" w:rsidRDefault="00A21572" w:rsidP="00A21572">
      <w:pPr>
        <w:spacing w:line="360" w:lineRule="auto"/>
        <w:rPr>
          <w:rFonts w:ascii="Times New Roman" w:hAnsi="Times New Roman" w:cs="Times New Roman"/>
          <w:sz w:val="24"/>
        </w:rPr>
      </w:pPr>
      <w:r w:rsidRPr="00A21572">
        <w:rPr>
          <w:rFonts w:ascii="Times New Roman" w:hAnsi="Times New Roman" w:cs="Times New Roman"/>
          <w:sz w:val="24"/>
        </w:rPr>
        <w:t xml:space="preserve">Implementing the proposed curriculum reforms requires a phased and collaborative approach. Integrating interior design modules at the early stages of architectural education should begin with curriculum review committees involving faculty, industry professionals, and accreditation bodies. Short-term measures may include revising existing studio briefs to embed lighting and spatial planning tasks, while long-term strategies could involve creating joint architecture–interior design workshops and </w:t>
      </w:r>
      <w:r w:rsidRPr="00A21572">
        <w:rPr>
          <w:rFonts w:ascii="Times New Roman" w:hAnsi="Times New Roman" w:cs="Times New Roman"/>
          <w:sz w:val="24"/>
        </w:rPr>
        <w:lastRenderedPageBreak/>
        <w:t>investing in simulation technology. Over time, these reforms are expected to cultivate design graduates with stronger spatial literacy, enhanced user-centered awareness, and greater adaptability to multidisciplinary des</w:t>
      </w:r>
      <w:r>
        <w:rPr>
          <w:rFonts w:ascii="Times New Roman" w:hAnsi="Times New Roman" w:cs="Times New Roman"/>
          <w:sz w:val="24"/>
        </w:rPr>
        <w:t xml:space="preserve">ign challenges </w:t>
      </w:r>
      <w:r w:rsidRPr="00A21572">
        <w:rPr>
          <w:rFonts w:ascii="Times New Roman" w:hAnsi="Times New Roman" w:cs="Times New Roman"/>
          <w:sz w:val="24"/>
        </w:rPr>
        <w:t>ultimately elevating the quality and relevance of architectural education in Nigeria.</w:t>
      </w:r>
    </w:p>
    <w:p w:rsidR="00753ADC" w:rsidRPr="008F7780" w:rsidRDefault="008F7780" w:rsidP="00F82EC2">
      <w:pPr>
        <w:spacing w:line="360" w:lineRule="auto"/>
        <w:rPr>
          <w:rFonts w:ascii="Times New Roman" w:hAnsi="Times New Roman" w:cs="Times New Roman"/>
          <w:b/>
          <w:sz w:val="22"/>
          <w:szCs w:val="22"/>
        </w:rPr>
      </w:pPr>
      <w:r w:rsidRPr="008F7780">
        <w:rPr>
          <w:rFonts w:ascii="Times New Roman" w:hAnsi="Times New Roman" w:cs="Times New Roman"/>
          <w:b/>
          <w:sz w:val="22"/>
          <w:szCs w:val="22"/>
        </w:rPr>
        <w:t>CONCLUSION</w:t>
      </w:r>
    </w:p>
    <w:p w:rsidR="00753ADC" w:rsidRPr="00F82EC2" w:rsidRDefault="009A128D" w:rsidP="008F7780">
      <w:pPr>
        <w:spacing w:after="0" w:line="360" w:lineRule="auto"/>
        <w:rPr>
          <w:rFonts w:ascii="Times New Roman" w:hAnsi="Times New Roman" w:cs="Times New Roman"/>
          <w:sz w:val="24"/>
        </w:rPr>
      </w:pPr>
      <w:r w:rsidRPr="00F82EC2">
        <w:rPr>
          <w:rFonts w:ascii="Times New Roman" w:hAnsi="Times New Roman" w:cs="Times New Roman"/>
          <w:sz w:val="24"/>
        </w:rPr>
        <w:t>This study revealed that while architecture students at LAUTECH appreciate the importance of interior design, many lack adequate proficiency in essential principles such as lighting design and space planning. These gaps reflect a broader pedagogical imbalance in Nigerian architectural education, where interior design is often treated as a secondary consideration.</w:t>
      </w:r>
    </w:p>
    <w:p w:rsidR="00753ADC" w:rsidRPr="00F82EC2" w:rsidRDefault="009A128D" w:rsidP="008F7780">
      <w:pPr>
        <w:spacing w:after="0" w:line="360" w:lineRule="auto"/>
        <w:rPr>
          <w:rFonts w:ascii="Times New Roman" w:hAnsi="Times New Roman" w:cs="Times New Roman"/>
          <w:sz w:val="24"/>
        </w:rPr>
      </w:pPr>
      <w:r w:rsidRPr="00F82EC2">
        <w:rPr>
          <w:rFonts w:ascii="Times New Roman" w:hAnsi="Times New Roman" w:cs="Times New Roman"/>
          <w:sz w:val="24"/>
        </w:rPr>
        <w:t>However, the observed progression in students’ performance across academic levels underscores the transformative impact of studio-based experiential learning. A restructured curriculum that embeds interior design concepts from the early stages of training, supported by interdisciplinary teaching and technology-driven learning tools, will produce more well-rounded architects capable of integrating aesthetics, functionality, and user comfort.</w:t>
      </w:r>
    </w:p>
    <w:p w:rsidR="00753ADC" w:rsidRDefault="009A128D" w:rsidP="00F82EC2">
      <w:pPr>
        <w:spacing w:line="360" w:lineRule="auto"/>
        <w:rPr>
          <w:rFonts w:ascii="Times New Roman" w:hAnsi="Times New Roman" w:cs="Times New Roman"/>
          <w:sz w:val="24"/>
        </w:rPr>
      </w:pPr>
      <w:r w:rsidRPr="00F82EC2">
        <w:rPr>
          <w:rFonts w:ascii="Times New Roman" w:hAnsi="Times New Roman" w:cs="Times New Roman"/>
          <w:sz w:val="24"/>
        </w:rPr>
        <w:t>Ultimately, aligning architectural education with holistic spatial thinking is vital for creating built environments that are both technically sound and experientially meaningful. Future research should adopt a longitudinal approach to evaluate how curricular reforms and interdisciplinary initiatives influence graduates’ professional competence and design innovation over time.</w:t>
      </w:r>
    </w:p>
    <w:p w:rsidR="008E2554" w:rsidRPr="008F7780" w:rsidRDefault="008E2554" w:rsidP="008E2554">
      <w:pPr>
        <w:spacing w:after="0" w:line="360" w:lineRule="auto"/>
        <w:rPr>
          <w:rFonts w:ascii="Times New Roman" w:hAnsi="Times New Roman" w:cs="Times New Roman"/>
          <w:b/>
          <w:sz w:val="24"/>
        </w:rPr>
      </w:pPr>
      <w:r w:rsidRPr="008F7780">
        <w:rPr>
          <w:rFonts w:ascii="Times New Roman" w:hAnsi="Times New Roman" w:cs="Times New Roman"/>
          <w:b/>
          <w:sz w:val="24"/>
        </w:rPr>
        <w:t>RECOMMENDATIONS</w:t>
      </w:r>
    </w:p>
    <w:p w:rsidR="008E2554" w:rsidRPr="00F82EC2" w:rsidRDefault="008E2554" w:rsidP="008E2554">
      <w:pPr>
        <w:spacing w:after="0" w:line="360" w:lineRule="auto"/>
        <w:rPr>
          <w:rFonts w:ascii="Times New Roman" w:hAnsi="Times New Roman" w:cs="Times New Roman"/>
          <w:sz w:val="24"/>
        </w:rPr>
      </w:pPr>
      <w:r w:rsidRPr="00F82EC2">
        <w:rPr>
          <w:rFonts w:ascii="Times New Roman" w:hAnsi="Times New Roman" w:cs="Times New Roman"/>
          <w:sz w:val="24"/>
        </w:rPr>
        <w:t>Based on the findings, the following recommendations are proposed to strengthen architecture students’ understanding of interior design principles and enhance curricular effectiveness:</w:t>
      </w:r>
    </w:p>
    <w:p w:rsidR="008E2554" w:rsidRPr="00A21572" w:rsidRDefault="008E2554" w:rsidP="008E2554">
      <w:pPr>
        <w:spacing w:after="0"/>
        <w:rPr>
          <w:rFonts w:ascii="Times New Roman" w:hAnsi="Times New Roman" w:cs="Times New Roman"/>
          <w:b/>
          <w:sz w:val="24"/>
        </w:rPr>
      </w:pPr>
      <w:r w:rsidRPr="00A21572">
        <w:rPr>
          <w:rFonts w:ascii="Times New Roman" w:hAnsi="Times New Roman" w:cs="Times New Roman"/>
          <w:b/>
          <w:sz w:val="24"/>
        </w:rPr>
        <w:t>1.</w:t>
      </w:r>
      <w:r w:rsidRPr="00A21572">
        <w:rPr>
          <w:rFonts w:ascii="Times New Roman" w:hAnsi="Times New Roman" w:cs="Times New Roman"/>
          <w:b/>
          <w:sz w:val="24"/>
        </w:rPr>
        <w:tab/>
        <w:t>Curriculum Restructuring</w:t>
      </w:r>
    </w:p>
    <w:p w:rsidR="008E2554" w:rsidRPr="00A21572" w:rsidRDefault="008E2554" w:rsidP="008E2554">
      <w:pPr>
        <w:spacing w:line="360" w:lineRule="auto"/>
        <w:rPr>
          <w:rFonts w:ascii="Times New Roman" w:hAnsi="Times New Roman" w:cs="Times New Roman"/>
          <w:sz w:val="24"/>
        </w:rPr>
      </w:pPr>
      <w:r w:rsidRPr="00A21572">
        <w:rPr>
          <w:rFonts w:ascii="Times New Roman" w:hAnsi="Times New Roman" w:cs="Times New Roman"/>
          <w:sz w:val="24"/>
        </w:rPr>
        <w:t>Embed k</w:t>
      </w:r>
      <w:r>
        <w:rPr>
          <w:rFonts w:ascii="Times New Roman" w:hAnsi="Times New Roman" w:cs="Times New Roman"/>
          <w:sz w:val="24"/>
        </w:rPr>
        <w:t xml:space="preserve">ey interior design competencies </w:t>
      </w:r>
      <w:r w:rsidRPr="00A21572">
        <w:rPr>
          <w:rFonts w:ascii="Times New Roman" w:hAnsi="Times New Roman" w:cs="Times New Roman"/>
          <w:sz w:val="24"/>
        </w:rPr>
        <w:t>especially lig</w:t>
      </w:r>
      <w:r>
        <w:rPr>
          <w:rFonts w:ascii="Times New Roman" w:hAnsi="Times New Roman" w:cs="Times New Roman"/>
          <w:sz w:val="24"/>
        </w:rPr>
        <w:t xml:space="preserve">hting design and space planning </w:t>
      </w:r>
      <w:r w:rsidRPr="00A21572">
        <w:rPr>
          <w:rFonts w:ascii="Times New Roman" w:hAnsi="Times New Roman" w:cs="Times New Roman"/>
          <w:sz w:val="24"/>
        </w:rPr>
        <w:t xml:space="preserve">into lower-level studio courses (200 Level). Early exposure will help students internalize the relationship between form, function, and user experience. Incorporating </w:t>
      </w:r>
      <w:r w:rsidRPr="00A21572">
        <w:rPr>
          <w:rFonts w:ascii="Times New Roman" w:hAnsi="Times New Roman" w:cs="Times New Roman"/>
          <w:sz w:val="24"/>
        </w:rPr>
        <w:lastRenderedPageBreak/>
        <w:t>digital tools such as Building Information Modelling (BIM) and Virtual Reality (VR) will simulate real-world interior conditions and enhance spatial visualization.</w:t>
      </w:r>
    </w:p>
    <w:p w:rsidR="008E2554" w:rsidRPr="00A21572" w:rsidRDefault="008E2554" w:rsidP="008E2554">
      <w:pPr>
        <w:spacing w:after="0" w:line="360" w:lineRule="auto"/>
        <w:rPr>
          <w:rFonts w:ascii="Times New Roman" w:hAnsi="Times New Roman" w:cs="Times New Roman"/>
          <w:b/>
          <w:sz w:val="24"/>
        </w:rPr>
      </w:pPr>
      <w:r w:rsidRPr="00A21572">
        <w:rPr>
          <w:rFonts w:ascii="Times New Roman" w:hAnsi="Times New Roman" w:cs="Times New Roman"/>
          <w:b/>
          <w:sz w:val="24"/>
        </w:rPr>
        <w:tab/>
        <w:t>2.</w:t>
      </w:r>
      <w:r w:rsidRPr="00A21572">
        <w:rPr>
          <w:rFonts w:ascii="Times New Roman" w:hAnsi="Times New Roman" w:cs="Times New Roman"/>
          <w:b/>
          <w:sz w:val="24"/>
        </w:rPr>
        <w:tab/>
        <w:t>Interdisciplinary Collaboration</w:t>
      </w:r>
    </w:p>
    <w:p w:rsidR="008E2554" w:rsidRPr="00A21572" w:rsidRDefault="008E2554" w:rsidP="008E2554">
      <w:pPr>
        <w:spacing w:line="360" w:lineRule="auto"/>
        <w:rPr>
          <w:rFonts w:ascii="Times New Roman" w:hAnsi="Times New Roman" w:cs="Times New Roman"/>
          <w:sz w:val="24"/>
        </w:rPr>
      </w:pPr>
      <w:r w:rsidRPr="00A21572">
        <w:rPr>
          <w:rFonts w:ascii="Times New Roman" w:hAnsi="Times New Roman" w:cs="Times New Roman"/>
          <w:sz w:val="24"/>
        </w:rPr>
        <w:t>Strengthen collaboration between Architecture, Interior Design, and Fine Arts departments through joint workshops, design charrettes, and interdisciplinary studio projects. Such initiatives foster shared understanding, creative exchange, and real-world professional synergy.</w:t>
      </w:r>
    </w:p>
    <w:p w:rsidR="008E2554" w:rsidRPr="00A21572" w:rsidRDefault="008E2554" w:rsidP="008E2554">
      <w:pPr>
        <w:spacing w:after="0" w:line="360" w:lineRule="auto"/>
        <w:rPr>
          <w:rFonts w:ascii="Times New Roman" w:hAnsi="Times New Roman" w:cs="Times New Roman"/>
          <w:b/>
          <w:sz w:val="24"/>
        </w:rPr>
      </w:pPr>
      <w:r w:rsidRPr="00A21572">
        <w:rPr>
          <w:rFonts w:ascii="Times New Roman" w:hAnsi="Times New Roman" w:cs="Times New Roman"/>
          <w:b/>
          <w:sz w:val="24"/>
        </w:rPr>
        <w:tab/>
        <w:t>3.</w:t>
      </w:r>
      <w:r w:rsidRPr="00A21572">
        <w:rPr>
          <w:rFonts w:ascii="Times New Roman" w:hAnsi="Times New Roman" w:cs="Times New Roman"/>
          <w:b/>
          <w:sz w:val="24"/>
        </w:rPr>
        <w:tab/>
        <w:t>Faculty Development</w:t>
      </w:r>
    </w:p>
    <w:p w:rsidR="008E2554" w:rsidRPr="00A21572" w:rsidRDefault="008E2554" w:rsidP="008E2554">
      <w:pPr>
        <w:spacing w:line="360" w:lineRule="auto"/>
        <w:rPr>
          <w:rFonts w:ascii="Times New Roman" w:hAnsi="Times New Roman" w:cs="Times New Roman"/>
          <w:sz w:val="24"/>
        </w:rPr>
      </w:pPr>
      <w:r w:rsidRPr="00A21572">
        <w:rPr>
          <w:rFonts w:ascii="Times New Roman" w:hAnsi="Times New Roman" w:cs="Times New Roman"/>
          <w:sz w:val="24"/>
        </w:rPr>
        <w:t>Encourage continuous professional development through CPD workshops, training programs, and partnerships with bodies such as the Nigerian Institute of Architects (NIA) and the Royal Architectural Institute of Canada (RAIC). This will update instructors’ knowledge in interior design pedagogy, lighting systems, and ergonomics.</w:t>
      </w:r>
    </w:p>
    <w:p w:rsidR="008E2554" w:rsidRPr="00A21572" w:rsidRDefault="008E2554" w:rsidP="008E2554">
      <w:pPr>
        <w:spacing w:after="0" w:line="360" w:lineRule="auto"/>
        <w:rPr>
          <w:rFonts w:ascii="Times New Roman" w:hAnsi="Times New Roman" w:cs="Times New Roman"/>
          <w:b/>
          <w:sz w:val="24"/>
        </w:rPr>
      </w:pPr>
      <w:r w:rsidRPr="00A21572">
        <w:rPr>
          <w:rFonts w:ascii="Times New Roman" w:hAnsi="Times New Roman" w:cs="Times New Roman"/>
          <w:b/>
          <w:sz w:val="24"/>
        </w:rPr>
        <w:tab/>
        <w:t>4.</w:t>
      </w:r>
      <w:r w:rsidRPr="00A21572">
        <w:rPr>
          <w:rFonts w:ascii="Times New Roman" w:hAnsi="Times New Roman" w:cs="Times New Roman"/>
          <w:b/>
          <w:sz w:val="24"/>
        </w:rPr>
        <w:tab/>
        <w:t>Resource Enhancement</w:t>
      </w:r>
    </w:p>
    <w:p w:rsidR="008E2554" w:rsidRPr="00A21572" w:rsidRDefault="008E2554" w:rsidP="008E2554">
      <w:pPr>
        <w:spacing w:line="360" w:lineRule="auto"/>
        <w:rPr>
          <w:rFonts w:ascii="Times New Roman" w:hAnsi="Times New Roman" w:cs="Times New Roman"/>
          <w:sz w:val="24"/>
        </w:rPr>
      </w:pPr>
      <w:r w:rsidRPr="00A21572">
        <w:rPr>
          <w:rFonts w:ascii="Times New Roman" w:hAnsi="Times New Roman" w:cs="Times New Roman"/>
          <w:sz w:val="24"/>
        </w:rPr>
        <w:t>Invest in studio infrastructure, lighting laboratories, and digital simulation software to bridge theoretical instruction with hands-on experience. Providing access to sustainable material libraries and interactive visual tools will strengthen students’ design experimentation and comprehension.</w:t>
      </w:r>
    </w:p>
    <w:p w:rsidR="008E2554" w:rsidRPr="008E2554" w:rsidRDefault="008E2554" w:rsidP="008E2554">
      <w:pPr>
        <w:autoSpaceDE w:val="0"/>
        <w:autoSpaceDN w:val="0"/>
        <w:adjustRightInd w:val="0"/>
        <w:spacing w:after="0" w:line="240" w:lineRule="auto"/>
        <w:rPr>
          <w:rFonts w:ascii="Times New Roman" w:eastAsia="SimSun" w:hAnsi="Times New Roman"/>
          <w:b/>
          <w:bCs/>
          <w:sz w:val="24"/>
        </w:rPr>
      </w:pPr>
      <w:r w:rsidRPr="008E2554">
        <w:rPr>
          <w:rFonts w:ascii="Times New Roman" w:eastAsia="SimSun" w:hAnsi="Times New Roman"/>
          <w:b/>
          <w:bCs/>
          <w:sz w:val="24"/>
        </w:rPr>
        <w:t>Ethical Approval:</w:t>
      </w:r>
    </w:p>
    <w:p w:rsidR="008E2554" w:rsidRPr="008E2554" w:rsidRDefault="008E2554" w:rsidP="008E2554">
      <w:pPr>
        <w:autoSpaceDE w:val="0"/>
        <w:autoSpaceDN w:val="0"/>
        <w:adjustRightInd w:val="0"/>
        <w:spacing w:after="0" w:line="240" w:lineRule="auto"/>
        <w:rPr>
          <w:rFonts w:ascii="Times New Roman" w:eastAsia="SimSun" w:hAnsi="Times New Roman"/>
          <w:b/>
          <w:bCs/>
          <w:sz w:val="24"/>
        </w:rPr>
      </w:pPr>
    </w:p>
    <w:p w:rsidR="00827464" w:rsidRPr="008E2554" w:rsidRDefault="008E2554" w:rsidP="008E2554">
      <w:pPr>
        <w:autoSpaceDE w:val="0"/>
        <w:autoSpaceDN w:val="0"/>
        <w:adjustRightInd w:val="0"/>
        <w:spacing w:after="0" w:line="240" w:lineRule="auto"/>
        <w:rPr>
          <w:rFonts w:ascii="Times New Roman" w:eastAsia="SimSun" w:hAnsi="Times New Roman"/>
          <w:bCs/>
          <w:sz w:val="24"/>
        </w:rPr>
      </w:pPr>
      <w:r w:rsidRPr="008E2554">
        <w:rPr>
          <w:rFonts w:ascii="Times New Roman" w:eastAsia="SimSun" w:hAnsi="Times New Roman"/>
          <w:bCs/>
          <w:sz w:val="24"/>
        </w:rPr>
        <w:t>As per international standard</w:t>
      </w:r>
      <w:bookmarkStart w:id="0" w:name="_GoBack"/>
      <w:bookmarkEnd w:id="0"/>
      <w:r w:rsidRPr="008E2554">
        <w:rPr>
          <w:rFonts w:ascii="Times New Roman" w:eastAsia="SimSun" w:hAnsi="Times New Roman"/>
          <w:bCs/>
          <w:sz w:val="24"/>
        </w:rPr>
        <w:t>s or university standards written ethical approval has been collected and preserved by the author(s).</w:t>
      </w:r>
    </w:p>
    <w:p w:rsidR="008E2554" w:rsidRDefault="008E2554" w:rsidP="008E2554">
      <w:pPr>
        <w:rPr>
          <w:rFonts w:ascii="Times New Roman" w:hAnsi="Times New Roman" w:cs="Times New Roman"/>
          <w:b/>
          <w:sz w:val="22"/>
          <w:szCs w:val="22"/>
        </w:rPr>
      </w:pPr>
    </w:p>
    <w:p w:rsidR="008E2554" w:rsidRDefault="008E2554" w:rsidP="008E2554">
      <w:pPr>
        <w:rPr>
          <w:rFonts w:ascii="Times New Roman" w:hAnsi="Times New Roman" w:cs="Times New Roman"/>
          <w:b/>
          <w:sz w:val="22"/>
          <w:szCs w:val="22"/>
        </w:rPr>
      </w:pPr>
    </w:p>
    <w:p w:rsidR="008E2554" w:rsidRPr="008E2554" w:rsidRDefault="008E2554" w:rsidP="008E2554">
      <w:pPr>
        <w:rPr>
          <w:rFonts w:ascii="Times New Roman" w:hAnsi="Times New Roman" w:cs="Times New Roman"/>
          <w:b/>
          <w:sz w:val="22"/>
          <w:szCs w:val="22"/>
        </w:rPr>
      </w:pPr>
      <w:r w:rsidRPr="008E2554">
        <w:rPr>
          <w:rFonts w:ascii="Times New Roman" w:hAnsi="Times New Roman" w:cs="Times New Roman"/>
          <w:b/>
          <w:sz w:val="22"/>
          <w:szCs w:val="22"/>
        </w:rPr>
        <w:t>Disclaimer (Artificial intelligence)</w:t>
      </w:r>
    </w:p>
    <w:p w:rsidR="008E2554" w:rsidRPr="008E2554" w:rsidRDefault="008E2554" w:rsidP="008E2554">
      <w:pPr>
        <w:rPr>
          <w:rFonts w:ascii="Times New Roman" w:hAnsi="Times New Roman" w:cs="Times New Roman"/>
          <w:b/>
          <w:sz w:val="22"/>
          <w:szCs w:val="22"/>
        </w:rPr>
      </w:pPr>
      <w:r w:rsidRPr="008E2554">
        <w:rPr>
          <w:rFonts w:ascii="Times New Roman" w:hAnsi="Times New Roman" w:cs="Times New Roman"/>
          <w:b/>
          <w:sz w:val="22"/>
          <w:szCs w:val="22"/>
        </w:rPr>
        <w:t xml:space="preserve">Option 1: </w:t>
      </w:r>
    </w:p>
    <w:p w:rsidR="008E2554" w:rsidRPr="008E2554" w:rsidRDefault="008E2554" w:rsidP="008E2554">
      <w:pPr>
        <w:rPr>
          <w:rFonts w:ascii="Times New Roman" w:hAnsi="Times New Roman" w:cs="Times New Roman"/>
          <w:b/>
          <w:sz w:val="22"/>
          <w:szCs w:val="22"/>
        </w:rPr>
      </w:pPr>
      <w:r w:rsidRPr="008E2554">
        <w:rPr>
          <w:rFonts w:ascii="Times New Roman" w:hAnsi="Times New Roman" w:cs="Times New Roman"/>
          <w:b/>
          <w:sz w:val="22"/>
          <w:szCs w:val="22"/>
        </w:rPr>
        <w:t>Author(s) hereby declare that NO generative AI technologies such as Large Language Models (</w:t>
      </w:r>
      <w:proofErr w:type="spellStart"/>
      <w:r w:rsidRPr="008E2554">
        <w:rPr>
          <w:rFonts w:ascii="Times New Roman" w:hAnsi="Times New Roman" w:cs="Times New Roman"/>
          <w:b/>
          <w:sz w:val="22"/>
          <w:szCs w:val="22"/>
        </w:rPr>
        <w:t>ChatGPT</w:t>
      </w:r>
      <w:proofErr w:type="spellEnd"/>
      <w:r w:rsidRPr="008E2554">
        <w:rPr>
          <w:rFonts w:ascii="Times New Roman" w:hAnsi="Times New Roman" w:cs="Times New Roman"/>
          <w:b/>
          <w:sz w:val="22"/>
          <w:szCs w:val="22"/>
        </w:rPr>
        <w:t xml:space="preserve">, COPILOT, etc.) and text-to-image generators have been used during the writing or editing of this manuscript. </w:t>
      </w:r>
    </w:p>
    <w:p w:rsidR="008E2554" w:rsidRPr="008E2554" w:rsidRDefault="008E2554" w:rsidP="008E2554">
      <w:pPr>
        <w:rPr>
          <w:rFonts w:ascii="Times New Roman" w:hAnsi="Times New Roman" w:cs="Times New Roman"/>
          <w:b/>
          <w:sz w:val="22"/>
          <w:szCs w:val="22"/>
        </w:rPr>
      </w:pPr>
      <w:r w:rsidRPr="008E2554">
        <w:rPr>
          <w:rFonts w:ascii="Times New Roman" w:hAnsi="Times New Roman" w:cs="Times New Roman"/>
          <w:b/>
          <w:sz w:val="22"/>
          <w:szCs w:val="22"/>
        </w:rPr>
        <w:t xml:space="preserve">Option 2: </w:t>
      </w:r>
    </w:p>
    <w:p w:rsidR="008E2554" w:rsidRPr="008E2554" w:rsidRDefault="008E2554" w:rsidP="008E2554">
      <w:pPr>
        <w:rPr>
          <w:rFonts w:ascii="Times New Roman" w:hAnsi="Times New Roman" w:cs="Times New Roman"/>
          <w:b/>
          <w:sz w:val="22"/>
          <w:szCs w:val="22"/>
        </w:rPr>
      </w:pPr>
      <w:r w:rsidRPr="008E2554">
        <w:rPr>
          <w:rFonts w:ascii="Times New Roman" w:hAnsi="Times New Roman" w:cs="Times New Roman"/>
          <w:b/>
          <w:sz w:val="22"/>
          <w:szCs w:val="22"/>
        </w:rPr>
        <w:t xml:space="preserve">Author(s) hereby declare that generative AI technologies such as Large Language Models, </w:t>
      </w:r>
      <w:r w:rsidRPr="008E2554">
        <w:rPr>
          <w:rFonts w:ascii="Times New Roman" w:hAnsi="Times New Roman" w:cs="Times New Roman"/>
          <w:b/>
          <w:sz w:val="22"/>
          <w:szCs w:val="22"/>
        </w:rPr>
        <w:lastRenderedPageBreak/>
        <w:t>etc. have been used during the writing or editing of manuscripts. This explanation will include the name, version, model, and source of the generative AI technology and as well as all input prompts provided to the generative AI technology</w:t>
      </w:r>
    </w:p>
    <w:p w:rsidR="008E2554" w:rsidRPr="008E2554" w:rsidRDefault="008E2554" w:rsidP="008E2554">
      <w:pPr>
        <w:rPr>
          <w:rFonts w:ascii="Times New Roman" w:hAnsi="Times New Roman" w:cs="Times New Roman"/>
          <w:b/>
          <w:sz w:val="22"/>
          <w:szCs w:val="22"/>
        </w:rPr>
      </w:pPr>
      <w:r w:rsidRPr="008E2554">
        <w:rPr>
          <w:rFonts w:ascii="Times New Roman" w:hAnsi="Times New Roman" w:cs="Times New Roman"/>
          <w:b/>
          <w:sz w:val="22"/>
          <w:szCs w:val="22"/>
        </w:rPr>
        <w:t>Details of the AI usage are given below:</w:t>
      </w:r>
    </w:p>
    <w:p w:rsidR="008E2554" w:rsidRPr="008E2554" w:rsidRDefault="008E2554" w:rsidP="008E2554">
      <w:pPr>
        <w:rPr>
          <w:rFonts w:ascii="Times New Roman" w:hAnsi="Times New Roman" w:cs="Times New Roman"/>
          <w:b/>
          <w:sz w:val="22"/>
          <w:szCs w:val="22"/>
        </w:rPr>
      </w:pPr>
      <w:r w:rsidRPr="008E2554">
        <w:rPr>
          <w:rFonts w:ascii="Times New Roman" w:hAnsi="Times New Roman" w:cs="Times New Roman"/>
          <w:b/>
          <w:sz w:val="22"/>
          <w:szCs w:val="22"/>
        </w:rPr>
        <w:t>1.</w:t>
      </w:r>
    </w:p>
    <w:p w:rsidR="008E2554" w:rsidRPr="008E2554" w:rsidRDefault="008E2554" w:rsidP="008E2554">
      <w:pPr>
        <w:rPr>
          <w:rFonts w:ascii="Times New Roman" w:hAnsi="Times New Roman" w:cs="Times New Roman"/>
          <w:b/>
          <w:sz w:val="22"/>
          <w:szCs w:val="22"/>
        </w:rPr>
      </w:pPr>
      <w:r w:rsidRPr="008E2554">
        <w:rPr>
          <w:rFonts w:ascii="Times New Roman" w:hAnsi="Times New Roman" w:cs="Times New Roman"/>
          <w:b/>
          <w:sz w:val="22"/>
          <w:szCs w:val="22"/>
        </w:rPr>
        <w:t>2.</w:t>
      </w:r>
    </w:p>
    <w:p w:rsidR="008E2554" w:rsidRDefault="008E2554" w:rsidP="008E2554">
      <w:pPr>
        <w:rPr>
          <w:rFonts w:ascii="Times New Roman" w:hAnsi="Times New Roman" w:cs="Times New Roman"/>
          <w:b/>
          <w:sz w:val="22"/>
          <w:szCs w:val="22"/>
        </w:rPr>
      </w:pPr>
      <w:r w:rsidRPr="008E2554">
        <w:rPr>
          <w:rFonts w:ascii="Times New Roman" w:hAnsi="Times New Roman" w:cs="Times New Roman"/>
          <w:b/>
          <w:sz w:val="22"/>
          <w:szCs w:val="22"/>
        </w:rPr>
        <w:t>3.</w:t>
      </w:r>
    </w:p>
    <w:p w:rsidR="00827464" w:rsidRPr="00827464" w:rsidRDefault="00827464" w:rsidP="00827464">
      <w:pPr>
        <w:rPr>
          <w:rFonts w:ascii="Times New Roman" w:hAnsi="Times New Roman" w:cs="Times New Roman"/>
          <w:b/>
          <w:sz w:val="22"/>
          <w:szCs w:val="22"/>
        </w:rPr>
      </w:pPr>
      <w:r w:rsidRPr="00827464">
        <w:rPr>
          <w:rFonts w:ascii="Times New Roman" w:hAnsi="Times New Roman" w:cs="Times New Roman"/>
          <w:b/>
          <w:sz w:val="22"/>
          <w:szCs w:val="22"/>
        </w:rPr>
        <w:t>References</w:t>
      </w:r>
    </w:p>
    <w:p w:rsidR="00827464" w:rsidRPr="000472B1" w:rsidRDefault="00827464" w:rsidP="000472B1">
      <w:pPr>
        <w:pStyle w:val="ListParagraph"/>
        <w:numPr>
          <w:ilvl w:val="0"/>
          <w:numId w:val="1"/>
        </w:numPr>
        <w:rPr>
          <w:rFonts w:ascii="Times New Roman" w:hAnsi="Times New Roman"/>
        </w:rPr>
      </w:pPr>
      <w:proofErr w:type="spellStart"/>
      <w:r w:rsidRPr="000472B1">
        <w:rPr>
          <w:rFonts w:ascii="Times New Roman" w:hAnsi="Times New Roman"/>
        </w:rPr>
        <w:t>Abouelela</w:t>
      </w:r>
      <w:proofErr w:type="spellEnd"/>
      <w:r w:rsidRPr="000472B1">
        <w:rPr>
          <w:rFonts w:ascii="Times New Roman" w:hAnsi="Times New Roman"/>
        </w:rPr>
        <w:t xml:space="preserve">, A. (2022). The effectiveness of the role of interior design in creating functional </w:t>
      </w:r>
      <w:r w:rsidRPr="000472B1">
        <w:rPr>
          <w:rFonts w:ascii="Times New Roman" w:hAnsi="Times New Roman"/>
        </w:rPr>
        <w:tab/>
        <w:t xml:space="preserve">and institutional happiness for work environments: </w:t>
      </w:r>
      <w:r w:rsidRPr="000472B1">
        <w:rPr>
          <w:rFonts w:ascii="Times New Roman" w:hAnsi="Times New Roman"/>
          <w:i/>
        </w:rPr>
        <w:t>King Faisal University as a model.</w:t>
      </w:r>
      <w:r w:rsidRPr="000472B1">
        <w:rPr>
          <w:rFonts w:ascii="Times New Roman" w:hAnsi="Times New Roman"/>
        </w:rPr>
        <w:t xml:space="preserve"> </w:t>
      </w:r>
      <w:r w:rsidRPr="000472B1">
        <w:rPr>
          <w:rFonts w:ascii="Times New Roman" w:hAnsi="Times New Roman"/>
        </w:rPr>
        <w:tab/>
        <w:t>Designs, 6(3), Article 45. https://doi.org/10.3390/designs6030045</w:t>
      </w:r>
    </w:p>
    <w:p w:rsidR="00827464" w:rsidRPr="000472B1" w:rsidRDefault="00827464" w:rsidP="000472B1">
      <w:pPr>
        <w:pStyle w:val="ListParagraph"/>
        <w:numPr>
          <w:ilvl w:val="0"/>
          <w:numId w:val="1"/>
        </w:numPr>
        <w:rPr>
          <w:rFonts w:ascii="Times New Roman" w:hAnsi="Times New Roman"/>
        </w:rPr>
      </w:pPr>
      <w:r w:rsidRPr="000472B1">
        <w:rPr>
          <w:rFonts w:ascii="Times New Roman" w:hAnsi="Times New Roman"/>
        </w:rPr>
        <w:t xml:space="preserve">Akande, O. K., Obi-George, C. L., </w:t>
      </w:r>
      <w:proofErr w:type="spellStart"/>
      <w:r w:rsidRPr="000472B1">
        <w:rPr>
          <w:rFonts w:ascii="Times New Roman" w:hAnsi="Times New Roman"/>
        </w:rPr>
        <w:t>Anikor</w:t>
      </w:r>
      <w:proofErr w:type="spellEnd"/>
      <w:r w:rsidRPr="000472B1">
        <w:rPr>
          <w:rFonts w:ascii="Times New Roman" w:hAnsi="Times New Roman"/>
        </w:rPr>
        <w:t xml:space="preserve">, E. M., &amp; Makun, C. Y. (2024). Evaluation of </w:t>
      </w:r>
      <w:r w:rsidRPr="000472B1">
        <w:rPr>
          <w:rFonts w:ascii="Times New Roman" w:hAnsi="Times New Roman"/>
        </w:rPr>
        <w:tab/>
        <w:t xml:space="preserve">interactive spaces for enhanced learning in architecture department buildings in Niger </w:t>
      </w:r>
      <w:r w:rsidRPr="000472B1">
        <w:rPr>
          <w:rFonts w:ascii="Times New Roman" w:hAnsi="Times New Roman"/>
        </w:rPr>
        <w:tab/>
        <w:t xml:space="preserve">State, Nigeria. </w:t>
      </w:r>
      <w:proofErr w:type="spellStart"/>
      <w:r w:rsidRPr="000472B1">
        <w:rPr>
          <w:rFonts w:ascii="Times New Roman" w:hAnsi="Times New Roman"/>
        </w:rPr>
        <w:t>ArtGRID</w:t>
      </w:r>
      <w:proofErr w:type="spellEnd"/>
      <w:r w:rsidRPr="000472B1">
        <w:rPr>
          <w:rFonts w:ascii="Times New Roman" w:hAnsi="Times New Roman"/>
        </w:rPr>
        <w:t xml:space="preserve">: </w:t>
      </w:r>
      <w:r w:rsidRPr="000472B1">
        <w:rPr>
          <w:rFonts w:ascii="Times New Roman" w:hAnsi="Times New Roman"/>
          <w:i/>
        </w:rPr>
        <w:t>Journal of Architecture, Engineering &amp; Fine Arts</w:t>
      </w:r>
      <w:r w:rsidRPr="000472B1">
        <w:rPr>
          <w:rFonts w:ascii="Times New Roman" w:hAnsi="Times New Roman"/>
        </w:rPr>
        <w:t xml:space="preserve">, 6(1), 96–110. </w:t>
      </w:r>
      <w:r w:rsidRPr="000472B1">
        <w:rPr>
          <w:rFonts w:ascii="Times New Roman" w:hAnsi="Times New Roman"/>
        </w:rPr>
        <w:tab/>
        <w:t xml:space="preserve">https://doi.org/10.57165/artgrid.1387692.  </w:t>
      </w:r>
    </w:p>
    <w:p w:rsidR="00827464" w:rsidRPr="000472B1" w:rsidRDefault="00827464" w:rsidP="000472B1">
      <w:pPr>
        <w:pStyle w:val="ListParagraph"/>
        <w:numPr>
          <w:ilvl w:val="0"/>
          <w:numId w:val="1"/>
        </w:numPr>
        <w:rPr>
          <w:rFonts w:ascii="Times New Roman" w:hAnsi="Times New Roman"/>
        </w:rPr>
      </w:pPr>
      <w:r w:rsidRPr="000472B1">
        <w:rPr>
          <w:rFonts w:ascii="Times New Roman" w:hAnsi="Times New Roman"/>
        </w:rPr>
        <w:t xml:space="preserve">Assali, I., et al. (2023). A blended model of interior design studio practice due to COVID-19: </w:t>
      </w:r>
      <w:r w:rsidRPr="000472B1">
        <w:rPr>
          <w:rFonts w:ascii="Times New Roman" w:hAnsi="Times New Roman"/>
        </w:rPr>
        <w:tab/>
        <w:t xml:space="preserve">students’ experiences and pedagogical implications. </w:t>
      </w:r>
      <w:r w:rsidRPr="000472B1">
        <w:rPr>
          <w:rFonts w:ascii="Times New Roman" w:hAnsi="Times New Roman"/>
          <w:i/>
        </w:rPr>
        <w:t>Frontiers / PubMed Central.</w:t>
      </w:r>
      <w:r w:rsidRPr="000472B1">
        <w:rPr>
          <w:rFonts w:ascii="Times New Roman" w:hAnsi="Times New Roman"/>
        </w:rPr>
        <w:t xml:space="preserve"> </w:t>
      </w:r>
      <w:r w:rsidRPr="000472B1">
        <w:rPr>
          <w:rFonts w:ascii="Times New Roman" w:hAnsi="Times New Roman"/>
        </w:rPr>
        <w:tab/>
        <w:t xml:space="preserve">https://www.ncbi.nlm.nih.gov/pmc/articles/PMC10390791/.  </w:t>
      </w:r>
    </w:p>
    <w:p w:rsidR="00827464" w:rsidRPr="000472B1" w:rsidRDefault="00827464" w:rsidP="000472B1">
      <w:pPr>
        <w:pStyle w:val="ListParagraph"/>
        <w:numPr>
          <w:ilvl w:val="0"/>
          <w:numId w:val="1"/>
        </w:numPr>
        <w:rPr>
          <w:rFonts w:ascii="Times New Roman" w:hAnsi="Times New Roman"/>
        </w:rPr>
      </w:pPr>
      <w:r w:rsidRPr="000472B1">
        <w:rPr>
          <w:rFonts w:ascii="Times New Roman" w:hAnsi="Times New Roman"/>
        </w:rPr>
        <w:t xml:space="preserve">Ching, F. D. K., &amp; Binggeli, C. (2012). Interior Design Illustrated (3rd ed.). John Wiley &amp; </w:t>
      </w:r>
      <w:r w:rsidRPr="000472B1">
        <w:rPr>
          <w:rFonts w:ascii="Times New Roman" w:hAnsi="Times New Roman"/>
        </w:rPr>
        <w:tab/>
      </w:r>
      <w:proofErr w:type="gramStart"/>
      <w:r w:rsidRPr="000472B1">
        <w:rPr>
          <w:rFonts w:ascii="Times New Roman" w:hAnsi="Times New Roman"/>
        </w:rPr>
        <w:t>Sons.(</w:t>
      </w:r>
      <w:proofErr w:type="gramEnd"/>
      <w:r w:rsidRPr="000472B1">
        <w:rPr>
          <w:rFonts w:ascii="Times New Roman" w:hAnsi="Times New Roman"/>
        </w:rPr>
        <w:t xml:space="preserve">Foundational textbook describing interior-design principles such as balance, scale, </w:t>
      </w:r>
      <w:r w:rsidRPr="000472B1">
        <w:rPr>
          <w:rFonts w:ascii="Times New Roman" w:hAnsi="Times New Roman"/>
        </w:rPr>
        <w:tab/>
        <w:t>proportion, rhythm and unity; widely used in design education.)</w:t>
      </w:r>
    </w:p>
    <w:p w:rsidR="00827464" w:rsidRPr="000472B1" w:rsidRDefault="00827464" w:rsidP="000472B1">
      <w:pPr>
        <w:pStyle w:val="ListParagraph"/>
        <w:numPr>
          <w:ilvl w:val="0"/>
          <w:numId w:val="1"/>
        </w:numPr>
        <w:rPr>
          <w:rFonts w:ascii="Times New Roman" w:hAnsi="Times New Roman"/>
        </w:rPr>
      </w:pPr>
      <w:proofErr w:type="spellStart"/>
      <w:r w:rsidRPr="000472B1">
        <w:rPr>
          <w:rFonts w:ascii="Times New Roman" w:hAnsi="Times New Roman"/>
        </w:rPr>
        <w:t>Enwerekowe</w:t>
      </w:r>
      <w:proofErr w:type="spellEnd"/>
      <w:r w:rsidRPr="000472B1">
        <w:rPr>
          <w:rFonts w:ascii="Times New Roman" w:hAnsi="Times New Roman"/>
        </w:rPr>
        <w:t xml:space="preserve">, E. O., Doyle, J., &amp; Adetula, I. A. (2023). Towards sustainable Nigerian </w:t>
      </w:r>
      <w:r w:rsidRPr="000472B1">
        <w:rPr>
          <w:rFonts w:ascii="Times New Roman" w:hAnsi="Times New Roman"/>
        </w:rPr>
        <w:tab/>
        <w:t xml:space="preserve">architectural education: The relationship between design education, learning styles and </w:t>
      </w:r>
      <w:r w:rsidRPr="000472B1">
        <w:rPr>
          <w:rFonts w:ascii="Times New Roman" w:hAnsi="Times New Roman"/>
        </w:rPr>
        <w:tab/>
        <w:t xml:space="preserve">personality types among architecture students. African </w:t>
      </w:r>
      <w:r w:rsidRPr="000472B1">
        <w:rPr>
          <w:rFonts w:ascii="Times New Roman" w:hAnsi="Times New Roman"/>
          <w:i/>
        </w:rPr>
        <w:t xml:space="preserve">Journal of Humanities and </w:t>
      </w:r>
      <w:r w:rsidRPr="000472B1">
        <w:rPr>
          <w:rFonts w:ascii="Times New Roman" w:hAnsi="Times New Roman"/>
          <w:i/>
        </w:rPr>
        <w:tab/>
        <w:t>Contemporary Education Research, 13(1</w:t>
      </w:r>
      <w:r w:rsidRPr="000472B1">
        <w:rPr>
          <w:rFonts w:ascii="Times New Roman" w:hAnsi="Times New Roman"/>
        </w:rPr>
        <w:t xml:space="preserve">). (Full text) </w:t>
      </w:r>
      <w:r w:rsidRPr="000472B1">
        <w:rPr>
          <w:rFonts w:ascii="Times New Roman" w:hAnsi="Times New Roman"/>
        </w:rPr>
        <w:tab/>
        <w:t xml:space="preserve">https://afropolitanjournals.com/index.php/ajhcer/article/download/90/130/161.  </w:t>
      </w:r>
    </w:p>
    <w:p w:rsidR="00827464" w:rsidRPr="000472B1" w:rsidRDefault="00827464" w:rsidP="000472B1">
      <w:pPr>
        <w:pStyle w:val="ListParagraph"/>
        <w:numPr>
          <w:ilvl w:val="0"/>
          <w:numId w:val="1"/>
        </w:numPr>
        <w:rPr>
          <w:rFonts w:ascii="Times New Roman" w:hAnsi="Times New Roman"/>
        </w:rPr>
      </w:pPr>
      <w:r w:rsidRPr="000472B1">
        <w:rPr>
          <w:rFonts w:ascii="Times New Roman" w:hAnsi="Times New Roman"/>
        </w:rPr>
        <w:t xml:space="preserve">Grimley, C., &amp; Harris Smith, K. (2022). Universal Principles of Interior Design: 100 ways to </w:t>
      </w:r>
      <w:r w:rsidRPr="000472B1">
        <w:rPr>
          <w:rFonts w:ascii="Times New Roman" w:hAnsi="Times New Roman"/>
        </w:rPr>
        <w:tab/>
        <w:t xml:space="preserve">develop innovative ideas, enhance usability, and design effective solutions. </w:t>
      </w:r>
      <w:r w:rsidRPr="000472B1">
        <w:rPr>
          <w:rFonts w:ascii="Times New Roman" w:hAnsi="Times New Roman"/>
        </w:rPr>
        <w:tab/>
        <w:t xml:space="preserve">Rockport/Walter Foster. (Book; concise reference for principles such as balance, </w:t>
      </w:r>
      <w:r w:rsidRPr="000472B1">
        <w:rPr>
          <w:rFonts w:ascii="Times New Roman" w:hAnsi="Times New Roman"/>
        </w:rPr>
        <w:tab/>
        <w:t xml:space="preserve">proportion, scale, rhythm, emphasis, unity/harmony).  </w:t>
      </w:r>
    </w:p>
    <w:p w:rsidR="00827464" w:rsidRPr="000472B1" w:rsidRDefault="00827464" w:rsidP="000472B1">
      <w:pPr>
        <w:pStyle w:val="ListParagraph"/>
        <w:numPr>
          <w:ilvl w:val="0"/>
          <w:numId w:val="1"/>
        </w:numPr>
        <w:rPr>
          <w:rFonts w:ascii="Times New Roman" w:hAnsi="Times New Roman"/>
        </w:rPr>
      </w:pPr>
      <w:r w:rsidRPr="000472B1">
        <w:rPr>
          <w:rFonts w:ascii="Times New Roman" w:hAnsi="Times New Roman"/>
        </w:rPr>
        <w:t xml:space="preserve">Kolb, D. A. (1984). Experiential Learning: Experience as the Source of Learning and </w:t>
      </w:r>
      <w:r w:rsidRPr="000472B1">
        <w:rPr>
          <w:rFonts w:ascii="Times New Roman" w:hAnsi="Times New Roman"/>
        </w:rPr>
        <w:tab/>
        <w:t>Development. Prentice-Hall.</w:t>
      </w:r>
    </w:p>
    <w:p w:rsidR="00827464" w:rsidRPr="000472B1" w:rsidRDefault="00827464" w:rsidP="000472B1">
      <w:pPr>
        <w:pStyle w:val="ListParagraph"/>
        <w:numPr>
          <w:ilvl w:val="0"/>
          <w:numId w:val="1"/>
        </w:numPr>
        <w:rPr>
          <w:rFonts w:ascii="Times New Roman" w:hAnsi="Times New Roman"/>
        </w:rPr>
      </w:pPr>
      <w:r w:rsidRPr="000472B1">
        <w:rPr>
          <w:rFonts w:ascii="Times New Roman" w:hAnsi="Times New Roman"/>
        </w:rPr>
        <w:t xml:space="preserve">Mba, E. J., &amp; Okeke, F. O. (2024). Evolving trends and challenges in sustainable architectural </w:t>
      </w:r>
      <w:r w:rsidRPr="000472B1">
        <w:rPr>
          <w:rFonts w:ascii="Times New Roman" w:hAnsi="Times New Roman"/>
        </w:rPr>
        <w:tab/>
        <w:t xml:space="preserve">design: a practice perspective (Enugu, Nigeria case). </w:t>
      </w:r>
      <w:r w:rsidRPr="000472B1">
        <w:rPr>
          <w:rFonts w:ascii="Times New Roman" w:hAnsi="Times New Roman"/>
          <w:i/>
        </w:rPr>
        <w:t xml:space="preserve">Sustainable Cities and Society / </w:t>
      </w:r>
      <w:r w:rsidRPr="000472B1">
        <w:rPr>
          <w:rFonts w:ascii="Times New Roman" w:hAnsi="Times New Roman"/>
          <w:i/>
        </w:rPr>
        <w:tab/>
        <w:t xml:space="preserve">ScienceDirect. </w:t>
      </w:r>
      <w:r w:rsidRPr="000472B1">
        <w:rPr>
          <w:rFonts w:ascii="Times New Roman" w:hAnsi="Times New Roman"/>
        </w:rPr>
        <w:t xml:space="preserve">https://doi.org/10.1016/j.scs.2024. </w:t>
      </w:r>
    </w:p>
    <w:p w:rsidR="00827464" w:rsidRPr="000472B1" w:rsidRDefault="00827464" w:rsidP="000472B1">
      <w:pPr>
        <w:pStyle w:val="ListParagraph"/>
        <w:numPr>
          <w:ilvl w:val="0"/>
          <w:numId w:val="1"/>
        </w:numPr>
        <w:rPr>
          <w:rFonts w:ascii="Times New Roman" w:hAnsi="Times New Roman"/>
        </w:rPr>
      </w:pPr>
      <w:r w:rsidRPr="000472B1">
        <w:rPr>
          <w:rFonts w:ascii="Times New Roman" w:hAnsi="Times New Roman"/>
        </w:rPr>
        <w:t xml:space="preserve">Obi, N. I., Obi, J. S. C., Okeke, F. O., &amp; Nnaemeka-Okeke, R. C. (2022). Pedagogical </w:t>
      </w:r>
      <w:r w:rsidRPr="000472B1">
        <w:rPr>
          <w:rFonts w:ascii="Times New Roman" w:hAnsi="Times New Roman"/>
        </w:rPr>
        <w:tab/>
        <w:t xml:space="preserve">challenges of architectural education in Nigeria: Study of curriculum contents and </w:t>
      </w:r>
      <w:r w:rsidRPr="000472B1">
        <w:rPr>
          <w:rFonts w:ascii="Times New Roman" w:hAnsi="Times New Roman"/>
        </w:rPr>
        <w:lastRenderedPageBreak/>
        <w:tab/>
        <w:t xml:space="preserve">physical learning environment. </w:t>
      </w:r>
      <w:r w:rsidRPr="000472B1">
        <w:rPr>
          <w:rFonts w:ascii="Times New Roman" w:hAnsi="Times New Roman"/>
          <w:i/>
        </w:rPr>
        <w:t>European Journal of Sustainable Development,</w:t>
      </w:r>
      <w:r w:rsidRPr="000472B1">
        <w:rPr>
          <w:rFonts w:ascii="Times New Roman" w:hAnsi="Times New Roman"/>
        </w:rPr>
        <w:t xml:space="preserve"> 11(4), </w:t>
      </w:r>
      <w:r w:rsidRPr="000472B1">
        <w:rPr>
          <w:rFonts w:ascii="Times New Roman" w:hAnsi="Times New Roman"/>
        </w:rPr>
        <w:tab/>
        <w:t>32–46. https://doi.org/10.14207/ejsd.2022.v11n4p32</w:t>
      </w:r>
    </w:p>
    <w:p w:rsidR="00827464" w:rsidRPr="000472B1" w:rsidRDefault="00827464" w:rsidP="000472B1">
      <w:pPr>
        <w:pStyle w:val="ListParagraph"/>
        <w:numPr>
          <w:ilvl w:val="0"/>
          <w:numId w:val="1"/>
        </w:numPr>
        <w:rPr>
          <w:rFonts w:ascii="Times New Roman" w:hAnsi="Times New Roman"/>
        </w:rPr>
      </w:pPr>
      <w:proofErr w:type="spellStart"/>
      <w:r w:rsidRPr="000472B1">
        <w:rPr>
          <w:rFonts w:ascii="Times New Roman" w:hAnsi="Times New Roman"/>
        </w:rPr>
        <w:t>Özsırkıntı</w:t>
      </w:r>
      <w:proofErr w:type="spellEnd"/>
      <w:r w:rsidRPr="000472B1">
        <w:rPr>
          <w:rFonts w:ascii="Times New Roman" w:hAnsi="Times New Roman"/>
        </w:rPr>
        <w:t xml:space="preserve"> </w:t>
      </w:r>
      <w:proofErr w:type="spellStart"/>
      <w:r w:rsidRPr="000472B1">
        <w:rPr>
          <w:rFonts w:ascii="Times New Roman" w:hAnsi="Times New Roman"/>
        </w:rPr>
        <w:t>Kasap</w:t>
      </w:r>
      <w:proofErr w:type="spellEnd"/>
      <w:r w:rsidRPr="000472B1">
        <w:rPr>
          <w:rFonts w:ascii="Times New Roman" w:hAnsi="Times New Roman"/>
        </w:rPr>
        <w:t xml:space="preserve">, H., Altın, E., &amp; </w:t>
      </w:r>
      <w:proofErr w:type="spellStart"/>
      <w:r w:rsidRPr="000472B1">
        <w:rPr>
          <w:rFonts w:ascii="Times New Roman" w:hAnsi="Times New Roman"/>
        </w:rPr>
        <w:t>Ergene</w:t>
      </w:r>
      <w:proofErr w:type="spellEnd"/>
      <w:r w:rsidRPr="000472B1">
        <w:rPr>
          <w:rFonts w:ascii="Times New Roman" w:hAnsi="Times New Roman"/>
        </w:rPr>
        <w:t xml:space="preserve">, A. İ. (2022). Design principles and concept research </w:t>
      </w:r>
      <w:r w:rsidRPr="000472B1">
        <w:rPr>
          <w:rFonts w:ascii="Times New Roman" w:hAnsi="Times New Roman"/>
        </w:rPr>
        <w:tab/>
        <w:t xml:space="preserve">in “Interior Architecture Design Studio I” during the pandemic period. IDA: </w:t>
      </w:r>
      <w:r w:rsidRPr="000472B1">
        <w:rPr>
          <w:rFonts w:ascii="Times New Roman" w:hAnsi="Times New Roman"/>
        </w:rPr>
        <w:tab/>
      </w:r>
      <w:r w:rsidRPr="000472B1">
        <w:rPr>
          <w:rFonts w:ascii="Times New Roman" w:hAnsi="Times New Roman"/>
          <w:i/>
        </w:rPr>
        <w:t xml:space="preserve">International </w:t>
      </w:r>
      <w:r w:rsidRPr="000472B1">
        <w:rPr>
          <w:rFonts w:ascii="Times New Roman" w:hAnsi="Times New Roman"/>
          <w:i/>
        </w:rPr>
        <w:tab/>
        <w:t xml:space="preserve">Design and Art Journal, 4(2), </w:t>
      </w:r>
      <w:r w:rsidRPr="000472B1">
        <w:rPr>
          <w:rFonts w:ascii="Times New Roman" w:hAnsi="Times New Roman"/>
        </w:rPr>
        <w:t xml:space="preserve">214–234. </w:t>
      </w:r>
      <w:r w:rsidRPr="000472B1">
        <w:rPr>
          <w:rFonts w:ascii="Times New Roman" w:hAnsi="Times New Roman"/>
        </w:rPr>
        <w:tab/>
      </w:r>
      <w:hyperlink r:id="rId9" w:history="1">
        <w:r w:rsidRPr="000472B1">
          <w:rPr>
            <w:rStyle w:val="Hyperlink"/>
            <w:rFonts w:ascii="Times New Roman" w:hAnsi="Times New Roman" w:hint="eastAsia"/>
          </w:rPr>
          <w:t>https://openaccess.iku.edu.tr/bitstreams/6e1585e8-fe17-4a15-8c22-45d90db05ab1/downl</w:t>
        </w:r>
      </w:hyperlink>
      <w:r w:rsidRPr="000472B1">
        <w:rPr>
          <w:rFonts w:ascii="Times New Roman" w:hAnsi="Times New Roman"/>
        </w:rPr>
        <w:tab/>
      </w:r>
      <w:proofErr w:type="spellStart"/>
      <w:r w:rsidRPr="000472B1">
        <w:rPr>
          <w:rFonts w:ascii="Times New Roman" w:hAnsi="Times New Roman"/>
        </w:rPr>
        <w:t>oad</w:t>
      </w:r>
      <w:proofErr w:type="spellEnd"/>
      <w:r w:rsidRPr="000472B1">
        <w:rPr>
          <w:rFonts w:ascii="Times New Roman" w:hAnsi="Times New Roman"/>
        </w:rPr>
        <w:t xml:space="preserve">.  </w:t>
      </w:r>
      <w:r w:rsidRPr="000472B1">
        <w:rPr>
          <w:rFonts w:ascii="Times New Roman" w:hAnsi="Times New Roman"/>
        </w:rPr>
        <w:tab/>
      </w:r>
    </w:p>
    <w:p w:rsidR="00827464" w:rsidRPr="000472B1" w:rsidRDefault="00827464" w:rsidP="000472B1">
      <w:pPr>
        <w:pStyle w:val="ListParagraph"/>
        <w:numPr>
          <w:ilvl w:val="0"/>
          <w:numId w:val="1"/>
        </w:numPr>
        <w:rPr>
          <w:rFonts w:ascii="Times New Roman" w:hAnsi="Times New Roman"/>
        </w:rPr>
      </w:pPr>
      <w:r w:rsidRPr="000472B1">
        <w:rPr>
          <w:rFonts w:ascii="Times New Roman" w:hAnsi="Times New Roman"/>
        </w:rPr>
        <w:t>Piaget, J. (1972). The psychology of the child. Basic Books. (Constructivist learning theory).</w:t>
      </w:r>
    </w:p>
    <w:p w:rsidR="00827464" w:rsidRPr="000472B1" w:rsidRDefault="00827464" w:rsidP="000472B1">
      <w:pPr>
        <w:pStyle w:val="ListParagraph"/>
        <w:numPr>
          <w:ilvl w:val="0"/>
          <w:numId w:val="1"/>
        </w:numPr>
        <w:rPr>
          <w:rFonts w:ascii="Times New Roman" w:hAnsi="Times New Roman"/>
        </w:rPr>
      </w:pPr>
      <w:r w:rsidRPr="000472B1">
        <w:rPr>
          <w:rFonts w:ascii="Times New Roman" w:hAnsi="Times New Roman"/>
        </w:rPr>
        <w:t xml:space="preserve">Vygotsky, L. S. (1978). Mind in society: The development of higher psychological processes. </w:t>
      </w:r>
      <w:r w:rsidRPr="000472B1">
        <w:rPr>
          <w:rFonts w:ascii="Times New Roman" w:hAnsi="Times New Roman"/>
        </w:rPr>
        <w:tab/>
        <w:t>Harvard University Press. (Social constructivist theory).</w:t>
      </w:r>
    </w:p>
    <w:p w:rsidR="00827464" w:rsidRPr="005B07F5" w:rsidRDefault="00827464" w:rsidP="00827464">
      <w:pPr>
        <w:rPr>
          <w:rFonts w:ascii="Times New Roman" w:hAnsi="Times New Roman" w:cs="Times New Roman"/>
          <w:sz w:val="22"/>
          <w:szCs w:val="22"/>
        </w:rPr>
      </w:pPr>
    </w:p>
    <w:p w:rsidR="00827464" w:rsidRDefault="00827464" w:rsidP="00827464"/>
    <w:p w:rsidR="00827464" w:rsidRPr="00F82EC2" w:rsidRDefault="00827464" w:rsidP="00F82EC2">
      <w:pPr>
        <w:spacing w:line="360" w:lineRule="auto"/>
        <w:rPr>
          <w:rFonts w:ascii="Times New Roman" w:hAnsi="Times New Roman" w:cs="Times New Roman"/>
          <w:sz w:val="24"/>
        </w:rPr>
      </w:pPr>
    </w:p>
    <w:p w:rsidR="00753ADC" w:rsidRPr="00F82EC2" w:rsidRDefault="00753ADC" w:rsidP="00F82EC2">
      <w:pPr>
        <w:spacing w:line="360" w:lineRule="auto"/>
        <w:rPr>
          <w:rFonts w:ascii="Times New Roman" w:hAnsi="Times New Roman" w:cs="Times New Roman"/>
          <w:sz w:val="24"/>
        </w:rPr>
      </w:pPr>
    </w:p>
    <w:sectPr w:rsidR="00753ADC" w:rsidRPr="00F82EC2" w:rsidSect="00A21572">
      <w:pgSz w:w="11906" w:h="16838"/>
      <w:pgMar w:top="1440" w:right="1800" w:bottom="1440" w:left="1800" w:header="851" w:footer="992" w:gutter="0"/>
      <w:pgNumType w:fmt="lowerRoman"/>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814150"/>
    <w:multiLevelType w:val="hybridMultilevel"/>
    <w:tmpl w:val="1C961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ADC"/>
    <w:rsid w:val="000472B1"/>
    <w:rsid w:val="001E61B9"/>
    <w:rsid w:val="00460C29"/>
    <w:rsid w:val="006471E8"/>
    <w:rsid w:val="00753ADC"/>
    <w:rsid w:val="007675D3"/>
    <w:rsid w:val="007C7C18"/>
    <w:rsid w:val="00827464"/>
    <w:rsid w:val="008E2554"/>
    <w:rsid w:val="008F7780"/>
    <w:rsid w:val="009A128D"/>
    <w:rsid w:val="00A21572"/>
    <w:rsid w:val="00AB2DAF"/>
    <w:rsid w:val="00F66D06"/>
    <w:rsid w:val="00F82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0425F2"/>
  <w15:docId w15:val="{50387A03-0925-45F7-98A9-52B6E066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A128D"/>
    <w:rPr>
      <w:color w:val="000080"/>
      <w:u w:val="single"/>
    </w:rPr>
  </w:style>
  <w:style w:type="paragraph" w:styleId="BodyText">
    <w:name w:val="Body Text"/>
    <w:basedOn w:val="Normal"/>
    <w:link w:val="BodyTextChar"/>
    <w:rsid w:val="009A128D"/>
    <w:pPr>
      <w:widowControl/>
      <w:suppressAutoHyphens/>
      <w:spacing w:after="140" w:line="276" w:lineRule="auto"/>
      <w:jc w:val="left"/>
    </w:pPr>
    <w:rPr>
      <w:rFonts w:ascii="Liberation Serif" w:eastAsia="NSimSun" w:hAnsi="Liberation Serif" w:cs="Lucida Sans"/>
      <w:sz w:val="24"/>
      <w:lang w:bidi="hi-IN"/>
    </w:rPr>
  </w:style>
  <w:style w:type="character" w:customStyle="1" w:styleId="BodyTextChar">
    <w:name w:val="Body Text Char"/>
    <w:basedOn w:val="DefaultParagraphFont"/>
    <w:link w:val="BodyText"/>
    <w:rsid w:val="009A128D"/>
    <w:rPr>
      <w:rFonts w:ascii="Liberation Serif" w:eastAsia="NSimSun" w:hAnsi="Liberation Serif" w:cs="Lucida Sans"/>
      <w:kern w:val="2"/>
      <w:sz w:val="24"/>
      <w:szCs w:val="24"/>
      <w:lang w:eastAsia="zh-CN" w:bidi="hi-IN"/>
    </w:rPr>
  </w:style>
  <w:style w:type="paragraph" w:customStyle="1" w:styleId="TableContents">
    <w:name w:val="Table Contents"/>
    <w:basedOn w:val="Normal"/>
    <w:qFormat/>
    <w:rsid w:val="009A128D"/>
    <w:pPr>
      <w:suppressLineNumbers/>
      <w:suppressAutoHyphens/>
      <w:spacing w:after="0" w:line="240" w:lineRule="auto"/>
      <w:jc w:val="left"/>
    </w:pPr>
    <w:rPr>
      <w:rFonts w:ascii="Liberation Serif" w:eastAsia="NSimSun" w:hAnsi="Liberation Serif" w:cs="Lucida Sans"/>
      <w:sz w:val="24"/>
      <w:lang w:bidi="hi-IN"/>
    </w:rPr>
  </w:style>
  <w:style w:type="paragraph" w:styleId="ListParagraph">
    <w:name w:val="List Paragraph"/>
    <w:basedOn w:val="Normal"/>
    <w:uiPriority w:val="34"/>
    <w:qFormat/>
    <w:rsid w:val="00827464"/>
    <w:pPr>
      <w:widowControl/>
      <w:suppressAutoHyphens/>
      <w:ind w:left="720"/>
      <w:contextualSpacing/>
      <w:jc w:val="left"/>
    </w:pPr>
    <w:rPr>
      <w:rFonts w:eastAsiaTheme="minorHAnsi" w:cs="Times New Roman"/>
      <w:kern w:val="0"/>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penaccess.iku.edu.tr/bitstreams/6e1585e8-fe17-4a15-8c22-45d90db05ab1/down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3520</Words>
  <Characters>20067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iPhone</dc:creator>
  <cp:lastModifiedBy>SDI 1183</cp:lastModifiedBy>
  <cp:revision>4</cp:revision>
  <dcterms:created xsi:type="dcterms:W3CDTF">2025-11-01T20:14:00Z</dcterms:created>
  <dcterms:modified xsi:type="dcterms:W3CDTF">2025-11-04T07:31:00Z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3081-11.33.82</vt:lpwstr>
  </property>
  <property fmtid="{D5CDD505-2E9C-101B-9397-08002B2CF9AE}" pid="3" name="ICV">
    <vt:lpwstr>D1B9116F830CDE0002FDF468C9934F88_31</vt:lpwstr>
  </property>
</Properties>
</file>