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F28D" w14:textId="77777777" w:rsidR="000B09BF" w:rsidRDefault="000B09BF" w:rsidP="00CC2B78">
      <w:pPr>
        <w:pStyle w:val="Author"/>
        <w:spacing w:line="240" w:lineRule="auto"/>
        <w:jc w:val="center"/>
        <w:rPr>
          <w:rFonts w:ascii="Tahoma" w:hAnsi="Tahoma"/>
          <w:szCs w:val="24"/>
        </w:rPr>
      </w:pPr>
      <w:bookmarkStart w:id="0" w:name="_Hlk212283847"/>
      <w:r w:rsidRPr="000B09BF">
        <w:rPr>
          <w:rFonts w:ascii="Tahoma" w:hAnsi="Tahoma"/>
          <w:szCs w:val="24"/>
        </w:rPr>
        <w:t xml:space="preserve">Original Research Article </w:t>
      </w:r>
    </w:p>
    <w:p w14:paraId="0FC2EE2E" w14:textId="77777777" w:rsidR="000B09BF" w:rsidRDefault="000B09BF">
      <w:pPr>
        <w:pStyle w:val="Author"/>
        <w:spacing w:line="240" w:lineRule="auto"/>
        <w:rPr>
          <w:rFonts w:ascii="Tahoma" w:hAnsi="Tahoma"/>
          <w:szCs w:val="24"/>
        </w:rPr>
      </w:pPr>
    </w:p>
    <w:p w14:paraId="0A446478" w14:textId="0E55E1C5" w:rsidR="006140D5" w:rsidRDefault="00E13F90">
      <w:pPr>
        <w:pStyle w:val="Author"/>
        <w:spacing w:line="240" w:lineRule="auto"/>
        <w:rPr>
          <w:rFonts w:ascii="Tahoma" w:hAnsi="Tahoma"/>
          <w:szCs w:val="24"/>
        </w:rPr>
      </w:pPr>
      <w:r>
        <w:rPr>
          <w:rFonts w:ascii="Tahoma" w:hAnsi="Tahoma"/>
          <w:szCs w:val="24"/>
        </w:rPr>
        <w:t>SCIENCE LABORATORY AVAILABILITY AS A PREDICTOR OF LABORATORY SELF-EFFICACY AMONG SENIOR HIGH SCHOOL STEM STRAND STUDENTS</w:t>
      </w:r>
    </w:p>
    <w:bookmarkEnd w:id="0"/>
    <w:p w14:paraId="7F9937D7" w14:textId="77777777" w:rsidR="00DE60C7" w:rsidRDefault="00DE60C7">
      <w:pPr>
        <w:pStyle w:val="Author"/>
        <w:spacing w:line="240" w:lineRule="auto"/>
        <w:rPr>
          <w:rFonts w:ascii="Tahoma" w:hAnsi="Tahoma"/>
          <w:szCs w:val="24"/>
        </w:rPr>
      </w:pPr>
    </w:p>
    <w:p w14:paraId="4A2ED5B8" w14:textId="77777777" w:rsidR="00DE60C7" w:rsidRDefault="00DE60C7" w:rsidP="009546AF">
      <w:pPr>
        <w:pStyle w:val="Affiliation"/>
        <w:spacing w:after="0" w:line="240" w:lineRule="auto"/>
        <w:rPr>
          <w:rFonts w:ascii="Arial" w:hAnsi="Arial" w:cs="Arial"/>
          <w:i/>
        </w:rPr>
      </w:pPr>
    </w:p>
    <w:p w14:paraId="6465A49B" w14:textId="77777777" w:rsidR="006140D5" w:rsidRDefault="006140D5">
      <w:pPr>
        <w:pStyle w:val="Affiliation"/>
        <w:spacing w:after="0" w:line="240" w:lineRule="auto"/>
        <w:jc w:val="both"/>
        <w:rPr>
          <w:rFonts w:ascii="Arial" w:hAnsi="Arial" w:cs="Arial"/>
        </w:rPr>
      </w:pPr>
    </w:p>
    <w:p w14:paraId="2A68BEED" w14:textId="77777777" w:rsidR="006140D5" w:rsidRDefault="00E13F90">
      <w:pPr>
        <w:pStyle w:val="Copyright"/>
        <w:spacing w:after="0" w:line="240" w:lineRule="auto"/>
        <w:jc w:val="both"/>
        <w:rPr>
          <w:rFonts w:ascii="Arial" w:hAnsi="Arial" w:cs="Arial"/>
        </w:rPr>
        <w:sectPr w:rsidR="006140D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7A80B6BD" wp14:editId="36EF753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S8qDQAAAAAgEAAA8AAAAAAAAAAQAgAAAAIgAAAGRy&#10;cy9kb3ducmV2LnhtbFBLAQIUABQAAAAIAIdO4kAxwWbM1AEAALMDAAAOAAAAAAAAAAEAIAAAAB8B&#10;AABkcnMvZTJvRG9jLnhtbFBLBQYAAAAABgAGAFkBAABlBQAAAAA=&#10;">
                <v:fill on="f" focussize="0,0"/>
                <v:stroke weight="1.5pt" color="#000000" joinstyle="round"/>
                <v:imagedata o:title=""/>
                <o:lock v:ext="edit" aspectratio="f"/>
                <w10:wrap type="none"/>
                <w10:anchorlock/>
              </v:shape>
            </w:pict>
          </mc:Fallback>
        </mc:AlternateContent>
      </w:r>
      <w:r>
        <w:rPr>
          <w:rFonts w:ascii="Arial" w:hAnsi="Arial" w:cs="Arial"/>
        </w:rPr>
        <w:t>.</w:t>
      </w:r>
    </w:p>
    <w:p w14:paraId="0F71642A" w14:textId="77777777" w:rsidR="006140D5" w:rsidRDefault="00E13F90">
      <w:pPr>
        <w:pStyle w:val="AbstHead"/>
        <w:spacing w:after="0"/>
        <w:jc w:val="both"/>
        <w:rPr>
          <w:rFonts w:ascii="Arial" w:hAnsi="Arial" w:cs="Arial"/>
        </w:rPr>
      </w:pPr>
      <w:r>
        <w:rPr>
          <w:rFonts w:ascii="Arial" w:hAnsi="Arial" w:cs="Arial"/>
        </w:rPr>
        <w:t xml:space="preserve">ABSTRACT </w:t>
      </w:r>
    </w:p>
    <w:p w14:paraId="0C1C5F7A" w14:textId="77777777" w:rsidR="006140D5" w:rsidRDefault="006140D5">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6140D5" w14:paraId="622C9FE5" w14:textId="77777777">
        <w:tc>
          <w:tcPr>
            <w:tcW w:w="8365" w:type="dxa"/>
            <w:shd w:val="clear" w:color="auto" w:fill="F2F2F2"/>
          </w:tcPr>
          <w:p w14:paraId="378771FC" w14:textId="07A35F8E" w:rsidR="006140D5" w:rsidRDefault="00E13F90">
            <w:pPr>
              <w:ind w:firstLine="720"/>
              <w:jc w:val="both"/>
              <w:rPr>
                <w:rFonts w:ascii="Arial" w:hAnsi="Arial" w:cs="Arial"/>
              </w:rPr>
            </w:pPr>
            <w:r>
              <w:rPr>
                <w:rFonts w:ascii="Arial" w:hAnsi="Arial" w:cs="Arial"/>
              </w:rPr>
              <w:t>This</w:t>
            </w:r>
            <w:r>
              <w:rPr>
                <w:rFonts w:ascii="Arial" w:hAnsi="Arial" w:cs="Arial"/>
                <w:lang w:val="en-PH"/>
              </w:rPr>
              <w:t xml:space="preserve"> </w:t>
            </w:r>
            <w:r>
              <w:rPr>
                <w:rFonts w:ascii="Arial" w:hAnsi="Arial"/>
              </w:rPr>
              <w:t>study investigated whether science laboratory availability predicts laboratory self-efficacy among Senior High School STEM strand students from two public schools in Davao Occidental</w:t>
            </w:r>
            <w:r>
              <w:rPr>
                <w:rFonts w:ascii="Arial" w:hAnsi="Arial"/>
                <w:lang w:val="en-PH"/>
              </w:rPr>
              <w:t xml:space="preserve"> during the school year 2025</w:t>
            </w:r>
            <w:r w:rsidR="00380A0A">
              <w:rPr>
                <w:rFonts w:ascii="Arial" w:hAnsi="Arial"/>
                <w:lang w:val="en-PH"/>
              </w:rPr>
              <w:t>.</w:t>
            </w:r>
            <w:r>
              <w:rPr>
                <w:rFonts w:ascii="Arial" w:hAnsi="Arial" w:cs="Arial"/>
              </w:rPr>
              <w:t xml:space="preserve"> A </w:t>
            </w:r>
            <w:r>
              <w:rPr>
                <w:rFonts w:ascii="Arial" w:hAnsi="Arial"/>
              </w:rPr>
              <w:t>quantitative predictive-correlational design</w:t>
            </w:r>
            <w:r>
              <w:rPr>
                <w:rFonts w:ascii="Arial" w:hAnsi="Arial"/>
                <w:lang w:val="en-PH"/>
              </w:rPr>
              <w:t xml:space="preserve"> </w:t>
            </w:r>
            <w:r>
              <w:rPr>
                <w:rFonts w:ascii="Arial" w:hAnsi="Arial" w:cs="Arial"/>
              </w:rPr>
              <w:t>was employed, with</w:t>
            </w:r>
            <w:r>
              <w:rPr>
                <w:rFonts w:ascii="Arial" w:hAnsi="Arial" w:cs="Arial"/>
                <w:lang w:val="en-PH"/>
              </w:rPr>
              <w:t xml:space="preserve"> 210 </w:t>
            </w:r>
            <w:r>
              <w:rPr>
                <w:rFonts w:ascii="Arial" w:hAnsi="Arial" w:cs="Arial"/>
              </w:rPr>
              <w:t>respondents selected through</w:t>
            </w:r>
            <w:r>
              <w:rPr>
                <w:rFonts w:ascii="Arial" w:hAnsi="Arial" w:cs="Arial"/>
                <w:lang w:val="en-PH"/>
              </w:rPr>
              <w:t xml:space="preserve"> total enumeration </w:t>
            </w:r>
            <w:r>
              <w:rPr>
                <w:rFonts w:ascii="Arial" w:hAnsi="Arial" w:cs="Arial"/>
              </w:rPr>
              <w:t>sampling</w:t>
            </w:r>
            <w:r>
              <w:rPr>
                <w:rFonts w:ascii="Arial" w:hAnsi="Arial" w:cs="Arial"/>
                <w:lang w:val="en-PH"/>
              </w:rPr>
              <w:t xml:space="preserve">. Validated instruments were used, namely </w:t>
            </w:r>
            <w:r>
              <w:rPr>
                <w:rFonts w:ascii="Arial" w:hAnsi="Arial"/>
                <w:lang w:val="en-PH"/>
              </w:rPr>
              <w:t xml:space="preserve">the Science Laboratory Availability Scale (SLAS) and the Laboratory Self-Efficacy Scale (LSES). </w:t>
            </w:r>
            <w:r>
              <w:rPr>
                <w:rFonts w:ascii="Arial" w:hAnsi="Arial"/>
              </w:rPr>
              <w:t>Data were analyzed using mean, Pearson r, and simple linear regression</w:t>
            </w:r>
            <w:r>
              <w:rPr>
                <w:rFonts w:ascii="Arial" w:hAnsi="Arial" w:cs="Arial"/>
              </w:rPr>
              <w:t xml:space="preserve">. </w:t>
            </w:r>
            <w:r>
              <w:rPr>
                <w:rFonts w:ascii="Arial" w:hAnsi="Arial"/>
              </w:rPr>
              <w:t>Results revealed high levels of laboratory availability and self-efficacy, with a moderate positive correlation (</w:t>
            </w:r>
            <w:r>
              <w:rPr>
                <w:rFonts w:ascii="Arial" w:hAnsi="Arial"/>
                <w:i/>
                <w:iCs/>
              </w:rPr>
              <w:t>r</w:t>
            </w:r>
            <w:r>
              <w:rPr>
                <w:rFonts w:ascii="Arial" w:hAnsi="Arial"/>
              </w:rPr>
              <w:t xml:space="preserve"> = .51, </w:t>
            </w:r>
            <w:r>
              <w:rPr>
                <w:rFonts w:ascii="Arial" w:hAnsi="Arial"/>
                <w:i/>
                <w:iCs/>
              </w:rPr>
              <w:t>p</w:t>
            </w:r>
            <w:r>
              <w:rPr>
                <w:rFonts w:ascii="Arial" w:hAnsi="Arial"/>
              </w:rPr>
              <w:t xml:space="preserve"> &lt; .01).</w:t>
            </w:r>
            <w:r>
              <w:rPr>
                <w:rFonts w:ascii="Arial" w:hAnsi="Arial"/>
                <w:lang w:val="en-PH"/>
              </w:rPr>
              <w:t xml:space="preserve"> </w:t>
            </w:r>
            <w:r>
              <w:rPr>
                <w:rFonts w:ascii="Arial" w:hAnsi="Arial"/>
              </w:rPr>
              <w:t>Regression analysis confirmed that laboratory availability significantly predict</w:t>
            </w:r>
            <w:r>
              <w:rPr>
                <w:rFonts w:ascii="Arial" w:hAnsi="Arial"/>
                <w:lang w:val="en-PH"/>
              </w:rPr>
              <w:t>ed</w:t>
            </w:r>
            <w:r>
              <w:rPr>
                <w:rFonts w:ascii="Arial" w:hAnsi="Arial"/>
              </w:rPr>
              <w:t xml:space="preserve"> self-efficacy (</w:t>
            </w:r>
            <w:r>
              <w:rPr>
                <w:rFonts w:ascii="Arial" w:hAnsi="Arial"/>
                <w:i/>
                <w:iCs/>
              </w:rPr>
              <w:t>R²</w:t>
            </w:r>
            <w:r>
              <w:rPr>
                <w:rFonts w:ascii="Arial" w:hAnsi="Arial"/>
              </w:rPr>
              <w:t xml:space="preserve"> = .26, </w:t>
            </w:r>
            <w:r>
              <w:rPr>
                <w:rFonts w:ascii="Arial" w:hAnsi="Arial"/>
                <w:i/>
                <w:iCs/>
              </w:rPr>
              <w:t>p</w:t>
            </w:r>
            <w:r>
              <w:rPr>
                <w:rFonts w:ascii="Arial" w:hAnsi="Arial"/>
              </w:rPr>
              <w:t xml:space="preserve"> &lt; .001)</w:t>
            </w:r>
            <w:r>
              <w:rPr>
                <w:rFonts w:ascii="Arial" w:hAnsi="Arial" w:cs="Arial"/>
              </w:rPr>
              <w:t xml:space="preserve">. </w:t>
            </w:r>
            <w:r>
              <w:rPr>
                <w:rFonts w:ascii="Arial" w:hAnsi="Arial"/>
              </w:rPr>
              <w:t>These findings underscore the importance of well-equipped and accessible science laboratories in developing students’ confidence and scientific competence.</w:t>
            </w:r>
          </w:p>
        </w:tc>
      </w:tr>
    </w:tbl>
    <w:p w14:paraId="64FEFBBE" w14:textId="77777777" w:rsidR="006140D5" w:rsidRDefault="00E13F90">
      <w:pPr>
        <w:pStyle w:val="Body"/>
        <w:ind w:left="1080" w:hanging="1080"/>
        <w:rPr>
          <w:rFonts w:ascii="Arial" w:hAnsi="Arial" w:cs="Arial"/>
          <w:i/>
        </w:rPr>
      </w:pPr>
      <w:r>
        <w:rPr>
          <w:rFonts w:ascii="Arial" w:hAnsi="Arial" w:cs="Arial"/>
          <w:i/>
        </w:rPr>
        <w:t xml:space="preserve">Keywords: </w:t>
      </w:r>
      <w:r>
        <w:rPr>
          <w:rFonts w:ascii="Arial" w:hAnsi="Arial" w:cs="Arial"/>
          <w:i/>
          <w:lang w:val="en-PH"/>
        </w:rPr>
        <w:t>s</w:t>
      </w:r>
      <w:proofErr w:type="spellStart"/>
      <w:r>
        <w:rPr>
          <w:rFonts w:ascii="Arial" w:hAnsi="Arial"/>
          <w:i/>
        </w:rPr>
        <w:t>cience</w:t>
      </w:r>
      <w:proofErr w:type="spellEnd"/>
      <w:r>
        <w:rPr>
          <w:rFonts w:ascii="Arial" w:hAnsi="Arial"/>
          <w:i/>
        </w:rPr>
        <w:t xml:space="preserve"> </w:t>
      </w:r>
      <w:r>
        <w:rPr>
          <w:rFonts w:ascii="Arial" w:hAnsi="Arial"/>
          <w:i/>
          <w:lang w:val="en-PH"/>
        </w:rPr>
        <w:t>l</w:t>
      </w:r>
      <w:proofErr w:type="spellStart"/>
      <w:r>
        <w:rPr>
          <w:rFonts w:ascii="Arial" w:hAnsi="Arial"/>
          <w:i/>
        </w:rPr>
        <w:t>aboratory</w:t>
      </w:r>
      <w:proofErr w:type="spellEnd"/>
      <w:r>
        <w:rPr>
          <w:rFonts w:ascii="Arial" w:hAnsi="Arial"/>
          <w:i/>
        </w:rPr>
        <w:t xml:space="preserve"> </w:t>
      </w:r>
      <w:r>
        <w:rPr>
          <w:rFonts w:ascii="Arial" w:hAnsi="Arial"/>
          <w:i/>
          <w:lang w:val="en-PH"/>
        </w:rPr>
        <w:t>a</w:t>
      </w:r>
      <w:proofErr w:type="spellStart"/>
      <w:r>
        <w:rPr>
          <w:rFonts w:ascii="Arial" w:hAnsi="Arial"/>
          <w:i/>
        </w:rPr>
        <w:t>vailability</w:t>
      </w:r>
      <w:proofErr w:type="spellEnd"/>
      <w:r>
        <w:rPr>
          <w:rFonts w:ascii="Arial" w:hAnsi="Arial"/>
          <w:i/>
        </w:rPr>
        <w:t xml:space="preserve">, </w:t>
      </w:r>
      <w:r>
        <w:rPr>
          <w:rFonts w:ascii="Arial" w:hAnsi="Arial"/>
          <w:i/>
          <w:lang w:val="en-PH"/>
        </w:rPr>
        <w:t>l</w:t>
      </w:r>
      <w:proofErr w:type="spellStart"/>
      <w:r>
        <w:rPr>
          <w:rFonts w:ascii="Arial" w:hAnsi="Arial"/>
          <w:i/>
        </w:rPr>
        <w:t>aboratory</w:t>
      </w:r>
      <w:proofErr w:type="spellEnd"/>
      <w:r>
        <w:rPr>
          <w:rFonts w:ascii="Arial" w:hAnsi="Arial"/>
          <w:i/>
        </w:rPr>
        <w:t xml:space="preserve"> </w:t>
      </w:r>
      <w:r>
        <w:rPr>
          <w:rFonts w:ascii="Arial" w:hAnsi="Arial"/>
          <w:i/>
          <w:lang w:val="en-PH"/>
        </w:rPr>
        <w:t>s</w:t>
      </w:r>
      <w:r>
        <w:rPr>
          <w:rFonts w:ascii="Arial" w:hAnsi="Arial"/>
          <w:i/>
        </w:rPr>
        <w:t>elf-</w:t>
      </w:r>
      <w:r>
        <w:rPr>
          <w:rFonts w:ascii="Arial" w:hAnsi="Arial"/>
          <w:i/>
          <w:lang w:val="en-PH"/>
        </w:rPr>
        <w:t>e</w:t>
      </w:r>
      <w:proofErr w:type="spellStart"/>
      <w:r>
        <w:rPr>
          <w:rFonts w:ascii="Arial" w:hAnsi="Arial"/>
          <w:i/>
        </w:rPr>
        <w:t>fficacy</w:t>
      </w:r>
      <w:proofErr w:type="spellEnd"/>
      <w:r>
        <w:rPr>
          <w:rFonts w:ascii="Arial" w:hAnsi="Arial"/>
          <w:i/>
        </w:rPr>
        <w:t xml:space="preserve">, STEM </w:t>
      </w:r>
      <w:r>
        <w:rPr>
          <w:rFonts w:ascii="Arial" w:hAnsi="Arial"/>
          <w:i/>
          <w:lang w:val="en-PH"/>
        </w:rPr>
        <w:t>s</w:t>
      </w:r>
      <w:proofErr w:type="spellStart"/>
      <w:r>
        <w:rPr>
          <w:rFonts w:ascii="Arial" w:hAnsi="Arial"/>
          <w:i/>
        </w:rPr>
        <w:t>trand</w:t>
      </w:r>
      <w:proofErr w:type="spellEnd"/>
      <w:r>
        <w:rPr>
          <w:rFonts w:ascii="Arial" w:hAnsi="Arial"/>
          <w:i/>
        </w:rPr>
        <w:t xml:space="preserve">, </w:t>
      </w:r>
      <w:r>
        <w:rPr>
          <w:rFonts w:ascii="Arial" w:hAnsi="Arial"/>
          <w:i/>
          <w:lang w:val="en-PH"/>
        </w:rPr>
        <w:t>p</w:t>
      </w:r>
      <w:proofErr w:type="spellStart"/>
      <w:r>
        <w:rPr>
          <w:rFonts w:ascii="Arial" w:hAnsi="Arial"/>
          <w:i/>
        </w:rPr>
        <w:t>redictive</w:t>
      </w:r>
      <w:proofErr w:type="spellEnd"/>
      <w:r>
        <w:rPr>
          <w:rFonts w:ascii="Arial" w:hAnsi="Arial"/>
          <w:i/>
        </w:rPr>
        <w:t>-</w:t>
      </w:r>
      <w:r>
        <w:rPr>
          <w:rFonts w:ascii="Arial" w:hAnsi="Arial"/>
          <w:i/>
          <w:lang w:val="en-PH"/>
        </w:rPr>
        <w:t>c</w:t>
      </w:r>
      <w:proofErr w:type="spellStart"/>
      <w:r>
        <w:rPr>
          <w:rFonts w:ascii="Arial" w:hAnsi="Arial"/>
          <w:i/>
        </w:rPr>
        <w:t>orrelational</w:t>
      </w:r>
      <w:proofErr w:type="spellEnd"/>
      <w:r>
        <w:rPr>
          <w:rFonts w:ascii="Arial" w:hAnsi="Arial"/>
          <w:i/>
        </w:rPr>
        <w:t xml:space="preserve"> </w:t>
      </w:r>
      <w:r>
        <w:rPr>
          <w:rFonts w:ascii="Arial" w:hAnsi="Arial"/>
          <w:i/>
          <w:lang w:val="en-PH"/>
        </w:rPr>
        <w:t>s</w:t>
      </w:r>
      <w:proofErr w:type="spellStart"/>
      <w:r>
        <w:rPr>
          <w:rFonts w:ascii="Arial" w:hAnsi="Arial"/>
          <w:i/>
        </w:rPr>
        <w:t>tudy</w:t>
      </w:r>
      <w:proofErr w:type="spellEnd"/>
    </w:p>
    <w:p w14:paraId="250C82EA" w14:textId="77777777" w:rsidR="006140D5" w:rsidRDefault="00E13F90">
      <w:pPr>
        <w:pStyle w:val="AbstHead"/>
        <w:spacing w:after="0"/>
        <w:jc w:val="both"/>
        <w:rPr>
          <w:rFonts w:ascii="Arial" w:hAnsi="Arial" w:cs="Arial"/>
        </w:rPr>
      </w:pPr>
      <w:r>
        <w:rPr>
          <w:rFonts w:ascii="Arial" w:hAnsi="Arial" w:cs="Arial"/>
        </w:rPr>
        <w:t xml:space="preserve">1. INTRODUCTION </w:t>
      </w:r>
    </w:p>
    <w:p w14:paraId="6C070B25" w14:textId="77777777" w:rsidR="006140D5" w:rsidRDefault="00E13F90">
      <w:pPr>
        <w:pStyle w:val="AbstHead"/>
        <w:spacing w:after="0"/>
        <w:jc w:val="both"/>
        <w:rPr>
          <w:rFonts w:ascii="Arial" w:hAnsi="Arial" w:cs="Arial"/>
        </w:rPr>
      </w:pPr>
      <w:r>
        <w:rPr>
          <w:rFonts w:ascii="Arial" w:hAnsi="Arial" w:cs="Arial"/>
        </w:rPr>
        <w:t xml:space="preserve"> </w:t>
      </w:r>
    </w:p>
    <w:p w14:paraId="654376DC" w14:textId="77777777" w:rsidR="006140D5" w:rsidRDefault="00E13F90">
      <w:pPr>
        <w:ind w:firstLine="720"/>
        <w:jc w:val="both"/>
        <w:rPr>
          <w:rFonts w:ascii="Arial" w:eastAsia="Tahoma" w:hAnsi="Arial"/>
        </w:rPr>
      </w:pPr>
      <w:r>
        <w:rPr>
          <w:rFonts w:ascii="Arial" w:eastAsia="Tahoma" w:hAnsi="Arial"/>
        </w:rPr>
        <w:t xml:space="preserve">Science education becomes more meaningful when students actively participate in laboratory activities. Hands-on activities, especially laboratory work, enhance student learning and motivation by allowing them to directly engage with concepts through observation, experimentation, and collaboration. As a result, laboratory work has become central to science education, fostering both knowledge and practical skills (Chu, 2024). </w:t>
      </w:r>
    </w:p>
    <w:p w14:paraId="6833CFD4" w14:textId="076C815D" w:rsidR="006140D5" w:rsidRDefault="00E13F90">
      <w:pPr>
        <w:ind w:firstLine="720"/>
        <w:jc w:val="both"/>
        <w:rPr>
          <w:rFonts w:ascii="Arial" w:eastAsia="Tahoma" w:hAnsi="Arial"/>
        </w:rPr>
      </w:pPr>
      <w:r>
        <w:rPr>
          <w:rFonts w:ascii="Arial" w:eastAsia="Tahoma" w:hAnsi="Arial"/>
        </w:rPr>
        <w:t>Despite this recognized importance, recent data reveal that among 12,390 high schools nationwide, 4,520 lack laboratories, and many of these institutions also have limited access to modern digital tools. This deficiency significantly restricts students’ opportunities to conduct experiments and engage in hands-on learning—experiences essential for developing scientific understanding and skills (</w:t>
      </w:r>
      <w:proofErr w:type="spellStart"/>
      <w:r>
        <w:rPr>
          <w:rFonts w:ascii="Arial" w:eastAsia="Tahoma" w:hAnsi="Arial"/>
        </w:rPr>
        <w:t>Mangarin</w:t>
      </w:r>
      <w:proofErr w:type="spellEnd"/>
      <w:r>
        <w:rPr>
          <w:rFonts w:ascii="Arial" w:eastAsia="Tahoma" w:hAnsi="Arial"/>
        </w:rPr>
        <w:t xml:space="preserve"> &amp; </w:t>
      </w:r>
      <w:proofErr w:type="spellStart"/>
      <w:r>
        <w:rPr>
          <w:rFonts w:ascii="Arial" w:eastAsia="Tahoma" w:hAnsi="Arial"/>
        </w:rPr>
        <w:t>Macayana</w:t>
      </w:r>
      <w:proofErr w:type="spellEnd"/>
      <w:r>
        <w:rPr>
          <w:rFonts w:ascii="Arial" w:eastAsia="Tahoma" w:hAnsi="Arial"/>
        </w:rPr>
        <w:t xml:space="preserve">, 2024). A recent study further emphasized that STEM students value functional science laboratories, noting that while lectures provide foundational knowledge, hands-on experiments cultivate deeper interest and better prepare them for college-level science. </w:t>
      </w:r>
      <w:r w:rsidR="00975A94">
        <w:rPr>
          <w:rFonts w:ascii="Arial" w:eastAsia="Tahoma" w:hAnsi="Arial"/>
        </w:rPr>
        <w:t>It is said in the study that t</w:t>
      </w:r>
      <w:r>
        <w:rPr>
          <w:rFonts w:ascii="Arial" w:eastAsia="Tahoma" w:hAnsi="Arial"/>
        </w:rPr>
        <w:t>hese students expressed that relying solely on imagined or simulated investigations limits their competence, whereas authentic laboratory work enhances both conceptual and procedural understanding</w:t>
      </w:r>
      <w:r w:rsidR="00C16B5C">
        <w:rPr>
          <w:rFonts w:ascii="Arial" w:eastAsia="Tahoma" w:hAnsi="Arial"/>
        </w:rPr>
        <w:t xml:space="preserve"> </w:t>
      </w:r>
      <w:r w:rsidR="00C049DF" w:rsidRPr="00C049DF">
        <w:rPr>
          <w:rFonts w:ascii="Arial" w:eastAsia="Tahoma" w:hAnsi="Arial"/>
        </w:rPr>
        <w:t>(</w:t>
      </w:r>
      <w:proofErr w:type="spellStart"/>
      <w:r w:rsidR="00C049DF" w:rsidRPr="00C049DF">
        <w:rPr>
          <w:rFonts w:ascii="Arial" w:eastAsia="Tahoma" w:hAnsi="Arial"/>
        </w:rPr>
        <w:t>Haberbosch</w:t>
      </w:r>
      <w:proofErr w:type="spellEnd"/>
      <w:r w:rsidR="00C049DF" w:rsidRPr="00C049DF">
        <w:rPr>
          <w:rFonts w:ascii="Arial" w:eastAsia="Tahoma" w:hAnsi="Arial"/>
        </w:rPr>
        <w:t xml:space="preserve"> et al., 2025)</w:t>
      </w:r>
      <w:r w:rsidR="00C049DF">
        <w:rPr>
          <w:rFonts w:ascii="Arial" w:eastAsia="Tahoma" w:hAnsi="Arial"/>
        </w:rPr>
        <w:t>.</w:t>
      </w:r>
    </w:p>
    <w:p w14:paraId="26B8E629" w14:textId="77777777" w:rsidR="006140D5" w:rsidRDefault="00E13F90">
      <w:pPr>
        <w:ind w:firstLine="720"/>
        <w:jc w:val="both"/>
        <w:rPr>
          <w:rFonts w:ascii="Arial" w:eastAsia="Tahoma" w:hAnsi="Arial"/>
        </w:rPr>
      </w:pPr>
      <w:r>
        <w:rPr>
          <w:rFonts w:ascii="Arial" w:eastAsia="Tahoma" w:hAnsi="Arial"/>
        </w:rPr>
        <w:t>One crucial construct</w:t>
      </w:r>
      <w:r>
        <w:rPr>
          <w:rFonts w:ascii="Arial" w:eastAsia="Tahoma" w:hAnsi="Arial"/>
          <w:lang w:val="en-PH"/>
        </w:rPr>
        <w:t xml:space="preserve"> related to this concept is </w:t>
      </w:r>
      <w:r>
        <w:rPr>
          <w:rFonts w:ascii="Arial" w:eastAsia="Tahoma" w:hAnsi="Arial"/>
        </w:rPr>
        <w:t xml:space="preserve">laboratory self-efficacy, defined as students’ belief in their ability to successfully conduct experiments, handle instruments, and follow scientific procedures. High laboratory self-efficacy is linked to stronger engagement, persistence, and performance in science subjects. Students who view laboratory learning as a process for achieving in-depth understanding and who perceive that laboratory activities are guided by clear instructions tend to demonstrate a stronger sense of academic self-efficacy (Lee et al., 2019). Conversely, studies such as </w:t>
      </w:r>
      <w:proofErr w:type="spellStart"/>
      <w:r>
        <w:rPr>
          <w:rFonts w:ascii="Arial" w:eastAsia="Tahoma" w:hAnsi="Arial"/>
        </w:rPr>
        <w:t>Kolil</w:t>
      </w:r>
      <w:proofErr w:type="spellEnd"/>
      <w:r>
        <w:rPr>
          <w:rFonts w:ascii="Arial" w:eastAsia="Tahoma" w:hAnsi="Arial"/>
        </w:rPr>
        <w:t xml:space="preserve"> et al. (2020) revealed that insufficient laboratory facilities can diminish students’ motivation and attitude toward science—often </w:t>
      </w:r>
      <w:r>
        <w:rPr>
          <w:rFonts w:ascii="Arial" w:eastAsia="Tahoma" w:hAnsi="Arial"/>
        </w:rPr>
        <w:lastRenderedPageBreak/>
        <w:t>resulting in anxiety and frustration during experimentation. Such emotional responses can negatively affect their confidence and self-efficacy in performing laboratory tasks.</w:t>
      </w:r>
    </w:p>
    <w:p w14:paraId="1E628D2F" w14:textId="77777777" w:rsidR="006140D5" w:rsidRDefault="00E13F90">
      <w:pPr>
        <w:ind w:firstLine="720"/>
        <w:jc w:val="both"/>
        <w:rPr>
          <w:rFonts w:ascii="Arial" w:eastAsia="Tahoma" w:hAnsi="Arial"/>
        </w:rPr>
      </w:pPr>
      <w:r>
        <w:rPr>
          <w:rFonts w:ascii="Arial" w:eastAsia="Tahoma" w:hAnsi="Arial"/>
        </w:rPr>
        <w:t xml:space="preserve">In Davao Occidental, several senior high schools possess basic laboratory facilities but continue to face issues regarding equipment functionality and accessibility for regular student use. This situation is evident in both Mariano Peralta National High School and </w:t>
      </w:r>
      <w:proofErr w:type="spellStart"/>
      <w:r>
        <w:rPr>
          <w:rFonts w:ascii="Arial" w:eastAsia="Tahoma" w:hAnsi="Arial"/>
        </w:rPr>
        <w:t>Heracleo</w:t>
      </w:r>
      <w:proofErr w:type="spellEnd"/>
      <w:r>
        <w:rPr>
          <w:rFonts w:ascii="Arial" w:eastAsia="Tahoma" w:hAnsi="Arial"/>
        </w:rPr>
        <w:t xml:space="preserve"> Casco Memorial National High School—two public institutions situated in the </w:t>
      </w:r>
      <w:proofErr w:type="spellStart"/>
      <w:r>
        <w:rPr>
          <w:rFonts w:ascii="Arial" w:eastAsia="Tahoma" w:hAnsi="Arial"/>
        </w:rPr>
        <w:t>poblacion</w:t>
      </w:r>
      <w:proofErr w:type="spellEnd"/>
      <w:r>
        <w:rPr>
          <w:rFonts w:ascii="Arial" w:eastAsia="Tahoma" w:hAnsi="Arial"/>
        </w:rPr>
        <w:t xml:space="preserve"> areas of different municipalities within the province. While both schools maintain functional science laboratories supporting Biology, Chemistry, and Physics instruction, students still encounter challenges related to scheduling, adequacy of instruments, and opportunities for actual hands-on experimentation. This scenario mirrors the broader national concern regarding the limited accessibility of laboratories due to inadequate facilities and resources, which ultimately hinders students’ engagement in practical scientific applications and long-term proficiency (Abas et al., 2020).</w:t>
      </w:r>
    </w:p>
    <w:p w14:paraId="45CF1931" w14:textId="77777777" w:rsidR="006140D5" w:rsidRDefault="00E13F90">
      <w:pPr>
        <w:ind w:firstLine="720"/>
        <w:jc w:val="both"/>
        <w:rPr>
          <w:rFonts w:ascii="Arial" w:eastAsia="Tahoma" w:hAnsi="Arial"/>
        </w:rPr>
      </w:pPr>
      <w:r>
        <w:rPr>
          <w:rFonts w:ascii="Arial" w:eastAsia="Tahoma" w:hAnsi="Arial"/>
        </w:rPr>
        <w:t>Despite these insights, no formal investigation has been conducted in these schools to determine whether science laboratory availability—in terms of equipment functionality and facility access—significantly predicts students’ laboratory self-efficacy. Addressing this research gap is crucial, as STEM strand students’ preparedness for higher education</w:t>
      </w:r>
      <w:r>
        <w:rPr>
          <w:rFonts w:ascii="Arial" w:eastAsia="Tahoma" w:hAnsi="Arial"/>
          <w:lang w:val="en-PH"/>
        </w:rPr>
        <w:t xml:space="preserve"> largely depends</w:t>
      </w:r>
      <w:r>
        <w:rPr>
          <w:rFonts w:ascii="Arial" w:eastAsia="Tahoma" w:hAnsi="Arial"/>
        </w:rPr>
        <w:t xml:space="preserve"> on their confidence and competence in performing laboratory experiments. Therefore, this study hypothesized that the level of science laboratory availability significantly predicts the laboratory self-efficacy of Senior High School STEM strand students.</w:t>
      </w:r>
    </w:p>
    <w:p w14:paraId="350653D4" w14:textId="77777777" w:rsidR="006140D5" w:rsidRDefault="006140D5">
      <w:pPr>
        <w:ind w:firstLine="720"/>
        <w:jc w:val="both"/>
        <w:rPr>
          <w:rFonts w:ascii="Arial" w:hAnsi="Arial" w:cs="Arial"/>
        </w:rPr>
      </w:pPr>
    </w:p>
    <w:p w14:paraId="4ECABC7D" w14:textId="77777777" w:rsidR="006140D5" w:rsidRDefault="006140D5">
      <w:pPr>
        <w:pStyle w:val="NoSpacing1"/>
        <w:jc w:val="both"/>
        <w:rPr>
          <w:rFonts w:ascii="Arial" w:eastAsia="SimSun" w:hAnsi="Arial"/>
          <w:sz w:val="20"/>
          <w:szCs w:val="20"/>
          <w:shd w:val="clear" w:color="auto" w:fill="FFFFFF"/>
        </w:rPr>
      </w:pPr>
    </w:p>
    <w:p w14:paraId="52ADE465" w14:textId="77777777" w:rsidR="006140D5" w:rsidRDefault="00E13F90">
      <w:pPr>
        <w:pStyle w:val="AbstHead"/>
        <w:spacing w:after="0"/>
        <w:jc w:val="both"/>
        <w:rPr>
          <w:rFonts w:ascii="Arial" w:hAnsi="Arial" w:cs="Arial"/>
        </w:rPr>
      </w:pPr>
      <w:r>
        <w:rPr>
          <w:rFonts w:ascii="Arial" w:hAnsi="Arial" w:cs="Arial"/>
        </w:rPr>
        <w:t xml:space="preserve">2. OBJECTIVES </w:t>
      </w:r>
    </w:p>
    <w:p w14:paraId="741FE07D" w14:textId="77777777" w:rsidR="006140D5" w:rsidRDefault="006140D5">
      <w:pPr>
        <w:pStyle w:val="AbstHead"/>
        <w:spacing w:after="0"/>
        <w:jc w:val="both"/>
        <w:rPr>
          <w:rFonts w:ascii="Arial" w:hAnsi="Arial" w:cs="Arial"/>
        </w:rPr>
      </w:pPr>
    </w:p>
    <w:p w14:paraId="05F40789" w14:textId="77777777" w:rsidR="006140D5" w:rsidRDefault="00E13F90">
      <w:pPr>
        <w:ind w:firstLine="720"/>
        <w:jc w:val="both"/>
        <w:rPr>
          <w:rFonts w:ascii="Arial" w:eastAsia="Tahoma" w:hAnsi="Arial"/>
          <w:color w:val="000000"/>
        </w:rPr>
      </w:pPr>
      <w:r>
        <w:rPr>
          <w:rFonts w:ascii="Arial" w:eastAsia="Tahoma" w:hAnsi="Arial"/>
          <w:color w:val="000000"/>
        </w:rPr>
        <w:t xml:space="preserve">The general objective of this study was to determine whether science laboratory availability predicted laboratory self-efficacy among Senior High School STEM strand students in Mariano Peralta National High School and </w:t>
      </w:r>
      <w:proofErr w:type="spellStart"/>
      <w:r>
        <w:rPr>
          <w:rFonts w:ascii="Arial" w:eastAsia="Tahoma" w:hAnsi="Arial"/>
          <w:color w:val="000000"/>
        </w:rPr>
        <w:t>Heracleo</w:t>
      </w:r>
      <w:proofErr w:type="spellEnd"/>
      <w:r>
        <w:rPr>
          <w:rFonts w:ascii="Arial" w:eastAsia="Tahoma" w:hAnsi="Arial"/>
          <w:color w:val="000000"/>
        </w:rPr>
        <w:t xml:space="preserve"> Casco Memorial National High School.</w:t>
      </w:r>
    </w:p>
    <w:p w14:paraId="7DD1CA70" w14:textId="77777777" w:rsidR="006140D5" w:rsidRDefault="00E13F90">
      <w:pPr>
        <w:ind w:left="720"/>
        <w:jc w:val="both"/>
        <w:rPr>
          <w:rFonts w:ascii="Arial" w:eastAsia="Tahoma" w:hAnsi="Arial"/>
          <w:color w:val="000000"/>
        </w:rPr>
      </w:pPr>
      <w:r>
        <w:rPr>
          <w:rFonts w:ascii="Arial" w:eastAsia="Tahoma" w:hAnsi="Arial"/>
          <w:color w:val="000000"/>
        </w:rPr>
        <w:t xml:space="preserve">Specifically, it sought to: </w:t>
      </w:r>
    </w:p>
    <w:p w14:paraId="74502950" w14:textId="77777777" w:rsidR="006140D5" w:rsidRDefault="006140D5">
      <w:pPr>
        <w:ind w:left="720"/>
        <w:jc w:val="both"/>
        <w:rPr>
          <w:rFonts w:ascii="Arial" w:eastAsia="Tahoma" w:hAnsi="Arial"/>
          <w:color w:val="000000"/>
        </w:rPr>
      </w:pPr>
    </w:p>
    <w:p w14:paraId="424DE15E" w14:textId="77777777" w:rsidR="006140D5" w:rsidRDefault="00E13F90">
      <w:pPr>
        <w:numPr>
          <w:ilvl w:val="0"/>
          <w:numId w:val="2"/>
        </w:numPr>
        <w:jc w:val="both"/>
        <w:rPr>
          <w:rFonts w:ascii="Arial" w:eastAsia="Tahoma" w:hAnsi="Arial"/>
          <w:color w:val="000000"/>
        </w:rPr>
      </w:pPr>
      <w:r>
        <w:rPr>
          <w:rFonts w:ascii="Arial" w:eastAsia="Tahoma" w:hAnsi="Arial"/>
          <w:color w:val="000000"/>
        </w:rPr>
        <w:t xml:space="preserve">describe the level of science laboratory availability among Senior High School STEM strand students, </w:t>
      </w:r>
    </w:p>
    <w:p w14:paraId="40CB9E01" w14:textId="77777777" w:rsidR="006140D5" w:rsidRDefault="00E13F90">
      <w:pPr>
        <w:numPr>
          <w:ilvl w:val="0"/>
          <w:numId w:val="2"/>
        </w:numPr>
        <w:jc w:val="both"/>
        <w:rPr>
          <w:rFonts w:ascii="Arial" w:eastAsia="Tahoma" w:hAnsi="Arial"/>
          <w:color w:val="000000"/>
        </w:rPr>
      </w:pPr>
      <w:r>
        <w:rPr>
          <w:rFonts w:ascii="Arial" w:eastAsia="Tahoma" w:hAnsi="Arial"/>
          <w:color w:val="000000"/>
        </w:rPr>
        <w:t xml:space="preserve">describe the level of laboratory self-efficacy among Senior High School STEM strand students, </w:t>
      </w:r>
    </w:p>
    <w:p w14:paraId="5E795172" w14:textId="0B2DBA69" w:rsidR="006140D5" w:rsidRDefault="00E13F90">
      <w:pPr>
        <w:numPr>
          <w:ilvl w:val="0"/>
          <w:numId w:val="2"/>
        </w:numPr>
        <w:jc w:val="both"/>
        <w:rPr>
          <w:rFonts w:ascii="Arial" w:eastAsia="Tahoma" w:hAnsi="Arial" w:cs="Arial"/>
          <w:color w:val="000000"/>
        </w:rPr>
      </w:pPr>
      <w:r>
        <w:rPr>
          <w:rFonts w:ascii="Arial" w:eastAsia="Tahoma" w:hAnsi="Arial"/>
          <w:color w:val="000000"/>
        </w:rPr>
        <w:t xml:space="preserve">test the significance of </w:t>
      </w:r>
      <w:r w:rsidR="001A0DAC">
        <w:rPr>
          <w:rFonts w:ascii="Arial" w:eastAsia="Tahoma" w:hAnsi="Arial"/>
          <w:color w:val="000000"/>
        </w:rPr>
        <w:t xml:space="preserve">the relationship between </w:t>
      </w:r>
      <w:r>
        <w:rPr>
          <w:rFonts w:ascii="Arial" w:eastAsia="Tahoma" w:hAnsi="Arial"/>
          <w:color w:val="000000"/>
        </w:rPr>
        <w:t xml:space="preserve">science laboratory availability and laboratory self-efficacy among Senior High School STEM strand students, </w:t>
      </w:r>
    </w:p>
    <w:p w14:paraId="6F366E62" w14:textId="77777777" w:rsidR="006140D5" w:rsidRDefault="00E13F90">
      <w:pPr>
        <w:numPr>
          <w:ilvl w:val="0"/>
          <w:numId w:val="2"/>
        </w:numPr>
        <w:jc w:val="both"/>
        <w:rPr>
          <w:rFonts w:ascii="Arial" w:eastAsia="Tahoma" w:hAnsi="Arial" w:cs="Arial"/>
          <w:color w:val="000000"/>
        </w:rPr>
      </w:pPr>
      <w:r>
        <w:rPr>
          <w:rFonts w:ascii="Arial" w:eastAsia="Tahoma" w:hAnsi="Arial"/>
          <w:color w:val="000000"/>
        </w:rPr>
        <w:t>determine the predictive influence of science laboratory availability on the laboratory self-efficacy among SHS STEM strand students.</w:t>
      </w:r>
    </w:p>
    <w:p w14:paraId="16359BFE" w14:textId="77777777" w:rsidR="006140D5" w:rsidRDefault="006140D5">
      <w:pPr>
        <w:jc w:val="both"/>
        <w:rPr>
          <w:rFonts w:ascii="Arial" w:eastAsia="Tahoma" w:hAnsi="Arial" w:cs="Arial"/>
          <w:color w:val="000000"/>
        </w:rPr>
      </w:pPr>
    </w:p>
    <w:p w14:paraId="21AE1274" w14:textId="77777777" w:rsidR="006140D5" w:rsidRDefault="00E13F90">
      <w:pPr>
        <w:pStyle w:val="AbstHead"/>
        <w:spacing w:after="0"/>
        <w:jc w:val="both"/>
        <w:rPr>
          <w:rFonts w:ascii="Arial" w:hAnsi="Arial" w:cs="Arial"/>
        </w:rPr>
      </w:pPr>
      <w:r>
        <w:rPr>
          <w:rFonts w:ascii="Arial" w:hAnsi="Arial" w:cs="Arial"/>
        </w:rPr>
        <w:t xml:space="preserve">3. MATERIALS AND METHODS </w:t>
      </w:r>
    </w:p>
    <w:p w14:paraId="2E06A1F1" w14:textId="77777777" w:rsidR="006140D5" w:rsidRDefault="006140D5">
      <w:pPr>
        <w:pStyle w:val="NoSpacing1"/>
        <w:jc w:val="both"/>
        <w:rPr>
          <w:rFonts w:ascii="Arial" w:eastAsia="SimSun" w:hAnsi="Arial"/>
          <w:sz w:val="20"/>
          <w:szCs w:val="20"/>
          <w:shd w:val="clear" w:color="auto" w:fill="FFFFFF"/>
        </w:rPr>
      </w:pPr>
    </w:p>
    <w:p w14:paraId="4F7F5E10" w14:textId="77777777" w:rsidR="006140D5" w:rsidRDefault="00E13F9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Research Design</w:t>
      </w:r>
    </w:p>
    <w:p w14:paraId="6448588A" w14:textId="77777777" w:rsidR="006140D5" w:rsidRDefault="006140D5">
      <w:pPr>
        <w:pStyle w:val="NoSpacing1"/>
        <w:jc w:val="both"/>
        <w:rPr>
          <w:rFonts w:ascii="Arial" w:eastAsia="SimSun" w:hAnsi="Arial"/>
          <w:sz w:val="20"/>
          <w:szCs w:val="20"/>
          <w:shd w:val="clear" w:color="auto" w:fill="FFFFFF"/>
        </w:rPr>
      </w:pPr>
    </w:p>
    <w:p w14:paraId="46797FF9" w14:textId="77777777" w:rsidR="006140D5" w:rsidRDefault="00E13F90">
      <w:pPr>
        <w:ind w:firstLine="720"/>
        <w:jc w:val="both"/>
        <w:rPr>
          <w:rFonts w:ascii="Arial" w:eastAsia="Tahoma" w:hAnsi="Arial"/>
        </w:rPr>
      </w:pPr>
      <w:r>
        <w:rPr>
          <w:rFonts w:ascii="Arial" w:eastAsia="Tahoma" w:hAnsi="Arial"/>
        </w:rPr>
        <w:t xml:space="preserve">The study employed a quantitative predictive-correlational design utilizing Simple Linear Regression Analysis to determine whether science laboratory availability significantly predicted laboratory self-efficacy among Senior High School STEM strand students. This regression model was appropriate since only one predictor variable (science laboratory availability) and one outcome variable (laboratory self-efficacy) were analyzed. </w:t>
      </w:r>
    </w:p>
    <w:p w14:paraId="3E2F4521" w14:textId="77777777" w:rsidR="006140D5" w:rsidRDefault="006140D5">
      <w:pPr>
        <w:ind w:firstLine="720"/>
        <w:jc w:val="both"/>
        <w:rPr>
          <w:rFonts w:ascii="Arial" w:eastAsia="Tahoma" w:hAnsi="Arial"/>
        </w:rPr>
      </w:pPr>
    </w:p>
    <w:p w14:paraId="367BDC61" w14:textId="77777777" w:rsidR="006140D5" w:rsidRDefault="006140D5">
      <w:pPr>
        <w:pStyle w:val="NoSpacing1"/>
        <w:jc w:val="both"/>
        <w:rPr>
          <w:rFonts w:ascii="Arial" w:eastAsia="SimSun" w:hAnsi="Arial"/>
          <w:b/>
          <w:bCs/>
          <w:sz w:val="20"/>
          <w:szCs w:val="20"/>
          <w:shd w:val="clear" w:color="auto" w:fill="FFFFFF"/>
        </w:rPr>
      </w:pPr>
    </w:p>
    <w:p w14:paraId="48C24377" w14:textId="77777777" w:rsidR="006140D5" w:rsidRDefault="006140D5">
      <w:pPr>
        <w:pStyle w:val="NoSpacing1"/>
        <w:jc w:val="both"/>
        <w:rPr>
          <w:rFonts w:ascii="Arial" w:eastAsia="SimSun" w:hAnsi="Arial"/>
          <w:b/>
          <w:bCs/>
          <w:sz w:val="20"/>
          <w:szCs w:val="20"/>
          <w:shd w:val="clear" w:color="auto" w:fill="FFFFFF"/>
        </w:rPr>
      </w:pPr>
    </w:p>
    <w:p w14:paraId="5FA2F7FB" w14:textId="77777777" w:rsidR="006140D5" w:rsidRDefault="006140D5">
      <w:pPr>
        <w:pStyle w:val="NoSpacing1"/>
        <w:jc w:val="both"/>
        <w:rPr>
          <w:rFonts w:ascii="Arial" w:eastAsia="SimSun" w:hAnsi="Arial"/>
          <w:b/>
          <w:bCs/>
          <w:sz w:val="20"/>
          <w:szCs w:val="20"/>
          <w:shd w:val="clear" w:color="auto" w:fill="FFFFFF"/>
        </w:rPr>
      </w:pPr>
    </w:p>
    <w:p w14:paraId="0A104A87" w14:textId="77777777" w:rsidR="006140D5" w:rsidRDefault="00E13F9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Research Instrument</w:t>
      </w:r>
    </w:p>
    <w:p w14:paraId="2E07D790" w14:textId="77777777" w:rsidR="006140D5" w:rsidRDefault="006140D5">
      <w:pPr>
        <w:pStyle w:val="NoSpacing1"/>
        <w:jc w:val="both"/>
        <w:rPr>
          <w:rFonts w:ascii="Arial" w:eastAsia="SimSun" w:hAnsi="Arial"/>
          <w:sz w:val="20"/>
          <w:szCs w:val="20"/>
          <w:shd w:val="clear" w:color="auto" w:fill="FFFFFF"/>
        </w:rPr>
      </w:pPr>
    </w:p>
    <w:p w14:paraId="7DE583D4" w14:textId="77777777" w:rsidR="006140D5" w:rsidRDefault="00E13F90">
      <w:pPr>
        <w:pStyle w:val="NoSpacing1"/>
        <w:ind w:firstLine="720"/>
        <w:jc w:val="both"/>
        <w:rPr>
          <w:rFonts w:ascii="Arial" w:eastAsia="Tahoma" w:hAnsi="Arial"/>
          <w:sz w:val="20"/>
          <w:szCs w:val="20"/>
        </w:rPr>
      </w:pPr>
      <w:r>
        <w:rPr>
          <w:rFonts w:ascii="Arial" w:eastAsia="Tahoma" w:hAnsi="Arial"/>
        </w:rPr>
        <w:lastRenderedPageBreak/>
        <w:t>T</w:t>
      </w:r>
      <w:r>
        <w:rPr>
          <w:rFonts w:ascii="Arial" w:eastAsia="Tahoma" w:hAnsi="Arial"/>
          <w:sz w:val="20"/>
          <w:szCs w:val="20"/>
        </w:rPr>
        <w:t xml:space="preserve">he study utilized two main instruments: the Science Laboratory Availability Scale (SLAS) and the Laboratory Self-Efficacy Scale (LSES). The SLAS, adapted from Serna (2024), is a Likert-type questionnaire designed to assess the adequacy and accessibility of science laboratory resources. It measured various dimensions such as equipment sufficiency, facility access, safety, and overall usability of laboratory environments. Meanwhile, the LSES was adapted from the Experimental Self-Efficacy (ESE) Questionnaire developed by </w:t>
      </w:r>
      <w:proofErr w:type="spellStart"/>
      <w:r>
        <w:rPr>
          <w:rFonts w:ascii="Arial" w:eastAsia="Tahoma" w:hAnsi="Arial"/>
          <w:sz w:val="20"/>
          <w:szCs w:val="20"/>
        </w:rPr>
        <w:t>Kolil</w:t>
      </w:r>
      <w:proofErr w:type="spellEnd"/>
      <w:r>
        <w:rPr>
          <w:rFonts w:ascii="Arial" w:eastAsia="Tahoma" w:hAnsi="Arial"/>
          <w:sz w:val="20"/>
          <w:szCs w:val="20"/>
        </w:rPr>
        <w:t xml:space="preserve"> et al. (2020). It employed a five-point Likert scale with responses ranging from</w:t>
      </w:r>
      <w:r>
        <w:rPr>
          <w:rFonts w:ascii="Arial" w:eastAsia="Tahoma" w:hAnsi="Arial"/>
          <w:sz w:val="20"/>
          <w:szCs w:val="20"/>
          <w:lang w:val="en-PH"/>
        </w:rPr>
        <w:t xml:space="preserve"> strongly disagree</w:t>
      </w:r>
      <w:r>
        <w:rPr>
          <w:rFonts w:ascii="Arial" w:eastAsia="Tahoma" w:hAnsi="Arial"/>
          <w:sz w:val="20"/>
          <w:szCs w:val="20"/>
        </w:rPr>
        <w:t xml:space="preserve"> to </w:t>
      </w:r>
      <w:r>
        <w:rPr>
          <w:rFonts w:ascii="Arial" w:eastAsia="Tahoma" w:hAnsi="Arial"/>
          <w:sz w:val="20"/>
          <w:szCs w:val="20"/>
          <w:lang w:val="en-PH"/>
        </w:rPr>
        <w:t>strongly agree</w:t>
      </w:r>
      <w:r>
        <w:rPr>
          <w:rFonts w:ascii="Arial" w:eastAsia="Tahoma" w:hAnsi="Arial"/>
          <w:sz w:val="20"/>
          <w:szCs w:val="20"/>
        </w:rPr>
        <w:t>, scored from 1 to 5. The instrument consisted of items distributed across four domains: conceptual understanding, laboratory hazards, procedural complexity, and sufficiency of resources. The questionnaire was designed to evaluate students’ confidence in performing laboratory tasks, handling apparatus, and applying scientific concepts during experiments.</w:t>
      </w:r>
    </w:p>
    <w:p w14:paraId="68FF5805"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Both instruments were reviewed and validated by three local experts in science education and educational research—two Doctors of Education and one Doctor of Philosophy—to ensure clarity, relevance, and cultural suitability. The LSES demonstrated strong internal consistency, with reported Cronbach’s Alpha values ranging from 0.72 to 0.89 across its factors. The combination of expert validation and established reliability ensured that the instruments were appropriate and rigorous for the context of this study.</w:t>
      </w:r>
    </w:p>
    <w:p w14:paraId="26E0A956" w14:textId="77777777" w:rsidR="006140D5" w:rsidRDefault="006140D5">
      <w:pPr>
        <w:pStyle w:val="NoSpacing1"/>
        <w:ind w:firstLine="720"/>
        <w:jc w:val="both"/>
        <w:rPr>
          <w:rFonts w:ascii="Arial" w:eastAsia="Tahoma" w:hAnsi="Arial"/>
          <w:sz w:val="20"/>
          <w:szCs w:val="20"/>
        </w:rPr>
      </w:pPr>
    </w:p>
    <w:p w14:paraId="13CD02D7" w14:textId="77777777" w:rsidR="006140D5" w:rsidRDefault="00E13F9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Respondents of the Study</w:t>
      </w:r>
    </w:p>
    <w:p w14:paraId="3AF2A73B" w14:textId="77777777" w:rsidR="006140D5" w:rsidRDefault="006140D5">
      <w:pPr>
        <w:pStyle w:val="NoSpacing1"/>
        <w:jc w:val="both"/>
        <w:rPr>
          <w:rFonts w:ascii="Arial" w:eastAsia="SimSun" w:hAnsi="Arial"/>
          <w:sz w:val="20"/>
          <w:szCs w:val="20"/>
          <w:shd w:val="clear" w:color="auto" w:fill="FFFFFF"/>
        </w:rPr>
      </w:pPr>
    </w:p>
    <w:p w14:paraId="0A0653F6" w14:textId="77777777" w:rsidR="006140D5" w:rsidRDefault="00E13F90">
      <w:pPr>
        <w:pStyle w:val="NoSpacing1"/>
        <w:ind w:firstLine="720"/>
        <w:jc w:val="both"/>
        <w:rPr>
          <w:rFonts w:ascii="Arial" w:eastAsia="SimSun" w:hAnsi="Arial"/>
          <w:sz w:val="20"/>
          <w:szCs w:val="20"/>
          <w:shd w:val="clear" w:color="auto" w:fill="FFFFFF"/>
        </w:rPr>
      </w:pPr>
      <w:r>
        <w:rPr>
          <w:rFonts w:ascii="Arial" w:eastAsia="Tahoma" w:hAnsi="Arial"/>
          <w:sz w:val="20"/>
          <w:szCs w:val="20"/>
        </w:rPr>
        <w:t xml:space="preserve">The study was conducted among Senior High School STEM strand students at Mariano Peralta National High School and </w:t>
      </w:r>
      <w:proofErr w:type="spellStart"/>
      <w:r>
        <w:rPr>
          <w:rFonts w:ascii="Arial" w:eastAsia="Tahoma" w:hAnsi="Arial"/>
          <w:sz w:val="20"/>
          <w:szCs w:val="20"/>
        </w:rPr>
        <w:t>Heracleo</w:t>
      </w:r>
      <w:proofErr w:type="spellEnd"/>
      <w:r>
        <w:rPr>
          <w:rFonts w:ascii="Arial" w:eastAsia="Tahoma" w:hAnsi="Arial"/>
          <w:sz w:val="20"/>
          <w:szCs w:val="20"/>
        </w:rPr>
        <w:t xml:space="preserve"> Casco Memorial National High School, both of which offer specialized science subjects and maintain functional science laboratories. These schools are public secondary institutions located in </w:t>
      </w:r>
      <w:proofErr w:type="spellStart"/>
      <w:r>
        <w:rPr>
          <w:rFonts w:ascii="Arial" w:eastAsia="Tahoma" w:hAnsi="Arial"/>
          <w:sz w:val="20"/>
          <w:szCs w:val="20"/>
        </w:rPr>
        <w:t>poblacion</w:t>
      </w:r>
      <w:proofErr w:type="spellEnd"/>
      <w:r>
        <w:rPr>
          <w:rFonts w:ascii="Arial" w:eastAsia="Tahoma" w:hAnsi="Arial"/>
          <w:sz w:val="20"/>
          <w:szCs w:val="20"/>
        </w:rPr>
        <w:t xml:space="preserve"> areas of different municipalities within Davao Occidental. The respondents included Grade 11 and Grade 12 STEM strand students who were currently enrolled in science-related subjects and had conducted experiments in the laboratory. They were typically aged 16 to 19 years and actively participated in laboratory-based science courses.</w:t>
      </w:r>
      <w:r>
        <w:rPr>
          <w:rFonts w:ascii="Arial" w:eastAsia="SimSun" w:hAnsi="Arial"/>
          <w:sz w:val="20"/>
          <w:szCs w:val="20"/>
          <w:shd w:val="clear" w:color="auto" w:fill="FFFFFF"/>
        </w:rPr>
        <w:t xml:space="preserve"> </w:t>
      </w:r>
    </w:p>
    <w:p w14:paraId="2FCFA975" w14:textId="77777777" w:rsidR="006140D5" w:rsidRDefault="00E13F90">
      <w:pPr>
        <w:pStyle w:val="NoSpacing1"/>
        <w:ind w:firstLine="720"/>
        <w:jc w:val="both"/>
        <w:rPr>
          <w:rFonts w:ascii="Arial" w:eastAsia="SimSun" w:hAnsi="Arial"/>
          <w:sz w:val="20"/>
          <w:szCs w:val="20"/>
          <w:shd w:val="clear" w:color="auto" w:fill="FFFFFF"/>
        </w:rPr>
      </w:pPr>
      <w:r>
        <w:rPr>
          <w:rFonts w:ascii="Arial" w:eastAsia="SimSun" w:hAnsi="Arial"/>
          <w:sz w:val="20"/>
          <w:szCs w:val="20"/>
          <w:shd w:val="clear" w:color="auto" w:fill="FFFFFF"/>
        </w:rPr>
        <w:t>The distribution of respondents is detailed in Table 1 below.</w:t>
      </w:r>
    </w:p>
    <w:p w14:paraId="4CA4C3F9" w14:textId="77777777" w:rsidR="006140D5" w:rsidRDefault="006140D5">
      <w:pPr>
        <w:pStyle w:val="NoSpacing1"/>
        <w:ind w:firstLine="720"/>
        <w:jc w:val="both"/>
        <w:rPr>
          <w:rFonts w:ascii="Arial" w:eastAsia="SimSun" w:hAnsi="Arial"/>
          <w:sz w:val="20"/>
          <w:szCs w:val="20"/>
          <w:shd w:val="clear" w:color="auto" w:fill="FFFFFF"/>
        </w:rPr>
      </w:pPr>
    </w:p>
    <w:p w14:paraId="67FEF275" w14:textId="77777777" w:rsidR="006140D5" w:rsidRDefault="006140D5">
      <w:pPr>
        <w:pStyle w:val="NoSpacing1"/>
        <w:jc w:val="both"/>
        <w:rPr>
          <w:rFonts w:ascii="Arial" w:eastAsia="SimSun" w:hAnsi="Arial"/>
          <w:sz w:val="20"/>
          <w:szCs w:val="20"/>
          <w:shd w:val="clear" w:color="auto" w:fill="FFFFFF"/>
        </w:rPr>
      </w:pPr>
    </w:p>
    <w:p w14:paraId="3AA86BE3" w14:textId="77777777" w:rsidR="006140D5" w:rsidRDefault="00E13F90">
      <w:pPr>
        <w:pStyle w:val="NoSpacing1"/>
        <w:rPr>
          <w:rFonts w:ascii="Arial" w:eastAsia="SimSun" w:hAnsi="Arial"/>
          <w:sz w:val="20"/>
          <w:szCs w:val="20"/>
          <w:shd w:val="clear" w:color="auto" w:fill="FFFFFF"/>
          <w:lang w:val="en-PH"/>
        </w:rPr>
      </w:pPr>
      <w:r>
        <w:rPr>
          <w:rFonts w:ascii="Arial" w:eastAsia="SimSun" w:hAnsi="Arial"/>
          <w:sz w:val="20"/>
          <w:szCs w:val="20"/>
          <w:shd w:val="clear" w:color="auto" w:fill="FFFFFF"/>
        </w:rPr>
        <w:t>Table 1. Distribution of Respondents</w:t>
      </w:r>
      <w:r>
        <w:rPr>
          <w:rFonts w:ascii="Arial" w:eastAsia="SimSun" w:hAnsi="Arial"/>
          <w:sz w:val="20"/>
          <w:szCs w:val="20"/>
          <w:shd w:val="clear" w:color="auto" w:fill="FFFFFF"/>
          <w:lang w:val="en-PH"/>
        </w:rPr>
        <w:t xml:space="preserve"> in the Study</w:t>
      </w:r>
    </w:p>
    <w:tbl>
      <w:tblPr>
        <w:tblW w:w="8129" w:type="dxa"/>
        <w:tblInd w:w="101" w:type="dxa"/>
        <w:tblLayout w:type="fixed"/>
        <w:tblLook w:val="04A0" w:firstRow="1" w:lastRow="0" w:firstColumn="1" w:lastColumn="0" w:noHBand="0" w:noVBand="1"/>
      </w:tblPr>
      <w:tblGrid>
        <w:gridCol w:w="2817"/>
        <w:gridCol w:w="2656"/>
        <w:gridCol w:w="2656"/>
      </w:tblGrid>
      <w:tr w:rsidR="006140D5" w14:paraId="17F438E4" w14:textId="77777777">
        <w:trPr>
          <w:trHeight w:val="337"/>
        </w:trPr>
        <w:tc>
          <w:tcPr>
            <w:tcW w:w="2817" w:type="dxa"/>
            <w:tcBorders>
              <w:top w:val="thinThickSmallGap" w:sz="24" w:space="0" w:color="auto"/>
              <w:bottom w:val="single" w:sz="4" w:space="0" w:color="000000"/>
            </w:tcBorders>
          </w:tcPr>
          <w:p w14:paraId="6A3FC731" w14:textId="77777777" w:rsidR="006140D5" w:rsidRDefault="00E13F90">
            <w:pPr>
              <w:jc w:val="both"/>
              <w:rPr>
                <w:rFonts w:ascii="Arial" w:eastAsia="Tahoma" w:hAnsi="Arial" w:cs="Arial"/>
                <w:b/>
                <w:lang w:val="en-PH"/>
              </w:rPr>
            </w:pPr>
            <w:r>
              <w:rPr>
                <w:rFonts w:ascii="Arial" w:eastAsia="Tahoma" w:hAnsi="Arial" w:cs="Arial"/>
                <w:b/>
                <w:lang w:val="en-PH"/>
              </w:rPr>
              <w:t>Schools</w:t>
            </w:r>
          </w:p>
        </w:tc>
        <w:tc>
          <w:tcPr>
            <w:tcW w:w="2656" w:type="dxa"/>
            <w:tcBorders>
              <w:top w:val="thinThickSmallGap" w:sz="24" w:space="0" w:color="auto"/>
              <w:bottom w:val="single" w:sz="4" w:space="0" w:color="000000"/>
            </w:tcBorders>
          </w:tcPr>
          <w:p w14:paraId="2BC999F0" w14:textId="77777777" w:rsidR="006140D5" w:rsidRDefault="00E13F90">
            <w:pPr>
              <w:jc w:val="center"/>
              <w:rPr>
                <w:rFonts w:ascii="Arial" w:eastAsia="Tahoma" w:hAnsi="Arial" w:cs="Arial"/>
                <w:b/>
                <w:lang w:val="en-PH"/>
              </w:rPr>
            </w:pPr>
            <w:r>
              <w:rPr>
                <w:rFonts w:ascii="Arial" w:eastAsia="Tahoma" w:hAnsi="Arial" w:cs="Arial"/>
                <w:b/>
                <w:lang w:val="en-PH"/>
              </w:rPr>
              <w:t>Grade Level</w:t>
            </w:r>
          </w:p>
        </w:tc>
        <w:tc>
          <w:tcPr>
            <w:tcW w:w="2656" w:type="dxa"/>
            <w:tcBorders>
              <w:top w:val="thinThickSmallGap" w:sz="24" w:space="0" w:color="auto"/>
              <w:bottom w:val="single" w:sz="4" w:space="0" w:color="000000"/>
            </w:tcBorders>
          </w:tcPr>
          <w:p w14:paraId="70235EAE" w14:textId="77777777" w:rsidR="006140D5" w:rsidRDefault="00E13F90">
            <w:pPr>
              <w:jc w:val="center"/>
              <w:rPr>
                <w:rFonts w:ascii="Arial" w:eastAsia="Tahoma" w:hAnsi="Arial" w:cs="Arial"/>
                <w:b/>
              </w:rPr>
            </w:pPr>
            <w:r>
              <w:rPr>
                <w:rFonts w:ascii="Arial" w:eastAsia="Tahoma" w:hAnsi="Arial" w:cs="Arial"/>
                <w:b/>
              </w:rPr>
              <w:t>Population (N)</w:t>
            </w:r>
          </w:p>
        </w:tc>
      </w:tr>
      <w:tr w:rsidR="006140D5" w14:paraId="15AAF0A8" w14:textId="77777777">
        <w:trPr>
          <w:trHeight w:val="586"/>
        </w:trPr>
        <w:tc>
          <w:tcPr>
            <w:tcW w:w="2817" w:type="dxa"/>
            <w:tcBorders>
              <w:top w:val="single" w:sz="4" w:space="0" w:color="000000"/>
            </w:tcBorders>
          </w:tcPr>
          <w:p w14:paraId="0F374A17" w14:textId="77777777" w:rsidR="006140D5" w:rsidRDefault="00E13F90">
            <w:pPr>
              <w:jc w:val="both"/>
              <w:rPr>
                <w:rFonts w:ascii="Arial" w:eastAsia="Tahoma" w:hAnsi="Arial" w:cs="Arial"/>
                <w:b/>
              </w:rPr>
            </w:pPr>
            <w:proofErr w:type="spellStart"/>
            <w:r>
              <w:rPr>
                <w:rFonts w:ascii="Arial" w:eastAsia="Tahoma" w:hAnsi="Arial"/>
              </w:rPr>
              <w:t>Heracleo</w:t>
            </w:r>
            <w:proofErr w:type="spellEnd"/>
            <w:r>
              <w:rPr>
                <w:rFonts w:ascii="Arial" w:eastAsia="Tahoma" w:hAnsi="Arial"/>
              </w:rPr>
              <w:t xml:space="preserve"> Casco Memorial National High School</w:t>
            </w:r>
          </w:p>
        </w:tc>
        <w:tc>
          <w:tcPr>
            <w:tcW w:w="2656" w:type="dxa"/>
            <w:tcBorders>
              <w:top w:val="single" w:sz="4" w:space="0" w:color="000000"/>
            </w:tcBorders>
          </w:tcPr>
          <w:p w14:paraId="5721FDDD" w14:textId="77777777" w:rsidR="006140D5" w:rsidRDefault="00E13F90">
            <w:pPr>
              <w:jc w:val="center"/>
              <w:rPr>
                <w:rFonts w:ascii="Arial" w:eastAsia="Tahoma" w:hAnsi="Arial" w:cs="Arial"/>
                <w:bCs/>
                <w:lang w:val="en-PH"/>
              </w:rPr>
            </w:pPr>
            <w:r>
              <w:rPr>
                <w:rFonts w:ascii="Arial" w:eastAsia="Tahoma" w:hAnsi="Arial" w:cs="Arial"/>
                <w:bCs/>
                <w:lang w:val="en-PH"/>
              </w:rPr>
              <w:t>11</w:t>
            </w:r>
          </w:p>
        </w:tc>
        <w:tc>
          <w:tcPr>
            <w:tcW w:w="2656" w:type="dxa"/>
            <w:tcBorders>
              <w:top w:val="single" w:sz="4" w:space="0" w:color="000000"/>
            </w:tcBorders>
          </w:tcPr>
          <w:p w14:paraId="4E14F940" w14:textId="77777777" w:rsidR="006140D5" w:rsidRDefault="00E13F90">
            <w:pPr>
              <w:jc w:val="center"/>
              <w:rPr>
                <w:rFonts w:ascii="Arial" w:eastAsia="Tahoma" w:hAnsi="Arial" w:cs="Arial"/>
                <w:bCs/>
                <w:lang w:val="en-PH"/>
              </w:rPr>
            </w:pPr>
            <w:r>
              <w:rPr>
                <w:rFonts w:ascii="Arial" w:eastAsia="Tahoma" w:hAnsi="Arial" w:cs="Arial"/>
                <w:bCs/>
              </w:rPr>
              <w:t>6</w:t>
            </w:r>
            <w:r>
              <w:rPr>
                <w:rFonts w:ascii="Arial" w:eastAsia="Tahoma" w:hAnsi="Arial" w:cs="Arial"/>
                <w:bCs/>
                <w:lang w:val="en-PH"/>
              </w:rPr>
              <w:t>4</w:t>
            </w:r>
          </w:p>
        </w:tc>
      </w:tr>
      <w:tr w:rsidR="006140D5" w14:paraId="30640781" w14:textId="77777777">
        <w:trPr>
          <w:trHeight w:val="586"/>
        </w:trPr>
        <w:tc>
          <w:tcPr>
            <w:tcW w:w="2817" w:type="dxa"/>
          </w:tcPr>
          <w:p w14:paraId="59DF1FCB" w14:textId="77777777" w:rsidR="006140D5" w:rsidRDefault="006140D5">
            <w:pPr>
              <w:jc w:val="both"/>
              <w:rPr>
                <w:rFonts w:ascii="Arial" w:eastAsia="Tahoma" w:hAnsi="Arial"/>
              </w:rPr>
            </w:pPr>
          </w:p>
        </w:tc>
        <w:tc>
          <w:tcPr>
            <w:tcW w:w="2656" w:type="dxa"/>
          </w:tcPr>
          <w:p w14:paraId="5FD38284" w14:textId="77777777" w:rsidR="006140D5" w:rsidRDefault="00E13F90">
            <w:pPr>
              <w:jc w:val="center"/>
              <w:rPr>
                <w:rFonts w:ascii="Arial" w:eastAsia="Tahoma" w:hAnsi="Arial" w:cs="Arial"/>
                <w:bCs/>
                <w:lang w:val="en-PH"/>
              </w:rPr>
            </w:pPr>
            <w:r>
              <w:rPr>
                <w:rFonts w:ascii="Arial" w:eastAsia="Tahoma" w:hAnsi="Arial" w:cs="Arial"/>
                <w:bCs/>
                <w:lang w:val="en-PH"/>
              </w:rPr>
              <w:t>12</w:t>
            </w:r>
          </w:p>
        </w:tc>
        <w:tc>
          <w:tcPr>
            <w:tcW w:w="2656" w:type="dxa"/>
          </w:tcPr>
          <w:p w14:paraId="5042DEA4" w14:textId="77777777" w:rsidR="006140D5" w:rsidRDefault="00E13F90">
            <w:pPr>
              <w:jc w:val="center"/>
              <w:rPr>
                <w:rFonts w:ascii="Arial" w:eastAsia="Tahoma" w:hAnsi="Arial" w:cs="Arial"/>
                <w:bCs/>
                <w:lang w:val="en-PH"/>
              </w:rPr>
            </w:pPr>
            <w:r>
              <w:rPr>
                <w:rFonts w:ascii="Arial" w:eastAsia="Tahoma" w:hAnsi="Arial" w:cs="Arial"/>
                <w:bCs/>
                <w:lang w:val="en-PH"/>
              </w:rPr>
              <w:t>72</w:t>
            </w:r>
          </w:p>
        </w:tc>
      </w:tr>
      <w:tr w:rsidR="006140D5" w14:paraId="72D27261" w14:textId="77777777">
        <w:trPr>
          <w:trHeight w:val="452"/>
        </w:trPr>
        <w:tc>
          <w:tcPr>
            <w:tcW w:w="2817" w:type="dxa"/>
          </w:tcPr>
          <w:p w14:paraId="0880B61C" w14:textId="77777777" w:rsidR="006140D5" w:rsidRDefault="00E13F90">
            <w:pPr>
              <w:jc w:val="both"/>
              <w:rPr>
                <w:rFonts w:ascii="Arial" w:eastAsia="Tahoma" w:hAnsi="Arial" w:cs="Arial"/>
                <w:b/>
              </w:rPr>
            </w:pPr>
            <w:r>
              <w:rPr>
                <w:rFonts w:ascii="Arial" w:eastAsia="Tahoma" w:hAnsi="Arial"/>
              </w:rPr>
              <w:t>Mariano Peralta National High School</w:t>
            </w:r>
          </w:p>
        </w:tc>
        <w:tc>
          <w:tcPr>
            <w:tcW w:w="2656" w:type="dxa"/>
          </w:tcPr>
          <w:p w14:paraId="4CD70645" w14:textId="77777777" w:rsidR="006140D5" w:rsidRDefault="00E13F90">
            <w:pPr>
              <w:jc w:val="center"/>
              <w:rPr>
                <w:rFonts w:ascii="Arial" w:eastAsia="Tahoma" w:hAnsi="Arial" w:cs="Arial"/>
                <w:bCs/>
                <w:lang w:val="en-PH"/>
              </w:rPr>
            </w:pPr>
            <w:r>
              <w:rPr>
                <w:rFonts w:ascii="Arial" w:eastAsia="Tahoma" w:hAnsi="Arial" w:cs="Arial"/>
                <w:bCs/>
                <w:lang w:val="en-PH"/>
              </w:rPr>
              <w:t>11</w:t>
            </w:r>
          </w:p>
        </w:tc>
        <w:tc>
          <w:tcPr>
            <w:tcW w:w="2656" w:type="dxa"/>
          </w:tcPr>
          <w:p w14:paraId="70186473" w14:textId="77777777" w:rsidR="006140D5" w:rsidRDefault="00E13F90">
            <w:pPr>
              <w:jc w:val="center"/>
              <w:rPr>
                <w:rFonts w:ascii="Arial" w:eastAsia="Tahoma" w:hAnsi="Arial" w:cs="Arial"/>
                <w:bCs/>
                <w:lang w:val="en-PH"/>
              </w:rPr>
            </w:pPr>
            <w:r>
              <w:rPr>
                <w:rFonts w:ascii="Arial" w:eastAsia="Tahoma" w:hAnsi="Arial" w:cs="Arial"/>
                <w:bCs/>
                <w:lang w:val="en-PH"/>
              </w:rPr>
              <w:t>28</w:t>
            </w:r>
          </w:p>
        </w:tc>
      </w:tr>
      <w:tr w:rsidR="006140D5" w14:paraId="4F23F2C1" w14:textId="77777777">
        <w:trPr>
          <w:trHeight w:val="452"/>
        </w:trPr>
        <w:tc>
          <w:tcPr>
            <w:tcW w:w="2817" w:type="dxa"/>
          </w:tcPr>
          <w:p w14:paraId="0E7AF4F1" w14:textId="77777777" w:rsidR="006140D5" w:rsidRDefault="006140D5">
            <w:pPr>
              <w:jc w:val="both"/>
              <w:rPr>
                <w:rFonts w:ascii="Arial" w:eastAsia="Tahoma" w:hAnsi="Arial"/>
              </w:rPr>
            </w:pPr>
          </w:p>
        </w:tc>
        <w:tc>
          <w:tcPr>
            <w:tcW w:w="2656" w:type="dxa"/>
          </w:tcPr>
          <w:p w14:paraId="1E138537" w14:textId="77777777" w:rsidR="006140D5" w:rsidRDefault="00E13F90">
            <w:pPr>
              <w:jc w:val="center"/>
              <w:rPr>
                <w:rFonts w:ascii="Arial" w:eastAsia="Tahoma" w:hAnsi="Arial" w:cs="Arial"/>
                <w:bCs/>
                <w:lang w:val="en-PH"/>
              </w:rPr>
            </w:pPr>
            <w:r>
              <w:rPr>
                <w:rFonts w:ascii="Arial" w:eastAsia="Tahoma" w:hAnsi="Arial" w:cs="Arial"/>
                <w:bCs/>
                <w:lang w:val="en-PH"/>
              </w:rPr>
              <w:t>12</w:t>
            </w:r>
          </w:p>
        </w:tc>
        <w:tc>
          <w:tcPr>
            <w:tcW w:w="2656" w:type="dxa"/>
          </w:tcPr>
          <w:p w14:paraId="6DEA4347" w14:textId="77777777" w:rsidR="006140D5" w:rsidRDefault="00E13F90">
            <w:pPr>
              <w:jc w:val="center"/>
              <w:rPr>
                <w:rFonts w:ascii="Arial" w:eastAsia="Tahoma" w:hAnsi="Arial" w:cs="Arial"/>
                <w:bCs/>
                <w:lang w:val="en-PH"/>
              </w:rPr>
            </w:pPr>
            <w:r>
              <w:rPr>
                <w:rFonts w:ascii="Arial" w:eastAsia="Tahoma" w:hAnsi="Arial" w:cs="Arial"/>
                <w:bCs/>
                <w:lang w:val="en-PH"/>
              </w:rPr>
              <w:t>46</w:t>
            </w:r>
          </w:p>
        </w:tc>
      </w:tr>
      <w:tr w:rsidR="006140D5" w14:paraId="2840977F" w14:textId="77777777">
        <w:trPr>
          <w:trHeight w:val="324"/>
        </w:trPr>
        <w:tc>
          <w:tcPr>
            <w:tcW w:w="2817" w:type="dxa"/>
            <w:tcBorders>
              <w:top w:val="single" w:sz="4" w:space="0" w:color="auto"/>
              <w:bottom w:val="thickThinSmallGap" w:sz="24" w:space="0" w:color="auto"/>
            </w:tcBorders>
          </w:tcPr>
          <w:p w14:paraId="3124A89C" w14:textId="77777777" w:rsidR="006140D5" w:rsidRDefault="00E13F90">
            <w:pPr>
              <w:jc w:val="both"/>
              <w:rPr>
                <w:rFonts w:ascii="Arial" w:eastAsia="Tahoma" w:hAnsi="Arial" w:cs="Arial"/>
                <w:b/>
              </w:rPr>
            </w:pPr>
            <w:r>
              <w:rPr>
                <w:rFonts w:ascii="Arial" w:eastAsia="Tahoma" w:hAnsi="Arial" w:cs="Arial"/>
              </w:rPr>
              <w:t>Total:</w:t>
            </w:r>
          </w:p>
        </w:tc>
        <w:tc>
          <w:tcPr>
            <w:tcW w:w="2656" w:type="dxa"/>
            <w:tcBorders>
              <w:top w:val="single" w:sz="4" w:space="0" w:color="auto"/>
              <w:bottom w:val="thickThinSmallGap" w:sz="24" w:space="0" w:color="auto"/>
            </w:tcBorders>
          </w:tcPr>
          <w:p w14:paraId="666541FC" w14:textId="77777777" w:rsidR="006140D5" w:rsidRDefault="006140D5">
            <w:pPr>
              <w:jc w:val="center"/>
              <w:rPr>
                <w:rFonts w:ascii="Arial" w:eastAsia="Tahoma" w:hAnsi="Arial" w:cs="Arial"/>
                <w:bCs/>
              </w:rPr>
            </w:pPr>
          </w:p>
        </w:tc>
        <w:tc>
          <w:tcPr>
            <w:tcW w:w="2656" w:type="dxa"/>
            <w:tcBorders>
              <w:top w:val="single" w:sz="4" w:space="0" w:color="auto"/>
              <w:bottom w:val="thickThinSmallGap" w:sz="24" w:space="0" w:color="auto"/>
            </w:tcBorders>
          </w:tcPr>
          <w:p w14:paraId="55A14E2A" w14:textId="77777777" w:rsidR="006140D5" w:rsidRDefault="00E13F90">
            <w:pPr>
              <w:jc w:val="center"/>
              <w:rPr>
                <w:rFonts w:ascii="Arial" w:eastAsia="Tahoma" w:hAnsi="Arial" w:cs="Arial"/>
                <w:bCs/>
                <w:lang w:val="en-PH"/>
              </w:rPr>
            </w:pPr>
            <w:r>
              <w:rPr>
                <w:rFonts w:ascii="Arial" w:eastAsia="Tahoma" w:hAnsi="Arial" w:cs="Arial"/>
                <w:bCs/>
              </w:rPr>
              <w:t>2</w:t>
            </w:r>
            <w:r>
              <w:rPr>
                <w:rFonts w:ascii="Arial" w:eastAsia="Tahoma" w:hAnsi="Arial" w:cs="Arial"/>
                <w:bCs/>
                <w:lang w:val="en-PH"/>
              </w:rPr>
              <w:t>10</w:t>
            </w:r>
          </w:p>
        </w:tc>
      </w:tr>
    </w:tbl>
    <w:p w14:paraId="5100AEBD" w14:textId="77777777" w:rsidR="006140D5" w:rsidRDefault="00E13F90">
      <w:pPr>
        <w:pStyle w:val="NoSpacing1"/>
        <w:jc w:val="both"/>
        <w:rPr>
          <w:rFonts w:ascii="Arial" w:eastAsia="SimSun" w:hAnsi="Arial"/>
          <w:bCs/>
          <w:sz w:val="20"/>
          <w:szCs w:val="20"/>
          <w:shd w:val="clear" w:color="auto" w:fill="FFFFFF"/>
        </w:rPr>
      </w:pPr>
      <w:r>
        <w:rPr>
          <w:rFonts w:ascii="Arial" w:eastAsia="SimSun" w:hAnsi="Arial"/>
          <w:bCs/>
          <w:sz w:val="20"/>
          <w:szCs w:val="20"/>
          <w:shd w:val="clear" w:color="auto" w:fill="FFFFFF"/>
        </w:rPr>
        <w:t>Note. Data represent the number of STEM students per grade level and school included in the study.</w:t>
      </w:r>
    </w:p>
    <w:p w14:paraId="223C6D11" w14:textId="77777777" w:rsidR="006140D5" w:rsidRDefault="006140D5">
      <w:pPr>
        <w:pStyle w:val="NoSpacing1"/>
        <w:jc w:val="both"/>
        <w:rPr>
          <w:rFonts w:ascii="Arial" w:eastAsia="SimSun" w:hAnsi="Arial"/>
          <w:b/>
          <w:bCs/>
          <w:sz w:val="20"/>
          <w:szCs w:val="20"/>
          <w:shd w:val="clear" w:color="auto" w:fill="FFFFFF"/>
        </w:rPr>
      </w:pPr>
    </w:p>
    <w:p w14:paraId="0330E7F1" w14:textId="77777777" w:rsidR="006140D5" w:rsidRDefault="006140D5">
      <w:pPr>
        <w:pStyle w:val="NoSpacing1"/>
        <w:jc w:val="both"/>
        <w:rPr>
          <w:rFonts w:ascii="Arial" w:eastAsia="SimSun" w:hAnsi="Arial"/>
          <w:b/>
          <w:bCs/>
          <w:sz w:val="20"/>
          <w:szCs w:val="20"/>
          <w:shd w:val="clear" w:color="auto" w:fill="FFFFFF"/>
        </w:rPr>
      </w:pPr>
    </w:p>
    <w:p w14:paraId="063EB5F6" w14:textId="77777777" w:rsidR="006140D5" w:rsidRDefault="006140D5">
      <w:pPr>
        <w:pStyle w:val="NoSpacing1"/>
        <w:jc w:val="both"/>
        <w:rPr>
          <w:rFonts w:ascii="Arial" w:eastAsia="SimSun" w:hAnsi="Arial"/>
          <w:b/>
          <w:bCs/>
          <w:sz w:val="20"/>
          <w:szCs w:val="20"/>
          <w:shd w:val="clear" w:color="auto" w:fill="FFFFFF"/>
        </w:rPr>
      </w:pPr>
    </w:p>
    <w:p w14:paraId="2ED754B2" w14:textId="77777777" w:rsidR="006140D5" w:rsidRDefault="00E13F9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Data Gathering</w:t>
      </w:r>
    </w:p>
    <w:p w14:paraId="15D8EF39" w14:textId="77777777" w:rsidR="006140D5" w:rsidRDefault="006140D5">
      <w:pPr>
        <w:pStyle w:val="NoSpacing1"/>
        <w:jc w:val="both"/>
        <w:rPr>
          <w:rFonts w:ascii="Arial" w:eastAsia="SimSun" w:hAnsi="Arial"/>
          <w:b/>
          <w:bCs/>
          <w:sz w:val="20"/>
          <w:szCs w:val="20"/>
          <w:shd w:val="clear" w:color="auto" w:fill="FFFFFF"/>
        </w:rPr>
      </w:pPr>
    </w:p>
    <w:p w14:paraId="3E5E1BA3"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lastRenderedPageBreak/>
        <w:t xml:space="preserve">The data for this study were collected following a systematic procedure to ensure reliability, ethical compliance, and completeness. Prior to data collection, formal permission was obtained from the school heads of Mariano Peralta National High School and </w:t>
      </w:r>
      <w:proofErr w:type="spellStart"/>
      <w:r>
        <w:rPr>
          <w:rFonts w:ascii="Arial" w:eastAsia="Tahoma" w:hAnsi="Arial"/>
          <w:b w:val="0"/>
          <w:caps w:val="0"/>
          <w:sz w:val="20"/>
        </w:rPr>
        <w:t>Heracleo</w:t>
      </w:r>
      <w:proofErr w:type="spellEnd"/>
      <w:r>
        <w:rPr>
          <w:rFonts w:ascii="Arial" w:eastAsia="Tahoma" w:hAnsi="Arial"/>
          <w:b w:val="0"/>
          <w:caps w:val="0"/>
          <w:sz w:val="20"/>
        </w:rPr>
        <w:t xml:space="preserve"> Casco Memorial National High School. Ethical clearance was also secured from the appropriate institutional review board to ensure adherence to research ethics and the protection of participants’ rights. Before administration, the research instruments were validated by experts in science education to establish content and construct validity.</w:t>
      </w:r>
    </w:p>
    <w:p w14:paraId="3B5707B5"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 xml:space="preserve"> Written informed consent forms were distributed to the students and their parents or guardians before data collection. The forms clearly explained the purpose of the study, the voluntary nature of participation, and the assurance that all responses would be kept strictly confidential and used solely for academic research. Participants were informed that they could withdraw from the study at any time without any academic penalty or consequence.</w:t>
      </w:r>
    </w:p>
    <w:p w14:paraId="14CF717D"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To maintain anonymity, no identifying personal information was collected on the questionnaires, and responses were coded numerically. The completed questionnaires were securely stored and accessed only by the researcher. After data collection, all forms were kept confidential and were disposed of properly following ethical research standards.</w:t>
      </w:r>
    </w:p>
    <w:p w14:paraId="75418DDE"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The validated questionnaires were then administered to the respondents during regular class hours, with the researcher providing clear instructions and guidance to ensure accurate responses. After the completion of the questionnaires, all forms were collected and checked immediately to ensure completeness and consistency of responses. Any missing or ambiguous data were verified on the spot.</w:t>
      </w:r>
    </w:p>
    <w:p w14:paraId="6EEC6619"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The gathered data were then coded, tabulated, and organized for statistical treatment. Both descriptive and inferential analyses were applied to address the research objectives. The entire data collection process was completed within one month, ensuring minimal disruption to regular class activities and allowing sufficient time for careful and accurate data handling.</w:t>
      </w:r>
    </w:p>
    <w:p w14:paraId="7E15AF03" w14:textId="77777777" w:rsidR="006140D5" w:rsidRDefault="006140D5">
      <w:pPr>
        <w:pStyle w:val="AbstHead"/>
        <w:spacing w:after="0"/>
        <w:ind w:firstLine="720"/>
        <w:jc w:val="both"/>
        <w:rPr>
          <w:rFonts w:ascii="Arial" w:eastAsia="Tahoma" w:hAnsi="Arial"/>
          <w:b w:val="0"/>
          <w:caps w:val="0"/>
          <w:sz w:val="20"/>
        </w:rPr>
      </w:pPr>
    </w:p>
    <w:p w14:paraId="20E7EF84" w14:textId="77777777" w:rsidR="006140D5" w:rsidRDefault="00E13F90">
      <w:pPr>
        <w:pStyle w:val="AbstHead"/>
        <w:spacing w:after="0"/>
        <w:jc w:val="both"/>
        <w:rPr>
          <w:rFonts w:ascii="Arial" w:hAnsi="Arial" w:cs="Arial"/>
        </w:rPr>
      </w:pPr>
      <w:r>
        <w:rPr>
          <w:rFonts w:ascii="Arial" w:hAnsi="Arial" w:cs="Arial"/>
        </w:rPr>
        <w:t xml:space="preserve">4. RESULTS AND DISCUSSION </w:t>
      </w:r>
    </w:p>
    <w:p w14:paraId="7CDC644E" w14:textId="77777777" w:rsidR="006140D5" w:rsidRDefault="006140D5">
      <w:pPr>
        <w:pStyle w:val="NoSpacing1"/>
        <w:jc w:val="both"/>
        <w:rPr>
          <w:rFonts w:ascii="Arial" w:eastAsia="SimSun" w:hAnsi="Arial"/>
          <w:sz w:val="20"/>
          <w:szCs w:val="20"/>
          <w:shd w:val="clear" w:color="auto" w:fill="FFFFFF"/>
        </w:rPr>
      </w:pPr>
    </w:p>
    <w:p w14:paraId="2E00FDDF" w14:textId="77777777" w:rsidR="006140D5" w:rsidRDefault="00E13F90">
      <w:pPr>
        <w:pStyle w:val="NoSpacing1"/>
        <w:jc w:val="center"/>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Level of </w:t>
      </w:r>
      <w:bookmarkStart w:id="1" w:name="_Hlk212112862"/>
      <w:r>
        <w:rPr>
          <w:rFonts w:ascii="Arial" w:eastAsia="SimSun" w:hAnsi="Arial"/>
          <w:b/>
          <w:bCs/>
          <w:sz w:val="20"/>
          <w:szCs w:val="20"/>
          <w:shd w:val="clear" w:color="auto" w:fill="FFFFFF"/>
        </w:rPr>
        <w:t xml:space="preserve">Science Laboratory Availability </w:t>
      </w:r>
      <w:bookmarkEnd w:id="1"/>
      <w:r>
        <w:rPr>
          <w:rFonts w:ascii="Arial" w:eastAsia="SimSun" w:hAnsi="Arial"/>
          <w:b/>
          <w:bCs/>
          <w:sz w:val="20"/>
          <w:szCs w:val="20"/>
          <w:shd w:val="clear" w:color="auto" w:fill="FFFFFF"/>
        </w:rPr>
        <w:t>among Senior High School STEM Strand Students</w:t>
      </w:r>
    </w:p>
    <w:p w14:paraId="77181F76" w14:textId="77777777" w:rsidR="006140D5" w:rsidRDefault="006140D5">
      <w:pPr>
        <w:pStyle w:val="NoSpacing1"/>
        <w:jc w:val="center"/>
        <w:rPr>
          <w:rFonts w:ascii="Arial" w:eastAsia="SimSun" w:hAnsi="Arial"/>
          <w:b/>
          <w:bCs/>
          <w:sz w:val="20"/>
          <w:szCs w:val="20"/>
          <w:shd w:val="clear" w:color="auto" w:fill="FFFFFF"/>
        </w:rPr>
      </w:pPr>
    </w:p>
    <w:p w14:paraId="737BEEB2" w14:textId="77777777" w:rsidR="006140D5" w:rsidRDefault="00E13F90">
      <w:pPr>
        <w:keepNext/>
        <w:keepLines/>
        <w:ind w:firstLine="720"/>
        <w:jc w:val="both"/>
        <w:outlineLvl w:val="1"/>
        <w:rPr>
          <w:rFonts w:ascii="Arial" w:eastAsia="Tahoma" w:hAnsi="Arial" w:cs="Arial"/>
        </w:rPr>
      </w:pPr>
      <w:r>
        <w:rPr>
          <w:rFonts w:ascii="Arial" w:eastAsia="Tahoma" w:hAnsi="Arial" w:cs="Arial"/>
        </w:rPr>
        <w:t xml:space="preserve">Table 2 presented the level of science laboratory availability among Senior High School STEM strand students in terms of equipment availability and facility access. The results revealed that both dimensions were rated high with a computed grand mean of 3.64 and 3.77. This suggested that, in general, students perceive their laboratories as adequately equipped and accessible for conducting science experiments. According to </w:t>
      </w:r>
      <w:proofErr w:type="spellStart"/>
      <w:r>
        <w:rPr>
          <w:rFonts w:ascii="Arial" w:eastAsia="Tahoma" w:hAnsi="Arial" w:cs="Arial"/>
        </w:rPr>
        <w:t>Cabusor</w:t>
      </w:r>
      <w:proofErr w:type="spellEnd"/>
      <w:r>
        <w:rPr>
          <w:rFonts w:ascii="Arial" w:eastAsia="Tahoma" w:hAnsi="Arial" w:cs="Arial"/>
        </w:rPr>
        <w:t xml:space="preserve"> and Antonio (2025), the establishment of science laboratories provides educators with essential resources to expound abstract scientific concepts, hence, improving student understanding.</w:t>
      </w:r>
    </w:p>
    <w:p w14:paraId="7481142D" w14:textId="77777777" w:rsidR="006140D5" w:rsidRDefault="006140D5">
      <w:pPr>
        <w:keepNext/>
        <w:keepLines/>
        <w:outlineLvl w:val="1"/>
        <w:rPr>
          <w:rFonts w:ascii="Arial" w:eastAsia="Tahoma" w:hAnsi="Arial" w:cs="Arial"/>
        </w:rPr>
      </w:pPr>
    </w:p>
    <w:p w14:paraId="16F009BF" w14:textId="77777777" w:rsidR="006140D5" w:rsidRDefault="00E13F90">
      <w:pPr>
        <w:keepNext/>
        <w:keepLines/>
        <w:outlineLvl w:val="1"/>
        <w:rPr>
          <w:rFonts w:ascii="Arial" w:eastAsia="SimSun" w:hAnsi="Arial" w:cstheme="majorBidi"/>
          <w:b/>
          <w:bCs/>
          <w:sz w:val="22"/>
          <w:szCs w:val="26"/>
          <w:shd w:val="clear" w:color="auto" w:fill="FFFFFF"/>
        </w:rPr>
      </w:pPr>
      <w:r>
        <w:rPr>
          <w:rFonts w:ascii="Arial" w:eastAsia="SimSun" w:hAnsi="Arial" w:cstheme="majorBidi"/>
          <w:b/>
          <w:bCs/>
          <w:sz w:val="22"/>
          <w:szCs w:val="26"/>
          <w:shd w:val="clear" w:color="auto" w:fill="FFFFFF"/>
        </w:rPr>
        <w:t xml:space="preserve">4.1 </w:t>
      </w:r>
      <w:r>
        <w:rPr>
          <w:rFonts w:ascii="Arial" w:eastAsia="SimSun" w:hAnsi="Arial" w:cstheme="majorBidi"/>
          <w:b/>
          <w:bCs/>
          <w:shd w:val="clear" w:color="auto" w:fill="FFFFFF"/>
        </w:rPr>
        <w:t>Equipment Availability</w:t>
      </w:r>
    </w:p>
    <w:p w14:paraId="11B2A08F" w14:textId="77777777" w:rsidR="006140D5" w:rsidRDefault="006140D5">
      <w:pPr>
        <w:jc w:val="both"/>
        <w:rPr>
          <w:rFonts w:ascii="Arial" w:eastAsia="SimSun" w:hAnsi="Arial" w:cs="Arial"/>
          <w:b/>
          <w:bCs/>
          <w:sz w:val="16"/>
          <w:szCs w:val="16"/>
          <w:shd w:val="clear" w:color="auto" w:fill="FFFFFF"/>
        </w:rPr>
      </w:pPr>
    </w:p>
    <w:p w14:paraId="0CC63BF5"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 xml:space="preserve">In terms of equipment availability as shown in table 2, the results revealed that the highest-rated statement was “The laboratory provides adequate training on how to use various equipment and instruments” with a mean of 3.87, interpreted as High. This finding implied that students are well-guided in operating laboratory tools and materials, allowing them to perform experiments confidently and safely. According to Kumari et al. (2024), science laboratories are essential in developing students’ practical and conceptual understanding of science. With guided instruction, laboratory activities further strengthen their grasp of scientific processes and encourage positive attitudes toward learning science. </w:t>
      </w:r>
    </w:p>
    <w:p w14:paraId="2BF6EDB6"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 xml:space="preserve">The next highest indicators were “The laboratory is well-equipped with comprehensive range of modern instruments and equipment” (M = 3.74) and “Accessing specialized equipment in the laboratory is convenient” (M = 3.69), both described as High. These findings demonstrated that most laboratories possess the necessary instruments to support various </w:t>
      </w:r>
      <w:r>
        <w:rPr>
          <w:rFonts w:ascii="Arial" w:eastAsia="Tahoma" w:hAnsi="Arial"/>
          <w:sz w:val="20"/>
          <w:szCs w:val="20"/>
        </w:rPr>
        <w:lastRenderedPageBreak/>
        <w:t xml:space="preserve">experimental activities and that these are easily accessible to students. The findings were also supported by Lazaro and Paglinawan (2025), suggesting that increased access to resources positively influences student involvement in science activities. </w:t>
      </w:r>
    </w:p>
    <w:p w14:paraId="3B0A3270"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However, the lowest mean under this dimension was “The laboratory regularly updates its equipment to meet evolving research needs” (M = 3.36, Moderate). This suggested that while laboratories are functional, they may not always be equipped with the most recent technologies or updated instruments. According to Gonzales et al. (2025), many schools lag in modernizing their scientific tools. Such limitations could constrain students’ exposure to contemporary practices and hinder opportunities for innovation.</w:t>
      </w:r>
    </w:p>
    <w:p w14:paraId="113DCBEE" w14:textId="77777777" w:rsidR="006140D5" w:rsidRDefault="006140D5">
      <w:pPr>
        <w:pStyle w:val="NoSpacing1"/>
        <w:ind w:firstLine="720"/>
        <w:jc w:val="both"/>
        <w:rPr>
          <w:rFonts w:ascii="Arial" w:eastAsia="SimSun" w:hAnsi="Arial"/>
          <w:sz w:val="20"/>
          <w:szCs w:val="20"/>
          <w:shd w:val="clear" w:color="auto" w:fill="FFFFFF"/>
        </w:rPr>
      </w:pPr>
    </w:p>
    <w:p w14:paraId="0AC529C1" w14:textId="77777777" w:rsidR="006140D5" w:rsidRDefault="00E13F90">
      <w:pPr>
        <w:pStyle w:val="Heading2"/>
        <w:rPr>
          <w:rFonts w:ascii="Arial" w:eastAsia="SimSun" w:hAnsi="Arial" w:cs="Arial"/>
          <w:b/>
          <w:bCs/>
          <w:color w:val="000000" w:themeColor="text1"/>
          <w:sz w:val="22"/>
          <w:szCs w:val="22"/>
          <w:shd w:val="clear" w:color="auto" w:fill="FFFFFF"/>
        </w:rPr>
      </w:pPr>
      <w:r>
        <w:rPr>
          <w:rFonts w:ascii="Arial" w:eastAsia="SimSun" w:hAnsi="Arial" w:cs="Arial"/>
          <w:b/>
          <w:bCs/>
          <w:color w:val="000000" w:themeColor="text1"/>
          <w:sz w:val="22"/>
          <w:szCs w:val="22"/>
          <w:shd w:val="clear" w:color="auto" w:fill="FFFFFF"/>
        </w:rPr>
        <w:t xml:space="preserve">4.2 </w:t>
      </w:r>
      <w:r>
        <w:rPr>
          <w:rFonts w:ascii="Arial" w:eastAsia="SimSun" w:hAnsi="Arial" w:cs="Arial"/>
          <w:b/>
          <w:bCs/>
          <w:color w:val="000000" w:themeColor="text1"/>
          <w:sz w:val="20"/>
          <w:szCs w:val="20"/>
          <w:shd w:val="clear" w:color="auto" w:fill="FFFFFF"/>
        </w:rPr>
        <w:t>Facility Access</w:t>
      </w:r>
    </w:p>
    <w:p w14:paraId="48DF7EBF" w14:textId="77777777" w:rsidR="006140D5" w:rsidRDefault="006140D5">
      <w:pPr>
        <w:jc w:val="both"/>
        <w:rPr>
          <w:rFonts w:ascii="Arial" w:eastAsia="SimSun" w:hAnsi="Arial" w:cs="Arial"/>
          <w:b/>
          <w:bCs/>
          <w:shd w:val="clear" w:color="auto" w:fill="FFFFFF"/>
        </w:rPr>
      </w:pPr>
    </w:p>
    <w:p w14:paraId="410E309D" w14:textId="77777777" w:rsidR="006140D5" w:rsidRDefault="00E13F90">
      <w:pPr>
        <w:ind w:firstLine="720"/>
        <w:jc w:val="both"/>
        <w:rPr>
          <w:rFonts w:ascii="Arial" w:eastAsia="Tahoma" w:hAnsi="Arial" w:cs="Arial"/>
        </w:rPr>
      </w:pPr>
      <w:r>
        <w:rPr>
          <w:rFonts w:ascii="Arial" w:eastAsia="Tahoma" w:hAnsi="Arial" w:cs="Arial"/>
        </w:rPr>
        <w:t xml:space="preserve">Under Facility Access (Table </w:t>
      </w:r>
      <w:r>
        <w:rPr>
          <w:rFonts w:ascii="Arial" w:eastAsia="Tahoma" w:hAnsi="Arial" w:cs="Arial"/>
          <w:lang w:val="en-PH"/>
        </w:rPr>
        <w:t>2</w:t>
      </w:r>
      <w:r>
        <w:rPr>
          <w:rFonts w:ascii="Arial" w:eastAsia="Tahoma" w:hAnsi="Arial" w:cs="Arial"/>
        </w:rPr>
        <w:t>), the highest-rated item was “The laboratory enforces strict policies to ensure fair and equitable access for all users” with a mean of 4.11, interpreted as High. This aligned with the assertion of De Borja and Marasigan (2020), that the advancement of science and technology education at the high school level depends on the provision of appropriate materials and laboratory facilities.</w:t>
      </w:r>
    </w:p>
    <w:p w14:paraId="586BDEF6" w14:textId="77777777" w:rsidR="006140D5" w:rsidRDefault="00E13F90">
      <w:pPr>
        <w:ind w:firstLine="720"/>
        <w:jc w:val="both"/>
        <w:rPr>
          <w:rFonts w:ascii="Arial" w:eastAsia="Tahoma" w:hAnsi="Arial" w:cs="Arial"/>
        </w:rPr>
      </w:pPr>
      <w:r>
        <w:rPr>
          <w:rFonts w:ascii="Arial" w:eastAsia="Tahoma" w:hAnsi="Arial" w:cs="Arial"/>
        </w:rPr>
        <w:t xml:space="preserve">This was followed by “Access to specialized laboratory facilities is fairly accessible to all qualified users” (M = 3.85), as well as “Scheduling laboratory time is convenient and accommodates the needs of users” (M = 3.82) and “The process of reserving laboratory space is efficient and user-friendly” (M = 3.82). All these items also received High ratings. According to </w:t>
      </w:r>
      <w:proofErr w:type="spellStart"/>
      <w:r>
        <w:rPr>
          <w:rFonts w:ascii="Arial" w:eastAsia="Tahoma" w:hAnsi="Arial" w:cs="Arial"/>
        </w:rPr>
        <w:t>Remperas</w:t>
      </w:r>
      <w:proofErr w:type="spellEnd"/>
      <w:r>
        <w:rPr>
          <w:rFonts w:ascii="Arial" w:eastAsia="Tahoma" w:hAnsi="Arial" w:cs="Arial"/>
        </w:rPr>
        <w:t xml:space="preserve"> (2025), such efficiency may be attributed to teachers’ and students’ resourcefulness, the use of substitute materials, the integration of modern technologies, and the fostering of collaboration in laboratory settings.</w:t>
      </w:r>
    </w:p>
    <w:p w14:paraId="3D555ABC" w14:textId="1E029784" w:rsidR="006140D5" w:rsidRDefault="00E13F90">
      <w:pPr>
        <w:ind w:firstLine="720"/>
        <w:jc w:val="both"/>
        <w:rPr>
          <w:rFonts w:ascii="Arial" w:eastAsia="Tahoma" w:hAnsi="Arial" w:cs="Arial"/>
        </w:rPr>
      </w:pPr>
      <w:r>
        <w:rPr>
          <w:rFonts w:ascii="Arial" w:eastAsia="Tahoma" w:hAnsi="Arial" w:cs="Arial"/>
        </w:rPr>
        <w:t xml:space="preserve">The lowest-rated statement under Facility Access was “The laboratory has sufficient space and resources to accommodate high demand” with a mean of 3.55 and “Accessing the laboratory outside of regular hours is fairly regulated” (M = 3.55). Although both were still interpreted as High, these findings suggested that laboratory space and resources may become limited when multiple classes conduct experiments simultaneously, potentially affecting comfort, organization, and the overall efficiency of laboratory activities. According to </w:t>
      </w:r>
      <w:proofErr w:type="spellStart"/>
      <w:r>
        <w:rPr>
          <w:rFonts w:ascii="Arial" w:eastAsia="Tahoma" w:hAnsi="Arial" w:cs="Arial"/>
        </w:rPr>
        <w:t>Tantog</w:t>
      </w:r>
      <w:proofErr w:type="spellEnd"/>
      <w:r>
        <w:rPr>
          <w:rFonts w:ascii="Arial" w:eastAsia="Tahoma" w:hAnsi="Arial" w:cs="Arial"/>
        </w:rPr>
        <w:t xml:space="preserve"> and </w:t>
      </w:r>
      <w:proofErr w:type="spellStart"/>
      <w:r>
        <w:rPr>
          <w:rFonts w:ascii="Arial" w:eastAsia="Tahoma" w:hAnsi="Arial" w:cs="Arial"/>
        </w:rPr>
        <w:t>Naparan</w:t>
      </w:r>
      <w:proofErr w:type="spellEnd"/>
      <w:r>
        <w:rPr>
          <w:rFonts w:ascii="Arial" w:eastAsia="Tahoma" w:hAnsi="Arial" w:cs="Arial"/>
        </w:rPr>
        <w:t xml:space="preserve"> (2025), </w:t>
      </w:r>
      <w:r w:rsidR="000139AF">
        <w:rPr>
          <w:rFonts w:ascii="Arial" w:eastAsia="Tahoma" w:hAnsi="Arial" w:cs="Arial"/>
        </w:rPr>
        <w:t>t</w:t>
      </w:r>
      <w:r>
        <w:rPr>
          <w:rFonts w:ascii="Arial" w:eastAsia="Tahoma" w:hAnsi="Arial" w:cs="Arial"/>
        </w:rPr>
        <w:t>his lack of adequate resources hinders hands-on learning experiences, reduces engagement, and negatively impacts academic performance and preparedness for future scientific endeavors.</w:t>
      </w:r>
    </w:p>
    <w:p w14:paraId="0E86B032" w14:textId="77777777" w:rsidR="006140D5" w:rsidRDefault="006140D5">
      <w:pPr>
        <w:jc w:val="both"/>
        <w:rPr>
          <w:rFonts w:ascii="Arial" w:eastAsia="Tahoma" w:hAnsi="Arial" w:cs="Arial"/>
        </w:rPr>
      </w:pPr>
    </w:p>
    <w:p w14:paraId="60223618" w14:textId="77777777" w:rsidR="006140D5" w:rsidRDefault="00E13F90">
      <w:pPr>
        <w:jc w:val="both"/>
        <w:rPr>
          <w:rFonts w:ascii="Arial" w:eastAsia="Tahoma" w:hAnsi="Arial" w:cs="Arial"/>
        </w:rPr>
      </w:pPr>
      <w:r>
        <w:rPr>
          <w:rFonts w:ascii="Arial" w:eastAsia="Tahoma" w:hAnsi="Arial" w:cs="Arial"/>
        </w:rPr>
        <w:t>Table 2</w:t>
      </w:r>
      <w:r>
        <w:rPr>
          <w:rFonts w:ascii="Arial" w:eastAsia="Tahoma" w:hAnsi="Arial" w:cs="Arial"/>
          <w:b/>
          <w:bCs/>
        </w:rPr>
        <w:t xml:space="preserve">. </w:t>
      </w:r>
      <w:r>
        <w:rPr>
          <w:rFonts w:ascii="Arial" w:eastAsia="Tahoma" w:hAnsi="Arial" w:cs="Arial"/>
        </w:rPr>
        <w:t>The Respondents’ Level of Science Laboratory Availability</w:t>
      </w:r>
    </w:p>
    <w:tbl>
      <w:tblPr>
        <w:tblW w:w="8136" w:type="dxa"/>
        <w:jc w:val="center"/>
        <w:tblLayout w:type="fixed"/>
        <w:tblLook w:val="04A0" w:firstRow="1" w:lastRow="0" w:firstColumn="1" w:lastColumn="0" w:noHBand="0" w:noVBand="1"/>
      </w:tblPr>
      <w:tblGrid>
        <w:gridCol w:w="4176"/>
        <w:gridCol w:w="1620"/>
        <w:gridCol w:w="720"/>
        <w:gridCol w:w="1620"/>
      </w:tblGrid>
      <w:tr w:rsidR="006140D5" w14:paraId="242EE34B" w14:textId="77777777">
        <w:trPr>
          <w:trHeight w:val="153"/>
          <w:jc w:val="center"/>
        </w:trPr>
        <w:tc>
          <w:tcPr>
            <w:tcW w:w="4176" w:type="dxa"/>
            <w:tcBorders>
              <w:top w:val="thinThickSmallGap" w:sz="24" w:space="0" w:color="auto"/>
              <w:bottom w:val="single" w:sz="4" w:space="0" w:color="000000"/>
            </w:tcBorders>
          </w:tcPr>
          <w:p w14:paraId="1B821EF2" w14:textId="77777777" w:rsidR="006140D5" w:rsidRDefault="00E13F90">
            <w:pPr>
              <w:jc w:val="both"/>
              <w:rPr>
                <w:rFonts w:ascii="Arial" w:eastAsia="Tahoma" w:hAnsi="Arial" w:cs="Arial"/>
              </w:rPr>
            </w:pPr>
            <w:r>
              <w:rPr>
                <w:rFonts w:ascii="Arial" w:eastAsia="Tahoma" w:hAnsi="Arial" w:cs="Arial"/>
                <w:b/>
              </w:rPr>
              <w:t>INDICATORS</w:t>
            </w:r>
          </w:p>
        </w:tc>
        <w:tc>
          <w:tcPr>
            <w:tcW w:w="1620" w:type="dxa"/>
            <w:tcBorders>
              <w:top w:val="thinThickSmallGap" w:sz="24" w:space="0" w:color="auto"/>
              <w:bottom w:val="single" w:sz="4" w:space="0" w:color="000000"/>
            </w:tcBorders>
          </w:tcPr>
          <w:p w14:paraId="69E9F6CA" w14:textId="77777777" w:rsidR="006140D5" w:rsidRDefault="00E13F90">
            <w:pPr>
              <w:jc w:val="center"/>
              <w:rPr>
                <w:rFonts w:ascii="Arial" w:eastAsia="Tahoma" w:hAnsi="Arial" w:cs="Arial"/>
              </w:rPr>
            </w:pPr>
            <w:r>
              <w:rPr>
                <w:rFonts w:ascii="Arial" w:eastAsia="Tahoma" w:hAnsi="Arial" w:cs="Arial"/>
                <w:b/>
              </w:rPr>
              <w:t>Mean</w:t>
            </w:r>
          </w:p>
        </w:tc>
        <w:tc>
          <w:tcPr>
            <w:tcW w:w="720" w:type="dxa"/>
            <w:tcBorders>
              <w:top w:val="thinThickSmallGap" w:sz="24" w:space="0" w:color="auto"/>
              <w:bottom w:val="single" w:sz="4" w:space="0" w:color="000000"/>
            </w:tcBorders>
          </w:tcPr>
          <w:p w14:paraId="4FAD8B28" w14:textId="77777777" w:rsidR="006140D5" w:rsidRDefault="00E13F90">
            <w:pPr>
              <w:jc w:val="center"/>
              <w:rPr>
                <w:rFonts w:ascii="Arial" w:eastAsia="Tahoma" w:hAnsi="Arial" w:cs="Arial"/>
              </w:rPr>
            </w:pPr>
            <w:r>
              <w:rPr>
                <w:rFonts w:ascii="Arial" w:eastAsia="Tahoma" w:hAnsi="Arial" w:cs="Arial"/>
                <w:b/>
              </w:rPr>
              <w:t>SD</w:t>
            </w:r>
          </w:p>
        </w:tc>
        <w:tc>
          <w:tcPr>
            <w:tcW w:w="1620" w:type="dxa"/>
            <w:tcBorders>
              <w:top w:val="thinThickSmallGap" w:sz="24" w:space="0" w:color="auto"/>
              <w:bottom w:val="single" w:sz="4" w:space="0" w:color="000000"/>
            </w:tcBorders>
          </w:tcPr>
          <w:p w14:paraId="4FC06D53" w14:textId="77777777" w:rsidR="006140D5" w:rsidRDefault="00E13F90">
            <w:pPr>
              <w:jc w:val="center"/>
              <w:rPr>
                <w:rFonts w:ascii="Arial" w:eastAsia="Tahoma" w:hAnsi="Arial" w:cs="Arial"/>
              </w:rPr>
            </w:pPr>
            <w:r>
              <w:rPr>
                <w:rFonts w:ascii="Arial" w:eastAsia="Tahoma" w:hAnsi="Arial" w:cs="Arial"/>
                <w:b/>
              </w:rPr>
              <w:t>DESCRIPTION</w:t>
            </w:r>
          </w:p>
        </w:tc>
      </w:tr>
      <w:tr w:rsidR="006140D5" w14:paraId="33B3ADC8" w14:textId="77777777">
        <w:trPr>
          <w:trHeight w:val="58"/>
          <w:jc w:val="center"/>
        </w:trPr>
        <w:tc>
          <w:tcPr>
            <w:tcW w:w="4176" w:type="dxa"/>
            <w:tcBorders>
              <w:top w:val="single" w:sz="4" w:space="0" w:color="000000"/>
            </w:tcBorders>
          </w:tcPr>
          <w:p w14:paraId="35D27B6E" w14:textId="77777777" w:rsidR="006140D5" w:rsidRDefault="00E13F90">
            <w:pPr>
              <w:jc w:val="both"/>
              <w:rPr>
                <w:rFonts w:ascii="Arial" w:eastAsia="Tahoma" w:hAnsi="Arial" w:cs="Arial"/>
              </w:rPr>
            </w:pPr>
            <w:r>
              <w:rPr>
                <w:rFonts w:ascii="Arial" w:eastAsia="Tahoma" w:hAnsi="Arial" w:cs="Arial"/>
              </w:rPr>
              <w:t>Equipment Availability</w:t>
            </w:r>
          </w:p>
        </w:tc>
        <w:tc>
          <w:tcPr>
            <w:tcW w:w="1620" w:type="dxa"/>
            <w:tcBorders>
              <w:top w:val="single" w:sz="4" w:space="0" w:color="000000"/>
            </w:tcBorders>
            <w:vAlign w:val="center"/>
          </w:tcPr>
          <w:p w14:paraId="66D5F3DD" w14:textId="77777777" w:rsidR="006140D5" w:rsidRDefault="00E13F90">
            <w:pPr>
              <w:jc w:val="center"/>
              <w:rPr>
                <w:rFonts w:ascii="Arial" w:eastAsia="Tahoma" w:hAnsi="Arial" w:cs="Arial"/>
              </w:rPr>
            </w:pPr>
            <w:r>
              <w:rPr>
                <w:rFonts w:ascii="Arial" w:eastAsia="Tahoma" w:hAnsi="Arial" w:cs="Arial"/>
              </w:rPr>
              <w:t>3.64</w:t>
            </w:r>
          </w:p>
        </w:tc>
        <w:tc>
          <w:tcPr>
            <w:tcW w:w="720" w:type="dxa"/>
            <w:tcBorders>
              <w:top w:val="single" w:sz="4" w:space="0" w:color="000000"/>
            </w:tcBorders>
            <w:vAlign w:val="center"/>
          </w:tcPr>
          <w:p w14:paraId="38F95B5F" w14:textId="77777777" w:rsidR="006140D5" w:rsidRDefault="00E13F90">
            <w:pPr>
              <w:jc w:val="center"/>
              <w:rPr>
                <w:rFonts w:ascii="Arial" w:eastAsia="Tahoma" w:hAnsi="Arial" w:cs="Arial"/>
              </w:rPr>
            </w:pPr>
            <w:r>
              <w:rPr>
                <w:rFonts w:ascii="Arial" w:eastAsia="Tahoma" w:hAnsi="Arial" w:cs="Arial"/>
              </w:rPr>
              <w:t>0.84</w:t>
            </w:r>
          </w:p>
        </w:tc>
        <w:tc>
          <w:tcPr>
            <w:tcW w:w="1620" w:type="dxa"/>
            <w:tcBorders>
              <w:top w:val="single" w:sz="4" w:space="0" w:color="000000"/>
            </w:tcBorders>
          </w:tcPr>
          <w:p w14:paraId="51332F8A" w14:textId="77777777" w:rsidR="006140D5" w:rsidRDefault="00E13F90">
            <w:pPr>
              <w:jc w:val="center"/>
              <w:rPr>
                <w:rFonts w:ascii="Arial" w:eastAsia="Tahoma" w:hAnsi="Arial" w:cs="Arial"/>
              </w:rPr>
            </w:pPr>
            <w:r>
              <w:rPr>
                <w:rFonts w:ascii="Arial" w:eastAsia="Tahoma" w:hAnsi="Arial" w:cs="Arial"/>
              </w:rPr>
              <w:t>High</w:t>
            </w:r>
          </w:p>
        </w:tc>
      </w:tr>
      <w:tr w:rsidR="006140D5" w14:paraId="2AF2E30B" w14:textId="77777777">
        <w:trPr>
          <w:jc w:val="center"/>
        </w:trPr>
        <w:tc>
          <w:tcPr>
            <w:tcW w:w="4176" w:type="dxa"/>
          </w:tcPr>
          <w:p w14:paraId="0F1E93AC" w14:textId="77777777" w:rsidR="006140D5" w:rsidRDefault="00E13F90">
            <w:pPr>
              <w:jc w:val="both"/>
              <w:rPr>
                <w:rFonts w:ascii="Arial" w:eastAsia="Tahoma" w:hAnsi="Arial" w:cs="Arial"/>
              </w:rPr>
            </w:pPr>
            <w:r>
              <w:rPr>
                <w:rFonts w:ascii="Arial" w:eastAsia="Tahoma" w:hAnsi="Arial" w:cs="Arial"/>
              </w:rPr>
              <w:t>Facility Access</w:t>
            </w:r>
            <w:r>
              <w:rPr>
                <w:rFonts w:ascii="Arial" w:eastAsia="Tahoma" w:hAnsi="Arial" w:cs="Arial"/>
              </w:rPr>
              <w:tab/>
            </w:r>
          </w:p>
        </w:tc>
        <w:tc>
          <w:tcPr>
            <w:tcW w:w="1620" w:type="dxa"/>
            <w:vAlign w:val="center"/>
          </w:tcPr>
          <w:p w14:paraId="2313E1F0" w14:textId="77777777" w:rsidR="006140D5" w:rsidRDefault="00E13F90">
            <w:pPr>
              <w:jc w:val="center"/>
              <w:rPr>
                <w:rFonts w:ascii="Arial" w:eastAsia="Tahoma" w:hAnsi="Arial" w:cs="Arial"/>
              </w:rPr>
            </w:pPr>
            <w:r>
              <w:rPr>
                <w:rFonts w:ascii="Arial" w:eastAsia="Tahoma" w:hAnsi="Arial" w:cs="Arial"/>
              </w:rPr>
              <w:t>3.77</w:t>
            </w:r>
          </w:p>
        </w:tc>
        <w:tc>
          <w:tcPr>
            <w:tcW w:w="720" w:type="dxa"/>
            <w:vAlign w:val="center"/>
          </w:tcPr>
          <w:p w14:paraId="4CCF6D5B" w14:textId="77777777" w:rsidR="006140D5" w:rsidRDefault="00E13F90">
            <w:pPr>
              <w:jc w:val="center"/>
              <w:rPr>
                <w:rFonts w:ascii="Arial" w:eastAsia="Tahoma" w:hAnsi="Arial" w:cs="Arial"/>
              </w:rPr>
            </w:pPr>
            <w:r>
              <w:rPr>
                <w:rFonts w:ascii="Arial" w:eastAsia="Tahoma" w:hAnsi="Arial" w:cs="Arial"/>
              </w:rPr>
              <w:t>0.83</w:t>
            </w:r>
          </w:p>
        </w:tc>
        <w:tc>
          <w:tcPr>
            <w:tcW w:w="1620" w:type="dxa"/>
          </w:tcPr>
          <w:p w14:paraId="4CA32C9A" w14:textId="77777777" w:rsidR="006140D5" w:rsidRDefault="00E13F90">
            <w:pPr>
              <w:jc w:val="center"/>
              <w:rPr>
                <w:rFonts w:ascii="Arial" w:eastAsia="Tahoma" w:hAnsi="Arial" w:cs="Arial"/>
              </w:rPr>
            </w:pPr>
            <w:r>
              <w:rPr>
                <w:rFonts w:ascii="Arial" w:eastAsia="Tahoma" w:hAnsi="Arial" w:cs="Arial"/>
              </w:rPr>
              <w:t>High</w:t>
            </w:r>
          </w:p>
        </w:tc>
      </w:tr>
      <w:tr w:rsidR="006140D5" w14:paraId="7F9E3A3F" w14:textId="77777777">
        <w:trPr>
          <w:jc w:val="center"/>
        </w:trPr>
        <w:tc>
          <w:tcPr>
            <w:tcW w:w="4176" w:type="dxa"/>
            <w:tcBorders>
              <w:top w:val="single" w:sz="4" w:space="0" w:color="000000"/>
              <w:bottom w:val="thickThinSmallGap" w:sz="24" w:space="0" w:color="auto"/>
            </w:tcBorders>
          </w:tcPr>
          <w:p w14:paraId="42FCE155" w14:textId="77777777" w:rsidR="006140D5" w:rsidRDefault="00E13F90">
            <w:pPr>
              <w:jc w:val="both"/>
              <w:rPr>
                <w:rFonts w:ascii="Arial" w:eastAsia="Tahoma" w:hAnsi="Arial" w:cs="Arial"/>
                <w:b/>
              </w:rPr>
            </w:pPr>
            <w:r>
              <w:rPr>
                <w:rFonts w:ascii="Arial" w:eastAsia="Tahoma" w:hAnsi="Arial" w:cs="Arial"/>
                <w:b/>
                <w:lang w:val="en-PH"/>
              </w:rPr>
              <w:t xml:space="preserve">Laboratory Availability </w:t>
            </w:r>
            <w:r>
              <w:rPr>
                <w:rFonts w:ascii="Arial" w:eastAsia="Tahoma" w:hAnsi="Arial" w:cs="Arial"/>
                <w:b/>
              </w:rPr>
              <w:t>(Overall)</w:t>
            </w:r>
          </w:p>
        </w:tc>
        <w:tc>
          <w:tcPr>
            <w:tcW w:w="1620" w:type="dxa"/>
            <w:tcBorders>
              <w:top w:val="single" w:sz="4" w:space="0" w:color="000000"/>
              <w:bottom w:val="thickThinSmallGap" w:sz="24" w:space="0" w:color="auto"/>
            </w:tcBorders>
          </w:tcPr>
          <w:p w14:paraId="7A5D4687" w14:textId="77777777" w:rsidR="006140D5" w:rsidRDefault="00E13F90">
            <w:pPr>
              <w:jc w:val="center"/>
              <w:rPr>
                <w:rFonts w:ascii="Arial" w:eastAsia="Tahoma" w:hAnsi="Arial" w:cs="Arial"/>
                <w:b/>
                <w:lang w:val="en-PH"/>
              </w:rPr>
            </w:pPr>
            <w:r>
              <w:rPr>
                <w:rFonts w:ascii="Arial" w:eastAsia="Tahoma" w:hAnsi="Arial" w:cs="Arial"/>
                <w:b/>
                <w:lang w:val="en-PH"/>
              </w:rPr>
              <w:t>3.71</w:t>
            </w:r>
          </w:p>
        </w:tc>
        <w:tc>
          <w:tcPr>
            <w:tcW w:w="720" w:type="dxa"/>
            <w:tcBorders>
              <w:top w:val="single" w:sz="4" w:space="0" w:color="000000"/>
              <w:bottom w:val="thickThinSmallGap" w:sz="24" w:space="0" w:color="auto"/>
            </w:tcBorders>
          </w:tcPr>
          <w:p w14:paraId="6767A246" w14:textId="77777777" w:rsidR="006140D5" w:rsidRDefault="00E13F90">
            <w:pPr>
              <w:jc w:val="center"/>
              <w:rPr>
                <w:rFonts w:ascii="Arial" w:eastAsia="Tahoma" w:hAnsi="Arial" w:cs="Arial"/>
                <w:b/>
              </w:rPr>
            </w:pPr>
            <w:r>
              <w:rPr>
                <w:rFonts w:ascii="Arial" w:eastAsia="Tahoma" w:hAnsi="Arial" w:cs="Arial"/>
                <w:b/>
              </w:rPr>
              <w:t>0.84</w:t>
            </w:r>
          </w:p>
        </w:tc>
        <w:tc>
          <w:tcPr>
            <w:tcW w:w="1620" w:type="dxa"/>
            <w:tcBorders>
              <w:top w:val="single" w:sz="4" w:space="0" w:color="000000"/>
              <w:bottom w:val="thickThinSmallGap" w:sz="24" w:space="0" w:color="auto"/>
            </w:tcBorders>
          </w:tcPr>
          <w:p w14:paraId="0DC953BD" w14:textId="77777777" w:rsidR="006140D5" w:rsidRDefault="00E13F90">
            <w:pPr>
              <w:jc w:val="center"/>
              <w:rPr>
                <w:rFonts w:ascii="Arial" w:eastAsia="Tahoma" w:hAnsi="Arial" w:cs="Arial"/>
                <w:b/>
              </w:rPr>
            </w:pPr>
            <w:r>
              <w:rPr>
                <w:rFonts w:ascii="Arial" w:eastAsia="Tahoma" w:hAnsi="Arial" w:cs="Arial"/>
                <w:b/>
              </w:rPr>
              <w:t>High</w:t>
            </w:r>
          </w:p>
        </w:tc>
      </w:tr>
    </w:tbl>
    <w:p w14:paraId="742D72C0" w14:textId="77777777" w:rsidR="006140D5" w:rsidRDefault="00E13F90">
      <w:pPr>
        <w:jc w:val="both"/>
        <w:rPr>
          <w:rFonts w:ascii="Arial" w:eastAsia="Tahoma" w:hAnsi="Arial"/>
          <w:color w:val="333333"/>
        </w:rPr>
      </w:pPr>
      <w:r>
        <w:rPr>
          <w:rFonts w:ascii="Arial" w:eastAsia="Tahoma" w:hAnsi="Arial"/>
          <w:color w:val="333333"/>
        </w:rPr>
        <w:t>Note</w:t>
      </w:r>
      <w:r>
        <w:rPr>
          <w:rFonts w:ascii="Arial" w:eastAsia="Tahoma" w:hAnsi="Arial"/>
          <w:color w:val="333333"/>
          <w:lang w:val="en-PH"/>
        </w:rPr>
        <w:t xml:space="preserve">. </w:t>
      </w:r>
      <w:r>
        <w:rPr>
          <w:rFonts w:ascii="Arial" w:eastAsia="Tahoma" w:hAnsi="Arial"/>
          <w:color w:val="333333"/>
        </w:rPr>
        <w:t>SD = Standard Deviation. Description is based on the interpretation scale in Chapter III.</w:t>
      </w:r>
    </w:p>
    <w:p w14:paraId="0E98374C" w14:textId="77777777" w:rsidR="006140D5" w:rsidRDefault="006140D5">
      <w:pPr>
        <w:jc w:val="both"/>
        <w:rPr>
          <w:rFonts w:ascii="Arial" w:eastAsia="Tahoma" w:hAnsi="Arial"/>
          <w:color w:val="333333"/>
        </w:rPr>
      </w:pPr>
    </w:p>
    <w:p w14:paraId="008E28B8" w14:textId="77777777" w:rsidR="006140D5" w:rsidRDefault="00E13F90">
      <w:pPr>
        <w:jc w:val="center"/>
        <w:rPr>
          <w:rFonts w:ascii="Arial" w:eastAsia="Tahoma" w:hAnsi="Arial" w:cs="Arial"/>
          <w:b/>
          <w:bCs/>
          <w:color w:val="333333"/>
        </w:rPr>
      </w:pPr>
      <w:bookmarkStart w:id="2" w:name="_Hlk212113603"/>
      <w:r>
        <w:rPr>
          <w:rFonts w:ascii="Arial" w:eastAsia="Tahoma" w:hAnsi="Arial" w:cs="Arial"/>
          <w:b/>
          <w:bCs/>
          <w:color w:val="333333"/>
        </w:rPr>
        <w:t>Level of Laboratory Self-Efficacy</w:t>
      </w:r>
      <w:bookmarkEnd w:id="2"/>
      <w:r>
        <w:rPr>
          <w:rFonts w:ascii="Arial" w:eastAsia="Tahoma" w:hAnsi="Arial" w:cs="Arial"/>
          <w:b/>
          <w:bCs/>
          <w:color w:val="333333"/>
        </w:rPr>
        <w:t xml:space="preserve"> among Senior High School STEM Strand Students</w:t>
      </w:r>
    </w:p>
    <w:p w14:paraId="68BCC09B" w14:textId="77777777" w:rsidR="006140D5" w:rsidRDefault="006140D5">
      <w:pPr>
        <w:rPr>
          <w:rFonts w:ascii="Arial" w:eastAsia="Tahoma" w:hAnsi="Arial" w:cs="Arial"/>
          <w:b/>
          <w:bCs/>
          <w:color w:val="333333"/>
        </w:rPr>
      </w:pPr>
    </w:p>
    <w:p w14:paraId="2C35E921" w14:textId="77777777" w:rsidR="006140D5" w:rsidRDefault="00E13F90">
      <w:pPr>
        <w:jc w:val="both"/>
        <w:rPr>
          <w:rFonts w:ascii="Arial" w:eastAsia="Tahoma" w:hAnsi="Arial" w:cs="Arial"/>
          <w:color w:val="333333"/>
        </w:rPr>
      </w:pPr>
      <w:r>
        <w:rPr>
          <w:rFonts w:ascii="Arial" w:eastAsia="Tahoma" w:hAnsi="Arial" w:cs="Arial"/>
          <w:b/>
          <w:bCs/>
          <w:color w:val="333333"/>
        </w:rPr>
        <w:tab/>
      </w:r>
      <w:r>
        <w:rPr>
          <w:rFonts w:ascii="Arial" w:eastAsia="Tahoma" w:hAnsi="Arial" w:cs="Arial"/>
          <w:color w:val="333333"/>
        </w:rPr>
        <w:t>Tables 3 presented the level of laboratory self-efficacy among Senior High School STEM strand students in terms of conceptual understanding, laboratory hazards, procedural complexity, sufficiency of resources. The results revealed that dimensions were rated high with a computed grand mean of 3.</w:t>
      </w:r>
      <w:r>
        <w:rPr>
          <w:rFonts w:ascii="Arial" w:eastAsia="Tahoma" w:hAnsi="Arial" w:cs="Arial"/>
          <w:color w:val="333333"/>
          <w:lang w:val="en-PH"/>
        </w:rPr>
        <w:t>59</w:t>
      </w:r>
      <w:r>
        <w:rPr>
          <w:rFonts w:ascii="Arial" w:eastAsia="Tahoma" w:hAnsi="Arial" w:cs="Arial"/>
          <w:color w:val="333333"/>
        </w:rPr>
        <w:t>. This meant that students generally exhibited strong confidence in performing laboratory tasks, understood scientific concepts, and handled laboratory procedures effectively. Students with high self-efficacy demonstrate positive contributions to their learning, competence, and motivation in science, particularly in laboratory experiences (</w:t>
      </w:r>
      <w:proofErr w:type="spellStart"/>
      <w:r>
        <w:rPr>
          <w:rFonts w:ascii="Arial" w:eastAsia="Tahoma" w:hAnsi="Arial" w:cs="Arial"/>
          <w:color w:val="333333"/>
        </w:rPr>
        <w:t>Zaluddin</w:t>
      </w:r>
      <w:proofErr w:type="spellEnd"/>
      <w:r>
        <w:rPr>
          <w:rFonts w:ascii="Arial" w:eastAsia="Tahoma" w:hAnsi="Arial" w:cs="Arial"/>
          <w:color w:val="333333"/>
        </w:rPr>
        <w:t xml:space="preserve"> et al., 2025).</w:t>
      </w:r>
    </w:p>
    <w:p w14:paraId="2B3D6EBB" w14:textId="77777777" w:rsidR="006140D5" w:rsidRDefault="006140D5">
      <w:pPr>
        <w:jc w:val="both"/>
        <w:rPr>
          <w:rFonts w:ascii="Arial" w:eastAsia="Tahoma" w:hAnsi="Arial" w:cs="Arial"/>
          <w:color w:val="333333"/>
        </w:rPr>
      </w:pPr>
    </w:p>
    <w:p w14:paraId="6ECDCA4E" w14:textId="77777777" w:rsidR="006140D5" w:rsidRDefault="00E13F90">
      <w:pPr>
        <w:pStyle w:val="Heading2"/>
        <w:rPr>
          <w:rFonts w:ascii="Arial" w:eastAsia="SimSun" w:hAnsi="Arial" w:cs="Arial"/>
          <w:b/>
          <w:bCs/>
          <w:color w:val="000000" w:themeColor="text1"/>
          <w:sz w:val="22"/>
          <w:szCs w:val="22"/>
          <w:shd w:val="clear" w:color="auto" w:fill="FFFFFF"/>
        </w:rPr>
      </w:pPr>
      <w:r>
        <w:rPr>
          <w:rFonts w:ascii="Arial" w:eastAsia="SimSun" w:hAnsi="Arial" w:cs="Arial"/>
          <w:b/>
          <w:bCs/>
          <w:color w:val="000000" w:themeColor="text1"/>
          <w:sz w:val="22"/>
          <w:szCs w:val="22"/>
          <w:shd w:val="clear" w:color="auto" w:fill="FFFFFF"/>
        </w:rPr>
        <w:lastRenderedPageBreak/>
        <w:t xml:space="preserve">4.3 </w:t>
      </w:r>
      <w:r>
        <w:rPr>
          <w:rFonts w:ascii="Arial" w:eastAsia="SimSun" w:hAnsi="Arial" w:cs="Arial"/>
          <w:b/>
          <w:bCs/>
          <w:color w:val="000000" w:themeColor="text1"/>
          <w:sz w:val="20"/>
          <w:szCs w:val="20"/>
          <w:shd w:val="clear" w:color="auto" w:fill="FFFFFF"/>
        </w:rPr>
        <w:t>Laboratory</w:t>
      </w:r>
      <w:r>
        <w:rPr>
          <w:rFonts w:ascii="Arial" w:eastAsia="SimSun" w:hAnsi="Arial" w:cs="Arial"/>
          <w:b/>
          <w:bCs/>
          <w:color w:val="000000" w:themeColor="text1"/>
          <w:sz w:val="22"/>
          <w:szCs w:val="22"/>
          <w:shd w:val="clear" w:color="auto" w:fill="FFFFFF"/>
        </w:rPr>
        <w:t xml:space="preserve"> </w:t>
      </w:r>
      <w:r>
        <w:rPr>
          <w:rFonts w:ascii="Arial" w:eastAsia="SimSun" w:hAnsi="Arial" w:cs="Arial"/>
          <w:b/>
          <w:bCs/>
          <w:color w:val="000000" w:themeColor="text1"/>
          <w:sz w:val="20"/>
          <w:szCs w:val="20"/>
          <w:shd w:val="clear" w:color="auto" w:fill="FFFFFF"/>
        </w:rPr>
        <w:t>Self Efficacy</w:t>
      </w:r>
    </w:p>
    <w:p w14:paraId="67D71263" w14:textId="77777777" w:rsidR="006140D5" w:rsidRDefault="006140D5">
      <w:pPr>
        <w:jc w:val="both"/>
        <w:rPr>
          <w:rFonts w:ascii="Arial" w:eastAsia="SimSun" w:hAnsi="Arial" w:cs="Arial"/>
          <w:b/>
          <w:bCs/>
          <w:shd w:val="clear" w:color="auto" w:fill="FFFFFF"/>
        </w:rPr>
      </w:pPr>
    </w:p>
    <w:p w14:paraId="40E94A23"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The highest-rated indicator was “Scientific concepts become clearer to me as I perform the experiment” with a mean of 4.05, described as High. This reflected that students’ understanding of abstract scientific ideas deepens through hands-on experimentation. In context, Chan (2021) emphasized in his study that modifying practical activities like yeast fermentation can provide a meaningful context for developing students' understanding of scientific ideas, such as rates of reaction, and concepts of evidence associated with measurement. Science students have also reported increased understanding of concepts when collaboratively producing choreography based on scientific principles (</w:t>
      </w:r>
      <w:proofErr w:type="spellStart"/>
      <w:r>
        <w:rPr>
          <w:rFonts w:ascii="Arial" w:eastAsia="Tahoma" w:hAnsi="Arial"/>
          <w:sz w:val="20"/>
          <w:szCs w:val="20"/>
        </w:rPr>
        <w:t>Baljon</w:t>
      </w:r>
      <w:proofErr w:type="spellEnd"/>
      <w:r>
        <w:rPr>
          <w:rFonts w:ascii="Arial" w:eastAsia="Tahoma" w:hAnsi="Arial"/>
          <w:sz w:val="20"/>
          <w:szCs w:val="20"/>
        </w:rPr>
        <w:t xml:space="preserve"> et al., 2022). </w:t>
      </w:r>
    </w:p>
    <w:p w14:paraId="50CE0950" w14:textId="4C5CFD50" w:rsidR="006140D5" w:rsidRDefault="00E13F90">
      <w:pPr>
        <w:pStyle w:val="NoSpacing1"/>
        <w:ind w:firstLine="720"/>
        <w:jc w:val="both"/>
        <w:rPr>
          <w:rFonts w:ascii="Arial" w:eastAsia="Tahoma" w:hAnsi="Arial"/>
          <w:sz w:val="20"/>
          <w:szCs w:val="20"/>
        </w:rPr>
      </w:pPr>
      <w:r>
        <w:rPr>
          <w:rFonts w:ascii="Arial" w:eastAsia="Tahoma" w:hAnsi="Arial"/>
          <w:sz w:val="20"/>
          <w:szCs w:val="20"/>
        </w:rPr>
        <w:t>This was followed by “After an experiment, I find it easy to figure out how my procedures and errors affected my results” (M = 3.81) and “I am always alert in the laboratory and have minimal accidents” (M = 3.80), both rated High. These results implied that students can evaluate their performance and maintain safety awareness while conducting experiments—key indicators of scientific maturity and responsibility. For laboratory safety, it is crucial to improve students' understanding and awareness of safety signs and hazardous materials (</w:t>
      </w:r>
      <w:proofErr w:type="spellStart"/>
      <w:r>
        <w:rPr>
          <w:rFonts w:ascii="Arial" w:eastAsia="Tahoma" w:hAnsi="Arial"/>
          <w:sz w:val="20"/>
          <w:szCs w:val="20"/>
        </w:rPr>
        <w:t>Permana</w:t>
      </w:r>
      <w:proofErr w:type="spellEnd"/>
      <w:r>
        <w:rPr>
          <w:rFonts w:ascii="Arial" w:eastAsia="Tahoma" w:hAnsi="Arial"/>
          <w:sz w:val="20"/>
          <w:szCs w:val="20"/>
        </w:rPr>
        <w:t xml:space="preserve">, 2025). </w:t>
      </w:r>
      <w:r w:rsidR="0005550A" w:rsidRPr="0005550A">
        <w:rPr>
          <w:rFonts w:ascii="Arial" w:eastAsia="Tahoma" w:hAnsi="Arial"/>
          <w:sz w:val="20"/>
          <w:szCs w:val="20"/>
        </w:rPr>
        <w:t>Liu</w:t>
      </w:r>
      <w:r w:rsidR="0005550A">
        <w:rPr>
          <w:rFonts w:ascii="Arial" w:eastAsia="Tahoma" w:hAnsi="Arial"/>
          <w:sz w:val="20"/>
          <w:szCs w:val="20"/>
        </w:rPr>
        <w:t xml:space="preserve"> (</w:t>
      </w:r>
      <w:r w:rsidR="0005550A" w:rsidRPr="0005550A">
        <w:rPr>
          <w:rFonts w:ascii="Arial" w:eastAsia="Tahoma" w:hAnsi="Arial"/>
          <w:sz w:val="20"/>
          <w:szCs w:val="20"/>
        </w:rPr>
        <w:t>2021)</w:t>
      </w:r>
      <w:r w:rsidR="0005550A">
        <w:rPr>
          <w:rFonts w:ascii="Arial" w:eastAsia="Tahoma" w:hAnsi="Arial"/>
          <w:sz w:val="20"/>
          <w:szCs w:val="20"/>
        </w:rPr>
        <w:t xml:space="preserve"> </w:t>
      </w:r>
      <w:r>
        <w:rPr>
          <w:rFonts w:ascii="Arial" w:eastAsia="Tahoma" w:hAnsi="Arial"/>
          <w:sz w:val="20"/>
          <w:szCs w:val="20"/>
        </w:rPr>
        <w:t xml:space="preserve">stated that laboratory guidelines and safety education courses can help students identify hazards and enhance their safety skills and awareness. </w:t>
      </w:r>
    </w:p>
    <w:p w14:paraId="0B4831C9"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The next highest means were “I can understand an experiment because resources are sufficiently available” (M = 3.72) and “I find it easy to complete the laboratory exercises through active participation” (M = 3.72), both under the dimension of Sufficiency of Resources. These findings indicated that adequate laboratory materials help students perform experiments more effectively, boosting their confidence and engagement. Lack of equipment is a primary obstacle to implementing susceptibility testing in many laboratories (</w:t>
      </w:r>
      <w:proofErr w:type="spellStart"/>
      <w:r>
        <w:rPr>
          <w:rFonts w:ascii="Arial" w:eastAsia="Tahoma" w:hAnsi="Arial"/>
          <w:sz w:val="20"/>
          <w:szCs w:val="20"/>
        </w:rPr>
        <w:t>Moirongo</w:t>
      </w:r>
      <w:proofErr w:type="spellEnd"/>
      <w:r>
        <w:rPr>
          <w:rFonts w:ascii="Arial" w:eastAsia="Tahoma" w:hAnsi="Arial"/>
          <w:sz w:val="20"/>
          <w:szCs w:val="20"/>
        </w:rPr>
        <w:t xml:space="preserve"> et al., 2022). </w:t>
      </w:r>
    </w:p>
    <w:p w14:paraId="6BAA98D3" w14:textId="77777777" w:rsidR="006140D5" w:rsidRDefault="00E13F90">
      <w:pPr>
        <w:pStyle w:val="NoSpacing1"/>
        <w:ind w:firstLine="720"/>
        <w:jc w:val="both"/>
        <w:rPr>
          <w:rFonts w:ascii="Tahoma" w:eastAsia="Tahoma" w:hAnsi="Tahoma" w:cs="Tahoma"/>
          <w:sz w:val="24"/>
          <w:szCs w:val="24"/>
        </w:rPr>
      </w:pPr>
      <w:r>
        <w:rPr>
          <w:rFonts w:ascii="Arial" w:eastAsia="Tahoma" w:hAnsi="Arial"/>
          <w:sz w:val="20"/>
          <w:szCs w:val="20"/>
        </w:rPr>
        <w:t>The lowest-rated indicators were “I am confident working in the laboratory without chemical spillage” (M = 3.14), “I can handle the apparatus in the laboratory confidently without fear of breakage and injury” (M = 3.27), and “I can easily process information in background articles and relate them to my own laboratory procedures and results” (M = 3.34), all interpreted as Moderate. These suggested that while students are generally confident, they still experienced anxiety in handling fragile materials and integrating theoretical information with laboratory practice. A recent study by Kara et al. (2025) revealed that sixth-year medical students experience moderate levels of work-related anxiety, with female students reporting higher levels. Notably, such anxiety may persist even among individuals who have been in the field for an extended period. In science education, the adoption of a practice-oriented instructional approach enables learners to apply theoretical concepts in authentic laboratory settings. This experiential engagement not only strengthens their practical competencies and conceptual understanding but also contributes to the gradual reduction of anxiety by fostering familiarity, confidence, and a sense of mastery through sustained hands-on practice (</w:t>
      </w:r>
      <w:proofErr w:type="spellStart"/>
      <w:r>
        <w:rPr>
          <w:rFonts w:ascii="Arial" w:eastAsia="Tahoma" w:hAnsi="Arial"/>
          <w:sz w:val="20"/>
          <w:szCs w:val="20"/>
        </w:rPr>
        <w:t>Sunetullaeva</w:t>
      </w:r>
      <w:proofErr w:type="spellEnd"/>
      <w:r>
        <w:rPr>
          <w:rFonts w:ascii="Arial" w:eastAsia="Tahoma" w:hAnsi="Arial"/>
          <w:sz w:val="20"/>
          <w:szCs w:val="20"/>
        </w:rPr>
        <w:t xml:space="preserve"> et al., 2024).</w:t>
      </w:r>
    </w:p>
    <w:p w14:paraId="0AB5C852" w14:textId="77777777" w:rsidR="006140D5" w:rsidRDefault="00E13F90">
      <w:pPr>
        <w:pStyle w:val="NoSpacing1"/>
        <w:ind w:firstLine="720"/>
        <w:jc w:val="both"/>
        <w:rPr>
          <w:rFonts w:ascii="Arial" w:hAnsi="Arial"/>
        </w:rPr>
      </w:pPr>
      <w:r>
        <w:rPr>
          <w:rFonts w:ascii="Arial" w:eastAsia="SimSun" w:hAnsi="Arial"/>
          <w:sz w:val="20"/>
          <w:szCs w:val="20"/>
          <w:shd w:val="clear" w:color="auto" w:fill="FFFFFF"/>
        </w:rPr>
        <w:t xml:space="preserve">  </w:t>
      </w:r>
    </w:p>
    <w:p w14:paraId="7AD2BA64" w14:textId="77777777" w:rsidR="006140D5" w:rsidRDefault="00E13F90">
      <w:pPr>
        <w:tabs>
          <w:tab w:val="left" w:pos="2173"/>
        </w:tabs>
        <w:ind w:right="-630"/>
        <w:jc w:val="both"/>
        <w:rPr>
          <w:rFonts w:ascii="Arial" w:hAnsi="Arial" w:cs="Arial"/>
        </w:rPr>
      </w:pPr>
      <w:r>
        <w:rPr>
          <w:rFonts w:ascii="Arial" w:hAnsi="Arial" w:cs="Arial"/>
        </w:rPr>
        <w:t xml:space="preserve">Table 3: </w:t>
      </w:r>
      <w:r>
        <w:rPr>
          <w:rFonts w:ascii="Arial" w:hAnsi="Arial" w:cs="Arial"/>
          <w:lang w:val="en-PH"/>
        </w:rPr>
        <w:t xml:space="preserve">The Respondents’ </w:t>
      </w:r>
      <w:r>
        <w:rPr>
          <w:rFonts w:ascii="Arial" w:hAnsi="Arial" w:cs="Arial"/>
        </w:rPr>
        <w:t>Level of Laboratory Self-Efficacy</w:t>
      </w:r>
    </w:p>
    <w:tbl>
      <w:tblPr>
        <w:tblW w:w="8136" w:type="dxa"/>
        <w:jc w:val="center"/>
        <w:tblLayout w:type="fixed"/>
        <w:tblLook w:val="04A0" w:firstRow="1" w:lastRow="0" w:firstColumn="1" w:lastColumn="0" w:noHBand="0" w:noVBand="1"/>
      </w:tblPr>
      <w:tblGrid>
        <w:gridCol w:w="4176"/>
        <w:gridCol w:w="1620"/>
        <w:gridCol w:w="720"/>
        <w:gridCol w:w="1620"/>
      </w:tblGrid>
      <w:tr w:rsidR="006140D5" w14:paraId="1E5264CA" w14:textId="77777777">
        <w:trPr>
          <w:trHeight w:val="153"/>
          <w:jc w:val="center"/>
        </w:trPr>
        <w:tc>
          <w:tcPr>
            <w:tcW w:w="4176" w:type="dxa"/>
            <w:tcBorders>
              <w:top w:val="thinThickSmallGap" w:sz="24" w:space="0" w:color="auto"/>
              <w:bottom w:val="single" w:sz="4" w:space="0" w:color="000000"/>
            </w:tcBorders>
          </w:tcPr>
          <w:p w14:paraId="01458EE9" w14:textId="77777777" w:rsidR="006140D5" w:rsidRDefault="00E13F90">
            <w:pPr>
              <w:jc w:val="both"/>
              <w:rPr>
                <w:rFonts w:ascii="Arial" w:eastAsia="Tahoma" w:hAnsi="Arial" w:cs="Arial"/>
              </w:rPr>
            </w:pPr>
            <w:r>
              <w:rPr>
                <w:rFonts w:ascii="Arial" w:eastAsia="Tahoma" w:hAnsi="Arial" w:cs="Arial"/>
                <w:b/>
              </w:rPr>
              <w:t>INDICATORS</w:t>
            </w:r>
          </w:p>
        </w:tc>
        <w:tc>
          <w:tcPr>
            <w:tcW w:w="1620" w:type="dxa"/>
            <w:tcBorders>
              <w:top w:val="thinThickSmallGap" w:sz="24" w:space="0" w:color="auto"/>
              <w:bottom w:val="single" w:sz="4" w:space="0" w:color="000000"/>
            </w:tcBorders>
          </w:tcPr>
          <w:p w14:paraId="6488286E" w14:textId="77777777" w:rsidR="006140D5" w:rsidRDefault="00E13F90">
            <w:pPr>
              <w:jc w:val="center"/>
              <w:rPr>
                <w:rFonts w:ascii="Arial" w:eastAsia="Tahoma" w:hAnsi="Arial" w:cs="Arial"/>
              </w:rPr>
            </w:pPr>
            <w:r>
              <w:rPr>
                <w:rFonts w:ascii="Arial" w:eastAsia="Tahoma" w:hAnsi="Arial" w:cs="Arial"/>
                <w:b/>
              </w:rPr>
              <w:t>Mean</w:t>
            </w:r>
          </w:p>
        </w:tc>
        <w:tc>
          <w:tcPr>
            <w:tcW w:w="720" w:type="dxa"/>
            <w:tcBorders>
              <w:top w:val="thinThickSmallGap" w:sz="24" w:space="0" w:color="auto"/>
              <w:bottom w:val="single" w:sz="4" w:space="0" w:color="000000"/>
            </w:tcBorders>
          </w:tcPr>
          <w:p w14:paraId="5683EF1C" w14:textId="77777777" w:rsidR="006140D5" w:rsidRDefault="00E13F90">
            <w:pPr>
              <w:jc w:val="center"/>
              <w:rPr>
                <w:rFonts w:ascii="Arial" w:eastAsia="Tahoma" w:hAnsi="Arial" w:cs="Arial"/>
              </w:rPr>
            </w:pPr>
            <w:r>
              <w:rPr>
                <w:rFonts w:ascii="Arial" w:eastAsia="Tahoma" w:hAnsi="Arial" w:cs="Arial"/>
                <w:b/>
              </w:rPr>
              <w:t>SD</w:t>
            </w:r>
          </w:p>
        </w:tc>
        <w:tc>
          <w:tcPr>
            <w:tcW w:w="1620" w:type="dxa"/>
            <w:tcBorders>
              <w:top w:val="thinThickSmallGap" w:sz="24" w:space="0" w:color="auto"/>
              <w:bottom w:val="single" w:sz="4" w:space="0" w:color="000000"/>
            </w:tcBorders>
          </w:tcPr>
          <w:p w14:paraId="1E78E0BD" w14:textId="77777777" w:rsidR="006140D5" w:rsidRDefault="00E13F90">
            <w:pPr>
              <w:jc w:val="center"/>
              <w:rPr>
                <w:rFonts w:ascii="Arial" w:eastAsia="Tahoma" w:hAnsi="Arial" w:cs="Arial"/>
              </w:rPr>
            </w:pPr>
            <w:r>
              <w:rPr>
                <w:rFonts w:ascii="Arial" w:eastAsia="Tahoma" w:hAnsi="Arial" w:cs="Arial"/>
                <w:b/>
              </w:rPr>
              <w:t>DESCRIPTION</w:t>
            </w:r>
          </w:p>
        </w:tc>
      </w:tr>
      <w:tr w:rsidR="006140D5" w14:paraId="2A3F8318" w14:textId="77777777">
        <w:trPr>
          <w:trHeight w:val="83"/>
          <w:jc w:val="center"/>
        </w:trPr>
        <w:tc>
          <w:tcPr>
            <w:tcW w:w="4176" w:type="dxa"/>
            <w:tcBorders>
              <w:top w:val="single" w:sz="4" w:space="0" w:color="000000"/>
            </w:tcBorders>
          </w:tcPr>
          <w:p w14:paraId="59F160B7" w14:textId="77777777" w:rsidR="006140D5" w:rsidRDefault="00E13F90">
            <w:pPr>
              <w:jc w:val="both"/>
              <w:rPr>
                <w:rFonts w:ascii="Arial" w:eastAsia="Tahoma" w:hAnsi="Arial" w:cs="Arial"/>
              </w:rPr>
            </w:pPr>
            <w:r>
              <w:rPr>
                <w:rFonts w:ascii="Arial" w:eastAsia="Tahoma" w:hAnsi="Arial" w:cs="Arial"/>
              </w:rPr>
              <w:t>Conceptual Understanding</w:t>
            </w:r>
          </w:p>
        </w:tc>
        <w:tc>
          <w:tcPr>
            <w:tcW w:w="1620" w:type="dxa"/>
            <w:tcBorders>
              <w:top w:val="single" w:sz="4" w:space="0" w:color="000000"/>
            </w:tcBorders>
            <w:vAlign w:val="center"/>
          </w:tcPr>
          <w:p w14:paraId="1C182353" w14:textId="77777777" w:rsidR="006140D5" w:rsidRDefault="00E13F90">
            <w:pPr>
              <w:jc w:val="center"/>
              <w:rPr>
                <w:rFonts w:ascii="Arial" w:eastAsia="Tahoma" w:hAnsi="Arial" w:cs="Arial"/>
              </w:rPr>
            </w:pPr>
            <w:r>
              <w:rPr>
                <w:rFonts w:ascii="Arial" w:eastAsia="Tahoma" w:hAnsi="Arial" w:cs="Arial"/>
              </w:rPr>
              <w:t>3.73</w:t>
            </w:r>
          </w:p>
        </w:tc>
        <w:tc>
          <w:tcPr>
            <w:tcW w:w="720" w:type="dxa"/>
            <w:tcBorders>
              <w:top w:val="single" w:sz="4" w:space="0" w:color="000000"/>
            </w:tcBorders>
            <w:vAlign w:val="center"/>
          </w:tcPr>
          <w:p w14:paraId="650FEEA2" w14:textId="77777777" w:rsidR="006140D5" w:rsidRDefault="00E13F90">
            <w:pPr>
              <w:jc w:val="center"/>
              <w:rPr>
                <w:rFonts w:ascii="Arial" w:eastAsia="Tahoma" w:hAnsi="Arial" w:cs="Arial"/>
              </w:rPr>
            </w:pPr>
            <w:r>
              <w:rPr>
                <w:rFonts w:ascii="Arial" w:eastAsia="Tahoma" w:hAnsi="Arial" w:cs="Arial"/>
              </w:rPr>
              <w:t>0.73</w:t>
            </w:r>
          </w:p>
        </w:tc>
        <w:tc>
          <w:tcPr>
            <w:tcW w:w="1620" w:type="dxa"/>
            <w:tcBorders>
              <w:top w:val="single" w:sz="4" w:space="0" w:color="000000"/>
            </w:tcBorders>
          </w:tcPr>
          <w:p w14:paraId="2F42A1A2" w14:textId="77777777" w:rsidR="006140D5" w:rsidRDefault="00E13F90">
            <w:pPr>
              <w:jc w:val="center"/>
              <w:rPr>
                <w:rFonts w:ascii="Arial" w:eastAsia="Tahoma" w:hAnsi="Arial" w:cs="Arial"/>
              </w:rPr>
            </w:pPr>
            <w:r>
              <w:rPr>
                <w:rFonts w:ascii="Arial" w:eastAsia="Tahoma" w:hAnsi="Arial" w:cs="Arial"/>
              </w:rPr>
              <w:t>High</w:t>
            </w:r>
          </w:p>
        </w:tc>
      </w:tr>
      <w:tr w:rsidR="006140D5" w14:paraId="6B8E2614" w14:textId="77777777">
        <w:trPr>
          <w:jc w:val="center"/>
        </w:trPr>
        <w:tc>
          <w:tcPr>
            <w:tcW w:w="4176" w:type="dxa"/>
          </w:tcPr>
          <w:p w14:paraId="6194EEE2" w14:textId="77777777" w:rsidR="006140D5" w:rsidRDefault="00E13F90">
            <w:pPr>
              <w:jc w:val="both"/>
              <w:rPr>
                <w:rFonts w:ascii="Arial" w:eastAsia="Tahoma" w:hAnsi="Arial" w:cs="Arial"/>
              </w:rPr>
            </w:pPr>
            <w:r>
              <w:rPr>
                <w:rFonts w:ascii="Arial" w:eastAsia="Tahoma" w:hAnsi="Arial" w:cs="Arial"/>
              </w:rPr>
              <w:t>Laboratory Hazards</w:t>
            </w:r>
            <w:r>
              <w:rPr>
                <w:rFonts w:ascii="Arial" w:eastAsia="Tahoma" w:hAnsi="Arial" w:cs="Arial"/>
              </w:rPr>
              <w:tab/>
            </w:r>
          </w:p>
        </w:tc>
        <w:tc>
          <w:tcPr>
            <w:tcW w:w="1620" w:type="dxa"/>
            <w:vAlign w:val="center"/>
          </w:tcPr>
          <w:p w14:paraId="299D32AA" w14:textId="77777777" w:rsidR="006140D5" w:rsidRDefault="00E13F90">
            <w:pPr>
              <w:jc w:val="center"/>
              <w:rPr>
                <w:rFonts w:ascii="Arial" w:eastAsia="Tahoma" w:hAnsi="Arial" w:cs="Arial"/>
              </w:rPr>
            </w:pPr>
            <w:r>
              <w:rPr>
                <w:rFonts w:ascii="Arial" w:eastAsia="Tahoma" w:hAnsi="Arial" w:cs="Arial"/>
              </w:rPr>
              <w:t>3.40</w:t>
            </w:r>
          </w:p>
        </w:tc>
        <w:tc>
          <w:tcPr>
            <w:tcW w:w="720" w:type="dxa"/>
            <w:vAlign w:val="center"/>
          </w:tcPr>
          <w:p w14:paraId="0EAD6014" w14:textId="77777777" w:rsidR="006140D5" w:rsidRDefault="00E13F90">
            <w:pPr>
              <w:jc w:val="center"/>
              <w:rPr>
                <w:rFonts w:ascii="Arial" w:eastAsia="Tahoma" w:hAnsi="Arial" w:cs="Arial"/>
              </w:rPr>
            </w:pPr>
            <w:r>
              <w:rPr>
                <w:rFonts w:ascii="Arial" w:eastAsia="Tahoma" w:hAnsi="Arial" w:cs="Arial"/>
              </w:rPr>
              <w:t>0.83</w:t>
            </w:r>
          </w:p>
        </w:tc>
        <w:tc>
          <w:tcPr>
            <w:tcW w:w="1620" w:type="dxa"/>
          </w:tcPr>
          <w:p w14:paraId="2C4B9B36" w14:textId="77777777" w:rsidR="006140D5" w:rsidRDefault="00E13F90">
            <w:pPr>
              <w:jc w:val="center"/>
              <w:rPr>
                <w:rFonts w:ascii="Arial" w:eastAsia="Tahoma" w:hAnsi="Arial" w:cs="Arial"/>
              </w:rPr>
            </w:pPr>
            <w:r>
              <w:rPr>
                <w:rFonts w:ascii="Arial" w:eastAsia="Tahoma" w:hAnsi="Arial" w:cs="Arial"/>
              </w:rPr>
              <w:t>Moderate</w:t>
            </w:r>
          </w:p>
        </w:tc>
      </w:tr>
      <w:tr w:rsidR="006140D5" w14:paraId="65E62EA8" w14:textId="77777777">
        <w:trPr>
          <w:jc w:val="center"/>
        </w:trPr>
        <w:tc>
          <w:tcPr>
            <w:tcW w:w="4176" w:type="dxa"/>
          </w:tcPr>
          <w:p w14:paraId="4757C7B3" w14:textId="77777777" w:rsidR="006140D5" w:rsidRDefault="00E13F90">
            <w:pPr>
              <w:jc w:val="both"/>
              <w:rPr>
                <w:rFonts w:ascii="Arial" w:eastAsia="Tahoma" w:hAnsi="Arial" w:cs="Arial"/>
              </w:rPr>
            </w:pPr>
            <w:r>
              <w:rPr>
                <w:rFonts w:ascii="Arial" w:eastAsia="Tahoma" w:hAnsi="Arial" w:cs="Arial"/>
              </w:rPr>
              <w:t>Procedural Complexity</w:t>
            </w:r>
          </w:p>
        </w:tc>
        <w:tc>
          <w:tcPr>
            <w:tcW w:w="1620" w:type="dxa"/>
            <w:vAlign w:val="center"/>
          </w:tcPr>
          <w:p w14:paraId="0D94F060" w14:textId="77777777" w:rsidR="006140D5" w:rsidRDefault="00E13F90">
            <w:pPr>
              <w:jc w:val="center"/>
              <w:rPr>
                <w:rFonts w:ascii="Arial" w:eastAsia="Tahoma" w:hAnsi="Arial" w:cs="Arial"/>
              </w:rPr>
            </w:pPr>
            <w:r>
              <w:rPr>
                <w:rFonts w:ascii="Arial" w:eastAsia="Tahoma" w:hAnsi="Arial" w:cs="Arial"/>
              </w:rPr>
              <w:t>3.54</w:t>
            </w:r>
          </w:p>
        </w:tc>
        <w:tc>
          <w:tcPr>
            <w:tcW w:w="720" w:type="dxa"/>
            <w:vAlign w:val="center"/>
          </w:tcPr>
          <w:p w14:paraId="25D65E41" w14:textId="77777777" w:rsidR="006140D5" w:rsidRDefault="00E13F90">
            <w:pPr>
              <w:jc w:val="center"/>
              <w:rPr>
                <w:rFonts w:ascii="Arial" w:eastAsia="Tahoma" w:hAnsi="Arial" w:cs="Arial"/>
              </w:rPr>
            </w:pPr>
            <w:r>
              <w:rPr>
                <w:rFonts w:ascii="Arial" w:eastAsia="Tahoma" w:hAnsi="Arial" w:cs="Arial"/>
              </w:rPr>
              <w:t>0.80</w:t>
            </w:r>
          </w:p>
        </w:tc>
        <w:tc>
          <w:tcPr>
            <w:tcW w:w="1620" w:type="dxa"/>
          </w:tcPr>
          <w:p w14:paraId="2BEAB31D" w14:textId="77777777" w:rsidR="006140D5" w:rsidRDefault="00E13F90">
            <w:pPr>
              <w:jc w:val="center"/>
              <w:rPr>
                <w:rFonts w:ascii="Arial" w:eastAsia="Tahoma" w:hAnsi="Arial" w:cs="Arial"/>
              </w:rPr>
            </w:pPr>
            <w:r>
              <w:rPr>
                <w:rFonts w:ascii="Arial" w:eastAsia="Tahoma" w:hAnsi="Arial" w:cs="Arial"/>
              </w:rPr>
              <w:t>High</w:t>
            </w:r>
          </w:p>
        </w:tc>
      </w:tr>
      <w:tr w:rsidR="006140D5" w14:paraId="33C23342" w14:textId="77777777">
        <w:trPr>
          <w:jc w:val="center"/>
        </w:trPr>
        <w:tc>
          <w:tcPr>
            <w:tcW w:w="4176" w:type="dxa"/>
            <w:tcBorders>
              <w:bottom w:val="single" w:sz="4" w:space="0" w:color="auto"/>
            </w:tcBorders>
          </w:tcPr>
          <w:p w14:paraId="4A98DC0A" w14:textId="77777777" w:rsidR="006140D5" w:rsidRDefault="00E13F90">
            <w:pPr>
              <w:jc w:val="both"/>
              <w:rPr>
                <w:rFonts w:ascii="Arial" w:eastAsia="Tahoma" w:hAnsi="Arial" w:cs="Arial"/>
              </w:rPr>
            </w:pPr>
            <w:r>
              <w:rPr>
                <w:rFonts w:ascii="Arial" w:eastAsia="Tahoma" w:hAnsi="Arial" w:cs="Arial"/>
              </w:rPr>
              <w:t>Sufficiency of Resources</w:t>
            </w:r>
          </w:p>
        </w:tc>
        <w:tc>
          <w:tcPr>
            <w:tcW w:w="1620" w:type="dxa"/>
            <w:tcBorders>
              <w:bottom w:val="single" w:sz="4" w:space="0" w:color="000000"/>
            </w:tcBorders>
            <w:vAlign w:val="center"/>
          </w:tcPr>
          <w:p w14:paraId="653E52E2" w14:textId="77777777" w:rsidR="006140D5" w:rsidRDefault="00E13F90">
            <w:pPr>
              <w:jc w:val="center"/>
              <w:rPr>
                <w:rFonts w:ascii="Arial" w:eastAsia="Tahoma" w:hAnsi="Arial" w:cs="Arial"/>
              </w:rPr>
            </w:pPr>
            <w:r>
              <w:rPr>
                <w:rFonts w:ascii="Arial" w:eastAsia="Tahoma" w:hAnsi="Arial" w:cs="Arial"/>
              </w:rPr>
              <w:t>3.70</w:t>
            </w:r>
          </w:p>
        </w:tc>
        <w:tc>
          <w:tcPr>
            <w:tcW w:w="720" w:type="dxa"/>
            <w:tcBorders>
              <w:bottom w:val="single" w:sz="4" w:space="0" w:color="000000"/>
            </w:tcBorders>
            <w:vAlign w:val="center"/>
          </w:tcPr>
          <w:p w14:paraId="22FE8D7B" w14:textId="77777777" w:rsidR="006140D5" w:rsidRDefault="00E13F90">
            <w:pPr>
              <w:jc w:val="center"/>
              <w:rPr>
                <w:rFonts w:ascii="Arial" w:eastAsia="Tahoma" w:hAnsi="Arial" w:cs="Arial"/>
              </w:rPr>
            </w:pPr>
            <w:r>
              <w:rPr>
                <w:rFonts w:ascii="Arial" w:eastAsia="Tahoma" w:hAnsi="Arial" w:cs="Arial"/>
              </w:rPr>
              <w:t>0.86</w:t>
            </w:r>
          </w:p>
        </w:tc>
        <w:tc>
          <w:tcPr>
            <w:tcW w:w="1620" w:type="dxa"/>
            <w:tcBorders>
              <w:bottom w:val="single" w:sz="4" w:space="0" w:color="000000"/>
            </w:tcBorders>
          </w:tcPr>
          <w:p w14:paraId="1A86784F" w14:textId="77777777" w:rsidR="006140D5" w:rsidRDefault="00E13F90">
            <w:pPr>
              <w:jc w:val="center"/>
              <w:rPr>
                <w:rFonts w:ascii="Arial" w:eastAsia="Tahoma" w:hAnsi="Arial" w:cs="Arial"/>
              </w:rPr>
            </w:pPr>
            <w:r>
              <w:rPr>
                <w:rFonts w:ascii="Arial" w:eastAsia="Tahoma" w:hAnsi="Arial" w:cs="Arial"/>
              </w:rPr>
              <w:t>High</w:t>
            </w:r>
          </w:p>
        </w:tc>
      </w:tr>
      <w:tr w:rsidR="006140D5" w14:paraId="7BD83B54" w14:textId="77777777">
        <w:trPr>
          <w:jc w:val="center"/>
        </w:trPr>
        <w:tc>
          <w:tcPr>
            <w:tcW w:w="4176" w:type="dxa"/>
            <w:tcBorders>
              <w:top w:val="single" w:sz="4" w:space="0" w:color="auto"/>
              <w:bottom w:val="thickThinSmallGap" w:sz="24" w:space="0" w:color="auto"/>
            </w:tcBorders>
          </w:tcPr>
          <w:p w14:paraId="3C354C89" w14:textId="77777777" w:rsidR="006140D5" w:rsidRDefault="00E13F90">
            <w:pPr>
              <w:jc w:val="both"/>
              <w:rPr>
                <w:rFonts w:ascii="Arial" w:eastAsia="Tahoma" w:hAnsi="Arial" w:cs="Arial"/>
                <w:b/>
              </w:rPr>
            </w:pPr>
            <w:r>
              <w:rPr>
                <w:rFonts w:ascii="Arial" w:eastAsia="Tahoma" w:hAnsi="Arial" w:cs="Arial"/>
                <w:b/>
              </w:rPr>
              <w:t>Laboratory Self Efficacy (Overall)</w:t>
            </w:r>
          </w:p>
        </w:tc>
        <w:tc>
          <w:tcPr>
            <w:tcW w:w="1620" w:type="dxa"/>
            <w:tcBorders>
              <w:top w:val="single" w:sz="4" w:space="0" w:color="000000"/>
              <w:bottom w:val="thickThinSmallGap" w:sz="24" w:space="0" w:color="auto"/>
            </w:tcBorders>
          </w:tcPr>
          <w:p w14:paraId="63C5EA46" w14:textId="77777777" w:rsidR="006140D5" w:rsidRDefault="00E13F90">
            <w:pPr>
              <w:jc w:val="center"/>
              <w:rPr>
                <w:rFonts w:ascii="Arial" w:eastAsia="Tahoma" w:hAnsi="Arial" w:cs="Arial"/>
                <w:b/>
                <w:lang w:val="en-PH"/>
              </w:rPr>
            </w:pPr>
            <w:r>
              <w:rPr>
                <w:rFonts w:ascii="Arial" w:eastAsia="Tahoma" w:hAnsi="Arial" w:cs="Arial"/>
                <w:b/>
              </w:rPr>
              <w:t>3.</w:t>
            </w:r>
            <w:r>
              <w:rPr>
                <w:rFonts w:ascii="Arial" w:eastAsia="Tahoma" w:hAnsi="Arial" w:cs="Arial"/>
                <w:b/>
                <w:lang w:val="en-PH"/>
              </w:rPr>
              <w:t>59</w:t>
            </w:r>
          </w:p>
        </w:tc>
        <w:tc>
          <w:tcPr>
            <w:tcW w:w="720" w:type="dxa"/>
            <w:tcBorders>
              <w:top w:val="single" w:sz="4" w:space="0" w:color="000000"/>
              <w:bottom w:val="thickThinSmallGap" w:sz="24" w:space="0" w:color="auto"/>
            </w:tcBorders>
          </w:tcPr>
          <w:p w14:paraId="3AB97CB6" w14:textId="77777777" w:rsidR="006140D5" w:rsidRDefault="00E13F90">
            <w:pPr>
              <w:jc w:val="center"/>
              <w:rPr>
                <w:rFonts w:ascii="Arial" w:eastAsia="Tahoma" w:hAnsi="Arial" w:cs="Arial"/>
                <w:b/>
              </w:rPr>
            </w:pPr>
            <w:r>
              <w:rPr>
                <w:rFonts w:ascii="Arial" w:eastAsia="Tahoma" w:hAnsi="Arial" w:cs="Arial"/>
                <w:b/>
              </w:rPr>
              <w:t>0.81</w:t>
            </w:r>
          </w:p>
        </w:tc>
        <w:tc>
          <w:tcPr>
            <w:tcW w:w="1620" w:type="dxa"/>
            <w:tcBorders>
              <w:top w:val="single" w:sz="4" w:space="0" w:color="000000"/>
              <w:bottom w:val="thickThinSmallGap" w:sz="24" w:space="0" w:color="auto"/>
            </w:tcBorders>
          </w:tcPr>
          <w:p w14:paraId="78F22090" w14:textId="77777777" w:rsidR="006140D5" w:rsidRDefault="00E13F90">
            <w:pPr>
              <w:jc w:val="center"/>
              <w:rPr>
                <w:rFonts w:ascii="Arial" w:eastAsia="Tahoma" w:hAnsi="Arial" w:cs="Arial"/>
                <w:b/>
              </w:rPr>
            </w:pPr>
            <w:r>
              <w:rPr>
                <w:rFonts w:ascii="Arial" w:eastAsia="Tahoma" w:hAnsi="Arial" w:cs="Arial"/>
                <w:b/>
              </w:rPr>
              <w:t>High</w:t>
            </w:r>
          </w:p>
        </w:tc>
      </w:tr>
    </w:tbl>
    <w:p w14:paraId="31691202" w14:textId="77777777" w:rsidR="006140D5" w:rsidRDefault="00E13F90">
      <w:pPr>
        <w:tabs>
          <w:tab w:val="left" w:pos="2173"/>
        </w:tabs>
        <w:ind w:right="-72" w:firstLineChars="50" w:firstLine="100"/>
        <w:jc w:val="both"/>
        <w:rPr>
          <w:rFonts w:ascii="Arial" w:hAnsi="Arial" w:cs="Arial"/>
          <w:bCs/>
        </w:rPr>
      </w:pPr>
      <w:bookmarkStart w:id="3" w:name="_Hlk172126520"/>
      <w:r>
        <w:rPr>
          <w:rFonts w:ascii="Arial" w:hAnsi="Arial"/>
          <w:bCs/>
        </w:rPr>
        <w:t>Note. SD = Standard Deviation. Description is based on the interpretation scale in Chapter III.</w:t>
      </w:r>
    </w:p>
    <w:bookmarkEnd w:id="3"/>
    <w:p w14:paraId="26E4A062" w14:textId="77777777" w:rsidR="006140D5" w:rsidRDefault="006140D5">
      <w:pPr>
        <w:jc w:val="both"/>
        <w:rPr>
          <w:rFonts w:ascii="Arial" w:eastAsia="Tahoma" w:hAnsi="Arial" w:cs="Arial"/>
        </w:rPr>
      </w:pPr>
    </w:p>
    <w:p w14:paraId="2BE99849" w14:textId="77777777" w:rsidR="006140D5" w:rsidRDefault="00E13F90">
      <w:pPr>
        <w:pStyle w:val="Heading2"/>
        <w:ind w:left="360" w:hanging="360"/>
        <w:jc w:val="both"/>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lastRenderedPageBreak/>
        <w:t>4.4</w:t>
      </w:r>
      <w:r>
        <w:rPr>
          <w:rFonts w:ascii="Arial" w:eastAsia="Times New Roman" w:hAnsi="Arial" w:cs="Arial"/>
          <w:b/>
          <w:bCs/>
          <w:color w:val="000000" w:themeColor="text1"/>
          <w:sz w:val="20"/>
          <w:szCs w:val="20"/>
        </w:rPr>
        <w:tab/>
        <w:t xml:space="preserve">Relationship Between </w:t>
      </w:r>
      <w:r>
        <w:rPr>
          <w:rFonts w:ascii="Arial" w:eastAsia="Times New Roman" w:hAnsi="Arial"/>
          <w:b/>
          <w:bCs/>
          <w:color w:val="000000" w:themeColor="text1"/>
          <w:sz w:val="20"/>
          <w:szCs w:val="20"/>
        </w:rPr>
        <w:t>Science Laboratory Availability and Laboratory Self-Efficacy among SHS STEM Strand Students</w:t>
      </w:r>
    </w:p>
    <w:p w14:paraId="3B83E357" w14:textId="77777777" w:rsidR="006140D5" w:rsidRDefault="006140D5">
      <w:pPr>
        <w:jc w:val="both"/>
        <w:rPr>
          <w:rFonts w:ascii="Arial" w:eastAsia="SimSun" w:hAnsi="Arial" w:cs="Arial"/>
          <w:shd w:val="clear" w:color="auto" w:fill="FFFFFF"/>
        </w:rPr>
      </w:pPr>
    </w:p>
    <w:p w14:paraId="4DB54AA2" w14:textId="77777777" w:rsidR="006140D5" w:rsidRDefault="00E13F90">
      <w:pPr>
        <w:spacing w:after="4"/>
        <w:ind w:right="8" w:firstLine="360"/>
        <w:jc w:val="both"/>
        <w:rPr>
          <w:rFonts w:ascii="Arial" w:eastAsia="Tahoma" w:hAnsi="Arial" w:cs="Arial"/>
        </w:rPr>
      </w:pPr>
      <w:r>
        <w:rPr>
          <w:rFonts w:ascii="Arial" w:eastAsia="Tahoma" w:hAnsi="Arial" w:cs="Arial"/>
        </w:rPr>
        <w:t xml:space="preserve">The results of the Pearson product–moment correlation (Table 4) revealed that Science Laboratory Availability, in terms of equipment availability and facility access, was significantly correlated with the different dimensions of students’ Laboratory Self-Efficacy among Senior High School STEM strand students in Mariano Peralta National High School and </w:t>
      </w:r>
      <w:proofErr w:type="spellStart"/>
      <w:r>
        <w:rPr>
          <w:rFonts w:ascii="Arial" w:eastAsia="Tahoma" w:hAnsi="Arial" w:cs="Arial"/>
        </w:rPr>
        <w:t>Heracleo</w:t>
      </w:r>
      <w:proofErr w:type="spellEnd"/>
      <w:r>
        <w:rPr>
          <w:rFonts w:ascii="Arial" w:eastAsia="Tahoma" w:hAnsi="Arial" w:cs="Arial"/>
        </w:rPr>
        <w:t xml:space="preserve"> Casco Memorial National High School</w:t>
      </w:r>
    </w:p>
    <w:p w14:paraId="3EFD1460" w14:textId="77777777" w:rsidR="006140D5" w:rsidRDefault="00E13F90">
      <w:pPr>
        <w:spacing w:after="4"/>
        <w:ind w:right="8" w:firstLine="360"/>
        <w:jc w:val="both"/>
        <w:rPr>
          <w:rFonts w:ascii="Arial" w:eastAsia="Tahoma" w:hAnsi="Arial" w:cs="Arial"/>
          <w:lang w:val="en-PH"/>
        </w:rPr>
      </w:pPr>
      <w:r>
        <w:rPr>
          <w:rFonts w:ascii="Arial" w:eastAsia="Tahoma" w:hAnsi="Arial" w:cs="Arial"/>
          <w:lang w:val="en-PH"/>
        </w:rPr>
        <w:t>As shown in the table 4, all computed correlation coefficients were positive and significant at the .01 level (2-tailed), indicating that higher levels of laboratory availability were associated with higher levels of students’ self-efficacy in performing laboratory tasks. Specifically, equipment availability demonstrated low to moderate positive correlations with conceptual understanding (</w:t>
      </w:r>
      <w:r>
        <w:rPr>
          <w:rFonts w:ascii="Arial" w:eastAsia="Tahoma" w:hAnsi="Arial" w:cs="Arial"/>
          <w:i/>
          <w:iCs/>
          <w:lang w:val="en-PH"/>
        </w:rPr>
        <w:t>r</w:t>
      </w:r>
      <w:r>
        <w:rPr>
          <w:rFonts w:ascii="Arial" w:eastAsia="Tahoma" w:hAnsi="Arial" w:cs="Arial"/>
          <w:lang w:val="en-PH"/>
        </w:rPr>
        <w:t xml:space="preserve"> = .23), laboratory hazards (</w:t>
      </w:r>
      <w:r>
        <w:rPr>
          <w:rFonts w:ascii="Arial" w:eastAsia="Tahoma" w:hAnsi="Arial" w:cs="Arial"/>
          <w:i/>
          <w:iCs/>
          <w:lang w:val="en-PH"/>
        </w:rPr>
        <w:t xml:space="preserve">r </w:t>
      </w:r>
      <w:r>
        <w:rPr>
          <w:rFonts w:ascii="Arial" w:eastAsia="Tahoma" w:hAnsi="Arial" w:cs="Arial"/>
          <w:lang w:val="en-PH"/>
        </w:rPr>
        <w:t>= .37), procedural complexity (</w:t>
      </w:r>
      <w:r>
        <w:rPr>
          <w:rFonts w:ascii="Arial" w:eastAsia="Tahoma" w:hAnsi="Arial" w:cs="Arial"/>
          <w:i/>
          <w:iCs/>
          <w:lang w:val="en-PH"/>
        </w:rPr>
        <w:t xml:space="preserve">r </w:t>
      </w:r>
      <w:r>
        <w:rPr>
          <w:rFonts w:ascii="Arial" w:eastAsia="Tahoma" w:hAnsi="Arial" w:cs="Arial"/>
          <w:lang w:val="en-PH"/>
        </w:rPr>
        <w:t>= .22), and sufficiency of resources (</w:t>
      </w:r>
      <w:r>
        <w:rPr>
          <w:rFonts w:ascii="Arial" w:eastAsia="Tahoma" w:hAnsi="Arial" w:cs="Arial"/>
          <w:i/>
          <w:iCs/>
          <w:lang w:val="en-PH"/>
        </w:rPr>
        <w:t>r</w:t>
      </w:r>
      <w:r>
        <w:rPr>
          <w:rFonts w:ascii="Arial" w:eastAsia="Tahoma" w:hAnsi="Arial" w:cs="Arial"/>
          <w:lang w:val="en-PH"/>
        </w:rPr>
        <w:t xml:space="preserve"> = .44).</w:t>
      </w:r>
    </w:p>
    <w:p w14:paraId="0E037375" w14:textId="77777777" w:rsidR="006140D5" w:rsidRDefault="00E13F90">
      <w:pPr>
        <w:spacing w:after="4"/>
        <w:ind w:right="8" w:firstLine="360"/>
        <w:jc w:val="both"/>
        <w:rPr>
          <w:rFonts w:ascii="Arial" w:eastAsia="Tahoma" w:hAnsi="Arial" w:cs="Arial"/>
          <w:lang w:val="en-PH"/>
        </w:rPr>
      </w:pPr>
      <w:r>
        <w:rPr>
          <w:rFonts w:ascii="Arial" w:eastAsia="Tahoma" w:hAnsi="Arial" w:cs="Arial"/>
          <w:lang w:val="en-PH"/>
        </w:rPr>
        <w:t>Meanwhile, facility access showed relatively stronger correlations with all dimensions of Laboratory Self-Efficacy—conceptual understanding (</w:t>
      </w:r>
      <w:r>
        <w:rPr>
          <w:rFonts w:ascii="Arial" w:eastAsia="Tahoma" w:hAnsi="Arial" w:cs="Arial"/>
          <w:i/>
          <w:iCs/>
          <w:lang w:val="en-PH"/>
        </w:rPr>
        <w:t>r</w:t>
      </w:r>
      <w:r>
        <w:rPr>
          <w:rFonts w:ascii="Arial" w:eastAsia="Tahoma" w:hAnsi="Arial" w:cs="Arial"/>
          <w:lang w:val="en-PH"/>
        </w:rPr>
        <w:t xml:space="preserve"> = .35), laboratory hazards (</w:t>
      </w:r>
      <w:r>
        <w:rPr>
          <w:rFonts w:ascii="Arial" w:eastAsia="Tahoma" w:hAnsi="Arial" w:cs="Arial"/>
          <w:i/>
          <w:iCs/>
          <w:lang w:val="en-PH"/>
        </w:rPr>
        <w:t>r</w:t>
      </w:r>
      <w:r>
        <w:rPr>
          <w:rFonts w:ascii="Arial" w:eastAsia="Tahoma" w:hAnsi="Arial" w:cs="Arial"/>
          <w:lang w:val="en-PH"/>
        </w:rPr>
        <w:t xml:space="preserve"> = .44), procedural complexity </w:t>
      </w:r>
      <w:r>
        <w:rPr>
          <w:rFonts w:ascii="Arial" w:eastAsia="Tahoma" w:hAnsi="Arial" w:cs="Arial"/>
          <w:i/>
          <w:iCs/>
          <w:lang w:val="en-PH"/>
        </w:rPr>
        <w:t>(r</w:t>
      </w:r>
      <w:r>
        <w:rPr>
          <w:rFonts w:ascii="Arial" w:eastAsia="Tahoma" w:hAnsi="Arial" w:cs="Arial"/>
          <w:lang w:val="en-PH"/>
        </w:rPr>
        <w:t xml:space="preserve"> = .42), and sufficiency of resources (</w:t>
      </w:r>
      <w:r>
        <w:rPr>
          <w:rFonts w:ascii="Arial" w:eastAsia="Tahoma" w:hAnsi="Arial" w:cs="Arial"/>
          <w:i/>
          <w:iCs/>
          <w:lang w:val="en-PH"/>
        </w:rPr>
        <w:t>r</w:t>
      </w:r>
      <w:r>
        <w:rPr>
          <w:rFonts w:ascii="Arial" w:eastAsia="Tahoma" w:hAnsi="Arial" w:cs="Arial"/>
          <w:lang w:val="en-PH"/>
        </w:rPr>
        <w:t xml:space="preserve"> = .59). These findings implied that when students had greater access to functional and well-maintained laboratory facilities, their confidence in handling experiments, understanding procedures, and managing resources improved significantly. A recent study by </w:t>
      </w:r>
      <w:proofErr w:type="spellStart"/>
      <w:r>
        <w:rPr>
          <w:rFonts w:ascii="Arial" w:eastAsia="Tahoma" w:hAnsi="Arial" w:cs="Arial"/>
          <w:lang w:val="en-PH"/>
        </w:rPr>
        <w:t>Kperogi</w:t>
      </w:r>
      <w:proofErr w:type="spellEnd"/>
      <w:r>
        <w:rPr>
          <w:rFonts w:ascii="Arial" w:eastAsia="Tahoma" w:hAnsi="Arial" w:cs="Arial"/>
          <w:lang w:val="en-PH"/>
        </w:rPr>
        <w:t xml:space="preserve"> et al. (2025), stated that consistent use of science laboratories prompts students' interest in science courses and inadequate laboratory access and resource constraints can negatively impact students' academic performance and preparedness</w:t>
      </w:r>
      <w:r>
        <w:rPr>
          <w:rFonts w:ascii="Arial" w:eastAsia="Tahoma" w:hAnsi="Arial" w:cs="Arial"/>
        </w:rPr>
        <w:t xml:space="preserve"> </w:t>
      </w:r>
      <w:r>
        <w:rPr>
          <w:rFonts w:ascii="Arial" w:eastAsia="Tahoma" w:hAnsi="Arial" w:cs="Arial"/>
          <w:lang w:val="en-PH"/>
        </w:rPr>
        <w:t xml:space="preserve">(Hiyan et al., 2025). Therefore, targeted investment in upgrading equipment and implementing systematic maintenance schedules are crucial for effective science education </w:t>
      </w:r>
      <w:bookmarkStart w:id="4" w:name="_Hlk212052383"/>
      <w:r>
        <w:rPr>
          <w:rFonts w:ascii="Arial" w:eastAsia="Tahoma" w:hAnsi="Arial" w:cs="Arial"/>
          <w:lang w:val="en-PH"/>
        </w:rPr>
        <w:t>(</w:t>
      </w:r>
      <w:bookmarkStart w:id="5" w:name="_Hlk212044486"/>
      <w:proofErr w:type="spellStart"/>
      <w:r>
        <w:rPr>
          <w:rFonts w:ascii="Arial" w:eastAsia="Tahoma" w:hAnsi="Arial" w:cs="Arial"/>
          <w:lang w:val="en-PH"/>
        </w:rPr>
        <w:t>Muzammal</w:t>
      </w:r>
      <w:proofErr w:type="spellEnd"/>
      <w:r>
        <w:rPr>
          <w:rFonts w:ascii="Arial" w:eastAsia="Tahoma" w:hAnsi="Arial" w:cs="Arial"/>
          <w:lang w:val="en-PH"/>
        </w:rPr>
        <w:t xml:space="preserve"> &amp; Hashmi, 2025</w:t>
      </w:r>
      <w:bookmarkEnd w:id="5"/>
      <w:r>
        <w:rPr>
          <w:rFonts w:ascii="Arial" w:eastAsia="Tahoma" w:hAnsi="Arial" w:cs="Arial"/>
          <w:lang w:val="en-PH"/>
        </w:rPr>
        <w:t>)</w:t>
      </w:r>
      <w:bookmarkEnd w:id="4"/>
      <w:r>
        <w:rPr>
          <w:rFonts w:ascii="Arial" w:eastAsia="Tahoma" w:hAnsi="Arial" w:cs="Arial"/>
          <w:lang w:val="en-PH"/>
        </w:rPr>
        <w:t xml:space="preserve">. </w:t>
      </w:r>
    </w:p>
    <w:p w14:paraId="3570F50B" w14:textId="77777777" w:rsidR="006140D5" w:rsidRDefault="006140D5">
      <w:pPr>
        <w:spacing w:after="4"/>
        <w:ind w:right="8"/>
        <w:jc w:val="both"/>
        <w:rPr>
          <w:rFonts w:ascii="Arial" w:eastAsia="Tahoma" w:hAnsi="Arial" w:cs="Arial"/>
        </w:rPr>
      </w:pPr>
    </w:p>
    <w:p w14:paraId="497580E9" w14:textId="77777777" w:rsidR="006140D5" w:rsidRDefault="006140D5">
      <w:pPr>
        <w:spacing w:after="4"/>
        <w:ind w:right="8"/>
        <w:jc w:val="both"/>
        <w:rPr>
          <w:rFonts w:ascii="Arial" w:hAnsi="Arial" w:cs="Arial"/>
          <w:b/>
          <w:bCs/>
          <w:color w:val="000000"/>
          <w:lang w:eastAsia="en-PH" w:bidi="en-PH"/>
        </w:rPr>
      </w:pPr>
    </w:p>
    <w:p w14:paraId="3BDF4349" w14:textId="77777777" w:rsidR="006140D5" w:rsidRDefault="00E13F90">
      <w:pPr>
        <w:rPr>
          <w:rFonts w:ascii="Arial" w:hAnsi="Arial" w:cs="Arial"/>
          <w:color w:val="000000"/>
          <w:lang w:eastAsia="en-PH" w:bidi="en-PH"/>
        </w:rPr>
      </w:pPr>
      <w:r>
        <w:rPr>
          <w:rFonts w:ascii="Arial" w:hAnsi="Arial" w:cs="Arial"/>
          <w:color w:val="000000"/>
          <w:lang w:eastAsia="en-PH" w:bidi="en-PH"/>
        </w:rPr>
        <w:t>Table 4. Correlation Between the Indicators of Science Laboratory Availability and Dimensions of Laboratory Self-Efficacy</w:t>
      </w:r>
    </w:p>
    <w:tbl>
      <w:tblPr>
        <w:tblpPr w:leftFromText="180" w:rightFromText="180" w:vertAnchor="text" w:horzAnchor="margin" w:tblpY="53"/>
        <w:tblW w:w="4934" w:type="pct"/>
        <w:tblLayout w:type="fixed"/>
        <w:tblLook w:val="04A0" w:firstRow="1" w:lastRow="0" w:firstColumn="1" w:lastColumn="0" w:noHBand="0" w:noVBand="1"/>
      </w:tblPr>
      <w:tblGrid>
        <w:gridCol w:w="3385"/>
        <w:gridCol w:w="2240"/>
        <w:gridCol w:w="2475"/>
      </w:tblGrid>
      <w:tr w:rsidR="006140D5" w14:paraId="599E85E6" w14:textId="77777777">
        <w:trPr>
          <w:trHeight w:val="600"/>
        </w:trPr>
        <w:tc>
          <w:tcPr>
            <w:tcW w:w="2089" w:type="pct"/>
            <w:tcBorders>
              <w:top w:val="thinThickSmallGap" w:sz="24" w:space="0" w:color="auto"/>
              <w:bottom w:val="single" w:sz="4" w:space="0" w:color="auto"/>
            </w:tcBorders>
            <w:vAlign w:val="center"/>
          </w:tcPr>
          <w:p w14:paraId="7F251CC9" w14:textId="77777777" w:rsidR="006140D5" w:rsidRDefault="00E13F90">
            <w:pPr>
              <w:jc w:val="both"/>
              <w:rPr>
                <w:rFonts w:ascii="Arial" w:hAnsi="Arial" w:cs="Arial"/>
                <w:color w:val="000000"/>
                <w:lang w:eastAsia="en-PH"/>
              </w:rPr>
            </w:pPr>
            <w:r>
              <w:rPr>
                <w:rFonts w:ascii="Arial" w:hAnsi="Arial" w:cs="Arial"/>
                <w:color w:val="000000"/>
                <w:lang w:eastAsia="en-PH"/>
              </w:rPr>
              <w:t>Student Self-Efficacy Indicator</w:t>
            </w:r>
          </w:p>
        </w:tc>
        <w:tc>
          <w:tcPr>
            <w:tcW w:w="1382" w:type="pct"/>
            <w:tcBorders>
              <w:top w:val="thinThickSmallGap" w:sz="24" w:space="0" w:color="auto"/>
              <w:left w:val="nil"/>
              <w:bottom w:val="single" w:sz="4" w:space="0" w:color="auto"/>
            </w:tcBorders>
            <w:vAlign w:val="center"/>
          </w:tcPr>
          <w:p w14:paraId="4DCE3FFB" w14:textId="77777777" w:rsidR="006140D5" w:rsidRDefault="00E13F90">
            <w:pPr>
              <w:jc w:val="center"/>
              <w:rPr>
                <w:rFonts w:ascii="Arial" w:hAnsi="Arial" w:cs="Arial"/>
                <w:i/>
                <w:iCs/>
                <w:color w:val="000000"/>
                <w:lang w:eastAsia="en-PH"/>
              </w:rPr>
            </w:pPr>
            <w:r>
              <w:rPr>
                <w:rFonts w:ascii="Arial" w:hAnsi="Arial" w:cs="Arial"/>
                <w:color w:val="000000"/>
                <w:lang w:eastAsia="en-PH"/>
              </w:rPr>
              <w:t>Equipment Availability (</w:t>
            </w:r>
            <w:r>
              <w:rPr>
                <w:rFonts w:ascii="Arial" w:hAnsi="Arial" w:cs="Arial"/>
                <w:i/>
                <w:iCs/>
                <w:color w:val="000000"/>
                <w:lang w:eastAsia="en-PH"/>
              </w:rPr>
              <w:t>r)</w:t>
            </w:r>
          </w:p>
        </w:tc>
        <w:tc>
          <w:tcPr>
            <w:tcW w:w="1527" w:type="pct"/>
            <w:tcBorders>
              <w:top w:val="thinThickSmallGap" w:sz="24" w:space="0" w:color="auto"/>
              <w:left w:val="nil"/>
              <w:bottom w:val="single" w:sz="4" w:space="0" w:color="auto"/>
            </w:tcBorders>
            <w:vAlign w:val="center"/>
          </w:tcPr>
          <w:p w14:paraId="7C796ED9" w14:textId="77777777" w:rsidR="006140D5" w:rsidRDefault="00E13F90">
            <w:pPr>
              <w:jc w:val="center"/>
              <w:rPr>
                <w:rFonts w:ascii="Arial" w:hAnsi="Arial" w:cs="Arial"/>
                <w:color w:val="000000"/>
                <w:lang w:eastAsia="en-PH"/>
              </w:rPr>
            </w:pPr>
            <w:r>
              <w:rPr>
                <w:rFonts w:ascii="Arial" w:hAnsi="Arial" w:cs="Arial"/>
                <w:color w:val="000000"/>
                <w:lang w:eastAsia="en-PH"/>
              </w:rPr>
              <w:t>Facility Access (</w:t>
            </w:r>
            <w:r>
              <w:rPr>
                <w:rFonts w:ascii="Arial" w:hAnsi="Arial" w:cs="Arial"/>
                <w:i/>
                <w:iCs/>
                <w:color w:val="000000"/>
                <w:lang w:eastAsia="en-PH"/>
              </w:rPr>
              <w:t>r)</w:t>
            </w:r>
          </w:p>
        </w:tc>
      </w:tr>
      <w:tr w:rsidR="006140D5" w14:paraId="0CF15C8E" w14:textId="77777777">
        <w:trPr>
          <w:trHeight w:val="490"/>
        </w:trPr>
        <w:tc>
          <w:tcPr>
            <w:tcW w:w="2089" w:type="pct"/>
            <w:tcBorders>
              <w:top w:val="nil"/>
            </w:tcBorders>
            <w:vAlign w:val="center"/>
          </w:tcPr>
          <w:p w14:paraId="3183A731" w14:textId="77777777" w:rsidR="006140D5" w:rsidRDefault="00E13F90">
            <w:pPr>
              <w:tabs>
                <w:tab w:val="left" w:pos="0"/>
              </w:tabs>
              <w:jc w:val="both"/>
              <w:rPr>
                <w:rFonts w:ascii="Arial" w:hAnsi="Arial" w:cs="Arial"/>
                <w:lang w:eastAsia="en-PH"/>
              </w:rPr>
            </w:pPr>
            <w:r>
              <w:rPr>
                <w:rFonts w:ascii="Arial" w:hAnsi="Arial" w:cs="Arial"/>
                <w:lang w:eastAsia="en-PH"/>
              </w:rPr>
              <w:t>Conceptual Understanding</w:t>
            </w:r>
          </w:p>
        </w:tc>
        <w:tc>
          <w:tcPr>
            <w:tcW w:w="1382" w:type="pct"/>
            <w:tcBorders>
              <w:top w:val="nil"/>
              <w:left w:val="nil"/>
            </w:tcBorders>
            <w:noWrap/>
            <w:vAlign w:val="center"/>
          </w:tcPr>
          <w:p w14:paraId="22B1C617" w14:textId="77777777" w:rsidR="006140D5" w:rsidRDefault="00E13F90">
            <w:pPr>
              <w:jc w:val="center"/>
              <w:rPr>
                <w:rFonts w:ascii="Arial" w:hAnsi="Arial" w:cs="Arial"/>
                <w:color w:val="000000"/>
                <w:lang w:eastAsia="en-PH"/>
              </w:rPr>
            </w:pPr>
            <w:r>
              <w:rPr>
                <w:rFonts w:ascii="Arial" w:hAnsi="Arial" w:cs="Arial"/>
                <w:color w:val="000000"/>
                <w:lang w:eastAsia="en-PH"/>
              </w:rPr>
              <w:t>.23**</w:t>
            </w:r>
          </w:p>
        </w:tc>
        <w:tc>
          <w:tcPr>
            <w:tcW w:w="1527" w:type="pct"/>
            <w:tcBorders>
              <w:top w:val="nil"/>
              <w:left w:val="nil"/>
            </w:tcBorders>
            <w:noWrap/>
            <w:vAlign w:val="center"/>
          </w:tcPr>
          <w:p w14:paraId="1909182E" w14:textId="77777777" w:rsidR="006140D5" w:rsidRDefault="00E13F90">
            <w:pPr>
              <w:jc w:val="center"/>
              <w:rPr>
                <w:rFonts w:ascii="Arial" w:hAnsi="Arial" w:cs="Arial"/>
                <w:color w:val="000000"/>
                <w:lang w:eastAsia="en-PH"/>
              </w:rPr>
            </w:pPr>
            <w:r>
              <w:rPr>
                <w:rFonts w:ascii="Arial" w:hAnsi="Arial" w:cs="Arial"/>
                <w:color w:val="000000"/>
                <w:lang w:eastAsia="en-PH"/>
              </w:rPr>
              <w:t>.35**</w:t>
            </w:r>
          </w:p>
        </w:tc>
      </w:tr>
      <w:tr w:rsidR="006140D5" w14:paraId="6A3270E0" w14:textId="77777777">
        <w:trPr>
          <w:trHeight w:val="465"/>
        </w:trPr>
        <w:tc>
          <w:tcPr>
            <w:tcW w:w="2089" w:type="pct"/>
            <w:tcBorders>
              <w:top w:val="nil"/>
            </w:tcBorders>
            <w:vAlign w:val="center"/>
          </w:tcPr>
          <w:p w14:paraId="22785DC6" w14:textId="77777777" w:rsidR="006140D5" w:rsidRDefault="00E13F90">
            <w:pPr>
              <w:tabs>
                <w:tab w:val="left" w:pos="0"/>
              </w:tabs>
              <w:jc w:val="both"/>
              <w:rPr>
                <w:rFonts w:ascii="Arial" w:eastAsia="Tahoma" w:hAnsi="Arial" w:cs="Arial"/>
                <w:color w:val="000000"/>
                <w:lang w:val="en-PH"/>
              </w:rPr>
            </w:pPr>
            <w:r>
              <w:rPr>
                <w:rFonts w:ascii="Arial" w:eastAsia="Tahoma" w:hAnsi="Arial" w:cs="Arial"/>
                <w:color w:val="000000"/>
                <w:lang w:val="en-PH"/>
              </w:rPr>
              <w:t>Laboratory Hazards</w:t>
            </w:r>
          </w:p>
          <w:p w14:paraId="7EB23284" w14:textId="77777777" w:rsidR="006140D5" w:rsidRDefault="006140D5">
            <w:pPr>
              <w:jc w:val="both"/>
              <w:rPr>
                <w:rFonts w:ascii="Arial" w:eastAsia="Tahoma" w:hAnsi="Arial" w:cs="Arial"/>
                <w:color w:val="000000"/>
                <w:lang w:val="en-PH"/>
              </w:rPr>
            </w:pPr>
          </w:p>
        </w:tc>
        <w:tc>
          <w:tcPr>
            <w:tcW w:w="1382" w:type="pct"/>
            <w:tcBorders>
              <w:top w:val="nil"/>
              <w:left w:val="nil"/>
            </w:tcBorders>
            <w:noWrap/>
            <w:vAlign w:val="center"/>
          </w:tcPr>
          <w:p w14:paraId="1548FDFF" w14:textId="77777777" w:rsidR="006140D5" w:rsidRDefault="00E13F90">
            <w:pPr>
              <w:jc w:val="center"/>
              <w:rPr>
                <w:rFonts w:ascii="Arial" w:hAnsi="Arial" w:cs="Arial"/>
                <w:color w:val="000000"/>
                <w:lang w:eastAsia="en-PH"/>
              </w:rPr>
            </w:pPr>
            <w:r>
              <w:rPr>
                <w:rFonts w:ascii="Arial" w:hAnsi="Arial" w:cs="Arial"/>
                <w:color w:val="000000"/>
                <w:lang w:eastAsia="en-PH"/>
              </w:rPr>
              <w:t>.37**</w:t>
            </w:r>
          </w:p>
        </w:tc>
        <w:tc>
          <w:tcPr>
            <w:tcW w:w="1527" w:type="pct"/>
            <w:tcBorders>
              <w:top w:val="nil"/>
              <w:left w:val="nil"/>
            </w:tcBorders>
            <w:noWrap/>
            <w:vAlign w:val="center"/>
          </w:tcPr>
          <w:p w14:paraId="2C44E5D9" w14:textId="77777777" w:rsidR="006140D5" w:rsidRDefault="00E13F90">
            <w:pPr>
              <w:jc w:val="center"/>
              <w:rPr>
                <w:rFonts w:ascii="Arial" w:hAnsi="Arial" w:cs="Arial"/>
                <w:color w:val="000000"/>
                <w:lang w:eastAsia="en-PH"/>
              </w:rPr>
            </w:pPr>
            <w:r>
              <w:rPr>
                <w:rFonts w:ascii="Arial" w:hAnsi="Arial" w:cs="Arial"/>
                <w:color w:val="000000"/>
                <w:lang w:eastAsia="en-PH"/>
              </w:rPr>
              <w:t>.44**</w:t>
            </w:r>
          </w:p>
        </w:tc>
      </w:tr>
      <w:tr w:rsidR="006140D5" w14:paraId="72B00976" w14:textId="77777777">
        <w:trPr>
          <w:trHeight w:val="405"/>
        </w:trPr>
        <w:tc>
          <w:tcPr>
            <w:tcW w:w="2089" w:type="pct"/>
            <w:tcBorders>
              <w:top w:val="nil"/>
            </w:tcBorders>
            <w:vAlign w:val="center"/>
          </w:tcPr>
          <w:p w14:paraId="2C212050" w14:textId="77777777" w:rsidR="006140D5" w:rsidRDefault="00E13F90">
            <w:pPr>
              <w:tabs>
                <w:tab w:val="left" w:pos="0"/>
              </w:tabs>
              <w:jc w:val="both"/>
              <w:rPr>
                <w:rFonts w:ascii="Arial" w:hAnsi="Arial" w:cs="Arial"/>
                <w:color w:val="000000"/>
                <w:lang w:eastAsia="en-PH"/>
              </w:rPr>
            </w:pPr>
            <w:r>
              <w:rPr>
                <w:rFonts w:ascii="Arial" w:hAnsi="Arial" w:cs="Arial"/>
                <w:color w:val="000000"/>
                <w:lang w:eastAsia="en-PH"/>
              </w:rPr>
              <w:t>Procedural Complexity</w:t>
            </w:r>
          </w:p>
        </w:tc>
        <w:tc>
          <w:tcPr>
            <w:tcW w:w="1382" w:type="pct"/>
            <w:tcBorders>
              <w:top w:val="nil"/>
              <w:left w:val="nil"/>
            </w:tcBorders>
            <w:noWrap/>
            <w:vAlign w:val="center"/>
          </w:tcPr>
          <w:p w14:paraId="0DE155DD" w14:textId="77777777" w:rsidR="006140D5" w:rsidRDefault="00E13F90">
            <w:pPr>
              <w:jc w:val="center"/>
              <w:rPr>
                <w:rFonts w:ascii="Arial" w:hAnsi="Arial" w:cs="Arial"/>
                <w:color w:val="000000"/>
                <w:lang w:eastAsia="en-PH"/>
              </w:rPr>
            </w:pPr>
            <w:r>
              <w:rPr>
                <w:rFonts w:ascii="Arial" w:hAnsi="Arial" w:cs="Arial"/>
                <w:color w:val="000000"/>
                <w:lang w:eastAsia="en-PH"/>
              </w:rPr>
              <w:t>.22**</w:t>
            </w:r>
          </w:p>
        </w:tc>
        <w:tc>
          <w:tcPr>
            <w:tcW w:w="1527" w:type="pct"/>
            <w:tcBorders>
              <w:top w:val="nil"/>
              <w:left w:val="nil"/>
            </w:tcBorders>
            <w:noWrap/>
            <w:vAlign w:val="center"/>
          </w:tcPr>
          <w:p w14:paraId="18A7A6A0" w14:textId="77777777" w:rsidR="006140D5" w:rsidRDefault="00E13F90">
            <w:pPr>
              <w:jc w:val="center"/>
              <w:rPr>
                <w:rFonts w:ascii="Arial" w:hAnsi="Arial" w:cs="Arial"/>
                <w:color w:val="000000"/>
                <w:lang w:eastAsia="en-PH"/>
              </w:rPr>
            </w:pPr>
            <w:r>
              <w:rPr>
                <w:rFonts w:ascii="Arial" w:hAnsi="Arial" w:cs="Arial"/>
                <w:color w:val="000000"/>
                <w:lang w:eastAsia="en-PH"/>
              </w:rPr>
              <w:t>.42**</w:t>
            </w:r>
          </w:p>
        </w:tc>
      </w:tr>
      <w:tr w:rsidR="006140D5" w14:paraId="78FDBA93" w14:textId="77777777">
        <w:trPr>
          <w:trHeight w:val="420"/>
        </w:trPr>
        <w:tc>
          <w:tcPr>
            <w:tcW w:w="2089" w:type="pct"/>
            <w:tcBorders>
              <w:top w:val="nil"/>
              <w:bottom w:val="thickThinSmallGap" w:sz="24" w:space="0" w:color="auto"/>
            </w:tcBorders>
            <w:vAlign w:val="center"/>
          </w:tcPr>
          <w:p w14:paraId="6667DCB1" w14:textId="77777777" w:rsidR="006140D5" w:rsidRDefault="00E13F90">
            <w:pPr>
              <w:rPr>
                <w:rFonts w:ascii="Arial" w:eastAsia="Tahoma" w:hAnsi="Arial" w:cs="Arial"/>
                <w:color w:val="000000"/>
                <w:lang w:val="en-PH"/>
              </w:rPr>
            </w:pPr>
            <w:r>
              <w:rPr>
                <w:rFonts w:ascii="Arial" w:eastAsia="Tahoma" w:hAnsi="Arial" w:cs="Arial"/>
                <w:color w:val="000000"/>
                <w:lang w:val="en-PH"/>
              </w:rPr>
              <w:t>Sufficiency of Resources</w:t>
            </w:r>
          </w:p>
        </w:tc>
        <w:tc>
          <w:tcPr>
            <w:tcW w:w="1382" w:type="pct"/>
            <w:tcBorders>
              <w:top w:val="nil"/>
              <w:left w:val="nil"/>
              <w:bottom w:val="thickThinSmallGap" w:sz="24" w:space="0" w:color="auto"/>
            </w:tcBorders>
            <w:noWrap/>
            <w:vAlign w:val="center"/>
          </w:tcPr>
          <w:p w14:paraId="398A50A3" w14:textId="77777777" w:rsidR="006140D5" w:rsidRDefault="00E13F90">
            <w:pPr>
              <w:jc w:val="center"/>
              <w:rPr>
                <w:rFonts w:ascii="Arial" w:hAnsi="Arial" w:cs="Arial"/>
                <w:color w:val="000000"/>
                <w:lang w:eastAsia="en-PH"/>
              </w:rPr>
            </w:pPr>
            <w:r>
              <w:rPr>
                <w:rFonts w:ascii="Arial" w:hAnsi="Arial" w:cs="Arial"/>
                <w:color w:val="000000"/>
                <w:lang w:eastAsia="en-PH"/>
              </w:rPr>
              <w:t>.44**</w:t>
            </w:r>
          </w:p>
        </w:tc>
        <w:tc>
          <w:tcPr>
            <w:tcW w:w="1527" w:type="pct"/>
            <w:tcBorders>
              <w:top w:val="nil"/>
              <w:left w:val="nil"/>
              <w:bottom w:val="thickThinSmallGap" w:sz="24" w:space="0" w:color="auto"/>
            </w:tcBorders>
            <w:noWrap/>
            <w:vAlign w:val="center"/>
          </w:tcPr>
          <w:p w14:paraId="0A444AFE" w14:textId="77777777" w:rsidR="006140D5" w:rsidRDefault="00E13F90">
            <w:pPr>
              <w:jc w:val="center"/>
              <w:rPr>
                <w:rFonts w:ascii="Arial" w:hAnsi="Arial" w:cs="Arial"/>
                <w:color w:val="000000"/>
                <w:lang w:val="en-PH" w:eastAsia="en-PH"/>
              </w:rPr>
            </w:pPr>
            <w:r>
              <w:rPr>
                <w:rFonts w:ascii="Arial" w:hAnsi="Arial" w:cs="Arial"/>
                <w:color w:val="000000"/>
                <w:lang w:val="en-PH" w:eastAsia="en-PH"/>
              </w:rPr>
              <w:t>.59**</w:t>
            </w:r>
          </w:p>
        </w:tc>
      </w:tr>
    </w:tbl>
    <w:p w14:paraId="38EBA478" w14:textId="77777777" w:rsidR="006140D5" w:rsidRDefault="00E13F90">
      <w:r>
        <w:t xml:space="preserve">Note. </w:t>
      </w:r>
      <w:r>
        <w:rPr>
          <w:i/>
          <w:iCs/>
        </w:rPr>
        <w:t>r</w:t>
      </w:r>
      <w:r>
        <w:t xml:space="preserve"> = correlation coefficient; </w:t>
      </w:r>
      <w:proofErr w:type="spellStart"/>
      <w:r>
        <w:rPr>
          <w:i/>
          <w:iCs/>
        </w:rPr>
        <w:t>df</w:t>
      </w:r>
      <w:proofErr w:type="spellEnd"/>
      <w:r>
        <w:t xml:space="preserve"> = 208; </w:t>
      </w:r>
      <w:r>
        <w:rPr>
          <w:i/>
          <w:iCs/>
        </w:rPr>
        <w:t>p</w:t>
      </w:r>
      <w:r>
        <w:t xml:space="preserve"> &lt; .01 (2-tailed); N = 210.</w:t>
      </w:r>
    </w:p>
    <w:p w14:paraId="43116E3A" w14:textId="77777777" w:rsidR="006140D5" w:rsidRDefault="006140D5"/>
    <w:p w14:paraId="0EBE90B9" w14:textId="77777777" w:rsidR="006140D5" w:rsidRDefault="006140D5">
      <w:pPr>
        <w:rPr>
          <w:rFonts w:ascii="Arial" w:hAnsi="Arial" w:cs="Arial"/>
        </w:rPr>
      </w:pPr>
    </w:p>
    <w:p w14:paraId="3FC2C107" w14:textId="77777777" w:rsidR="006140D5" w:rsidRDefault="00E13F90">
      <w:pPr>
        <w:ind w:firstLine="720"/>
        <w:jc w:val="both"/>
        <w:rPr>
          <w:rFonts w:ascii="Arial" w:hAnsi="Arial"/>
        </w:rPr>
      </w:pPr>
      <w:r>
        <w:rPr>
          <w:rFonts w:ascii="Arial" w:hAnsi="Arial"/>
          <w:lang w:val="en-PH"/>
        </w:rPr>
        <w:t>As shown in Table 5, t</w:t>
      </w:r>
      <w:r>
        <w:rPr>
          <w:rFonts w:ascii="Arial" w:hAnsi="Arial"/>
        </w:rPr>
        <w:t xml:space="preserve">he computed </w:t>
      </w:r>
      <w:r>
        <w:rPr>
          <w:rFonts w:ascii="Arial" w:hAnsi="Arial"/>
          <w:i/>
          <w:iCs/>
        </w:rPr>
        <w:t>r</w:t>
      </w:r>
      <w:r>
        <w:rPr>
          <w:rFonts w:ascii="Arial" w:hAnsi="Arial"/>
        </w:rPr>
        <w:t xml:space="preserve"> (208) = .51, </w:t>
      </w:r>
      <w:r>
        <w:rPr>
          <w:rFonts w:ascii="Arial" w:hAnsi="Arial"/>
          <w:i/>
          <w:iCs/>
        </w:rPr>
        <w:t>p</w:t>
      </w:r>
      <w:r>
        <w:rPr>
          <w:rFonts w:ascii="Arial" w:hAnsi="Arial"/>
        </w:rPr>
        <w:t xml:space="preserve"> &lt; .01, indicates a moderate positive correlation between Science Laboratory Availability and Laboratory Self-Efficacy among SHS STEM strand students. This result suggested that as the availability of science laboratories increases, students’ confidence in performing laboratory tasks also improves. A recent study by Musana and </w:t>
      </w:r>
      <w:proofErr w:type="spellStart"/>
      <w:r>
        <w:rPr>
          <w:rFonts w:ascii="Arial" w:hAnsi="Arial"/>
        </w:rPr>
        <w:t>Mugiraneza</w:t>
      </w:r>
      <w:proofErr w:type="spellEnd"/>
      <w:r>
        <w:rPr>
          <w:rFonts w:ascii="Arial" w:hAnsi="Arial"/>
        </w:rPr>
        <w:t xml:space="preserve"> (2024) reported that students have higher motivation during </w:t>
      </w:r>
      <w:proofErr w:type="spellStart"/>
      <w:r>
        <w:rPr>
          <w:rFonts w:ascii="Arial" w:hAnsi="Arial"/>
        </w:rPr>
        <w:t>practicals</w:t>
      </w:r>
      <w:proofErr w:type="spellEnd"/>
      <w:r>
        <w:rPr>
          <w:rFonts w:ascii="Arial" w:hAnsi="Arial"/>
        </w:rPr>
        <w:t xml:space="preserve"> in well-equipped labs and hands-on laboratory experiences, whether physical or virtual, lead to more positive attitudes toward science (</w:t>
      </w:r>
      <w:proofErr w:type="spellStart"/>
      <w:r>
        <w:rPr>
          <w:rFonts w:ascii="Arial" w:hAnsi="Arial"/>
        </w:rPr>
        <w:t>Kapici</w:t>
      </w:r>
      <w:proofErr w:type="spellEnd"/>
      <w:r>
        <w:rPr>
          <w:rFonts w:ascii="Arial" w:hAnsi="Arial"/>
        </w:rPr>
        <w:t xml:space="preserve"> et al., 2020). </w:t>
      </w:r>
    </w:p>
    <w:p w14:paraId="2D740FBF" w14:textId="77777777" w:rsidR="006140D5" w:rsidRDefault="00E13F90">
      <w:pPr>
        <w:ind w:firstLine="720"/>
        <w:jc w:val="both"/>
        <w:rPr>
          <w:rFonts w:ascii="Arial" w:hAnsi="Arial"/>
        </w:rPr>
      </w:pPr>
      <w:r>
        <w:rPr>
          <w:rFonts w:ascii="Arial" w:hAnsi="Arial"/>
        </w:rPr>
        <w:t xml:space="preserve">This finding supported Bandura’s (1977) theory of enactive mastery experience as cited in </w:t>
      </w:r>
      <w:proofErr w:type="spellStart"/>
      <w:r>
        <w:rPr>
          <w:rFonts w:ascii="Arial" w:hAnsi="Arial"/>
        </w:rPr>
        <w:t>Donkoh</w:t>
      </w:r>
      <w:proofErr w:type="spellEnd"/>
      <w:r>
        <w:rPr>
          <w:rFonts w:ascii="Arial" w:hAnsi="Arial"/>
        </w:rPr>
        <w:t xml:space="preserve"> (2023), which explains that self-efficacy develops through direct experiences of success and an individual's belief in their capability to achieve desired outcomes. Similarly, </w:t>
      </w:r>
      <w:r>
        <w:rPr>
          <w:rFonts w:ascii="Arial" w:hAnsi="Arial"/>
        </w:rPr>
        <w:lastRenderedPageBreak/>
        <w:t xml:space="preserve">this concept is also relevant in understanding how skillful engagement with instruments and interfaces can augment perceptual capacity, forming a basis for participatory realism in scientific observation (Froese, 2022). Enactive learning, in general, is contrasted with vicarious learning, with the former being crucial when the latter becomes a necessity (Legg, 2023). </w:t>
      </w:r>
    </w:p>
    <w:p w14:paraId="588CE2EF" w14:textId="77777777" w:rsidR="006140D5" w:rsidRDefault="00E13F90">
      <w:pPr>
        <w:ind w:firstLine="720"/>
        <w:jc w:val="both"/>
        <w:rPr>
          <w:rFonts w:ascii="Arial" w:hAnsi="Arial"/>
        </w:rPr>
      </w:pPr>
      <w:r>
        <w:rPr>
          <w:rFonts w:ascii="Arial" w:hAnsi="Arial"/>
        </w:rPr>
        <w:t xml:space="preserve">Watching peers successfully use equipment can enhance self-efficacy. This is supported by social cognitive theory, where modeling and vicarious experiences through observation of peer models can foster students' efficacy (Johnson &amp; Burns, 2023). The study of </w:t>
      </w:r>
      <w:proofErr w:type="spellStart"/>
      <w:r>
        <w:rPr>
          <w:rFonts w:ascii="Arial" w:hAnsi="Arial"/>
        </w:rPr>
        <w:t>Kandamby</w:t>
      </w:r>
      <w:proofErr w:type="spellEnd"/>
      <w:r>
        <w:rPr>
          <w:rFonts w:ascii="Arial" w:hAnsi="Arial"/>
        </w:rPr>
        <w:t xml:space="preserve"> (2019) emphasized that laboratory </w:t>
      </w:r>
      <w:proofErr w:type="spellStart"/>
      <w:r>
        <w:rPr>
          <w:rFonts w:ascii="Arial" w:hAnsi="Arial"/>
        </w:rPr>
        <w:t>practicals</w:t>
      </w:r>
      <w:proofErr w:type="spellEnd"/>
      <w:r>
        <w:rPr>
          <w:rFonts w:ascii="Arial" w:hAnsi="Arial"/>
        </w:rPr>
        <w:t xml:space="preserve"> are effective in enhancing students’ understanding of observable tasks such as identifying apparatus and following procedures. This finding suggested that incorporating vicarious learning, where students learn through observing peers and reflecting on demonstrated tasks, can strengthen the link between theory and practice in laboratory work.</w:t>
      </w:r>
    </w:p>
    <w:p w14:paraId="2FEACEC8" w14:textId="77777777" w:rsidR="006140D5" w:rsidRDefault="00E13F90">
      <w:pPr>
        <w:ind w:firstLine="720"/>
        <w:jc w:val="both"/>
        <w:rPr>
          <w:rFonts w:ascii="Arial" w:hAnsi="Arial"/>
        </w:rPr>
      </w:pPr>
      <w:r>
        <w:rPr>
          <w:rFonts w:ascii="Arial" w:hAnsi="Arial"/>
        </w:rPr>
        <w:t>The study by Beck and Blumer (2021) revealed that students’ self-efficacy in science significantly improved when they perceived instructional practices in guided-inquiry laboratory courses as engaging and supportive. This highlighted that adequate and well-equipped laboratory facilities, combined with opportunities for vicarious learning—where students observe and reflect on peers’ investigative processes—can further enhance students’ confidence and scientific competence by fostering meaningful participation and observation in laboratory activities. Hence, it can be inferred that the physical presence and accessibility of science laboratories are vital in cultivating students’ sense of scientific competence, which translates to improved performance and persistence in laboratory-based learning.</w:t>
      </w:r>
    </w:p>
    <w:p w14:paraId="5E0B8DF8" w14:textId="77777777" w:rsidR="006140D5" w:rsidRDefault="006140D5">
      <w:pPr>
        <w:rPr>
          <w:rFonts w:ascii="Arial" w:hAnsi="Arial" w:cs="Arial"/>
        </w:rPr>
      </w:pPr>
    </w:p>
    <w:p w14:paraId="7C524F96" w14:textId="77777777" w:rsidR="006140D5" w:rsidRDefault="006140D5">
      <w:pPr>
        <w:rPr>
          <w:rFonts w:ascii="Arial" w:hAnsi="Arial" w:cs="Arial"/>
        </w:rPr>
      </w:pPr>
    </w:p>
    <w:p w14:paraId="7CC42E4A" w14:textId="77777777" w:rsidR="006140D5" w:rsidRDefault="00E13F90">
      <w:pPr>
        <w:rPr>
          <w:rFonts w:ascii="Arial" w:hAnsi="Arial" w:cs="Arial"/>
          <w:lang w:val="en-PH"/>
        </w:rPr>
      </w:pPr>
      <w:r>
        <w:rPr>
          <w:rFonts w:ascii="Arial" w:hAnsi="Arial" w:cs="Arial"/>
        </w:rPr>
        <w:t>Table 5:</w:t>
      </w:r>
      <w:r>
        <w:rPr>
          <w:rFonts w:ascii="Arial" w:hAnsi="Arial" w:cs="Arial"/>
          <w:lang w:val="en-PH"/>
        </w:rPr>
        <w:t xml:space="preserve"> </w:t>
      </w:r>
      <w:r>
        <w:rPr>
          <w:rFonts w:ascii="Arial" w:hAnsi="Arial" w:cs="Arial"/>
        </w:rPr>
        <w:t>Relationship between Science Laboratory Availability and Laboratory Self-Efficacy</w:t>
      </w:r>
      <w:r>
        <w:rPr>
          <w:rFonts w:ascii="Arial" w:hAnsi="Arial" w:cs="Arial"/>
          <w:lang w:val="en-PH"/>
        </w:rPr>
        <w:t xml:space="preserve"> among SHS STEM Strand Students</w:t>
      </w:r>
    </w:p>
    <w:tbl>
      <w:tblPr>
        <w:tblpPr w:leftFromText="180" w:rightFromText="180" w:vertAnchor="text" w:horzAnchor="margin" w:tblpY="53"/>
        <w:tblW w:w="4934" w:type="pct"/>
        <w:tblLayout w:type="fixed"/>
        <w:tblLook w:val="04A0" w:firstRow="1" w:lastRow="0" w:firstColumn="1" w:lastColumn="0" w:noHBand="0" w:noVBand="1"/>
      </w:tblPr>
      <w:tblGrid>
        <w:gridCol w:w="3544"/>
        <w:gridCol w:w="930"/>
        <w:gridCol w:w="1408"/>
        <w:gridCol w:w="2218"/>
      </w:tblGrid>
      <w:tr w:rsidR="006140D5" w14:paraId="7EA4399D" w14:textId="77777777">
        <w:trPr>
          <w:trHeight w:val="600"/>
        </w:trPr>
        <w:tc>
          <w:tcPr>
            <w:tcW w:w="2187" w:type="pct"/>
            <w:tcBorders>
              <w:top w:val="thinThickSmallGap" w:sz="24" w:space="0" w:color="auto"/>
              <w:bottom w:val="single" w:sz="4" w:space="0" w:color="auto"/>
            </w:tcBorders>
            <w:vAlign w:val="center"/>
          </w:tcPr>
          <w:p w14:paraId="0D30D661" w14:textId="77777777" w:rsidR="006140D5" w:rsidRDefault="00E13F90">
            <w:pPr>
              <w:jc w:val="both"/>
              <w:rPr>
                <w:rFonts w:ascii="Arial" w:hAnsi="Arial" w:cs="Arial"/>
                <w:color w:val="000000"/>
                <w:lang w:eastAsia="en-PH"/>
              </w:rPr>
            </w:pPr>
            <w:r>
              <w:rPr>
                <w:rFonts w:ascii="Arial" w:hAnsi="Arial" w:cs="Arial"/>
                <w:color w:val="000000"/>
                <w:lang w:eastAsia="en-PH"/>
              </w:rPr>
              <w:t>Variables</w:t>
            </w:r>
          </w:p>
        </w:tc>
        <w:tc>
          <w:tcPr>
            <w:tcW w:w="574" w:type="pct"/>
            <w:tcBorders>
              <w:top w:val="thinThickSmallGap" w:sz="24" w:space="0" w:color="auto"/>
              <w:left w:val="nil"/>
              <w:bottom w:val="single" w:sz="4" w:space="0" w:color="auto"/>
            </w:tcBorders>
            <w:vAlign w:val="center"/>
          </w:tcPr>
          <w:p w14:paraId="259D06B4" w14:textId="77777777" w:rsidR="006140D5" w:rsidRDefault="00E13F90">
            <w:pPr>
              <w:jc w:val="center"/>
              <w:rPr>
                <w:rFonts w:ascii="Arial" w:hAnsi="Arial" w:cs="Arial"/>
                <w:i/>
                <w:iCs/>
                <w:color w:val="000000"/>
                <w:lang w:eastAsia="en-PH"/>
              </w:rPr>
            </w:pPr>
            <w:r>
              <w:rPr>
                <w:rFonts w:ascii="Arial" w:hAnsi="Arial" w:cs="Arial"/>
                <w:i/>
                <w:iCs/>
                <w:color w:val="000000"/>
                <w:lang w:eastAsia="en-PH"/>
              </w:rPr>
              <w:t>r</w:t>
            </w:r>
          </w:p>
        </w:tc>
        <w:tc>
          <w:tcPr>
            <w:tcW w:w="869" w:type="pct"/>
            <w:tcBorders>
              <w:top w:val="thinThickSmallGap" w:sz="24" w:space="0" w:color="auto"/>
              <w:left w:val="nil"/>
              <w:bottom w:val="single" w:sz="4" w:space="0" w:color="auto"/>
            </w:tcBorders>
            <w:vAlign w:val="center"/>
          </w:tcPr>
          <w:p w14:paraId="1416FB77" w14:textId="77777777" w:rsidR="006140D5" w:rsidRDefault="00E13F90">
            <w:pPr>
              <w:jc w:val="center"/>
              <w:rPr>
                <w:rFonts w:ascii="Arial" w:hAnsi="Arial" w:cs="Arial"/>
                <w:color w:val="000000"/>
                <w:lang w:eastAsia="en-PH"/>
              </w:rPr>
            </w:pPr>
            <w:r>
              <w:rPr>
                <w:rFonts w:ascii="Arial" w:hAnsi="Arial" w:cs="Arial"/>
                <w:i/>
                <w:iCs/>
                <w:color w:val="000000"/>
                <w:lang w:eastAsia="en-PH"/>
              </w:rPr>
              <w:t>p</w:t>
            </w:r>
            <w:r>
              <w:rPr>
                <w:rFonts w:ascii="Arial" w:hAnsi="Arial" w:cs="Arial"/>
                <w:color w:val="000000"/>
                <w:lang w:eastAsia="en-PH"/>
              </w:rPr>
              <w:t xml:space="preserve"> -value</w:t>
            </w:r>
          </w:p>
        </w:tc>
        <w:tc>
          <w:tcPr>
            <w:tcW w:w="1368" w:type="pct"/>
            <w:tcBorders>
              <w:top w:val="thinThickSmallGap" w:sz="24" w:space="0" w:color="auto"/>
              <w:left w:val="nil"/>
              <w:bottom w:val="single" w:sz="4" w:space="0" w:color="auto"/>
            </w:tcBorders>
            <w:vAlign w:val="center"/>
          </w:tcPr>
          <w:p w14:paraId="50B9B010" w14:textId="77777777" w:rsidR="006140D5" w:rsidRDefault="00E13F90">
            <w:pPr>
              <w:jc w:val="center"/>
              <w:rPr>
                <w:rFonts w:ascii="Arial" w:hAnsi="Arial" w:cs="Arial"/>
                <w:color w:val="000000"/>
                <w:lang w:eastAsia="en-PH"/>
              </w:rPr>
            </w:pPr>
            <w:r>
              <w:rPr>
                <w:rFonts w:ascii="Arial" w:hAnsi="Arial" w:cs="Arial"/>
                <w:color w:val="000000"/>
                <w:lang w:eastAsia="en-PH"/>
              </w:rPr>
              <w:t>Interpretation</w:t>
            </w:r>
          </w:p>
        </w:tc>
      </w:tr>
      <w:tr w:rsidR="006140D5" w14:paraId="07903344" w14:textId="77777777">
        <w:trPr>
          <w:trHeight w:val="600"/>
        </w:trPr>
        <w:tc>
          <w:tcPr>
            <w:tcW w:w="2187" w:type="pct"/>
            <w:tcBorders>
              <w:top w:val="nil"/>
              <w:bottom w:val="thickThinSmallGap" w:sz="24" w:space="0" w:color="auto"/>
            </w:tcBorders>
            <w:vAlign w:val="center"/>
          </w:tcPr>
          <w:p w14:paraId="7D433A23" w14:textId="77777777" w:rsidR="006140D5" w:rsidRDefault="00E13F90">
            <w:pPr>
              <w:tabs>
                <w:tab w:val="left" w:pos="0"/>
              </w:tabs>
              <w:jc w:val="both"/>
              <w:rPr>
                <w:rFonts w:ascii="Arial" w:hAnsi="Arial" w:cs="Arial"/>
                <w:lang w:eastAsia="en-PH"/>
              </w:rPr>
            </w:pPr>
            <w:r>
              <w:rPr>
                <w:rFonts w:ascii="Arial" w:hAnsi="Arial"/>
                <w:lang w:eastAsia="en-PH"/>
              </w:rPr>
              <w:t>Science Laboratory Availability vs. Laboratory Self-Efficacy</w:t>
            </w:r>
          </w:p>
        </w:tc>
        <w:tc>
          <w:tcPr>
            <w:tcW w:w="574" w:type="pct"/>
            <w:tcBorders>
              <w:top w:val="nil"/>
              <w:left w:val="nil"/>
              <w:bottom w:val="thickThinSmallGap" w:sz="24" w:space="0" w:color="auto"/>
            </w:tcBorders>
            <w:noWrap/>
            <w:vAlign w:val="center"/>
          </w:tcPr>
          <w:p w14:paraId="171A4588" w14:textId="77777777" w:rsidR="006140D5" w:rsidRDefault="00E13F90">
            <w:pPr>
              <w:jc w:val="center"/>
              <w:rPr>
                <w:rFonts w:ascii="Arial" w:hAnsi="Arial" w:cs="Arial"/>
                <w:color w:val="000000"/>
                <w:lang w:eastAsia="en-PH"/>
              </w:rPr>
            </w:pPr>
            <w:r>
              <w:rPr>
                <w:rFonts w:ascii="Arial" w:hAnsi="Arial" w:cs="Arial"/>
                <w:color w:val="000000"/>
                <w:lang w:eastAsia="en-PH"/>
              </w:rPr>
              <w:t>.51</w:t>
            </w:r>
          </w:p>
        </w:tc>
        <w:tc>
          <w:tcPr>
            <w:tcW w:w="869" w:type="pct"/>
            <w:tcBorders>
              <w:top w:val="nil"/>
              <w:left w:val="nil"/>
              <w:bottom w:val="thickThinSmallGap" w:sz="24" w:space="0" w:color="auto"/>
            </w:tcBorders>
            <w:noWrap/>
            <w:vAlign w:val="center"/>
          </w:tcPr>
          <w:p w14:paraId="65EA2CC6" w14:textId="77777777" w:rsidR="006140D5" w:rsidRDefault="00E13F90">
            <w:pPr>
              <w:jc w:val="center"/>
              <w:rPr>
                <w:rFonts w:ascii="Arial" w:hAnsi="Arial" w:cs="Arial"/>
                <w:color w:val="000000"/>
                <w:lang w:eastAsia="en-PH"/>
              </w:rPr>
            </w:pPr>
            <w:r>
              <w:rPr>
                <w:rFonts w:ascii="Arial" w:hAnsi="Arial" w:cs="Arial"/>
                <w:color w:val="000000"/>
                <w:lang w:eastAsia="en-PH"/>
              </w:rPr>
              <w:t>.000</w:t>
            </w:r>
          </w:p>
        </w:tc>
        <w:tc>
          <w:tcPr>
            <w:tcW w:w="1368" w:type="pct"/>
            <w:tcBorders>
              <w:top w:val="nil"/>
              <w:left w:val="nil"/>
              <w:bottom w:val="thickThinSmallGap" w:sz="24" w:space="0" w:color="auto"/>
            </w:tcBorders>
            <w:noWrap/>
            <w:vAlign w:val="center"/>
          </w:tcPr>
          <w:p w14:paraId="63C494E0" w14:textId="77777777" w:rsidR="006140D5" w:rsidRDefault="00E13F90">
            <w:pPr>
              <w:jc w:val="center"/>
              <w:rPr>
                <w:rFonts w:ascii="Arial" w:hAnsi="Arial" w:cs="Arial"/>
                <w:color w:val="000000"/>
                <w:lang w:eastAsia="en-PH"/>
              </w:rPr>
            </w:pPr>
            <w:r>
              <w:rPr>
                <w:rFonts w:ascii="Arial" w:hAnsi="Arial" w:cs="Arial"/>
                <w:color w:val="000000"/>
                <w:lang w:eastAsia="en-PH"/>
              </w:rPr>
              <w:t>Significant</w:t>
            </w:r>
          </w:p>
        </w:tc>
      </w:tr>
    </w:tbl>
    <w:p w14:paraId="420B5BAB" w14:textId="77777777" w:rsidR="006140D5" w:rsidRDefault="00E13F90">
      <w:pPr>
        <w:rPr>
          <w:rFonts w:ascii="Arial" w:hAnsi="Arial" w:cs="Arial"/>
        </w:rPr>
      </w:pPr>
      <w:r>
        <w:rPr>
          <w:rFonts w:ascii="Arial" w:hAnsi="Arial" w:cs="Arial"/>
        </w:rPr>
        <w:t>Note.</w:t>
      </w:r>
      <w:r>
        <w:rPr>
          <w:rFonts w:ascii="Arial" w:hAnsi="Arial" w:cs="Arial"/>
          <w:i/>
          <w:iCs/>
        </w:rPr>
        <w:t xml:space="preserve"> r </w:t>
      </w:r>
      <w:r>
        <w:rPr>
          <w:rFonts w:ascii="Arial" w:hAnsi="Arial" w:cs="Arial"/>
        </w:rPr>
        <w:t xml:space="preserve">= correlation coefficient; </w:t>
      </w:r>
      <w:proofErr w:type="spellStart"/>
      <w:r>
        <w:rPr>
          <w:rFonts w:ascii="Arial" w:hAnsi="Arial" w:cs="Arial"/>
          <w:i/>
          <w:iCs/>
        </w:rPr>
        <w:t>df</w:t>
      </w:r>
      <w:proofErr w:type="spellEnd"/>
      <w:r>
        <w:rPr>
          <w:rFonts w:ascii="Arial" w:hAnsi="Arial" w:cs="Arial"/>
          <w:i/>
          <w:iCs/>
        </w:rPr>
        <w:t xml:space="preserve"> </w:t>
      </w:r>
      <w:r>
        <w:rPr>
          <w:rFonts w:ascii="Arial" w:hAnsi="Arial" w:cs="Arial"/>
        </w:rPr>
        <w:t xml:space="preserve">= 208; </w:t>
      </w:r>
      <w:r>
        <w:rPr>
          <w:rFonts w:ascii="Arial" w:hAnsi="Arial" w:cs="Arial"/>
          <w:i/>
          <w:iCs/>
        </w:rPr>
        <w:t>p</w:t>
      </w:r>
      <w:r>
        <w:rPr>
          <w:rFonts w:ascii="Arial" w:hAnsi="Arial" w:cs="Arial"/>
        </w:rPr>
        <w:t xml:space="preserve"> &lt; .01 (2-tailed); N = 210.</w:t>
      </w:r>
    </w:p>
    <w:p w14:paraId="48C89027" w14:textId="77777777" w:rsidR="006140D5" w:rsidRDefault="006140D5">
      <w:pPr>
        <w:rPr>
          <w:rFonts w:ascii="Arial" w:hAnsi="Arial" w:cs="Arial"/>
        </w:rPr>
      </w:pPr>
    </w:p>
    <w:p w14:paraId="514F0A9F" w14:textId="77777777" w:rsidR="006140D5" w:rsidRDefault="006140D5">
      <w:pPr>
        <w:rPr>
          <w:b/>
          <w:bCs/>
        </w:rPr>
      </w:pPr>
    </w:p>
    <w:p w14:paraId="60576986" w14:textId="77777777" w:rsidR="006140D5" w:rsidRDefault="00E13F90">
      <w:pPr>
        <w:jc w:val="both"/>
        <w:rPr>
          <w:rFonts w:ascii="Arial" w:hAnsi="Arial" w:cs="Arial"/>
          <w:b/>
          <w:bCs/>
        </w:rPr>
      </w:pPr>
      <w:r>
        <w:rPr>
          <w:rFonts w:ascii="Arial" w:hAnsi="Arial" w:cs="Arial"/>
          <w:b/>
          <w:bCs/>
        </w:rPr>
        <w:t>4.5 Influence of Science Laboratory Availability on the Laboratory Self-efficacy of Senior High School STEM Strand Students</w:t>
      </w:r>
    </w:p>
    <w:p w14:paraId="14782BE0" w14:textId="77777777" w:rsidR="006140D5" w:rsidRDefault="006140D5">
      <w:pPr>
        <w:rPr>
          <w:b/>
          <w:bCs/>
        </w:rPr>
      </w:pPr>
    </w:p>
    <w:p w14:paraId="6137DCF5" w14:textId="77777777" w:rsidR="006140D5" w:rsidRDefault="00E13F90">
      <w:pPr>
        <w:jc w:val="both"/>
        <w:rPr>
          <w:rFonts w:ascii="Arial" w:hAnsi="Arial" w:cs="Arial"/>
        </w:rPr>
      </w:pPr>
      <w:r>
        <w:tab/>
      </w:r>
      <w:r>
        <w:rPr>
          <w:rFonts w:ascii="Arial" w:hAnsi="Arial" w:cs="Arial"/>
        </w:rPr>
        <w:t xml:space="preserve">The results of the simple linear regression analysis (Table 6) examined whether Science Laboratory Availability significantly predicted Laboratory Self-Efficacy among Senior High School STEM strand students in Mariano Peralta National High School and </w:t>
      </w:r>
      <w:proofErr w:type="spellStart"/>
      <w:r>
        <w:rPr>
          <w:rFonts w:ascii="Arial" w:hAnsi="Arial" w:cs="Arial"/>
        </w:rPr>
        <w:t>Heracleo</w:t>
      </w:r>
      <w:proofErr w:type="spellEnd"/>
      <w:r>
        <w:rPr>
          <w:rFonts w:ascii="Arial" w:hAnsi="Arial" w:cs="Arial"/>
        </w:rPr>
        <w:t xml:space="preserve"> Casco Memorial National High School.</w:t>
      </w:r>
    </w:p>
    <w:p w14:paraId="37247FC4" w14:textId="77777777" w:rsidR="006140D5" w:rsidRDefault="00E13F90">
      <w:pPr>
        <w:jc w:val="both"/>
        <w:rPr>
          <w:rFonts w:ascii="Arial" w:hAnsi="Arial" w:cs="Arial"/>
        </w:rPr>
      </w:pPr>
      <w:r>
        <w:rPr>
          <w:rFonts w:ascii="Arial" w:hAnsi="Arial" w:cs="Arial"/>
        </w:rPr>
        <w:tab/>
        <w:t xml:space="preserve">Table </w:t>
      </w:r>
      <w:r>
        <w:rPr>
          <w:rFonts w:ascii="Arial" w:hAnsi="Arial" w:cs="Arial"/>
          <w:lang w:val="en-PH"/>
        </w:rPr>
        <w:t>6</w:t>
      </w:r>
      <w:r>
        <w:rPr>
          <w:rFonts w:ascii="Arial" w:hAnsi="Arial" w:cs="Arial"/>
        </w:rPr>
        <w:t xml:space="preserve"> presented the regression analysis conducted to determine whether science laboratory availability significantly predicts the laboratory self-efficacy of senior high school STEM students. The result showed a multiple correlation coefficient (</w:t>
      </w:r>
      <w:r>
        <w:rPr>
          <w:rFonts w:ascii="Arial" w:hAnsi="Arial" w:cs="Arial"/>
          <w:i/>
          <w:iCs/>
        </w:rPr>
        <w:t>R</w:t>
      </w:r>
      <w:r>
        <w:rPr>
          <w:rFonts w:ascii="Arial" w:hAnsi="Arial" w:cs="Arial"/>
        </w:rPr>
        <w:t>) of .51, indicating a moderate positive relationship between science laboratory availability and laboratory self-efficacy. The coefficient of determination (</w:t>
      </w:r>
      <w:r>
        <w:rPr>
          <w:rFonts w:ascii="Arial" w:hAnsi="Arial" w:cs="Arial"/>
          <w:i/>
          <w:iCs/>
        </w:rPr>
        <w:t>R²</w:t>
      </w:r>
      <w:r>
        <w:rPr>
          <w:rFonts w:ascii="Arial" w:hAnsi="Arial" w:cs="Arial"/>
        </w:rPr>
        <w:t xml:space="preserve"> = .26) reveals that 26% of the variance in students’ laboratory self-efficacy can be explained by the availability of science laboratory facilities.</w:t>
      </w:r>
    </w:p>
    <w:p w14:paraId="0E46571A" w14:textId="77777777" w:rsidR="006140D5" w:rsidRDefault="00E13F90">
      <w:pPr>
        <w:ind w:firstLine="720"/>
        <w:jc w:val="both"/>
        <w:rPr>
          <w:rFonts w:ascii="Arial" w:hAnsi="Arial" w:cs="Arial"/>
        </w:rPr>
      </w:pPr>
      <w:r>
        <w:rPr>
          <w:rFonts w:ascii="Arial" w:hAnsi="Arial" w:cs="Arial"/>
        </w:rPr>
        <w:t xml:space="preserve">Furthermore, the computed </w:t>
      </w:r>
      <w:r>
        <w:rPr>
          <w:rFonts w:ascii="Arial" w:hAnsi="Arial" w:cs="Arial"/>
          <w:i/>
          <w:iCs/>
        </w:rPr>
        <w:t>F</w:t>
      </w:r>
      <w:r>
        <w:rPr>
          <w:rFonts w:ascii="Arial" w:hAnsi="Arial" w:cs="Arial"/>
        </w:rPr>
        <w:t xml:space="preserve">-value of 49.31 with a significance level of </w:t>
      </w:r>
      <w:r>
        <w:rPr>
          <w:rFonts w:ascii="Arial" w:hAnsi="Arial" w:cs="Arial"/>
          <w:i/>
          <w:iCs/>
        </w:rPr>
        <w:t>p</w:t>
      </w:r>
      <w:r>
        <w:rPr>
          <w:rFonts w:ascii="Arial" w:hAnsi="Arial" w:cs="Arial"/>
        </w:rPr>
        <w:t xml:space="preserve"> &lt; .001 indicate</w:t>
      </w:r>
      <w:r>
        <w:rPr>
          <w:rFonts w:ascii="Arial" w:hAnsi="Arial" w:cs="Arial"/>
          <w:lang w:val="en-PH"/>
        </w:rPr>
        <w:t>d</w:t>
      </w:r>
      <w:r>
        <w:rPr>
          <w:rFonts w:ascii="Arial" w:hAnsi="Arial" w:cs="Arial"/>
        </w:rPr>
        <w:t xml:space="preserve"> that the regression model </w:t>
      </w:r>
      <w:r>
        <w:rPr>
          <w:rFonts w:ascii="Arial" w:hAnsi="Arial" w:cs="Arial"/>
          <w:lang w:val="en-PH"/>
        </w:rPr>
        <w:t>was</w:t>
      </w:r>
      <w:r>
        <w:rPr>
          <w:rFonts w:ascii="Arial" w:hAnsi="Arial" w:cs="Arial"/>
        </w:rPr>
        <w:t xml:space="preserve"> statistically significant. This mean</w:t>
      </w:r>
      <w:r>
        <w:rPr>
          <w:rFonts w:ascii="Arial" w:hAnsi="Arial" w:cs="Arial"/>
          <w:lang w:val="en-PH"/>
        </w:rPr>
        <w:t>t</w:t>
      </w:r>
      <w:r>
        <w:rPr>
          <w:rFonts w:ascii="Arial" w:hAnsi="Arial" w:cs="Arial"/>
        </w:rPr>
        <w:t xml:space="preserve"> that science laboratory availability </w:t>
      </w:r>
      <w:r>
        <w:rPr>
          <w:rFonts w:ascii="Arial" w:hAnsi="Arial" w:cs="Arial"/>
          <w:lang w:val="en-PH"/>
        </w:rPr>
        <w:t>was</w:t>
      </w:r>
      <w:r>
        <w:rPr>
          <w:rFonts w:ascii="Arial" w:hAnsi="Arial" w:cs="Arial"/>
        </w:rPr>
        <w:t xml:space="preserve"> a significant predictor of laboratory self-efficacy among STEM students. The standardized beta coefficient (</w:t>
      </w:r>
      <w:r>
        <w:rPr>
          <w:rFonts w:ascii="Arial" w:hAnsi="Arial" w:cs="Arial"/>
          <w:i/>
          <w:iCs/>
        </w:rPr>
        <w:t>β</w:t>
      </w:r>
      <w:r>
        <w:rPr>
          <w:rFonts w:ascii="Arial" w:hAnsi="Arial" w:cs="Arial"/>
        </w:rPr>
        <w:t xml:space="preserve"> = .51) suggested that for every one-unit </w:t>
      </w:r>
      <w:r>
        <w:rPr>
          <w:rFonts w:ascii="Arial" w:hAnsi="Arial" w:cs="Arial"/>
        </w:rPr>
        <w:lastRenderedPageBreak/>
        <w:t>increase in science laboratory availability, laboratory self-efficacy also increases by 0.51 standard deviations.</w:t>
      </w:r>
    </w:p>
    <w:p w14:paraId="3B882C34" w14:textId="77777777" w:rsidR="006140D5" w:rsidRDefault="00E13F90">
      <w:pPr>
        <w:ind w:firstLine="720"/>
        <w:jc w:val="both"/>
        <w:rPr>
          <w:rFonts w:ascii="Arial" w:hAnsi="Arial" w:cs="Arial"/>
        </w:rPr>
      </w:pPr>
      <w:r>
        <w:rPr>
          <w:rFonts w:ascii="Arial" w:hAnsi="Arial" w:cs="Arial"/>
        </w:rPr>
        <w:t xml:space="preserve">These findings implied that students who have access to complete and well-equipped laboratory facilities are more likely to develop confidence in performing laboratory tasks and experiments. The result supported the notion that a conducive laboratory environment enhances students’ sense of competence and mastery in scientific inquiry. Similarly, </w:t>
      </w:r>
      <w:proofErr w:type="spellStart"/>
      <w:r>
        <w:rPr>
          <w:rFonts w:ascii="Arial" w:hAnsi="Arial" w:cs="Arial"/>
        </w:rPr>
        <w:t>prelaboratory</w:t>
      </w:r>
      <w:proofErr w:type="spellEnd"/>
      <w:r>
        <w:rPr>
          <w:rFonts w:ascii="Arial" w:hAnsi="Arial" w:cs="Arial"/>
        </w:rPr>
        <w:t xml:space="preserve"> tasks, such as simulations, can also positively impact students' learning experiences, reduce anxiety, and increase excitement for laboratory sessions (George-Williams et al., 2022). </w:t>
      </w:r>
    </w:p>
    <w:p w14:paraId="7214A3B9" w14:textId="77777777" w:rsidR="006140D5" w:rsidRDefault="00E13F90">
      <w:pPr>
        <w:ind w:firstLine="720"/>
        <w:jc w:val="both"/>
        <w:rPr>
          <w:rFonts w:ascii="Arial" w:hAnsi="Arial" w:cs="Arial"/>
        </w:rPr>
      </w:pPr>
      <w:r>
        <w:rPr>
          <w:rFonts w:ascii="Arial" w:hAnsi="Arial" w:cs="Arial"/>
        </w:rPr>
        <w:t xml:space="preserve">A study by Mistry and Gorman (2020) showed that students often possess confidence in basic practical techniques but lack confidence in higher-order skills like experimental design at the university level. In the study by </w:t>
      </w:r>
      <w:proofErr w:type="spellStart"/>
      <w:r>
        <w:rPr>
          <w:rFonts w:ascii="Arial" w:hAnsi="Arial" w:cs="Arial"/>
        </w:rPr>
        <w:t>Smagulova</w:t>
      </w:r>
      <w:proofErr w:type="spellEnd"/>
      <w:r>
        <w:rPr>
          <w:rFonts w:ascii="Arial" w:hAnsi="Arial" w:cs="Arial"/>
        </w:rPr>
        <w:t xml:space="preserve"> and </w:t>
      </w:r>
      <w:proofErr w:type="spellStart"/>
      <w:r>
        <w:rPr>
          <w:rFonts w:ascii="Arial" w:hAnsi="Arial" w:cs="Arial"/>
        </w:rPr>
        <w:t>Kalieva</w:t>
      </w:r>
      <w:proofErr w:type="spellEnd"/>
      <w:r>
        <w:rPr>
          <w:rFonts w:ascii="Arial" w:hAnsi="Arial" w:cs="Arial"/>
        </w:rPr>
        <w:t xml:space="preserve"> (2025), they showed that universities are establishing specialized facilities and implementing STEM-focused initiatives to integrate STEM approaches into education and training. </w:t>
      </w:r>
    </w:p>
    <w:p w14:paraId="1CD9F26F" w14:textId="77777777" w:rsidR="006140D5" w:rsidRDefault="00E13F90">
      <w:pPr>
        <w:ind w:firstLine="720"/>
        <w:jc w:val="both"/>
        <w:rPr>
          <w:rFonts w:ascii="Arial" w:hAnsi="Arial" w:cs="Arial"/>
        </w:rPr>
      </w:pPr>
      <w:r>
        <w:rPr>
          <w:rFonts w:ascii="Arial" w:hAnsi="Arial" w:cs="Arial"/>
        </w:rPr>
        <w:t>Hence, enhancing the accessibility, adequacy, and quality of science laboratory facilities can meaningfully strengthen students’ belief in their ability to perform scientific experiments effectively and safely. This not only develops their confidence in laboratory work but also improves their preparedness for higher-level STEM learning and research.</w:t>
      </w:r>
    </w:p>
    <w:p w14:paraId="70365A79" w14:textId="77777777" w:rsidR="006140D5" w:rsidRDefault="006140D5">
      <w:pPr>
        <w:jc w:val="both"/>
        <w:rPr>
          <w:rFonts w:ascii="Arial" w:hAnsi="Arial" w:cs="Arial"/>
        </w:rPr>
      </w:pPr>
    </w:p>
    <w:p w14:paraId="7039BF1A" w14:textId="77777777" w:rsidR="006140D5" w:rsidRDefault="00E13F90">
      <w:pPr>
        <w:jc w:val="both"/>
        <w:rPr>
          <w:rFonts w:ascii="Arial" w:hAnsi="Arial" w:cs="Arial"/>
          <w:lang w:val="en-PH"/>
        </w:rPr>
      </w:pPr>
      <w:r>
        <w:rPr>
          <w:rFonts w:ascii="Arial" w:hAnsi="Arial" w:cs="Arial"/>
        </w:rPr>
        <w:t>Table 6</w:t>
      </w:r>
      <w:r>
        <w:rPr>
          <w:rFonts w:ascii="Arial" w:hAnsi="Arial" w:cs="Arial"/>
          <w:b/>
          <w:bCs/>
        </w:rPr>
        <w:t>:</w:t>
      </w:r>
      <w:r>
        <w:rPr>
          <w:rFonts w:ascii="Arial" w:hAnsi="Arial" w:cs="Arial"/>
        </w:rPr>
        <w:t xml:space="preserve"> Regression Analysis on Science Laboratory Availability as a Predictor of Laboratory Self-Efficacy</w:t>
      </w:r>
      <w:r>
        <w:rPr>
          <w:rFonts w:ascii="Arial" w:hAnsi="Arial" w:cs="Arial"/>
          <w:lang w:val="en-PH"/>
        </w:rPr>
        <w:t xml:space="preserve"> </w:t>
      </w:r>
    </w:p>
    <w:tbl>
      <w:tblPr>
        <w:tblpPr w:leftFromText="180" w:rightFromText="180" w:vertAnchor="text" w:horzAnchor="margin" w:tblpY="53"/>
        <w:tblW w:w="4906" w:type="pct"/>
        <w:tblLayout w:type="fixed"/>
        <w:tblLook w:val="04A0" w:firstRow="1" w:lastRow="0" w:firstColumn="1" w:lastColumn="0" w:noHBand="0" w:noVBand="1"/>
      </w:tblPr>
      <w:tblGrid>
        <w:gridCol w:w="1640"/>
        <w:gridCol w:w="1156"/>
        <w:gridCol w:w="1157"/>
        <w:gridCol w:w="1421"/>
        <w:gridCol w:w="1158"/>
        <w:gridCol w:w="1522"/>
      </w:tblGrid>
      <w:tr w:rsidR="006140D5" w14:paraId="6DA306F5" w14:textId="77777777">
        <w:trPr>
          <w:trHeight w:val="600"/>
        </w:trPr>
        <w:tc>
          <w:tcPr>
            <w:tcW w:w="1018" w:type="pct"/>
            <w:tcBorders>
              <w:top w:val="thinThickSmallGap" w:sz="24" w:space="0" w:color="auto"/>
              <w:bottom w:val="single" w:sz="4" w:space="0" w:color="auto"/>
            </w:tcBorders>
            <w:vAlign w:val="center"/>
          </w:tcPr>
          <w:p w14:paraId="72653F0E" w14:textId="77777777" w:rsidR="006140D5" w:rsidRDefault="00E13F90">
            <w:pPr>
              <w:jc w:val="both"/>
              <w:rPr>
                <w:rFonts w:ascii="Arial" w:hAnsi="Arial" w:cs="Arial"/>
                <w:color w:val="000000"/>
                <w:lang w:eastAsia="en-PH"/>
              </w:rPr>
            </w:pPr>
            <w:r>
              <w:rPr>
                <w:rFonts w:ascii="Arial" w:hAnsi="Arial" w:cs="Arial"/>
                <w:color w:val="000000"/>
                <w:lang w:eastAsia="en-PH"/>
              </w:rPr>
              <w:t>Model</w:t>
            </w:r>
          </w:p>
        </w:tc>
        <w:tc>
          <w:tcPr>
            <w:tcW w:w="717" w:type="pct"/>
            <w:tcBorders>
              <w:top w:val="thinThickSmallGap" w:sz="24" w:space="0" w:color="auto"/>
              <w:left w:val="nil"/>
              <w:bottom w:val="single" w:sz="4" w:space="0" w:color="auto"/>
            </w:tcBorders>
            <w:vAlign w:val="center"/>
          </w:tcPr>
          <w:p w14:paraId="3130EA9B" w14:textId="77777777" w:rsidR="006140D5" w:rsidRDefault="00E13F90">
            <w:pPr>
              <w:jc w:val="center"/>
              <w:rPr>
                <w:rFonts w:ascii="Arial" w:hAnsi="Arial" w:cs="Arial"/>
                <w:i/>
                <w:iCs/>
                <w:color w:val="000000"/>
                <w:lang w:eastAsia="en-PH"/>
              </w:rPr>
            </w:pPr>
            <w:r>
              <w:rPr>
                <w:rFonts w:ascii="Arial" w:hAnsi="Arial" w:cs="Arial"/>
                <w:i/>
                <w:iCs/>
                <w:color w:val="000000"/>
                <w:lang w:eastAsia="en-PH"/>
              </w:rPr>
              <w:t>R</w:t>
            </w:r>
          </w:p>
        </w:tc>
        <w:tc>
          <w:tcPr>
            <w:tcW w:w="718" w:type="pct"/>
            <w:tcBorders>
              <w:top w:val="thinThickSmallGap" w:sz="24" w:space="0" w:color="auto"/>
              <w:left w:val="nil"/>
              <w:bottom w:val="single" w:sz="4" w:space="0" w:color="auto"/>
            </w:tcBorders>
            <w:vAlign w:val="center"/>
          </w:tcPr>
          <w:p w14:paraId="3CA51327" w14:textId="77777777" w:rsidR="006140D5" w:rsidRDefault="00E13F90">
            <w:pPr>
              <w:jc w:val="center"/>
              <w:rPr>
                <w:rFonts w:ascii="Arial" w:hAnsi="Arial" w:cs="Arial"/>
                <w:color w:val="000000"/>
                <w:vertAlign w:val="superscript"/>
                <w:lang w:eastAsia="en-PH"/>
              </w:rPr>
            </w:pPr>
            <w:r>
              <w:rPr>
                <w:rFonts w:ascii="Arial" w:hAnsi="Arial" w:cs="Arial"/>
                <w:i/>
                <w:iCs/>
                <w:color w:val="000000"/>
                <w:lang w:eastAsia="en-PH"/>
              </w:rPr>
              <w:t>R</w:t>
            </w:r>
            <w:r>
              <w:rPr>
                <w:rFonts w:ascii="Arial" w:hAnsi="Arial" w:cs="Arial"/>
                <w:i/>
                <w:iCs/>
                <w:color w:val="000000"/>
                <w:vertAlign w:val="superscript"/>
                <w:lang w:eastAsia="en-PH"/>
              </w:rPr>
              <w:t>2</w:t>
            </w:r>
          </w:p>
        </w:tc>
        <w:tc>
          <w:tcPr>
            <w:tcW w:w="881" w:type="pct"/>
            <w:tcBorders>
              <w:top w:val="thinThickSmallGap" w:sz="24" w:space="0" w:color="auto"/>
              <w:left w:val="nil"/>
              <w:bottom w:val="single" w:sz="4" w:space="0" w:color="auto"/>
            </w:tcBorders>
            <w:vAlign w:val="center"/>
          </w:tcPr>
          <w:p w14:paraId="23DC86A7" w14:textId="77777777" w:rsidR="006140D5" w:rsidRDefault="00E13F90">
            <w:pPr>
              <w:jc w:val="center"/>
              <w:rPr>
                <w:rFonts w:ascii="Arial" w:hAnsi="Arial" w:cs="Arial"/>
                <w:color w:val="000000"/>
                <w:lang w:eastAsia="en-PH"/>
              </w:rPr>
            </w:pPr>
            <w:r>
              <w:rPr>
                <w:rFonts w:ascii="Arial" w:hAnsi="Arial" w:cs="Arial"/>
                <w:i/>
                <w:iCs/>
                <w:color w:val="000000"/>
                <w:lang w:eastAsia="en-PH"/>
              </w:rPr>
              <w:t>F</w:t>
            </w:r>
            <w:r>
              <w:rPr>
                <w:rFonts w:ascii="Arial" w:hAnsi="Arial" w:cs="Arial"/>
                <w:color w:val="000000"/>
                <w:lang w:eastAsia="en-PH"/>
              </w:rPr>
              <w:t xml:space="preserve"> (1,208)</w:t>
            </w:r>
          </w:p>
        </w:tc>
        <w:tc>
          <w:tcPr>
            <w:tcW w:w="718" w:type="pct"/>
            <w:tcBorders>
              <w:top w:val="thinThickSmallGap" w:sz="24" w:space="0" w:color="auto"/>
              <w:left w:val="nil"/>
              <w:bottom w:val="single" w:sz="4" w:space="0" w:color="auto"/>
            </w:tcBorders>
            <w:vAlign w:val="center"/>
          </w:tcPr>
          <w:p w14:paraId="5E267315" w14:textId="77777777" w:rsidR="006140D5" w:rsidRDefault="00E13F90">
            <w:pPr>
              <w:jc w:val="center"/>
              <w:rPr>
                <w:rFonts w:ascii="Arial" w:hAnsi="Arial" w:cs="Arial"/>
                <w:color w:val="000000"/>
                <w:lang w:eastAsia="en-PH"/>
              </w:rPr>
            </w:pPr>
            <w:r>
              <w:rPr>
                <w:rFonts w:ascii="Arial" w:hAnsi="Arial" w:cs="Arial"/>
                <w:i/>
                <w:iCs/>
                <w:color w:val="000000"/>
                <w:lang w:eastAsia="en-PH"/>
              </w:rPr>
              <w:t>β</w:t>
            </w:r>
          </w:p>
        </w:tc>
        <w:tc>
          <w:tcPr>
            <w:tcW w:w="944" w:type="pct"/>
            <w:tcBorders>
              <w:top w:val="thinThickSmallGap" w:sz="24" w:space="0" w:color="auto"/>
              <w:left w:val="nil"/>
              <w:bottom w:val="single" w:sz="4" w:space="0" w:color="auto"/>
            </w:tcBorders>
            <w:vAlign w:val="center"/>
          </w:tcPr>
          <w:p w14:paraId="0419D23C" w14:textId="77777777" w:rsidR="006140D5" w:rsidRDefault="00E13F90">
            <w:pPr>
              <w:jc w:val="center"/>
              <w:rPr>
                <w:rFonts w:ascii="Arial" w:hAnsi="Arial" w:cs="Arial"/>
                <w:color w:val="000000"/>
                <w:lang w:eastAsia="en-PH"/>
              </w:rPr>
            </w:pPr>
            <w:r>
              <w:rPr>
                <w:rFonts w:ascii="Arial" w:hAnsi="Arial" w:cs="Arial"/>
                <w:i/>
                <w:iCs/>
                <w:color w:val="000000"/>
                <w:lang w:eastAsia="en-PH"/>
              </w:rPr>
              <w:t>p</w:t>
            </w:r>
            <w:r>
              <w:rPr>
                <w:rFonts w:ascii="Arial" w:hAnsi="Arial" w:cs="Arial"/>
                <w:color w:val="000000"/>
                <w:lang w:eastAsia="en-PH"/>
              </w:rPr>
              <w:t xml:space="preserve"> -value</w:t>
            </w:r>
          </w:p>
        </w:tc>
      </w:tr>
      <w:tr w:rsidR="006140D5" w14:paraId="4B3349F7" w14:textId="77777777">
        <w:trPr>
          <w:trHeight w:val="754"/>
        </w:trPr>
        <w:tc>
          <w:tcPr>
            <w:tcW w:w="1018" w:type="pct"/>
            <w:tcBorders>
              <w:top w:val="nil"/>
              <w:bottom w:val="thickThinSmallGap" w:sz="24" w:space="0" w:color="auto"/>
            </w:tcBorders>
            <w:vAlign w:val="center"/>
          </w:tcPr>
          <w:p w14:paraId="224EE9EE" w14:textId="77777777" w:rsidR="006140D5" w:rsidRDefault="00E13F90">
            <w:pPr>
              <w:tabs>
                <w:tab w:val="left" w:pos="0"/>
              </w:tabs>
              <w:jc w:val="both"/>
              <w:rPr>
                <w:rFonts w:ascii="Arial" w:hAnsi="Arial" w:cs="Arial"/>
                <w:lang w:eastAsia="en-PH"/>
              </w:rPr>
            </w:pPr>
            <w:r>
              <w:rPr>
                <w:rFonts w:ascii="Arial" w:hAnsi="Arial" w:cs="Arial"/>
                <w:lang w:eastAsia="en-PH"/>
              </w:rPr>
              <w:t>Regression</w:t>
            </w:r>
          </w:p>
        </w:tc>
        <w:tc>
          <w:tcPr>
            <w:tcW w:w="717" w:type="pct"/>
            <w:tcBorders>
              <w:top w:val="nil"/>
              <w:left w:val="nil"/>
              <w:bottom w:val="thickThinSmallGap" w:sz="24" w:space="0" w:color="auto"/>
            </w:tcBorders>
            <w:noWrap/>
            <w:vAlign w:val="center"/>
          </w:tcPr>
          <w:p w14:paraId="48710BEE" w14:textId="77777777" w:rsidR="006140D5" w:rsidRDefault="00E13F90">
            <w:pPr>
              <w:jc w:val="center"/>
              <w:rPr>
                <w:rFonts w:ascii="Arial" w:hAnsi="Arial" w:cs="Arial"/>
                <w:color w:val="000000"/>
                <w:lang w:eastAsia="en-PH"/>
              </w:rPr>
            </w:pPr>
            <w:r>
              <w:rPr>
                <w:rFonts w:ascii="Arial" w:hAnsi="Arial" w:cs="Arial"/>
                <w:color w:val="000000"/>
                <w:lang w:eastAsia="en-PH"/>
              </w:rPr>
              <w:t>.51</w:t>
            </w:r>
          </w:p>
        </w:tc>
        <w:tc>
          <w:tcPr>
            <w:tcW w:w="718" w:type="pct"/>
            <w:tcBorders>
              <w:top w:val="nil"/>
              <w:left w:val="nil"/>
              <w:bottom w:val="thickThinSmallGap" w:sz="24" w:space="0" w:color="auto"/>
            </w:tcBorders>
            <w:noWrap/>
            <w:vAlign w:val="center"/>
          </w:tcPr>
          <w:p w14:paraId="33E37357" w14:textId="77777777" w:rsidR="006140D5" w:rsidRDefault="00E13F90">
            <w:pPr>
              <w:jc w:val="center"/>
              <w:rPr>
                <w:rFonts w:ascii="Arial" w:hAnsi="Arial" w:cs="Arial"/>
                <w:color w:val="000000"/>
                <w:lang w:eastAsia="en-PH"/>
              </w:rPr>
            </w:pPr>
            <w:r>
              <w:rPr>
                <w:rFonts w:ascii="Arial" w:hAnsi="Arial" w:cs="Arial"/>
                <w:color w:val="000000"/>
                <w:lang w:eastAsia="en-PH"/>
              </w:rPr>
              <w:t>.26</w:t>
            </w:r>
          </w:p>
        </w:tc>
        <w:tc>
          <w:tcPr>
            <w:tcW w:w="881" w:type="pct"/>
            <w:tcBorders>
              <w:top w:val="nil"/>
              <w:left w:val="nil"/>
              <w:bottom w:val="thickThinSmallGap" w:sz="24" w:space="0" w:color="auto"/>
            </w:tcBorders>
            <w:noWrap/>
            <w:vAlign w:val="center"/>
          </w:tcPr>
          <w:p w14:paraId="37CCAE31" w14:textId="77777777" w:rsidR="006140D5" w:rsidRDefault="00E13F90">
            <w:pPr>
              <w:jc w:val="center"/>
              <w:rPr>
                <w:rFonts w:ascii="Arial" w:hAnsi="Arial" w:cs="Arial"/>
                <w:color w:val="000000"/>
                <w:lang w:eastAsia="en-PH"/>
              </w:rPr>
            </w:pPr>
            <w:r>
              <w:rPr>
                <w:rFonts w:ascii="Arial" w:hAnsi="Arial" w:cs="Arial"/>
                <w:color w:val="000000"/>
                <w:lang w:eastAsia="en-PH"/>
              </w:rPr>
              <w:t>49.31</w:t>
            </w:r>
          </w:p>
        </w:tc>
        <w:tc>
          <w:tcPr>
            <w:tcW w:w="718" w:type="pct"/>
            <w:tcBorders>
              <w:top w:val="nil"/>
              <w:left w:val="nil"/>
              <w:bottom w:val="thickThinSmallGap" w:sz="24" w:space="0" w:color="auto"/>
            </w:tcBorders>
            <w:noWrap/>
            <w:vAlign w:val="center"/>
          </w:tcPr>
          <w:p w14:paraId="4243629F" w14:textId="77777777" w:rsidR="006140D5" w:rsidRDefault="00E13F90">
            <w:pPr>
              <w:jc w:val="center"/>
              <w:rPr>
                <w:rFonts w:ascii="Arial" w:hAnsi="Arial" w:cs="Arial"/>
                <w:color w:val="000000"/>
                <w:lang w:eastAsia="en-PH"/>
              </w:rPr>
            </w:pPr>
            <w:r>
              <w:rPr>
                <w:rFonts w:ascii="Arial" w:hAnsi="Arial" w:cs="Arial"/>
                <w:color w:val="000000"/>
                <w:lang w:eastAsia="en-PH"/>
              </w:rPr>
              <w:t>.51</w:t>
            </w:r>
          </w:p>
        </w:tc>
        <w:tc>
          <w:tcPr>
            <w:tcW w:w="944" w:type="pct"/>
            <w:tcBorders>
              <w:top w:val="nil"/>
              <w:left w:val="nil"/>
              <w:bottom w:val="thickThinSmallGap" w:sz="24" w:space="0" w:color="auto"/>
            </w:tcBorders>
            <w:noWrap/>
            <w:vAlign w:val="center"/>
          </w:tcPr>
          <w:p w14:paraId="2E2B38EB" w14:textId="77777777" w:rsidR="006140D5" w:rsidRDefault="00E13F90">
            <w:pPr>
              <w:jc w:val="center"/>
              <w:rPr>
                <w:rFonts w:ascii="Arial" w:hAnsi="Arial" w:cs="Arial"/>
                <w:color w:val="000000"/>
                <w:lang w:eastAsia="en-PH"/>
              </w:rPr>
            </w:pPr>
            <w:r>
              <w:rPr>
                <w:rFonts w:ascii="Arial" w:hAnsi="Arial" w:cs="Arial"/>
                <w:color w:val="000000"/>
                <w:lang w:eastAsia="en-PH"/>
              </w:rPr>
              <w:t>.000</w:t>
            </w:r>
          </w:p>
        </w:tc>
      </w:tr>
    </w:tbl>
    <w:p w14:paraId="09A96439" w14:textId="77777777" w:rsidR="006140D5" w:rsidRDefault="00E13F90">
      <w:pPr>
        <w:pStyle w:val="AbstHead"/>
        <w:spacing w:after="0"/>
        <w:jc w:val="both"/>
        <w:rPr>
          <w:rFonts w:ascii="Arial" w:hAnsi="Arial" w:cs="Arial"/>
          <w:b w:val="0"/>
          <w:bCs/>
          <w:lang w:val="en-PH"/>
        </w:rPr>
      </w:pPr>
      <w:r>
        <w:rPr>
          <w:noProof/>
        </w:rPr>
        <mc:AlternateContent>
          <mc:Choice Requires="wps">
            <w:drawing>
              <wp:anchor distT="0" distB="0" distL="114300" distR="114300" simplePos="0" relativeHeight="251660288" behindDoc="0" locked="0" layoutInCell="1" allowOverlap="1" wp14:anchorId="1B705889" wp14:editId="400130EC">
                <wp:simplePos x="0" y="0"/>
                <wp:positionH relativeFrom="column">
                  <wp:posOffset>-33020</wp:posOffset>
                </wp:positionH>
                <wp:positionV relativeFrom="paragraph">
                  <wp:posOffset>1058545</wp:posOffset>
                </wp:positionV>
                <wp:extent cx="5095875" cy="561340"/>
                <wp:effectExtent l="4445" t="4445" r="5080" b="5715"/>
                <wp:wrapNone/>
                <wp:docPr id="2" name="Text Box 2"/>
                <wp:cNvGraphicFramePr/>
                <a:graphic xmlns:a="http://schemas.openxmlformats.org/drawingml/2006/main">
                  <a:graphicData uri="http://schemas.microsoft.com/office/word/2010/wordprocessingShape">
                    <wps:wsp>
                      <wps:cNvSpPr txBox="1"/>
                      <wps:spPr>
                        <a:xfrm>
                          <a:off x="1247140" y="6938010"/>
                          <a:ext cx="5095875" cy="56134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BD67EFC" w14:textId="77777777" w:rsidR="006140D5" w:rsidRDefault="00E13F90">
                            <w:pPr>
                              <w:jc w:val="both"/>
                              <w:rPr>
                                <w:rFonts w:ascii="Arial" w:hAnsi="Arial" w:cs="Arial"/>
                              </w:rPr>
                            </w:pPr>
                            <w:r>
                              <w:rPr>
                                <w:rFonts w:ascii="Arial" w:hAnsi="Arial" w:cs="Arial"/>
                              </w:rPr>
                              <w:t xml:space="preserve">Note. </w:t>
                            </w:r>
                            <w:r>
                              <w:rPr>
                                <w:rFonts w:ascii="Arial" w:hAnsi="Arial" w:cs="Arial"/>
                                <w:i/>
                                <w:iCs/>
                              </w:rPr>
                              <w:t xml:space="preserve">R </w:t>
                            </w:r>
                            <w:r>
                              <w:rPr>
                                <w:rFonts w:ascii="Arial" w:hAnsi="Arial" w:cs="Arial"/>
                              </w:rPr>
                              <w:t xml:space="preserve">= multiple correlation coefficient; </w:t>
                            </w:r>
                            <w:r>
                              <w:rPr>
                                <w:rFonts w:ascii="Arial" w:hAnsi="Arial" w:cs="Arial"/>
                                <w:i/>
                                <w:iCs/>
                              </w:rPr>
                              <w:t>R²</w:t>
                            </w:r>
                            <w:r>
                              <w:rPr>
                                <w:rFonts w:ascii="Arial" w:hAnsi="Arial" w:cs="Arial"/>
                              </w:rPr>
                              <w:t xml:space="preserve"> = coefficient of determination; </w:t>
                            </w:r>
                            <w:r>
                              <w:rPr>
                                <w:rFonts w:ascii="Arial" w:hAnsi="Arial" w:cs="Arial"/>
                                <w:i/>
                                <w:iCs/>
                              </w:rPr>
                              <w:t>β</w:t>
                            </w:r>
                            <w:r>
                              <w:rPr>
                                <w:rFonts w:ascii="Arial" w:hAnsi="Arial" w:cs="Arial"/>
                              </w:rPr>
                              <w:t xml:space="preserve"> = standardized beta coefficient; </w:t>
                            </w:r>
                            <w:r>
                              <w:rPr>
                                <w:rFonts w:ascii="Arial" w:hAnsi="Arial" w:cs="Arial"/>
                                <w:i/>
                                <w:iCs/>
                              </w:rPr>
                              <w:t>F</w:t>
                            </w:r>
                            <w:r>
                              <w:rPr>
                                <w:rFonts w:ascii="Arial" w:hAnsi="Arial" w:cs="Arial"/>
                              </w:rPr>
                              <w:t xml:space="preserve"> (1,208) = 49.31;</w:t>
                            </w:r>
                            <w:r>
                              <w:rPr>
                                <w:rFonts w:ascii="Arial" w:hAnsi="Arial" w:cs="Arial"/>
                                <w:i/>
                                <w:iCs/>
                              </w:rPr>
                              <w:t xml:space="preserve"> </w:t>
                            </w:r>
                            <w:proofErr w:type="spellStart"/>
                            <w:r>
                              <w:rPr>
                                <w:rFonts w:ascii="Arial" w:hAnsi="Arial" w:cs="Arial"/>
                                <w:i/>
                                <w:iCs/>
                              </w:rPr>
                              <w:t>df</w:t>
                            </w:r>
                            <w:proofErr w:type="spellEnd"/>
                            <w:r>
                              <w:rPr>
                                <w:rFonts w:ascii="Arial" w:hAnsi="Arial" w:cs="Arial"/>
                              </w:rPr>
                              <w:t xml:space="preserve"> = 208; </w:t>
                            </w:r>
                            <w:r>
                              <w:rPr>
                                <w:rFonts w:ascii="Arial" w:hAnsi="Arial" w:cs="Arial"/>
                                <w:i/>
                                <w:iCs/>
                              </w:rPr>
                              <w:t>p</w:t>
                            </w:r>
                            <w:r>
                              <w:rPr>
                                <w:rFonts w:ascii="Arial" w:hAnsi="Arial" w:cs="Arial"/>
                              </w:rPr>
                              <w:t xml:space="preserve"> &lt; .001; N = 210. Significance level set at </w:t>
                            </w:r>
                            <w:r>
                              <w:rPr>
                                <w:rFonts w:ascii="Arial" w:hAnsi="Arial" w:cs="Arial"/>
                                <w:i/>
                                <w:iCs/>
                              </w:rPr>
                              <w:t>p</w:t>
                            </w:r>
                            <w:r>
                              <w:rPr>
                                <w:rFonts w:ascii="Arial" w:hAnsi="Arial" w:cs="Arial"/>
                              </w:rPr>
                              <w:t xml:space="preserve"> &lt; .05.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B705889" id="_x0000_t202" coordsize="21600,21600" o:spt="202" path="m,l,21600r21600,l21600,xe">
                <v:stroke joinstyle="miter"/>
                <v:path gradientshapeok="t" o:connecttype="rect"/>
              </v:shapetype>
              <v:shape id="Text Box 2" o:spid="_x0000_s1026" type="#_x0000_t202" style="position:absolute;left:0;text-align:left;margin-left:-2.6pt;margin-top:83.35pt;width:401.25pt;height:4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" fillcolor="white [3201]" strokecolor="white [3212]" strokeweight=".5pt">
                <v:textbox>
                  <w:txbxContent>
                    <w:p w14:paraId="3BD67EFC" w14:textId="77777777" w:rsidR="006140D5" w:rsidRDefault="00E13F90">
                      <w:pPr>
                        <w:jc w:val="both"/>
                        <w:rPr>
                          <w:rFonts w:ascii="Arial" w:hAnsi="Arial" w:cs="Arial"/>
                        </w:rPr>
                      </w:pPr>
                      <w:r>
                        <w:rPr>
                          <w:rFonts w:ascii="Arial" w:hAnsi="Arial" w:cs="Arial"/>
                        </w:rPr>
                        <w:t xml:space="preserve">Note. </w:t>
                      </w:r>
                      <w:r>
                        <w:rPr>
                          <w:rFonts w:ascii="Arial" w:hAnsi="Arial" w:cs="Arial"/>
                          <w:i/>
                          <w:iCs/>
                        </w:rPr>
                        <w:t xml:space="preserve">R </w:t>
                      </w:r>
                      <w:r>
                        <w:rPr>
                          <w:rFonts w:ascii="Arial" w:hAnsi="Arial" w:cs="Arial"/>
                        </w:rPr>
                        <w:t xml:space="preserve">= multiple correlation coefficient; </w:t>
                      </w:r>
                      <w:r>
                        <w:rPr>
                          <w:rFonts w:ascii="Arial" w:hAnsi="Arial" w:cs="Arial"/>
                          <w:i/>
                          <w:iCs/>
                        </w:rPr>
                        <w:t>R²</w:t>
                      </w:r>
                      <w:r>
                        <w:rPr>
                          <w:rFonts w:ascii="Arial" w:hAnsi="Arial" w:cs="Arial"/>
                        </w:rPr>
                        <w:t xml:space="preserve"> = coefficient of determination; </w:t>
                      </w:r>
                      <w:r>
                        <w:rPr>
                          <w:rFonts w:ascii="Arial" w:hAnsi="Arial" w:cs="Arial"/>
                          <w:i/>
                          <w:iCs/>
                        </w:rPr>
                        <w:t>β</w:t>
                      </w:r>
                      <w:r>
                        <w:rPr>
                          <w:rFonts w:ascii="Arial" w:hAnsi="Arial" w:cs="Arial"/>
                        </w:rPr>
                        <w:t xml:space="preserve"> = standardized beta coefficient; </w:t>
                      </w:r>
                      <w:r>
                        <w:rPr>
                          <w:rFonts w:ascii="Arial" w:hAnsi="Arial" w:cs="Arial"/>
                          <w:i/>
                          <w:iCs/>
                        </w:rPr>
                        <w:t>F</w:t>
                      </w:r>
                      <w:r>
                        <w:rPr>
                          <w:rFonts w:ascii="Arial" w:hAnsi="Arial" w:cs="Arial"/>
                        </w:rPr>
                        <w:t xml:space="preserve"> (1,208) = 49.31;</w:t>
                      </w:r>
                      <w:r>
                        <w:rPr>
                          <w:rFonts w:ascii="Arial" w:hAnsi="Arial" w:cs="Arial"/>
                          <w:i/>
                          <w:iCs/>
                        </w:rPr>
                        <w:t xml:space="preserve"> df</w:t>
                      </w:r>
                      <w:r>
                        <w:rPr>
                          <w:rFonts w:ascii="Arial" w:hAnsi="Arial" w:cs="Arial"/>
                        </w:rPr>
                        <w:t xml:space="preserve"> = 208; </w:t>
                      </w:r>
                      <w:r>
                        <w:rPr>
                          <w:rFonts w:ascii="Arial" w:hAnsi="Arial" w:cs="Arial"/>
                          <w:i/>
                          <w:iCs/>
                        </w:rPr>
                        <w:t>p</w:t>
                      </w:r>
                      <w:r>
                        <w:rPr>
                          <w:rFonts w:ascii="Arial" w:hAnsi="Arial" w:cs="Arial"/>
                        </w:rPr>
                        <w:t xml:space="preserve"> &lt; .001; N = 210. Significance level set at </w:t>
                      </w:r>
                      <w:r>
                        <w:rPr>
                          <w:rFonts w:ascii="Arial" w:hAnsi="Arial" w:cs="Arial"/>
                          <w:i/>
                          <w:iCs/>
                        </w:rPr>
                        <w:t>p</w:t>
                      </w:r>
                      <w:r>
                        <w:rPr>
                          <w:rFonts w:ascii="Arial" w:hAnsi="Arial" w:cs="Arial"/>
                        </w:rPr>
                        <w:t xml:space="preserve"> &lt; .05.</w:t>
                      </w:r>
                    </w:p>
                  </w:txbxContent>
                </v:textbox>
              </v:shape>
            </w:pict>
          </mc:Fallback>
        </mc:AlternateContent>
      </w:r>
    </w:p>
    <w:p w14:paraId="427689DE" w14:textId="77777777" w:rsidR="006140D5" w:rsidRDefault="006140D5">
      <w:pPr>
        <w:pStyle w:val="AbstHead"/>
        <w:spacing w:after="0"/>
        <w:jc w:val="both"/>
        <w:rPr>
          <w:rFonts w:ascii="Arial" w:hAnsi="Arial" w:cs="Arial"/>
          <w:b w:val="0"/>
          <w:bCs/>
          <w:lang w:val="en-PH"/>
        </w:rPr>
      </w:pPr>
    </w:p>
    <w:p w14:paraId="5893D51A" w14:textId="77777777" w:rsidR="006140D5" w:rsidRDefault="006140D5">
      <w:pPr>
        <w:pStyle w:val="AbstHead"/>
        <w:spacing w:after="0"/>
        <w:jc w:val="both"/>
        <w:rPr>
          <w:rFonts w:ascii="Arial" w:hAnsi="Arial" w:cs="Arial"/>
          <w:b w:val="0"/>
          <w:bCs/>
          <w:lang w:val="en-PH"/>
        </w:rPr>
      </w:pPr>
    </w:p>
    <w:p w14:paraId="3A631CEA" w14:textId="77777777" w:rsidR="006140D5" w:rsidRDefault="006140D5">
      <w:pPr>
        <w:pStyle w:val="AbstHead"/>
        <w:spacing w:after="0"/>
        <w:jc w:val="both"/>
        <w:rPr>
          <w:rFonts w:ascii="Arial" w:hAnsi="Arial" w:cs="Arial"/>
        </w:rPr>
      </w:pPr>
    </w:p>
    <w:p w14:paraId="07590804" w14:textId="77777777" w:rsidR="006140D5" w:rsidRDefault="006140D5">
      <w:pPr>
        <w:pStyle w:val="AbstHead"/>
        <w:spacing w:after="0"/>
        <w:jc w:val="both"/>
        <w:rPr>
          <w:rFonts w:ascii="Arial" w:hAnsi="Arial" w:cs="Arial"/>
        </w:rPr>
      </w:pPr>
    </w:p>
    <w:p w14:paraId="7D952E1B" w14:textId="77777777" w:rsidR="006140D5" w:rsidRDefault="00E13F90">
      <w:pPr>
        <w:pStyle w:val="AbstHead"/>
        <w:spacing w:after="0"/>
        <w:jc w:val="both"/>
        <w:rPr>
          <w:rFonts w:ascii="Arial" w:hAnsi="Arial" w:cs="Arial"/>
        </w:rPr>
      </w:pPr>
      <w:r>
        <w:rPr>
          <w:rFonts w:ascii="Arial" w:hAnsi="Arial" w:cs="Arial"/>
        </w:rPr>
        <w:t xml:space="preserve">5. CONCLUSIONS AND RECOMMENDATIONS </w:t>
      </w:r>
    </w:p>
    <w:p w14:paraId="5F16CBE6" w14:textId="77777777" w:rsidR="006140D5" w:rsidRDefault="006140D5">
      <w:pPr>
        <w:pStyle w:val="NoSpacing1"/>
        <w:jc w:val="both"/>
        <w:rPr>
          <w:rFonts w:ascii="Arial" w:eastAsia="SimSun" w:hAnsi="Arial"/>
          <w:sz w:val="20"/>
          <w:szCs w:val="20"/>
          <w:shd w:val="clear" w:color="auto" w:fill="FFFFFF"/>
        </w:rPr>
      </w:pPr>
    </w:p>
    <w:p w14:paraId="08992DC5" w14:textId="77777777" w:rsidR="006140D5" w:rsidRDefault="00E13F9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Conclusion</w:t>
      </w:r>
      <w:r>
        <w:rPr>
          <w:rFonts w:ascii="Arial" w:eastAsia="SimSun" w:hAnsi="Arial"/>
          <w:b/>
          <w:bCs/>
          <w:sz w:val="20"/>
          <w:szCs w:val="20"/>
          <w:shd w:val="clear" w:color="auto" w:fill="FFFFFF"/>
        </w:rPr>
        <w:br/>
      </w:r>
    </w:p>
    <w:p w14:paraId="777D91AA"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Based on the findings of the study, it can be concluded that both science laboratory availability and laboratory self-efficacy of Senior High School STEM strand students are generally high. Students perceive their laboratories as adequately equipped and accessible, which contributes positively to their ability to perform scientific experiments effectively. However, modernization of laboratory equipment and expansion of space are areas that still require improvement to optimize laboratory experiences.</w:t>
      </w:r>
    </w:p>
    <w:p w14:paraId="274A2251" w14:textId="77777777" w:rsidR="006140D5" w:rsidRDefault="006140D5">
      <w:pPr>
        <w:pStyle w:val="NoSpacing1"/>
        <w:jc w:val="both"/>
        <w:rPr>
          <w:rFonts w:ascii="Arial" w:eastAsia="Tahoma" w:hAnsi="Arial"/>
          <w:sz w:val="20"/>
          <w:szCs w:val="20"/>
        </w:rPr>
      </w:pPr>
    </w:p>
    <w:p w14:paraId="62134521"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The results of the Pearson product–moment correlation revealed a significant relationship between science laboratory availability and laboratory self-efficacy (r = .51, p = .000). Hence, the null hypothesis (Ho₁) stating that there is no significant relationship between the two variables is rejected. This finding implied that as laboratory availability increases, students’ confidence and competence in conducting experiments also improve.</w:t>
      </w:r>
    </w:p>
    <w:p w14:paraId="184FFCAD"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 xml:space="preserve">The simple linear regression analysis revealed that science laboratory availability significantly predicts laboratory self-efficacy among Senior High School STEM strand students (R = .51, R² = .26, F (1,208) = 49.31, β = .51, p = .000). Therefore, the null hypothesis (Ho₂) stating that science laboratory availability has no significant predictive influence on laboratory </w:t>
      </w:r>
      <w:r>
        <w:rPr>
          <w:rFonts w:ascii="Arial" w:eastAsia="Tahoma" w:hAnsi="Arial"/>
          <w:sz w:val="20"/>
          <w:szCs w:val="20"/>
        </w:rPr>
        <w:lastRenderedPageBreak/>
        <w:t>self-efficacy is likewise rejected. This indicated that improvements in the adequacy and accessibility of laboratory facilities lead to enhanced student confidence and self-efficacy in performing laboratory tasks.</w:t>
      </w:r>
    </w:p>
    <w:p w14:paraId="4F9D2BB9"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In conclusion, science laboratory availability plays a crucial role in developing students’ self-efficacy in scientific inquiry. Continuous investment in laboratory resources, modernization, and proper management is essential to sustain students’ engagement, motivation, and readiness for higher-level STEM education and research.</w:t>
      </w:r>
    </w:p>
    <w:p w14:paraId="5BA33EDC" w14:textId="77777777" w:rsidR="006140D5" w:rsidRDefault="006140D5">
      <w:pPr>
        <w:pStyle w:val="NoSpacing1"/>
        <w:ind w:firstLine="720"/>
        <w:jc w:val="both"/>
        <w:rPr>
          <w:rFonts w:ascii="Arial" w:eastAsia="Tahoma" w:hAnsi="Arial"/>
          <w:sz w:val="20"/>
          <w:szCs w:val="20"/>
        </w:rPr>
      </w:pPr>
    </w:p>
    <w:p w14:paraId="20AF51EB" w14:textId="77777777" w:rsidR="006140D5" w:rsidRDefault="00E13F90">
      <w:pPr>
        <w:pStyle w:val="NoSpacing1"/>
        <w:jc w:val="both"/>
        <w:rPr>
          <w:rFonts w:ascii="Arial" w:eastAsia="SimSun" w:hAnsi="Arial"/>
          <w:sz w:val="20"/>
          <w:szCs w:val="20"/>
          <w:shd w:val="clear" w:color="auto" w:fill="FFFFFF"/>
        </w:rPr>
      </w:pPr>
      <w:r>
        <w:rPr>
          <w:rFonts w:ascii="Arial" w:eastAsia="SimSun" w:hAnsi="Arial"/>
          <w:b/>
          <w:bCs/>
          <w:sz w:val="20"/>
          <w:szCs w:val="20"/>
          <w:shd w:val="clear" w:color="auto" w:fill="FFFFFF"/>
        </w:rPr>
        <w:t>Recommendation</w:t>
      </w:r>
    </w:p>
    <w:p w14:paraId="00E66F9A" w14:textId="77777777" w:rsidR="006140D5" w:rsidRDefault="006140D5">
      <w:pPr>
        <w:ind w:left="720"/>
        <w:jc w:val="both"/>
        <w:rPr>
          <w:rFonts w:ascii="Arial" w:eastAsia="SimSun" w:hAnsi="Arial"/>
          <w:shd w:val="clear" w:color="auto" w:fill="FFFFFF"/>
        </w:rPr>
      </w:pPr>
    </w:p>
    <w:p w14:paraId="23542882" w14:textId="77777777" w:rsidR="006140D5" w:rsidRDefault="00E13F90">
      <w:pPr>
        <w:ind w:firstLine="720"/>
        <w:jc w:val="both"/>
        <w:rPr>
          <w:rFonts w:ascii="Arial" w:eastAsia="SimSun" w:hAnsi="Arial"/>
          <w:shd w:val="clear" w:color="auto" w:fill="FFFFFF"/>
        </w:rPr>
      </w:pPr>
      <w:r>
        <w:rPr>
          <w:rFonts w:ascii="Arial" w:eastAsia="SimSun" w:hAnsi="Arial"/>
          <w:shd w:val="clear" w:color="auto" w:fill="FFFFFF"/>
        </w:rPr>
        <w:t>Based on the findings and conclusions of the study, the following recommendations were proposed:</w:t>
      </w:r>
    </w:p>
    <w:p w14:paraId="6EA2DA97" w14:textId="77777777" w:rsidR="006140D5" w:rsidRDefault="006140D5">
      <w:pPr>
        <w:ind w:left="720"/>
        <w:jc w:val="both"/>
        <w:rPr>
          <w:rFonts w:ascii="Arial" w:eastAsia="SimSun" w:hAnsi="Arial"/>
          <w:shd w:val="clear" w:color="auto" w:fill="FFFFFF"/>
        </w:rPr>
      </w:pPr>
    </w:p>
    <w:p w14:paraId="78A8D69D" w14:textId="77777777" w:rsidR="006140D5" w:rsidRDefault="00E13F90">
      <w:pPr>
        <w:jc w:val="both"/>
        <w:rPr>
          <w:rFonts w:ascii="Arial" w:eastAsia="SimSun" w:hAnsi="Arial"/>
          <w:shd w:val="clear" w:color="auto" w:fill="FFFFFF"/>
        </w:rPr>
      </w:pPr>
      <w:r>
        <w:rPr>
          <w:rFonts w:ascii="Arial" w:eastAsia="SimSun" w:hAnsi="Arial"/>
          <w:shd w:val="clear" w:color="auto" w:fill="FFFFFF"/>
        </w:rPr>
        <w:t>1. For School Administrators: It is recommended that sufficient resources be allocated for the maintenance, modernization, and continuous improvement of science laboratory facilities to ensure safe, functional, and conducive learning environments.</w:t>
      </w:r>
    </w:p>
    <w:p w14:paraId="003E4218" w14:textId="77777777" w:rsidR="006140D5" w:rsidRDefault="006140D5">
      <w:pPr>
        <w:ind w:left="720"/>
        <w:jc w:val="both"/>
        <w:rPr>
          <w:rFonts w:ascii="Arial" w:eastAsia="SimSun" w:hAnsi="Arial"/>
          <w:shd w:val="clear" w:color="auto" w:fill="FFFFFF"/>
        </w:rPr>
      </w:pPr>
    </w:p>
    <w:p w14:paraId="6F7A4C56" w14:textId="77777777" w:rsidR="006140D5" w:rsidRDefault="00E13F90">
      <w:pPr>
        <w:jc w:val="both"/>
        <w:rPr>
          <w:rFonts w:ascii="Arial" w:eastAsia="SimSun" w:hAnsi="Arial"/>
          <w:shd w:val="clear" w:color="auto" w:fill="FFFFFF"/>
        </w:rPr>
      </w:pPr>
      <w:r>
        <w:rPr>
          <w:rFonts w:ascii="Arial" w:eastAsia="SimSun" w:hAnsi="Arial"/>
          <w:shd w:val="clear" w:color="auto" w:fill="FFFFFF"/>
        </w:rPr>
        <w:t>2. For Science Teachers: Teachers should design and implement engaging, inquiry-based laboratory activities that promote active student participation, critical thinking, and hands-on learning experiences to further enhance laboratory self-efficacy.</w:t>
      </w:r>
    </w:p>
    <w:p w14:paraId="41CF733C" w14:textId="77777777" w:rsidR="006140D5" w:rsidRDefault="006140D5">
      <w:pPr>
        <w:ind w:left="720"/>
        <w:jc w:val="both"/>
        <w:rPr>
          <w:rFonts w:ascii="Arial" w:eastAsia="SimSun" w:hAnsi="Arial"/>
          <w:shd w:val="clear" w:color="auto" w:fill="FFFFFF"/>
        </w:rPr>
      </w:pPr>
    </w:p>
    <w:p w14:paraId="4E848D8D" w14:textId="77777777" w:rsidR="006140D5" w:rsidRDefault="00E13F90">
      <w:pPr>
        <w:numPr>
          <w:ilvl w:val="0"/>
          <w:numId w:val="3"/>
        </w:numPr>
        <w:jc w:val="both"/>
        <w:rPr>
          <w:rFonts w:ascii="Arial" w:eastAsia="SimSun" w:hAnsi="Arial"/>
          <w:shd w:val="clear" w:color="auto" w:fill="FFFFFF"/>
        </w:rPr>
      </w:pPr>
      <w:r>
        <w:rPr>
          <w:rFonts w:ascii="Arial" w:eastAsia="SimSun" w:hAnsi="Arial"/>
          <w:shd w:val="clear" w:color="auto" w:fill="FFFFFF"/>
        </w:rPr>
        <w:t>For Students: Students are encouraged to participate actively in laboratory sessions, demonstrate responsibility in handling materials and equipment, and maximize the use of laboratory opportunities to strengthen their scientific understanding and confidence.</w:t>
      </w:r>
    </w:p>
    <w:p w14:paraId="4E37425F" w14:textId="77777777" w:rsidR="006140D5" w:rsidRDefault="006140D5">
      <w:pPr>
        <w:jc w:val="both"/>
        <w:rPr>
          <w:rFonts w:ascii="Arial" w:eastAsia="SimSun" w:hAnsi="Arial"/>
          <w:shd w:val="clear" w:color="auto" w:fill="FFFFFF"/>
        </w:rPr>
      </w:pPr>
    </w:p>
    <w:p w14:paraId="38FA22C9" w14:textId="77777777" w:rsidR="006140D5" w:rsidRDefault="00E13F90">
      <w:pPr>
        <w:numPr>
          <w:ilvl w:val="0"/>
          <w:numId w:val="3"/>
        </w:numPr>
        <w:jc w:val="both"/>
        <w:rPr>
          <w:rFonts w:ascii="Arial" w:eastAsia="SimSun" w:hAnsi="Arial"/>
          <w:shd w:val="clear" w:color="auto" w:fill="FFFFFF"/>
        </w:rPr>
      </w:pPr>
      <w:r>
        <w:rPr>
          <w:rFonts w:ascii="Arial" w:eastAsia="SimSun" w:hAnsi="Arial"/>
          <w:shd w:val="clear" w:color="auto" w:fill="FFFFFF"/>
        </w:rPr>
        <w:t>For Future Researchers: Future studies may explore other factors that influence students’ self-efficacy, such as teaching strategies, laboratory management, or student motivation. Comparative research across different academic strands or schools may also be conducted to validate and expand the findings of the present study.</w:t>
      </w:r>
    </w:p>
    <w:p w14:paraId="6F153E8D" w14:textId="77777777" w:rsidR="006140D5" w:rsidRDefault="006140D5">
      <w:pPr>
        <w:jc w:val="both"/>
        <w:rPr>
          <w:rFonts w:ascii="Arial" w:eastAsia="SimSun" w:hAnsi="Arial"/>
          <w:shd w:val="clear" w:color="auto" w:fill="FFFFFF"/>
        </w:rPr>
      </w:pPr>
    </w:p>
    <w:p w14:paraId="70304D3D" w14:textId="77777777" w:rsidR="006140D5" w:rsidRDefault="006140D5">
      <w:pPr>
        <w:pStyle w:val="NoSpacing1"/>
        <w:jc w:val="both"/>
        <w:rPr>
          <w:rFonts w:ascii="Arial" w:eastAsia="SimSun" w:hAnsi="Arial"/>
          <w:sz w:val="20"/>
          <w:szCs w:val="20"/>
          <w:shd w:val="clear" w:color="auto" w:fill="FFFFFF"/>
        </w:rPr>
      </w:pPr>
    </w:p>
    <w:p w14:paraId="302CAAF6"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Disclaimer (Artificial intelligence)</w:t>
      </w:r>
    </w:p>
    <w:p w14:paraId="3CA76D5E"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 xml:space="preserve">Option 1: </w:t>
      </w:r>
    </w:p>
    <w:p w14:paraId="7E1B8C5B"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 xml:space="preserve">Author(s) hereby </w:t>
      </w:r>
      <w:proofErr w:type="gramStart"/>
      <w:r w:rsidRPr="006B53E9">
        <w:rPr>
          <w:rFonts w:ascii="Calibri" w:eastAsia="Calibri" w:hAnsi="Calibri"/>
          <w:kern w:val="2"/>
          <w:sz w:val="22"/>
          <w:szCs w:val="22"/>
          <w:highlight w:val="yellow"/>
          <w14:ligatures w14:val="standardContextual"/>
        </w:rPr>
        <w:t>declare</w:t>
      </w:r>
      <w:proofErr w:type="gramEnd"/>
      <w:r w:rsidRPr="006B53E9">
        <w:rPr>
          <w:rFonts w:ascii="Calibri" w:eastAsia="Calibri" w:hAnsi="Calibri"/>
          <w:kern w:val="2"/>
          <w:sz w:val="22"/>
          <w:szCs w:val="22"/>
          <w:highlight w:val="yellow"/>
          <w14:ligatures w14:val="standardContextual"/>
        </w:rPr>
        <w:t xml:space="preserve"> that NO generative AI technologies such as Large Language Models (ChatGPT, COPILOT, etc.) and text-to-image generators have been used during the writing or editing of this manuscript. </w:t>
      </w:r>
    </w:p>
    <w:p w14:paraId="01E47DC4"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 xml:space="preserve">Option 2: </w:t>
      </w:r>
    </w:p>
    <w:p w14:paraId="35B981AD"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 xml:space="preserve">Author(s) hereby </w:t>
      </w:r>
      <w:proofErr w:type="gramStart"/>
      <w:r w:rsidRPr="006B53E9">
        <w:rPr>
          <w:rFonts w:ascii="Calibri" w:eastAsia="Calibri" w:hAnsi="Calibri"/>
          <w:kern w:val="2"/>
          <w:sz w:val="22"/>
          <w:szCs w:val="22"/>
          <w:highlight w:val="yellow"/>
          <w14:ligatures w14:val="standardContextual"/>
        </w:rPr>
        <w:t>declare</w:t>
      </w:r>
      <w:proofErr w:type="gramEnd"/>
      <w:r w:rsidRPr="006B53E9">
        <w:rPr>
          <w:rFonts w:ascii="Calibri" w:eastAsia="Calibri" w:hAnsi="Calibri"/>
          <w:kern w:val="2"/>
          <w:sz w:val="22"/>
          <w:szCs w:val="22"/>
          <w:highlight w:val="yellow"/>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B0898A"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Details of the AI usage are given below:</w:t>
      </w:r>
    </w:p>
    <w:p w14:paraId="17994CC0"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1.</w:t>
      </w:r>
    </w:p>
    <w:p w14:paraId="6F221E84"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lastRenderedPageBreak/>
        <w:t>2.</w:t>
      </w:r>
    </w:p>
    <w:p w14:paraId="0AF993B6" w14:textId="77777777" w:rsidR="006B53E9" w:rsidRPr="006B53E9" w:rsidRDefault="006B53E9" w:rsidP="006B53E9">
      <w:pPr>
        <w:spacing w:after="200" w:line="276" w:lineRule="auto"/>
        <w:rPr>
          <w:rFonts w:ascii="Calibri" w:eastAsia="Calibri" w:hAnsi="Calibri"/>
          <w:kern w:val="2"/>
          <w:sz w:val="22"/>
          <w:szCs w:val="22"/>
          <w14:ligatures w14:val="standardContextual"/>
        </w:rPr>
      </w:pPr>
      <w:r w:rsidRPr="006B53E9">
        <w:rPr>
          <w:rFonts w:ascii="Calibri" w:eastAsia="Calibri" w:hAnsi="Calibri"/>
          <w:kern w:val="2"/>
          <w:sz w:val="22"/>
          <w:szCs w:val="22"/>
          <w:highlight w:val="yellow"/>
          <w14:ligatures w14:val="standardContextual"/>
        </w:rPr>
        <w:t>3.</w:t>
      </w:r>
    </w:p>
    <w:p w14:paraId="08101234" w14:textId="77777777" w:rsidR="006140D5" w:rsidRDefault="006140D5">
      <w:pPr>
        <w:pStyle w:val="NoSpacing1"/>
        <w:jc w:val="both"/>
        <w:rPr>
          <w:rFonts w:ascii="Arial" w:eastAsia="SimSun" w:hAnsi="Arial"/>
          <w:b/>
          <w:bCs/>
          <w:sz w:val="20"/>
          <w:szCs w:val="20"/>
          <w:shd w:val="clear" w:color="auto" w:fill="FFFFFF"/>
        </w:rPr>
      </w:pPr>
    </w:p>
    <w:p w14:paraId="6B96FDE0" w14:textId="77777777" w:rsidR="006140D5" w:rsidRDefault="006140D5">
      <w:pPr>
        <w:pStyle w:val="NoSpacing1"/>
        <w:jc w:val="both"/>
        <w:rPr>
          <w:rFonts w:ascii="Arial" w:eastAsia="SimSun" w:hAnsi="Arial"/>
          <w:b/>
          <w:bCs/>
          <w:sz w:val="20"/>
          <w:szCs w:val="20"/>
          <w:shd w:val="clear" w:color="auto" w:fill="FFFFFF"/>
        </w:rPr>
      </w:pPr>
    </w:p>
    <w:p w14:paraId="1A9661EE" w14:textId="77777777" w:rsidR="006140D5" w:rsidRDefault="006140D5">
      <w:pPr>
        <w:pStyle w:val="NoSpacing1"/>
        <w:jc w:val="both"/>
        <w:rPr>
          <w:rFonts w:ascii="Arial" w:eastAsia="SimSun" w:hAnsi="Arial"/>
          <w:b/>
          <w:bCs/>
          <w:sz w:val="20"/>
          <w:szCs w:val="20"/>
          <w:shd w:val="clear" w:color="auto" w:fill="FFFFFF"/>
        </w:rPr>
      </w:pPr>
    </w:p>
    <w:p w14:paraId="16379C23" w14:textId="583D8F44" w:rsidR="006140D5" w:rsidRDefault="00E13F90" w:rsidP="00A249C3">
      <w:pPr>
        <w:pStyle w:val="NoSpacing1"/>
        <w:jc w:val="center"/>
        <w:rPr>
          <w:rFonts w:ascii="Arial" w:eastAsia="SimSun" w:hAnsi="Arial"/>
          <w:b/>
          <w:bCs/>
          <w:sz w:val="20"/>
          <w:szCs w:val="20"/>
          <w:shd w:val="clear" w:color="auto" w:fill="FFFFFF"/>
        </w:rPr>
      </w:pPr>
      <w:r>
        <w:rPr>
          <w:rFonts w:ascii="Arial" w:eastAsia="SimSun" w:hAnsi="Arial"/>
          <w:b/>
          <w:bCs/>
          <w:sz w:val="20"/>
          <w:szCs w:val="20"/>
          <w:shd w:val="clear" w:color="auto" w:fill="FFFFFF"/>
        </w:rPr>
        <w:t>REFERENCES</w:t>
      </w:r>
    </w:p>
    <w:p w14:paraId="6E6DB8CA" w14:textId="77777777" w:rsidR="006140D5" w:rsidRDefault="006140D5">
      <w:pPr>
        <w:pStyle w:val="NoSpacing1"/>
        <w:ind w:left="540" w:hanging="540"/>
        <w:jc w:val="both"/>
        <w:rPr>
          <w:rFonts w:ascii="Arial" w:eastAsia="SimSun" w:hAnsi="Arial"/>
          <w:sz w:val="20"/>
          <w:szCs w:val="20"/>
          <w:shd w:val="clear" w:color="auto" w:fill="FFFFFF"/>
        </w:rPr>
      </w:pPr>
    </w:p>
    <w:p w14:paraId="5C183351" w14:textId="77777777" w:rsidR="00AC3366" w:rsidRDefault="00AC3366">
      <w:pPr>
        <w:ind w:left="540" w:hanging="540"/>
        <w:jc w:val="both"/>
        <w:rPr>
          <w:rFonts w:ascii="Arial" w:eastAsia="Tahoma" w:hAnsi="Arial"/>
          <w:bCs/>
        </w:rPr>
      </w:pPr>
    </w:p>
    <w:p w14:paraId="52E32366" w14:textId="7D7D9656" w:rsidR="00AC3366" w:rsidRPr="006119EA" w:rsidRDefault="00AC3366">
      <w:pPr>
        <w:ind w:left="540" w:hanging="540"/>
        <w:jc w:val="both"/>
        <w:rPr>
          <w:rFonts w:ascii="Arial" w:eastAsia="Tahoma" w:hAnsi="Arial"/>
          <w:bCs/>
        </w:rPr>
      </w:pPr>
      <w:r w:rsidRPr="006119EA">
        <w:rPr>
          <w:rFonts w:ascii="Arial" w:eastAsia="Tahoma" w:hAnsi="Arial"/>
          <w:bCs/>
        </w:rPr>
        <w:t xml:space="preserve">Abas, H., Hanifa, T., Marasigan, &amp; Arlyne, C. (2020). READINESS OF SCIENCE LABORATORY FACILITIES OF THE PUBLIC JUNIOR HIGH SCHOOL IN LANAO DEL SUR, PHILIPPINES. SSRN Electronic Journal. </w:t>
      </w:r>
      <w:hyperlink r:id="rId15" w:history="1">
        <w:r w:rsidRPr="006119EA">
          <w:rPr>
            <w:rStyle w:val="Hyperlink"/>
            <w:rFonts w:ascii="Arial" w:eastAsia="Tahoma" w:hAnsi="Arial"/>
            <w:bCs/>
            <w:color w:val="auto"/>
            <w:u w:val="none"/>
          </w:rPr>
          <w:t>https://doi.org/10.5281/zenodo.3835480</w:t>
        </w:r>
      </w:hyperlink>
    </w:p>
    <w:p w14:paraId="642D5194" w14:textId="77777777" w:rsidR="00AC3366" w:rsidRPr="006119EA" w:rsidRDefault="00AC3366">
      <w:pPr>
        <w:ind w:left="540" w:hanging="540"/>
        <w:jc w:val="both"/>
        <w:rPr>
          <w:rFonts w:ascii="Arial" w:eastAsia="Tahoma" w:hAnsi="Arial"/>
          <w:bCs/>
        </w:rPr>
      </w:pPr>
    </w:p>
    <w:p w14:paraId="6ED1F29E" w14:textId="3E8D8B8C" w:rsidR="00AC3366" w:rsidRPr="006119EA" w:rsidRDefault="00AC3366">
      <w:pPr>
        <w:ind w:left="540" w:hanging="540"/>
        <w:jc w:val="both"/>
        <w:rPr>
          <w:rFonts w:ascii="Arial" w:eastAsia="Tahoma" w:hAnsi="Arial"/>
          <w:bCs/>
        </w:rPr>
      </w:pPr>
      <w:r w:rsidRPr="006119EA">
        <w:rPr>
          <w:rFonts w:ascii="Arial" w:eastAsia="Tahoma" w:hAnsi="Arial"/>
          <w:bCs/>
        </w:rPr>
        <w:t xml:space="preserve">Almazan, J. G. I., Jacob, D. A., Saniatan, C. J. S., &amp; </w:t>
      </w:r>
      <w:proofErr w:type="spellStart"/>
      <w:r w:rsidRPr="006119EA">
        <w:rPr>
          <w:rFonts w:ascii="Arial" w:eastAsia="Tahoma" w:hAnsi="Arial"/>
          <w:bCs/>
        </w:rPr>
        <w:t>Galangco</w:t>
      </w:r>
      <w:proofErr w:type="spellEnd"/>
      <w:r w:rsidRPr="006119EA">
        <w:rPr>
          <w:rFonts w:ascii="Arial" w:eastAsia="Tahoma" w:hAnsi="Arial"/>
          <w:bCs/>
        </w:rPr>
        <w:t xml:space="preserve">, J. (2020). STEM curriculum implementation and academic performance of senior high school students. UNP Research Journal, 29(1), 1–15. Retrieved from </w:t>
      </w:r>
      <w:hyperlink r:id="rId16" w:history="1">
        <w:r w:rsidRPr="006119EA">
          <w:rPr>
            <w:rStyle w:val="Hyperlink"/>
            <w:rFonts w:ascii="Arial" w:eastAsia="Tahoma" w:hAnsi="Arial"/>
            <w:bCs/>
            <w:color w:val="auto"/>
            <w:u w:val="none"/>
          </w:rPr>
          <w:t>https://vector.unp.edu.ph/index.php/1/article/view/60</w:t>
        </w:r>
      </w:hyperlink>
    </w:p>
    <w:p w14:paraId="6A05E520" w14:textId="77777777" w:rsidR="00AC3366" w:rsidRPr="006119EA" w:rsidRDefault="00AC3366">
      <w:pPr>
        <w:ind w:left="540" w:hanging="540"/>
        <w:jc w:val="both"/>
        <w:rPr>
          <w:rFonts w:ascii="Arial" w:eastAsia="Tahoma" w:hAnsi="Arial"/>
          <w:bCs/>
        </w:rPr>
      </w:pPr>
    </w:p>
    <w:p w14:paraId="07558D31" w14:textId="52D9D2F5" w:rsidR="00AC3366" w:rsidRPr="006119EA" w:rsidRDefault="00AC3366">
      <w:pPr>
        <w:ind w:left="540" w:hanging="540"/>
        <w:jc w:val="both"/>
        <w:rPr>
          <w:rFonts w:ascii="Arial" w:eastAsia="Tahoma" w:hAnsi="Arial"/>
          <w:bCs/>
        </w:rPr>
      </w:pPr>
      <w:r w:rsidRPr="00CC2B78">
        <w:rPr>
          <w:rFonts w:ascii="Arial" w:eastAsia="Tahoma" w:hAnsi="Arial"/>
          <w:bCs/>
          <w:lang w:val="nl-BE"/>
        </w:rPr>
        <w:t xml:space="preserve">Baljon, A. R. C., Alter, J. W., &amp; Ludvik, M. J. B. (2022). </w:t>
      </w:r>
      <w:r w:rsidRPr="006119EA">
        <w:rPr>
          <w:rFonts w:ascii="Arial" w:eastAsia="Tahoma" w:hAnsi="Arial"/>
          <w:bCs/>
        </w:rPr>
        <w:t xml:space="preserve">Embodied Engagement with Scientific Concepts: An Exploration into Emergent Learning. College Teaching, 71(1), 1–8. </w:t>
      </w:r>
      <w:hyperlink r:id="rId17" w:history="1">
        <w:r w:rsidRPr="006119EA">
          <w:rPr>
            <w:rStyle w:val="Hyperlink"/>
            <w:rFonts w:ascii="Arial" w:eastAsia="Tahoma" w:hAnsi="Arial"/>
            <w:bCs/>
            <w:color w:val="auto"/>
            <w:u w:val="none"/>
          </w:rPr>
          <w:t>https://doi.org/10.1080/87567555.2022.2038065</w:t>
        </w:r>
      </w:hyperlink>
    </w:p>
    <w:p w14:paraId="0427545A" w14:textId="77777777" w:rsidR="00AC3366" w:rsidRPr="006119EA" w:rsidRDefault="00AC3366">
      <w:pPr>
        <w:ind w:left="540" w:hanging="540"/>
        <w:jc w:val="both"/>
        <w:rPr>
          <w:rFonts w:ascii="Arial" w:eastAsia="Tahoma" w:hAnsi="Arial"/>
          <w:bCs/>
        </w:rPr>
      </w:pPr>
    </w:p>
    <w:p w14:paraId="78163297" w14:textId="37B41639" w:rsidR="00AC3366" w:rsidRPr="006119EA" w:rsidRDefault="00AC3366">
      <w:pPr>
        <w:ind w:left="540" w:hanging="540"/>
        <w:jc w:val="both"/>
        <w:rPr>
          <w:rFonts w:ascii="Arial" w:eastAsia="Tahoma" w:hAnsi="Arial"/>
          <w:bCs/>
        </w:rPr>
      </w:pPr>
      <w:proofErr w:type="spellStart"/>
      <w:r w:rsidRPr="006119EA">
        <w:rPr>
          <w:rFonts w:ascii="Arial" w:eastAsia="Tahoma" w:hAnsi="Arial"/>
          <w:bCs/>
        </w:rPr>
        <w:t>Banate</w:t>
      </w:r>
      <w:proofErr w:type="spellEnd"/>
      <w:r w:rsidRPr="006119EA">
        <w:rPr>
          <w:rFonts w:ascii="Arial" w:eastAsia="Tahoma" w:hAnsi="Arial"/>
          <w:bCs/>
        </w:rPr>
        <w:t xml:space="preserve">, L. A., &amp; </w:t>
      </w:r>
      <w:proofErr w:type="spellStart"/>
      <w:r w:rsidRPr="006119EA">
        <w:rPr>
          <w:rFonts w:ascii="Arial" w:eastAsia="Tahoma" w:hAnsi="Arial"/>
          <w:bCs/>
        </w:rPr>
        <w:t>Bauyot</w:t>
      </w:r>
      <w:proofErr w:type="spellEnd"/>
      <w:r w:rsidRPr="006119EA">
        <w:rPr>
          <w:rFonts w:ascii="Arial" w:eastAsia="Tahoma" w:hAnsi="Arial"/>
          <w:bCs/>
        </w:rPr>
        <w:t xml:space="preserve">, M. M. (2025). The integration and impact of interdisciplinary STEM education in K–12 and higher education: A systematic review of evidence from 2016–2024. International Journal of Multidisciplinary Educational Research and Innovation, 3(1), 202–212. </w:t>
      </w:r>
      <w:hyperlink r:id="rId18" w:history="1">
        <w:r w:rsidRPr="006119EA">
          <w:rPr>
            <w:rStyle w:val="Hyperlink"/>
            <w:rFonts w:ascii="Arial" w:eastAsia="Tahoma" w:hAnsi="Arial"/>
            <w:bCs/>
            <w:color w:val="auto"/>
            <w:u w:val="none"/>
          </w:rPr>
          <w:t>https://doi.org/10.2991/ijmeri.2025.3.1.12</w:t>
        </w:r>
      </w:hyperlink>
    </w:p>
    <w:p w14:paraId="40979DBC" w14:textId="77777777" w:rsidR="00AC3366" w:rsidRPr="006119EA" w:rsidRDefault="00AC3366">
      <w:pPr>
        <w:ind w:left="540" w:hanging="540"/>
        <w:jc w:val="both"/>
        <w:rPr>
          <w:rFonts w:ascii="Arial" w:eastAsia="Tahoma" w:hAnsi="Arial"/>
          <w:bCs/>
        </w:rPr>
      </w:pPr>
    </w:p>
    <w:p w14:paraId="069FC7FD" w14:textId="6DA5D582" w:rsidR="00AC3366" w:rsidRPr="006119EA" w:rsidRDefault="00AC3366">
      <w:pPr>
        <w:ind w:left="540" w:hanging="540"/>
        <w:jc w:val="both"/>
        <w:rPr>
          <w:rFonts w:ascii="Arial" w:eastAsia="Tahoma" w:hAnsi="Arial"/>
          <w:bCs/>
        </w:rPr>
      </w:pPr>
      <w:r w:rsidRPr="006119EA">
        <w:rPr>
          <w:rFonts w:ascii="Arial" w:eastAsia="Tahoma" w:hAnsi="Arial"/>
          <w:bCs/>
        </w:rPr>
        <w:t xml:space="preserve">Beck, C. W., &amp; Blumer, L. S. (2021). The relationship between perceptions of instructional practices and student self-efficacy in guided-inquiry laboratory courses. CBE – Life Sciences Education, 20(1), Article ar8. </w:t>
      </w:r>
      <w:hyperlink r:id="rId19" w:history="1">
        <w:r w:rsidRPr="006119EA">
          <w:rPr>
            <w:rStyle w:val="Hyperlink"/>
            <w:rFonts w:ascii="Arial" w:eastAsia="Tahoma" w:hAnsi="Arial"/>
            <w:bCs/>
            <w:color w:val="auto"/>
            <w:u w:val="none"/>
          </w:rPr>
          <w:t>https://doi.org/10.1187/cbe.20-04-0076</w:t>
        </w:r>
      </w:hyperlink>
    </w:p>
    <w:p w14:paraId="242AAB6C" w14:textId="77777777" w:rsidR="00AC3366" w:rsidRPr="006119EA" w:rsidRDefault="00AC3366">
      <w:pPr>
        <w:ind w:left="540" w:hanging="540"/>
        <w:jc w:val="both"/>
        <w:rPr>
          <w:rFonts w:ascii="Arial" w:eastAsia="Tahoma" w:hAnsi="Arial"/>
          <w:bCs/>
        </w:rPr>
      </w:pPr>
    </w:p>
    <w:p w14:paraId="3AC7F593" w14:textId="77777777" w:rsidR="00AC3366" w:rsidRPr="006119EA" w:rsidRDefault="00AC3366">
      <w:pPr>
        <w:ind w:left="540" w:hanging="540"/>
        <w:jc w:val="both"/>
        <w:rPr>
          <w:rFonts w:ascii="Arial" w:eastAsia="Tahoma" w:hAnsi="Arial"/>
          <w:bCs/>
        </w:rPr>
      </w:pPr>
      <w:r w:rsidRPr="00CC2B78">
        <w:rPr>
          <w:rFonts w:ascii="Arial" w:eastAsia="Tahoma" w:hAnsi="Arial"/>
          <w:bCs/>
          <w:lang w:val="nl-BE"/>
        </w:rPr>
        <w:t xml:space="preserve">Benasing, R. R., &amp; Prudente, M. (2025). </w:t>
      </w:r>
      <w:r w:rsidRPr="006119EA">
        <w:rPr>
          <w:rFonts w:ascii="Arial" w:eastAsia="Tahoma" w:hAnsi="Arial"/>
          <w:bCs/>
        </w:rPr>
        <w:t xml:space="preserve">Development and validation of a STEM teaching kit for Grade 8 physics students. International Journal of Humanities and Social Sciences, 13(2), 43–55. </w:t>
      </w:r>
      <w:hyperlink r:id="rId20" w:history="1">
        <w:r w:rsidRPr="006119EA">
          <w:rPr>
            <w:rStyle w:val="Hyperlink"/>
            <w:rFonts w:ascii="Arial" w:eastAsia="Tahoma" w:hAnsi="Arial"/>
            <w:bCs/>
            <w:color w:val="auto"/>
            <w:u w:val="none"/>
          </w:rPr>
          <w:t>https://ijhss.net/index.php/ijhss/article/view/825</w:t>
        </w:r>
      </w:hyperlink>
    </w:p>
    <w:p w14:paraId="49B7DFE3" w14:textId="77777777" w:rsidR="00AC3366" w:rsidRPr="006119EA" w:rsidRDefault="00AC3366">
      <w:pPr>
        <w:ind w:left="540" w:hanging="540"/>
        <w:jc w:val="both"/>
        <w:rPr>
          <w:rFonts w:ascii="Arial" w:eastAsia="Tahoma" w:hAnsi="Arial"/>
          <w:bCs/>
        </w:rPr>
      </w:pPr>
    </w:p>
    <w:p w14:paraId="2424D8E1" w14:textId="3DADF5EE" w:rsidR="00AC3366" w:rsidRPr="006119EA" w:rsidRDefault="00AC3366">
      <w:pPr>
        <w:ind w:left="540" w:hanging="540"/>
        <w:jc w:val="both"/>
        <w:rPr>
          <w:rFonts w:ascii="Arial" w:eastAsia="Tahoma" w:hAnsi="Arial"/>
          <w:bCs/>
        </w:rPr>
      </w:pPr>
      <w:proofErr w:type="spellStart"/>
      <w:r w:rsidRPr="006119EA">
        <w:rPr>
          <w:rFonts w:ascii="Arial" w:eastAsia="Tahoma" w:hAnsi="Arial"/>
          <w:bCs/>
        </w:rPr>
        <w:t>Cabusor</w:t>
      </w:r>
      <w:proofErr w:type="spellEnd"/>
      <w:r w:rsidRPr="006119EA">
        <w:rPr>
          <w:rFonts w:ascii="Arial" w:eastAsia="Tahoma" w:hAnsi="Arial"/>
          <w:bCs/>
        </w:rPr>
        <w:t xml:space="preserve">, S. M., &amp; Antonio, V. V. (2025). Availability, accessibility, and teachers’ utilization of science laboratory resources in public secondary schools of </w:t>
      </w:r>
      <w:proofErr w:type="spellStart"/>
      <w:r w:rsidRPr="006119EA">
        <w:rPr>
          <w:rFonts w:ascii="Arial" w:eastAsia="Tahoma" w:hAnsi="Arial"/>
          <w:bCs/>
        </w:rPr>
        <w:t>Ilocos</w:t>
      </w:r>
      <w:proofErr w:type="spellEnd"/>
      <w:r w:rsidRPr="006119EA">
        <w:rPr>
          <w:rFonts w:ascii="Arial" w:eastAsia="Tahoma" w:hAnsi="Arial"/>
          <w:bCs/>
        </w:rPr>
        <w:t xml:space="preserve"> Norte. International Journal of Multidisciplinary Applied Business and Education Research, 6(3), 1478–1493. </w:t>
      </w:r>
      <w:hyperlink r:id="rId21" w:history="1">
        <w:r w:rsidRPr="006119EA">
          <w:rPr>
            <w:rStyle w:val="Hyperlink"/>
            <w:rFonts w:ascii="Arial" w:eastAsia="Tahoma" w:hAnsi="Arial"/>
            <w:bCs/>
            <w:color w:val="auto"/>
            <w:u w:val="none"/>
          </w:rPr>
          <w:t>https://doi.org/10.11594/ijmaber.06.03.33</w:t>
        </w:r>
      </w:hyperlink>
    </w:p>
    <w:p w14:paraId="715C4748" w14:textId="77777777" w:rsidR="00AC3366" w:rsidRPr="006119EA" w:rsidRDefault="00AC3366">
      <w:pPr>
        <w:ind w:left="540" w:hanging="540"/>
        <w:jc w:val="both"/>
        <w:rPr>
          <w:rFonts w:ascii="Arial" w:eastAsia="Tahoma" w:hAnsi="Arial"/>
          <w:bCs/>
        </w:rPr>
      </w:pPr>
    </w:p>
    <w:p w14:paraId="34A0E65D" w14:textId="624428AB" w:rsidR="00AC3366" w:rsidRPr="006119EA" w:rsidRDefault="00AC3366">
      <w:pPr>
        <w:ind w:left="540" w:hanging="540"/>
        <w:jc w:val="both"/>
        <w:rPr>
          <w:rFonts w:ascii="Arial" w:eastAsia="Tahoma" w:hAnsi="Arial"/>
          <w:bCs/>
        </w:rPr>
      </w:pPr>
      <w:proofErr w:type="spellStart"/>
      <w:r w:rsidRPr="006119EA">
        <w:rPr>
          <w:rFonts w:ascii="Arial" w:eastAsia="Tahoma" w:hAnsi="Arial"/>
          <w:bCs/>
        </w:rPr>
        <w:t>Catedrilla</w:t>
      </w:r>
      <w:proofErr w:type="spellEnd"/>
      <w:r w:rsidRPr="006119EA">
        <w:rPr>
          <w:rFonts w:ascii="Arial" w:eastAsia="Tahoma" w:hAnsi="Arial"/>
          <w:bCs/>
        </w:rPr>
        <w:t xml:space="preserve">, J. M., De La Cuesta, J. M., &amp; Caguiat, M. R. R. (2019). Impact of the STEM Program on Information Technology College Students’ Goals: Perspectives from the Philippines. International Conference on Computers in Education. </w:t>
      </w:r>
      <w:hyperlink r:id="rId22" w:history="1">
        <w:r w:rsidRPr="006119EA">
          <w:rPr>
            <w:rStyle w:val="Hyperlink"/>
            <w:rFonts w:ascii="Arial" w:eastAsia="Tahoma" w:hAnsi="Arial"/>
            <w:bCs/>
            <w:color w:val="auto"/>
            <w:u w:val="none"/>
          </w:rPr>
          <w:t>https://doi.org/10.58459/icce.2019.659</w:t>
        </w:r>
      </w:hyperlink>
    </w:p>
    <w:p w14:paraId="3E9A7F13" w14:textId="77777777" w:rsidR="00AC3366" w:rsidRPr="006119EA" w:rsidRDefault="00AC3366">
      <w:pPr>
        <w:ind w:left="540" w:hanging="540"/>
        <w:jc w:val="both"/>
        <w:rPr>
          <w:rFonts w:ascii="Arial" w:eastAsia="Tahoma" w:hAnsi="Arial"/>
          <w:bCs/>
        </w:rPr>
      </w:pPr>
    </w:p>
    <w:p w14:paraId="1BB24139" w14:textId="0967423A" w:rsidR="00AC3366" w:rsidRPr="006119EA" w:rsidRDefault="00AC3366">
      <w:pPr>
        <w:ind w:left="540" w:hanging="540"/>
        <w:jc w:val="both"/>
        <w:rPr>
          <w:rFonts w:ascii="Arial" w:eastAsia="Tahoma" w:hAnsi="Arial"/>
          <w:bCs/>
        </w:rPr>
      </w:pPr>
      <w:r w:rsidRPr="006119EA">
        <w:rPr>
          <w:rFonts w:ascii="Arial" w:eastAsia="Tahoma" w:hAnsi="Arial"/>
          <w:bCs/>
        </w:rPr>
        <w:t xml:space="preserve">Cetin, P. S. (2021). Effectiveness of inquiry-based laboratory instruction on developing secondary students’ views on scientific inquiry. Journal of Chemical Education, 98(3), 756–762. </w:t>
      </w:r>
      <w:hyperlink r:id="rId23" w:history="1">
        <w:r w:rsidRPr="006119EA">
          <w:rPr>
            <w:rStyle w:val="Hyperlink"/>
            <w:rFonts w:ascii="Arial" w:eastAsia="Tahoma" w:hAnsi="Arial"/>
            <w:bCs/>
            <w:color w:val="auto"/>
            <w:u w:val="none"/>
          </w:rPr>
          <w:t>https://doi.org/10.1021/acs.jchemed.0c01364</w:t>
        </w:r>
      </w:hyperlink>
    </w:p>
    <w:p w14:paraId="7555F09F" w14:textId="77777777" w:rsidR="00AC3366" w:rsidRPr="006119EA" w:rsidRDefault="00AC3366">
      <w:pPr>
        <w:ind w:left="540" w:hanging="540"/>
        <w:jc w:val="both"/>
        <w:rPr>
          <w:rFonts w:ascii="Arial" w:eastAsia="Tahoma" w:hAnsi="Arial"/>
          <w:bCs/>
        </w:rPr>
      </w:pPr>
    </w:p>
    <w:p w14:paraId="207CED78" w14:textId="0B25CFF5" w:rsidR="00AC3366" w:rsidRPr="006119EA" w:rsidRDefault="00AC3366">
      <w:pPr>
        <w:ind w:left="540" w:hanging="540"/>
        <w:jc w:val="both"/>
        <w:rPr>
          <w:rFonts w:ascii="Arial" w:eastAsia="Tahoma" w:hAnsi="Arial"/>
          <w:bCs/>
        </w:rPr>
      </w:pPr>
      <w:r w:rsidRPr="006119EA">
        <w:rPr>
          <w:rFonts w:ascii="Arial" w:eastAsia="Tahoma" w:hAnsi="Arial"/>
          <w:bCs/>
        </w:rPr>
        <w:t xml:space="preserve">Chan, K. K. H. (2021). Using yeast fermentation as a context for meaningful science education. The American Biology Teacher, 83(1), 26–29. </w:t>
      </w:r>
      <w:hyperlink r:id="rId24" w:history="1">
        <w:r w:rsidRPr="006119EA">
          <w:rPr>
            <w:rStyle w:val="Hyperlink"/>
            <w:rFonts w:ascii="Arial" w:eastAsia="Tahoma" w:hAnsi="Arial"/>
            <w:bCs/>
            <w:color w:val="auto"/>
            <w:u w:val="none"/>
          </w:rPr>
          <w:t>https://doi.org/10.1525/abt.2021.83.1.26</w:t>
        </w:r>
      </w:hyperlink>
    </w:p>
    <w:p w14:paraId="69263B6F" w14:textId="77777777" w:rsidR="00AC3366" w:rsidRPr="006119EA" w:rsidRDefault="00AC3366">
      <w:pPr>
        <w:ind w:left="540" w:hanging="540"/>
        <w:jc w:val="both"/>
        <w:rPr>
          <w:rFonts w:ascii="Arial" w:eastAsia="Tahoma" w:hAnsi="Arial"/>
          <w:bCs/>
        </w:rPr>
      </w:pPr>
    </w:p>
    <w:p w14:paraId="73AECC30" w14:textId="7AD90982" w:rsidR="00AC3366" w:rsidRPr="006119EA" w:rsidRDefault="00AC3366">
      <w:pPr>
        <w:ind w:left="540" w:hanging="540"/>
        <w:jc w:val="both"/>
        <w:rPr>
          <w:rFonts w:ascii="Arial" w:eastAsia="Tahoma" w:hAnsi="Arial"/>
          <w:bCs/>
        </w:rPr>
      </w:pPr>
      <w:r w:rsidRPr="006119EA">
        <w:rPr>
          <w:rFonts w:ascii="Arial" w:eastAsia="Tahoma" w:hAnsi="Arial"/>
          <w:bCs/>
        </w:rPr>
        <w:t xml:space="preserve">Chu, T. M. (2024). Laboratory work as a form of hands-on learning and its impact on student motivation in science subject. ResearchGate. </w:t>
      </w:r>
      <w:hyperlink r:id="rId25" w:history="1">
        <w:r w:rsidRPr="006119EA">
          <w:rPr>
            <w:rStyle w:val="Hyperlink"/>
            <w:rFonts w:ascii="Arial" w:eastAsia="Tahoma" w:hAnsi="Arial"/>
            <w:bCs/>
            <w:color w:val="auto"/>
            <w:u w:val="none"/>
          </w:rPr>
          <w:t>https://www.researchgate.net/publication/386613534</w:t>
        </w:r>
      </w:hyperlink>
    </w:p>
    <w:p w14:paraId="0FE3B9F4" w14:textId="77777777" w:rsidR="00AC3366" w:rsidRPr="006119EA" w:rsidRDefault="00AC3366">
      <w:pPr>
        <w:ind w:left="540" w:hanging="540"/>
        <w:jc w:val="both"/>
        <w:rPr>
          <w:rFonts w:ascii="Arial" w:eastAsia="Tahoma" w:hAnsi="Arial"/>
          <w:bCs/>
        </w:rPr>
      </w:pPr>
    </w:p>
    <w:p w14:paraId="13DC451A" w14:textId="53FE02CE" w:rsidR="00AC3366" w:rsidRPr="006119EA" w:rsidRDefault="00AC3366">
      <w:pPr>
        <w:ind w:left="540" w:hanging="540"/>
        <w:jc w:val="both"/>
        <w:rPr>
          <w:rFonts w:ascii="Arial" w:eastAsia="Tahoma" w:hAnsi="Arial"/>
          <w:bCs/>
        </w:rPr>
      </w:pPr>
      <w:r w:rsidRPr="006119EA">
        <w:rPr>
          <w:rFonts w:ascii="Arial" w:eastAsia="Tahoma" w:hAnsi="Arial"/>
          <w:bCs/>
        </w:rPr>
        <w:t xml:space="preserve">De Borja, A. J. M., &amp; Marasigan, A. C. (2020). Status of Science Laboratory in a Public Junior High School. International Journal of Research Publication, 46(1), 8. </w:t>
      </w:r>
      <w:hyperlink r:id="rId26" w:history="1">
        <w:r w:rsidRPr="006119EA">
          <w:rPr>
            <w:rStyle w:val="Hyperlink"/>
            <w:rFonts w:ascii="Arial" w:eastAsia="Tahoma" w:hAnsi="Arial"/>
            <w:bCs/>
            <w:color w:val="auto"/>
            <w:u w:val="none"/>
          </w:rPr>
          <w:t>https://ijrp.org/paper-detail/959</w:t>
        </w:r>
      </w:hyperlink>
    </w:p>
    <w:p w14:paraId="0F43C100" w14:textId="77777777" w:rsidR="00AC3366" w:rsidRPr="006119EA" w:rsidRDefault="00AC3366">
      <w:pPr>
        <w:ind w:left="540" w:hanging="540"/>
        <w:jc w:val="both"/>
        <w:rPr>
          <w:rFonts w:ascii="Arial" w:eastAsia="Tahoma" w:hAnsi="Arial"/>
          <w:bCs/>
        </w:rPr>
      </w:pPr>
    </w:p>
    <w:p w14:paraId="0453AD12" w14:textId="5DD04B5B" w:rsidR="00AC3366" w:rsidRPr="006119EA" w:rsidRDefault="00AC3366">
      <w:pPr>
        <w:ind w:left="540" w:hanging="540"/>
        <w:jc w:val="both"/>
        <w:rPr>
          <w:rFonts w:ascii="Arial" w:eastAsia="Tahoma" w:hAnsi="Arial"/>
          <w:bCs/>
        </w:rPr>
      </w:pPr>
      <w:proofErr w:type="spellStart"/>
      <w:r w:rsidRPr="006119EA">
        <w:rPr>
          <w:rFonts w:ascii="Arial" w:eastAsia="Tahoma" w:hAnsi="Arial"/>
          <w:bCs/>
        </w:rPr>
        <w:t>Donkoh</w:t>
      </w:r>
      <w:proofErr w:type="spellEnd"/>
      <w:r w:rsidRPr="006119EA">
        <w:rPr>
          <w:rFonts w:ascii="Arial" w:eastAsia="Tahoma" w:hAnsi="Arial"/>
          <w:bCs/>
        </w:rPr>
        <w:t xml:space="preserve">, S. (2023). Sources of self-efficacy and their implications on science teacher education. European Journal of Education Studies, 10(9). </w:t>
      </w:r>
      <w:hyperlink r:id="rId27" w:history="1">
        <w:r w:rsidRPr="006119EA">
          <w:rPr>
            <w:rStyle w:val="Hyperlink"/>
            <w:rFonts w:ascii="Arial" w:eastAsia="Tahoma" w:hAnsi="Arial"/>
            <w:bCs/>
            <w:color w:val="auto"/>
            <w:u w:val="none"/>
          </w:rPr>
          <w:t>http://dx.doi.org/10.46827/ejes.v10i9.5002</w:t>
        </w:r>
      </w:hyperlink>
    </w:p>
    <w:p w14:paraId="390F566C" w14:textId="77777777" w:rsidR="00AC3366" w:rsidRPr="006119EA" w:rsidRDefault="00AC3366">
      <w:pPr>
        <w:ind w:left="540" w:hanging="540"/>
        <w:jc w:val="both"/>
        <w:rPr>
          <w:rFonts w:ascii="Arial" w:eastAsia="Tahoma" w:hAnsi="Arial"/>
          <w:bCs/>
        </w:rPr>
      </w:pPr>
    </w:p>
    <w:p w14:paraId="19234EFA" w14:textId="774A5910" w:rsidR="00AC3366" w:rsidRPr="006119EA" w:rsidRDefault="00AC3366">
      <w:pPr>
        <w:ind w:left="540" w:hanging="540"/>
        <w:jc w:val="both"/>
        <w:rPr>
          <w:rFonts w:ascii="Arial" w:eastAsia="Tahoma" w:hAnsi="Arial"/>
          <w:bCs/>
        </w:rPr>
      </w:pPr>
      <w:r w:rsidRPr="006119EA">
        <w:rPr>
          <w:rFonts w:ascii="Arial" w:eastAsia="Tahoma" w:hAnsi="Arial"/>
          <w:bCs/>
        </w:rPr>
        <w:t xml:space="preserve">Efendi, N., &amp; Jayanti, A. S. L. (2024). Optimizing science laboratory management for enhanced student learning outcomes. Indonesian Journal of Law and Economics Review, 19(4). </w:t>
      </w:r>
      <w:hyperlink r:id="rId28" w:history="1">
        <w:r w:rsidRPr="006119EA">
          <w:rPr>
            <w:rStyle w:val="Hyperlink"/>
            <w:rFonts w:ascii="Arial" w:eastAsia="Tahoma" w:hAnsi="Arial"/>
            <w:bCs/>
            <w:color w:val="auto"/>
            <w:u w:val="none"/>
          </w:rPr>
          <w:t>https://doi.org/10.21070/ijler.v19i4.1185</w:t>
        </w:r>
      </w:hyperlink>
    </w:p>
    <w:p w14:paraId="4412CA66" w14:textId="77777777" w:rsidR="00AC3366" w:rsidRPr="006119EA" w:rsidRDefault="00AC3366">
      <w:pPr>
        <w:ind w:left="540" w:hanging="540"/>
        <w:jc w:val="both"/>
        <w:rPr>
          <w:rFonts w:ascii="Arial" w:eastAsia="Tahoma" w:hAnsi="Arial"/>
          <w:bCs/>
        </w:rPr>
      </w:pPr>
    </w:p>
    <w:p w14:paraId="7A999293" w14:textId="62FA677D" w:rsidR="00AC3366" w:rsidRPr="006119EA" w:rsidRDefault="00AC3366">
      <w:pPr>
        <w:ind w:left="540" w:hanging="540"/>
        <w:jc w:val="both"/>
        <w:rPr>
          <w:rFonts w:ascii="Arial" w:eastAsia="Tahoma" w:hAnsi="Arial"/>
          <w:bCs/>
        </w:rPr>
      </w:pPr>
      <w:r w:rsidRPr="006119EA">
        <w:rPr>
          <w:rFonts w:ascii="Arial" w:eastAsia="Tahoma" w:hAnsi="Arial"/>
          <w:bCs/>
        </w:rPr>
        <w:t xml:space="preserve">Froese, T. (2022). Scientific observation is Socio-Materially augmented perception: toward a participatory realism. Philosophies, 7(2), 37. </w:t>
      </w:r>
      <w:hyperlink r:id="rId29" w:history="1">
        <w:r w:rsidRPr="006119EA">
          <w:rPr>
            <w:rStyle w:val="Hyperlink"/>
            <w:rFonts w:ascii="Arial" w:eastAsia="Tahoma" w:hAnsi="Arial"/>
            <w:bCs/>
            <w:color w:val="auto"/>
            <w:u w:val="none"/>
          </w:rPr>
          <w:t>https://doi.org/10.3390/philosophies7020037</w:t>
        </w:r>
      </w:hyperlink>
    </w:p>
    <w:p w14:paraId="404F5711" w14:textId="77777777" w:rsidR="00AC3366" w:rsidRPr="006119EA" w:rsidRDefault="00AC3366">
      <w:pPr>
        <w:ind w:left="540" w:hanging="540"/>
        <w:jc w:val="both"/>
        <w:rPr>
          <w:rFonts w:ascii="Arial" w:eastAsia="Tahoma" w:hAnsi="Arial"/>
          <w:bCs/>
        </w:rPr>
      </w:pPr>
    </w:p>
    <w:p w14:paraId="709915B9" w14:textId="2F1CA932" w:rsidR="00AC3366" w:rsidRPr="006119EA" w:rsidRDefault="00AC3366">
      <w:pPr>
        <w:ind w:left="540" w:hanging="540"/>
        <w:jc w:val="both"/>
        <w:rPr>
          <w:rFonts w:ascii="Arial" w:eastAsia="Tahoma" w:hAnsi="Arial"/>
          <w:bCs/>
        </w:rPr>
      </w:pPr>
      <w:r w:rsidRPr="006119EA">
        <w:rPr>
          <w:rFonts w:ascii="Arial" w:eastAsia="Tahoma" w:hAnsi="Arial"/>
          <w:bCs/>
        </w:rPr>
        <w:t xml:space="preserve">Garrido, G. (2025). Self-efficacy: Bandura's theory of motivation in psychology. Simply Psychology. Retrieved October 21, 2025, from </w:t>
      </w:r>
      <w:hyperlink r:id="rId30" w:history="1">
        <w:r w:rsidR="00202A30" w:rsidRPr="006119EA">
          <w:rPr>
            <w:rStyle w:val="Hyperlink"/>
            <w:rFonts w:ascii="Arial" w:eastAsia="Tahoma" w:hAnsi="Arial"/>
            <w:bCs/>
            <w:color w:val="auto"/>
            <w:u w:val="none"/>
          </w:rPr>
          <w:t>https://www.simplypsychology.org/self-efficacy.html</w:t>
        </w:r>
      </w:hyperlink>
    </w:p>
    <w:p w14:paraId="4668A6D6" w14:textId="77777777" w:rsidR="00202A30" w:rsidRPr="006119EA" w:rsidRDefault="00202A30">
      <w:pPr>
        <w:ind w:left="540" w:hanging="540"/>
        <w:jc w:val="both"/>
        <w:rPr>
          <w:rFonts w:ascii="Arial" w:eastAsia="Tahoma" w:hAnsi="Arial"/>
          <w:bCs/>
        </w:rPr>
      </w:pPr>
    </w:p>
    <w:p w14:paraId="3BE35205" w14:textId="2F14B9C5" w:rsidR="00AC3366" w:rsidRPr="006119EA" w:rsidRDefault="00AC3366">
      <w:pPr>
        <w:ind w:left="540" w:hanging="540"/>
        <w:jc w:val="both"/>
        <w:rPr>
          <w:rFonts w:ascii="Arial" w:eastAsia="Tahoma" w:hAnsi="Arial"/>
          <w:bCs/>
        </w:rPr>
      </w:pPr>
      <w:r w:rsidRPr="006119EA">
        <w:rPr>
          <w:rFonts w:ascii="Arial" w:eastAsia="Tahoma" w:hAnsi="Arial"/>
          <w:bCs/>
        </w:rPr>
        <w:t xml:space="preserve">Gonzales, X. G. I., Cabrera, R. M., &amp; Calzada, M. P. T. (2025). Status of laboratory resources and teaching competence in Schools Division of ILOCOS Norte. International Journal of Multidisciplinary Applied Business and Education Research, 6(4), 1575–1588. </w:t>
      </w:r>
      <w:hyperlink r:id="rId31" w:history="1">
        <w:r w:rsidR="00202A30" w:rsidRPr="006119EA">
          <w:rPr>
            <w:rStyle w:val="Hyperlink"/>
            <w:rFonts w:ascii="Arial" w:eastAsia="Tahoma" w:hAnsi="Arial"/>
            <w:bCs/>
            <w:color w:val="auto"/>
            <w:u w:val="none"/>
          </w:rPr>
          <w:t>https://doi.org/10.11594/ijmaber.06.04.02</w:t>
        </w:r>
      </w:hyperlink>
    </w:p>
    <w:p w14:paraId="2628CE62" w14:textId="77777777" w:rsidR="00202A30" w:rsidRPr="006119EA" w:rsidRDefault="00202A30">
      <w:pPr>
        <w:ind w:left="540" w:hanging="540"/>
        <w:jc w:val="both"/>
        <w:rPr>
          <w:rFonts w:ascii="Arial" w:eastAsia="Tahoma" w:hAnsi="Arial"/>
          <w:bCs/>
        </w:rPr>
      </w:pPr>
    </w:p>
    <w:p w14:paraId="1ACE4E61" w14:textId="28B50725" w:rsidR="00AC3366" w:rsidRPr="00CC2B78" w:rsidRDefault="00AC3366">
      <w:pPr>
        <w:ind w:left="540" w:hanging="540"/>
        <w:jc w:val="both"/>
        <w:rPr>
          <w:rFonts w:ascii="Arial" w:eastAsia="Tahoma" w:hAnsi="Arial"/>
          <w:bCs/>
          <w:lang w:val="nl-BE"/>
        </w:rPr>
      </w:pPr>
      <w:proofErr w:type="spellStart"/>
      <w:r w:rsidRPr="006119EA">
        <w:rPr>
          <w:rFonts w:ascii="Arial" w:eastAsia="Tahoma" w:hAnsi="Arial"/>
          <w:bCs/>
        </w:rPr>
        <w:t>Grancharova</w:t>
      </w:r>
      <w:proofErr w:type="spellEnd"/>
      <w:r w:rsidRPr="006119EA">
        <w:rPr>
          <w:rFonts w:ascii="Arial" w:eastAsia="Tahoma" w:hAnsi="Arial"/>
          <w:bCs/>
        </w:rPr>
        <w:t xml:space="preserve">, N. D. (2024). THE ROLE OF STEM LAB EXPERIMENTS IN BUILDING SCIENCE LITERACY IN CHEMISTRY EDUCATION. International Journal of Multidisciplinary Research in Arts Science and Technology, 2(8), 42–50. </w:t>
      </w:r>
      <w:hyperlink r:id="rId32" w:history="1">
        <w:r w:rsidR="00202A30" w:rsidRPr="00CC2B78">
          <w:rPr>
            <w:rStyle w:val="Hyperlink"/>
            <w:rFonts w:ascii="Arial" w:eastAsia="Tahoma" w:hAnsi="Arial"/>
            <w:bCs/>
            <w:color w:val="auto"/>
            <w:u w:val="none"/>
            <w:lang w:val="nl-BE"/>
          </w:rPr>
          <w:t>https://doi.org/10.61778/ijmrast.v2i8.76</w:t>
        </w:r>
      </w:hyperlink>
    </w:p>
    <w:p w14:paraId="758C573D" w14:textId="77777777" w:rsidR="00202A30" w:rsidRPr="00CC2B78" w:rsidRDefault="00202A30">
      <w:pPr>
        <w:ind w:left="540" w:hanging="540"/>
        <w:jc w:val="both"/>
        <w:rPr>
          <w:rFonts w:ascii="Arial" w:eastAsia="Tahoma" w:hAnsi="Arial"/>
          <w:bCs/>
          <w:lang w:val="nl-BE"/>
        </w:rPr>
      </w:pPr>
    </w:p>
    <w:p w14:paraId="77A19A6E" w14:textId="2A5B532C" w:rsidR="00AC3366" w:rsidRPr="006119EA" w:rsidRDefault="00AC3366">
      <w:pPr>
        <w:ind w:left="540" w:hanging="540"/>
        <w:jc w:val="both"/>
        <w:rPr>
          <w:rFonts w:ascii="Arial" w:eastAsia="Tahoma" w:hAnsi="Arial"/>
          <w:bCs/>
        </w:rPr>
      </w:pPr>
      <w:r w:rsidRPr="00CC2B78">
        <w:rPr>
          <w:rFonts w:ascii="Arial" w:eastAsia="Tahoma" w:hAnsi="Arial"/>
          <w:bCs/>
          <w:lang w:val="nl-BE"/>
        </w:rPr>
        <w:t xml:space="preserve">Haberbosch, M., Deiters, M., &amp; Schaal, S. (2025). </w:t>
      </w:r>
      <w:r w:rsidRPr="006119EA">
        <w:rPr>
          <w:rFonts w:ascii="Arial" w:eastAsia="Tahoma" w:hAnsi="Arial"/>
          <w:bCs/>
        </w:rPr>
        <w:t xml:space="preserve">Combining virtual and hands-on lab work in a blended learning approach on molecular biology methods and lab safety for lower secondary education students. Education Sciences, 15(2), 123. </w:t>
      </w:r>
      <w:hyperlink r:id="rId33" w:history="1">
        <w:r w:rsidR="00202A30" w:rsidRPr="006119EA">
          <w:rPr>
            <w:rStyle w:val="Hyperlink"/>
            <w:rFonts w:ascii="Arial" w:eastAsia="Tahoma" w:hAnsi="Arial"/>
            <w:bCs/>
            <w:color w:val="auto"/>
            <w:u w:val="none"/>
          </w:rPr>
          <w:t>https://doi.org/10.3390/educsci15020123</w:t>
        </w:r>
      </w:hyperlink>
    </w:p>
    <w:p w14:paraId="212A5AF1" w14:textId="77777777" w:rsidR="00202A30" w:rsidRPr="006119EA" w:rsidRDefault="00202A30">
      <w:pPr>
        <w:ind w:left="540" w:hanging="540"/>
        <w:jc w:val="both"/>
        <w:rPr>
          <w:rFonts w:ascii="Arial" w:eastAsia="Tahoma" w:hAnsi="Arial"/>
          <w:bCs/>
        </w:rPr>
      </w:pPr>
    </w:p>
    <w:p w14:paraId="0DAE5AD6" w14:textId="434234A3" w:rsidR="00AC3366" w:rsidRPr="006119EA" w:rsidRDefault="00AC3366">
      <w:pPr>
        <w:ind w:left="540" w:hanging="540"/>
        <w:jc w:val="both"/>
        <w:rPr>
          <w:rFonts w:ascii="Arial" w:eastAsia="Tahoma" w:hAnsi="Arial"/>
          <w:bCs/>
        </w:rPr>
      </w:pPr>
      <w:r w:rsidRPr="006119EA">
        <w:rPr>
          <w:rFonts w:ascii="Arial" w:eastAsia="Tahoma" w:hAnsi="Arial"/>
          <w:bCs/>
        </w:rPr>
        <w:t xml:space="preserve">Hiyan, K., Ortega, J., </w:t>
      </w:r>
      <w:proofErr w:type="spellStart"/>
      <w:r w:rsidRPr="006119EA">
        <w:rPr>
          <w:rFonts w:ascii="Arial" w:eastAsia="Tahoma" w:hAnsi="Arial"/>
          <w:bCs/>
        </w:rPr>
        <w:t>Algara</w:t>
      </w:r>
      <w:proofErr w:type="spellEnd"/>
      <w:r w:rsidRPr="006119EA">
        <w:rPr>
          <w:rFonts w:ascii="Arial" w:eastAsia="Tahoma" w:hAnsi="Arial"/>
          <w:bCs/>
        </w:rPr>
        <w:t xml:space="preserve">, G. L., Catubig, D., </w:t>
      </w:r>
      <w:proofErr w:type="spellStart"/>
      <w:r w:rsidRPr="006119EA">
        <w:rPr>
          <w:rFonts w:ascii="Arial" w:eastAsia="Tahoma" w:hAnsi="Arial"/>
          <w:bCs/>
        </w:rPr>
        <w:t>Tantog</w:t>
      </w:r>
      <w:proofErr w:type="spellEnd"/>
      <w:r w:rsidRPr="006119EA">
        <w:rPr>
          <w:rFonts w:ascii="Arial" w:eastAsia="Tahoma" w:hAnsi="Arial"/>
          <w:bCs/>
        </w:rPr>
        <w:t xml:space="preserve">, A. J., &amp; </w:t>
      </w:r>
      <w:proofErr w:type="spellStart"/>
      <w:r w:rsidRPr="006119EA">
        <w:rPr>
          <w:rFonts w:ascii="Arial" w:eastAsia="Tahoma" w:hAnsi="Arial"/>
          <w:bCs/>
        </w:rPr>
        <w:t>Naparan</w:t>
      </w:r>
      <w:proofErr w:type="spellEnd"/>
      <w:r w:rsidRPr="006119EA">
        <w:rPr>
          <w:rFonts w:ascii="Arial" w:eastAsia="Tahoma" w:hAnsi="Arial"/>
          <w:bCs/>
        </w:rPr>
        <w:t xml:space="preserve">, G. (2025). Exploring the experiences of the BSED major in science students in the use of laboratory facilities and equipment. Journal of Elementary and Secondary School, 3(2), 70–85. </w:t>
      </w:r>
      <w:hyperlink r:id="rId34" w:history="1">
        <w:r w:rsidR="00202A30" w:rsidRPr="006119EA">
          <w:rPr>
            <w:rStyle w:val="Hyperlink"/>
            <w:rFonts w:ascii="Arial" w:eastAsia="Tahoma" w:hAnsi="Arial"/>
            <w:bCs/>
            <w:color w:val="auto"/>
            <w:u w:val="none"/>
          </w:rPr>
          <w:t>https://doi.org/10.31098/jess.v3i2.2963</w:t>
        </w:r>
      </w:hyperlink>
    </w:p>
    <w:p w14:paraId="0CB426B2" w14:textId="77777777" w:rsidR="00202A30" w:rsidRPr="006119EA" w:rsidRDefault="00202A30">
      <w:pPr>
        <w:ind w:left="540" w:hanging="540"/>
        <w:jc w:val="both"/>
        <w:rPr>
          <w:rFonts w:ascii="Arial" w:eastAsia="Tahoma" w:hAnsi="Arial"/>
          <w:bCs/>
        </w:rPr>
      </w:pPr>
    </w:p>
    <w:p w14:paraId="74DF745E" w14:textId="4B6CCD4B" w:rsidR="00AC3366" w:rsidRPr="006119EA" w:rsidRDefault="00AC3366">
      <w:pPr>
        <w:ind w:left="540" w:hanging="540"/>
        <w:jc w:val="both"/>
        <w:rPr>
          <w:rFonts w:ascii="Arial" w:eastAsia="Tahoma" w:hAnsi="Arial"/>
          <w:bCs/>
        </w:rPr>
      </w:pPr>
      <w:r w:rsidRPr="006119EA">
        <w:rPr>
          <w:rFonts w:ascii="Arial" w:eastAsia="Tahoma" w:hAnsi="Arial"/>
          <w:bCs/>
        </w:rPr>
        <w:t xml:space="preserve">Honicke, T., Broadbent, J., &amp; Fuller-Tyszkiewicz, M. (2023). The self-efficacy and academic performance reciprocal relationship: the influence of task difficulty and baseline achievement on learner trajectory. Higher Education Research &amp; Development, 42(8), 1936–1953. </w:t>
      </w:r>
      <w:hyperlink r:id="rId35" w:history="1">
        <w:r w:rsidR="00202A30" w:rsidRPr="006119EA">
          <w:rPr>
            <w:rStyle w:val="Hyperlink"/>
            <w:rFonts w:ascii="Arial" w:eastAsia="Tahoma" w:hAnsi="Arial"/>
            <w:bCs/>
            <w:color w:val="auto"/>
            <w:u w:val="none"/>
          </w:rPr>
          <w:t>https://doi.org/10.1080/07294360.2023.2197194</w:t>
        </w:r>
      </w:hyperlink>
    </w:p>
    <w:p w14:paraId="1A4B2560" w14:textId="77777777" w:rsidR="00202A30" w:rsidRPr="006119EA" w:rsidRDefault="00202A30">
      <w:pPr>
        <w:ind w:left="540" w:hanging="540"/>
        <w:jc w:val="both"/>
        <w:rPr>
          <w:rFonts w:ascii="Arial" w:eastAsia="Tahoma" w:hAnsi="Arial"/>
          <w:bCs/>
        </w:rPr>
      </w:pPr>
    </w:p>
    <w:p w14:paraId="3B8035EE" w14:textId="524B08BB" w:rsidR="00AC3366" w:rsidRPr="006119EA" w:rsidRDefault="00AC3366">
      <w:pPr>
        <w:ind w:left="540" w:hanging="540"/>
        <w:jc w:val="both"/>
        <w:rPr>
          <w:rFonts w:ascii="Arial" w:eastAsia="Tahoma" w:hAnsi="Arial"/>
          <w:bCs/>
        </w:rPr>
      </w:pPr>
      <w:r w:rsidRPr="006119EA">
        <w:rPr>
          <w:rFonts w:ascii="Arial" w:eastAsia="Tahoma" w:hAnsi="Arial"/>
          <w:bCs/>
        </w:rPr>
        <w:t xml:space="preserve">Johnson, M. L., &amp; Burns, E. (2023). Characteristics of effective models for classroom demonstrations. Theory Into Practice, 62(3), 207–218. </w:t>
      </w:r>
      <w:hyperlink r:id="rId36" w:history="1">
        <w:r w:rsidR="00202A30" w:rsidRPr="006119EA">
          <w:rPr>
            <w:rStyle w:val="Hyperlink"/>
            <w:rFonts w:ascii="Arial" w:eastAsia="Tahoma" w:hAnsi="Arial"/>
            <w:bCs/>
            <w:color w:val="auto"/>
            <w:u w:val="none"/>
          </w:rPr>
          <w:t>https://doi.org/10.1080/00405841.2023.2226552</w:t>
        </w:r>
      </w:hyperlink>
    </w:p>
    <w:p w14:paraId="72C6115B" w14:textId="77777777" w:rsidR="00202A30" w:rsidRPr="006119EA" w:rsidRDefault="00202A30">
      <w:pPr>
        <w:ind w:left="540" w:hanging="540"/>
        <w:jc w:val="both"/>
        <w:rPr>
          <w:rFonts w:ascii="Arial" w:eastAsia="Tahoma" w:hAnsi="Arial"/>
          <w:bCs/>
        </w:rPr>
      </w:pPr>
    </w:p>
    <w:p w14:paraId="40A1C7FF" w14:textId="507A8C35" w:rsidR="00AC3366" w:rsidRPr="006119EA" w:rsidRDefault="00AC3366">
      <w:pPr>
        <w:ind w:left="540" w:hanging="540"/>
        <w:jc w:val="both"/>
        <w:rPr>
          <w:rFonts w:ascii="Arial" w:eastAsia="Tahoma" w:hAnsi="Arial"/>
          <w:bCs/>
        </w:rPr>
      </w:pPr>
      <w:proofErr w:type="spellStart"/>
      <w:r w:rsidRPr="006119EA">
        <w:rPr>
          <w:rFonts w:ascii="Arial" w:eastAsia="Tahoma" w:hAnsi="Arial"/>
          <w:bCs/>
        </w:rPr>
        <w:t>Kandamby</w:t>
      </w:r>
      <w:proofErr w:type="spellEnd"/>
      <w:r w:rsidRPr="006119EA">
        <w:rPr>
          <w:rFonts w:ascii="Arial" w:eastAsia="Tahoma" w:hAnsi="Arial"/>
          <w:bCs/>
        </w:rPr>
        <w:t xml:space="preserve">, G. W. T. C. (2019). Effectiveness of laboratory practical for students’ learning. International Journal for Innovation Education and Research, 7(3), 222–236. </w:t>
      </w:r>
      <w:hyperlink r:id="rId37" w:history="1">
        <w:r w:rsidR="00202A30" w:rsidRPr="006119EA">
          <w:rPr>
            <w:rStyle w:val="Hyperlink"/>
            <w:rFonts w:ascii="Arial" w:eastAsia="Tahoma" w:hAnsi="Arial"/>
            <w:bCs/>
            <w:color w:val="auto"/>
            <w:u w:val="none"/>
          </w:rPr>
          <w:t>https://doi.org/10.31686/ijier.vol7.iss3.1359</w:t>
        </w:r>
      </w:hyperlink>
    </w:p>
    <w:p w14:paraId="2F61122D" w14:textId="77777777" w:rsidR="00202A30" w:rsidRPr="006119EA" w:rsidRDefault="00202A30">
      <w:pPr>
        <w:ind w:left="540" w:hanging="540"/>
        <w:jc w:val="both"/>
        <w:rPr>
          <w:rFonts w:ascii="Arial" w:eastAsia="Tahoma" w:hAnsi="Arial"/>
          <w:bCs/>
        </w:rPr>
      </w:pPr>
    </w:p>
    <w:p w14:paraId="198267FE" w14:textId="1541CDDC" w:rsidR="00AC3366" w:rsidRPr="006119EA" w:rsidRDefault="00AC3366">
      <w:pPr>
        <w:ind w:left="540" w:hanging="540"/>
        <w:jc w:val="both"/>
        <w:rPr>
          <w:rFonts w:ascii="Arial" w:eastAsia="Tahoma" w:hAnsi="Arial"/>
          <w:bCs/>
        </w:rPr>
      </w:pPr>
      <w:r w:rsidRPr="00CC2B78">
        <w:rPr>
          <w:rFonts w:ascii="Arial" w:eastAsia="Tahoma" w:hAnsi="Arial"/>
          <w:bCs/>
          <w:lang w:val="nl-BE"/>
        </w:rPr>
        <w:t xml:space="preserve">Kapici, H. O., Akcay, H., &amp; De Jong, T. (2020). </w:t>
      </w:r>
      <w:r w:rsidRPr="006119EA">
        <w:rPr>
          <w:rFonts w:ascii="Arial" w:eastAsia="Tahoma" w:hAnsi="Arial"/>
          <w:bCs/>
        </w:rPr>
        <w:t xml:space="preserve">How do different laboratory environments influence students’ attitudes toward science courses and laboratories? Journal of Research on Technology in Education, 52(4), 534–549. </w:t>
      </w:r>
      <w:hyperlink r:id="rId38" w:history="1">
        <w:r w:rsidR="00202A30" w:rsidRPr="006119EA">
          <w:rPr>
            <w:rStyle w:val="Hyperlink"/>
            <w:rFonts w:ascii="Arial" w:eastAsia="Tahoma" w:hAnsi="Arial"/>
            <w:bCs/>
            <w:color w:val="auto"/>
            <w:u w:val="none"/>
          </w:rPr>
          <w:t>https://doi.org/10.1080/15391523.2020.1750075</w:t>
        </w:r>
      </w:hyperlink>
    </w:p>
    <w:p w14:paraId="41E510DA" w14:textId="77777777" w:rsidR="00202A30" w:rsidRPr="006119EA" w:rsidRDefault="00202A30">
      <w:pPr>
        <w:ind w:left="540" w:hanging="540"/>
        <w:jc w:val="both"/>
        <w:rPr>
          <w:rFonts w:ascii="Arial" w:eastAsia="Tahoma" w:hAnsi="Arial"/>
          <w:bCs/>
        </w:rPr>
      </w:pPr>
    </w:p>
    <w:p w14:paraId="377D1E8F" w14:textId="560A1BCE" w:rsidR="006119EA" w:rsidRPr="006119EA" w:rsidRDefault="00AC3366">
      <w:pPr>
        <w:ind w:left="540" w:hanging="540"/>
        <w:jc w:val="both"/>
        <w:rPr>
          <w:rFonts w:ascii="Arial" w:eastAsia="Tahoma" w:hAnsi="Arial"/>
          <w:bCs/>
        </w:rPr>
      </w:pPr>
      <w:r w:rsidRPr="006119EA">
        <w:rPr>
          <w:rFonts w:ascii="Arial" w:eastAsia="Tahoma" w:hAnsi="Arial"/>
          <w:bCs/>
        </w:rPr>
        <w:t xml:space="preserve">Kara, G., Korgan, M. B., </w:t>
      </w:r>
      <w:proofErr w:type="spellStart"/>
      <w:r w:rsidRPr="006119EA">
        <w:rPr>
          <w:rFonts w:ascii="Arial" w:eastAsia="Tahoma" w:hAnsi="Arial"/>
          <w:bCs/>
        </w:rPr>
        <w:t>Gökçek</w:t>
      </w:r>
      <w:proofErr w:type="spellEnd"/>
      <w:r w:rsidRPr="006119EA">
        <w:rPr>
          <w:rFonts w:ascii="Arial" w:eastAsia="Tahoma" w:hAnsi="Arial"/>
          <w:bCs/>
        </w:rPr>
        <w:t xml:space="preserve">, K., Karaali, R., Gülmez, H., Güvenç, E., &amp; </w:t>
      </w:r>
      <w:proofErr w:type="spellStart"/>
      <w:r w:rsidRPr="006119EA">
        <w:rPr>
          <w:rFonts w:ascii="Arial" w:eastAsia="Tahoma" w:hAnsi="Arial"/>
          <w:bCs/>
        </w:rPr>
        <w:t>Küçük</w:t>
      </w:r>
      <w:proofErr w:type="spellEnd"/>
      <w:r w:rsidRPr="006119EA">
        <w:rPr>
          <w:rFonts w:ascii="Arial" w:eastAsia="Tahoma" w:hAnsi="Arial"/>
          <w:bCs/>
        </w:rPr>
        <w:t xml:space="preserve">, M. (2025). Evaluation of work-related anxiety and associated factors among sixth-year medical students in the emergency department. Anatolian Journal of Emergency Medicine, 8(2), 47–53. </w:t>
      </w:r>
      <w:hyperlink r:id="rId39" w:history="1">
        <w:r w:rsidRPr="006119EA">
          <w:rPr>
            <w:rStyle w:val="Hyperlink"/>
            <w:rFonts w:ascii="Arial" w:eastAsia="Tahoma" w:hAnsi="Arial"/>
            <w:bCs/>
            <w:color w:val="auto"/>
            <w:u w:val="none"/>
          </w:rPr>
          <w:t>https://doi.org/10.54996/anatolianjem.1666585</w:t>
        </w:r>
      </w:hyperlink>
    </w:p>
    <w:p w14:paraId="7CFED1E0" w14:textId="77777777" w:rsidR="00202A30" w:rsidRPr="006119EA" w:rsidRDefault="00202A30">
      <w:pPr>
        <w:ind w:left="540" w:hanging="540"/>
        <w:jc w:val="both"/>
        <w:rPr>
          <w:rFonts w:ascii="Arial" w:eastAsia="Tahoma" w:hAnsi="Arial"/>
          <w:bCs/>
        </w:rPr>
      </w:pPr>
    </w:p>
    <w:p w14:paraId="2CAC8568" w14:textId="28C7F8F8" w:rsidR="00AC3366" w:rsidRPr="006119EA" w:rsidRDefault="00AC3366">
      <w:pPr>
        <w:ind w:left="540" w:hanging="540"/>
        <w:jc w:val="both"/>
        <w:rPr>
          <w:rFonts w:ascii="Arial" w:eastAsia="Tahoma" w:hAnsi="Arial"/>
          <w:bCs/>
        </w:rPr>
      </w:pPr>
      <w:r w:rsidRPr="006119EA">
        <w:rPr>
          <w:rFonts w:ascii="Arial" w:eastAsia="Tahoma" w:hAnsi="Arial"/>
          <w:bCs/>
        </w:rPr>
        <w:t xml:space="preserve">Kazu, İ. Y., &amp; Yalçın, C. K. (2021). The effect of STEM education on academic performance: A meta-analysis study. TOJET: The Turkish Online Journal of Educational Technology, 20(4), 1–14. </w:t>
      </w:r>
      <w:hyperlink r:id="rId40" w:history="1">
        <w:r w:rsidR="006119EA" w:rsidRPr="006119EA">
          <w:rPr>
            <w:rStyle w:val="Hyperlink"/>
            <w:rFonts w:ascii="Arial" w:eastAsia="Tahoma" w:hAnsi="Arial"/>
            <w:bCs/>
            <w:color w:val="auto"/>
            <w:u w:val="none"/>
          </w:rPr>
          <w:t>https://eric.ed.gov/?id=EJ1313488</w:t>
        </w:r>
      </w:hyperlink>
    </w:p>
    <w:p w14:paraId="21535CB8" w14:textId="77777777" w:rsidR="006119EA" w:rsidRPr="006119EA" w:rsidRDefault="006119EA">
      <w:pPr>
        <w:ind w:left="540" w:hanging="540"/>
        <w:jc w:val="both"/>
        <w:rPr>
          <w:rFonts w:ascii="Arial" w:eastAsia="Tahoma" w:hAnsi="Arial"/>
          <w:bCs/>
        </w:rPr>
      </w:pPr>
    </w:p>
    <w:p w14:paraId="7186A6D8" w14:textId="7C87DC39" w:rsidR="00AC3366" w:rsidRPr="006119EA" w:rsidRDefault="00AC3366">
      <w:pPr>
        <w:ind w:left="540" w:hanging="540"/>
        <w:jc w:val="both"/>
        <w:rPr>
          <w:rFonts w:ascii="Arial" w:eastAsia="Tahoma" w:hAnsi="Arial"/>
          <w:bCs/>
        </w:rPr>
      </w:pPr>
      <w:r w:rsidRPr="006119EA">
        <w:rPr>
          <w:rFonts w:ascii="Arial" w:eastAsia="Tahoma" w:hAnsi="Arial"/>
          <w:bCs/>
        </w:rPr>
        <w:t xml:space="preserve">Kolil, V. K., </w:t>
      </w:r>
      <w:proofErr w:type="spellStart"/>
      <w:r w:rsidRPr="006119EA">
        <w:rPr>
          <w:rFonts w:ascii="Arial" w:eastAsia="Tahoma" w:hAnsi="Arial"/>
          <w:bCs/>
        </w:rPr>
        <w:t>Muthupalani</w:t>
      </w:r>
      <w:proofErr w:type="spellEnd"/>
      <w:r w:rsidRPr="006119EA">
        <w:rPr>
          <w:rFonts w:ascii="Arial" w:eastAsia="Tahoma" w:hAnsi="Arial"/>
          <w:bCs/>
        </w:rPr>
        <w:t xml:space="preserve">, S., &amp; Achuthan, K. (2020). Virtual experimental platforms in chemistry laboratory education and its impact on experimental self-efficacy. International Journal of Educational Technology in Higher Education, 17(1). </w:t>
      </w:r>
      <w:hyperlink r:id="rId41" w:history="1">
        <w:r w:rsidR="006119EA" w:rsidRPr="006119EA">
          <w:rPr>
            <w:rStyle w:val="Hyperlink"/>
            <w:rFonts w:ascii="Arial" w:eastAsia="Tahoma" w:hAnsi="Arial"/>
            <w:bCs/>
            <w:color w:val="auto"/>
            <w:u w:val="none"/>
          </w:rPr>
          <w:t>https://doi.org/10.1186/s41239-020-00204-3</w:t>
        </w:r>
      </w:hyperlink>
    </w:p>
    <w:p w14:paraId="6A63BD72" w14:textId="77777777" w:rsidR="006119EA" w:rsidRPr="006119EA" w:rsidRDefault="006119EA">
      <w:pPr>
        <w:ind w:left="540" w:hanging="540"/>
        <w:jc w:val="both"/>
        <w:rPr>
          <w:rFonts w:ascii="Arial" w:eastAsia="Tahoma" w:hAnsi="Arial"/>
          <w:bCs/>
        </w:rPr>
      </w:pPr>
    </w:p>
    <w:p w14:paraId="55BB91EC" w14:textId="5A213627" w:rsidR="00AC3366" w:rsidRPr="006119EA" w:rsidRDefault="00AC3366">
      <w:pPr>
        <w:ind w:left="540" w:hanging="540"/>
        <w:jc w:val="both"/>
        <w:rPr>
          <w:rFonts w:ascii="Arial" w:eastAsia="Tahoma" w:hAnsi="Arial"/>
          <w:bCs/>
        </w:rPr>
      </w:pPr>
      <w:r w:rsidRPr="006119EA">
        <w:rPr>
          <w:rFonts w:ascii="Arial" w:eastAsia="Tahoma" w:hAnsi="Arial"/>
          <w:bCs/>
        </w:rPr>
        <w:t xml:space="preserve">Kolil, V. K., Parvathy, S. U., &amp; Achuthan, K. (2023). Confirmatory and validation studies on experimental self-efficacy scale with applications to multiple scientific disciplines. Frontiers in Psychology, 14. </w:t>
      </w:r>
      <w:hyperlink r:id="rId42" w:history="1">
        <w:r w:rsidR="006119EA" w:rsidRPr="006119EA">
          <w:rPr>
            <w:rStyle w:val="Hyperlink"/>
            <w:rFonts w:ascii="Arial" w:eastAsia="Tahoma" w:hAnsi="Arial"/>
            <w:bCs/>
            <w:color w:val="auto"/>
            <w:u w:val="none"/>
          </w:rPr>
          <w:t>https://doi.org/10.3389/fpsyg.2023.1154310</w:t>
        </w:r>
      </w:hyperlink>
    </w:p>
    <w:p w14:paraId="1C241826" w14:textId="77777777" w:rsidR="006119EA" w:rsidRPr="006119EA" w:rsidRDefault="006119EA">
      <w:pPr>
        <w:ind w:left="540" w:hanging="540"/>
        <w:jc w:val="both"/>
        <w:rPr>
          <w:rFonts w:ascii="Arial" w:eastAsia="Tahoma" w:hAnsi="Arial"/>
          <w:bCs/>
        </w:rPr>
      </w:pPr>
    </w:p>
    <w:p w14:paraId="17D9E27A" w14:textId="77777777" w:rsidR="00AC3366" w:rsidRPr="006119EA" w:rsidRDefault="00AC3366">
      <w:pPr>
        <w:ind w:left="540" w:hanging="540"/>
        <w:jc w:val="both"/>
        <w:rPr>
          <w:rFonts w:ascii="Arial" w:eastAsia="Tahoma" w:hAnsi="Arial"/>
          <w:bCs/>
        </w:rPr>
      </w:pPr>
      <w:proofErr w:type="spellStart"/>
      <w:r w:rsidRPr="006119EA">
        <w:rPr>
          <w:rFonts w:ascii="Arial" w:eastAsia="Tahoma" w:hAnsi="Arial"/>
          <w:bCs/>
        </w:rPr>
        <w:t>Kperogi</w:t>
      </w:r>
      <w:proofErr w:type="spellEnd"/>
      <w:r w:rsidRPr="006119EA">
        <w:rPr>
          <w:rFonts w:ascii="Arial" w:eastAsia="Tahoma" w:hAnsi="Arial"/>
          <w:bCs/>
        </w:rPr>
        <w:t xml:space="preserve">, H. J., Ahmed, A. A., &amp; Gazali, A. M. (2025). Design and evaluation of a gamified biology learning application for senior secondary students in Ilorin, Nigeria. EDUVIS: Journal of Education and Visual Studies, 10(1). </w:t>
      </w:r>
      <w:hyperlink r:id="rId43" w:history="1">
        <w:r w:rsidRPr="006119EA">
          <w:rPr>
            <w:rStyle w:val="Hyperlink"/>
            <w:rFonts w:ascii="Arial" w:eastAsia="Tahoma" w:hAnsi="Arial"/>
            <w:bCs/>
            <w:color w:val="auto"/>
            <w:u w:val="none"/>
          </w:rPr>
          <w:t>https://doi.org/10.47453/eduvis.v10i1.3311</w:t>
        </w:r>
      </w:hyperlink>
    </w:p>
    <w:p w14:paraId="50E2618C" w14:textId="77777777" w:rsidR="006119EA" w:rsidRPr="006119EA" w:rsidRDefault="006119EA">
      <w:pPr>
        <w:ind w:left="540" w:hanging="540"/>
        <w:jc w:val="both"/>
        <w:rPr>
          <w:rFonts w:ascii="Arial" w:eastAsia="Tahoma" w:hAnsi="Arial"/>
          <w:bCs/>
        </w:rPr>
      </w:pPr>
    </w:p>
    <w:p w14:paraId="1CD230B3" w14:textId="0E878283" w:rsidR="00AC3366" w:rsidRPr="006119EA" w:rsidRDefault="00AC3366">
      <w:pPr>
        <w:ind w:left="540" w:hanging="540"/>
        <w:jc w:val="both"/>
        <w:rPr>
          <w:rFonts w:ascii="Arial" w:eastAsia="Tahoma" w:hAnsi="Arial"/>
          <w:bCs/>
        </w:rPr>
      </w:pPr>
      <w:r w:rsidRPr="006119EA">
        <w:rPr>
          <w:rFonts w:ascii="Arial" w:eastAsia="Tahoma" w:hAnsi="Arial"/>
          <w:bCs/>
        </w:rPr>
        <w:t xml:space="preserve">Kumari, P., Mwesigye, A., &amp; </w:t>
      </w:r>
      <w:proofErr w:type="spellStart"/>
      <w:r w:rsidRPr="006119EA">
        <w:rPr>
          <w:rFonts w:ascii="Arial" w:eastAsia="Tahoma" w:hAnsi="Arial"/>
          <w:bCs/>
        </w:rPr>
        <w:t>Balimuttajjo</w:t>
      </w:r>
      <w:proofErr w:type="spellEnd"/>
      <w:r w:rsidRPr="006119EA">
        <w:rPr>
          <w:rFonts w:ascii="Arial" w:eastAsia="Tahoma" w:hAnsi="Arial"/>
          <w:bCs/>
        </w:rPr>
        <w:t xml:space="preserve">, S. (2024). Science laboratory education and </w:t>
      </w:r>
      <w:proofErr w:type="gramStart"/>
      <w:r w:rsidRPr="006119EA">
        <w:rPr>
          <w:rFonts w:ascii="Arial" w:eastAsia="Tahoma" w:hAnsi="Arial"/>
          <w:bCs/>
        </w:rPr>
        <w:t>students’</w:t>
      </w:r>
      <w:proofErr w:type="gramEnd"/>
      <w:r w:rsidRPr="006119EA">
        <w:rPr>
          <w:rFonts w:ascii="Arial" w:eastAsia="Tahoma" w:hAnsi="Arial"/>
          <w:bCs/>
        </w:rPr>
        <w:t xml:space="preserve"> perceived behavior towards science education: A review. Journal of Research Innovation and Implications in Education, 8(4), 555–561. </w:t>
      </w:r>
      <w:hyperlink r:id="rId44" w:history="1">
        <w:r w:rsidR="006119EA" w:rsidRPr="006119EA">
          <w:rPr>
            <w:rStyle w:val="Hyperlink"/>
            <w:rFonts w:ascii="Arial" w:eastAsia="Tahoma" w:hAnsi="Arial"/>
            <w:bCs/>
            <w:color w:val="auto"/>
            <w:u w:val="none"/>
          </w:rPr>
          <w:t>https://doi.org/10.59765/pws538jgt</w:t>
        </w:r>
      </w:hyperlink>
    </w:p>
    <w:p w14:paraId="7E6D0FE3" w14:textId="77777777" w:rsidR="006119EA" w:rsidRPr="006119EA" w:rsidRDefault="006119EA">
      <w:pPr>
        <w:ind w:left="540" w:hanging="540"/>
        <w:jc w:val="both"/>
        <w:rPr>
          <w:rFonts w:ascii="Arial" w:eastAsia="Tahoma" w:hAnsi="Arial"/>
          <w:bCs/>
        </w:rPr>
      </w:pPr>
    </w:p>
    <w:p w14:paraId="46A2F65A" w14:textId="0B192855" w:rsidR="00AC3366" w:rsidRPr="006119EA" w:rsidRDefault="00AC3366">
      <w:pPr>
        <w:ind w:left="540" w:hanging="540"/>
        <w:jc w:val="both"/>
        <w:rPr>
          <w:rFonts w:ascii="Arial" w:eastAsia="Tahoma" w:hAnsi="Arial"/>
          <w:bCs/>
        </w:rPr>
      </w:pPr>
      <w:r w:rsidRPr="006119EA">
        <w:rPr>
          <w:rFonts w:ascii="Arial" w:eastAsia="Tahoma" w:hAnsi="Arial"/>
          <w:bCs/>
        </w:rPr>
        <w:t xml:space="preserve">Kyriazis, N., </w:t>
      </w:r>
      <w:proofErr w:type="spellStart"/>
      <w:r w:rsidRPr="006119EA">
        <w:rPr>
          <w:rFonts w:ascii="Arial" w:eastAsia="Tahoma" w:hAnsi="Arial"/>
          <w:bCs/>
        </w:rPr>
        <w:t>Stylos</w:t>
      </w:r>
      <w:proofErr w:type="spellEnd"/>
      <w:r w:rsidRPr="006119EA">
        <w:rPr>
          <w:rFonts w:ascii="Arial" w:eastAsia="Tahoma" w:hAnsi="Arial"/>
          <w:bCs/>
        </w:rPr>
        <w:t xml:space="preserve">, G., &amp; Kotsis, K. (2025). Impact of inquiry-based laboratory activities on understanding heat concepts and self-efficacy in pre-service teachers. Journal of Pedagogical Research, 9(1), 161–181. </w:t>
      </w:r>
      <w:hyperlink r:id="rId45" w:history="1">
        <w:r w:rsidR="006119EA" w:rsidRPr="006119EA">
          <w:rPr>
            <w:rStyle w:val="Hyperlink"/>
            <w:rFonts w:ascii="Arial" w:eastAsia="Tahoma" w:hAnsi="Arial"/>
            <w:bCs/>
            <w:color w:val="auto"/>
            <w:u w:val="none"/>
          </w:rPr>
          <w:t>https://doi.org/10.33902/JPR.202530426</w:t>
        </w:r>
      </w:hyperlink>
    </w:p>
    <w:p w14:paraId="2644DFF2" w14:textId="77777777" w:rsidR="006119EA" w:rsidRPr="006119EA" w:rsidRDefault="006119EA">
      <w:pPr>
        <w:ind w:left="540" w:hanging="540"/>
        <w:jc w:val="both"/>
        <w:rPr>
          <w:rFonts w:ascii="Arial" w:eastAsia="Tahoma" w:hAnsi="Arial"/>
          <w:bCs/>
        </w:rPr>
      </w:pPr>
    </w:p>
    <w:p w14:paraId="74D1C4CA" w14:textId="174F334B" w:rsidR="00AC3366" w:rsidRPr="006119EA" w:rsidRDefault="00AC3366">
      <w:pPr>
        <w:ind w:left="540" w:hanging="540"/>
        <w:jc w:val="both"/>
        <w:rPr>
          <w:rFonts w:ascii="Arial" w:eastAsia="Tahoma" w:hAnsi="Arial"/>
          <w:bCs/>
        </w:rPr>
      </w:pPr>
      <w:r w:rsidRPr="006119EA">
        <w:rPr>
          <w:rFonts w:ascii="Arial" w:eastAsia="Tahoma" w:hAnsi="Arial"/>
          <w:bCs/>
        </w:rPr>
        <w:t xml:space="preserve">Lazaro, J. M. V., &amp; Paglinawan, J. L. (2025). Laboratory resource availability and students’ engagement in science. International Journal of Research and Innovation in Applied Science, IX(XII), 146–153. </w:t>
      </w:r>
      <w:hyperlink r:id="rId46" w:history="1">
        <w:r w:rsidR="006119EA" w:rsidRPr="006119EA">
          <w:rPr>
            <w:rStyle w:val="Hyperlink"/>
            <w:rFonts w:ascii="Arial" w:eastAsia="Tahoma" w:hAnsi="Arial"/>
            <w:bCs/>
            <w:color w:val="auto"/>
            <w:u w:val="none"/>
          </w:rPr>
          <w:t>https://doi.org/10.51584/ijrias.2024.912015</w:t>
        </w:r>
      </w:hyperlink>
    </w:p>
    <w:p w14:paraId="1E48ABB2" w14:textId="77777777" w:rsidR="006119EA" w:rsidRPr="006119EA" w:rsidRDefault="006119EA">
      <w:pPr>
        <w:ind w:left="540" w:hanging="540"/>
        <w:jc w:val="both"/>
        <w:rPr>
          <w:rFonts w:ascii="Arial" w:eastAsia="Tahoma" w:hAnsi="Arial"/>
          <w:bCs/>
        </w:rPr>
      </w:pPr>
    </w:p>
    <w:p w14:paraId="2E778161" w14:textId="1106DD21" w:rsidR="00AC3366" w:rsidRPr="006119EA" w:rsidRDefault="00AC3366">
      <w:pPr>
        <w:ind w:left="540" w:hanging="540"/>
        <w:jc w:val="both"/>
        <w:rPr>
          <w:rFonts w:ascii="Arial" w:eastAsia="Tahoma" w:hAnsi="Arial"/>
          <w:bCs/>
        </w:rPr>
      </w:pPr>
      <w:r w:rsidRPr="006119EA">
        <w:rPr>
          <w:rFonts w:ascii="Arial" w:eastAsia="Tahoma" w:hAnsi="Arial"/>
          <w:bCs/>
        </w:rPr>
        <w:t xml:space="preserve">Le, H. C., Nguyen, V. H., &amp; Nguyen, T. L. (2023). Integrated STEM approaches and associated outcomes of K–12 student learning: A systematic review. Education Sciences, 13(3), 297. </w:t>
      </w:r>
      <w:hyperlink r:id="rId47" w:history="1">
        <w:r w:rsidR="006119EA" w:rsidRPr="006119EA">
          <w:rPr>
            <w:rStyle w:val="Hyperlink"/>
            <w:rFonts w:ascii="Arial" w:eastAsia="Tahoma" w:hAnsi="Arial"/>
            <w:bCs/>
            <w:color w:val="auto"/>
            <w:u w:val="none"/>
          </w:rPr>
          <w:t>https://doi.org/10.3390/educsci13030297</w:t>
        </w:r>
      </w:hyperlink>
    </w:p>
    <w:p w14:paraId="0626EBE9" w14:textId="77777777" w:rsidR="006119EA" w:rsidRPr="006119EA" w:rsidRDefault="006119EA">
      <w:pPr>
        <w:ind w:left="540" w:hanging="540"/>
        <w:jc w:val="both"/>
        <w:rPr>
          <w:rFonts w:ascii="Arial" w:eastAsia="Tahoma" w:hAnsi="Arial"/>
          <w:bCs/>
        </w:rPr>
      </w:pPr>
    </w:p>
    <w:p w14:paraId="39AB33CA" w14:textId="77777777" w:rsidR="00AC3366" w:rsidRPr="006119EA" w:rsidRDefault="00AC3366">
      <w:pPr>
        <w:ind w:left="540" w:hanging="540"/>
        <w:jc w:val="both"/>
        <w:rPr>
          <w:rFonts w:ascii="Arial" w:eastAsia="Tahoma" w:hAnsi="Arial"/>
          <w:bCs/>
        </w:rPr>
      </w:pPr>
      <w:r w:rsidRPr="006119EA">
        <w:rPr>
          <w:rFonts w:ascii="Arial" w:eastAsia="Tahoma" w:hAnsi="Arial"/>
          <w:bCs/>
        </w:rPr>
        <w:t xml:space="preserve">Lee, M. H., Liang, J. C., Wu, Y. T., Chiou, G. L., Hsu, C. Y., Wang, C. Y., ... &amp; Tsai, C. C. (2020). High school students’ conceptions of science laboratory learning, perceptions </w:t>
      </w:r>
      <w:r w:rsidRPr="006119EA">
        <w:rPr>
          <w:rFonts w:ascii="Arial" w:eastAsia="Tahoma" w:hAnsi="Arial"/>
          <w:bCs/>
        </w:rPr>
        <w:lastRenderedPageBreak/>
        <w:t>of the science laboratory environment, and academic self-efficacy in science learning. International Journal of Science and Mathematics Education, 18(1), 1-18.</w:t>
      </w:r>
    </w:p>
    <w:p w14:paraId="3ABED4FB" w14:textId="77777777" w:rsidR="006119EA" w:rsidRPr="006119EA" w:rsidRDefault="006119EA">
      <w:pPr>
        <w:ind w:left="540" w:hanging="540"/>
        <w:jc w:val="both"/>
        <w:rPr>
          <w:rFonts w:ascii="Arial" w:eastAsia="Tahoma" w:hAnsi="Arial"/>
          <w:bCs/>
        </w:rPr>
      </w:pPr>
    </w:p>
    <w:p w14:paraId="77EEA625" w14:textId="3AF1AC90" w:rsidR="00AC3366" w:rsidRPr="006119EA" w:rsidRDefault="00AC3366">
      <w:pPr>
        <w:ind w:left="540" w:hanging="540"/>
        <w:jc w:val="both"/>
        <w:rPr>
          <w:rFonts w:ascii="Arial" w:eastAsia="Tahoma" w:hAnsi="Arial"/>
          <w:bCs/>
        </w:rPr>
      </w:pPr>
      <w:r w:rsidRPr="006119EA">
        <w:rPr>
          <w:rFonts w:ascii="Arial" w:eastAsia="Tahoma" w:hAnsi="Arial"/>
          <w:bCs/>
        </w:rPr>
        <w:t xml:space="preserve">Legg, R. S. (2023). When enactive learning went missing, vicarious learning became a must. Theory Into Practice, 62(3), 245–254. </w:t>
      </w:r>
      <w:hyperlink r:id="rId48" w:history="1">
        <w:r w:rsidR="006119EA" w:rsidRPr="006119EA">
          <w:rPr>
            <w:rStyle w:val="Hyperlink"/>
            <w:rFonts w:ascii="Arial" w:eastAsia="Tahoma" w:hAnsi="Arial"/>
            <w:bCs/>
            <w:color w:val="auto"/>
            <w:u w:val="none"/>
          </w:rPr>
          <w:t>https://doi.org/10.1080/00405841.2023.2226557</w:t>
        </w:r>
      </w:hyperlink>
    </w:p>
    <w:p w14:paraId="26AABAC5" w14:textId="77777777" w:rsidR="006119EA" w:rsidRPr="006119EA" w:rsidRDefault="006119EA">
      <w:pPr>
        <w:ind w:left="540" w:hanging="540"/>
        <w:jc w:val="both"/>
        <w:rPr>
          <w:rFonts w:ascii="Arial" w:eastAsia="Tahoma" w:hAnsi="Arial"/>
          <w:bCs/>
        </w:rPr>
      </w:pPr>
    </w:p>
    <w:p w14:paraId="1968CA83" w14:textId="77777777" w:rsidR="00AC3366" w:rsidRPr="006119EA" w:rsidRDefault="00AC3366">
      <w:pPr>
        <w:ind w:left="540" w:hanging="540"/>
        <w:jc w:val="both"/>
        <w:rPr>
          <w:rFonts w:ascii="Arial" w:eastAsia="Tahoma" w:hAnsi="Arial"/>
          <w:bCs/>
        </w:rPr>
      </w:pPr>
      <w:r w:rsidRPr="006119EA">
        <w:rPr>
          <w:rFonts w:ascii="Arial" w:eastAsia="Tahoma" w:hAnsi="Arial"/>
          <w:bCs/>
        </w:rPr>
        <w:t xml:space="preserve">Liu, L. (2021). Research on the Design of Safety Education identification System for Art college Laboratories. Advances in Social Science, Education and Humanities Research/Advances in Social Science, Education and Humanities Research. </w:t>
      </w:r>
      <w:hyperlink r:id="rId49" w:history="1">
        <w:r w:rsidRPr="006119EA">
          <w:rPr>
            <w:rStyle w:val="Hyperlink"/>
            <w:rFonts w:ascii="Arial" w:eastAsia="Tahoma" w:hAnsi="Arial"/>
            <w:bCs/>
            <w:color w:val="auto"/>
            <w:u w:val="none"/>
          </w:rPr>
          <w:t>https://doi.org/10.2991/assehr.k.211217.051</w:t>
        </w:r>
      </w:hyperlink>
    </w:p>
    <w:p w14:paraId="6E1CAF91" w14:textId="77777777" w:rsidR="006119EA" w:rsidRPr="006119EA" w:rsidRDefault="006119EA">
      <w:pPr>
        <w:ind w:left="540" w:hanging="540"/>
        <w:jc w:val="both"/>
        <w:rPr>
          <w:rFonts w:ascii="Arial" w:eastAsia="Tahoma" w:hAnsi="Arial"/>
          <w:bCs/>
        </w:rPr>
      </w:pPr>
    </w:p>
    <w:p w14:paraId="642DBACF" w14:textId="2AB51F09" w:rsidR="00AC3366" w:rsidRPr="006119EA" w:rsidRDefault="00AC3366">
      <w:pPr>
        <w:ind w:left="540" w:hanging="540"/>
        <w:jc w:val="both"/>
        <w:rPr>
          <w:rFonts w:ascii="Arial" w:eastAsia="Tahoma" w:hAnsi="Arial"/>
          <w:bCs/>
        </w:rPr>
      </w:pPr>
      <w:proofErr w:type="spellStart"/>
      <w:r w:rsidRPr="006119EA">
        <w:rPr>
          <w:rFonts w:ascii="Arial" w:eastAsia="Tahoma" w:hAnsi="Arial"/>
          <w:bCs/>
        </w:rPr>
        <w:t>Mangarin</w:t>
      </w:r>
      <w:proofErr w:type="spellEnd"/>
      <w:r w:rsidRPr="006119EA">
        <w:rPr>
          <w:rFonts w:ascii="Arial" w:eastAsia="Tahoma" w:hAnsi="Arial"/>
          <w:bCs/>
        </w:rPr>
        <w:t xml:space="preserve">, R. A., &amp; </w:t>
      </w:r>
      <w:proofErr w:type="spellStart"/>
      <w:r w:rsidRPr="006119EA">
        <w:rPr>
          <w:rFonts w:ascii="Arial" w:eastAsia="Tahoma" w:hAnsi="Arial"/>
          <w:bCs/>
        </w:rPr>
        <w:t>Macayana</w:t>
      </w:r>
      <w:proofErr w:type="spellEnd"/>
      <w:r w:rsidRPr="006119EA">
        <w:rPr>
          <w:rFonts w:ascii="Arial" w:eastAsia="Tahoma" w:hAnsi="Arial"/>
          <w:bCs/>
        </w:rPr>
        <w:t xml:space="preserve">, L. B. (2024). Why schools lack laboratory and equipment in science? through the </w:t>
      </w:r>
      <w:proofErr w:type="spellStart"/>
      <w:r w:rsidRPr="006119EA">
        <w:rPr>
          <w:rFonts w:ascii="Arial" w:eastAsia="Tahoma" w:hAnsi="Arial"/>
          <w:bCs/>
        </w:rPr>
        <w:t>lense</w:t>
      </w:r>
      <w:proofErr w:type="spellEnd"/>
      <w:r w:rsidRPr="006119EA">
        <w:rPr>
          <w:rFonts w:ascii="Arial" w:eastAsia="Tahoma" w:hAnsi="Arial"/>
          <w:bCs/>
        </w:rPr>
        <w:t xml:space="preserve"> of research studies. International Journal of Research and Innovation in Social Science, VIII(X), 2835–2840. </w:t>
      </w:r>
      <w:hyperlink r:id="rId50" w:history="1">
        <w:r w:rsidR="006119EA" w:rsidRPr="006119EA">
          <w:rPr>
            <w:rStyle w:val="Hyperlink"/>
            <w:rFonts w:ascii="Arial" w:eastAsia="Tahoma" w:hAnsi="Arial"/>
            <w:bCs/>
            <w:color w:val="auto"/>
            <w:u w:val="none"/>
          </w:rPr>
          <w:t>https://doi.org/10.47772/ijriss.2024.8100238</w:t>
        </w:r>
      </w:hyperlink>
    </w:p>
    <w:p w14:paraId="50C7666B" w14:textId="77777777" w:rsidR="006119EA" w:rsidRPr="006119EA" w:rsidRDefault="006119EA">
      <w:pPr>
        <w:ind w:left="540" w:hanging="540"/>
        <w:jc w:val="both"/>
        <w:rPr>
          <w:rFonts w:ascii="Arial" w:eastAsia="Tahoma" w:hAnsi="Arial"/>
          <w:bCs/>
        </w:rPr>
      </w:pPr>
    </w:p>
    <w:p w14:paraId="49649262" w14:textId="432DABE3" w:rsidR="00AC3366" w:rsidRPr="006119EA" w:rsidRDefault="00AC3366">
      <w:pPr>
        <w:ind w:left="540" w:hanging="540"/>
        <w:jc w:val="both"/>
        <w:rPr>
          <w:rFonts w:ascii="Arial" w:eastAsia="Tahoma" w:hAnsi="Arial"/>
          <w:bCs/>
        </w:rPr>
      </w:pPr>
      <w:r w:rsidRPr="006119EA">
        <w:rPr>
          <w:rFonts w:ascii="Arial" w:eastAsia="Tahoma" w:hAnsi="Arial"/>
          <w:bCs/>
        </w:rPr>
        <w:t xml:space="preserve">Mistry, N., &amp; Gorman, S. G. (2020). What laboratory skills do students think they possess at the start of </w:t>
      </w:r>
      <w:proofErr w:type="gramStart"/>
      <w:r w:rsidRPr="006119EA">
        <w:rPr>
          <w:rFonts w:ascii="Arial" w:eastAsia="Tahoma" w:hAnsi="Arial"/>
          <w:bCs/>
        </w:rPr>
        <w:t>University</w:t>
      </w:r>
      <w:proofErr w:type="gramEnd"/>
      <w:r w:rsidRPr="006119EA">
        <w:rPr>
          <w:rFonts w:ascii="Arial" w:eastAsia="Tahoma" w:hAnsi="Arial"/>
          <w:bCs/>
        </w:rPr>
        <w:t xml:space="preserve">? Chemistry Education Research and Practice, 21(3), 823–838. </w:t>
      </w:r>
      <w:hyperlink r:id="rId51" w:history="1">
        <w:r w:rsidR="006119EA" w:rsidRPr="006119EA">
          <w:rPr>
            <w:rStyle w:val="Hyperlink"/>
            <w:rFonts w:ascii="Arial" w:eastAsia="Tahoma" w:hAnsi="Arial"/>
            <w:bCs/>
            <w:color w:val="auto"/>
            <w:u w:val="none"/>
          </w:rPr>
          <w:t>https://doi.org/10.1039/c9rp00104b</w:t>
        </w:r>
      </w:hyperlink>
    </w:p>
    <w:p w14:paraId="4C7C825C" w14:textId="77777777" w:rsidR="006119EA" w:rsidRPr="006119EA" w:rsidRDefault="006119EA">
      <w:pPr>
        <w:ind w:left="540" w:hanging="540"/>
        <w:jc w:val="both"/>
        <w:rPr>
          <w:rFonts w:ascii="Arial" w:eastAsia="Tahoma" w:hAnsi="Arial"/>
          <w:bCs/>
        </w:rPr>
      </w:pPr>
    </w:p>
    <w:p w14:paraId="325084C1" w14:textId="3AC33D84" w:rsidR="00AC3366" w:rsidRPr="006119EA" w:rsidRDefault="00AC3366">
      <w:pPr>
        <w:ind w:left="540" w:hanging="540"/>
        <w:jc w:val="both"/>
        <w:rPr>
          <w:rFonts w:ascii="Arial" w:eastAsia="Tahoma" w:hAnsi="Arial"/>
          <w:bCs/>
        </w:rPr>
      </w:pPr>
      <w:proofErr w:type="spellStart"/>
      <w:r w:rsidRPr="006119EA">
        <w:rPr>
          <w:rFonts w:ascii="Arial" w:eastAsia="Tahoma" w:hAnsi="Arial"/>
          <w:bCs/>
        </w:rPr>
        <w:t>Moirongo</w:t>
      </w:r>
      <w:proofErr w:type="spellEnd"/>
      <w:r w:rsidRPr="006119EA">
        <w:rPr>
          <w:rFonts w:ascii="Arial" w:eastAsia="Tahoma" w:hAnsi="Arial"/>
          <w:bCs/>
        </w:rPr>
        <w:t xml:space="preserve">, R. M., Aglanu, L. M., </w:t>
      </w:r>
      <w:proofErr w:type="spellStart"/>
      <w:r w:rsidRPr="006119EA">
        <w:rPr>
          <w:rFonts w:ascii="Arial" w:eastAsia="Tahoma" w:hAnsi="Arial"/>
          <w:bCs/>
        </w:rPr>
        <w:t>Lamshöft</w:t>
      </w:r>
      <w:proofErr w:type="spellEnd"/>
      <w:r w:rsidRPr="006119EA">
        <w:rPr>
          <w:rFonts w:ascii="Arial" w:eastAsia="Tahoma" w:hAnsi="Arial"/>
          <w:bCs/>
        </w:rPr>
        <w:t xml:space="preserve">, M., Adero, B. O., Yator, S., Anyona, S., May, J., Lorenz, E., &amp; Eibach, D. (2022). Laboratory-based surveillance of antimicrobial resistance in regions of Kenya: An assessment of capacities, practices, and barriers by means of multi-facility survey. Frontiers in Public Health, 10, 1003178. </w:t>
      </w:r>
      <w:hyperlink r:id="rId52" w:history="1">
        <w:r w:rsidR="006119EA" w:rsidRPr="006119EA">
          <w:rPr>
            <w:rStyle w:val="Hyperlink"/>
            <w:rFonts w:ascii="Arial" w:eastAsia="Tahoma" w:hAnsi="Arial"/>
            <w:bCs/>
            <w:color w:val="auto"/>
            <w:u w:val="none"/>
          </w:rPr>
          <w:t>https://doi.org/10.3389/fpubh.2022.1003178</w:t>
        </w:r>
      </w:hyperlink>
    </w:p>
    <w:p w14:paraId="21A87147" w14:textId="77777777" w:rsidR="006119EA" w:rsidRPr="006119EA" w:rsidRDefault="006119EA">
      <w:pPr>
        <w:ind w:left="540" w:hanging="540"/>
        <w:jc w:val="both"/>
        <w:rPr>
          <w:rFonts w:ascii="Arial" w:eastAsia="Tahoma" w:hAnsi="Arial"/>
          <w:bCs/>
        </w:rPr>
      </w:pPr>
    </w:p>
    <w:p w14:paraId="5601C112" w14:textId="5C6BA505" w:rsidR="00AC3366" w:rsidRPr="006119EA" w:rsidRDefault="00AC3366">
      <w:pPr>
        <w:ind w:left="540" w:hanging="540"/>
        <w:jc w:val="both"/>
        <w:rPr>
          <w:rFonts w:ascii="Arial" w:eastAsia="Tahoma" w:hAnsi="Arial"/>
          <w:bCs/>
        </w:rPr>
      </w:pPr>
      <w:r w:rsidRPr="006119EA">
        <w:rPr>
          <w:rFonts w:ascii="Arial" w:eastAsia="Tahoma" w:hAnsi="Arial"/>
          <w:bCs/>
        </w:rPr>
        <w:t xml:space="preserve">Musana, A., &amp; </w:t>
      </w:r>
      <w:proofErr w:type="spellStart"/>
      <w:r w:rsidRPr="006119EA">
        <w:rPr>
          <w:rFonts w:ascii="Arial" w:eastAsia="Tahoma" w:hAnsi="Arial"/>
          <w:bCs/>
        </w:rPr>
        <w:t>Mugiraneza</w:t>
      </w:r>
      <w:proofErr w:type="spellEnd"/>
      <w:r w:rsidRPr="006119EA">
        <w:rPr>
          <w:rFonts w:ascii="Arial" w:eastAsia="Tahoma" w:hAnsi="Arial"/>
          <w:bCs/>
        </w:rPr>
        <w:t xml:space="preserve">, F. (2024). Use of science laboratory facilities and </w:t>
      </w:r>
      <w:proofErr w:type="spellStart"/>
      <w:proofErr w:type="gramStart"/>
      <w:r w:rsidRPr="006119EA">
        <w:rPr>
          <w:rFonts w:ascii="Arial" w:eastAsia="Tahoma" w:hAnsi="Arial"/>
          <w:bCs/>
        </w:rPr>
        <w:t>students</w:t>
      </w:r>
      <w:proofErr w:type="spellEnd"/>
      <w:proofErr w:type="gramEnd"/>
      <w:r w:rsidRPr="006119EA">
        <w:rPr>
          <w:rFonts w:ascii="Arial" w:eastAsia="Tahoma" w:hAnsi="Arial"/>
          <w:bCs/>
        </w:rPr>
        <w:t xml:space="preserve"> academic performance in chemistry subject in Rwanda, a case of </w:t>
      </w:r>
      <w:proofErr w:type="spellStart"/>
      <w:r w:rsidRPr="006119EA">
        <w:rPr>
          <w:rFonts w:ascii="Arial" w:eastAsia="Tahoma" w:hAnsi="Arial"/>
          <w:bCs/>
        </w:rPr>
        <w:t>Kayonza</w:t>
      </w:r>
      <w:proofErr w:type="spellEnd"/>
      <w:r w:rsidRPr="006119EA">
        <w:rPr>
          <w:rFonts w:ascii="Arial" w:eastAsia="Tahoma" w:hAnsi="Arial"/>
          <w:bCs/>
        </w:rPr>
        <w:t xml:space="preserve"> Public Secondary Schools. International Journal of Management and Development Studies, 13(8), 104–123. </w:t>
      </w:r>
      <w:hyperlink r:id="rId53" w:history="1">
        <w:r w:rsidR="006119EA" w:rsidRPr="006119EA">
          <w:rPr>
            <w:rStyle w:val="Hyperlink"/>
            <w:rFonts w:ascii="Arial" w:eastAsia="Tahoma" w:hAnsi="Arial"/>
            <w:bCs/>
            <w:color w:val="auto"/>
            <w:u w:val="none"/>
          </w:rPr>
          <w:t>https://doi.org/10.53983/ijmds.v13n8.007</w:t>
        </w:r>
      </w:hyperlink>
    </w:p>
    <w:p w14:paraId="3E4844F8" w14:textId="77777777" w:rsidR="006119EA" w:rsidRPr="006119EA" w:rsidRDefault="006119EA">
      <w:pPr>
        <w:ind w:left="540" w:hanging="540"/>
        <w:jc w:val="both"/>
        <w:rPr>
          <w:rFonts w:ascii="Arial" w:eastAsia="Tahoma" w:hAnsi="Arial"/>
          <w:bCs/>
        </w:rPr>
      </w:pPr>
    </w:p>
    <w:p w14:paraId="1C58AB07" w14:textId="77777777" w:rsidR="00AC3366" w:rsidRPr="006119EA" w:rsidRDefault="00AC3366">
      <w:pPr>
        <w:ind w:left="540" w:hanging="540"/>
        <w:jc w:val="both"/>
        <w:rPr>
          <w:rFonts w:ascii="Arial" w:eastAsia="Tahoma" w:hAnsi="Arial"/>
          <w:bCs/>
        </w:rPr>
      </w:pPr>
      <w:proofErr w:type="spellStart"/>
      <w:r w:rsidRPr="006119EA">
        <w:rPr>
          <w:rFonts w:ascii="Arial" w:eastAsia="Tahoma" w:hAnsi="Arial"/>
          <w:bCs/>
        </w:rPr>
        <w:t>Muzammal</w:t>
      </w:r>
      <w:proofErr w:type="spellEnd"/>
      <w:r w:rsidRPr="006119EA">
        <w:rPr>
          <w:rFonts w:ascii="Arial" w:eastAsia="Tahoma" w:hAnsi="Arial"/>
          <w:bCs/>
        </w:rPr>
        <w:t xml:space="preserve">, N. F., &amp; Hashmi, N. P. D. M. A. (2025). Analysis of available lab facilities at secondary level. Contemporary Journal of Social Science Review, 3(3), 1764–1786. </w:t>
      </w:r>
      <w:hyperlink r:id="rId54" w:history="1">
        <w:r w:rsidRPr="006119EA">
          <w:rPr>
            <w:rStyle w:val="Hyperlink"/>
            <w:rFonts w:ascii="Arial" w:eastAsia="Tahoma" w:hAnsi="Arial"/>
            <w:bCs/>
            <w:color w:val="auto"/>
            <w:u w:val="none"/>
          </w:rPr>
          <w:t>https://doi.org/10.63878/cjssr.v3i3.1167</w:t>
        </w:r>
      </w:hyperlink>
    </w:p>
    <w:p w14:paraId="26915793" w14:textId="77777777" w:rsidR="006119EA" w:rsidRPr="006119EA" w:rsidRDefault="006119EA">
      <w:pPr>
        <w:ind w:left="540" w:hanging="540"/>
        <w:jc w:val="both"/>
        <w:rPr>
          <w:rFonts w:ascii="Arial" w:eastAsia="Tahoma" w:hAnsi="Arial"/>
          <w:bCs/>
        </w:rPr>
      </w:pPr>
    </w:p>
    <w:p w14:paraId="10A5FD11" w14:textId="29C6B128" w:rsidR="00AC3366" w:rsidRPr="006119EA" w:rsidRDefault="00AC3366">
      <w:pPr>
        <w:ind w:left="540" w:hanging="540"/>
        <w:jc w:val="both"/>
        <w:rPr>
          <w:rFonts w:ascii="Arial" w:eastAsia="Tahoma" w:hAnsi="Arial"/>
          <w:bCs/>
        </w:rPr>
      </w:pPr>
      <w:proofErr w:type="spellStart"/>
      <w:r w:rsidRPr="006119EA">
        <w:rPr>
          <w:rFonts w:ascii="Arial" w:eastAsia="Tahoma" w:hAnsi="Arial"/>
          <w:bCs/>
        </w:rPr>
        <w:t>Permana</w:t>
      </w:r>
      <w:proofErr w:type="spellEnd"/>
      <w:r w:rsidRPr="006119EA">
        <w:rPr>
          <w:rFonts w:ascii="Arial" w:eastAsia="Tahoma" w:hAnsi="Arial"/>
          <w:bCs/>
        </w:rPr>
        <w:t xml:space="preserve">, A. C. (2025). Description of work safety understanding and awareness in the science laboratory of junior high school students in Indonesia. </w:t>
      </w:r>
      <w:proofErr w:type="spellStart"/>
      <w:r w:rsidRPr="006119EA">
        <w:rPr>
          <w:rFonts w:ascii="Arial" w:eastAsia="Tahoma" w:hAnsi="Arial"/>
          <w:bCs/>
        </w:rPr>
        <w:t>Jurnal</w:t>
      </w:r>
      <w:proofErr w:type="spellEnd"/>
      <w:r w:rsidRPr="006119EA">
        <w:rPr>
          <w:rFonts w:ascii="Arial" w:eastAsia="Tahoma" w:hAnsi="Arial"/>
          <w:bCs/>
        </w:rPr>
        <w:t xml:space="preserve"> </w:t>
      </w:r>
      <w:proofErr w:type="spellStart"/>
      <w:r w:rsidRPr="006119EA">
        <w:rPr>
          <w:rFonts w:ascii="Arial" w:eastAsia="Tahoma" w:hAnsi="Arial"/>
          <w:bCs/>
        </w:rPr>
        <w:t>Pembelajaran</w:t>
      </w:r>
      <w:proofErr w:type="spellEnd"/>
      <w:r w:rsidRPr="006119EA">
        <w:rPr>
          <w:rFonts w:ascii="Arial" w:eastAsia="Tahoma" w:hAnsi="Arial"/>
          <w:bCs/>
        </w:rPr>
        <w:t xml:space="preserve"> Sains, 8(1), 56–63. </w:t>
      </w:r>
      <w:hyperlink r:id="rId55" w:history="1">
        <w:r w:rsidR="006119EA" w:rsidRPr="006119EA">
          <w:rPr>
            <w:rStyle w:val="Hyperlink"/>
            <w:rFonts w:ascii="Arial" w:eastAsia="Tahoma" w:hAnsi="Arial"/>
            <w:bCs/>
            <w:color w:val="auto"/>
            <w:u w:val="none"/>
          </w:rPr>
          <w:t>https://doi.org/10.17977/um033v8i1p56-63</w:t>
        </w:r>
      </w:hyperlink>
    </w:p>
    <w:p w14:paraId="1DB79F4A" w14:textId="77777777" w:rsidR="006119EA" w:rsidRPr="006119EA" w:rsidRDefault="006119EA">
      <w:pPr>
        <w:ind w:left="540" w:hanging="540"/>
        <w:jc w:val="both"/>
        <w:rPr>
          <w:rFonts w:ascii="Arial" w:eastAsia="Tahoma" w:hAnsi="Arial"/>
          <w:bCs/>
        </w:rPr>
      </w:pPr>
    </w:p>
    <w:p w14:paraId="4AEA40A1" w14:textId="0AE6E202" w:rsidR="00AC3366" w:rsidRPr="006119EA" w:rsidRDefault="00AC3366">
      <w:pPr>
        <w:ind w:left="540" w:hanging="540"/>
        <w:jc w:val="both"/>
        <w:rPr>
          <w:rFonts w:ascii="Arial" w:eastAsia="Tahoma" w:hAnsi="Arial"/>
          <w:bCs/>
        </w:rPr>
      </w:pPr>
      <w:proofErr w:type="spellStart"/>
      <w:r w:rsidRPr="006119EA">
        <w:rPr>
          <w:rFonts w:ascii="Arial" w:eastAsia="Tahoma" w:hAnsi="Arial"/>
          <w:bCs/>
        </w:rPr>
        <w:t>Rabanes</w:t>
      </w:r>
      <w:proofErr w:type="spellEnd"/>
      <w:r w:rsidRPr="006119EA">
        <w:rPr>
          <w:rFonts w:ascii="Arial" w:eastAsia="Tahoma" w:hAnsi="Arial"/>
          <w:bCs/>
        </w:rPr>
        <w:t xml:space="preserve">, L. L., &amp; Paglinawan, J. L. (2025). Instructional materials availability and learner’s engagement in science. International Journal of Research and Scientific Innovation, IX(VI), 1265–1278. </w:t>
      </w:r>
      <w:hyperlink r:id="rId56" w:history="1">
        <w:r w:rsidR="006119EA" w:rsidRPr="006119EA">
          <w:rPr>
            <w:rStyle w:val="Hyperlink"/>
            <w:rFonts w:ascii="Arial" w:eastAsia="Tahoma" w:hAnsi="Arial"/>
            <w:bCs/>
            <w:color w:val="auto"/>
            <w:u w:val="none"/>
          </w:rPr>
          <w:t>https://doi.org/10.51244/ijrsi.2025.120600103</w:t>
        </w:r>
      </w:hyperlink>
    </w:p>
    <w:p w14:paraId="5CF349D1" w14:textId="77777777" w:rsidR="006119EA" w:rsidRPr="006119EA" w:rsidRDefault="006119EA">
      <w:pPr>
        <w:ind w:left="540" w:hanging="540"/>
        <w:jc w:val="both"/>
        <w:rPr>
          <w:rFonts w:ascii="Arial" w:eastAsia="Tahoma" w:hAnsi="Arial"/>
          <w:bCs/>
        </w:rPr>
      </w:pPr>
    </w:p>
    <w:p w14:paraId="17BE36F5" w14:textId="77777777" w:rsidR="00AC3366" w:rsidRPr="006119EA" w:rsidRDefault="00AC3366">
      <w:pPr>
        <w:ind w:left="540" w:hanging="540"/>
        <w:jc w:val="both"/>
        <w:rPr>
          <w:rFonts w:ascii="Arial" w:eastAsia="Tahoma" w:hAnsi="Arial"/>
          <w:bCs/>
        </w:rPr>
      </w:pPr>
      <w:proofErr w:type="spellStart"/>
      <w:r w:rsidRPr="006119EA">
        <w:rPr>
          <w:rFonts w:ascii="Arial" w:eastAsia="Tahoma" w:hAnsi="Arial"/>
          <w:bCs/>
        </w:rPr>
        <w:t>Remperas</w:t>
      </w:r>
      <w:proofErr w:type="spellEnd"/>
      <w:r w:rsidRPr="006119EA">
        <w:rPr>
          <w:rFonts w:ascii="Arial" w:eastAsia="Tahoma" w:hAnsi="Arial"/>
          <w:bCs/>
        </w:rPr>
        <w:t xml:space="preserve">, R. N. (2025). Teachers’ challenges and best practices on laboratory approaches in science teaching. International Journal of Science, Architecture, Technology and Environment, 4(5), 1621–1633. </w:t>
      </w:r>
      <w:hyperlink r:id="rId57" w:history="1">
        <w:r w:rsidRPr="006119EA">
          <w:rPr>
            <w:rStyle w:val="Hyperlink"/>
            <w:rFonts w:ascii="Arial" w:eastAsia="Tahoma" w:hAnsi="Arial"/>
            <w:bCs/>
            <w:color w:val="auto"/>
            <w:u w:val="none"/>
          </w:rPr>
          <w:t>https://doi.org/10.63680/ijsate0525117.130</w:t>
        </w:r>
      </w:hyperlink>
    </w:p>
    <w:p w14:paraId="46055AE7" w14:textId="77777777" w:rsidR="006119EA" w:rsidRPr="006119EA" w:rsidRDefault="006119EA">
      <w:pPr>
        <w:ind w:left="540" w:hanging="540"/>
        <w:jc w:val="both"/>
        <w:rPr>
          <w:rFonts w:ascii="Arial" w:eastAsia="Tahoma" w:hAnsi="Arial"/>
          <w:bCs/>
        </w:rPr>
      </w:pPr>
    </w:p>
    <w:p w14:paraId="774F2001" w14:textId="7987A386" w:rsidR="00AC3366" w:rsidRPr="006119EA" w:rsidRDefault="00AC3366">
      <w:pPr>
        <w:ind w:left="540" w:hanging="540"/>
        <w:jc w:val="both"/>
        <w:rPr>
          <w:rFonts w:ascii="Arial" w:eastAsia="Tahoma" w:hAnsi="Arial"/>
          <w:bCs/>
        </w:rPr>
      </w:pPr>
      <w:proofErr w:type="spellStart"/>
      <w:r w:rsidRPr="006119EA">
        <w:rPr>
          <w:rFonts w:ascii="Arial" w:eastAsia="Tahoma" w:hAnsi="Arial"/>
          <w:bCs/>
        </w:rPr>
        <w:t>Sailaubay</w:t>
      </w:r>
      <w:proofErr w:type="spellEnd"/>
      <w:r w:rsidRPr="006119EA">
        <w:rPr>
          <w:rFonts w:ascii="Arial" w:eastAsia="Tahoma" w:hAnsi="Arial"/>
          <w:bCs/>
        </w:rPr>
        <w:t xml:space="preserve">, A., </w:t>
      </w:r>
      <w:proofErr w:type="spellStart"/>
      <w:r w:rsidRPr="006119EA">
        <w:rPr>
          <w:rFonts w:ascii="Arial" w:eastAsia="Tahoma" w:hAnsi="Arial"/>
          <w:bCs/>
        </w:rPr>
        <w:t>Myrzakhmetova</w:t>
      </w:r>
      <w:proofErr w:type="spellEnd"/>
      <w:r w:rsidRPr="006119EA">
        <w:rPr>
          <w:rFonts w:ascii="Arial" w:eastAsia="Tahoma" w:hAnsi="Arial"/>
          <w:bCs/>
        </w:rPr>
        <w:t xml:space="preserve">, N., </w:t>
      </w:r>
      <w:proofErr w:type="spellStart"/>
      <w:r w:rsidRPr="006119EA">
        <w:rPr>
          <w:rFonts w:ascii="Arial" w:eastAsia="Tahoma" w:hAnsi="Arial"/>
          <w:bCs/>
        </w:rPr>
        <w:t>Tunçel</w:t>
      </w:r>
      <w:proofErr w:type="spellEnd"/>
      <w:r w:rsidRPr="006119EA">
        <w:rPr>
          <w:rFonts w:ascii="Arial" w:eastAsia="Tahoma" w:hAnsi="Arial"/>
          <w:bCs/>
        </w:rPr>
        <w:t xml:space="preserve">, M., &amp; </w:t>
      </w:r>
      <w:proofErr w:type="spellStart"/>
      <w:r w:rsidRPr="006119EA">
        <w:rPr>
          <w:rFonts w:ascii="Arial" w:eastAsia="Tahoma" w:hAnsi="Arial"/>
          <w:bCs/>
        </w:rPr>
        <w:t>Kishibayev</w:t>
      </w:r>
      <w:proofErr w:type="spellEnd"/>
      <w:r w:rsidRPr="006119EA">
        <w:rPr>
          <w:rFonts w:ascii="Arial" w:eastAsia="Tahoma" w:hAnsi="Arial"/>
          <w:bCs/>
        </w:rPr>
        <w:t xml:space="preserve">, K. (2024). Analysis of the relationships between university students’ laboratory Self-Efficacy beliefs, science process skills and achievement in chemistry courses. Journal of Curriculum Studies Research, 6(2), 36–51. </w:t>
      </w:r>
      <w:hyperlink r:id="rId58" w:history="1">
        <w:r w:rsidR="006119EA" w:rsidRPr="006119EA">
          <w:rPr>
            <w:rStyle w:val="Hyperlink"/>
            <w:rFonts w:ascii="Arial" w:eastAsia="Tahoma" w:hAnsi="Arial"/>
            <w:bCs/>
            <w:color w:val="auto"/>
            <w:u w:val="none"/>
          </w:rPr>
          <w:t>https://doi.org/10.46303/jcsr.2024.1</w:t>
        </w:r>
      </w:hyperlink>
    </w:p>
    <w:p w14:paraId="198716DC" w14:textId="77777777" w:rsidR="006119EA" w:rsidRPr="006119EA" w:rsidRDefault="006119EA">
      <w:pPr>
        <w:ind w:left="540" w:hanging="540"/>
        <w:jc w:val="both"/>
        <w:rPr>
          <w:rFonts w:ascii="Arial" w:eastAsia="Tahoma" w:hAnsi="Arial"/>
          <w:bCs/>
        </w:rPr>
      </w:pPr>
    </w:p>
    <w:p w14:paraId="318BBFC0" w14:textId="77777777" w:rsidR="00AC3366" w:rsidRPr="006119EA" w:rsidRDefault="00AC3366">
      <w:pPr>
        <w:ind w:left="540" w:hanging="540"/>
        <w:jc w:val="both"/>
        <w:rPr>
          <w:rFonts w:ascii="Arial" w:eastAsia="Tahoma" w:hAnsi="Arial"/>
          <w:bCs/>
        </w:rPr>
      </w:pPr>
      <w:r w:rsidRPr="006119EA">
        <w:rPr>
          <w:rFonts w:ascii="Arial" w:eastAsia="Tahoma" w:hAnsi="Arial"/>
          <w:bCs/>
        </w:rPr>
        <w:lastRenderedPageBreak/>
        <w:t xml:space="preserve">Shana, Z., &amp; </w:t>
      </w:r>
      <w:proofErr w:type="spellStart"/>
      <w:r w:rsidRPr="006119EA">
        <w:rPr>
          <w:rFonts w:ascii="Arial" w:eastAsia="Tahoma" w:hAnsi="Arial"/>
          <w:bCs/>
        </w:rPr>
        <w:t>Abulibdeh</w:t>
      </w:r>
      <w:proofErr w:type="spellEnd"/>
      <w:r w:rsidRPr="006119EA">
        <w:rPr>
          <w:rFonts w:ascii="Arial" w:eastAsia="Tahoma" w:hAnsi="Arial"/>
          <w:bCs/>
        </w:rPr>
        <w:t xml:space="preserve">, E. S. (2020). Science practical work and its impact on students’ science achievement. Journal of Technology and Science Education, 10(3), 333–346. </w:t>
      </w:r>
      <w:hyperlink r:id="rId59" w:history="1">
        <w:r w:rsidRPr="006119EA">
          <w:rPr>
            <w:rStyle w:val="Hyperlink"/>
            <w:rFonts w:ascii="Arial" w:eastAsia="Tahoma" w:hAnsi="Arial"/>
            <w:bCs/>
            <w:color w:val="auto"/>
            <w:u w:val="none"/>
          </w:rPr>
          <w:t>https://www.jotse.org/index.php/jotse/article/view/888/467</w:t>
        </w:r>
      </w:hyperlink>
    </w:p>
    <w:p w14:paraId="62D9DF71" w14:textId="77777777" w:rsidR="006119EA" w:rsidRPr="006119EA" w:rsidRDefault="006119EA">
      <w:pPr>
        <w:ind w:left="540" w:hanging="540"/>
        <w:jc w:val="both"/>
        <w:rPr>
          <w:rFonts w:ascii="Arial" w:eastAsia="Tahoma" w:hAnsi="Arial"/>
          <w:bCs/>
        </w:rPr>
      </w:pPr>
    </w:p>
    <w:p w14:paraId="5947E61D" w14:textId="4FEC0EED" w:rsidR="00AC3366" w:rsidRPr="006119EA" w:rsidRDefault="00AC3366">
      <w:pPr>
        <w:ind w:left="540" w:hanging="540"/>
        <w:jc w:val="both"/>
        <w:rPr>
          <w:rFonts w:ascii="Arial" w:eastAsia="Tahoma" w:hAnsi="Arial"/>
          <w:bCs/>
        </w:rPr>
      </w:pPr>
      <w:proofErr w:type="spellStart"/>
      <w:r w:rsidRPr="006119EA">
        <w:rPr>
          <w:rFonts w:ascii="Arial" w:eastAsia="Tahoma" w:hAnsi="Arial"/>
          <w:bCs/>
        </w:rPr>
        <w:t>Smagulova</w:t>
      </w:r>
      <w:proofErr w:type="spellEnd"/>
      <w:r w:rsidRPr="006119EA">
        <w:rPr>
          <w:rFonts w:ascii="Arial" w:eastAsia="Tahoma" w:hAnsi="Arial"/>
          <w:bCs/>
        </w:rPr>
        <w:t xml:space="preserve">, A., &amp; </w:t>
      </w:r>
      <w:proofErr w:type="spellStart"/>
      <w:r w:rsidRPr="006119EA">
        <w:rPr>
          <w:rFonts w:ascii="Arial" w:eastAsia="Tahoma" w:hAnsi="Arial"/>
          <w:bCs/>
        </w:rPr>
        <w:t>Kalieva</w:t>
      </w:r>
      <w:proofErr w:type="spellEnd"/>
      <w:r w:rsidRPr="006119EA">
        <w:rPr>
          <w:rFonts w:ascii="Arial" w:eastAsia="Tahoma" w:hAnsi="Arial"/>
          <w:bCs/>
        </w:rPr>
        <w:t xml:space="preserve">, A. (2025). Evaluating the preparedness of future biology specialists to integrate STEM approaches into their education and training. Bulletin of Ablai Khan </w:t>
      </w:r>
      <w:proofErr w:type="spellStart"/>
      <w:r w:rsidRPr="006119EA">
        <w:rPr>
          <w:rFonts w:ascii="Arial" w:eastAsia="Tahoma" w:hAnsi="Arial"/>
          <w:bCs/>
        </w:rPr>
        <w:t>KazUIRandWL</w:t>
      </w:r>
      <w:proofErr w:type="spellEnd"/>
      <w:r w:rsidRPr="006119EA">
        <w:rPr>
          <w:rFonts w:ascii="Arial" w:eastAsia="Tahoma" w:hAnsi="Arial"/>
          <w:bCs/>
        </w:rPr>
        <w:t xml:space="preserve"> Series, 77(2). </w:t>
      </w:r>
      <w:hyperlink r:id="rId60" w:history="1">
        <w:r w:rsidR="006119EA" w:rsidRPr="006119EA">
          <w:rPr>
            <w:rStyle w:val="Hyperlink"/>
            <w:rFonts w:ascii="Arial" w:eastAsia="Tahoma" w:hAnsi="Arial"/>
            <w:bCs/>
            <w:color w:val="auto"/>
            <w:u w:val="none"/>
          </w:rPr>
          <w:t>https://doi.org/10.48371/peds.2025.77.2.004</w:t>
        </w:r>
      </w:hyperlink>
    </w:p>
    <w:p w14:paraId="3B96F6A5" w14:textId="77777777" w:rsidR="006119EA" w:rsidRPr="006119EA" w:rsidRDefault="006119EA">
      <w:pPr>
        <w:ind w:left="540" w:hanging="540"/>
        <w:jc w:val="both"/>
        <w:rPr>
          <w:rFonts w:ascii="Arial" w:eastAsia="Tahoma" w:hAnsi="Arial"/>
          <w:bCs/>
        </w:rPr>
      </w:pPr>
    </w:p>
    <w:p w14:paraId="3653DDAC" w14:textId="52BB53F8" w:rsidR="00AC3366" w:rsidRPr="006119EA" w:rsidRDefault="00AC3366">
      <w:pPr>
        <w:ind w:left="540" w:hanging="540"/>
        <w:jc w:val="both"/>
        <w:rPr>
          <w:rFonts w:ascii="Arial" w:eastAsia="Tahoma" w:hAnsi="Arial"/>
          <w:bCs/>
        </w:rPr>
      </w:pPr>
      <w:proofErr w:type="spellStart"/>
      <w:r w:rsidRPr="006119EA">
        <w:rPr>
          <w:rFonts w:ascii="Arial" w:eastAsia="Tahoma" w:hAnsi="Arial"/>
          <w:bCs/>
        </w:rPr>
        <w:t>Sonbuchner</w:t>
      </w:r>
      <w:proofErr w:type="spellEnd"/>
      <w:r w:rsidRPr="006119EA">
        <w:rPr>
          <w:rFonts w:ascii="Arial" w:eastAsia="Tahoma" w:hAnsi="Arial"/>
          <w:bCs/>
        </w:rPr>
        <w:t xml:space="preserve">, T. M., Mundorff, E. C., Lee, J., Wei, S., &amp; Novick, P. A. (2021). Triage and recovery of STEM laboratory skills. Journal of Microbiology and Biology Education, 22(1). </w:t>
      </w:r>
      <w:hyperlink r:id="rId61" w:history="1">
        <w:r w:rsidR="006119EA" w:rsidRPr="006119EA">
          <w:rPr>
            <w:rStyle w:val="Hyperlink"/>
            <w:rFonts w:ascii="Arial" w:eastAsia="Tahoma" w:hAnsi="Arial"/>
            <w:bCs/>
            <w:color w:val="auto"/>
            <w:u w:val="none"/>
          </w:rPr>
          <w:t>https://doi.org/10.1128/jmbe.v22i1.2565</w:t>
        </w:r>
      </w:hyperlink>
    </w:p>
    <w:p w14:paraId="32432D96" w14:textId="77777777" w:rsidR="006119EA" w:rsidRPr="006119EA" w:rsidRDefault="006119EA">
      <w:pPr>
        <w:ind w:left="540" w:hanging="540"/>
        <w:jc w:val="both"/>
        <w:rPr>
          <w:rFonts w:ascii="Arial" w:eastAsia="Tahoma" w:hAnsi="Arial"/>
          <w:bCs/>
        </w:rPr>
      </w:pPr>
    </w:p>
    <w:p w14:paraId="4A6BE1FB" w14:textId="27913491" w:rsidR="00AC3366" w:rsidRPr="006119EA" w:rsidRDefault="00AC3366">
      <w:pPr>
        <w:ind w:left="540" w:hanging="540"/>
        <w:jc w:val="both"/>
        <w:rPr>
          <w:rFonts w:ascii="Arial" w:eastAsia="Tahoma" w:hAnsi="Arial"/>
          <w:bCs/>
        </w:rPr>
      </w:pPr>
      <w:proofErr w:type="spellStart"/>
      <w:r w:rsidRPr="006119EA">
        <w:rPr>
          <w:rFonts w:ascii="Arial" w:eastAsia="Tahoma" w:hAnsi="Arial"/>
          <w:bCs/>
        </w:rPr>
        <w:t>Sunetullaeva</w:t>
      </w:r>
      <w:proofErr w:type="spellEnd"/>
      <w:r w:rsidRPr="006119EA">
        <w:rPr>
          <w:rFonts w:ascii="Arial" w:eastAsia="Tahoma" w:hAnsi="Arial"/>
          <w:bCs/>
        </w:rPr>
        <w:t xml:space="preserve">, Sh.., Sarbayeva, G., </w:t>
      </w:r>
      <w:proofErr w:type="spellStart"/>
      <w:r w:rsidRPr="006119EA">
        <w:rPr>
          <w:rFonts w:ascii="Arial" w:eastAsia="Tahoma" w:hAnsi="Arial"/>
          <w:bCs/>
        </w:rPr>
        <w:t>Zhylisbayeva</w:t>
      </w:r>
      <w:proofErr w:type="spellEnd"/>
      <w:r w:rsidRPr="006119EA">
        <w:rPr>
          <w:rFonts w:ascii="Arial" w:eastAsia="Tahoma" w:hAnsi="Arial"/>
          <w:bCs/>
        </w:rPr>
        <w:t xml:space="preserve">, G., &amp; </w:t>
      </w:r>
      <w:proofErr w:type="spellStart"/>
      <w:r w:rsidRPr="006119EA">
        <w:rPr>
          <w:rFonts w:ascii="Arial" w:eastAsia="Tahoma" w:hAnsi="Arial"/>
          <w:bCs/>
        </w:rPr>
        <w:t>Sarbayeva</w:t>
      </w:r>
      <w:proofErr w:type="spellEnd"/>
      <w:r w:rsidRPr="006119EA">
        <w:rPr>
          <w:rFonts w:ascii="Arial" w:eastAsia="Tahoma" w:hAnsi="Arial"/>
          <w:bCs/>
        </w:rPr>
        <w:t xml:space="preserve">, M. (2024). Application of integrated theoretical-practical teaching method in teaching chemistry. Bulletin of the L.N. </w:t>
      </w:r>
      <w:proofErr w:type="spellStart"/>
      <w:r w:rsidRPr="006119EA">
        <w:rPr>
          <w:rFonts w:ascii="Arial" w:eastAsia="Tahoma" w:hAnsi="Arial"/>
          <w:bCs/>
        </w:rPr>
        <w:t>Gumilyov</w:t>
      </w:r>
      <w:proofErr w:type="spellEnd"/>
      <w:r w:rsidRPr="006119EA">
        <w:rPr>
          <w:rFonts w:ascii="Arial" w:eastAsia="Tahoma" w:hAnsi="Arial"/>
          <w:bCs/>
        </w:rPr>
        <w:t xml:space="preserve"> Eurasian National University. Pedagogy. Psychology. Sociology Series, 147 (2), 468–480. Retrieved from </w:t>
      </w:r>
      <w:hyperlink r:id="rId62" w:history="1">
        <w:r w:rsidR="006119EA" w:rsidRPr="006119EA">
          <w:rPr>
            <w:rStyle w:val="Hyperlink"/>
            <w:rFonts w:ascii="Arial" w:eastAsia="Tahoma" w:hAnsi="Arial"/>
            <w:bCs/>
            <w:color w:val="auto"/>
            <w:u w:val="none"/>
          </w:rPr>
          <w:t>https://bulpedps.enu.kz/index.php/main/article/view/590</w:t>
        </w:r>
      </w:hyperlink>
    </w:p>
    <w:p w14:paraId="3910BC6E" w14:textId="77777777" w:rsidR="006119EA" w:rsidRPr="006119EA" w:rsidRDefault="006119EA">
      <w:pPr>
        <w:ind w:left="540" w:hanging="540"/>
        <w:jc w:val="both"/>
        <w:rPr>
          <w:rFonts w:ascii="Arial" w:eastAsia="Tahoma" w:hAnsi="Arial"/>
          <w:bCs/>
        </w:rPr>
      </w:pPr>
    </w:p>
    <w:p w14:paraId="27C93380" w14:textId="0B802005" w:rsidR="00AC3366" w:rsidRPr="006119EA" w:rsidRDefault="00AC3366">
      <w:pPr>
        <w:ind w:left="540" w:hanging="540"/>
        <w:jc w:val="both"/>
        <w:rPr>
          <w:rFonts w:ascii="Arial" w:eastAsia="Tahoma" w:hAnsi="Arial"/>
          <w:bCs/>
        </w:rPr>
      </w:pPr>
      <w:proofErr w:type="spellStart"/>
      <w:r w:rsidRPr="006119EA">
        <w:rPr>
          <w:rFonts w:ascii="Arial" w:eastAsia="Tahoma" w:hAnsi="Arial"/>
          <w:bCs/>
        </w:rPr>
        <w:t>Takkouch</w:t>
      </w:r>
      <w:proofErr w:type="spellEnd"/>
      <w:r w:rsidRPr="006119EA">
        <w:rPr>
          <w:rFonts w:ascii="Arial" w:eastAsia="Tahoma" w:hAnsi="Arial"/>
          <w:bCs/>
        </w:rPr>
        <w:t xml:space="preserve">, M., Zukowski, S., &amp; Campbell, N. (2023). Students’ perspectives and experiences with equity, diversity, inclusion, and accessibility in online and in-person undergraduate science laboratory courses. Journal of Perspectives in Applied Academic Practice, 11(3). </w:t>
      </w:r>
      <w:hyperlink r:id="rId63" w:history="1">
        <w:r w:rsidR="006119EA" w:rsidRPr="006119EA">
          <w:rPr>
            <w:rStyle w:val="Hyperlink"/>
            <w:rFonts w:ascii="Arial" w:eastAsia="Tahoma" w:hAnsi="Arial"/>
            <w:bCs/>
            <w:color w:val="auto"/>
            <w:u w:val="none"/>
          </w:rPr>
          <w:t>https://doi.org/10.56433/jpaap.v11i3.581</w:t>
        </w:r>
      </w:hyperlink>
    </w:p>
    <w:p w14:paraId="599808FA" w14:textId="77777777" w:rsidR="006119EA" w:rsidRPr="006119EA" w:rsidRDefault="006119EA">
      <w:pPr>
        <w:ind w:left="540" w:hanging="540"/>
        <w:jc w:val="both"/>
        <w:rPr>
          <w:rFonts w:ascii="Arial" w:eastAsia="Tahoma" w:hAnsi="Arial"/>
          <w:bCs/>
        </w:rPr>
      </w:pPr>
    </w:p>
    <w:p w14:paraId="6CC97CC1" w14:textId="77777777" w:rsidR="00AC3366" w:rsidRPr="006119EA" w:rsidRDefault="00AC3366">
      <w:pPr>
        <w:ind w:left="540" w:hanging="540"/>
        <w:jc w:val="both"/>
        <w:rPr>
          <w:rFonts w:ascii="Arial" w:eastAsia="Tahoma" w:hAnsi="Arial"/>
          <w:bCs/>
        </w:rPr>
      </w:pPr>
      <w:proofErr w:type="spellStart"/>
      <w:r w:rsidRPr="006119EA">
        <w:rPr>
          <w:rFonts w:ascii="Arial" w:eastAsia="Tahoma" w:hAnsi="Arial"/>
          <w:bCs/>
        </w:rPr>
        <w:t>Tantog</w:t>
      </w:r>
      <w:proofErr w:type="spellEnd"/>
      <w:r w:rsidRPr="006119EA">
        <w:rPr>
          <w:rFonts w:ascii="Arial" w:eastAsia="Tahoma" w:hAnsi="Arial"/>
          <w:bCs/>
        </w:rPr>
        <w:t xml:space="preserve">, A. J. D., &amp; </w:t>
      </w:r>
      <w:proofErr w:type="spellStart"/>
      <w:r w:rsidRPr="006119EA">
        <w:rPr>
          <w:rFonts w:ascii="Arial" w:eastAsia="Tahoma" w:hAnsi="Arial"/>
          <w:bCs/>
        </w:rPr>
        <w:t>Naparan</w:t>
      </w:r>
      <w:proofErr w:type="spellEnd"/>
      <w:r w:rsidRPr="006119EA">
        <w:rPr>
          <w:rFonts w:ascii="Arial" w:eastAsia="Tahoma" w:hAnsi="Arial"/>
          <w:bCs/>
        </w:rPr>
        <w:t xml:space="preserve">, G. B. (2025). Exploring the experiences of BSED major in science students in the use of laboratory facilities and equipment. Journal of Educational Science and Studies, 8(1), 1–15. </w:t>
      </w:r>
      <w:hyperlink r:id="rId64" w:history="1">
        <w:r w:rsidRPr="006119EA">
          <w:rPr>
            <w:rStyle w:val="Hyperlink"/>
            <w:rFonts w:ascii="Arial" w:eastAsia="Tahoma" w:hAnsi="Arial"/>
            <w:bCs/>
            <w:color w:val="auto"/>
            <w:u w:val="none"/>
          </w:rPr>
          <w:t>https://journals.researchsynergypress.com/index.php/jess/article/view/2963</w:t>
        </w:r>
      </w:hyperlink>
    </w:p>
    <w:p w14:paraId="1F8F2F15" w14:textId="77777777" w:rsidR="006119EA" w:rsidRPr="006119EA" w:rsidRDefault="006119EA">
      <w:pPr>
        <w:ind w:left="540" w:hanging="540"/>
        <w:jc w:val="both"/>
        <w:rPr>
          <w:rFonts w:ascii="Arial" w:eastAsia="Tahoma" w:hAnsi="Arial"/>
          <w:bCs/>
        </w:rPr>
      </w:pPr>
    </w:p>
    <w:p w14:paraId="08C3EE5B" w14:textId="6F1445BA" w:rsidR="00AC3366" w:rsidRPr="006119EA" w:rsidRDefault="00AC3366">
      <w:pPr>
        <w:ind w:left="540" w:hanging="540"/>
        <w:jc w:val="both"/>
        <w:rPr>
          <w:rFonts w:ascii="Arial" w:eastAsia="Tahoma" w:hAnsi="Arial"/>
          <w:bCs/>
        </w:rPr>
      </w:pPr>
      <w:proofErr w:type="spellStart"/>
      <w:r w:rsidRPr="006119EA">
        <w:rPr>
          <w:rFonts w:ascii="Arial" w:eastAsia="Tahoma" w:hAnsi="Arial"/>
          <w:bCs/>
        </w:rPr>
        <w:t>Tindan</w:t>
      </w:r>
      <w:proofErr w:type="spellEnd"/>
      <w:r w:rsidRPr="006119EA">
        <w:rPr>
          <w:rFonts w:ascii="Arial" w:eastAsia="Tahoma" w:hAnsi="Arial"/>
          <w:bCs/>
        </w:rPr>
        <w:t xml:space="preserve">, T. N., &amp; Anaba, C. A. (2024). Scientific hands-on activities and its impact on academic success of students: A systematic literature review. IOSR Journal of Research &amp; Method in Education, 14(6 Ser. 4), 39–47. </w:t>
      </w:r>
      <w:hyperlink r:id="rId65" w:history="1">
        <w:r w:rsidR="006119EA" w:rsidRPr="006119EA">
          <w:rPr>
            <w:rStyle w:val="Hyperlink"/>
            <w:rFonts w:ascii="Arial" w:eastAsia="Tahoma" w:hAnsi="Arial"/>
            <w:bCs/>
            <w:color w:val="auto"/>
            <w:u w:val="none"/>
          </w:rPr>
          <w:t>https://doi.org/10.9790/7388-1406043947</w:t>
        </w:r>
      </w:hyperlink>
    </w:p>
    <w:p w14:paraId="58FC4FE9" w14:textId="77777777" w:rsidR="006119EA" w:rsidRPr="006119EA" w:rsidRDefault="006119EA">
      <w:pPr>
        <w:ind w:left="540" w:hanging="540"/>
        <w:jc w:val="both"/>
        <w:rPr>
          <w:rFonts w:ascii="Arial" w:eastAsia="Tahoma" w:hAnsi="Arial"/>
          <w:bCs/>
        </w:rPr>
      </w:pPr>
    </w:p>
    <w:p w14:paraId="5F9BBE72" w14:textId="1D4D675C" w:rsidR="00AC3366" w:rsidRPr="006119EA" w:rsidRDefault="00AC3366">
      <w:pPr>
        <w:ind w:left="540" w:hanging="540"/>
        <w:jc w:val="both"/>
        <w:rPr>
          <w:rFonts w:ascii="Arial" w:eastAsia="Tahoma" w:hAnsi="Arial"/>
          <w:bCs/>
        </w:rPr>
      </w:pPr>
      <w:r w:rsidRPr="006119EA">
        <w:rPr>
          <w:rFonts w:ascii="Arial" w:eastAsia="Tahoma" w:hAnsi="Arial"/>
          <w:bCs/>
        </w:rPr>
        <w:t xml:space="preserve">Tiongco, R. G., </w:t>
      </w:r>
      <w:proofErr w:type="spellStart"/>
      <w:r w:rsidRPr="006119EA">
        <w:rPr>
          <w:rFonts w:ascii="Arial" w:eastAsia="Tahoma" w:hAnsi="Arial"/>
          <w:bCs/>
        </w:rPr>
        <w:t>Casaje</w:t>
      </w:r>
      <w:proofErr w:type="spellEnd"/>
      <w:r w:rsidRPr="006119EA">
        <w:rPr>
          <w:rFonts w:ascii="Arial" w:eastAsia="Tahoma" w:hAnsi="Arial"/>
          <w:bCs/>
        </w:rPr>
        <w:t xml:space="preserve">, J. G. S., Cruz, E. a. D., Ruiz, M. J. G., </w:t>
      </w:r>
      <w:proofErr w:type="spellStart"/>
      <w:r w:rsidRPr="006119EA">
        <w:rPr>
          <w:rFonts w:ascii="Arial" w:eastAsia="Tahoma" w:hAnsi="Arial"/>
          <w:bCs/>
        </w:rPr>
        <w:t>Fabores</w:t>
      </w:r>
      <w:proofErr w:type="spellEnd"/>
      <w:r w:rsidRPr="006119EA">
        <w:rPr>
          <w:rFonts w:ascii="Arial" w:eastAsia="Tahoma" w:hAnsi="Arial"/>
          <w:bCs/>
        </w:rPr>
        <w:t xml:space="preserve">, S. M. A., &amp; Prudente, M. S. (2024). Scientific Literacy Skills and Perceptions about STEM Curriculum Using Web-based Applications. ACM Digital Library, 170–175. </w:t>
      </w:r>
      <w:hyperlink r:id="rId66" w:history="1">
        <w:r w:rsidR="006119EA" w:rsidRPr="006119EA">
          <w:rPr>
            <w:rStyle w:val="Hyperlink"/>
            <w:rFonts w:ascii="Arial" w:eastAsia="Tahoma" w:hAnsi="Arial"/>
            <w:bCs/>
            <w:color w:val="auto"/>
            <w:u w:val="none"/>
          </w:rPr>
          <w:t>https://doi.org/10.1145/3670013.3670035</w:t>
        </w:r>
      </w:hyperlink>
    </w:p>
    <w:p w14:paraId="74B8C7DD" w14:textId="77777777" w:rsidR="006119EA" w:rsidRPr="006119EA" w:rsidRDefault="006119EA">
      <w:pPr>
        <w:ind w:left="540" w:hanging="540"/>
        <w:jc w:val="both"/>
        <w:rPr>
          <w:rFonts w:ascii="Arial" w:eastAsia="Tahoma" w:hAnsi="Arial"/>
          <w:bCs/>
        </w:rPr>
      </w:pPr>
    </w:p>
    <w:p w14:paraId="74E60DC0" w14:textId="0769BEEB" w:rsidR="00AC3366" w:rsidRPr="006119EA" w:rsidRDefault="00AC3366">
      <w:pPr>
        <w:ind w:left="540" w:hanging="540"/>
        <w:jc w:val="both"/>
        <w:rPr>
          <w:rFonts w:ascii="Arial" w:eastAsia="Tahoma" w:hAnsi="Arial"/>
          <w:bCs/>
        </w:rPr>
      </w:pPr>
      <w:r w:rsidRPr="006119EA">
        <w:rPr>
          <w:rFonts w:ascii="Arial" w:eastAsia="Tahoma" w:hAnsi="Arial"/>
          <w:bCs/>
        </w:rPr>
        <w:t xml:space="preserve">Waddington, J. (2023). Self-efficacy. ELT Journal, 77(2), 237–240. </w:t>
      </w:r>
      <w:hyperlink r:id="rId67" w:history="1">
        <w:r w:rsidR="006119EA" w:rsidRPr="006119EA">
          <w:rPr>
            <w:rStyle w:val="Hyperlink"/>
            <w:rFonts w:ascii="Arial" w:eastAsia="Tahoma" w:hAnsi="Arial"/>
            <w:bCs/>
            <w:color w:val="auto"/>
            <w:u w:val="none"/>
          </w:rPr>
          <w:t>https://doi.org/10.1093/elt/ccac046</w:t>
        </w:r>
      </w:hyperlink>
    </w:p>
    <w:p w14:paraId="3FA5B13C" w14:textId="77777777" w:rsidR="006119EA" w:rsidRPr="006119EA" w:rsidRDefault="006119EA">
      <w:pPr>
        <w:ind w:left="540" w:hanging="540"/>
        <w:jc w:val="both"/>
        <w:rPr>
          <w:rFonts w:ascii="Arial" w:eastAsia="Tahoma" w:hAnsi="Arial"/>
          <w:bCs/>
        </w:rPr>
      </w:pPr>
    </w:p>
    <w:p w14:paraId="38AA85FF" w14:textId="141E1168" w:rsidR="00AC3366" w:rsidRPr="006119EA" w:rsidRDefault="00AC3366">
      <w:pPr>
        <w:ind w:left="540" w:hanging="540"/>
        <w:jc w:val="both"/>
        <w:rPr>
          <w:rFonts w:ascii="Arial" w:eastAsia="Tahoma" w:hAnsi="Arial"/>
          <w:bCs/>
        </w:rPr>
      </w:pPr>
      <w:proofErr w:type="spellStart"/>
      <w:r w:rsidRPr="006119EA">
        <w:rPr>
          <w:rFonts w:ascii="Arial" w:eastAsia="Tahoma" w:hAnsi="Arial"/>
          <w:bCs/>
        </w:rPr>
        <w:t>Yoldan</w:t>
      </w:r>
      <w:proofErr w:type="spellEnd"/>
      <w:r w:rsidRPr="006119EA">
        <w:rPr>
          <w:rFonts w:ascii="Arial" w:eastAsia="Tahoma" w:hAnsi="Arial"/>
          <w:bCs/>
        </w:rPr>
        <w:t xml:space="preserve">, L. D. P., Cuizon, C. A., Biñas, C. A., Nemeño, A. C., Deloria, J. B. M., Ejercito, F. J., &amp; Saldivar, J. M. N. (2025). Drivers of laboratory instruction in science education. Psychology and Education: A Multidisciplinary Journal, 38(2), 176–189. </w:t>
      </w:r>
      <w:hyperlink r:id="rId68" w:history="1">
        <w:r w:rsidR="006119EA" w:rsidRPr="006119EA">
          <w:rPr>
            <w:rStyle w:val="Hyperlink"/>
            <w:rFonts w:ascii="Arial" w:eastAsia="Tahoma" w:hAnsi="Arial"/>
            <w:bCs/>
            <w:color w:val="auto"/>
            <w:u w:val="none"/>
          </w:rPr>
          <w:t>https://doi.org/10.70838/pemj.380206</w:t>
        </w:r>
      </w:hyperlink>
    </w:p>
    <w:p w14:paraId="29A039B9" w14:textId="77777777" w:rsidR="006119EA" w:rsidRPr="006119EA" w:rsidRDefault="006119EA">
      <w:pPr>
        <w:ind w:left="540" w:hanging="540"/>
        <w:jc w:val="both"/>
        <w:rPr>
          <w:rFonts w:ascii="Arial" w:eastAsia="Tahoma" w:hAnsi="Arial"/>
          <w:bCs/>
        </w:rPr>
      </w:pPr>
    </w:p>
    <w:p w14:paraId="00E35C3C" w14:textId="77777777" w:rsidR="00AC3366" w:rsidRPr="006119EA" w:rsidRDefault="00AC3366">
      <w:pPr>
        <w:ind w:left="540" w:hanging="540"/>
        <w:jc w:val="both"/>
        <w:rPr>
          <w:rFonts w:ascii="Arial" w:eastAsia="Tahoma" w:hAnsi="Arial"/>
          <w:bCs/>
        </w:rPr>
      </w:pPr>
      <w:proofErr w:type="spellStart"/>
      <w:r w:rsidRPr="006119EA">
        <w:rPr>
          <w:rFonts w:ascii="Arial" w:eastAsia="Tahoma" w:hAnsi="Arial"/>
          <w:bCs/>
        </w:rPr>
        <w:t>Zaluddin</w:t>
      </w:r>
      <w:proofErr w:type="spellEnd"/>
      <w:r w:rsidRPr="006119EA">
        <w:rPr>
          <w:rFonts w:ascii="Arial" w:eastAsia="Tahoma" w:hAnsi="Arial"/>
          <w:bCs/>
        </w:rPr>
        <w:t xml:space="preserve">, N. F., Abdul Hadi, N., Zainal </w:t>
      </w:r>
      <w:proofErr w:type="spellStart"/>
      <w:r w:rsidRPr="006119EA">
        <w:rPr>
          <w:rFonts w:ascii="Arial" w:eastAsia="Tahoma" w:hAnsi="Arial"/>
          <w:bCs/>
        </w:rPr>
        <w:t>Aripin</w:t>
      </w:r>
      <w:proofErr w:type="spellEnd"/>
      <w:r w:rsidRPr="006119EA">
        <w:rPr>
          <w:rFonts w:ascii="Arial" w:eastAsia="Tahoma" w:hAnsi="Arial"/>
          <w:bCs/>
        </w:rPr>
        <w:t xml:space="preserve">, Z. A., Azlin, M. F., Halim, M. H. A. N., </w:t>
      </w:r>
      <w:proofErr w:type="spellStart"/>
      <w:r w:rsidRPr="006119EA">
        <w:rPr>
          <w:rFonts w:ascii="Arial" w:eastAsia="Tahoma" w:hAnsi="Arial"/>
          <w:bCs/>
        </w:rPr>
        <w:t>Ash’ari</w:t>
      </w:r>
      <w:proofErr w:type="spellEnd"/>
      <w:r w:rsidRPr="006119EA">
        <w:rPr>
          <w:rFonts w:ascii="Arial" w:eastAsia="Tahoma" w:hAnsi="Arial"/>
          <w:bCs/>
        </w:rPr>
        <w:t xml:space="preserve">, I., Jagat, J., Ibrahim, N. H., </w:t>
      </w:r>
      <w:proofErr w:type="spellStart"/>
      <w:r w:rsidRPr="006119EA">
        <w:rPr>
          <w:rFonts w:ascii="Arial" w:eastAsia="Tahoma" w:hAnsi="Arial"/>
          <w:bCs/>
        </w:rPr>
        <w:t>Surif</w:t>
      </w:r>
      <w:proofErr w:type="spellEnd"/>
      <w:r w:rsidRPr="006119EA">
        <w:rPr>
          <w:rFonts w:ascii="Arial" w:eastAsia="Tahoma" w:hAnsi="Arial"/>
          <w:bCs/>
        </w:rPr>
        <w:t>, J., &amp; Ni, H. S. (2025). Self-efficacy level of chemistry students. International Journal of Research and Innovation in Social Science, 9(8), 6180–6189. https://rsisinternational.org/journals/ijriss/articles/self-efficacy-level-of-chemistry-students/</w:t>
      </w:r>
    </w:p>
    <w:sectPr w:rsidR="00AC3366" w:rsidRPr="006119EA">
      <w:headerReference w:type="even" r:id="rId69"/>
      <w:headerReference w:type="default" r:id="rId70"/>
      <w:footerReference w:type="default" r:id="rId71"/>
      <w:headerReference w:type="first" r:id="rId72"/>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E955B" w14:textId="77777777" w:rsidR="00D64EC5" w:rsidRDefault="00D64EC5">
      <w:r>
        <w:separator/>
      </w:r>
    </w:p>
  </w:endnote>
  <w:endnote w:type="continuationSeparator" w:id="0">
    <w:p w14:paraId="0FA83534" w14:textId="77777777" w:rsidR="00D64EC5" w:rsidRDefault="00D6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roid Sans">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8C1F" w14:textId="77777777" w:rsidR="00913F36" w:rsidRDefault="0091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4BD0" w14:textId="77777777" w:rsidR="00913F36" w:rsidRDefault="00913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F22A" w14:textId="77777777" w:rsidR="006140D5" w:rsidRDefault="006140D5">
    <w:pPr>
      <w:pStyle w:val="Footer"/>
      <w:rPr>
        <w:rFonts w:ascii="Arial" w:hAnsi="Arial" w:cs="Arial"/>
        <w:sz w:val="16"/>
      </w:rPr>
    </w:pPr>
  </w:p>
  <w:p w14:paraId="26A5EA89" w14:textId="77777777" w:rsidR="006140D5" w:rsidRDefault="00E13F9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62342DD" w14:textId="77777777" w:rsidR="006140D5" w:rsidRDefault="006140D5">
    <w:pPr>
      <w:pStyle w:val="Footer"/>
      <w:rPr>
        <w:rFonts w:ascii="Arial" w:hAnsi="Arial" w:cs="Arial"/>
        <w:sz w:val="16"/>
      </w:rPr>
    </w:pPr>
  </w:p>
  <w:p w14:paraId="51C901DC" w14:textId="77777777" w:rsidR="006140D5" w:rsidRDefault="00E13F90">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250A" w14:textId="77777777" w:rsidR="006140D5" w:rsidRDefault="0061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BAD9" w14:textId="77777777" w:rsidR="00D64EC5" w:rsidRDefault="00D64EC5">
      <w:r>
        <w:separator/>
      </w:r>
    </w:p>
  </w:footnote>
  <w:footnote w:type="continuationSeparator" w:id="0">
    <w:p w14:paraId="1152571B" w14:textId="77777777" w:rsidR="00D64EC5" w:rsidRDefault="00D64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3A19" w14:textId="5FB43B8E" w:rsidR="00913F36" w:rsidRDefault="00000000">
    <w:pPr>
      <w:pStyle w:val="Header"/>
    </w:pPr>
    <w:r>
      <w:rPr>
        <w:noProof/>
      </w:rPr>
      <w:pict w14:anchorId="19D6C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B587" w14:textId="489A495B" w:rsidR="00913F36" w:rsidRDefault="00000000">
    <w:pPr>
      <w:pStyle w:val="Header"/>
    </w:pPr>
    <w:r>
      <w:rPr>
        <w:noProof/>
      </w:rPr>
      <w:pict w14:anchorId="4002D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B0D5" w14:textId="69114640" w:rsidR="006140D5" w:rsidRDefault="00000000">
    <w:pPr>
      <w:ind w:left="2160"/>
      <w:jc w:val="center"/>
      <w:rPr>
        <w:rFonts w:ascii="Times New Roman" w:eastAsia="Calibri" w:hAnsi="Times New Roman"/>
        <w:i/>
        <w:sz w:val="18"/>
        <w:szCs w:val="22"/>
      </w:rPr>
    </w:pPr>
    <w:r>
      <w:rPr>
        <w:noProof/>
      </w:rPr>
      <w:pict w14:anchorId="28F56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5C8D81" w14:textId="77777777" w:rsidR="006140D5" w:rsidRDefault="00E13F9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9AD7B8F" w14:textId="77777777" w:rsidR="006140D5" w:rsidRDefault="00E13F90">
    <w:pPr>
      <w:jc w:val="center"/>
      <w:rPr>
        <w:rFonts w:ascii="Times New Roman" w:eastAsia="Calibri" w:hAnsi="Times New Roman"/>
        <w:i/>
        <w:sz w:val="18"/>
        <w:szCs w:val="22"/>
      </w:rPr>
    </w:pPr>
    <w:r>
      <w:rPr>
        <w:rFonts w:ascii="Times New Roman" w:eastAsia="Calibri" w:hAnsi="Times New Roman"/>
        <w:i/>
        <w:sz w:val="18"/>
        <w:szCs w:val="22"/>
      </w:rPr>
      <w:t>.</w:t>
    </w:r>
  </w:p>
  <w:p w14:paraId="6F69F3CA" w14:textId="77777777" w:rsidR="006140D5" w:rsidRDefault="00E13F9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EBA7A3A" w14:textId="77777777" w:rsidR="006140D5" w:rsidRDefault="00E13F9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2EFE7FF" w14:textId="77777777" w:rsidR="006140D5" w:rsidRDefault="00E13F9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8A4152E" w14:textId="77777777" w:rsidR="006140D5" w:rsidRDefault="00E13F9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93D1" w14:textId="22A01CF4" w:rsidR="00913F36" w:rsidRDefault="00000000">
    <w:pPr>
      <w:pStyle w:val="Header"/>
    </w:pPr>
    <w:r>
      <w:rPr>
        <w:noProof/>
      </w:rPr>
      <w:pict w14:anchorId="3C0B9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5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FC7E" w14:textId="154368E4" w:rsidR="00913F36" w:rsidRDefault="00000000">
    <w:pPr>
      <w:pStyle w:val="Header"/>
    </w:pPr>
    <w:r>
      <w:rPr>
        <w:noProof/>
      </w:rPr>
      <w:pict w14:anchorId="1F0EC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5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6423" w14:textId="6D96405F" w:rsidR="00913F36" w:rsidRDefault="00000000">
    <w:pPr>
      <w:pStyle w:val="Header"/>
    </w:pPr>
    <w:r>
      <w:rPr>
        <w:noProof/>
      </w:rPr>
      <w:pict w14:anchorId="05B0E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D380A"/>
    <w:multiLevelType w:val="singleLevel"/>
    <w:tmpl w:val="827D380A"/>
    <w:lvl w:ilvl="0">
      <w:start w:val="1"/>
      <w:numFmt w:val="decimal"/>
      <w:suff w:val="space"/>
      <w:lvlText w:val="%1."/>
      <w:lvlJc w:val="left"/>
    </w:lvl>
  </w:abstractNum>
  <w:abstractNum w:abstractNumId="1" w15:restartNumberingAfterBreak="0">
    <w:nsid w:val="DB34801D"/>
    <w:multiLevelType w:val="singleLevel"/>
    <w:tmpl w:val="DB34801D"/>
    <w:lvl w:ilvl="0">
      <w:start w:val="3"/>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407611388">
    <w:abstractNumId w:val="2"/>
  </w:num>
  <w:num w:numId="2" w16cid:durableId="1072393658">
    <w:abstractNumId w:val="0"/>
  </w:num>
  <w:num w:numId="3" w16cid:durableId="1248463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F8F"/>
    <w:rsid w:val="00005D24"/>
    <w:rsid w:val="000139AF"/>
    <w:rsid w:val="000211E1"/>
    <w:rsid w:val="000235AA"/>
    <w:rsid w:val="00024365"/>
    <w:rsid w:val="00024686"/>
    <w:rsid w:val="00024AA2"/>
    <w:rsid w:val="00030174"/>
    <w:rsid w:val="00036A17"/>
    <w:rsid w:val="00040516"/>
    <w:rsid w:val="00043A1F"/>
    <w:rsid w:val="0004579C"/>
    <w:rsid w:val="000466AB"/>
    <w:rsid w:val="0005550A"/>
    <w:rsid w:val="00064727"/>
    <w:rsid w:val="000812DA"/>
    <w:rsid w:val="00083E54"/>
    <w:rsid w:val="0008594A"/>
    <w:rsid w:val="000929CF"/>
    <w:rsid w:val="00093625"/>
    <w:rsid w:val="000970E9"/>
    <w:rsid w:val="000A23DA"/>
    <w:rsid w:val="000A47FA"/>
    <w:rsid w:val="000A65D3"/>
    <w:rsid w:val="000A7305"/>
    <w:rsid w:val="000A7A12"/>
    <w:rsid w:val="000B0532"/>
    <w:rsid w:val="000B09BF"/>
    <w:rsid w:val="000B1E33"/>
    <w:rsid w:val="000B345D"/>
    <w:rsid w:val="000B4189"/>
    <w:rsid w:val="000B43B0"/>
    <w:rsid w:val="000B652D"/>
    <w:rsid w:val="000D1508"/>
    <w:rsid w:val="000D689F"/>
    <w:rsid w:val="000D6B8D"/>
    <w:rsid w:val="000E0E2A"/>
    <w:rsid w:val="000E1D50"/>
    <w:rsid w:val="000E3E41"/>
    <w:rsid w:val="000E7B7B"/>
    <w:rsid w:val="000E7D62"/>
    <w:rsid w:val="000F1703"/>
    <w:rsid w:val="000F2394"/>
    <w:rsid w:val="00100165"/>
    <w:rsid w:val="00100745"/>
    <w:rsid w:val="00103357"/>
    <w:rsid w:val="00105CE3"/>
    <w:rsid w:val="00115C1B"/>
    <w:rsid w:val="00123C9F"/>
    <w:rsid w:val="00126190"/>
    <w:rsid w:val="00130F17"/>
    <w:rsid w:val="001320BF"/>
    <w:rsid w:val="00136318"/>
    <w:rsid w:val="00136432"/>
    <w:rsid w:val="001516B7"/>
    <w:rsid w:val="0015295A"/>
    <w:rsid w:val="0015397B"/>
    <w:rsid w:val="00156B52"/>
    <w:rsid w:val="00163BC4"/>
    <w:rsid w:val="00166D4C"/>
    <w:rsid w:val="00172A27"/>
    <w:rsid w:val="00172FFF"/>
    <w:rsid w:val="001774F8"/>
    <w:rsid w:val="00177903"/>
    <w:rsid w:val="00182BC1"/>
    <w:rsid w:val="00191062"/>
    <w:rsid w:val="00192B72"/>
    <w:rsid w:val="00192D93"/>
    <w:rsid w:val="001A0DAC"/>
    <w:rsid w:val="001A29D8"/>
    <w:rsid w:val="001A5CAA"/>
    <w:rsid w:val="001A5D93"/>
    <w:rsid w:val="001A6EB0"/>
    <w:rsid w:val="001B0427"/>
    <w:rsid w:val="001B2CF9"/>
    <w:rsid w:val="001B42CC"/>
    <w:rsid w:val="001C29DA"/>
    <w:rsid w:val="001D3A51"/>
    <w:rsid w:val="001E10D2"/>
    <w:rsid w:val="001E25B4"/>
    <w:rsid w:val="001E2F1D"/>
    <w:rsid w:val="001E44FE"/>
    <w:rsid w:val="001E50C8"/>
    <w:rsid w:val="001F0077"/>
    <w:rsid w:val="001F22D1"/>
    <w:rsid w:val="00200595"/>
    <w:rsid w:val="00200B59"/>
    <w:rsid w:val="00202A30"/>
    <w:rsid w:val="00204835"/>
    <w:rsid w:val="00210FD5"/>
    <w:rsid w:val="00212A50"/>
    <w:rsid w:val="00216771"/>
    <w:rsid w:val="002177DC"/>
    <w:rsid w:val="002214AB"/>
    <w:rsid w:val="00224FCC"/>
    <w:rsid w:val="00231920"/>
    <w:rsid w:val="0023195C"/>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8244A"/>
    <w:rsid w:val="002826D0"/>
    <w:rsid w:val="00283105"/>
    <w:rsid w:val="00284C4C"/>
    <w:rsid w:val="002927E6"/>
    <w:rsid w:val="00296529"/>
    <w:rsid w:val="002B27FB"/>
    <w:rsid w:val="002B6432"/>
    <w:rsid w:val="002B685A"/>
    <w:rsid w:val="002B7CAC"/>
    <w:rsid w:val="002C57D2"/>
    <w:rsid w:val="002D4CE0"/>
    <w:rsid w:val="002D5527"/>
    <w:rsid w:val="002E0D56"/>
    <w:rsid w:val="002E19B4"/>
    <w:rsid w:val="002E5F11"/>
    <w:rsid w:val="0030046A"/>
    <w:rsid w:val="0030103F"/>
    <w:rsid w:val="0030231A"/>
    <w:rsid w:val="00302543"/>
    <w:rsid w:val="003121F3"/>
    <w:rsid w:val="0031223D"/>
    <w:rsid w:val="00315186"/>
    <w:rsid w:val="00316417"/>
    <w:rsid w:val="003205A8"/>
    <w:rsid w:val="00327B77"/>
    <w:rsid w:val="00332D99"/>
    <w:rsid w:val="0033343E"/>
    <w:rsid w:val="003358B2"/>
    <w:rsid w:val="0034322E"/>
    <w:rsid w:val="00343A77"/>
    <w:rsid w:val="00343EF2"/>
    <w:rsid w:val="00346B55"/>
    <w:rsid w:val="0035010A"/>
    <w:rsid w:val="003512C2"/>
    <w:rsid w:val="003558B2"/>
    <w:rsid w:val="0036753B"/>
    <w:rsid w:val="00371FB6"/>
    <w:rsid w:val="00373A25"/>
    <w:rsid w:val="003763C1"/>
    <w:rsid w:val="00376BBE"/>
    <w:rsid w:val="0037775B"/>
    <w:rsid w:val="00380A0A"/>
    <w:rsid w:val="00385CE3"/>
    <w:rsid w:val="00390D39"/>
    <w:rsid w:val="0039224F"/>
    <w:rsid w:val="003962AF"/>
    <w:rsid w:val="003A15D1"/>
    <w:rsid w:val="003A43A4"/>
    <w:rsid w:val="003A7E18"/>
    <w:rsid w:val="003B2F8B"/>
    <w:rsid w:val="003B4C52"/>
    <w:rsid w:val="003C4C86"/>
    <w:rsid w:val="003C6258"/>
    <w:rsid w:val="003E2747"/>
    <w:rsid w:val="003E2904"/>
    <w:rsid w:val="003F366A"/>
    <w:rsid w:val="00400EB5"/>
    <w:rsid w:val="00401927"/>
    <w:rsid w:val="0040362E"/>
    <w:rsid w:val="004040AD"/>
    <w:rsid w:val="00404391"/>
    <w:rsid w:val="00405B19"/>
    <w:rsid w:val="004065E6"/>
    <w:rsid w:val="0041027F"/>
    <w:rsid w:val="00412475"/>
    <w:rsid w:val="00414155"/>
    <w:rsid w:val="00416AD1"/>
    <w:rsid w:val="00420D56"/>
    <w:rsid w:val="0042182E"/>
    <w:rsid w:val="00423789"/>
    <w:rsid w:val="00425F88"/>
    <w:rsid w:val="0043166E"/>
    <w:rsid w:val="0043509F"/>
    <w:rsid w:val="00440F43"/>
    <w:rsid w:val="00441B6F"/>
    <w:rsid w:val="00442800"/>
    <w:rsid w:val="00442F25"/>
    <w:rsid w:val="00446221"/>
    <w:rsid w:val="00447CD8"/>
    <w:rsid w:val="004505D6"/>
    <w:rsid w:val="00450E62"/>
    <w:rsid w:val="004515B6"/>
    <w:rsid w:val="004517FE"/>
    <w:rsid w:val="004539DB"/>
    <w:rsid w:val="00454813"/>
    <w:rsid w:val="00457594"/>
    <w:rsid w:val="00457AD2"/>
    <w:rsid w:val="004608B3"/>
    <w:rsid w:val="00467D43"/>
    <w:rsid w:val="00471A80"/>
    <w:rsid w:val="00482896"/>
    <w:rsid w:val="004828EF"/>
    <w:rsid w:val="004842CF"/>
    <w:rsid w:val="00487A8F"/>
    <w:rsid w:val="00494E74"/>
    <w:rsid w:val="004A030D"/>
    <w:rsid w:val="004A3F44"/>
    <w:rsid w:val="004B352A"/>
    <w:rsid w:val="004B3C28"/>
    <w:rsid w:val="004C20FA"/>
    <w:rsid w:val="004C525C"/>
    <w:rsid w:val="004C6BBE"/>
    <w:rsid w:val="004D2AED"/>
    <w:rsid w:val="004D305E"/>
    <w:rsid w:val="004D4277"/>
    <w:rsid w:val="004E24B4"/>
    <w:rsid w:val="004E34A7"/>
    <w:rsid w:val="004E53E4"/>
    <w:rsid w:val="004E7827"/>
    <w:rsid w:val="004F0F20"/>
    <w:rsid w:val="004F1287"/>
    <w:rsid w:val="004F4041"/>
    <w:rsid w:val="00502516"/>
    <w:rsid w:val="00505F06"/>
    <w:rsid w:val="00506828"/>
    <w:rsid w:val="00507CE7"/>
    <w:rsid w:val="005113F8"/>
    <w:rsid w:val="00514B1C"/>
    <w:rsid w:val="0053028B"/>
    <w:rsid w:val="0053056E"/>
    <w:rsid w:val="00530B86"/>
    <w:rsid w:val="00537F3C"/>
    <w:rsid w:val="00542634"/>
    <w:rsid w:val="005448F5"/>
    <w:rsid w:val="00547520"/>
    <w:rsid w:val="00554FDA"/>
    <w:rsid w:val="005659F2"/>
    <w:rsid w:val="00587DCF"/>
    <w:rsid w:val="005A3374"/>
    <w:rsid w:val="005A523D"/>
    <w:rsid w:val="005B50EC"/>
    <w:rsid w:val="005B6488"/>
    <w:rsid w:val="005C4629"/>
    <w:rsid w:val="005C6558"/>
    <w:rsid w:val="005C784C"/>
    <w:rsid w:val="005D17F6"/>
    <w:rsid w:val="005D331B"/>
    <w:rsid w:val="005D4C51"/>
    <w:rsid w:val="005E547F"/>
    <w:rsid w:val="005E5539"/>
    <w:rsid w:val="005E6E94"/>
    <w:rsid w:val="005F38CE"/>
    <w:rsid w:val="005F57A1"/>
    <w:rsid w:val="005F6E16"/>
    <w:rsid w:val="005F7DF7"/>
    <w:rsid w:val="00600620"/>
    <w:rsid w:val="00602BF5"/>
    <w:rsid w:val="00607972"/>
    <w:rsid w:val="00610532"/>
    <w:rsid w:val="006119EA"/>
    <w:rsid w:val="006140D5"/>
    <w:rsid w:val="00617FDD"/>
    <w:rsid w:val="00633614"/>
    <w:rsid w:val="00633BBE"/>
    <w:rsid w:val="00633F68"/>
    <w:rsid w:val="00636EB2"/>
    <w:rsid w:val="00636FD0"/>
    <w:rsid w:val="006375B8"/>
    <w:rsid w:val="00642443"/>
    <w:rsid w:val="006540C0"/>
    <w:rsid w:val="00664F34"/>
    <w:rsid w:val="0066510A"/>
    <w:rsid w:val="00667E2B"/>
    <w:rsid w:val="00673EC8"/>
    <w:rsid w:val="00673F9F"/>
    <w:rsid w:val="006748C9"/>
    <w:rsid w:val="00676EC5"/>
    <w:rsid w:val="006824B0"/>
    <w:rsid w:val="00686953"/>
    <w:rsid w:val="00687DEA"/>
    <w:rsid w:val="00687E67"/>
    <w:rsid w:val="006967F7"/>
    <w:rsid w:val="00697EA2"/>
    <w:rsid w:val="006A250C"/>
    <w:rsid w:val="006B21D3"/>
    <w:rsid w:val="006B2F35"/>
    <w:rsid w:val="006B4DCA"/>
    <w:rsid w:val="006B53E9"/>
    <w:rsid w:val="006B57D0"/>
    <w:rsid w:val="006B63A8"/>
    <w:rsid w:val="006B6ED9"/>
    <w:rsid w:val="006C77CB"/>
    <w:rsid w:val="006D30FF"/>
    <w:rsid w:val="006D3E0B"/>
    <w:rsid w:val="006D421F"/>
    <w:rsid w:val="006D46FF"/>
    <w:rsid w:val="006D6940"/>
    <w:rsid w:val="006D6BB1"/>
    <w:rsid w:val="006E441C"/>
    <w:rsid w:val="006E6351"/>
    <w:rsid w:val="006F11EC"/>
    <w:rsid w:val="006F1DEF"/>
    <w:rsid w:val="006F2EEF"/>
    <w:rsid w:val="0070082C"/>
    <w:rsid w:val="007022DA"/>
    <w:rsid w:val="00702E0E"/>
    <w:rsid w:val="00705353"/>
    <w:rsid w:val="00705486"/>
    <w:rsid w:val="00711AAB"/>
    <w:rsid w:val="00720481"/>
    <w:rsid w:val="00722F13"/>
    <w:rsid w:val="00735DE5"/>
    <w:rsid w:val="007369E6"/>
    <w:rsid w:val="00746E59"/>
    <w:rsid w:val="00752FF3"/>
    <w:rsid w:val="00754960"/>
    <w:rsid w:val="00754B4C"/>
    <w:rsid w:val="00754C9A"/>
    <w:rsid w:val="0075599A"/>
    <w:rsid w:val="00761D52"/>
    <w:rsid w:val="00764185"/>
    <w:rsid w:val="0077749E"/>
    <w:rsid w:val="007862D6"/>
    <w:rsid w:val="00790ADA"/>
    <w:rsid w:val="00797D8A"/>
    <w:rsid w:val="007A0E68"/>
    <w:rsid w:val="007A30BE"/>
    <w:rsid w:val="007A6B2A"/>
    <w:rsid w:val="007A78D1"/>
    <w:rsid w:val="007B2814"/>
    <w:rsid w:val="007B4753"/>
    <w:rsid w:val="007B72EA"/>
    <w:rsid w:val="007C19E8"/>
    <w:rsid w:val="007D0525"/>
    <w:rsid w:val="007D2288"/>
    <w:rsid w:val="007D5603"/>
    <w:rsid w:val="007D7CC2"/>
    <w:rsid w:val="007E088F"/>
    <w:rsid w:val="007F7B32"/>
    <w:rsid w:val="00804BC2"/>
    <w:rsid w:val="0081431A"/>
    <w:rsid w:val="008168F3"/>
    <w:rsid w:val="008171B8"/>
    <w:rsid w:val="0082252A"/>
    <w:rsid w:val="008263A3"/>
    <w:rsid w:val="00830238"/>
    <w:rsid w:val="0083216F"/>
    <w:rsid w:val="00835497"/>
    <w:rsid w:val="00842128"/>
    <w:rsid w:val="00844882"/>
    <w:rsid w:val="00860000"/>
    <w:rsid w:val="008627F6"/>
    <w:rsid w:val="00863BD3"/>
    <w:rsid w:val="00866D66"/>
    <w:rsid w:val="00866ECC"/>
    <w:rsid w:val="008671C6"/>
    <w:rsid w:val="00871180"/>
    <w:rsid w:val="008717E9"/>
    <w:rsid w:val="00875803"/>
    <w:rsid w:val="008766A2"/>
    <w:rsid w:val="0087783E"/>
    <w:rsid w:val="008851FE"/>
    <w:rsid w:val="00895C28"/>
    <w:rsid w:val="00895EC6"/>
    <w:rsid w:val="008A29D8"/>
    <w:rsid w:val="008A7DB0"/>
    <w:rsid w:val="008B459E"/>
    <w:rsid w:val="008B526C"/>
    <w:rsid w:val="008B558B"/>
    <w:rsid w:val="008C527A"/>
    <w:rsid w:val="008D3689"/>
    <w:rsid w:val="008E08ED"/>
    <w:rsid w:val="008E13AE"/>
    <w:rsid w:val="008E1506"/>
    <w:rsid w:val="008E67F3"/>
    <w:rsid w:val="008E710C"/>
    <w:rsid w:val="008F69D6"/>
    <w:rsid w:val="00902823"/>
    <w:rsid w:val="00913F36"/>
    <w:rsid w:val="00915CA6"/>
    <w:rsid w:val="00916505"/>
    <w:rsid w:val="00927834"/>
    <w:rsid w:val="00927880"/>
    <w:rsid w:val="00933E85"/>
    <w:rsid w:val="009410BD"/>
    <w:rsid w:val="00943D3F"/>
    <w:rsid w:val="009500A6"/>
    <w:rsid w:val="00953B14"/>
    <w:rsid w:val="009546AF"/>
    <w:rsid w:val="00957C18"/>
    <w:rsid w:val="009659BA"/>
    <w:rsid w:val="00966BB2"/>
    <w:rsid w:val="00966C6F"/>
    <w:rsid w:val="00975A94"/>
    <w:rsid w:val="009770A8"/>
    <w:rsid w:val="009813DF"/>
    <w:rsid w:val="009818A0"/>
    <w:rsid w:val="00982C90"/>
    <w:rsid w:val="00983040"/>
    <w:rsid w:val="00986761"/>
    <w:rsid w:val="009A18CF"/>
    <w:rsid w:val="009A3089"/>
    <w:rsid w:val="009A53B5"/>
    <w:rsid w:val="009B3FB9"/>
    <w:rsid w:val="009B66B4"/>
    <w:rsid w:val="009C2465"/>
    <w:rsid w:val="009C55B9"/>
    <w:rsid w:val="009C76F7"/>
    <w:rsid w:val="009D35A0"/>
    <w:rsid w:val="009D4A14"/>
    <w:rsid w:val="009D7EB7"/>
    <w:rsid w:val="009E048A"/>
    <w:rsid w:val="009E08E9"/>
    <w:rsid w:val="009E3DB9"/>
    <w:rsid w:val="009E6E35"/>
    <w:rsid w:val="009F0EDA"/>
    <w:rsid w:val="00A00470"/>
    <w:rsid w:val="00A032E5"/>
    <w:rsid w:val="00A03B96"/>
    <w:rsid w:val="00A049E2"/>
    <w:rsid w:val="00A05B19"/>
    <w:rsid w:val="00A1134E"/>
    <w:rsid w:val="00A14962"/>
    <w:rsid w:val="00A23B15"/>
    <w:rsid w:val="00A249C3"/>
    <w:rsid w:val="00A24E7E"/>
    <w:rsid w:val="00A258C3"/>
    <w:rsid w:val="00A328C2"/>
    <w:rsid w:val="00A347C0"/>
    <w:rsid w:val="00A51431"/>
    <w:rsid w:val="00A539AD"/>
    <w:rsid w:val="00A61D97"/>
    <w:rsid w:val="00A66CC3"/>
    <w:rsid w:val="00A71653"/>
    <w:rsid w:val="00A7351F"/>
    <w:rsid w:val="00A823C2"/>
    <w:rsid w:val="00A85354"/>
    <w:rsid w:val="00A90A61"/>
    <w:rsid w:val="00A94063"/>
    <w:rsid w:val="00A94F6E"/>
    <w:rsid w:val="00AA197F"/>
    <w:rsid w:val="00AA6219"/>
    <w:rsid w:val="00AA74E0"/>
    <w:rsid w:val="00AB65EC"/>
    <w:rsid w:val="00AB703F"/>
    <w:rsid w:val="00AB7EBB"/>
    <w:rsid w:val="00AC3366"/>
    <w:rsid w:val="00AC6BB8"/>
    <w:rsid w:val="00AD42EE"/>
    <w:rsid w:val="00AD5088"/>
    <w:rsid w:val="00AD5B56"/>
    <w:rsid w:val="00AD6021"/>
    <w:rsid w:val="00AE008F"/>
    <w:rsid w:val="00AF26A0"/>
    <w:rsid w:val="00AF76D1"/>
    <w:rsid w:val="00B01FCD"/>
    <w:rsid w:val="00B07490"/>
    <w:rsid w:val="00B07A9F"/>
    <w:rsid w:val="00B13509"/>
    <w:rsid w:val="00B1776C"/>
    <w:rsid w:val="00B20A7B"/>
    <w:rsid w:val="00B26CC5"/>
    <w:rsid w:val="00B440AB"/>
    <w:rsid w:val="00B511B7"/>
    <w:rsid w:val="00B51BD5"/>
    <w:rsid w:val="00B52896"/>
    <w:rsid w:val="00B56856"/>
    <w:rsid w:val="00B63364"/>
    <w:rsid w:val="00B6656C"/>
    <w:rsid w:val="00B73A64"/>
    <w:rsid w:val="00B74EA2"/>
    <w:rsid w:val="00B8361D"/>
    <w:rsid w:val="00B86163"/>
    <w:rsid w:val="00B8786D"/>
    <w:rsid w:val="00B91ECC"/>
    <w:rsid w:val="00B92886"/>
    <w:rsid w:val="00B95236"/>
    <w:rsid w:val="00B96BD9"/>
    <w:rsid w:val="00BA1B01"/>
    <w:rsid w:val="00BA2641"/>
    <w:rsid w:val="00BB1669"/>
    <w:rsid w:val="00BB37AA"/>
    <w:rsid w:val="00BB4D7A"/>
    <w:rsid w:val="00BB53BB"/>
    <w:rsid w:val="00BC2F2C"/>
    <w:rsid w:val="00BC4275"/>
    <w:rsid w:val="00BC53A0"/>
    <w:rsid w:val="00BC5B84"/>
    <w:rsid w:val="00BD1132"/>
    <w:rsid w:val="00BE18D5"/>
    <w:rsid w:val="00BE62AD"/>
    <w:rsid w:val="00BE6DFC"/>
    <w:rsid w:val="00BF121F"/>
    <w:rsid w:val="00BF1F80"/>
    <w:rsid w:val="00BF7CBE"/>
    <w:rsid w:val="00C00BB9"/>
    <w:rsid w:val="00C036B1"/>
    <w:rsid w:val="00C049DF"/>
    <w:rsid w:val="00C11D26"/>
    <w:rsid w:val="00C166EF"/>
    <w:rsid w:val="00C16B5C"/>
    <w:rsid w:val="00C17EB0"/>
    <w:rsid w:val="00C2186E"/>
    <w:rsid w:val="00C27F5F"/>
    <w:rsid w:val="00C30A0F"/>
    <w:rsid w:val="00C37E61"/>
    <w:rsid w:val="00C43D45"/>
    <w:rsid w:val="00C4645E"/>
    <w:rsid w:val="00C476F4"/>
    <w:rsid w:val="00C50BAA"/>
    <w:rsid w:val="00C54719"/>
    <w:rsid w:val="00C5541D"/>
    <w:rsid w:val="00C602D2"/>
    <w:rsid w:val="00C621DB"/>
    <w:rsid w:val="00C630B2"/>
    <w:rsid w:val="00C6430C"/>
    <w:rsid w:val="00C705D3"/>
    <w:rsid w:val="00C70F1B"/>
    <w:rsid w:val="00C71A47"/>
    <w:rsid w:val="00C74068"/>
    <w:rsid w:val="00C7464C"/>
    <w:rsid w:val="00C76218"/>
    <w:rsid w:val="00C77D7E"/>
    <w:rsid w:val="00C85588"/>
    <w:rsid w:val="00C858ED"/>
    <w:rsid w:val="00C8629F"/>
    <w:rsid w:val="00C90E4D"/>
    <w:rsid w:val="00C928AE"/>
    <w:rsid w:val="00C946E9"/>
    <w:rsid w:val="00C97743"/>
    <w:rsid w:val="00CA0BBB"/>
    <w:rsid w:val="00CC2B78"/>
    <w:rsid w:val="00CC46AB"/>
    <w:rsid w:val="00CD29DB"/>
    <w:rsid w:val="00CD421E"/>
    <w:rsid w:val="00CD6755"/>
    <w:rsid w:val="00CD6856"/>
    <w:rsid w:val="00CE0089"/>
    <w:rsid w:val="00CE2E7A"/>
    <w:rsid w:val="00CE793C"/>
    <w:rsid w:val="00CF71B2"/>
    <w:rsid w:val="00D049A4"/>
    <w:rsid w:val="00D105E4"/>
    <w:rsid w:val="00D14BAB"/>
    <w:rsid w:val="00D173F1"/>
    <w:rsid w:val="00D21AF9"/>
    <w:rsid w:val="00D21D57"/>
    <w:rsid w:val="00D32CB7"/>
    <w:rsid w:val="00D36369"/>
    <w:rsid w:val="00D441DE"/>
    <w:rsid w:val="00D44F60"/>
    <w:rsid w:val="00D5136A"/>
    <w:rsid w:val="00D60562"/>
    <w:rsid w:val="00D61380"/>
    <w:rsid w:val="00D61417"/>
    <w:rsid w:val="00D61F34"/>
    <w:rsid w:val="00D643D5"/>
    <w:rsid w:val="00D64EC5"/>
    <w:rsid w:val="00D64FDA"/>
    <w:rsid w:val="00D6792F"/>
    <w:rsid w:val="00D75B9C"/>
    <w:rsid w:val="00D8295D"/>
    <w:rsid w:val="00D85FA7"/>
    <w:rsid w:val="00D90698"/>
    <w:rsid w:val="00D92B78"/>
    <w:rsid w:val="00D93AD7"/>
    <w:rsid w:val="00D93DF3"/>
    <w:rsid w:val="00D959A1"/>
    <w:rsid w:val="00D97447"/>
    <w:rsid w:val="00DA3C35"/>
    <w:rsid w:val="00DB1E07"/>
    <w:rsid w:val="00DB7560"/>
    <w:rsid w:val="00DB768D"/>
    <w:rsid w:val="00DC0FB6"/>
    <w:rsid w:val="00DC2A65"/>
    <w:rsid w:val="00DC324D"/>
    <w:rsid w:val="00DD5D93"/>
    <w:rsid w:val="00DE15F0"/>
    <w:rsid w:val="00DE5663"/>
    <w:rsid w:val="00DE60C7"/>
    <w:rsid w:val="00DE6F50"/>
    <w:rsid w:val="00DE78AA"/>
    <w:rsid w:val="00E00698"/>
    <w:rsid w:val="00E053D0"/>
    <w:rsid w:val="00E1330E"/>
    <w:rsid w:val="00E13F90"/>
    <w:rsid w:val="00E14F66"/>
    <w:rsid w:val="00E157DD"/>
    <w:rsid w:val="00E15994"/>
    <w:rsid w:val="00E22626"/>
    <w:rsid w:val="00E2279A"/>
    <w:rsid w:val="00E26575"/>
    <w:rsid w:val="00E27A69"/>
    <w:rsid w:val="00E3114E"/>
    <w:rsid w:val="00E31A70"/>
    <w:rsid w:val="00E32703"/>
    <w:rsid w:val="00E341B8"/>
    <w:rsid w:val="00E35B02"/>
    <w:rsid w:val="00E40034"/>
    <w:rsid w:val="00E41B0A"/>
    <w:rsid w:val="00E423BB"/>
    <w:rsid w:val="00E44474"/>
    <w:rsid w:val="00E46782"/>
    <w:rsid w:val="00E473B0"/>
    <w:rsid w:val="00E57B17"/>
    <w:rsid w:val="00E603D6"/>
    <w:rsid w:val="00E61E7D"/>
    <w:rsid w:val="00E66496"/>
    <w:rsid w:val="00E66B35"/>
    <w:rsid w:val="00E66E10"/>
    <w:rsid w:val="00E716B7"/>
    <w:rsid w:val="00E73A29"/>
    <w:rsid w:val="00E769F6"/>
    <w:rsid w:val="00E80455"/>
    <w:rsid w:val="00E813C3"/>
    <w:rsid w:val="00E8407C"/>
    <w:rsid w:val="00E84F3C"/>
    <w:rsid w:val="00E8563D"/>
    <w:rsid w:val="00E91A1A"/>
    <w:rsid w:val="00EA012C"/>
    <w:rsid w:val="00EA766D"/>
    <w:rsid w:val="00EB09EC"/>
    <w:rsid w:val="00EB7C71"/>
    <w:rsid w:val="00EC6799"/>
    <w:rsid w:val="00EC753F"/>
    <w:rsid w:val="00ED0288"/>
    <w:rsid w:val="00EE1F4E"/>
    <w:rsid w:val="00EE52CB"/>
    <w:rsid w:val="00EF3CBE"/>
    <w:rsid w:val="00EF581D"/>
    <w:rsid w:val="00EF7FD8"/>
    <w:rsid w:val="00F03D01"/>
    <w:rsid w:val="00F06F59"/>
    <w:rsid w:val="00F14BE4"/>
    <w:rsid w:val="00F17988"/>
    <w:rsid w:val="00F20284"/>
    <w:rsid w:val="00F2316C"/>
    <w:rsid w:val="00F31B7E"/>
    <w:rsid w:val="00F37ECD"/>
    <w:rsid w:val="00F451F7"/>
    <w:rsid w:val="00F469F0"/>
    <w:rsid w:val="00F51BEA"/>
    <w:rsid w:val="00F53273"/>
    <w:rsid w:val="00F611D1"/>
    <w:rsid w:val="00F63290"/>
    <w:rsid w:val="00F674B3"/>
    <w:rsid w:val="00F71026"/>
    <w:rsid w:val="00F74192"/>
    <w:rsid w:val="00F755E4"/>
    <w:rsid w:val="00F76E5D"/>
    <w:rsid w:val="00F77179"/>
    <w:rsid w:val="00F77830"/>
    <w:rsid w:val="00F77D02"/>
    <w:rsid w:val="00FA40D3"/>
    <w:rsid w:val="00FA7876"/>
    <w:rsid w:val="00FB0824"/>
    <w:rsid w:val="00FB3A86"/>
    <w:rsid w:val="00FB48E6"/>
    <w:rsid w:val="00FC0AAF"/>
    <w:rsid w:val="00FC46A7"/>
    <w:rsid w:val="00FD1928"/>
    <w:rsid w:val="00FD36C8"/>
    <w:rsid w:val="00FD6B63"/>
    <w:rsid w:val="00FD753E"/>
    <w:rsid w:val="00FD7818"/>
    <w:rsid w:val="00FE021A"/>
    <w:rsid w:val="00FE1968"/>
    <w:rsid w:val="00FE4783"/>
    <w:rsid w:val="00FE4902"/>
    <w:rsid w:val="00FE5CDE"/>
    <w:rsid w:val="00FF4C3D"/>
    <w:rsid w:val="01DA4B78"/>
    <w:rsid w:val="029A6A52"/>
    <w:rsid w:val="04F81DB4"/>
    <w:rsid w:val="089D6EB4"/>
    <w:rsid w:val="0B270934"/>
    <w:rsid w:val="0CAF14AD"/>
    <w:rsid w:val="0DA41C36"/>
    <w:rsid w:val="107F21E6"/>
    <w:rsid w:val="108230A5"/>
    <w:rsid w:val="114059F9"/>
    <w:rsid w:val="12BD714C"/>
    <w:rsid w:val="14262EEB"/>
    <w:rsid w:val="144C3D05"/>
    <w:rsid w:val="149D2DCF"/>
    <w:rsid w:val="157C59CB"/>
    <w:rsid w:val="173F136A"/>
    <w:rsid w:val="185B5897"/>
    <w:rsid w:val="1A2C356C"/>
    <w:rsid w:val="1B1A4EE2"/>
    <w:rsid w:val="1DA340AC"/>
    <w:rsid w:val="1DAE7791"/>
    <w:rsid w:val="20CE2C87"/>
    <w:rsid w:val="27EE35F7"/>
    <w:rsid w:val="2C171BEB"/>
    <w:rsid w:val="2D5A5311"/>
    <w:rsid w:val="2F6813F8"/>
    <w:rsid w:val="319862FC"/>
    <w:rsid w:val="31C04FAC"/>
    <w:rsid w:val="323F10FE"/>
    <w:rsid w:val="357922C5"/>
    <w:rsid w:val="36F320C3"/>
    <w:rsid w:val="3BB80C52"/>
    <w:rsid w:val="3F333BBF"/>
    <w:rsid w:val="3F566811"/>
    <w:rsid w:val="3FA660FD"/>
    <w:rsid w:val="402051A2"/>
    <w:rsid w:val="425926A1"/>
    <w:rsid w:val="430C0BDD"/>
    <w:rsid w:val="45C3727B"/>
    <w:rsid w:val="47EB045E"/>
    <w:rsid w:val="49896528"/>
    <w:rsid w:val="4B134214"/>
    <w:rsid w:val="4D4607BD"/>
    <w:rsid w:val="4F1B50E8"/>
    <w:rsid w:val="50B30973"/>
    <w:rsid w:val="52FF0538"/>
    <w:rsid w:val="56651883"/>
    <w:rsid w:val="577C3E9C"/>
    <w:rsid w:val="58B37130"/>
    <w:rsid w:val="5A467862"/>
    <w:rsid w:val="5EA42CFB"/>
    <w:rsid w:val="5EF640B2"/>
    <w:rsid w:val="65C2495A"/>
    <w:rsid w:val="67994159"/>
    <w:rsid w:val="6CFA6CDB"/>
    <w:rsid w:val="6DF71E41"/>
    <w:rsid w:val="6F3743B5"/>
    <w:rsid w:val="71EB5441"/>
    <w:rsid w:val="728A6AD8"/>
    <w:rsid w:val="74BA4A62"/>
    <w:rsid w:val="766073D9"/>
    <w:rsid w:val="79386864"/>
    <w:rsid w:val="793B1285"/>
    <w:rsid w:val="7942493D"/>
    <w:rsid w:val="79633220"/>
    <w:rsid w:val="7AAE72AB"/>
    <w:rsid w:val="7AF43703"/>
    <w:rsid w:val="7CC86829"/>
    <w:rsid w:val="7D3B38EB"/>
    <w:rsid w:val="7DF9596B"/>
    <w:rsid w:val="7FF9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51E4692"/>
  <w15:docId w15:val="{A02F9AEE-E5F3-43A4-B90D-FF547950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spacing w:after="360"/>
      <w:jc w:val="right"/>
    </w:pPr>
    <w:rPr>
      <w:b/>
      <w:kern w:val="28"/>
      <w:sz w:val="36"/>
    </w:rPr>
  </w:style>
  <w:style w:type="table" w:styleId="LightShading">
    <w:name w:val="Light Shading"/>
    <w:basedOn w:val="TableNormal"/>
    <w:uiPriority w:val="60"/>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NoSpacing">
    <w:name w:val="No Spacing"/>
    <w:link w:val="NoSpacingChar"/>
    <w:uiPriority w:val="1"/>
    <w:qFormat/>
    <w:rPr>
      <w:rFonts w:asciiTheme="minorHAnsi" w:eastAsiaTheme="minorHAnsi" w:hAnsiTheme="minorHAnsi" w:cstheme="minorBidi"/>
      <w:sz w:val="22"/>
      <w:szCs w:val="22"/>
      <w:lang w:val="en-US" w:eastAsia="en-US"/>
    </w:rPr>
  </w:style>
  <w:style w:type="paragraph" w:styleId="ListParagraph">
    <w:name w:val="List Paragraph"/>
    <w:basedOn w:val="Normal"/>
    <w:uiPriority w:val="34"/>
    <w:unhideWhenUsed/>
    <w:qFormat/>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Pr>
      <w:rFonts w:asciiTheme="minorHAnsi" w:eastAsiaTheme="minorHAnsi" w:hAnsiTheme="minorHAnsi" w:cstheme="minorBidi"/>
      <w:sz w:val="22"/>
      <w:szCs w:val="22"/>
    </w:rPr>
  </w:style>
  <w:style w:type="character" w:customStyle="1" w:styleId="TitleChar">
    <w:name w:val="Title Char"/>
    <w:basedOn w:val="DefaultParagraphFont"/>
    <w:link w:val="Title"/>
    <w:qFormat/>
    <w:rPr>
      <w:rFonts w:ascii="Helvetica" w:hAnsi="Helvetica"/>
      <w:b/>
      <w:kern w:val="28"/>
      <w:sz w:val="36"/>
    </w:rPr>
  </w:style>
  <w:style w:type="character" w:customStyle="1" w:styleId="HeaderChar">
    <w:name w:val="Header Char"/>
    <w:basedOn w:val="DefaultParagraphFont"/>
    <w:link w:val="Header"/>
    <w:uiPriority w:val="99"/>
    <w:qFormat/>
    <w:rPr>
      <w:rFonts w:ascii="Helvetica" w:hAnsi="Helvetica"/>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qFormat/>
    <w:rPr>
      <w:rFonts w:ascii="Droid Sans" w:eastAsia="Droid Sans" w:cs="Arial"/>
      <w:sz w:val="22"/>
      <w:szCs w:val="22"/>
      <w:lang w:val="en-US" w:eastAsia="en-US"/>
    </w:rPr>
  </w:style>
  <w:style w:type="paragraph" w:customStyle="1" w:styleId="ListParagraph1">
    <w:name w:val="List Paragraph1"/>
    <w:basedOn w:val="Normal"/>
    <w:qFormat/>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val="en-PH"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0">
    <w:name w:val="TableGrid"/>
    <w:qFormat/>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546AF"/>
    <w:rPr>
      <w:color w:val="605E5C"/>
      <w:shd w:val="clear" w:color="auto" w:fill="E1DFDD"/>
    </w:rPr>
  </w:style>
  <w:style w:type="table" w:customStyle="1" w:styleId="TableGrid1">
    <w:name w:val="Table Grid1"/>
    <w:basedOn w:val="TableNormal"/>
    <w:next w:val="TableGrid"/>
    <w:uiPriority w:val="59"/>
    <w:unhideWhenUsed/>
    <w:rsid w:val="00DE60C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ijrp.org/paper-detail/959" TargetMode="External"/><Relationship Id="rId21" Type="http://schemas.openxmlformats.org/officeDocument/2006/relationships/hyperlink" Target="https://doi.org/10.11594/ijmaber.06.03.33" TargetMode="External"/><Relationship Id="rId42" Type="http://schemas.openxmlformats.org/officeDocument/2006/relationships/hyperlink" Target="https://doi.org/10.3389/fpsyg.2023.1154310" TargetMode="External"/><Relationship Id="rId47" Type="http://schemas.openxmlformats.org/officeDocument/2006/relationships/hyperlink" Target="https://doi.org/10.3390/educsci13030297" TargetMode="External"/><Relationship Id="rId63" Type="http://schemas.openxmlformats.org/officeDocument/2006/relationships/hyperlink" Target="https://doi.org/10.56433/jpaap.v11i3.581" TargetMode="External"/><Relationship Id="rId68" Type="http://schemas.openxmlformats.org/officeDocument/2006/relationships/hyperlink" Target="https://doi.org/10.70838/pemj.380206" TargetMode="External"/><Relationship Id="rId2" Type="http://schemas.openxmlformats.org/officeDocument/2006/relationships/customXml" Target="../customXml/item2.xml"/><Relationship Id="rId16" Type="http://schemas.openxmlformats.org/officeDocument/2006/relationships/hyperlink" Target="https://vector.unp.edu.ph/index.php/1/article/view/60" TargetMode="External"/><Relationship Id="rId29" Type="http://schemas.openxmlformats.org/officeDocument/2006/relationships/hyperlink" Target="https://doi.org/10.3390/philosophies7020037" TargetMode="External"/><Relationship Id="rId11" Type="http://schemas.openxmlformats.org/officeDocument/2006/relationships/footer" Target="footer1.xml"/><Relationship Id="rId24" Type="http://schemas.openxmlformats.org/officeDocument/2006/relationships/hyperlink" Target="https://doi.org/10.1525/abt.2021.83.1.26" TargetMode="External"/><Relationship Id="rId32" Type="http://schemas.openxmlformats.org/officeDocument/2006/relationships/hyperlink" Target="https://doi.org/10.61778/ijmrast.v2i8.76" TargetMode="External"/><Relationship Id="rId37" Type="http://schemas.openxmlformats.org/officeDocument/2006/relationships/hyperlink" Target="https://doi.org/10.31686/ijier.vol7.iss3.1359" TargetMode="External"/><Relationship Id="rId40" Type="http://schemas.openxmlformats.org/officeDocument/2006/relationships/hyperlink" Target="https://eric.ed.gov/?id=EJ1313488" TargetMode="External"/><Relationship Id="rId45" Type="http://schemas.openxmlformats.org/officeDocument/2006/relationships/hyperlink" Target="https://doi.org/10.33902/JPR.202530426" TargetMode="External"/><Relationship Id="rId53" Type="http://schemas.openxmlformats.org/officeDocument/2006/relationships/hyperlink" Target="https://doi.org/10.53983/ijmds.v13n8.007" TargetMode="External"/><Relationship Id="rId58" Type="http://schemas.openxmlformats.org/officeDocument/2006/relationships/hyperlink" Target="https://doi.org/10.46303/jcsr.2024.1" TargetMode="External"/><Relationship Id="rId66" Type="http://schemas.openxmlformats.org/officeDocument/2006/relationships/hyperlink" Target="https://doi.org/10.1145/3670013.3670035"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doi.org/10.1128/jmbe.v22i1.2565" TargetMode="External"/><Relationship Id="rId19" Type="http://schemas.openxmlformats.org/officeDocument/2006/relationships/hyperlink" Target="https://doi.org/10.1187/cbe.20-04-0076" TargetMode="External"/><Relationship Id="rId14" Type="http://schemas.openxmlformats.org/officeDocument/2006/relationships/footer" Target="footer3.xml"/><Relationship Id="rId22" Type="http://schemas.openxmlformats.org/officeDocument/2006/relationships/hyperlink" Target="https://doi.org/10.58459/icce.2019.659" TargetMode="External"/><Relationship Id="rId27" Type="http://schemas.openxmlformats.org/officeDocument/2006/relationships/hyperlink" Target="http://dx.doi.org/10.46827/ejes.v10i9.5002" TargetMode="External"/><Relationship Id="rId30" Type="http://schemas.openxmlformats.org/officeDocument/2006/relationships/hyperlink" Target="https://www.simplypsychology.org/self-efficacy.html" TargetMode="External"/><Relationship Id="rId35" Type="http://schemas.openxmlformats.org/officeDocument/2006/relationships/hyperlink" Target="https://doi.org/10.1080/07294360.2023.2197194" TargetMode="External"/><Relationship Id="rId43" Type="http://schemas.openxmlformats.org/officeDocument/2006/relationships/hyperlink" Target="https://doi.org/10.47453/eduvis.v10i1.3311" TargetMode="External"/><Relationship Id="rId48" Type="http://schemas.openxmlformats.org/officeDocument/2006/relationships/hyperlink" Target="https://doi.org/10.1080/00405841.2023.2226557" TargetMode="External"/><Relationship Id="rId56" Type="http://schemas.openxmlformats.org/officeDocument/2006/relationships/hyperlink" Target="https://doi.org/10.51244/ijrsi.2025.120600103" TargetMode="External"/><Relationship Id="rId64" Type="http://schemas.openxmlformats.org/officeDocument/2006/relationships/hyperlink" Target="https://journals.researchsynergypress.com/index.php/jess/article/view/2963" TargetMode="External"/><Relationship Id="rId69"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s://doi.org/10.1039/c9rp00104b" TargetMode="External"/><Relationship Id="rId72" Type="http://schemas.openxmlformats.org/officeDocument/2006/relationships/header" Target="header6.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1080/87567555.2022.2038065" TargetMode="External"/><Relationship Id="rId25" Type="http://schemas.openxmlformats.org/officeDocument/2006/relationships/hyperlink" Target="https://www.researchgate.net/publication/386613534" TargetMode="External"/><Relationship Id="rId33" Type="http://schemas.openxmlformats.org/officeDocument/2006/relationships/hyperlink" Target="https://doi.org/10.3390/educsci15020123" TargetMode="External"/><Relationship Id="rId38" Type="http://schemas.openxmlformats.org/officeDocument/2006/relationships/hyperlink" Target="https://doi.org/10.1080/15391523.2020.1750075" TargetMode="External"/><Relationship Id="rId46" Type="http://schemas.openxmlformats.org/officeDocument/2006/relationships/hyperlink" Target="https://doi.org/10.51584/ijrias.2024.912015" TargetMode="External"/><Relationship Id="rId59" Type="http://schemas.openxmlformats.org/officeDocument/2006/relationships/hyperlink" Target="https://www.jotse.org/index.php/jotse/article/view/888/467" TargetMode="External"/><Relationship Id="rId67" Type="http://schemas.openxmlformats.org/officeDocument/2006/relationships/hyperlink" Target="https://doi.org/10.1093/elt/ccac046" TargetMode="External"/><Relationship Id="rId20" Type="http://schemas.openxmlformats.org/officeDocument/2006/relationships/hyperlink" Target="https://ijhss.net/index.php/ijhss/article/view/825" TargetMode="External"/><Relationship Id="rId41" Type="http://schemas.openxmlformats.org/officeDocument/2006/relationships/hyperlink" Target="https://doi.org/10.1186/s41239-020-00204-3" TargetMode="External"/><Relationship Id="rId54" Type="http://schemas.openxmlformats.org/officeDocument/2006/relationships/hyperlink" Target="https://doi.org/10.63878/cjssr.v3i3.1167" TargetMode="External"/><Relationship Id="rId62" Type="http://schemas.openxmlformats.org/officeDocument/2006/relationships/hyperlink" Target="https://bulpedps.enu.kz/index.php/main/article/view/590" TargetMode="External"/><Relationship Id="rId7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5281/zenodo.3835480" TargetMode="External"/><Relationship Id="rId23" Type="http://schemas.openxmlformats.org/officeDocument/2006/relationships/hyperlink" Target="https://doi.org/10.1021/acs.jchemed.0c01364" TargetMode="External"/><Relationship Id="rId28" Type="http://schemas.openxmlformats.org/officeDocument/2006/relationships/hyperlink" Target="https://doi.org/10.21070/ijler.v19i4.1185" TargetMode="External"/><Relationship Id="rId36" Type="http://schemas.openxmlformats.org/officeDocument/2006/relationships/hyperlink" Target="https://doi.org/10.1080/00405841.2023.2226552" TargetMode="External"/><Relationship Id="rId49" Type="http://schemas.openxmlformats.org/officeDocument/2006/relationships/hyperlink" Target="https://doi.org/10.2991/assehr.k.211217.051" TargetMode="External"/><Relationship Id="rId57" Type="http://schemas.openxmlformats.org/officeDocument/2006/relationships/hyperlink" Target="https://doi.org/10.63680/ijsate0525117.130" TargetMode="External"/><Relationship Id="rId10" Type="http://schemas.openxmlformats.org/officeDocument/2006/relationships/header" Target="header2.xml"/><Relationship Id="rId31" Type="http://schemas.openxmlformats.org/officeDocument/2006/relationships/hyperlink" Target="https://doi.org/10.11594/ijmaber.06.04.02" TargetMode="External"/><Relationship Id="rId44" Type="http://schemas.openxmlformats.org/officeDocument/2006/relationships/hyperlink" Target="https://doi.org/10.59765/pws538jgt" TargetMode="External"/><Relationship Id="rId52" Type="http://schemas.openxmlformats.org/officeDocument/2006/relationships/hyperlink" Target="https://doi.org/10.3389/fpubh.2022.1003178" TargetMode="External"/><Relationship Id="rId60" Type="http://schemas.openxmlformats.org/officeDocument/2006/relationships/hyperlink" Target="https://doi.org/10.48371/peds.2025.77.2.004" TargetMode="External"/><Relationship Id="rId65" Type="http://schemas.openxmlformats.org/officeDocument/2006/relationships/hyperlink" Target="https://doi.org/10.9790/7388-1406043947"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2991/ijmeri.2025.3.1.12" TargetMode="External"/><Relationship Id="rId39" Type="http://schemas.openxmlformats.org/officeDocument/2006/relationships/hyperlink" Target="https://doi.org/10.54996/anatolianjem.1666585" TargetMode="External"/><Relationship Id="rId34" Type="http://schemas.openxmlformats.org/officeDocument/2006/relationships/hyperlink" Target="https://doi.org/10.31098/jess.v3i2.2963" TargetMode="External"/><Relationship Id="rId50" Type="http://schemas.openxmlformats.org/officeDocument/2006/relationships/hyperlink" Target="https://doi.org/10.47772/ijriss.2024.8100238" TargetMode="External"/><Relationship Id="rId55" Type="http://schemas.openxmlformats.org/officeDocument/2006/relationships/hyperlink" Target="https://doi.org/10.17977/um033v8i1p56-63" TargetMode="External"/><Relationship Id="rId7" Type="http://schemas.openxmlformats.org/officeDocument/2006/relationships/footnotes" Target="footnotes.xml"/><Relationship Id="rId7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6A227C0-40CA-4A11-A211-FB79A414AD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15</Pages>
  <Words>7463</Words>
  <Characters>42540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38</cp:revision>
  <cp:lastPrinted>2025-04-25T00:56:00Z</cp:lastPrinted>
  <dcterms:created xsi:type="dcterms:W3CDTF">2025-05-12T03:16:00Z</dcterms:created>
  <dcterms:modified xsi:type="dcterms:W3CDTF">2025-11-01T06:04:00Z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B0B00D0200044EAC962EE218572EE3E1_12</vt:lpwstr>
  </property>
</Properties>
</file>