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8DB9F" w14:textId="5084FA4D" w:rsidR="00324BCD" w:rsidRDefault="00324BCD">
      <w:pPr>
        <w:spacing w:after="0" w:line="240" w:lineRule="auto"/>
        <w:jc w:val="center"/>
        <w:rPr>
          <w:rFonts w:ascii="Times New Roman" w:hAnsi="Times New Roman"/>
          <w:b/>
          <w:sz w:val="24"/>
          <w:szCs w:val="24"/>
        </w:rPr>
      </w:pPr>
    </w:p>
    <w:p w14:paraId="1A7BA0EC" w14:textId="77777777" w:rsidR="00EE093B" w:rsidRDefault="00EE093B">
      <w:pPr>
        <w:spacing w:after="0" w:line="240" w:lineRule="auto"/>
        <w:jc w:val="center"/>
        <w:rPr>
          <w:rFonts w:ascii="Times New Roman" w:hAnsi="Times New Roman"/>
          <w:b/>
          <w:sz w:val="24"/>
          <w:szCs w:val="24"/>
        </w:rPr>
      </w:pPr>
    </w:p>
    <w:p w14:paraId="56047060" w14:textId="435F025C" w:rsidR="00324BCD" w:rsidRDefault="00324BCD">
      <w:pPr>
        <w:spacing w:after="0" w:line="240" w:lineRule="auto"/>
        <w:jc w:val="center"/>
        <w:rPr>
          <w:rFonts w:ascii="Times New Roman" w:hAnsi="Times New Roman"/>
          <w:b/>
          <w:sz w:val="24"/>
          <w:szCs w:val="24"/>
        </w:rPr>
      </w:pPr>
      <w:r w:rsidRPr="00837D90">
        <w:rPr>
          <w:rFonts w:ascii="Times New Roman" w:hAnsi="Times New Roman"/>
          <w:b/>
          <w:sz w:val="24"/>
          <w:szCs w:val="24"/>
          <w:highlight w:val="yellow"/>
        </w:rPr>
        <w:t>Awareness of the National Teacher Education Policy (NTEP) Among Teacher Education Lecturers in Southwestern Nigeria</w:t>
      </w:r>
    </w:p>
    <w:p w14:paraId="5AA85537" w14:textId="77777777" w:rsidR="00D12EC6" w:rsidRDefault="00D12EC6">
      <w:pPr>
        <w:spacing w:after="0" w:line="240" w:lineRule="auto"/>
        <w:jc w:val="center"/>
        <w:rPr>
          <w:rFonts w:ascii="Times New Roman" w:hAnsi="Times New Roman"/>
          <w:b/>
          <w:sz w:val="24"/>
          <w:szCs w:val="24"/>
        </w:rPr>
      </w:pPr>
    </w:p>
    <w:p w14:paraId="393E3D50" w14:textId="77777777" w:rsidR="00082AF9" w:rsidRDefault="00082AF9">
      <w:pPr>
        <w:spacing w:after="0" w:line="240" w:lineRule="auto"/>
        <w:jc w:val="center"/>
        <w:rPr>
          <w:rFonts w:ascii="Times New Roman" w:hAnsi="Times New Roman"/>
          <w:sz w:val="24"/>
          <w:szCs w:val="24"/>
        </w:rPr>
      </w:pPr>
    </w:p>
    <w:p w14:paraId="4900D63D"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Abstract</w:t>
      </w:r>
    </w:p>
    <w:p w14:paraId="4027CCEF" w14:textId="6D487599" w:rsidR="002375D6" w:rsidRDefault="00121347">
      <w:pPr>
        <w:spacing w:after="0" w:line="240" w:lineRule="auto"/>
        <w:ind w:firstLine="720"/>
        <w:jc w:val="both"/>
        <w:rPr>
          <w:rFonts w:ascii="Times New Roman" w:hAnsi="Times New Roman"/>
          <w:i/>
          <w:iCs/>
          <w:sz w:val="24"/>
          <w:szCs w:val="24"/>
        </w:rPr>
      </w:pPr>
      <w:r w:rsidRPr="00837D90">
        <w:rPr>
          <w:rFonts w:ascii="Times New Roman" w:hAnsi="Times New Roman"/>
          <w:i/>
          <w:iCs/>
          <w:sz w:val="24"/>
          <w:szCs w:val="24"/>
          <w:highlight w:val="yellow"/>
        </w:rPr>
        <w:t>Education is a fundamental right of every individual, which helps to ensure a safer, healthier and more prosperous society. The efficacy of an educational system is contingent upon the educational achievements of its teachers, as the quality and dedication of educators directly influence the overall quality of education provided.</w:t>
      </w:r>
      <w:r>
        <w:rPr>
          <w:rFonts w:ascii="Times New Roman" w:hAnsi="Times New Roman"/>
          <w:i/>
          <w:iCs/>
          <w:sz w:val="24"/>
          <w:szCs w:val="24"/>
        </w:rPr>
        <w:t xml:space="preserve"> </w:t>
      </w:r>
      <w:r w:rsidR="008D0901">
        <w:rPr>
          <w:rFonts w:ascii="Times New Roman" w:hAnsi="Times New Roman"/>
          <w:i/>
          <w:iCs/>
          <w:sz w:val="24"/>
          <w:szCs w:val="24"/>
        </w:rPr>
        <w:t xml:space="preserve">The study ascertained </w:t>
      </w:r>
      <w:r w:rsidR="008D0901" w:rsidRPr="00837D90">
        <w:rPr>
          <w:rFonts w:ascii="Times New Roman" w:hAnsi="Times New Roman"/>
          <w:i/>
          <w:iCs/>
          <w:sz w:val="24"/>
          <w:szCs w:val="24"/>
          <w:highlight w:val="yellow"/>
        </w:rPr>
        <w:t xml:space="preserve">the </w:t>
      </w:r>
      <w:r w:rsidR="008D0901">
        <w:rPr>
          <w:rFonts w:ascii="Times New Roman" w:hAnsi="Times New Roman"/>
          <w:i/>
          <w:iCs/>
          <w:sz w:val="24"/>
          <w:szCs w:val="24"/>
        </w:rPr>
        <w:t xml:space="preserve">lecturers </w:t>
      </w:r>
      <w:r w:rsidR="008D0901" w:rsidRPr="00837D90">
        <w:rPr>
          <w:rFonts w:ascii="Times New Roman" w:hAnsi="Times New Roman"/>
          <w:i/>
          <w:iCs/>
          <w:sz w:val="24"/>
          <w:szCs w:val="24"/>
          <w:highlight w:val="yellow"/>
        </w:rPr>
        <w:t xml:space="preserve">of </w:t>
      </w:r>
      <w:r w:rsidRPr="00837D90">
        <w:rPr>
          <w:rFonts w:ascii="Times New Roman" w:hAnsi="Times New Roman"/>
          <w:i/>
          <w:iCs/>
          <w:sz w:val="24"/>
          <w:szCs w:val="24"/>
          <w:highlight w:val="yellow"/>
        </w:rPr>
        <w:t>the</w:t>
      </w:r>
      <w:r>
        <w:rPr>
          <w:rFonts w:ascii="Times New Roman" w:hAnsi="Times New Roman"/>
          <w:i/>
          <w:iCs/>
          <w:sz w:val="24"/>
          <w:szCs w:val="24"/>
        </w:rPr>
        <w:t xml:space="preserve"> </w:t>
      </w:r>
      <w:r w:rsidR="008D0901">
        <w:rPr>
          <w:rFonts w:ascii="Times New Roman" w:hAnsi="Times New Roman"/>
          <w:i/>
          <w:iCs/>
          <w:sz w:val="24"/>
          <w:szCs w:val="24"/>
        </w:rPr>
        <w:t>Faculties and Colleges of Education’s awareness</w:t>
      </w:r>
      <w:r>
        <w:rPr>
          <w:rFonts w:ascii="Times New Roman" w:hAnsi="Times New Roman"/>
          <w:i/>
          <w:iCs/>
          <w:sz w:val="24"/>
          <w:szCs w:val="24"/>
        </w:rPr>
        <w:t xml:space="preserve"> </w:t>
      </w:r>
      <w:r w:rsidRPr="00837D90">
        <w:rPr>
          <w:rFonts w:ascii="Times New Roman" w:hAnsi="Times New Roman"/>
          <w:i/>
          <w:iCs/>
          <w:sz w:val="24"/>
          <w:szCs w:val="24"/>
          <w:highlight w:val="yellow"/>
        </w:rPr>
        <w:t xml:space="preserve">level </w:t>
      </w:r>
      <w:r w:rsidR="008D0901" w:rsidRPr="00837D90">
        <w:rPr>
          <w:rFonts w:ascii="Times New Roman" w:hAnsi="Times New Roman"/>
          <w:i/>
          <w:iCs/>
          <w:sz w:val="24"/>
          <w:szCs w:val="24"/>
          <w:highlight w:val="yellow"/>
        </w:rPr>
        <w:t>of</w:t>
      </w:r>
      <w:r w:rsidR="008D0901">
        <w:rPr>
          <w:rFonts w:ascii="Times New Roman" w:hAnsi="Times New Roman"/>
          <w:i/>
          <w:iCs/>
          <w:sz w:val="24"/>
          <w:szCs w:val="24"/>
        </w:rPr>
        <w:t xml:space="preserve"> the component of </w:t>
      </w:r>
      <w:r w:rsidR="00BB5EAC" w:rsidRPr="00837D90">
        <w:rPr>
          <w:rFonts w:ascii="Times New Roman" w:hAnsi="Times New Roman"/>
          <w:i/>
          <w:iCs/>
          <w:sz w:val="24"/>
          <w:szCs w:val="24"/>
          <w:highlight w:val="yellow"/>
        </w:rPr>
        <w:t xml:space="preserve">the </w:t>
      </w:r>
      <w:r w:rsidR="008D0901" w:rsidRPr="00837D90">
        <w:rPr>
          <w:rFonts w:ascii="Times New Roman" w:hAnsi="Times New Roman"/>
          <w:i/>
          <w:iCs/>
          <w:sz w:val="24"/>
          <w:szCs w:val="24"/>
          <w:highlight w:val="yellow"/>
        </w:rPr>
        <w:t>N</w:t>
      </w:r>
      <w:r w:rsidR="008D0901">
        <w:rPr>
          <w:rFonts w:ascii="Times New Roman" w:hAnsi="Times New Roman"/>
          <w:i/>
          <w:iCs/>
          <w:sz w:val="24"/>
          <w:szCs w:val="24"/>
        </w:rPr>
        <w:t xml:space="preserve">ational Teacher Education Policy (NTEP) in Southwestern Nigeria. It also identified factors affecting lecturers of </w:t>
      </w:r>
      <w:r w:rsidR="00BB5EAC" w:rsidRPr="00837D90">
        <w:rPr>
          <w:rFonts w:ascii="Times New Roman" w:hAnsi="Times New Roman"/>
          <w:i/>
          <w:iCs/>
          <w:sz w:val="24"/>
          <w:szCs w:val="24"/>
          <w:highlight w:val="yellow"/>
        </w:rPr>
        <w:t xml:space="preserve">the </w:t>
      </w:r>
      <w:r w:rsidR="008D0901" w:rsidRPr="00837D90">
        <w:rPr>
          <w:rFonts w:ascii="Times New Roman" w:hAnsi="Times New Roman"/>
          <w:i/>
          <w:iCs/>
          <w:sz w:val="24"/>
          <w:szCs w:val="24"/>
          <w:highlight w:val="yellow"/>
        </w:rPr>
        <w:t>F</w:t>
      </w:r>
      <w:r w:rsidR="008D0901">
        <w:rPr>
          <w:rFonts w:ascii="Times New Roman" w:hAnsi="Times New Roman"/>
          <w:i/>
          <w:iCs/>
          <w:sz w:val="24"/>
          <w:szCs w:val="24"/>
        </w:rPr>
        <w:t xml:space="preserve">aculties and Colleges of Education’s awareness of NTEP in Southwestern Nigeria. The study adopted the descriptive survey research design. The population for the study comprised all the 2009 lecturers in </w:t>
      </w:r>
      <w:r w:rsidR="00BB5EAC">
        <w:rPr>
          <w:rFonts w:ascii="Times New Roman" w:hAnsi="Times New Roman"/>
          <w:i/>
          <w:iCs/>
          <w:sz w:val="24"/>
          <w:szCs w:val="24"/>
        </w:rPr>
        <w:t xml:space="preserve">the </w:t>
      </w:r>
      <w:r w:rsidR="008D0901">
        <w:rPr>
          <w:rFonts w:ascii="Times New Roman" w:hAnsi="Times New Roman"/>
          <w:i/>
          <w:iCs/>
          <w:sz w:val="24"/>
          <w:szCs w:val="24"/>
        </w:rPr>
        <w:t xml:space="preserve">Faculties and Colleges of Education in Southwestern Nigeria. A sample size of 1005 lecturers was selected using </w:t>
      </w:r>
      <w:r w:rsidR="00BB5EAC">
        <w:rPr>
          <w:rFonts w:ascii="Times New Roman" w:hAnsi="Times New Roman"/>
          <w:i/>
          <w:iCs/>
          <w:sz w:val="24"/>
          <w:szCs w:val="24"/>
        </w:rPr>
        <w:t xml:space="preserve">a </w:t>
      </w:r>
      <w:r w:rsidR="008D0901">
        <w:rPr>
          <w:rFonts w:ascii="Times New Roman" w:hAnsi="Times New Roman"/>
          <w:i/>
          <w:iCs/>
          <w:sz w:val="24"/>
          <w:szCs w:val="24"/>
        </w:rPr>
        <w:t>multistage sampling procedure. Two research instruments were used for data collection, namely: National Teacher Education Policy Awareness and Implementation Questionnaire for Faculties of Education Lecturers (NTEPAIQFEL, r = 0.92) and National Teacher Education Policy Awareness and Implementation Questionnaire for Colleges of Education Lecturers (NTEPAIQCEL, r = 0.8</w:t>
      </w:r>
      <w:r w:rsidR="008D0901">
        <w:rPr>
          <w:rFonts w:ascii="Times New Roman" w:hAnsi="Times New Roman"/>
          <w:bCs/>
          <w:i/>
          <w:iCs/>
          <w:sz w:val="24"/>
          <w:szCs w:val="24"/>
        </w:rPr>
        <w:t>6</w:t>
      </w:r>
      <w:r w:rsidR="008D0901">
        <w:rPr>
          <w:rFonts w:ascii="Times New Roman" w:hAnsi="Times New Roman"/>
          <w:i/>
          <w:iCs/>
          <w:sz w:val="24"/>
          <w:szCs w:val="24"/>
        </w:rPr>
        <w:t xml:space="preserve">). Data collected were analysed using percentage, frequency count and ranking. Results showed that the level of lecturers of the Faculties of Education awareness of the component of NTEP in Southwestern Nigeria ranged </w:t>
      </w:r>
      <w:r w:rsidR="008D0901" w:rsidRPr="00837D90">
        <w:rPr>
          <w:rFonts w:ascii="Times New Roman" w:hAnsi="Times New Roman"/>
          <w:i/>
          <w:iCs/>
          <w:sz w:val="24"/>
          <w:szCs w:val="24"/>
          <w:highlight w:val="yellow"/>
        </w:rPr>
        <w:t xml:space="preserve">from </w:t>
      </w:r>
      <w:r w:rsidR="00BB5EAC" w:rsidRPr="00837D90">
        <w:rPr>
          <w:rFonts w:ascii="Times New Roman" w:hAnsi="Times New Roman"/>
          <w:i/>
          <w:iCs/>
          <w:sz w:val="24"/>
          <w:szCs w:val="24"/>
          <w:highlight w:val="yellow"/>
        </w:rPr>
        <w:t xml:space="preserve">a </w:t>
      </w:r>
      <w:r w:rsidR="008D0901" w:rsidRPr="00837D90">
        <w:rPr>
          <w:rFonts w:ascii="Times New Roman" w:hAnsi="Times New Roman"/>
          <w:i/>
          <w:iCs/>
          <w:sz w:val="24"/>
          <w:szCs w:val="24"/>
          <w:highlight w:val="yellow"/>
        </w:rPr>
        <w:t>high</w:t>
      </w:r>
      <w:r w:rsidR="008D0901">
        <w:rPr>
          <w:rFonts w:ascii="Times New Roman" w:hAnsi="Times New Roman"/>
          <w:i/>
          <w:iCs/>
          <w:sz w:val="24"/>
          <w:szCs w:val="24"/>
        </w:rPr>
        <w:t xml:space="preserve"> level of awareness (21.1%) </w:t>
      </w:r>
      <w:r w:rsidR="008D0901" w:rsidRPr="00837D90">
        <w:rPr>
          <w:rFonts w:ascii="Times New Roman" w:hAnsi="Times New Roman"/>
          <w:i/>
          <w:iCs/>
          <w:sz w:val="24"/>
          <w:szCs w:val="24"/>
          <w:highlight w:val="yellow"/>
        </w:rPr>
        <w:t xml:space="preserve">to </w:t>
      </w:r>
      <w:r w:rsidR="00BB5EAC" w:rsidRPr="00837D90">
        <w:rPr>
          <w:rFonts w:ascii="Times New Roman" w:hAnsi="Times New Roman"/>
          <w:i/>
          <w:iCs/>
          <w:sz w:val="24"/>
          <w:szCs w:val="24"/>
          <w:highlight w:val="yellow"/>
        </w:rPr>
        <w:t xml:space="preserve">a </w:t>
      </w:r>
      <w:r w:rsidR="008D0901" w:rsidRPr="00837D90">
        <w:rPr>
          <w:rFonts w:ascii="Times New Roman" w:hAnsi="Times New Roman"/>
          <w:i/>
          <w:iCs/>
          <w:sz w:val="24"/>
          <w:szCs w:val="24"/>
          <w:highlight w:val="yellow"/>
        </w:rPr>
        <w:t>l</w:t>
      </w:r>
      <w:r w:rsidR="008D0901">
        <w:rPr>
          <w:rFonts w:ascii="Times New Roman" w:hAnsi="Times New Roman"/>
          <w:i/>
          <w:iCs/>
          <w:sz w:val="24"/>
          <w:szCs w:val="24"/>
        </w:rPr>
        <w:t xml:space="preserve">ow level of awareness (18.5%); and Colleges of Education: high (13.9%) to low (20.2%). It also revealed that factors affecting lecturers of Faculties of Education awareness </w:t>
      </w:r>
      <w:r w:rsidR="002A2A85" w:rsidRPr="00837D90">
        <w:rPr>
          <w:rFonts w:ascii="Times New Roman" w:hAnsi="Times New Roman"/>
          <w:i/>
          <w:iCs/>
          <w:sz w:val="24"/>
          <w:szCs w:val="24"/>
          <w:highlight w:val="yellow"/>
        </w:rPr>
        <w:t xml:space="preserve">level </w:t>
      </w:r>
      <w:r w:rsidR="008D0901" w:rsidRPr="00121347">
        <w:rPr>
          <w:rFonts w:ascii="Times New Roman" w:hAnsi="Times New Roman"/>
          <w:i/>
          <w:iCs/>
          <w:sz w:val="24"/>
          <w:szCs w:val="24"/>
        </w:rPr>
        <w:t xml:space="preserve">of NTEP ranged from poor funding (RII=0.863) </w:t>
      </w:r>
      <w:r w:rsidR="008D0901" w:rsidRPr="00837D90">
        <w:rPr>
          <w:rFonts w:ascii="Times New Roman" w:hAnsi="Times New Roman"/>
          <w:i/>
          <w:iCs/>
          <w:sz w:val="24"/>
          <w:szCs w:val="24"/>
          <w:highlight w:val="yellow"/>
        </w:rPr>
        <w:t xml:space="preserve">and </w:t>
      </w:r>
      <w:r w:rsidR="00BB5EAC" w:rsidRPr="00837D90">
        <w:rPr>
          <w:rFonts w:ascii="Times New Roman" w:hAnsi="Times New Roman"/>
          <w:i/>
          <w:iCs/>
          <w:sz w:val="24"/>
          <w:szCs w:val="24"/>
          <w:highlight w:val="yellow"/>
        </w:rPr>
        <w:t xml:space="preserve">the </w:t>
      </w:r>
      <w:r w:rsidR="008D0901" w:rsidRPr="00837D90">
        <w:rPr>
          <w:rFonts w:ascii="Times New Roman" w:hAnsi="Times New Roman"/>
          <w:i/>
          <w:iCs/>
          <w:sz w:val="24"/>
          <w:szCs w:val="24"/>
          <w:highlight w:val="yellow"/>
        </w:rPr>
        <w:t>gove</w:t>
      </w:r>
      <w:r w:rsidR="008D0901" w:rsidRPr="00121347">
        <w:rPr>
          <w:rFonts w:ascii="Times New Roman" w:hAnsi="Times New Roman"/>
          <w:i/>
          <w:iCs/>
          <w:sz w:val="24"/>
          <w:szCs w:val="24"/>
        </w:rPr>
        <w:t>rnment’s effort in creating awareness</w:t>
      </w:r>
      <w:r w:rsidR="008D0901">
        <w:rPr>
          <w:rFonts w:ascii="Times New Roman" w:hAnsi="Times New Roman"/>
          <w:i/>
          <w:iCs/>
          <w:sz w:val="24"/>
          <w:szCs w:val="24"/>
        </w:rPr>
        <w:t xml:space="preserve"> of the policy (RII=0.763); and Colleges of Education: poor funding (RII=0.804) to availability of NTEP copies in libraries (RII=0.711). The study concluded that the level of lecturers of the Faculties of Education </w:t>
      </w:r>
      <w:r w:rsidR="008D0901" w:rsidRPr="00837D90">
        <w:rPr>
          <w:rFonts w:ascii="Times New Roman" w:hAnsi="Times New Roman"/>
          <w:i/>
          <w:iCs/>
          <w:sz w:val="24"/>
          <w:szCs w:val="24"/>
          <w:highlight w:val="yellow"/>
        </w:rPr>
        <w:t>of the</w:t>
      </w:r>
      <w:r w:rsidR="008D0901">
        <w:rPr>
          <w:rFonts w:ascii="Times New Roman" w:hAnsi="Times New Roman"/>
          <w:i/>
          <w:iCs/>
          <w:sz w:val="24"/>
          <w:szCs w:val="24"/>
        </w:rPr>
        <w:t xml:space="preserve"> component of NTEP ranged from </w:t>
      </w:r>
      <w:r w:rsidR="00BB5EAC">
        <w:rPr>
          <w:rFonts w:ascii="Times New Roman" w:hAnsi="Times New Roman"/>
          <w:i/>
          <w:iCs/>
          <w:sz w:val="24"/>
          <w:szCs w:val="24"/>
        </w:rPr>
        <w:t xml:space="preserve">a </w:t>
      </w:r>
      <w:r w:rsidR="008D0901">
        <w:rPr>
          <w:rFonts w:ascii="Times New Roman" w:hAnsi="Times New Roman"/>
          <w:i/>
          <w:iCs/>
          <w:sz w:val="24"/>
          <w:szCs w:val="24"/>
        </w:rPr>
        <w:t xml:space="preserve">high level of awareness (21.1%) to </w:t>
      </w:r>
      <w:r w:rsidR="00BB5EAC">
        <w:rPr>
          <w:rFonts w:ascii="Times New Roman" w:hAnsi="Times New Roman"/>
          <w:i/>
          <w:iCs/>
          <w:sz w:val="24"/>
          <w:szCs w:val="24"/>
        </w:rPr>
        <w:t xml:space="preserve">a </w:t>
      </w:r>
      <w:r w:rsidR="008D0901">
        <w:rPr>
          <w:rFonts w:ascii="Times New Roman" w:hAnsi="Times New Roman"/>
          <w:i/>
          <w:iCs/>
          <w:sz w:val="24"/>
          <w:szCs w:val="24"/>
        </w:rPr>
        <w:t>low level of awareness (18.5%); and Colleges of Education: high (13.9%) to low (20.2%)</w:t>
      </w:r>
      <w:r w:rsidR="00BB5EAC">
        <w:rPr>
          <w:rFonts w:ascii="Times New Roman" w:hAnsi="Times New Roman"/>
          <w:i/>
          <w:iCs/>
          <w:sz w:val="24"/>
          <w:szCs w:val="24"/>
        </w:rPr>
        <w:t>,</w:t>
      </w:r>
      <w:r w:rsidR="008D0901">
        <w:rPr>
          <w:rFonts w:ascii="Times New Roman" w:hAnsi="Times New Roman"/>
          <w:i/>
          <w:iCs/>
          <w:sz w:val="24"/>
          <w:szCs w:val="24"/>
        </w:rPr>
        <w:t xml:space="preserve"> and this makes the implementation of the policy difficult. </w:t>
      </w:r>
    </w:p>
    <w:p w14:paraId="51EDC072" w14:textId="77777777" w:rsidR="002375D6" w:rsidRDefault="002375D6">
      <w:pPr>
        <w:spacing w:after="0" w:line="240" w:lineRule="auto"/>
        <w:jc w:val="both"/>
        <w:rPr>
          <w:rFonts w:ascii="Times New Roman" w:hAnsi="Times New Roman"/>
          <w:i/>
          <w:iCs/>
          <w:sz w:val="24"/>
          <w:szCs w:val="24"/>
        </w:rPr>
      </w:pPr>
    </w:p>
    <w:p w14:paraId="28FCA42A" w14:textId="04C90AB1" w:rsidR="002375D6" w:rsidRPr="00837D90" w:rsidRDefault="008D0901">
      <w:pPr>
        <w:spacing w:after="0" w:line="240" w:lineRule="auto"/>
        <w:jc w:val="both"/>
        <w:rPr>
          <w:rFonts w:ascii="Times New Roman" w:hAnsi="Times New Roman"/>
          <w:i/>
          <w:iCs/>
          <w:sz w:val="24"/>
          <w:szCs w:val="24"/>
        </w:rPr>
      </w:pPr>
      <w:r>
        <w:rPr>
          <w:rFonts w:ascii="Times New Roman" w:hAnsi="Times New Roman"/>
          <w:b/>
          <w:sz w:val="24"/>
          <w:szCs w:val="24"/>
        </w:rPr>
        <w:t>Key</w:t>
      </w:r>
      <w:r w:rsidR="00121347">
        <w:rPr>
          <w:rFonts w:ascii="Times New Roman" w:hAnsi="Times New Roman"/>
          <w:b/>
          <w:sz w:val="24"/>
          <w:szCs w:val="24"/>
        </w:rPr>
        <w:t>w</w:t>
      </w:r>
      <w:r>
        <w:rPr>
          <w:rFonts w:ascii="Times New Roman" w:hAnsi="Times New Roman"/>
          <w:b/>
          <w:sz w:val="24"/>
          <w:szCs w:val="24"/>
        </w:rPr>
        <w:t>ords</w:t>
      </w:r>
      <w:r>
        <w:rPr>
          <w:rFonts w:ascii="Times New Roman" w:hAnsi="Times New Roman"/>
          <w:sz w:val="24"/>
          <w:szCs w:val="24"/>
        </w:rPr>
        <w:t xml:space="preserve">: </w:t>
      </w:r>
      <w:r w:rsidR="00BB5EAC" w:rsidRPr="00837D90">
        <w:rPr>
          <w:rFonts w:ascii="Times New Roman" w:hAnsi="Times New Roman"/>
          <w:i/>
          <w:iCs/>
          <w:sz w:val="24"/>
          <w:szCs w:val="24"/>
          <w:highlight w:val="yellow"/>
        </w:rPr>
        <w:t>National Teacher Education Policy</w:t>
      </w:r>
      <w:r w:rsidRPr="00837D90">
        <w:rPr>
          <w:rFonts w:ascii="Times New Roman" w:hAnsi="Times New Roman"/>
          <w:i/>
          <w:iCs/>
          <w:sz w:val="24"/>
          <w:szCs w:val="24"/>
          <w:highlight w:val="yellow"/>
        </w:rPr>
        <w:t xml:space="preserve">, </w:t>
      </w:r>
      <w:r w:rsidRPr="00837D90">
        <w:rPr>
          <w:rFonts w:ascii="Times New Roman" w:hAnsi="Times New Roman"/>
          <w:i/>
          <w:iCs/>
          <w:sz w:val="24"/>
          <w:szCs w:val="24"/>
        </w:rPr>
        <w:t>Education, Teachers’ Education, Awareness</w:t>
      </w:r>
      <w:r w:rsidR="00562F0C" w:rsidRPr="00837D90">
        <w:rPr>
          <w:rFonts w:ascii="Times New Roman" w:hAnsi="Times New Roman"/>
          <w:i/>
          <w:iCs/>
          <w:sz w:val="24"/>
          <w:szCs w:val="24"/>
          <w:highlight w:val="yellow"/>
        </w:rPr>
        <w:t>, Nigeria</w:t>
      </w:r>
      <w:r w:rsidR="00562F0C">
        <w:rPr>
          <w:rFonts w:ascii="Times New Roman" w:hAnsi="Times New Roman"/>
          <w:i/>
          <w:iCs/>
          <w:sz w:val="24"/>
          <w:szCs w:val="24"/>
        </w:rPr>
        <w:t xml:space="preserve"> </w:t>
      </w:r>
    </w:p>
    <w:p w14:paraId="7F32B56C" w14:textId="77777777" w:rsidR="002375D6" w:rsidRDefault="002375D6">
      <w:pPr>
        <w:spacing w:after="0" w:line="240" w:lineRule="auto"/>
        <w:jc w:val="both"/>
        <w:rPr>
          <w:rFonts w:ascii="Times New Roman" w:hAnsi="Times New Roman"/>
          <w:sz w:val="24"/>
          <w:szCs w:val="24"/>
        </w:rPr>
      </w:pPr>
    </w:p>
    <w:p w14:paraId="5766EC17" w14:textId="77777777" w:rsidR="002375D6" w:rsidRDefault="002375D6">
      <w:pPr>
        <w:spacing w:after="0" w:line="240" w:lineRule="auto"/>
        <w:jc w:val="both"/>
        <w:rPr>
          <w:rFonts w:ascii="Times New Roman" w:hAnsi="Times New Roman"/>
          <w:sz w:val="24"/>
          <w:szCs w:val="24"/>
        </w:rPr>
      </w:pPr>
    </w:p>
    <w:p w14:paraId="227C11F0" w14:textId="77777777" w:rsidR="002375D6" w:rsidRDefault="002375D6">
      <w:pPr>
        <w:spacing w:after="0" w:line="240" w:lineRule="auto"/>
        <w:jc w:val="both"/>
        <w:rPr>
          <w:rFonts w:ascii="Times New Roman" w:hAnsi="Times New Roman"/>
          <w:sz w:val="24"/>
          <w:szCs w:val="24"/>
        </w:rPr>
      </w:pPr>
    </w:p>
    <w:p w14:paraId="0CC8E707" w14:textId="77777777" w:rsidR="002375D6" w:rsidRDefault="002375D6">
      <w:pPr>
        <w:spacing w:after="0" w:line="240" w:lineRule="auto"/>
        <w:jc w:val="both"/>
        <w:rPr>
          <w:rFonts w:ascii="Times New Roman" w:hAnsi="Times New Roman"/>
          <w:sz w:val="24"/>
          <w:szCs w:val="24"/>
        </w:rPr>
      </w:pPr>
    </w:p>
    <w:p w14:paraId="1253ABEC" w14:textId="77777777" w:rsidR="002375D6" w:rsidRDefault="002375D6">
      <w:pPr>
        <w:spacing w:after="0" w:line="240" w:lineRule="auto"/>
        <w:jc w:val="both"/>
        <w:rPr>
          <w:rFonts w:ascii="Times New Roman" w:hAnsi="Times New Roman"/>
          <w:sz w:val="24"/>
          <w:szCs w:val="24"/>
        </w:rPr>
      </w:pPr>
    </w:p>
    <w:p w14:paraId="2EF72EF0" w14:textId="77777777" w:rsidR="002375D6" w:rsidRDefault="002375D6">
      <w:pPr>
        <w:spacing w:after="0" w:line="240" w:lineRule="auto"/>
        <w:jc w:val="both"/>
        <w:rPr>
          <w:rFonts w:ascii="Times New Roman" w:hAnsi="Times New Roman"/>
          <w:sz w:val="24"/>
          <w:szCs w:val="24"/>
        </w:rPr>
      </w:pPr>
    </w:p>
    <w:p w14:paraId="5BD07B7C" w14:textId="77777777" w:rsidR="002375D6" w:rsidRDefault="002375D6">
      <w:pPr>
        <w:spacing w:after="0" w:line="240" w:lineRule="auto"/>
        <w:jc w:val="both"/>
        <w:rPr>
          <w:rFonts w:ascii="Times New Roman" w:hAnsi="Times New Roman"/>
          <w:sz w:val="24"/>
          <w:szCs w:val="24"/>
        </w:rPr>
      </w:pPr>
    </w:p>
    <w:p w14:paraId="681E3D21" w14:textId="77777777" w:rsidR="002375D6" w:rsidRDefault="002375D6">
      <w:pPr>
        <w:spacing w:after="0" w:line="240" w:lineRule="auto"/>
        <w:jc w:val="both"/>
        <w:rPr>
          <w:rFonts w:ascii="Times New Roman" w:hAnsi="Times New Roman"/>
          <w:sz w:val="24"/>
          <w:szCs w:val="24"/>
        </w:rPr>
      </w:pPr>
    </w:p>
    <w:p w14:paraId="6B1C0935" w14:textId="77777777" w:rsidR="002375D6" w:rsidRDefault="002375D6">
      <w:pPr>
        <w:spacing w:after="0" w:line="240" w:lineRule="auto"/>
        <w:jc w:val="both"/>
        <w:rPr>
          <w:rFonts w:ascii="Times New Roman" w:hAnsi="Times New Roman"/>
          <w:sz w:val="24"/>
          <w:szCs w:val="24"/>
        </w:rPr>
      </w:pPr>
    </w:p>
    <w:p w14:paraId="2D9A1783" w14:textId="57F8F3AF" w:rsidR="002375D6" w:rsidRDefault="002375D6">
      <w:pPr>
        <w:spacing w:after="0" w:line="240" w:lineRule="auto"/>
        <w:jc w:val="both"/>
        <w:rPr>
          <w:rFonts w:ascii="Times New Roman" w:hAnsi="Times New Roman"/>
          <w:sz w:val="24"/>
          <w:szCs w:val="24"/>
        </w:rPr>
      </w:pPr>
    </w:p>
    <w:p w14:paraId="04A96176" w14:textId="710C9A05" w:rsidR="00B76AB6" w:rsidRDefault="00B76AB6">
      <w:pPr>
        <w:spacing w:after="0" w:line="240" w:lineRule="auto"/>
        <w:jc w:val="both"/>
        <w:rPr>
          <w:rFonts w:ascii="Times New Roman" w:hAnsi="Times New Roman"/>
          <w:sz w:val="24"/>
          <w:szCs w:val="24"/>
        </w:rPr>
      </w:pPr>
    </w:p>
    <w:p w14:paraId="0B7DADD4" w14:textId="6F8242CE" w:rsidR="00B76AB6" w:rsidRDefault="00B76AB6">
      <w:pPr>
        <w:spacing w:after="0" w:line="240" w:lineRule="auto"/>
        <w:jc w:val="both"/>
        <w:rPr>
          <w:rFonts w:ascii="Times New Roman" w:hAnsi="Times New Roman"/>
          <w:sz w:val="24"/>
          <w:szCs w:val="24"/>
        </w:rPr>
      </w:pPr>
    </w:p>
    <w:p w14:paraId="7349B9CA" w14:textId="6E697C62" w:rsidR="00B76AB6" w:rsidRDefault="00B76AB6">
      <w:pPr>
        <w:spacing w:after="0" w:line="240" w:lineRule="auto"/>
        <w:jc w:val="both"/>
        <w:rPr>
          <w:rFonts w:ascii="Times New Roman" w:hAnsi="Times New Roman"/>
          <w:sz w:val="24"/>
          <w:szCs w:val="24"/>
        </w:rPr>
      </w:pPr>
    </w:p>
    <w:p w14:paraId="5FD59B22" w14:textId="20AD57F9" w:rsidR="00B76AB6" w:rsidRDefault="00B76AB6">
      <w:pPr>
        <w:spacing w:after="0" w:line="240" w:lineRule="auto"/>
        <w:jc w:val="both"/>
        <w:rPr>
          <w:rFonts w:ascii="Times New Roman" w:hAnsi="Times New Roman"/>
          <w:sz w:val="24"/>
          <w:szCs w:val="24"/>
        </w:rPr>
      </w:pPr>
    </w:p>
    <w:p w14:paraId="35149F29" w14:textId="77777777" w:rsidR="00B76AB6" w:rsidRDefault="00B76AB6">
      <w:pPr>
        <w:spacing w:after="0" w:line="240" w:lineRule="auto"/>
        <w:jc w:val="both"/>
        <w:rPr>
          <w:rFonts w:ascii="Times New Roman" w:hAnsi="Times New Roman"/>
          <w:sz w:val="24"/>
          <w:szCs w:val="24"/>
        </w:rPr>
      </w:pPr>
    </w:p>
    <w:p w14:paraId="0B84CDBE" w14:textId="77777777" w:rsidR="002375D6" w:rsidRDefault="002375D6">
      <w:pPr>
        <w:spacing w:after="0" w:line="240" w:lineRule="auto"/>
        <w:jc w:val="both"/>
        <w:rPr>
          <w:rFonts w:ascii="Times New Roman" w:hAnsi="Times New Roman"/>
          <w:sz w:val="24"/>
          <w:szCs w:val="24"/>
        </w:rPr>
      </w:pPr>
    </w:p>
    <w:p w14:paraId="00D59AA4" w14:textId="77777777" w:rsidR="002375D6" w:rsidRDefault="002375D6">
      <w:pPr>
        <w:spacing w:after="0" w:line="240" w:lineRule="auto"/>
        <w:jc w:val="both"/>
        <w:rPr>
          <w:rFonts w:ascii="Times New Roman" w:hAnsi="Times New Roman"/>
          <w:sz w:val="24"/>
          <w:szCs w:val="24"/>
        </w:rPr>
      </w:pPr>
    </w:p>
    <w:p w14:paraId="1D9A23ED" w14:textId="77777777" w:rsidR="002375D6" w:rsidRDefault="002375D6">
      <w:pPr>
        <w:spacing w:after="0" w:line="240" w:lineRule="auto"/>
        <w:jc w:val="both"/>
        <w:rPr>
          <w:rFonts w:ascii="Times New Roman" w:hAnsi="Times New Roman"/>
          <w:sz w:val="24"/>
          <w:szCs w:val="24"/>
        </w:rPr>
      </w:pPr>
    </w:p>
    <w:p w14:paraId="3D61043B" w14:textId="77777777" w:rsidR="002375D6" w:rsidRDefault="002375D6">
      <w:pPr>
        <w:spacing w:after="0" w:line="240" w:lineRule="auto"/>
        <w:jc w:val="both"/>
        <w:rPr>
          <w:rFonts w:ascii="Times New Roman" w:hAnsi="Times New Roman"/>
          <w:sz w:val="24"/>
          <w:szCs w:val="24"/>
        </w:rPr>
      </w:pPr>
    </w:p>
    <w:p w14:paraId="4DEC1533" w14:textId="77777777" w:rsidR="002375D6" w:rsidRDefault="002375D6">
      <w:pPr>
        <w:spacing w:after="0" w:line="240" w:lineRule="auto"/>
        <w:jc w:val="both"/>
        <w:rPr>
          <w:rFonts w:ascii="Times New Roman" w:hAnsi="Times New Roman"/>
          <w:sz w:val="24"/>
          <w:szCs w:val="24"/>
        </w:rPr>
      </w:pPr>
    </w:p>
    <w:p w14:paraId="74F62BE0"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Introduction</w:t>
      </w:r>
    </w:p>
    <w:p w14:paraId="22FE353A" w14:textId="6BDACAAF"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t xml:space="preserve">Education is a veritable instrument that makes an individual a functional member of </w:t>
      </w:r>
      <w:r w:rsidRPr="00837D90">
        <w:rPr>
          <w:rFonts w:ascii="Times New Roman" w:hAnsi="Times New Roman"/>
          <w:sz w:val="24"/>
          <w:szCs w:val="24"/>
          <w:highlight w:val="yellow"/>
        </w:rPr>
        <w:t>society, thus</w:t>
      </w:r>
      <w:r>
        <w:rPr>
          <w:rFonts w:ascii="Times New Roman" w:hAnsi="Times New Roman"/>
          <w:sz w:val="24"/>
          <w:szCs w:val="24"/>
        </w:rPr>
        <w:t xml:space="preserve"> contributing to national development and self-reliance. Education is a fundamental right of every individual, which helps to ensure a safer, healthier and more prosperous society. Therefore, </w:t>
      </w:r>
      <w:r w:rsidRPr="00837D90">
        <w:rPr>
          <w:rFonts w:ascii="Times New Roman" w:hAnsi="Times New Roman"/>
          <w:sz w:val="24"/>
          <w:szCs w:val="24"/>
          <w:highlight w:val="yellow"/>
        </w:rPr>
        <w:t>by virtue</w:t>
      </w:r>
      <w:r>
        <w:rPr>
          <w:rFonts w:ascii="Times New Roman" w:hAnsi="Times New Roman"/>
          <w:sz w:val="24"/>
          <w:szCs w:val="24"/>
        </w:rPr>
        <w:t xml:space="preserve"> of this indispensable key to personal and social development guaranteed by education, it is expedient that education must be provided and every citizen of the country must have equal access to it at the primary, secondary and tertiary levels. </w:t>
      </w:r>
    </w:p>
    <w:p w14:paraId="0D4CA77F" w14:textId="369A3E46" w:rsidR="002375D6" w:rsidRPr="00837D90" w:rsidRDefault="008D0901" w:rsidP="00D86617">
      <w:pPr>
        <w:spacing w:after="0" w:line="480" w:lineRule="auto"/>
        <w:ind w:firstLine="720"/>
        <w:jc w:val="both"/>
        <w:rPr>
          <w:rFonts w:ascii="Times New Roman" w:hAnsi="Times New Roman"/>
          <w:sz w:val="24"/>
          <w:szCs w:val="24"/>
          <w:lang w:val="en-US"/>
        </w:rPr>
      </w:pPr>
      <w:r>
        <w:rPr>
          <w:rFonts w:ascii="Times New Roman" w:hAnsi="Times New Roman"/>
          <w:sz w:val="24"/>
          <w:szCs w:val="24"/>
        </w:rPr>
        <w:t xml:space="preserve">As outlined in the National Policy on Education </w:t>
      </w:r>
      <w:r w:rsidRPr="00837D90">
        <w:rPr>
          <w:rFonts w:ascii="Times New Roman" w:hAnsi="Times New Roman"/>
          <w:sz w:val="24"/>
          <w:szCs w:val="24"/>
          <w:highlight w:val="yellow"/>
        </w:rPr>
        <w:t>(</w:t>
      </w:r>
      <w:r w:rsidR="000A3D02" w:rsidRPr="00837D90">
        <w:rPr>
          <w:rFonts w:ascii="Times New Roman" w:hAnsi="Times New Roman"/>
          <w:sz w:val="24"/>
          <w:szCs w:val="24"/>
          <w:highlight w:val="yellow"/>
        </w:rPr>
        <w:t xml:space="preserve">Okeke &amp; </w:t>
      </w:r>
      <w:proofErr w:type="spellStart"/>
      <w:r w:rsidR="000A3D02" w:rsidRPr="00837D90">
        <w:rPr>
          <w:rFonts w:ascii="Times New Roman" w:hAnsi="Times New Roman"/>
          <w:sz w:val="24"/>
          <w:szCs w:val="24"/>
          <w:highlight w:val="yellow"/>
        </w:rPr>
        <w:t>Chukwudebelu</w:t>
      </w:r>
      <w:proofErr w:type="spellEnd"/>
      <w:r w:rsidR="000A3D02" w:rsidRPr="00837D90">
        <w:rPr>
          <w:rFonts w:ascii="Times New Roman" w:hAnsi="Times New Roman"/>
          <w:sz w:val="24"/>
          <w:szCs w:val="24"/>
          <w:highlight w:val="yellow"/>
        </w:rPr>
        <w:t>, 2024</w:t>
      </w:r>
      <w:r w:rsidRPr="00837D90">
        <w:rPr>
          <w:rFonts w:ascii="Times New Roman" w:hAnsi="Times New Roman"/>
          <w:sz w:val="24"/>
          <w:szCs w:val="24"/>
          <w:highlight w:val="yellow"/>
        </w:rPr>
        <w:t>),</w:t>
      </w:r>
      <w:r>
        <w:rPr>
          <w:rFonts w:ascii="Times New Roman" w:hAnsi="Times New Roman"/>
          <w:sz w:val="24"/>
          <w:szCs w:val="24"/>
        </w:rPr>
        <w:t xml:space="preserve"> it is mandated that every child in Nigeria is entitled to equitable educational opportunities, regardless of any perceived or actual disabilities, with consideration given to individual capabilities. </w:t>
      </w:r>
      <w:r w:rsidR="00D86617" w:rsidRPr="00837D90">
        <w:rPr>
          <w:rFonts w:ascii="Times New Roman" w:hAnsi="Times New Roman"/>
          <w:sz w:val="24"/>
          <w:szCs w:val="24"/>
          <w:highlight w:val="yellow"/>
          <w:lang w:val="en-US"/>
        </w:rPr>
        <w:t>The country’s education agenda is defined under three elements</w:t>
      </w:r>
      <w:r w:rsidR="00D86617">
        <w:rPr>
          <w:rFonts w:ascii="Times New Roman" w:hAnsi="Times New Roman"/>
          <w:sz w:val="24"/>
          <w:szCs w:val="24"/>
          <w:highlight w:val="yellow"/>
          <w:lang w:val="en-US"/>
        </w:rPr>
        <w:t>:</w:t>
      </w:r>
      <w:r w:rsidR="00D86617" w:rsidRPr="00837D90">
        <w:rPr>
          <w:rFonts w:ascii="Times New Roman" w:hAnsi="Times New Roman"/>
          <w:sz w:val="24"/>
          <w:szCs w:val="24"/>
          <w:highlight w:val="yellow"/>
          <w:lang w:val="en-US"/>
        </w:rPr>
        <w:t xml:space="preserve"> namely, the development of the individual into a sound and effective citizen, the full integration of the individual into the community, and the provision of equal access to education opportunities for all citizens. In the third aspect, it provides access within and </w:t>
      </w:r>
      <w:r w:rsidR="00D86617">
        <w:rPr>
          <w:rFonts w:ascii="Times New Roman" w:hAnsi="Times New Roman"/>
          <w:sz w:val="24"/>
          <w:szCs w:val="24"/>
          <w:highlight w:val="yellow"/>
          <w:lang w:val="en-US"/>
        </w:rPr>
        <w:t>outside</w:t>
      </w:r>
      <w:r w:rsidR="00D86617" w:rsidRPr="00837D90">
        <w:rPr>
          <w:rFonts w:ascii="Times New Roman" w:hAnsi="Times New Roman"/>
          <w:sz w:val="24"/>
          <w:szCs w:val="24"/>
          <w:highlight w:val="yellow"/>
          <w:lang w:val="en-US"/>
        </w:rPr>
        <w:t xml:space="preserve"> the formal education system</w:t>
      </w:r>
      <w:r w:rsidR="00D86617">
        <w:rPr>
          <w:rFonts w:ascii="Times New Roman" w:hAnsi="Times New Roman"/>
          <w:sz w:val="24"/>
          <w:szCs w:val="24"/>
          <w:highlight w:val="yellow"/>
          <w:lang w:val="en-US"/>
        </w:rPr>
        <w:t xml:space="preserve"> (</w:t>
      </w:r>
      <w:proofErr w:type="spellStart"/>
      <w:r w:rsidR="00D86617" w:rsidRPr="00D86617">
        <w:rPr>
          <w:rFonts w:ascii="Times New Roman" w:hAnsi="Times New Roman"/>
          <w:sz w:val="24"/>
          <w:szCs w:val="24"/>
          <w:highlight w:val="yellow"/>
        </w:rPr>
        <w:t>Oluwalola</w:t>
      </w:r>
      <w:proofErr w:type="spellEnd"/>
      <w:r w:rsidR="00D86617">
        <w:rPr>
          <w:rFonts w:ascii="Times New Roman" w:hAnsi="Times New Roman"/>
          <w:sz w:val="24"/>
          <w:szCs w:val="24"/>
          <w:highlight w:val="yellow"/>
        </w:rPr>
        <w:t xml:space="preserve"> et al., 2022</w:t>
      </w:r>
      <w:r w:rsidR="00D86617">
        <w:rPr>
          <w:rFonts w:ascii="Times New Roman" w:hAnsi="Times New Roman"/>
          <w:sz w:val="24"/>
          <w:szCs w:val="24"/>
          <w:highlight w:val="yellow"/>
          <w:lang w:val="en-US"/>
        </w:rPr>
        <w:t>)</w:t>
      </w:r>
      <w:r w:rsidR="00D86617" w:rsidRPr="00837D90">
        <w:rPr>
          <w:rFonts w:ascii="Times New Roman" w:hAnsi="Times New Roman"/>
          <w:sz w:val="24"/>
          <w:szCs w:val="24"/>
          <w:highlight w:val="yellow"/>
          <w:lang w:val="en-US"/>
        </w:rPr>
        <w:t>.</w:t>
      </w:r>
      <w:r w:rsidR="00D86617">
        <w:rPr>
          <w:rFonts w:ascii="Times New Roman" w:hAnsi="Times New Roman"/>
          <w:sz w:val="24"/>
          <w:szCs w:val="24"/>
          <w:lang w:val="en-US"/>
        </w:rPr>
        <w:t xml:space="preserve"> </w:t>
      </w:r>
      <w:r w:rsidR="00D86617">
        <w:rPr>
          <w:rFonts w:ascii="Times New Roman" w:hAnsi="Times New Roman"/>
          <w:sz w:val="24"/>
          <w:szCs w:val="24"/>
        </w:rPr>
        <w:t>S</w:t>
      </w:r>
      <w:r>
        <w:rPr>
          <w:rFonts w:ascii="Times New Roman" w:hAnsi="Times New Roman"/>
          <w:sz w:val="24"/>
          <w:szCs w:val="24"/>
        </w:rPr>
        <w:t xml:space="preserve">econdary education is part of the bedrock of education because it is the education level that interfaces between the primary and tertiary education. The significance of secondary education is of utmost importance due to its distinct role within the educational system of Nigeria, as it plays a determining factor in students' academic and professional </w:t>
      </w:r>
      <w:r w:rsidR="00BB5EAC" w:rsidRPr="00837D90">
        <w:rPr>
          <w:rFonts w:ascii="Times New Roman" w:hAnsi="Times New Roman"/>
          <w:sz w:val="24"/>
          <w:szCs w:val="24"/>
          <w:highlight w:val="yellow"/>
        </w:rPr>
        <w:t>careers</w:t>
      </w:r>
      <w:r w:rsidR="00222C3C" w:rsidRPr="00837D90">
        <w:rPr>
          <w:rFonts w:ascii="Times New Roman" w:hAnsi="Times New Roman"/>
          <w:sz w:val="24"/>
          <w:szCs w:val="24"/>
          <w:highlight w:val="yellow"/>
        </w:rPr>
        <w:t xml:space="preserve"> (NCCE, 2025)</w:t>
      </w:r>
      <w:r w:rsidRPr="00837D90">
        <w:rPr>
          <w:rFonts w:ascii="Times New Roman" w:hAnsi="Times New Roman"/>
          <w:sz w:val="24"/>
          <w:szCs w:val="24"/>
          <w:highlight w:val="yellow"/>
        </w:rPr>
        <w:t>.</w:t>
      </w:r>
    </w:p>
    <w:p w14:paraId="50C27A2B" w14:textId="5653C24B"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t xml:space="preserve">Moreover, the goals of secondary education, according to </w:t>
      </w:r>
      <w:proofErr w:type="spellStart"/>
      <w:r>
        <w:rPr>
          <w:rFonts w:ascii="Times New Roman" w:hAnsi="Times New Roman"/>
          <w:sz w:val="24"/>
          <w:szCs w:val="24"/>
        </w:rPr>
        <w:t>Ige</w:t>
      </w:r>
      <w:proofErr w:type="spellEnd"/>
      <w:r>
        <w:rPr>
          <w:rFonts w:ascii="Times New Roman" w:hAnsi="Times New Roman"/>
          <w:sz w:val="24"/>
          <w:szCs w:val="24"/>
        </w:rPr>
        <w:t xml:space="preserve"> (2012), and in line with the objectives outlined in the National Policy on Education (FGN, 2013)</w:t>
      </w:r>
      <w:r w:rsidR="00BB5EAC">
        <w:rPr>
          <w:rFonts w:ascii="Times New Roman" w:hAnsi="Times New Roman"/>
          <w:sz w:val="24"/>
          <w:szCs w:val="24"/>
        </w:rPr>
        <w:t>,</w:t>
      </w:r>
      <w:r>
        <w:rPr>
          <w:rFonts w:ascii="Times New Roman" w:hAnsi="Times New Roman"/>
          <w:sz w:val="24"/>
          <w:szCs w:val="24"/>
        </w:rPr>
        <w:t xml:space="preserve"> are: </w:t>
      </w:r>
    </w:p>
    <w:p w14:paraId="4FD5A4F4" w14:textId="77777777" w:rsidR="002375D6" w:rsidRDefault="008D0901">
      <w:pPr>
        <w:spacing w:after="0" w:line="480" w:lineRule="auto"/>
        <w:jc w:val="both"/>
        <w:rPr>
          <w:rFonts w:ascii="Times New Roman" w:hAnsi="Times New Roman"/>
          <w:sz w:val="24"/>
          <w:szCs w:val="24"/>
        </w:rPr>
      </w:pPr>
      <w:r>
        <w:rPr>
          <w:rFonts w:ascii="Times New Roman" w:hAnsi="Times New Roman"/>
          <w:sz w:val="24"/>
          <w:szCs w:val="24"/>
        </w:rPr>
        <w:lastRenderedPageBreak/>
        <w:t>a) the provision of equal educational opportunities for all primary school graduates, regardless of gender, social status, religion, ethnicity, talents, opportunities, and future roles; b) to produce skilled personnel in the fields of applied science, technology, and commerce at sub-professional levels;</w:t>
      </w:r>
    </w:p>
    <w:p w14:paraId="5225FC9B" w14:textId="77777777" w:rsidR="002375D6" w:rsidRDefault="008D090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c) to enhance the development and promotion of Nigerian languages, arts, and culture within the broader context of global cultural heritage; </w:t>
      </w:r>
    </w:p>
    <w:p w14:paraId="1658A997" w14:textId="77777777" w:rsidR="002375D6" w:rsidRDefault="008D090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d) to instil in students a strong motivation for self-improvement and the pursuit of excellence; </w:t>
      </w:r>
    </w:p>
    <w:p w14:paraId="626ED32E" w14:textId="77777777" w:rsidR="002375D6" w:rsidRDefault="008D090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e) to foster national unity by emphasising the shared bonds that unite us despite our diverse backgrounds; </w:t>
      </w:r>
    </w:p>
    <w:p w14:paraId="50A876EF" w14:textId="77777777" w:rsidR="002375D6" w:rsidRDefault="008D090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f) to cultivate a generation of individuals who possess critical thinking abilities, demonstrate respect for differing perspectives and emotions, value the importance of labour, appreciate the principles outlined in our national goals, and exhibit good citizenship; and</w:t>
      </w:r>
    </w:p>
    <w:p w14:paraId="69E785E3" w14:textId="77777777" w:rsidR="002375D6" w:rsidRDefault="008D0901">
      <w:pPr>
        <w:spacing w:after="0" w:line="480" w:lineRule="auto"/>
        <w:jc w:val="both"/>
        <w:rPr>
          <w:rFonts w:ascii="Times New Roman" w:hAnsi="Times New Roman"/>
          <w:sz w:val="24"/>
          <w:szCs w:val="24"/>
        </w:rPr>
      </w:pPr>
      <w:r>
        <w:rPr>
          <w:rFonts w:ascii="Times New Roman" w:hAnsi="Times New Roman"/>
          <w:sz w:val="24"/>
          <w:szCs w:val="24"/>
        </w:rPr>
        <w:t>g) to provide technical knowledge and vocational skills that are essential for the advancement of agriculture, industry, commerce, and overall economic development (Federal Republic of Nigeria, 2013).</w:t>
      </w:r>
    </w:p>
    <w:p w14:paraId="72085836" w14:textId="3F6AF507" w:rsidR="002375D6" w:rsidRDefault="008D0901" w:rsidP="00BC2A8F">
      <w:pPr>
        <w:spacing w:after="0" w:line="480" w:lineRule="auto"/>
        <w:ind w:firstLine="720"/>
        <w:jc w:val="both"/>
        <w:rPr>
          <w:rFonts w:ascii="Times New Roman" w:hAnsi="Times New Roman"/>
          <w:sz w:val="24"/>
          <w:szCs w:val="24"/>
        </w:rPr>
      </w:pPr>
      <w:r>
        <w:rPr>
          <w:rFonts w:ascii="Times New Roman" w:hAnsi="Times New Roman"/>
          <w:sz w:val="24"/>
          <w:szCs w:val="24"/>
        </w:rPr>
        <w:t xml:space="preserve">However, to achieve the goals of secondary schools would have been impossible without the contribution of professional teachers. Teachers play a crucial role in society, exerting a significant impact across various domains. </w:t>
      </w:r>
      <w:r w:rsidR="00BC2A8F" w:rsidRPr="00837D90">
        <w:rPr>
          <w:rFonts w:ascii="Times New Roman" w:hAnsi="Times New Roman"/>
          <w:sz w:val="24"/>
          <w:szCs w:val="24"/>
          <w:highlight w:val="yellow"/>
        </w:rPr>
        <w:t>In teaching, the struggle has been over the creation of abstract knowledge unique to the occupation of educating children, that can then be translated into and informed by practice (</w:t>
      </w:r>
      <w:proofErr w:type="spellStart"/>
      <w:r w:rsidR="00BC2A8F" w:rsidRPr="00837D90">
        <w:rPr>
          <w:rFonts w:ascii="Times New Roman" w:hAnsi="Times New Roman"/>
          <w:sz w:val="24"/>
          <w:szCs w:val="24"/>
          <w:highlight w:val="yellow"/>
        </w:rPr>
        <w:t>Tatto</w:t>
      </w:r>
      <w:proofErr w:type="spellEnd"/>
      <w:r w:rsidR="00BC2A8F" w:rsidRPr="00837D90">
        <w:rPr>
          <w:rFonts w:ascii="Times New Roman" w:hAnsi="Times New Roman"/>
          <w:sz w:val="24"/>
          <w:szCs w:val="24"/>
          <w:highlight w:val="yellow"/>
        </w:rPr>
        <w:t>, 2021).</w:t>
      </w:r>
      <w:r w:rsidR="00BC2A8F">
        <w:rPr>
          <w:rFonts w:ascii="Times New Roman" w:hAnsi="Times New Roman"/>
          <w:sz w:val="24"/>
          <w:szCs w:val="24"/>
        </w:rPr>
        <w:t xml:space="preserve"> </w:t>
      </w:r>
      <w:r>
        <w:rPr>
          <w:rFonts w:ascii="Times New Roman" w:hAnsi="Times New Roman"/>
          <w:sz w:val="24"/>
          <w:szCs w:val="24"/>
        </w:rPr>
        <w:t>The efficacy of an educational system is contingent upon the educational achievements of its teachers, as the quality and dedication of educators directly influence the overall quality of education provided.</w:t>
      </w:r>
    </w:p>
    <w:p w14:paraId="452D0E65"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 xml:space="preserve">Statement of the Problem </w:t>
      </w:r>
    </w:p>
    <w:p w14:paraId="6C8E1F6A" w14:textId="64C65350" w:rsidR="002375D6" w:rsidRDefault="008D0901">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The aims of the NTEP are to promote quality secondary school and other levels of education. The quality of education has been declining in terms of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quality</w:t>
      </w:r>
      <w:r>
        <w:rPr>
          <w:rFonts w:ascii="Times New Roman" w:hAnsi="Times New Roman"/>
          <w:sz w:val="24"/>
          <w:szCs w:val="24"/>
        </w:rPr>
        <w:t xml:space="preserve"> of graduates produced in many secondary schools and higher institutions. Teachers are involved in so many defects</w:t>
      </w:r>
      <w:r w:rsidR="00BB5EAC">
        <w:rPr>
          <w:rFonts w:ascii="Times New Roman" w:hAnsi="Times New Roman"/>
          <w:sz w:val="24"/>
          <w:szCs w:val="24"/>
        </w:rPr>
        <w:t>,</w:t>
      </w:r>
      <w:r>
        <w:rPr>
          <w:rFonts w:ascii="Times New Roman" w:hAnsi="Times New Roman"/>
          <w:sz w:val="24"/>
          <w:szCs w:val="24"/>
        </w:rPr>
        <w:t xml:space="preserve"> such as over-registration of students (</w:t>
      </w:r>
      <w:proofErr w:type="spellStart"/>
      <w:r w:rsidR="0022123D" w:rsidRPr="00837D90">
        <w:rPr>
          <w:rFonts w:ascii="Times New Roman" w:hAnsi="Times New Roman"/>
          <w:sz w:val="24"/>
          <w:szCs w:val="24"/>
          <w:highlight w:val="yellow"/>
        </w:rPr>
        <w:t>Oloba</w:t>
      </w:r>
      <w:proofErr w:type="spellEnd"/>
      <w:r w:rsidR="0022123D" w:rsidRPr="00837D90">
        <w:rPr>
          <w:rFonts w:ascii="Times New Roman" w:hAnsi="Times New Roman"/>
          <w:sz w:val="24"/>
          <w:szCs w:val="24"/>
          <w:highlight w:val="yellow"/>
        </w:rPr>
        <w:t>, 2024</w:t>
      </w:r>
      <w:r w:rsidR="005F6462">
        <w:rPr>
          <w:rFonts w:ascii="Times New Roman" w:hAnsi="Times New Roman"/>
          <w:sz w:val="24"/>
          <w:szCs w:val="24"/>
        </w:rPr>
        <w:t xml:space="preserve">; </w:t>
      </w:r>
      <w:proofErr w:type="spellStart"/>
      <w:r>
        <w:rPr>
          <w:rFonts w:ascii="Times New Roman" w:hAnsi="Times New Roman"/>
          <w:sz w:val="24"/>
          <w:szCs w:val="24"/>
        </w:rPr>
        <w:t>Oko</w:t>
      </w:r>
      <w:proofErr w:type="spellEnd"/>
      <w:r>
        <w:rPr>
          <w:rFonts w:ascii="Times New Roman" w:hAnsi="Times New Roman"/>
          <w:sz w:val="24"/>
          <w:szCs w:val="24"/>
        </w:rPr>
        <w:t xml:space="preserve"> &amp; Adie, 2016), impersonation, and </w:t>
      </w:r>
      <w:r w:rsidR="00BB5EAC" w:rsidRPr="00837D90">
        <w:rPr>
          <w:rFonts w:ascii="Times New Roman" w:hAnsi="Times New Roman"/>
          <w:sz w:val="24"/>
          <w:szCs w:val="24"/>
          <w:highlight w:val="yellow"/>
        </w:rPr>
        <w:t xml:space="preserve">handing </w:t>
      </w:r>
      <w:r w:rsidRPr="00837D90">
        <w:rPr>
          <w:rFonts w:ascii="Times New Roman" w:hAnsi="Times New Roman"/>
          <w:sz w:val="24"/>
          <w:szCs w:val="24"/>
          <w:highlight w:val="yellow"/>
        </w:rPr>
        <w:t>out</w:t>
      </w:r>
      <w:r>
        <w:rPr>
          <w:rFonts w:ascii="Times New Roman" w:hAnsi="Times New Roman"/>
          <w:sz w:val="24"/>
          <w:szCs w:val="24"/>
        </w:rPr>
        <w:t xml:space="preserve"> question papers for solution outside the examination halls (</w:t>
      </w:r>
      <w:proofErr w:type="spellStart"/>
      <w:r>
        <w:rPr>
          <w:rFonts w:ascii="Times New Roman" w:hAnsi="Times New Roman"/>
          <w:sz w:val="24"/>
          <w:szCs w:val="24"/>
        </w:rPr>
        <w:t>Maciver</w:t>
      </w:r>
      <w:proofErr w:type="spellEnd"/>
      <w:r w:rsidR="00BB5EAC">
        <w:rPr>
          <w:rFonts w:ascii="Times New Roman" w:hAnsi="Times New Roman"/>
          <w:sz w:val="24"/>
          <w:szCs w:val="24"/>
        </w:rPr>
        <w:t>,</w:t>
      </w:r>
      <w:r>
        <w:rPr>
          <w:rFonts w:ascii="Times New Roman" w:hAnsi="Times New Roman"/>
          <w:sz w:val="24"/>
          <w:szCs w:val="24"/>
        </w:rPr>
        <w:t xml:space="preserve"> 2017). These are not productive to the achievement of the goals of education in Nigeria. A major factor that has been identified to be responsible for poor performance at the secondary school is </w:t>
      </w:r>
      <w:r w:rsidR="00BB5EAC">
        <w:rPr>
          <w:rFonts w:ascii="Times New Roman" w:hAnsi="Times New Roman"/>
          <w:sz w:val="24"/>
          <w:szCs w:val="24"/>
        </w:rPr>
        <w:t xml:space="preserve">the </w:t>
      </w:r>
      <w:r>
        <w:rPr>
          <w:rFonts w:ascii="Times New Roman" w:hAnsi="Times New Roman"/>
          <w:sz w:val="24"/>
          <w:szCs w:val="24"/>
        </w:rPr>
        <w:t xml:space="preserve">poor quality of teachers.  In order to remediate the problem of poor performance, step was taken to improve the quality of teachers through the formulation and implementation of NTEP. Studies such as </w:t>
      </w:r>
      <w:proofErr w:type="spellStart"/>
      <w:r w:rsidR="00F262FA" w:rsidRPr="00837D90">
        <w:rPr>
          <w:rFonts w:ascii="Times New Roman" w:hAnsi="Times New Roman"/>
          <w:sz w:val="24"/>
          <w:szCs w:val="24"/>
          <w:highlight w:val="yellow"/>
        </w:rPr>
        <w:t>Riyanto</w:t>
      </w:r>
      <w:proofErr w:type="spellEnd"/>
      <w:r w:rsidR="00F262FA" w:rsidRPr="00837D90">
        <w:rPr>
          <w:rFonts w:ascii="Times New Roman" w:hAnsi="Times New Roman"/>
          <w:sz w:val="24"/>
          <w:szCs w:val="24"/>
          <w:highlight w:val="yellow"/>
        </w:rPr>
        <w:t xml:space="preserve"> (2024)</w:t>
      </w:r>
      <w:r>
        <w:rPr>
          <w:rFonts w:ascii="Times New Roman" w:hAnsi="Times New Roman"/>
          <w:sz w:val="24"/>
          <w:szCs w:val="24"/>
        </w:rPr>
        <w:t xml:space="preserve"> and </w:t>
      </w:r>
      <w:proofErr w:type="spellStart"/>
      <w:r>
        <w:rPr>
          <w:rFonts w:ascii="Times New Roman" w:hAnsi="Times New Roman"/>
          <w:sz w:val="24"/>
          <w:szCs w:val="24"/>
        </w:rPr>
        <w:t>Oyetoro</w:t>
      </w:r>
      <w:proofErr w:type="spellEnd"/>
      <w:r>
        <w:rPr>
          <w:rFonts w:ascii="Times New Roman" w:hAnsi="Times New Roman"/>
          <w:sz w:val="24"/>
          <w:szCs w:val="24"/>
        </w:rPr>
        <w:t xml:space="preserve">, </w:t>
      </w:r>
      <w:proofErr w:type="spellStart"/>
      <w:r>
        <w:rPr>
          <w:rFonts w:ascii="Times New Roman" w:hAnsi="Times New Roman"/>
          <w:sz w:val="24"/>
          <w:szCs w:val="24"/>
        </w:rPr>
        <w:t>Odeyemi</w:t>
      </w:r>
      <w:proofErr w:type="spellEnd"/>
      <w:r>
        <w:rPr>
          <w:rFonts w:ascii="Times New Roman" w:hAnsi="Times New Roman"/>
          <w:sz w:val="24"/>
          <w:szCs w:val="24"/>
        </w:rPr>
        <w:t xml:space="preserve">, and Adesina (2019) have been carried out to try and solve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po</w:t>
      </w:r>
      <w:r>
        <w:rPr>
          <w:rFonts w:ascii="Times New Roman" w:hAnsi="Times New Roman"/>
          <w:sz w:val="24"/>
          <w:szCs w:val="24"/>
        </w:rPr>
        <w:t xml:space="preserve">or performance problem, yet this problem persists. The problem of students’ poor performance is related to the level of teachers’ awareness of the NTEP and factors affecting awareness </w:t>
      </w:r>
      <w:r w:rsidRPr="00837D90">
        <w:rPr>
          <w:rFonts w:ascii="Times New Roman" w:hAnsi="Times New Roman"/>
          <w:sz w:val="24"/>
          <w:szCs w:val="24"/>
          <w:highlight w:val="yellow"/>
        </w:rPr>
        <w:t xml:space="preserve">of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N</w:t>
      </w:r>
      <w:r>
        <w:rPr>
          <w:rFonts w:ascii="Times New Roman" w:hAnsi="Times New Roman"/>
          <w:sz w:val="24"/>
          <w:szCs w:val="24"/>
        </w:rPr>
        <w:t xml:space="preserve">TEP. However, not much has been done on the level of lecturers’ awareness of the component of NTEP and factors affecting awareness of the component of NTEP in Southwestern Nigeria. There is therefore a need </w:t>
      </w:r>
      <w:r w:rsidR="00BB5EAC" w:rsidRPr="00837D90">
        <w:rPr>
          <w:rFonts w:ascii="Times New Roman" w:hAnsi="Times New Roman"/>
          <w:sz w:val="24"/>
          <w:szCs w:val="24"/>
          <w:highlight w:val="yellow"/>
        </w:rPr>
        <w:t>to assess</w:t>
      </w:r>
      <w:r w:rsidRPr="00837D90">
        <w:rPr>
          <w:rFonts w:ascii="Times New Roman" w:hAnsi="Times New Roman"/>
          <w:sz w:val="24"/>
          <w:szCs w:val="24"/>
          <w:highlight w:val="yellow"/>
        </w:rPr>
        <w:t xml:space="preserve"> the level</w:t>
      </w:r>
      <w:r>
        <w:rPr>
          <w:rFonts w:ascii="Times New Roman" w:hAnsi="Times New Roman"/>
          <w:sz w:val="24"/>
          <w:szCs w:val="24"/>
        </w:rPr>
        <w:t xml:space="preserve"> of lecturers’ awareness and factors affecting awareness of NTEP</w:t>
      </w:r>
      <w:r w:rsidR="00BB5EAC">
        <w:rPr>
          <w:rFonts w:ascii="Times New Roman" w:hAnsi="Times New Roman"/>
          <w:sz w:val="24"/>
          <w:szCs w:val="24"/>
        </w:rPr>
        <w:t>,</w:t>
      </w:r>
      <w:r>
        <w:rPr>
          <w:rFonts w:ascii="Times New Roman" w:hAnsi="Times New Roman"/>
          <w:sz w:val="24"/>
          <w:szCs w:val="24"/>
        </w:rPr>
        <w:t xml:space="preserve"> hence this study. </w:t>
      </w:r>
    </w:p>
    <w:p w14:paraId="235826D6"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 xml:space="preserve">Purpose of the Study </w:t>
      </w:r>
    </w:p>
    <w:p w14:paraId="07D6A701" w14:textId="27771881" w:rsidR="002375D6" w:rsidRDefault="008D0901">
      <w:pPr>
        <w:pStyle w:val="ListParagraph"/>
        <w:spacing w:after="0" w:line="480" w:lineRule="auto"/>
        <w:ind w:hanging="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 xml:space="preserve">ascertain the level of lecturers of </w:t>
      </w:r>
      <w:r w:rsidR="00BB5EAC">
        <w:rPr>
          <w:rFonts w:ascii="Times New Roman" w:hAnsi="Times New Roman"/>
          <w:sz w:val="24"/>
          <w:szCs w:val="24"/>
        </w:rPr>
        <w:t xml:space="preserve">the </w:t>
      </w:r>
      <w:r>
        <w:rPr>
          <w:rFonts w:ascii="Times New Roman" w:hAnsi="Times New Roman"/>
          <w:sz w:val="24"/>
          <w:szCs w:val="24"/>
        </w:rPr>
        <w:t>Faculties and Colleges of Education awareness</w:t>
      </w:r>
      <w:r w:rsidR="00BB5EAC">
        <w:rPr>
          <w:rFonts w:ascii="Times New Roman" w:hAnsi="Times New Roman"/>
          <w:sz w:val="24"/>
          <w:szCs w:val="24"/>
        </w:rPr>
        <w:t xml:space="preserve"> level</w:t>
      </w:r>
      <w:r>
        <w:rPr>
          <w:rFonts w:ascii="Times New Roman" w:hAnsi="Times New Roman"/>
          <w:sz w:val="24"/>
          <w:szCs w:val="24"/>
        </w:rPr>
        <w:t xml:space="preserve"> of the component </w:t>
      </w:r>
      <w:r w:rsidRPr="00837D90">
        <w:rPr>
          <w:rFonts w:ascii="Times New Roman" w:hAnsi="Times New Roman"/>
          <w:sz w:val="24"/>
          <w:szCs w:val="24"/>
          <w:highlight w:val="yellow"/>
        </w:rPr>
        <w:t xml:space="preserve">of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National</w:t>
      </w:r>
      <w:r>
        <w:rPr>
          <w:rFonts w:ascii="Times New Roman" w:hAnsi="Times New Roman"/>
          <w:sz w:val="24"/>
          <w:szCs w:val="24"/>
        </w:rPr>
        <w:t xml:space="preserve"> Teacher Education Policy (NTEP) in Southwestern Nigeria; and</w:t>
      </w:r>
    </w:p>
    <w:p w14:paraId="50D17ADF" w14:textId="6FBA658B" w:rsidR="002375D6" w:rsidRDefault="008D0901">
      <w:pPr>
        <w:pStyle w:val="ListParagraph"/>
        <w:spacing w:after="0" w:line="480" w:lineRule="auto"/>
        <w:ind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identify factors affecting lecturers of </w:t>
      </w:r>
      <w:r w:rsidR="00BB5EAC">
        <w:rPr>
          <w:rFonts w:ascii="Times New Roman" w:hAnsi="Times New Roman"/>
          <w:sz w:val="24"/>
          <w:szCs w:val="24"/>
        </w:rPr>
        <w:t xml:space="preserve">the </w:t>
      </w:r>
      <w:r>
        <w:rPr>
          <w:rFonts w:ascii="Times New Roman" w:hAnsi="Times New Roman"/>
          <w:sz w:val="24"/>
          <w:szCs w:val="24"/>
        </w:rPr>
        <w:t xml:space="preserve">Faculties and Colleges of Education’s awareness </w:t>
      </w:r>
      <w:r w:rsidRPr="00837D90">
        <w:rPr>
          <w:rFonts w:ascii="Times New Roman" w:hAnsi="Times New Roman"/>
          <w:sz w:val="24"/>
          <w:szCs w:val="24"/>
          <w:highlight w:val="yellow"/>
        </w:rPr>
        <w:t xml:space="preserve">of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National</w:t>
      </w:r>
      <w:r>
        <w:rPr>
          <w:rFonts w:ascii="Times New Roman" w:hAnsi="Times New Roman"/>
          <w:sz w:val="24"/>
          <w:szCs w:val="24"/>
        </w:rPr>
        <w:t xml:space="preserve"> Teacher Education Policy in Southwestern Nigeria.</w:t>
      </w:r>
    </w:p>
    <w:p w14:paraId="0F63AEFB"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Research Questions</w:t>
      </w:r>
    </w:p>
    <w:p w14:paraId="7E3C9139" w14:textId="1EF3CAAE" w:rsidR="002375D6" w:rsidRDefault="008D0901">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What is the level of lecturers of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Faculties</w:t>
      </w:r>
      <w:r>
        <w:rPr>
          <w:rFonts w:ascii="Times New Roman" w:hAnsi="Times New Roman"/>
          <w:sz w:val="24"/>
          <w:szCs w:val="24"/>
        </w:rPr>
        <w:t xml:space="preserve"> and Colleges of Education awareness </w:t>
      </w:r>
      <w:r w:rsidR="00BB5EAC" w:rsidRPr="00837D90">
        <w:rPr>
          <w:rFonts w:ascii="Times New Roman" w:hAnsi="Times New Roman"/>
          <w:sz w:val="24"/>
          <w:szCs w:val="24"/>
          <w:highlight w:val="yellow"/>
        </w:rPr>
        <w:t xml:space="preserve">level </w:t>
      </w:r>
      <w:r w:rsidRPr="00837D90">
        <w:rPr>
          <w:rFonts w:ascii="Times New Roman" w:hAnsi="Times New Roman"/>
          <w:sz w:val="24"/>
          <w:szCs w:val="24"/>
          <w:highlight w:val="yellow"/>
        </w:rPr>
        <w:t>of the</w:t>
      </w:r>
      <w:r>
        <w:rPr>
          <w:rFonts w:ascii="Times New Roman" w:hAnsi="Times New Roman"/>
          <w:sz w:val="24"/>
          <w:szCs w:val="24"/>
        </w:rPr>
        <w:t xml:space="preserve"> secondary school education component of </w:t>
      </w:r>
      <w:r w:rsidR="00BB5EAC">
        <w:rPr>
          <w:rFonts w:ascii="Times New Roman" w:hAnsi="Times New Roman"/>
          <w:sz w:val="24"/>
          <w:szCs w:val="24"/>
        </w:rPr>
        <w:t xml:space="preserve">the </w:t>
      </w:r>
      <w:r>
        <w:rPr>
          <w:rFonts w:ascii="Times New Roman" w:hAnsi="Times New Roman"/>
          <w:sz w:val="24"/>
          <w:szCs w:val="24"/>
        </w:rPr>
        <w:t>National Teacher Education Policy in Southwestern Nigeria?</w:t>
      </w:r>
    </w:p>
    <w:p w14:paraId="749C20D4" w14:textId="07D20BC7" w:rsidR="002375D6" w:rsidRDefault="008D0901">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What are the factors affecting lecturers of Faculties and Colleges of Education’s awareness of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National</w:t>
      </w:r>
      <w:r>
        <w:rPr>
          <w:rFonts w:ascii="Times New Roman" w:hAnsi="Times New Roman"/>
          <w:sz w:val="24"/>
          <w:szCs w:val="24"/>
        </w:rPr>
        <w:t xml:space="preserve"> Teacher Education Policy in Southwestern Nigeria?</w:t>
      </w:r>
    </w:p>
    <w:p w14:paraId="24A45F3A" w14:textId="77777777" w:rsidR="002375D6" w:rsidRDefault="008D0901">
      <w:pPr>
        <w:spacing w:after="0" w:line="480" w:lineRule="auto"/>
        <w:jc w:val="both"/>
        <w:rPr>
          <w:rFonts w:ascii="Times New Roman" w:hAnsi="Times New Roman"/>
        </w:rPr>
      </w:pPr>
      <w:r>
        <w:rPr>
          <w:rFonts w:ascii="Times New Roman" w:hAnsi="Times New Roman"/>
          <w:b/>
          <w:sz w:val="24"/>
          <w:szCs w:val="24"/>
        </w:rPr>
        <w:t>Methodology</w:t>
      </w:r>
    </w:p>
    <w:p w14:paraId="50E5F170" w14:textId="3E14E118" w:rsidR="002375D6" w:rsidRDefault="008D0901">
      <w:pPr>
        <w:tabs>
          <w:tab w:val="left" w:pos="540"/>
          <w:tab w:val="left" w:pos="5954"/>
        </w:tabs>
        <w:spacing w:after="0" w:line="480" w:lineRule="auto"/>
        <w:jc w:val="both"/>
        <w:rPr>
          <w:rFonts w:ascii="Times New Roman" w:hAnsi="Times New Roman"/>
          <w:sz w:val="24"/>
          <w:szCs w:val="24"/>
        </w:rPr>
      </w:pPr>
      <w:r>
        <w:rPr>
          <w:rFonts w:ascii="Times New Roman" w:hAnsi="Times New Roman"/>
          <w:sz w:val="24"/>
          <w:szCs w:val="24"/>
        </w:rPr>
        <w:tab/>
        <w:t xml:space="preserve">The study adopted the descriptive survey research design. The population for the study comprised all the 2,009 lecturers in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Faculties</w:t>
      </w:r>
      <w:r>
        <w:rPr>
          <w:rFonts w:ascii="Times New Roman" w:hAnsi="Times New Roman"/>
          <w:sz w:val="24"/>
          <w:szCs w:val="24"/>
        </w:rPr>
        <w:t xml:space="preserve"> and Colleges of Education in Southwestern Nigeria. Ekiti State, Lagos State, Osun State and Oyo State were selected. This makes a total of eight tertiary institutions namely; Federal University, </w:t>
      </w:r>
      <w:proofErr w:type="spellStart"/>
      <w:r>
        <w:rPr>
          <w:rFonts w:ascii="Times New Roman" w:hAnsi="Times New Roman"/>
          <w:sz w:val="24"/>
          <w:szCs w:val="24"/>
        </w:rPr>
        <w:t>Oye</w:t>
      </w:r>
      <w:proofErr w:type="spellEnd"/>
      <w:r>
        <w:rPr>
          <w:rFonts w:ascii="Times New Roman" w:hAnsi="Times New Roman"/>
          <w:sz w:val="24"/>
          <w:szCs w:val="24"/>
        </w:rPr>
        <w:t xml:space="preserve"> (609 lecturers), </w:t>
      </w:r>
      <w:proofErr w:type="spellStart"/>
      <w:r>
        <w:rPr>
          <w:rFonts w:ascii="Times New Roman" w:hAnsi="Times New Roman"/>
          <w:sz w:val="24"/>
          <w:szCs w:val="24"/>
        </w:rPr>
        <w:t>Ikere</w:t>
      </w:r>
      <w:proofErr w:type="spellEnd"/>
      <w:r>
        <w:rPr>
          <w:rFonts w:ascii="Times New Roman" w:hAnsi="Times New Roman"/>
          <w:sz w:val="24"/>
          <w:szCs w:val="24"/>
        </w:rPr>
        <w:t xml:space="preserve"> College of Education (301 lecturers), University of Lagos (147 lecturers), Adeniran </w:t>
      </w:r>
      <w:proofErr w:type="spellStart"/>
      <w:r>
        <w:rPr>
          <w:rFonts w:ascii="Times New Roman" w:hAnsi="Times New Roman"/>
          <w:sz w:val="24"/>
          <w:szCs w:val="24"/>
        </w:rPr>
        <w:t>Ogunsanya</w:t>
      </w:r>
      <w:proofErr w:type="spellEnd"/>
      <w:r>
        <w:rPr>
          <w:rFonts w:ascii="Times New Roman" w:hAnsi="Times New Roman"/>
          <w:sz w:val="24"/>
          <w:szCs w:val="24"/>
        </w:rPr>
        <w:t xml:space="preserve"> College of Education (186 lecturers), Obafemi Awolowo University (135 lecturers), Osun State College of Education, Ila (118 lecturers), University of Ibadan (141 lecturers), and Emmanuel </w:t>
      </w:r>
      <w:proofErr w:type="spellStart"/>
      <w:r>
        <w:rPr>
          <w:rFonts w:ascii="Times New Roman" w:hAnsi="Times New Roman"/>
          <w:sz w:val="24"/>
          <w:szCs w:val="24"/>
        </w:rPr>
        <w:t>Alayande</w:t>
      </w:r>
      <w:proofErr w:type="spellEnd"/>
      <w:r>
        <w:rPr>
          <w:rFonts w:ascii="Times New Roman" w:hAnsi="Times New Roman"/>
          <w:sz w:val="24"/>
          <w:szCs w:val="24"/>
        </w:rPr>
        <w:t xml:space="preserve"> College of Education Oyo (372 lecturers). A sample size of 1,005 lecturers </w:t>
      </w:r>
      <w:r w:rsidR="00BB5EAC" w:rsidRPr="00837D90">
        <w:rPr>
          <w:rFonts w:ascii="Times New Roman" w:hAnsi="Times New Roman"/>
          <w:sz w:val="24"/>
          <w:szCs w:val="24"/>
          <w:highlight w:val="yellow"/>
        </w:rPr>
        <w:t xml:space="preserve">was </w:t>
      </w:r>
      <w:r w:rsidRPr="00837D90">
        <w:rPr>
          <w:rFonts w:ascii="Times New Roman" w:hAnsi="Times New Roman"/>
          <w:sz w:val="24"/>
          <w:szCs w:val="24"/>
          <w:highlight w:val="yellow"/>
        </w:rPr>
        <w:t>selected</w:t>
      </w:r>
      <w:r>
        <w:rPr>
          <w:rFonts w:ascii="Times New Roman" w:hAnsi="Times New Roman"/>
          <w:sz w:val="24"/>
          <w:szCs w:val="24"/>
        </w:rPr>
        <w:t xml:space="preserve"> </w:t>
      </w:r>
      <w:r w:rsidRPr="00837D90">
        <w:rPr>
          <w:rFonts w:ascii="Times New Roman" w:hAnsi="Times New Roman"/>
          <w:sz w:val="24"/>
          <w:szCs w:val="24"/>
          <w:highlight w:val="yellow"/>
        </w:rPr>
        <w:t xml:space="preserve">using </w:t>
      </w:r>
      <w:r w:rsidR="00BB5EAC" w:rsidRPr="00837D90">
        <w:rPr>
          <w:rFonts w:ascii="Times New Roman" w:hAnsi="Times New Roman"/>
          <w:sz w:val="24"/>
          <w:szCs w:val="24"/>
          <w:highlight w:val="yellow"/>
        </w:rPr>
        <w:t xml:space="preserve">a </w:t>
      </w:r>
      <w:r w:rsidRPr="00837D90">
        <w:rPr>
          <w:rFonts w:ascii="Times New Roman" w:hAnsi="Times New Roman"/>
          <w:sz w:val="24"/>
          <w:szCs w:val="24"/>
          <w:highlight w:val="yellow"/>
        </w:rPr>
        <w:t>multistage</w:t>
      </w:r>
      <w:r>
        <w:rPr>
          <w:rFonts w:ascii="Times New Roman" w:hAnsi="Times New Roman"/>
          <w:sz w:val="24"/>
          <w:szCs w:val="24"/>
        </w:rPr>
        <w:t xml:space="preserve"> sampling procedure. Four states with Federal University and College of Education were purposively selected.  Fifty </w:t>
      </w:r>
      <w:r w:rsidR="00BB5EAC" w:rsidRPr="00837D90">
        <w:rPr>
          <w:rFonts w:ascii="Times New Roman" w:hAnsi="Times New Roman"/>
          <w:sz w:val="24"/>
          <w:szCs w:val="24"/>
          <w:highlight w:val="yellow"/>
        </w:rPr>
        <w:t xml:space="preserve">per cent </w:t>
      </w:r>
      <w:r w:rsidRPr="00837D90">
        <w:rPr>
          <w:rFonts w:ascii="Times New Roman" w:hAnsi="Times New Roman"/>
          <w:sz w:val="24"/>
          <w:szCs w:val="24"/>
          <w:highlight w:val="yellow"/>
        </w:rPr>
        <w:t>of the</w:t>
      </w:r>
      <w:r>
        <w:rPr>
          <w:rFonts w:ascii="Times New Roman" w:hAnsi="Times New Roman"/>
          <w:sz w:val="24"/>
          <w:szCs w:val="24"/>
        </w:rPr>
        <w:t xml:space="preserve"> lecturers in each institution selected constituted the sample. Hence, from Ekiti State (Federal University </w:t>
      </w:r>
      <w:proofErr w:type="spellStart"/>
      <w:r>
        <w:rPr>
          <w:rFonts w:ascii="Times New Roman" w:hAnsi="Times New Roman"/>
          <w:sz w:val="24"/>
          <w:szCs w:val="24"/>
        </w:rPr>
        <w:t>Oye</w:t>
      </w:r>
      <w:proofErr w:type="spellEnd"/>
      <w:r>
        <w:rPr>
          <w:rFonts w:ascii="Times New Roman" w:hAnsi="Times New Roman"/>
          <w:sz w:val="24"/>
          <w:szCs w:val="24"/>
        </w:rPr>
        <w:t xml:space="preserve"> = 305 lecturers, </w:t>
      </w:r>
      <w:proofErr w:type="spellStart"/>
      <w:r>
        <w:rPr>
          <w:rFonts w:ascii="Times New Roman" w:hAnsi="Times New Roman"/>
          <w:sz w:val="24"/>
          <w:szCs w:val="24"/>
        </w:rPr>
        <w:t>Ikere</w:t>
      </w:r>
      <w:proofErr w:type="spellEnd"/>
      <w:r>
        <w:rPr>
          <w:rFonts w:ascii="Times New Roman" w:hAnsi="Times New Roman"/>
          <w:sz w:val="24"/>
          <w:szCs w:val="24"/>
        </w:rPr>
        <w:t xml:space="preserve"> College of Education = 150 lecturers), Lagos State (University of Lagos = 74 lecturers), Adeniran </w:t>
      </w:r>
      <w:proofErr w:type="spellStart"/>
      <w:r>
        <w:rPr>
          <w:rFonts w:ascii="Times New Roman" w:hAnsi="Times New Roman"/>
          <w:sz w:val="24"/>
          <w:szCs w:val="24"/>
        </w:rPr>
        <w:t>Ogunsanya</w:t>
      </w:r>
      <w:proofErr w:type="spellEnd"/>
      <w:r>
        <w:rPr>
          <w:rFonts w:ascii="Times New Roman" w:hAnsi="Times New Roman"/>
          <w:sz w:val="24"/>
          <w:szCs w:val="24"/>
        </w:rPr>
        <w:t xml:space="preserve"> College of education = 93 lecturers), Osun State (Obafemi Aw</w:t>
      </w:r>
      <w:bookmarkStart w:id="0" w:name="_GoBack"/>
      <w:r>
        <w:rPr>
          <w:rFonts w:ascii="Times New Roman" w:hAnsi="Times New Roman"/>
          <w:sz w:val="24"/>
          <w:szCs w:val="24"/>
        </w:rPr>
        <w:t>olowo</w:t>
      </w:r>
      <w:bookmarkEnd w:id="0"/>
      <w:r>
        <w:rPr>
          <w:rFonts w:ascii="Times New Roman" w:hAnsi="Times New Roman"/>
          <w:sz w:val="24"/>
          <w:szCs w:val="24"/>
        </w:rPr>
        <w:t xml:space="preserve"> University = 68 lecturers, Osun State College of Education Ila = 59 lecturers) and Oyo State (University of Ibadan = 70 lecturers, Emmanuel </w:t>
      </w:r>
      <w:proofErr w:type="spellStart"/>
      <w:r>
        <w:rPr>
          <w:rFonts w:ascii="Times New Roman" w:hAnsi="Times New Roman"/>
          <w:sz w:val="24"/>
          <w:szCs w:val="24"/>
        </w:rPr>
        <w:t>Alayande</w:t>
      </w:r>
      <w:proofErr w:type="spellEnd"/>
      <w:r>
        <w:rPr>
          <w:rFonts w:ascii="Times New Roman" w:hAnsi="Times New Roman"/>
          <w:sz w:val="24"/>
          <w:szCs w:val="24"/>
        </w:rPr>
        <w:t xml:space="preserve"> College of Education Oyo = 186 lecturers) making a total of 1,005 lecturers. The lecturers from the eight institutions were selected using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snowballing</w:t>
      </w:r>
      <w:r>
        <w:rPr>
          <w:rFonts w:ascii="Times New Roman" w:hAnsi="Times New Roman"/>
          <w:sz w:val="24"/>
          <w:szCs w:val="24"/>
        </w:rPr>
        <w:t xml:space="preserve"> technique. Two research instruments were used for data collection</w:t>
      </w:r>
      <w:r w:rsidR="00BB5EAC">
        <w:rPr>
          <w:rFonts w:ascii="Times New Roman" w:hAnsi="Times New Roman"/>
          <w:sz w:val="24"/>
          <w:szCs w:val="24"/>
        </w:rPr>
        <w:t>,</w:t>
      </w:r>
      <w:r>
        <w:rPr>
          <w:rFonts w:ascii="Times New Roman" w:hAnsi="Times New Roman"/>
          <w:sz w:val="24"/>
          <w:szCs w:val="24"/>
        </w:rPr>
        <w:t xml:space="preserve"> namely: National Teacher Education Policy (NTEP) Awareness and Implementation Questionnaire for Faculties of Education </w:t>
      </w:r>
      <w:r>
        <w:rPr>
          <w:rFonts w:ascii="Times New Roman" w:hAnsi="Times New Roman"/>
          <w:sz w:val="24"/>
          <w:szCs w:val="24"/>
        </w:rPr>
        <w:lastRenderedPageBreak/>
        <w:t>lecturers (NTEPAIQFEL) and National Teacher Education Policy (NTEP) Awareness and Implementation Questionnaire for Colleges of Education lecturers (NTEPAIQCEL). Data collected were analysed using appropriate descriptive and inferential statistics of frequency count, percentage and ranking.</w:t>
      </w:r>
    </w:p>
    <w:p w14:paraId="206C2676"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 xml:space="preserve">Results </w:t>
      </w:r>
    </w:p>
    <w:p w14:paraId="700C4F5C" w14:textId="420C3148" w:rsidR="002375D6" w:rsidRDefault="008D0901">
      <w:pPr>
        <w:spacing w:after="0" w:line="480" w:lineRule="auto"/>
        <w:jc w:val="both"/>
        <w:rPr>
          <w:rFonts w:ascii="Times New Roman" w:hAnsi="Times New Roman"/>
          <w:sz w:val="24"/>
          <w:szCs w:val="24"/>
        </w:rPr>
      </w:pPr>
      <w:r>
        <w:rPr>
          <w:rFonts w:ascii="Times New Roman" w:hAnsi="Times New Roman"/>
          <w:b/>
          <w:sz w:val="24"/>
          <w:szCs w:val="24"/>
        </w:rPr>
        <w:t xml:space="preserve">Research Question One:  </w:t>
      </w:r>
      <w:r>
        <w:rPr>
          <w:rFonts w:ascii="Times New Roman" w:hAnsi="Times New Roman"/>
          <w:sz w:val="24"/>
          <w:szCs w:val="24"/>
        </w:rPr>
        <w:t xml:space="preserve">What is the level of lecturers of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Faculties</w:t>
      </w:r>
      <w:r>
        <w:rPr>
          <w:rFonts w:ascii="Times New Roman" w:hAnsi="Times New Roman"/>
          <w:sz w:val="24"/>
          <w:szCs w:val="24"/>
        </w:rPr>
        <w:t xml:space="preserve"> and Colleges of Education awareness</w:t>
      </w:r>
      <w:r w:rsidR="00BB5EAC">
        <w:rPr>
          <w:rFonts w:ascii="Times New Roman" w:hAnsi="Times New Roman"/>
          <w:sz w:val="24"/>
          <w:szCs w:val="24"/>
        </w:rPr>
        <w:t xml:space="preserve"> </w:t>
      </w:r>
      <w:r w:rsidR="00BB5EAC" w:rsidRPr="00837D90">
        <w:rPr>
          <w:rFonts w:ascii="Times New Roman" w:hAnsi="Times New Roman"/>
          <w:sz w:val="24"/>
          <w:szCs w:val="24"/>
          <w:highlight w:val="yellow"/>
        </w:rPr>
        <w:t>level</w:t>
      </w:r>
      <w:r w:rsidRPr="00837D90">
        <w:rPr>
          <w:rFonts w:ascii="Times New Roman" w:hAnsi="Times New Roman"/>
          <w:sz w:val="24"/>
          <w:szCs w:val="24"/>
          <w:highlight w:val="yellow"/>
        </w:rPr>
        <w:t xml:space="preserve"> of</w:t>
      </w:r>
      <w:r>
        <w:rPr>
          <w:rFonts w:ascii="Times New Roman" w:hAnsi="Times New Roman"/>
          <w:sz w:val="24"/>
          <w:szCs w:val="24"/>
        </w:rPr>
        <w:t xml:space="preserve"> the component of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National</w:t>
      </w:r>
      <w:r>
        <w:rPr>
          <w:rFonts w:ascii="Times New Roman" w:hAnsi="Times New Roman"/>
          <w:sz w:val="24"/>
          <w:szCs w:val="24"/>
        </w:rPr>
        <w:t xml:space="preserve"> Teacher Education Policy (NTEP) in Southwestern Nigeria?</w:t>
      </w:r>
    </w:p>
    <w:p w14:paraId="234D7C1A" w14:textId="77777777" w:rsidR="002375D6" w:rsidRDefault="008D090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results are presented in Table 1.</w:t>
      </w:r>
    </w:p>
    <w:p w14:paraId="6E9EB8B3" w14:textId="77777777" w:rsidR="002375D6" w:rsidRDefault="002375D6">
      <w:pPr>
        <w:spacing w:after="0" w:line="480" w:lineRule="auto"/>
        <w:jc w:val="both"/>
        <w:rPr>
          <w:rFonts w:ascii="Times New Roman" w:hAnsi="Times New Roman"/>
          <w:b/>
          <w:sz w:val="24"/>
          <w:szCs w:val="24"/>
        </w:rPr>
      </w:pPr>
      <w:bookmarkStart w:id="1" w:name="_Hlk133396425"/>
    </w:p>
    <w:p w14:paraId="5A20A143" w14:textId="77777777" w:rsidR="002375D6" w:rsidRDefault="002375D6">
      <w:pPr>
        <w:spacing w:after="0" w:line="480" w:lineRule="auto"/>
        <w:jc w:val="both"/>
        <w:rPr>
          <w:rFonts w:ascii="Times New Roman" w:hAnsi="Times New Roman"/>
          <w:b/>
          <w:sz w:val="24"/>
          <w:szCs w:val="24"/>
        </w:rPr>
      </w:pPr>
    </w:p>
    <w:p w14:paraId="30D77975" w14:textId="77777777" w:rsidR="002375D6" w:rsidRDefault="002375D6">
      <w:pPr>
        <w:spacing w:after="0" w:line="480" w:lineRule="auto"/>
        <w:jc w:val="both"/>
        <w:rPr>
          <w:rFonts w:ascii="Times New Roman" w:hAnsi="Times New Roman"/>
          <w:b/>
          <w:sz w:val="24"/>
          <w:szCs w:val="24"/>
        </w:rPr>
      </w:pPr>
    </w:p>
    <w:p w14:paraId="555B497B"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Table 1: Level of Lecturers’ Awareness of National Teacher Education Policy</w:t>
      </w:r>
    </w:p>
    <w:tbl>
      <w:tblPr>
        <w:tblW w:w="0" w:type="auto"/>
        <w:tblBorders>
          <w:top w:val="single" w:sz="4" w:space="0" w:color="auto"/>
          <w:bottom w:val="single" w:sz="4" w:space="0" w:color="auto"/>
        </w:tblBorders>
        <w:tblLook w:val="04A0" w:firstRow="1" w:lastRow="0" w:firstColumn="1" w:lastColumn="0" w:noHBand="0" w:noVBand="1"/>
      </w:tblPr>
      <w:tblGrid>
        <w:gridCol w:w="2530"/>
        <w:gridCol w:w="1376"/>
        <w:gridCol w:w="1759"/>
        <w:gridCol w:w="2268"/>
      </w:tblGrid>
      <w:tr w:rsidR="002375D6" w14:paraId="5AFCF7A7" w14:textId="77777777">
        <w:tc>
          <w:tcPr>
            <w:tcW w:w="2530" w:type="dxa"/>
            <w:tcBorders>
              <w:top w:val="single" w:sz="4" w:space="0" w:color="auto"/>
              <w:bottom w:val="single" w:sz="4" w:space="0" w:color="auto"/>
            </w:tcBorders>
          </w:tcPr>
          <w:bookmarkEnd w:id="1"/>
          <w:p w14:paraId="2A1ED491"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Institutions</w:t>
            </w:r>
          </w:p>
        </w:tc>
        <w:tc>
          <w:tcPr>
            <w:tcW w:w="1376" w:type="dxa"/>
            <w:tcBorders>
              <w:top w:val="single" w:sz="4" w:space="0" w:color="auto"/>
              <w:bottom w:val="single" w:sz="4" w:space="0" w:color="auto"/>
            </w:tcBorders>
          </w:tcPr>
          <w:p w14:paraId="7BCD9331"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Level</w:t>
            </w:r>
          </w:p>
        </w:tc>
        <w:tc>
          <w:tcPr>
            <w:tcW w:w="1759" w:type="dxa"/>
            <w:tcBorders>
              <w:top w:val="single" w:sz="4" w:space="0" w:color="auto"/>
              <w:bottom w:val="single" w:sz="4" w:space="0" w:color="auto"/>
            </w:tcBorders>
          </w:tcPr>
          <w:p w14:paraId="1894BACF"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N</w:t>
            </w:r>
          </w:p>
        </w:tc>
        <w:tc>
          <w:tcPr>
            <w:tcW w:w="2268" w:type="dxa"/>
            <w:tcBorders>
              <w:top w:val="single" w:sz="4" w:space="0" w:color="auto"/>
              <w:bottom w:val="single" w:sz="4" w:space="0" w:color="auto"/>
            </w:tcBorders>
          </w:tcPr>
          <w:p w14:paraId="1CCF625B"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Percentage (%)</w:t>
            </w:r>
          </w:p>
        </w:tc>
      </w:tr>
      <w:tr w:rsidR="002375D6" w14:paraId="7E3C13F2" w14:textId="77777777">
        <w:tc>
          <w:tcPr>
            <w:tcW w:w="2530" w:type="dxa"/>
            <w:vMerge w:val="restart"/>
            <w:tcBorders>
              <w:top w:val="single" w:sz="4" w:space="0" w:color="auto"/>
            </w:tcBorders>
          </w:tcPr>
          <w:p w14:paraId="35B59D28"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Universities</w:t>
            </w:r>
          </w:p>
        </w:tc>
        <w:tc>
          <w:tcPr>
            <w:tcW w:w="1376" w:type="dxa"/>
            <w:tcBorders>
              <w:top w:val="single" w:sz="4" w:space="0" w:color="auto"/>
            </w:tcBorders>
          </w:tcPr>
          <w:p w14:paraId="135AD90E"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Low</w:t>
            </w:r>
          </w:p>
        </w:tc>
        <w:tc>
          <w:tcPr>
            <w:tcW w:w="1759" w:type="dxa"/>
            <w:tcBorders>
              <w:top w:val="single" w:sz="4" w:space="0" w:color="auto"/>
            </w:tcBorders>
          </w:tcPr>
          <w:p w14:paraId="1F45B98B"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93</w:t>
            </w:r>
          </w:p>
        </w:tc>
        <w:tc>
          <w:tcPr>
            <w:tcW w:w="2268" w:type="dxa"/>
            <w:tcBorders>
              <w:top w:val="single" w:sz="4" w:space="0" w:color="auto"/>
            </w:tcBorders>
          </w:tcPr>
          <w:p w14:paraId="50EBB999"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18.5</w:t>
            </w:r>
          </w:p>
        </w:tc>
      </w:tr>
      <w:tr w:rsidR="002375D6" w14:paraId="131FC55B" w14:textId="77777777">
        <w:tc>
          <w:tcPr>
            <w:tcW w:w="2530" w:type="dxa"/>
            <w:vMerge/>
          </w:tcPr>
          <w:p w14:paraId="61D6244C" w14:textId="77777777" w:rsidR="002375D6" w:rsidRDefault="002375D6">
            <w:pPr>
              <w:spacing w:after="0" w:line="480" w:lineRule="auto"/>
              <w:jc w:val="both"/>
              <w:rPr>
                <w:rFonts w:ascii="Times New Roman" w:hAnsi="Times New Roman"/>
                <w:b/>
                <w:sz w:val="24"/>
                <w:szCs w:val="24"/>
              </w:rPr>
            </w:pPr>
          </w:p>
        </w:tc>
        <w:tc>
          <w:tcPr>
            <w:tcW w:w="1376" w:type="dxa"/>
          </w:tcPr>
          <w:p w14:paraId="6F3B5B56"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Moderate</w:t>
            </w:r>
          </w:p>
        </w:tc>
        <w:tc>
          <w:tcPr>
            <w:tcW w:w="1759" w:type="dxa"/>
          </w:tcPr>
          <w:p w14:paraId="532BE961"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304</w:t>
            </w:r>
          </w:p>
        </w:tc>
        <w:tc>
          <w:tcPr>
            <w:tcW w:w="2268" w:type="dxa"/>
          </w:tcPr>
          <w:p w14:paraId="56A500E2"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60.4</w:t>
            </w:r>
          </w:p>
        </w:tc>
      </w:tr>
      <w:tr w:rsidR="002375D6" w14:paraId="331D035F" w14:textId="77777777">
        <w:tc>
          <w:tcPr>
            <w:tcW w:w="2530" w:type="dxa"/>
            <w:vMerge/>
          </w:tcPr>
          <w:p w14:paraId="44E2F313" w14:textId="77777777" w:rsidR="002375D6" w:rsidRDefault="002375D6">
            <w:pPr>
              <w:spacing w:after="0" w:line="480" w:lineRule="auto"/>
              <w:jc w:val="both"/>
              <w:rPr>
                <w:rFonts w:ascii="Times New Roman" w:hAnsi="Times New Roman"/>
                <w:b/>
                <w:sz w:val="24"/>
                <w:szCs w:val="24"/>
              </w:rPr>
            </w:pPr>
          </w:p>
        </w:tc>
        <w:tc>
          <w:tcPr>
            <w:tcW w:w="1376" w:type="dxa"/>
          </w:tcPr>
          <w:p w14:paraId="5193F086"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High</w:t>
            </w:r>
          </w:p>
        </w:tc>
        <w:tc>
          <w:tcPr>
            <w:tcW w:w="1759" w:type="dxa"/>
          </w:tcPr>
          <w:p w14:paraId="337F2F9A"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106</w:t>
            </w:r>
          </w:p>
        </w:tc>
        <w:tc>
          <w:tcPr>
            <w:tcW w:w="2268" w:type="dxa"/>
          </w:tcPr>
          <w:p w14:paraId="31520881"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21.1</w:t>
            </w:r>
          </w:p>
        </w:tc>
      </w:tr>
      <w:tr w:rsidR="002375D6" w14:paraId="258525AD" w14:textId="77777777">
        <w:tc>
          <w:tcPr>
            <w:tcW w:w="2530" w:type="dxa"/>
            <w:vMerge w:val="restart"/>
          </w:tcPr>
          <w:p w14:paraId="7B172A6D"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Colleges of Education</w:t>
            </w:r>
          </w:p>
        </w:tc>
        <w:tc>
          <w:tcPr>
            <w:tcW w:w="1376" w:type="dxa"/>
          </w:tcPr>
          <w:p w14:paraId="42C38C69"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Low</w:t>
            </w:r>
          </w:p>
        </w:tc>
        <w:tc>
          <w:tcPr>
            <w:tcW w:w="1759" w:type="dxa"/>
          </w:tcPr>
          <w:p w14:paraId="62EE78E0"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96</w:t>
            </w:r>
          </w:p>
        </w:tc>
        <w:tc>
          <w:tcPr>
            <w:tcW w:w="2268" w:type="dxa"/>
          </w:tcPr>
          <w:p w14:paraId="71A01651"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20.2</w:t>
            </w:r>
          </w:p>
        </w:tc>
      </w:tr>
      <w:tr w:rsidR="002375D6" w14:paraId="69019F9F" w14:textId="77777777">
        <w:tc>
          <w:tcPr>
            <w:tcW w:w="2530" w:type="dxa"/>
            <w:vMerge/>
          </w:tcPr>
          <w:p w14:paraId="00032841" w14:textId="77777777" w:rsidR="002375D6" w:rsidRDefault="002375D6">
            <w:pPr>
              <w:spacing w:after="0" w:line="480" w:lineRule="auto"/>
              <w:jc w:val="both"/>
              <w:rPr>
                <w:rFonts w:ascii="Times New Roman" w:hAnsi="Times New Roman"/>
                <w:b/>
                <w:sz w:val="24"/>
                <w:szCs w:val="24"/>
              </w:rPr>
            </w:pPr>
          </w:p>
        </w:tc>
        <w:tc>
          <w:tcPr>
            <w:tcW w:w="1376" w:type="dxa"/>
          </w:tcPr>
          <w:p w14:paraId="142C0741"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Moderate</w:t>
            </w:r>
          </w:p>
        </w:tc>
        <w:tc>
          <w:tcPr>
            <w:tcW w:w="1759" w:type="dxa"/>
          </w:tcPr>
          <w:p w14:paraId="781F0095"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314</w:t>
            </w:r>
          </w:p>
        </w:tc>
        <w:tc>
          <w:tcPr>
            <w:tcW w:w="2268" w:type="dxa"/>
          </w:tcPr>
          <w:p w14:paraId="58665617"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66.0</w:t>
            </w:r>
          </w:p>
        </w:tc>
      </w:tr>
      <w:tr w:rsidR="002375D6" w14:paraId="25C6C66E" w14:textId="77777777">
        <w:tc>
          <w:tcPr>
            <w:tcW w:w="2530" w:type="dxa"/>
            <w:vMerge/>
          </w:tcPr>
          <w:p w14:paraId="7E558CD8" w14:textId="77777777" w:rsidR="002375D6" w:rsidRDefault="002375D6">
            <w:pPr>
              <w:spacing w:after="0" w:line="480" w:lineRule="auto"/>
              <w:jc w:val="both"/>
              <w:rPr>
                <w:rFonts w:ascii="Times New Roman" w:hAnsi="Times New Roman"/>
                <w:b/>
                <w:sz w:val="24"/>
                <w:szCs w:val="24"/>
              </w:rPr>
            </w:pPr>
          </w:p>
        </w:tc>
        <w:tc>
          <w:tcPr>
            <w:tcW w:w="1376" w:type="dxa"/>
          </w:tcPr>
          <w:p w14:paraId="330944DD"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High</w:t>
            </w:r>
          </w:p>
        </w:tc>
        <w:tc>
          <w:tcPr>
            <w:tcW w:w="1759" w:type="dxa"/>
          </w:tcPr>
          <w:p w14:paraId="05A398A6"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66</w:t>
            </w:r>
          </w:p>
        </w:tc>
        <w:tc>
          <w:tcPr>
            <w:tcW w:w="2268" w:type="dxa"/>
          </w:tcPr>
          <w:p w14:paraId="7023BAEB"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13.9</w:t>
            </w:r>
          </w:p>
        </w:tc>
      </w:tr>
    </w:tbl>
    <w:p w14:paraId="55B72394" w14:textId="77777777" w:rsidR="002375D6" w:rsidRDefault="008D0901">
      <w:pPr>
        <w:spacing w:after="0" w:line="480" w:lineRule="auto"/>
        <w:jc w:val="both"/>
        <w:rPr>
          <w:rFonts w:ascii="Times New Roman" w:hAnsi="Times New Roman"/>
          <w:sz w:val="24"/>
          <w:szCs w:val="24"/>
        </w:rPr>
      </w:pPr>
      <w:r>
        <w:rPr>
          <w:rFonts w:ascii="Times New Roman" w:hAnsi="Times New Roman"/>
          <w:sz w:val="24"/>
          <w:szCs w:val="24"/>
        </w:rPr>
        <w:t>Source: Field Survey (2021)</w:t>
      </w:r>
    </w:p>
    <w:p w14:paraId="6DDCD8C1" w14:textId="5F86FAA3" w:rsidR="002375D6" w:rsidRDefault="008D0901">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Table 1 </w:t>
      </w:r>
      <w:r w:rsidR="00BB5EAC" w:rsidRPr="00837D90">
        <w:rPr>
          <w:rFonts w:ascii="Times New Roman" w:hAnsi="Times New Roman"/>
          <w:sz w:val="24"/>
          <w:szCs w:val="24"/>
          <w:highlight w:val="yellow"/>
        </w:rPr>
        <w:t xml:space="preserve">shows the </w:t>
      </w:r>
      <w:r w:rsidRPr="00837D90">
        <w:rPr>
          <w:rFonts w:ascii="Times New Roman" w:hAnsi="Times New Roman"/>
          <w:sz w:val="24"/>
          <w:szCs w:val="24"/>
          <w:highlight w:val="yellow"/>
        </w:rPr>
        <w:t>frequency</w:t>
      </w:r>
      <w:r>
        <w:rPr>
          <w:rFonts w:ascii="Times New Roman" w:hAnsi="Times New Roman"/>
          <w:sz w:val="24"/>
          <w:szCs w:val="24"/>
        </w:rPr>
        <w:t xml:space="preserve"> count and percentage of levels of lecturers’ awareness </w:t>
      </w:r>
      <w:r w:rsidRPr="00837D90">
        <w:rPr>
          <w:rFonts w:ascii="Times New Roman" w:hAnsi="Times New Roman"/>
          <w:sz w:val="24"/>
          <w:szCs w:val="24"/>
          <w:highlight w:val="yellow"/>
        </w:rPr>
        <w:t xml:space="preserve">of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National</w:t>
      </w:r>
      <w:r>
        <w:rPr>
          <w:rFonts w:ascii="Times New Roman" w:hAnsi="Times New Roman"/>
          <w:sz w:val="24"/>
          <w:szCs w:val="24"/>
        </w:rPr>
        <w:t xml:space="preserve"> Education Policy (NTEP) in both Colleges of Education and Universities.  For the University lecturers, the results revealed that 93 lecturers (18.5%) claimed to </w:t>
      </w:r>
      <w:r w:rsidRPr="00837D90">
        <w:rPr>
          <w:rFonts w:ascii="Times New Roman" w:hAnsi="Times New Roman"/>
          <w:sz w:val="24"/>
          <w:szCs w:val="24"/>
          <w:highlight w:val="yellow"/>
        </w:rPr>
        <w:t xml:space="preserve">have </w:t>
      </w:r>
      <w:r w:rsidR="00BB5EAC" w:rsidRPr="00837D90">
        <w:rPr>
          <w:rFonts w:ascii="Times New Roman" w:hAnsi="Times New Roman"/>
          <w:sz w:val="24"/>
          <w:szCs w:val="24"/>
          <w:highlight w:val="yellow"/>
        </w:rPr>
        <w:lastRenderedPageBreak/>
        <w:t xml:space="preserve">a </w:t>
      </w:r>
      <w:r w:rsidRPr="00837D90">
        <w:rPr>
          <w:rFonts w:ascii="Times New Roman" w:hAnsi="Times New Roman"/>
          <w:sz w:val="24"/>
          <w:szCs w:val="24"/>
          <w:highlight w:val="yellow"/>
        </w:rPr>
        <w:t>low</w:t>
      </w:r>
      <w:r>
        <w:rPr>
          <w:rFonts w:ascii="Times New Roman" w:hAnsi="Times New Roman"/>
          <w:sz w:val="24"/>
          <w:szCs w:val="24"/>
        </w:rPr>
        <w:t xml:space="preserve"> level of awareness, 304 lecturers (60.4%) had </w:t>
      </w:r>
      <w:r w:rsidR="00BB5EAC">
        <w:rPr>
          <w:rFonts w:ascii="Times New Roman" w:hAnsi="Times New Roman"/>
          <w:sz w:val="24"/>
          <w:szCs w:val="24"/>
        </w:rPr>
        <w:t xml:space="preserve">a </w:t>
      </w:r>
      <w:r>
        <w:rPr>
          <w:rFonts w:ascii="Times New Roman" w:hAnsi="Times New Roman"/>
          <w:sz w:val="24"/>
          <w:szCs w:val="24"/>
        </w:rPr>
        <w:t xml:space="preserve">moderate level of awareness, while 106 lecturers (21.1%) </w:t>
      </w:r>
      <w:r w:rsidRPr="00837D90">
        <w:rPr>
          <w:rFonts w:ascii="Times New Roman" w:hAnsi="Times New Roman"/>
          <w:sz w:val="24"/>
          <w:szCs w:val="24"/>
          <w:highlight w:val="yellow"/>
        </w:rPr>
        <w:t xml:space="preserve">had </w:t>
      </w:r>
      <w:r w:rsidR="00BB5EAC" w:rsidRPr="00837D90">
        <w:rPr>
          <w:rFonts w:ascii="Times New Roman" w:hAnsi="Times New Roman"/>
          <w:sz w:val="24"/>
          <w:szCs w:val="24"/>
          <w:highlight w:val="yellow"/>
        </w:rPr>
        <w:t xml:space="preserve">a </w:t>
      </w:r>
      <w:r w:rsidRPr="00837D90">
        <w:rPr>
          <w:rFonts w:ascii="Times New Roman" w:hAnsi="Times New Roman"/>
          <w:sz w:val="24"/>
          <w:szCs w:val="24"/>
          <w:highlight w:val="yellow"/>
        </w:rPr>
        <w:t>high</w:t>
      </w:r>
      <w:r>
        <w:rPr>
          <w:rFonts w:ascii="Times New Roman" w:hAnsi="Times New Roman"/>
          <w:sz w:val="24"/>
          <w:szCs w:val="24"/>
        </w:rPr>
        <w:t xml:space="preserve"> level of awareness of the NTEP.</w:t>
      </w:r>
    </w:p>
    <w:p w14:paraId="4C7444D8" w14:textId="10803A29" w:rsidR="002375D6" w:rsidRDefault="008D0901">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For the Colleges of Education, the results showed that 96 lecturers (20.2%) claimed to have </w:t>
      </w:r>
      <w:r w:rsidR="00BB5EAC">
        <w:rPr>
          <w:rFonts w:ascii="Times New Roman" w:hAnsi="Times New Roman"/>
          <w:sz w:val="24"/>
          <w:szCs w:val="24"/>
        </w:rPr>
        <w:t xml:space="preserve">a </w:t>
      </w:r>
      <w:r>
        <w:rPr>
          <w:rFonts w:ascii="Times New Roman" w:hAnsi="Times New Roman"/>
          <w:sz w:val="24"/>
          <w:szCs w:val="24"/>
        </w:rPr>
        <w:t xml:space="preserve">low level of awareness, 314 lecturers (66.0%) had </w:t>
      </w:r>
      <w:r w:rsidR="00BB5EAC">
        <w:rPr>
          <w:rFonts w:ascii="Times New Roman" w:hAnsi="Times New Roman"/>
          <w:sz w:val="24"/>
          <w:szCs w:val="24"/>
        </w:rPr>
        <w:t xml:space="preserve">a </w:t>
      </w:r>
      <w:r>
        <w:rPr>
          <w:rFonts w:ascii="Times New Roman" w:hAnsi="Times New Roman"/>
          <w:sz w:val="24"/>
          <w:szCs w:val="24"/>
        </w:rPr>
        <w:t>moderate level of awareness, while 66 lecturers (13.9%) h</w:t>
      </w:r>
      <w:r w:rsidRPr="00837D90">
        <w:rPr>
          <w:rFonts w:ascii="Times New Roman" w:hAnsi="Times New Roman"/>
          <w:sz w:val="24"/>
          <w:szCs w:val="24"/>
          <w:highlight w:val="yellow"/>
        </w:rPr>
        <w:t>ad</w:t>
      </w:r>
      <w:r>
        <w:rPr>
          <w:rFonts w:ascii="Times New Roman" w:hAnsi="Times New Roman"/>
          <w:sz w:val="24"/>
          <w:szCs w:val="24"/>
        </w:rPr>
        <w:t xml:space="preserve"> </w:t>
      </w:r>
      <w:r w:rsidR="00BB5EAC" w:rsidRPr="00837D90">
        <w:rPr>
          <w:rFonts w:ascii="Times New Roman" w:hAnsi="Times New Roman"/>
          <w:sz w:val="24"/>
          <w:szCs w:val="24"/>
          <w:highlight w:val="yellow"/>
        </w:rPr>
        <w:t xml:space="preserve">a </w:t>
      </w:r>
      <w:r w:rsidRPr="00837D90">
        <w:rPr>
          <w:rFonts w:ascii="Times New Roman" w:hAnsi="Times New Roman"/>
          <w:sz w:val="24"/>
          <w:szCs w:val="24"/>
          <w:highlight w:val="yellow"/>
        </w:rPr>
        <w:t>high</w:t>
      </w:r>
      <w:r>
        <w:rPr>
          <w:rFonts w:ascii="Times New Roman" w:hAnsi="Times New Roman"/>
          <w:sz w:val="24"/>
          <w:szCs w:val="24"/>
        </w:rPr>
        <w:t xml:space="preserve"> level of awareness of the NTEP. </w:t>
      </w:r>
    </w:p>
    <w:p w14:paraId="2381FF7E" w14:textId="77BDBB51" w:rsidR="002375D6" w:rsidRDefault="008D0901">
      <w:pPr>
        <w:spacing w:after="0" w:line="480" w:lineRule="auto"/>
        <w:jc w:val="both"/>
        <w:rPr>
          <w:rFonts w:ascii="Times New Roman" w:hAnsi="Times New Roman"/>
          <w:b/>
          <w:sz w:val="24"/>
          <w:szCs w:val="24"/>
        </w:rPr>
        <w:sectPr w:rsidR="002375D6">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728" w:header="720" w:footer="720" w:gutter="0"/>
          <w:pgNumType w:start="1"/>
          <w:cols w:space="720"/>
          <w:docGrid w:linePitch="360"/>
        </w:sectPr>
      </w:pPr>
      <w:r>
        <w:rPr>
          <w:rFonts w:ascii="Times New Roman" w:hAnsi="Times New Roman"/>
          <w:b/>
          <w:sz w:val="24"/>
          <w:szCs w:val="24"/>
        </w:rPr>
        <w:t xml:space="preserve">Research Question Two: </w:t>
      </w:r>
      <w:r>
        <w:rPr>
          <w:rFonts w:ascii="Times New Roman" w:hAnsi="Times New Roman"/>
          <w:sz w:val="24"/>
          <w:szCs w:val="24"/>
        </w:rPr>
        <w:t xml:space="preserve">What are the factors affecting lecturers of Faculties and Colleges of Education’s awareness of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National</w:t>
      </w:r>
      <w:r>
        <w:rPr>
          <w:rFonts w:ascii="Times New Roman" w:hAnsi="Times New Roman"/>
          <w:sz w:val="24"/>
          <w:szCs w:val="24"/>
        </w:rPr>
        <w:t xml:space="preserve"> Teacher Education Policy in South-Western Nigeria?</w:t>
      </w:r>
      <w:bookmarkStart w:id="2" w:name="_Hlk133396524"/>
      <w:r>
        <w:rPr>
          <w:rFonts w:ascii="Times New Roman" w:hAnsi="Times New Roman"/>
          <w:sz w:val="24"/>
          <w:szCs w:val="24"/>
        </w:rPr>
        <w:tab/>
      </w:r>
    </w:p>
    <w:p w14:paraId="4D334343" w14:textId="77777777" w:rsidR="002375D6" w:rsidRDefault="008D0901">
      <w:pPr>
        <w:spacing w:after="0" w:line="480" w:lineRule="auto"/>
        <w:rPr>
          <w:rFonts w:ascii="Times New Roman" w:hAnsi="Times New Roman"/>
          <w:b/>
          <w:sz w:val="24"/>
          <w:szCs w:val="24"/>
        </w:rPr>
      </w:pPr>
      <w:r>
        <w:rPr>
          <w:rFonts w:ascii="Times New Roman" w:hAnsi="Times New Roman"/>
          <w:b/>
          <w:sz w:val="24"/>
          <w:szCs w:val="24"/>
        </w:rPr>
        <w:lastRenderedPageBreak/>
        <w:t>The Results are Presented in Table 2.</w:t>
      </w:r>
    </w:p>
    <w:p w14:paraId="42A84DE9" w14:textId="77777777" w:rsidR="002375D6" w:rsidRDefault="008D0901">
      <w:pPr>
        <w:spacing w:after="0" w:line="480" w:lineRule="auto"/>
        <w:ind w:left="720" w:firstLine="720"/>
        <w:rPr>
          <w:rFonts w:ascii="Times New Roman" w:hAnsi="Times New Roman"/>
          <w:b/>
          <w:sz w:val="24"/>
          <w:szCs w:val="24"/>
        </w:rPr>
      </w:pPr>
      <w:r>
        <w:rPr>
          <w:rFonts w:ascii="Times New Roman" w:hAnsi="Times New Roman"/>
          <w:b/>
          <w:sz w:val="24"/>
          <w:szCs w:val="24"/>
        </w:rPr>
        <w:t>Table 2: Relative Importance Indices of Awareness of NTEP</w:t>
      </w:r>
    </w:p>
    <w:bookmarkEnd w:id="2"/>
    <w:tbl>
      <w:tblPr>
        <w:tblStyle w:val="TableGrid"/>
        <w:tblW w:w="15337" w:type="dxa"/>
        <w:tblInd w:w="-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7045"/>
        <w:gridCol w:w="550"/>
        <w:gridCol w:w="456"/>
        <w:gridCol w:w="576"/>
        <w:gridCol w:w="576"/>
        <w:gridCol w:w="756"/>
        <w:gridCol w:w="777"/>
        <w:gridCol w:w="550"/>
        <w:gridCol w:w="576"/>
        <w:gridCol w:w="576"/>
        <w:gridCol w:w="576"/>
        <w:gridCol w:w="756"/>
        <w:gridCol w:w="777"/>
      </w:tblGrid>
      <w:tr w:rsidR="002375D6" w14:paraId="359E6235" w14:textId="77777777">
        <w:tc>
          <w:tcPr>
            <w:tcW w:w="790" w:type="dxa"/>
          </w:tcPr>
          <w:p w14:paraId="4DC1C50D" w14:textId="77777777" w:rsidR="002375D6" w:rsidRDefault="002375D6">
            <w:pPr>
              <w:spacing w:after="0"/>
              <w:jc w:val="both"/>
              <w:rPr>
                <w:sz w:val="24"/>
                <w:szCs w:val="24"/>
              </w:rPr>
            </w:pPr>
          </w:p>
        </w:tc>
        <w:tc>
          <w:tcPr>
            <w:tcW w:w="7045" w:type="dxa"/>
          </w:tcPr>
          <w:p w14:paraId="1DB162A9" w14:textId="77777777" w:rsidR="002375D6" w:rsidRDefault="002375D6">
            <w:pPr>
              <w:spacing w:after="0"/>
              <w:jc w:val="both"/>
              <w:rPr>
                <w:sz w:val="24"/>
                <w:szCs w:val="24"/>
              </w:rPr>
            </w:pPr>
          </w:p>
        </w:tc>
        <w:tc>
          <w:tcPr>
            <w:tcW w:w="550" w:type="dxa"/>
          </w:tcPr>
          <w:p w14:paraId="3922A631" w14:textId="77777777" w:rsidR="002375D6" w:rsidRDefault="002375D6">
            <w:pPr>
              <w:spacing w:after="0"/>
              <w:jc w:val="both"/>
              <w:rPr>
                <w:sz w:val="24"/>
                <w:szCs w:val="24"/>
              </w:rPr>
            </w:pPr>
          </w:p>
        </w:tc>
        <w:tc>
          <w:tcPr>
            <w:tcW w:w="2364" w:type="dxa"/>
            <w:gridSpan w:val="4"/>
          </w:tcPr>
          <w:p w14:paraId="014E7381" w14:textId="77777777" w:rsidR="002375D6" w:rsidRDefault="008D0901">
            <w:pPr>
              <w:spacing w:after="0"/>
              <w:jc w:val="both"/>
              <w:rPr>
                <w:b/>
                <w:sz w:val="24"/>
                <w:szCs w:val="24"/>
              </w:rPr>
            </w:pPr>
            <w:r>
              <w:rPr>
                <w:b/>
                <w:sz w:val="24"/>
                <w:szCs w:val="24"/>
              </w:rPr>
              <w:t>College Lecturers</w:t>
            </w:r>
          </w:p>
        </w:tc>
        <w:tc>
          <w:tcPr>
            <w:tcW w:w="777" w:type="dxa"/>
          </w:tcPr>
          <w:p w14:paraId="39B1DD34" w14:textId="77777777" w:rsidR="002375D6" w:rsidRDefault="002375D6">
            <w:pPr>
              <w:spacing w:after="0"/>
              <w:jc w:val="both"/>
              <w:rPr>
                <w:sz w:val="24"/>
                <w:szCs w:val="24"/>
              </w:rPr>
            </w:pPr>
          </w:p>
        </w:tc>
        <w:tc>
          <w:tcPr>
            <w:tcW w:w="550" w:type="dxa"/>
          </w:tcPr>
          <w:p w14:paraId="777FD65A" w14:textId="77777777" w:rsidR="002375D6" w:rsidRDefault="002375D6">
            <w:pPr>
              <w:spacing w:after="0"/>
              <w:jc w:val="both"/>
              <w:rPr>
                <w:sz w:val="24"/>
                <w:szCs w:val="24"/>
              </w:rPr>
            </w:pPr>
          </w:p>
        </w:tc>
        <w:tc>
          <w:tcPr>
            <w:tcW w:w="2484" w:type="dxa"/>
            <w:gridSpan w:val="4"/>
          </w:tcPr>
          <w:p w14:paraId="7E4F246A" w14:textId="77777777" w:rsidR="002375D6" w:rsidRDefault="008D0901">
            <w:pPr>
              <w:spacing w:after="0"/>
              <w:jc w:val="both"/>
              <w:rPr>
                <w:b/>
                <w:sz w:val="24"/>
                <w:szCs w:val="24"/>
              </w:rPr>
            </w:pPr>
            <w:r>
              <w:rPr>
                <w:b/>
                <w:sz w:val="24"/>
                <w:szCs w:val="24"/>
              </w:rPr>
              <w:t>University Lecturers</w:t>
            </w:r>
          </w:p>
        </w:tc>
        <w:tc>
          <w:tcPr>
            <w:tcW w:w="777" w:type="dxa"/>
          </w:tcPr>
          <w:p w14:paraId="3D35021A" w14:textId="77777777" w:rsidR="002375D6" w:rsidRDefault="002375D6">
            <w:pPr>
              <w:spacing w:after="0"/>
              <w:jc w:val="both"/>
              <w:rPr>
                <w:sz w:val="24"/>
                <w:szCs w:val="24"/>
              </w:rPr>
            </w:pPr>
          </w:p>
        </w:tc>
      </w:tr>
      <w:tr w:rsidR="002375D6" w14:paraId="3DF3E2E5" w14:textId="77777777">
        <w:tc>
          <w:tcPr>
            <w:tcW w:w="790" w:type="dxa"/>
          </w:tcPr>
          <w:p w14:paraId="182A5F07" w14:textId="77777777" w:rsidR="002375D6" w:rsidRDefault="002375D6">
            <w:pPr>
              <w:spacing w:after="0" w:line="240" w:lineRule="auto"/>
              <w:jc w:val="both"/>
              <w:rPr>
                <w:sz w:val="24"/>
                <w:szCs w:val="24"/>
              </w:rPr>
            </w:pPr>
          </w:p>
        </w:tc>
        <w:tc>
          <w:tcPr>
            <w:tcW w:w="7045" w:type="dxa"/>
          </w:tcPr>
          <w:p w14:paraId="2C8C45DE" w14:textId="77777777" w:rsidR="002375D6" w:rsidRDefault="002375D6">
            <w:pPr>
              <w:spacing w:after="0" w:line="240" w:lineRule="auto"/>
              <w:jc w:val="both"/>
              <w:rPr>
                <w:sz w:val="24"/>
                <w:szCs w:val="24"/>
              </w:rPr>
            </w:pPr>
          </w:p>
        </w:tc>
        <w:tc>
          <w:tcPr>
            <w:tcW w:w="2158" w:type="dxa"/>
            <w:gridSpan w:val="4"/>
          </w:tcPr>
          <w:p w14:paraId="1C612394" w14:textId="77777777" w:rsidR="002375D6" w:rsidRDefault="008D0901">
            <w:pPr>
              <w:spacing w:after="0" w:line="240" w:lineRule="auto"/>
              <w:jc w:val="both"/>
              <w:rPr>
                <w:sz w:val="24"/>
                <w:szCs w:val="24"/>
              </w:rPr>
            </w:pPr>
            <w:r>
              <w:rPr>
                <w:rFonts w:eastAsia="Times New Roman"/>
                <w:b/>
                <w:sz w:val="24"/>
                <w:szCs w:val="24"/>
                <w:lang w:eastAsia="en-GB"/>
              </w:rPr>
              <w:t>Respond Pattern</w:t>
            </w:r>
          </w:p>
        </w:tc>
        <w:tc>
          <w:tcPr>
            <w:tcW w:w="756" w:type="dxa"/>
          </w:tcPr>
          <w:p w14:paraId="559E94A5" w14:textId="77777777" w:rsidR="002375D6" w:rsidRDefault="002375D6">
            <w:pPr>
              <w:spacing w:after="0" w:line="240" w:lineRule="auto"/>
              <w:jc w:val="both"/>
              <w:rPr>
                <w:sz w:val="24"/>
                <w:szCs w:val="24"/>
              </w:rPr>
            </w:pPr>
          </w:p>
        </w:tc>
        <w:tc>
          <w:tcPr>
            <w:tcW w:w="777" w:type="dxa"/>
          </w:tcPr>
          <w:p w14:paraId="3FB95A67" w14:textId="77777777" w:rsidR="002375D6" w:rsidRDefault="002375D6">
            <w:pPr>
              <w:spacing w:after="0" w:line="240" w:lineRule="auto"/>
              <w:jc w:val="both"/>
              <w:rPr>
                <w:sz w:val="24"/>
                <w:szCs w:val="24"/>
              </w:rPr>
            </w:pPr>
          </w:p>
        </w:tc>
        <w:tc>
          <w:tcPr>
            <w:tcW w:w="2278" w:type="dxa"/>
            <w:gridSpan w:val="4"/>
          </w:tcPr>
          <w:p w14:paraId="44CE00CD" w14:textId="77777777" w:rsidR="002375D6" w:rsidRDefault="008D0901">
            <w:pPr>
              <w:spacing w:after="0" w:line="240" w:lineRule="auto"/>
              <w:jc w:val="both"/>
              <w:rPr>
                <w:b/>
                <w:sz w:val="24"/>
                <w:szCs w:val="24"/>
              </w:rPr>
            </w:pPr>
            <w:r>
              <w:rPr>
                <w:b/>
                <w:sz w:val="24"/>
                <w:szCs w:val="24"/>
              </w:rPr>
              <w:t>Respond Pattern</w:t>
            </w:r>
          </w:p>
        </w:tc>
        <w:tc>
          <w:tcPr>
            <w:tcW w:w="756" w:type="dxa"/>
          </w:tcPr>
          <w:p w14:paraId="2E019B14" w14:textId="77777777" w:rsidR="002375D6" w:rsidRDefault="002375D6">
            <w:pPr>
              <w:spacing w:after="0" w:line="240" w:lineRule="auto"/>
              <w:jc w:val="both"/>
              <w:rPr>
                <w:sz w:val="24"/>
                <w:szCs w:val="24"/>
              </w:rPr>
            </w:pPr>
          </w:p>
        </w:tc>
        <w:tc>
          <w:tcPr>
            <w:tcW w:w="777" w:type="dxa"/>
          </w:tcPr>
          <w:p w14:paraId="0EA7299B" w14:textId="77777777" w:rsidR="002375D6" w:rsidRDefault="002375D6">
            <w:pPr>
              <w:spacing w:after="0" w:line="240" w:lineRule="auto"/>
              <w:jc w:val="both"/>
              <w:rPr>
                <w:sz w:val="24"/>
                <w:szCs w:val="24"/>
              </w:rPr>
            </w:pPr>
          </w:p>
        </w:tc>
      </w:tr>
      <w:tr w:rsidR="002375D6" w14:paraId="10D355C9" w14:textId="77777777">
        <w:tc>
          <w:tcPr>
            <w:tcW w:w="790" w:type="dxa"/>
            <w:tcBorders>
              <w:bottom w:val="single" w:sz="4" w:space="0" w:color="auto"/>
            </w:tcBorders>
          </w:tcPr>
          <w:p w14:paraId="50543EE3" w14:textId="77777777" w:rsidR="002375D6" w:rsidRDefault="008D0901">
            <w:pPr>
              <w:spacing w:after="0" w:line="240" w:lineRule="auto"/>
              <w:rPr>
                <w:b/>
                <w:sz w:val="24"/>
                <w:szCs w:val="24"/>
              </w:rPr>
            </w:pPr>
            <w:r>
              <w:rPr>
                <w:b/>
                <w:sz w:val="24"/>
                <w:szCs w:val="24"/>
              </w:rPr>
              <w:t>Items</w:t>
            </w:r>
          </w:p>
        </w:tc>
        <w:tc>
          <w:tcPr>
            <w:tcW w:w="7045" w:type="dxa"/>
            <w:tcBorders>
              <w:bottom w:val="single" w:sz="4" w:space="0" w:color="auto"/>
            </w:tcBorders>
          </w:tcPr>
          <w:p w14:paraId="4AFD602F" w14:textId="77777777" w:rsidR="002375D6" w:rsidRDefault="008D0901">
            <w:pPr>
              <w:spacing w:after="0" w:line="240" w:lineRule="auto"/>
              <w:jc w:val="both"/>
              <w:rPr>
                <w:b/>
                <w:sz w:val="24"/>
                <w:szCs w:val="24"/>
              </w:rPr>
            </w:pPr>
            <w:r>
              <w:rPr>
                <w:b/>
                <w:sz w:val="24"/>
                <w:szCs w:val="24"/>
              </w:rPr>
              <w:t>Description Items</w:t>
            </w:r>
          </w:p>
        </w:tc>
        <w:tc>
          <w:tcPr>
            <w:tcW w:w="550" w:type="dxa"/>
            <w:tcBorders>
              <w:bottom w:val="single" w:sz="4" w:space="0" w:color="auto"/>
            </w:tcBorders>
          </w:tcPr>
          <w:p w14:paraId="755FBD1E" w14:textId="77777777" w:rsidR="002375D6" w:rsidRDefault="008D0901">
            <w:pPr>
              <w:spacing w:after="0" w:line="240" w:lineRule="auto"/>
              <w:rPr>
                <w:b/>
                <w:sz w:val="24"/>
                <w:szCs w:val="24"/>
              </w:rPr>
            </w:pPr>
            <w:r>
              <w:rPr>
                <w:b/>
                <w:sz w:val="24"/>
                <w:szCs w:val="24"/>
              </w:rPr>
              <w:t>VT</w:t>
            </w:r>
          </w:p>
        </w:tc>
        <w:tc>
          <w:tcPr>
            <w:tcW w:w="456" w:type="dxa"/>
            <w:tcBorders>
              <w:bottom w:val="single" w:sz="4" w:space="0" w:color="auto"/>
            </w:tcBorders>
          </w:tcPr>
          <w:p w14:paraId="74E72420" w14:textId="77777777" w:rsidR="002375D6" w:rsidRDefault="008D0901">
            <w:pPr>
              <w:spacing w:after="0" w:line="240" w:lineRule="auto"/>
              <w:rPr>
                <w:b/>
                <w:sz w:val="24"/>
                <w:szCs w:val="24"/>
              </w:rPr>
            </w:pPr>
            <w:r>
              <w:rPr>
                <w:b/>
                <w:sz w:val="24"/>
                <w:szCs w:val="24"/>
              </w:rPr>
              <w:t>T</w:t>
            </w:r>
          </w:p>
        </w:tc>
        <w:tc>
          <w:tcPr>
            <w:tcW w:w="576" w:type="dxa"/>
            <w:tcBorders>
              <w:bottom w:val="single" w:sz="4" w:space="0" w:color="auto"/>
            </w:tcBorders>
          </w:tcPr>
          <w:p w14:paraId="6261E61F" w14:textId="77777777" w:rsidR="002375D6" w:rsidRDefault="008D0901">
            <w:pPr>
              <w:spacing w:after="0" w:line="240" w:lineRule="auto"/>
              <w:rPr>
                <w:b/>
                <w:sz w:val="24"/>
                <w:szCs w:val="24"/>
              </w:rPr>
            </w:pPr>
            <w:r>
              <w:rPr>
                <w:b/>
                <w:sz w:val="24"/>
                <w:szCs w:val="24"/>
              </w:rPr>
              <w:t>ST</w:t>
            </w:r>
          </w:p>
        </w:tc>
        <w:tc>
          <w:tcPr>
            <w:tcW w:w="576" w:type="dxa"/>
            <w:tcBorders>
              <w:bottom w:val="single" w:sz="4" w:space="0" w:color="auto"/>
            </w:tcBorders>
          </w:tcPr>
          <w:p w14:paraId="60C60EE6" w14:textId="77777777" w:rsidR="002375D6" w:rsidRDefault="008D0901">
            <w:pPr>
              <w:spacing w:after="0" w:line="240" w:lineRule="auto"/>
              <w:rPr>
                <w:b/>
                <w:sz w:val="24"/>
                <w:szCs w:val="24"/>
              </w:rPr>
            </w:pPr>
            <w:r>
              <w:rPr>
                <w:b/>
                <w:sz w:val="24"/>
                <w:szCs w:val="24"/>
              </w:rPr>
              <w:t>NT</w:t>
            </w:r>
          </w:p>
        </w:tc>
        <w:tc>
          <w:tcPr>
            <w:tcW w:w="756" w:type="dxa"/>
            <w:tcBorders>
              <w:bottom w:val="single" w:sz="4" w:space="0" w:color="auto"/>
            </w:tcBorders>
          </w:tcPr>
          <w:p w14:paraId="29366D04" w14:textId="77777777" w:rsidR="002375D6" w:rsidRDefault="008D0901">
            <w:pPr>
              <w:spacing w:after="0" w:line="240" w:lineRule="auto"/>
              <w:rPr>
                <w:b/>
                <w:sz w:val="24"/>
                <w:szCs w:val="24"/>
              </w:rPr>
            </w:pPr>
            <w:r>
              <w:rPr>
                <w:b/>
                <w:sz w:val="24"/>
                <w:szCs w:val="24"/>
              </w:rPr>
              <w:t>RII</w:t>
            </w:r>
          </w:p>
        </w:tc>
        <w:tc>
          <w:tcPr>
            <w:tcW w:w="777" w:type="dxa"/>
            <w:tcBorders>
              <w:bottom w:val="single" w:sz="4" w:space="0" w:color="auto"/>
            </w:tcBorders>
          </w:tcPr>
          <w:p w14:paraId="2800F5AA" w14:textId="77777777" w:rsidR="002375D6" w:rsidRDefault="008D0901">
            <w:pPr>
              <w:spacing w:after="0" w:line="240" w:lineRule="auto"/>
              <w:rPr>
                <w:b/>
                <w:sz w:val="24"/>
                <w:szCs w:val="24"/>
              </w:rPr>
            </w:pPr>
            <w:r>
              <w:rPr>
                <w:b/>
                <w:sz w:val="24"/>
                <w:szCs w:val="24"/>
              </w:rPr>
              <w:t>Rank</w:t>
            </w:r>
          </w:p>
        </w:tc>
        <w:tc>
          <w:tcPr>
            <w:tcW w:w="550" w:type="dxa"/>
            <w:tcBorders>
              <w:bottom w:val="single" w:sz="4" w:space="0" w:color="auto"/>
            </w:tcBorders>
          </w:tcPr>
          <w:p w14:paraId="47DD51F9" w14:textId="77777777" w:rsidR="002375D6" w:rsidRDefault="008D0901">
            <w:pPr>
              <w:spacing w:after="0" w:line="240" w:lineRule="auto"/>
              <w:rPr>
                <w:b/>
                <w:sz w:val="24"/>
                <w:szCs w:val="24"/>
              </w:rPr>
            </w:pPr>
            <w:r>
              <w:rPr>
                <w:b/>
                <w:sz w:val="24"/>
                <w:szCs w:val="24"/>
              </w:rPr>
              <w:t>VT</w:t>
            </w:r>
          </w:p>
        </w:tc>
        <w:tc>
          <w:tcPr>
            <w:tcW w:w="576" w:type="dxa"/>
            <w:tcBorders>
              <w:bottom w:val="single" w:sz="4" w:space="0" w:color="auto"/>
            </w:tcBorders>
          </w:tcPr>
          <w:p w14:paraId="109EA7C9" w14:textId="77777777" w:rsidR="002375D6" w:rsidRDefault="008D0901">
            <w:pPr>
              <w:spacing w:after="0" w:line="240" w:lineRule="auto"/>
              <w:rPr>
                <w:b/>
                <w:sz w:val="24"/>
                <w:szCs w:val="24"/>
              </w:rPr>
            </w:pPr>
            <w:r>
              <w:rPr>
                <w:b/>
                <w:sz w:val="24"/>
                <w:szCs w:val="24"/>
              </w:rPr>
              <w:t>T</w:t>
            </w:r>
          </w:p>
        </w:tc>
        <w:tc>
          <w:tcPr>
            <w:tcW w:w="576" w:type="dxa"/>
            <w:tcBorders>
              <w:bottom w:val="single" w:sz="4" w:space="0" w:color="auto"/>
            </w:tcBorders>
          </w:tcPr>
          <w:p w14:paraId="319773D5" w14:textId="77777777" w:rsidR="002375D6" w:rsidRDefault="008D0901">
            <w:pPr>
              <w:spacing w:after="0" w:line="240" w:lineRule="auto"/>
              <w:rPr>
                <w:b/>
                <w:sz w:val="24"/>
                <w:szCs w:val="24"/>
              </w:rPr>
            </w:pPr>
            <w:r>
              <w:rPr>
                <w:b/>
                <w:sz w:val="24"/>
                <w:szCs w:val="24"/>
              </w:rPr>
              <w:t>ST</w:t>
            </w:r>
          </w:p>
        </w:tc>
        <w:tc>
          <w:tcPr>
            <w:tcW w:w="576" w:type="dxa"/>
            <w:tcBorders>
              <w:bottom w:val="single" w:sz="4" w:space="0" w:color="auto"/>
            </w:tcBorders>
          </w:tcPr>
          <w:p w14:paraId="1A43737F" w14:textId="77777777" w:rsidR="002375D6" w:rsidRDefault="008D0901">
            <w:pPr>
              <w:spacing w:after="0" w:line="240" w:lineRule="auto"/>
              <w:rPr>
                <w:b/>
                <w:sz w:val="24"/>
                <w:szCs w:val="24"/>
              </w:rPr>
            </w:pPr>
            <w:r>
              <w:rPr>
                <w:b/>
                <w:sz w:val="24"/>
                <w:szCs w:val="24"/>
              </w:rPr>
              <w:t>NT</w:t>
            </w:r>
          </w:p>
        </w:tc>
        <w:tc>
          <w:tcPr>
            <w:tcW w:w="756" w:type="dxa"/>
            <w:tcBorders>
              <w:bottom w:val="single" w:sz="4" w:space="0" w:color="auto"/>
            </w:tcBorders>
          </w:tcPr>
          <w:p w14:paraId="28B27CB2" w14:textId="77777777" w:rsidR="002375D6" w:rsidRDefault="008D0901">
            <w:pPr>
              <w:spacing w:after="0" w:line="240" w:lineRule="auto"/>
              <w:rPr>
                <w:b/>
                <w:sz w:val="24"/>
                <w:szCs w:val="24"/>
              </w:rPr>
            </w:pPr>
            <w:r>
              <w:rPr>
                <w:b/>
                <w:sz w:val="24"/>
                <w:szCs w:val="24"/>
              </w:rPr>
              <w:t>RII</w:t>
            </w:r>
          </w:p>
        </w:tc>
        <w:tc>
          <w:tcPr>
            <w:tcW w:w="777" w:type="dxa"/>
            <w:tcBorders>
              <w:bottom w:val="single" w:sz="4" w:space="0" w:color="auto"/>
            </w:tcBorders>
          </w:tcPr>
          <w:p w14:paraId="62667CEC" w14:textId="77777777" w:rsidR="002375D6" w:rsidRDefault="008D0901">
            <w:pPr>
              <w:spacing w:after="0" w:line="240" w:lineRule="auto"/>
              <w:rPr>
                <w:b/>
                <w:sz w:val="24"/>
                <w:szCs w:val="24"/>
              </w:rPr>
            </w:pPr>
            <w:r>
              <w:rPr>
                <w:b/>
                <w:sz w:val="24"/>
                <w:szCs w:val="24"/>
              </w:rPr>
              <w:t>Rank</w:t>
            </w:r>
          </w:p>
        </w:tc>
      </w:tr>
      <w:tr w:rsidR="002375D6" w14:paraId="72008D8B" w14:textId="77777777">
        <w:tc>
          <w:tcPr>
            <w:tcW w:w="790" w:type="dxa"/>
            <w:tcBorders>
              <w:top w:val="single" w:sz="4" w:space="0" w:color="auto"/>
            </w:tcBorders>
          </w:tcPr>
          <w:p w14:paraId="168EB0A7" w14:textId="77777777" w:rsidR="002375D6" w:rsidRDefault="008D0901">
            <w:pPr>
              <w:spacing w:after="0" w:line="240" w:lineRule="auto"/>
              <w:rPr>
                <w:sz w:val="24"/>
                <w:szCs w:val="24"/>
              </w:rPr>
            </w:pPr>
            <w:r>
              <w:rPr>
                <w:sz w:val="24"/>
                <w:szCs w:val="24"/>
              </w:rPr>
              <w:t>1</w:t>
            </w:r>
          </w:p>
        </w:tc>
        <w:tc>
          <w:tcPr>
            <w:tcW w:w="7045" w:type="dxa"/>
            <w:tcBorders>
              <w:top w:val="single" w:sz="4" w:space="0" w:color="auto"/>
            </w:tcBorders>
          </w:tcPr>
          <w:p w14:paraId="7B1BA5B8" w14:textId="77777777" w:rsidR="002375D6" w:rsidRDefault="008D0901">
            <w:pPr>
              <w:spacing w:after="0" w:line="240" w:lineRule="auto"/>
              <w:rPr>
                <w:sz w:val="24"/>
                <w:szCs w:val="24"/>
              </w:rPr>
            </w:pPr>
            <w:r>
              <w:rPr>
                <w:sz w:val="24"/>
                <w:szCs w:val="24"/>
              </w:rPr>
              <w:t xml:space="preserve">Poor funding contributes to the inadequate awareness of NTEP. </w:t>
            </w:r>
          </w:p>
        </w:tc>
        <w:tc>
          <w:tcPr>
            <w:tcW w:w="550" w:type="dxa"/>
            <w:tcBorders>
              <w:top w:val="single" w:sz="4" w:space="0" w:color="auto"/>
            </w:tcBorders>
          </w:tcPr>
          <w:p w14:paraId="6EB186BE" w14:textId="77777777" w:rsidR="002375D6" w:rsidRDefault="008D0901">
            <w:pPr>
              <w:spacing w:after="0" w:line="240" w:lineRule="auto"/>
              <w:rPr>
                <w:sz w:val="24"/>
                <w:szCs w:val="24"/>
              </w:rPr>
            </w:pPr>
            <w:r>
              <w:rPr>
                <w:sz w:val="24"/>
                <w:szCs w:val="24"/>
              </w:rPr>
              <w:t>16</w:t>
            </w:r>
          </w:p>
        </w:tc>
        <w:tc>
          <w:tcPr>
            <w:tcW w:w="456" w:type="dxa"/>
            <w:tcBorders>
              <w:top w:val="single" w:sz="4" w:space="0" w:color="auto"/>
            </w:tcBorders>
          </w:tcPr>
          <w:p w14:paraId="2B8B0D74" w14:textId="77777777" w:rsidR="002375D6" w:rsidRDefault="008D0901">
            <w:pPr>
              <w:spacing w:after="0" w:line="240" w:lineRule="auto"/>
              <w:rPr>
                <w:sz w:val="24"/>
                <w:szCs w:val="24"/>
              </w:rPr>
            </w:pPr>
            <w:r>
              <w:rPr>
                <w:sz w:val="24"/>
                <w:szCs w:val="24"/>
              </w:rPr>
              <w:t>59</w:t>
            </w:r>
          </w:p>
        </w:tc>
        <w:tc>
          <w:tcPr>
            <w:tcW w:w="576" w:type="dxa"/>
            <w:tcBorders>
              <w:top w:val="single" w:sz="4" w:space="0" w:color="auto"/>
            </w:tcBorders>
          </w:tcPr>
          <w:p w14:paraId="108FDA4F" w14:textId="77777777" w:rsidR="002375D6" w:rsidRDefault="008D0901">
            <w:pPr>
              <w:spacing w:after="0" w:line="240" w:lineRule="auto"/>
              <w:rPr>
                <w:sz w:val="24"/>
                <w:szCs w:val="24"/>
              </w:rPr>
            </w:pPr>
            <w:r>
              <w:rPr>
                <w:sz w:val="24"/>
                <w:szCs w:val="24"/>
              </w:rPr>
              <w:t>208</w:t>
            </w:r>
          </w:p>
        </w:tc>
        <w:tc>
          <w:tcPr>
            <w:tcW w:w="576" w:type="dxa"/>
            <w:tcBorders>
              <w:top w:val="single" w:sz="4" w:space="0" w:color="auto"/>
            </w:tcBorders>
          </w:tcPr>
          <w:p w14:paraId="79B6C0E4" w14:textId="77777777" w:rsidR="002375D6" w:rsidRDefault="008D0901">
            <w:pPr>
              <w:spacing w:after="0" w:line="240" w:lineRule="auto"/>
              <w:rPr>
                <w:sz w:val="24"/>
                <w:szCs w:val="24"/>
              </w:rPr>
            </w:pPr>
            <w:r>
              <w:rPr>
                <w:sz w:val="24"/>
                <w:szCs w:val="24"/>
              </w:rPr>
              <w:t>193</w:t>
            </w:r>
          </w:p>
        </w:tc>
        <w:tc>
          <w:tcPr>
            <w:tcW w:w="756" w:type="dxa"/>
            <w:tcBorders>
              <w:top w:val="single" w:sz="4" w:space="0" w:color="auto"/>
            </w:tcBorders>
          </w:tcPr>
          <w:p w14:paraId="7312F3DF" w14:textId="77777777" w:rsidR="002375D6" w:rsidRDefault="008D0901">
            <w:pPr>
              <w:spacing w:after="0" w:line="240" w:lineRule="auto"/>
              <w:rPr>
                <w:sz w:val="24"/>
                <w:szCs w:val="24"/>
              </w:rPr>
            </w:pPr>
            <w:r>
              <w:rPr>
                <w:sz w:val="24"/>
                <w:szCs w:val="24"/>
              </w:rPr>
              <w:t>0.804</w:t>
            </w:r>
          </w:p>
        </w:tc>
        <w:tc>
          <w:tcPr>
            <w:tcW w:w="777" w:type="dxa"/>
            <w:tcBorders>
              <w:top w:val="single" w:sz="4" w:space="0" w:color="auto"/>
            </w:tcBorders>
          </w:tcPr>
          <w:p w14:paraId="39229465" w14:textId="77777777" w:rsidR="002375D6" w:rsidRDefault="008D0901">
            <w:pPr>
              <w:spacing w:after="0" w:line="240" w:lineRule="auto"/>
              <w:rPr>
                <w:sz w:val="24"/>
                <w:szCs w:val="24"/>
              </w:rPr>
            </w:pPr>
            <w:r>
              <w:rPr>
                <w:sz w:val="24"/>
                <w:szCs w:val="24"/>
              </w:rPr>
              <w:t xml:space="preserve">  1</w:t>
            </w:r>
          </w:p>
        </w:tc>
        <w:tc>
          <w:tcPr>
            <w:tcW w:w="550" w:type="dxa"/>
            <w:tcBorders>
              <w:top w:val="single" w:sz="4" w:space="0" w:color="auto"/>
            </w:tcBorders>
          </w:tcPr>
          <w:p w14:paraId="7EA3AD32" w14:textId="77777777" w:rsidR="002375D6" w:rsidRDefault="008D0901">
            <w:pPr>
              <w:spacing w:after="0" w:line="240" w:lineRule="auto"/>
              <w:rPr>
                <w:sz w:val="24"/>
                <w:szCs w:val="24"/>
              </w:rPr>
            </w:pPr>
            <w:r>
              <w:rPr>
                <w:sz w:val="24"/>
                <w:szCs w:val="24"/>
              </w:rPr>
              <w:t>22</w:t>
            </w:r>
          </w:p>
        </w:tc>
        <w:tc>
          <w:tcPr>
            <w:tcW w:w="576" w:type="dxa"/>
            <w:tcBorders>
              <w:top w:val="single" w:sz="4" w:space="0" w:color="auto"/>
            </w:tcBorders>
          </w:tcPr>
          <w:p w14:paraId="68385471" w14:textId="77777777" w:rsidR="002375D6" w:rsidRDefault="008D0901">
            <w:pPr>
              <w:spacing w:after="0" w:line="240" w:lineRule="auto"/>
              <w:rPr>
                <w:sz w:val="24"/>
                <w:szCs w:val="24"/>
              </w:rPr>
            </w:pPr>
            <w:r>
              <w:rPr>
                <w:sz w:val="24"/>
                <w:szCs w:val="24"/>
              </w:rPr>
              <w:t>45</w:t>
            </w:r>
          </w:p>
        </w:tc>
        <w:tc>
          <w:tcPr>
            <w:tcW w:w="576" w:type="dxa"/>
            <w:tcBorders>
              <w:top w:val="single" w:sz="4" w:space="0" w:color="auto"/>
            </w:tcBorders>
          </w:tcPr>
          <w:p w14:paraId="540C67DD" w14:textId="77777777" w:rsidR="002375D6" w:rsidRDefault="008D0901">
            <w:pPr>
              <w:spacing w:after="0" w:line="240" w:lineRule="auto"/>
              <w:rPr>
                <w:sz w:val="24"/>
                <w:szCs w:val="24"/>
              </w:rPr>
            </w:pPr>
            <w:r>
              <w:rPr>
                <w:sz w:val="24"/>
                <w:szCs w:val="24"/>
              </w:rPr>
              <w:t>212</w:t>
            </w:r>
          </w:p>
        </w:tc>
        <w:tc>
          <w:tcPr>
            <w:tcW w:w="576" w:type="dxa"/>
            <w:tcBorders>
              <w:top w:val="single" w:sz="4" w:space="0" w:color="auto"/>
            </w:tcBorders>
          </w:tcPr>
          <w:p w14:paraId="7AF969F0" w14:textId="77777777" w:rsidR="002375D6" w:rsidRDefault="008D0901">
            <w:pPr>
              <w:spacing w:after="0" w:line="240" w:lineRule="auto"/>
              <w:rPr>
                <w:sz w:val="24"/>
                <w:szCs w:val="24"/>
              </w:rPr>
            </w:pPr>
            <w:r>
              <w:rPr>
                <w:sz w:val="24"/>
                <w:szCs w:val="24"/>
              </w:rPr>
              <w:t>224</w:t>
            </w:r>
          </w:p>
        </w:tc>
        <w:tc>
          <w:tcPr>
            <w:tcW w:w="756" w:type="dxa"/>
            <w:tcBorders>
              <w:top w:val="single" w:sz="4" w:space="0" w:color="auto"/>
            </w:tcBorders>
          </w:tcPr>
          <w:p w14:paraId="4D622887" w14:textId="77777777" w:rsidR="002375D6" w:rsidRDefault="008D0901">
            <w:pPr>
              <w:spacing w:after="0" w:line="240" w:lineRule="auto"/>
              <w:rPr>
                <w:sz w:val="24"/>
                <w:szCs w:val="24"/>
              </w:rPr>
            </w:pPr>
            <w:r>
              <w:rPr>
                <w:sz w:val="24"/>
                <w:szCs w:val="24"/>
              </w:rPr>
              <w:t>0.863</w:t>
            </w:r>
          </w:p>
        </w:tc>
        <w:tc>
          <w:tcPr>
            <w:tcW w:w="777" w:type="dxa"/>
            <w:tcBorders>
              <w:top w:val="single" w:sz="4" w:space="0" w:color="auto"/>
            </w:tcBorders>
          </w:tcPr>
          <w:p w14:paraId="49B9A520" w14:textId="77777777" w:rsidR="002375D6" w:rsidRDefault="008D0901">
            <w:pPr>
              <w:spacing w:after="0" w:line="240" w:lineRule="auto"/>
              <w:rPr>
                <w:sz w:val="24"/>
                <w:szCs w:val="24"/>
              </w:rPr>
            </w:pPr>
            <w:r>
              <w:rPr>
                <w:sz w:val="24"/>
                <w:szCs w:val="24"/>
              </w:rPr>
              <w:t>1</w:t>
            </w:r>
          </w:p>
        </w:tc>
      </w:tr>
      <w:tr w:rsidR="002375D6" w14:paraId="2924E61F" w14:textId="77777777">
        <w:tc>
          <w:tcPr>
            <w:tcW w:w="790" w:type="dxa"/>
          </w:tcPr>
          <w:p w14:paraId="1A43144B" w14:textId="77777777" w:rsidR="002375D6" w:rsidRDefault="008D0901">
            <w:pPr>
              <w:spacing w:after="0" w:line="240" w:lineRule="auto"/>
              <w:rPr>
                <w:sz w:val="24"/>
                <w:szCs w:val="24"/>
              </w:rPr>
            </w:pPr>
            <w:r>
              <w:rPr>
                <w:sz w:val="24"/>
                <w:szCs w:val="24"/>
              </w:rPr>
              <w:t>2</w:t>
            </w:r>
          </w:p>
        </w:tc>
        <w:tc>
          <w:tcPr>
            <w:tcW w:w="7045" w:type="dxa"/>
          </w:tcPr>
          <w:p w14:paraId="1A6E5265" w14:textId="77777777" w:rsidR="002375D6" w:rsidRDefault="008D0901">
            <w:pPr>
              <w:spacing w:after="0" w:line="240" w:lineRule="auto"/>
              <w:rPr>
                <w:sz w:val="24"/>
                <w:szCs w:val="24"/>
              </w:rPr>
            </w:pPr>
            <w:r>
              <w:rPr>
                <w:sz w:val="24"/>
                <w:szCs w:val="24"/>
              </w:rPr>
              <w:t>Level of implementation of NTEP affects its awareness.</w:t>
            </w:r>
          </w:p>
        </w:tc>
        <w:tc>
          <w:tcPr>
            <w:tcW w:w="550" w:type="dxa"/>
          </w:tcPr>
          <w:p w14:paraId="155BBBAB" w14:textId="77777777" w:rsidR="002375D6" w:rsidRDefault="008D0901">
            <w:pPr>
              <w:spacing w:after="0" w:line="240" w:lineRule="auto"/>
              <w:rPr>
                <w:sz w:val="24"/>
                <w:szCs w:val="24"/>
              </w:rPr>
            </w:pPr>
            <w:r>
              <w:rPr>
                <w:sz w:val="24"/>
                <w:szCs w:val="24"/>
              </w:rPr>
              <w:t>14</w:t>
            </w:r>
          </w:p>
        </w:tc>
        <w:tc>
          <w:tcPr>
            <w:tcW w:w="456" w:type="dxa"/>
          </w:tcPr>
          <w:p w14:paraId="7B3B53D4" w14:textId="77777777" w:rsidR="002375D6" w:rsidRDefault="008D0901">
            <w:pPr>
              <w:spacing w:after="0" w:line="240" w:lineRule="auto"/>
              <w:rPr>
                <w:sz w:val="24"/>
                <w:szCs w:val="24"/>
              </w:rPr>
            </w:pPr>
            <w:r>
              <w:rPr>
                <w:sz w:val="24"/>
                <w:szCs w:val="24"/>
              </w:rPr>
              <w:t>24</w:t>
            </w:r>
          </w:p>
        </w:tc>
        <w:tc>
          <w:tcPr>
            <w:tcW w:w="576" w:type="dxa"/>
          </w:tcPr>
          <w:p w14:paraId="2E0BDB83" w14:textId="77777777" w:rsidR="002375D6" w:rsidRDefault="008D0901">
            <w:pPr>
              <w:spacing w:after="0" w:line="240" w:lineRule="auto"/>
              <w:rPr>
                <w:sz w:val="24"/>
                <w:szCs w:val="24"/>
              </w:rPr>
            </w:pPr>
            <w:r>
              <w:rPr>
                <w:sz w:val="24"/>
                <w:szCs w:val="24"/>
              </w:rPr>
              <w:t>313</w:t>
            </w:r>
          </w:p>
        </w:tc>
        <w:tc>
          <w:tcPr>
            <w:tcW w:w="576" w:type="dxa"/>
          </w:tcPr>
          <w:p w14:paraId="17F0EEDC" w14:textId="77777777" w:rsidR="002375D6" w:rsidRDefault="008D0901">
            <w:pPr>
              <w:spacing w:after="0" w:line="240" w:lineRule="auto"/>
              <w:rPr>
                <w:sz w:val="24"/>
                <w:szCs w:val="24"/>
              </w:rPr>
            </w:pPr>
            <w:r>
              <w:rPr>
                <w:sz w:val="24"/>
                <w:szCs w:val="24"/>
              </w:rPr>
              <w:t>125</w:t>
            </w:r>
          </w:p>
        </w:tc>
        <w:tc>
          <w:tcPr>
            <w:tcW w:w="756" w:type="dxa"/>
          </w:tcPr>
          <w:p w14:paraId="11081F3A" w14:textId="77777777" w:rsidR="002375D6" w:rsidRDefault="008D0901">
            <w:pPr>
              <w:spacing w:after="0" w:line="240" w:lineRule="auto"/>
              <w:rPr>
                <w:sz w:val="24"/>
                <w:szCs w:val="24"/>
              </w:rPr>
            </w:pPr>
            <w:r>
              <w:rPr>
                <w:sz w:val="24"/>
                <w:szCs w:val="24"/>
              </w:rPr>
              <w:t>0.788</w:t>
            </w:r>
          </w:p>
        </w:tc>
        <w:tc>
          <w:tcPr>
            <w:tcW w:w="777" w:type="dxa"/>
          </w:tcPr>
          <w:p w14:paraId="7FA2BB79" w14:textId="77777777" w:rsidR="002375D6" w:rsidRDefault="008D0901">
            <w:pPr>
              <w:spacing w:after="0" w:line="240" w:lineRule="auto"/>
              <w:rPr>
                <w:sz w:val="24"/>
                <w:szCs w:val="24"/>
              </w:rPr>
            </w:pPr>
            <w:r>
              <w:rPr>
                <w:sz w:val="24"/>
                <w:szCs w:val="24"/>
              </w:rPr>
              <w:t xml:space="preserve">  4</w:t>
            </w:r>
          </w:p>
        </w:tc>
        <w:tc>
          <w:tcPr>
            <w:tcW w:w="550" w:type="dxa"/>
          </w:tcPr>
          <w:p w14:paraId="20FF1522" w14:textId="77777777" w:rsidR="002375D6" w:rsidRDefault="008D0901">
            <w:pPr>
              <w:spacing w:after="0" w:line="240" w:lineRule="auto"/>
              <w:rPr>
                <w:sz w:val="24"/>
                <w:szCs w:val="24"/>
              </w:rPr>
            </w:pPr>
            <w:r>
              <w:rPr>
                <w:sz w:val="24"/>
                <w:szCs w:val="24"/>
              </w:rPr>
              <w:t>16</w:t>
            </w:r>
          </w:p>
        </w:tc>
        <w:tc>
          <w:tcPr>
            <w:tcW w:w="576" w:type="dxa"/>
          </w:tcPr>
          <w:p w14:paraId="74DA7CB6" w14:textId="77777777" w:rsidR="002375D6" w:rsidRDefault="008D0901">
            <w:pPr>
              <w:spacing w:after="0" w:line="240" w:lineRule="auto"/>
              <w:rPr>
                <w:sz w:val="24"/>
                <w:szCs w:val="24"/>
              </w:rPr>
            </w:pPr>
            <w:r>
              <w:rPr>
                <w:sz w:val="24"/>
                <w:szCs w:val="24"/>
              </w:rPr>
              <w:t>49</w:t>
            </w:r>
          </w:p>
        </w:tc>
        <w:tc>
          <w:tcPr>
            <w:tcW w:w="576" w:type="dxa"/>
          </w:tcPr>
          <w:p w14:paraId="7CEF3744" w14:textId="77777777" w:rsidR="002375D6" w:rsidRDefault="008D0901">
            <w:pPr>
              <w:spacing w:after="0" w:line="240" w:lineRule="auto"/>
              <w:rPr>
                <w:sz w:val="24"/>
                <w:szCs w:val="24"/>
              </w:rPr>
            </w:pPr>
            <w:r>
              <w:rPr>
                <w:sz w:val="24"/>
                <w:szCs w:val="24"/>
              </w:rPr>
              <w:t>233</w:t>
            </w:r>
          </w:p>
        </w:tc>
        <w:tc>
          <w:tcPr>
            <w:tcW w:w="576" w:type="dxa"/>
          </w:tcPr>
          <w:p w14:paraId="0028344D" w14:textId="77777777" w:rsidR="002375D6" w:rsidRDefault="008D0901">
            <w:pPr>
              <w:spacing w:after="0" w:line="240" w:lineRule="auto"/>
              <w:rPr>
                <w:sz w:val="24"/>
                <w:szCs w:val="24"/>
              </w:rPr>
            </w:pPr>
            <w:r>
              <w:rPr>
                <w:sz w:val="24"/>
                <w:szCs w:val="24"/>
              </w:rPr>
              <w:t>205</w:t>
            </w:r>
          </w:p>
        </w:tc>
        <w:tc>
          <w:tcPr>
            <w:tcW w:w="756" w:type="dxa"/>
          </w:tcPr>
          <w:p w14:paraId="216B268C" w14:textId="77777777" w:rsidR="002375D6" w:rsidRDefault="008D0901">
            <w:pPr>
              <w:spacing w:after="0" w:line="240" w:lineRule="auto"/>
              <w:rPr>
                <w:sz w:val="24"/>
                <w:szCs w:val="24"/>
              </w:rPr>
            </w:pPr>
            <w:r>
              <w:rPr>
                <w:sz w:val="24"/>
                <w:szCs w:val="24"/>
              </w:rPr>
              <w:t>0.858</w:t>
            </w:r>
          </w:p>
        </w:tc>
        <w:tc>
          <w:tcPr>
            <w:tcW w:w="777" w:type="dxa"/>
          </w:tcPr>
          <w:p w14:paraId="26B281A9" w14:textId="77777777" w:rsidR="002375D6" w:rsidRDefault="008D0901">
            <w:pPr>
              <w:spacing w:after="0" w:line="240" w:lineRule="auto"/>
              <w:rPr>
                <w:sz w:val="24"/>
                <w:szCs w:val="24"/>
              </w:rPr>
            </w:pPr>
            <w:r>
              <w:rPr>
                <w:sz w:val="24"/>
                <w:szCs w:val="24"/>
              </w:rPr>
              <w:t>2</w:t>
            </w:r>
          </w:p>
        </w:tc>
      </w:tr>
      <w:tr w:rsidR="002375D6" w14:paraId="0BDB3E74" w14:textId="77777777">
        <w:tc>
          <w:tcPr>
            <w:tcW w:w="790" w:type="dxa"/>
          </w:tcPr>
          <w:p w14:paraId="079CEFCF" w14:textId="77777777" w:rsidR="002375D6" w:rsidRDefault="008D0901">
            <w:pPr>
              <w:spacing w:after="0" w:line="240" w:lineRule="auto"/>
              <w:rPr>
                <w:sz w:val="24"/>
                <w:szCs w:val="24"/>
              </w:rPr>
            </w:pPr>
            <w:r>
              <w:rPr>
                <w:sz w:val="24"/>
                <w:szCs w:val="24"/>
              </w:rPr>
              <w:t>3</w:t>
            </w:r>
          </w:p>
        </w:tc>
        <w:tc>
          <w:tcPr>
            <w:tcW w:w="7045" w:type="dxa"/>
          </w:tcPr>
          <w:p w14:paraId="2AA882AF" w14:textId="77777777" w:rsidR="002375D6" w:rsidRDefault="008D0901">
            <w:pPr>
              <w:spacing w:after="0" w:line="240" w:lineRule="auto"/>
              <w:rPr>
                <w:sz w:val="24"/>
                <w:szCs w:val="24"/>
              </w:rPr>
            </w:pPr>
            <w:r>
              <w:rPr>
                <w:sz w:val="24"/>
                <w:szCs w:val="24"/>
              </w:rPr>
              <w:t xml:space="preserve">Degree of government effort in creating awareness of the policy. </w:t>
            </w:r>
          </w:p>
        </w:tc>
        <w:tc>
          <w:tcPr>
            <w:tcW w:w="550" w:type="dxa"/>
          </w:tcPr>
          <w:p w14:paraId="1DAA4D0B" w14:textId="77777777" w:rsidR="002375D6" w:rsidRDefault="008D0901">
            <w:pPr>
              <w:spacing w:after="0" w:line="240" w:lineRule="auto"/>
              <w:rPr>
                <w:sz w:val="24"/>
                <w:szCs w:val="24"/>
              </w:rPr>
            </w:pPr>
            <w:r>
              <w:rPr>
                <w:sz w:val="24"/>
                <w:szCs w:val="24"/>
              </w:rPr>
              <w:t>11</w:t>
            </w:r>
          </w:p>
        </w:tc>
        <w:tc>
          <w:tcPr>
            <w:tcW w:w="456" w:type="dxa"/>
          </w:tcPr>
          <w:p w14:paraId="295A4DD4" w14:textId="77777777" w:rsidR="002375D6" w:rsidRDefault="008D0901">
            <w:pPr>
              <w:spacing w:after="0" w:line="240" w:lineRule="auto"/>
              <w:rPr>
                <w:sz w:val="24"/>
                <w:szCs w:val="24"/>
              </w:rPr>
            </w:pPr>
            <w:r>
              <w:rPr>
                <w:sz w:val="24"/>
                <w:szCs w:val="24"/>
              </w:rPr>
              <w:t>49</w:t>
            </w:r>
          </w:p>
        </w:tc>
        <w:tc>
          <w:tcPr>
            <w:tcW w:w="576" w:type="dxa"/>
          </w:tcPr>
          <w:p w14:paraId="086885A7" w14:textId="77777777" w:rsidR="002375D6" w:rsidRDefault="008D0901">
            <w:pPr>
              <w:spacing w:after="0" w:line="240" w:lineRule="auto"/>
              <w:rPr>
                <w:sz w:val="24"/>
                <w:szCs w:val="24"/>
              </w:rPr>
            </w:pPr>
            <w:r>
              <w:rPr>
                <w:sz w:val="24"/>
                <w:szCs w:val="24"/>
              </w:rPr>
              <w:t>276</w:t>
            </w:r>
          </w:p>
        </w:tc>
        <w:tc>
          <w:tcPr>
            <w:tcW w:w="576" w:type="dxa"/>
          </w:tcPr>
          <w:p w14:paraId="2CDBFDA8" w14:textId="77777777" w:rsidR="002375D6" w:rsidRDefault="008D0901">
            <w:pPr>
              <w:spacing w:after="0" w:line="240" w:lineRule="auto"/>
              <w:rPr>
                <w:sz w:val="24"/>
                <w:szCs w:val="24"/>
              </w:rPr>
            </w:pPr>
            <w:r>
              <w:rPr>
                <w:sz w:val="24"/>
                <w:szCs w:val="24"/>
              </w:rPr>
              <w:t>140</w:t>
            </w:r>
          </w:p>
        </w:tc>
        <w:tc>
          <w:tcPr>
            <w:tcW w:w="756" w:type="dxa"/>
          </w:tcPr>
          <w:p w14:paraId="0E9EF365" w14:textId="77777777" w:rsidR="002375D6" w:rsidRDefault="008D0901">
            <w:pPr>
              <w:spacing w:after="0" w:line="240" w:lineRule="auto"/>
              <w:rPr>
                <w:sz w:val="24"/>
                <w:szCs w:val="24"/>
              </w:rPr>
            </w:pPr>
            <w:r>
              <w:rPr>
                <w:sz w:val="24"/>
                <w:szCs w:val="24"/>
              </w:rPr>
              <w:t>0.786</w:t>
            </w:r>
          </w:p>
        </w:tc>
        <w:tc>
          <w:tcPr>
            <w:tcW w:w="777" w:type="dxa"/>
          </w:tcPr>
          <w:p w14:paraId="02EC299C" w14:textId="77777777" w:rsidR="002375D6" w:rsidRDefault="008D0901">
            <w:pPr>
              <w:spacing w:after="0" w:line="240" w:lineRule="auto"/>
              <w:rPr>
                <w:sz w:val="24"/>
                <w:szCs w:val="24"/>
              </w:rPr>
            </w:pPr>
            <w:r>
              <w:rPr>
                <w:sz w:val="24"/>
                <w:szCs w:val="24"/>
              </w:rPr>
              <w:t xml:space="preserve">  5</w:t>
            </w:r>
          </w:p>
        </w:tc>
        <w:tc>
          <w:tcPr>
            <w:tcW w:w="550" w:type="dxa"/>
          </w:tcPr>
          <w:p w14:paraId="3904F6D3" w14:textId="77777777" w:rsidR="002375D6" w:rsidRDefault="008D0901">
            <w:pPr>
              <w:spacing w:after="0" w:line="240" w:lineRule="auto"/>
              <w:rPr>
                <w:sz w:val="24"/>
                <w:szCs w:val="24"/>
              </w:rPr>
            </w:pPr>
            <w:r>
              <w:rPr>
                <w:sz w:val="24"/>
                <w:szCs w:val="24"/>
              </w:rPr>
              <w:t>49</w:t>
            </w:r>
          </w:p>
        </w:tc>
        <w:tc>
          <w:tcPr>
            <w:tcW w:w="576" w:type="dxa"/>
          </w:tcPr>
          <w:p w14:paraId="0E7DDC7E" w14:textId="77777777" w:rsidR="002375D6" w:rsidRDefault="008D0901">
            <w:pPr>
              <w:spacing w:after="0" w:line="240" w:lineRule="auto"/>
              <w:rPr>
                <w:sz w:val="24"/>
                <w:szCs w:val="24"/>
              </w:rPr>
            </w:pPr>
            <w:r>
              <w:rPr>
                <w:sz w:val="24"/>
                <w:szCs w:val="24"/>
              </w:rPr>
              <w:t>84</w:t>
            </w:r>
          </w:p>
        </w:tc>
        <w:tc>
          <w:tcPr>
            <w:tcW w:w="576" w:type="dxa"/>
          </w:tcPr>
          <w:p w14:paraId="0D807E1B" w14:textId="77777777" w:rsidR="002375D6" w:rsidRDefault="008D0901">
            <w:pPr>
              <w:spacing w:after="0" w:line="240" w:lineRule="auto"/>
              <w:rPr>
                <w:sz w:val="24"/>
                <w:szCs w:val="24"/>
              </w:rPr>
            </w:pPr>
            <w:r>
              <w:rPr>
                <w:sz w:val="24"/>
                <w:szCs w:val="24"/>
              </w:rPr>
              <w:t>245</w:t>
            </w:r>
          </w:p>
        </w:tc>
        <w:tc>
          <w:tcPr>
            <w:tcW w:w="576" w:type="dxa"/>
          </w:tcPr>
          <w:p w14:paraId="15728B5B" w14:textId="77777777" w:rsidR="002375D6" w:rsidRDefault="008D0901">
            <w:pPr>
              <w:spacing w:after="0" w:line="240" w:lineRule="auto"/>
              <w:rPr>
                <w:sz w:val="24"/>
                <w:szCs w:val="24"/>
              </w:rPr>
            </w:pPr>
            <w:r>
              <w:rPr>
                <w:sz w:val="24"/>
                <w:szCs w:val="24"/>
              </w:rPr>
              <w:t>125</w:t>
            </w:r>
          </w:p>
        </w:tc>
        <w:tc>
          <w:tcPr>
            <w:tcW w:w="756" w:type="dxa"/>
          </w:tcPr>
          <w:p w14:paraId="6658E8B7" w14:textId="77777777" w:rsidR="002375D6" w:rsidRDefault="008D0901">
            <w:pPr>
              <w:spacing w:after="0" w:line="240" w:lineRule="auto"/>
              <w:rPr>
                <w:sz w:val="24"/>
                <w:szCs w:val="24"/>
              </w:rPr>
            </w:pPr>
            <w:r>
              <w:rPr>
                <w:sz w:val="24"/>
                <w:szCs w:val="24"/>
              </w:rPr>
              <w:t>0.763</w:t>
            </w:r>
          </w:p>
        </w:tc>
        <w:tc>
          <w:tcPr>
            <w:tcW w:w="777" w:type="dxa"/>
          </w:tcPr>
          <w:p w14:paraId="7BE49955" w14:textId="77777777" w:rsidR="002375D6" w:rsidRDefault="008D0901">
            <w:pPr>
              <w:spacing w:after="0" w:line="240" w:lineRule="auto"/>
              <w:rPr>
                <w:sz w:val="24"/>
                <w:szCs w:val="24"/>
              </w:rPr>
            </w:pPr>
            <w:r>
              <w:rPr>
                <w:sz w:val="24"/>
                <w:szCs w:val="24"/>
              </w:rPr>
              <w:t>10</w:t>
            </w:r>
          </w:p>
        </w:tc>
      </w:tr>
      <w:tr w:rsidR="002375D6" w14:paraId="29944D53" w14:textId="77777777">
        <w:tc>
          <w:tcPr>
            <w:tcW w:w="790" w:type="dxa"/>
          </w:tcPr>
          <w:p w14:paraId="74F7A342" w14:textId="77777777" w:rsidR="002375D6" w:rsidRDefault="008D0901">
            <w:pPr>
              <w:spacing w:after="0" w:line="240" w:lineRule="auto"/>
              <w:rPr>
                <w:sz w:val="24"/>
                <w:szCs w:val="24"/>
              </w:rPr>
            </w:pPr>
            <w:r>
              <w:rPr>
                <w:sz w:val="24"/>
                <w:szCs w:val="24"/>
              </w:rPr>
              <w:t>4</w:t>
            </w:r>
          </w:p>
        </w:tc>
        <w:tc>
          <w:tcPr>
            <w:tcW w:w="7045" w:type="dxa"/>
          </w:tcPr>
          <w:p w14:paraId="5B3F00E1" w14:textId="77777777" w:rsidR="002375D6" w:rsidRDefault="008D0901">
            <w:pPr>
              <w:spacing w:after="0" w:line="240" w:lineRule="auto"/>
              <w:rPr>
                <w:sz w:val="24"/>
                <w:szCs w:val="24"/>
              </w:rPr>
            </w:pPr>
            <w:r>
              <w:rPr>
                <w:sz w:val="24"/>
                <w:szCs w:val="24"/>
              </w:rPr>
              <w:t>Availability of NTEP copies in libraries.</w:t>
            </w:r>
          </w:p>
        </w:tc>
        <w:tc>
          <w:tcPr>
            <w:tcW w:w="550" w:type="dxa"/>
          </w:tcPr>
          <w:p w14:paraId="1B1192C7" w14:textId="77777777" w:rsidR="002375D6" w:rsidRDefault="008D0901">
            <w:pPr>
              <w:spacing w:after="0" w:line="240" w:lineRule="auto"/>
              <w:rPr>
                <w:sz w:val="24"/>
                <w:szCs w:val="24"/>
              </w:rPr>
            </w:pPr>
            <w:r>
              <w:rPr>
                <w:sz w:val="24"/>
                <w:szCs w:val="24"/>
              </w:rPr>
              <w:t>53</w:t>
            </w:r>
          </w:p>
        </w:tc>
        <w:tc>
          <w:tcPr>
            <w:tcW w:w="456" w:type="dxa"/>
          </w:tcPr>
          <w:p w14:paraId="0C38AA5F" w14:textId="77777777" w:rsidR="002375D6" w:rsidRDefault="008D0901">
            <w:pPr>
              <w:spacing w:after="0" w:line="240" w:lineRule="auto"/>
              <w:rPr>
                <w:sz w:val="24"/>
                <w:szCs w:val="24"/>
              </w:rPr>
            </w:pPr>
            <w:r>
              <w:rPr>
                <w:sz w:val="24"/>
                <w:szCs w:val="24"/>
              </w:rPr>
              <w:t>77</w:t>
            </w:r>
          </w:p>
        </w:tc>
        <w:tc>
          <w:tcPr>
            <w:tcW w:w="576" w:type="dxa"/>
          </w:tcPr>
          <w:p w14:paraId="74ECBC53" w14:textId="77777777" w:rsidR="002375D6" w:rsidRDefault="008D0901">
            <w:pPr>
              <w:spacing w:after="0" w:line="240" w:lineRule="auto"/>
              <w:rPr>
                <w:sz w:val="24"/>
                <w:szCs w:val="24"/>
              </w:rPr>
            </w:pPr>
            <w:r>
              <w:rPr>
                <w:sz w:val="24"/>
                <w:szCs w:val="24"/>
              </w:rPr>
              <w:t>238</w:t>
            </w:r>
          </w:p>
        </w:tc>
        <w:tc>
          <w:tcPr>
            <w:tcW w:w="576" w:type="dxa"/>
          </w:tcPr>
          <w:p w14:paraId="3901B6BC" w14:textId="77777777" w:rsidR="002375D6" w:rsidRDefault="008D0901">
            <w:pPr>
              <w:spacing w:after="0" w:line="240" w:lineRule="auto"/>
              <w:rPr>
                <w:sz w:val="24"/>
                <w:szCs w:val="24"/>
              </w:rPr>
            </w:pPr>
            <w:r>
              <w:rPr>
                <w:sz w:val="24"/>
                <w:szCs w:val="24"/>
              </w:rPr>
              <w:t>108</w:t>
            </w:r>
          </w:p>
        </w:tc>
        <w:tc>
          <w:tcPr>
            <w:tcW w:w="756" w:type="dxa"/>
          </w:tcPr>
          <w:p w14:paraId="11CC2A6F" w14:textId="77777777" w:rsidR="002375D6" w:rsidRDefault="008D0901">
            <w:pPr>
              <w:spacing w:after="0" w:line="240" w:lineRule="auto"/>
              <w:rPr>
                <w:sz w:val="24"/>
                <w:szCs w:val="24"/>
              </w:rPr>
            </w:pPr>
            <w:r>
              <w:rPr>
                <w:sz w:val="24"/>
                <w:szCs w:val="24"/>
              </w:rPr>
              <w:t>0.711</w:t>
            </w:r>
          </w:p>
        </w:tc>
        <w:tc>
          <w:tcPr>
            <w:tcW w:w="777" w:type="dxa"/>
          </w:tcPr>
          <w:p w14:paraId="60849986" w14:textId="77777777" w:rsidR="002375D6" w:rsidRDefault="008D0901">
            <w:pPr>
              <w:spacing w:after="0" w:line="240" w:lineRule="auto"/>
              <w:rPr>
                <w:sz w:val="24"/>
                <w:szCs w:val="24"/>
              </w:rPr>
            </w:pPr>
            <w:r>
              <w:rPr>
                <w:sz w:val="24"/>
                <w:szCs w:val="24"/>
              </w:rPr>
              <w:t xml:space="preserve">  10</w:t>
            </w:r>
          </w:p>
        </w:tc>
        <w:tc>
          <w:tcPr>
            <w:tcW w:w="550" w:type="dxa"/>
          </w:tcPr>
          <w:p w14:paraId="5A02822B" w14:textId="77777777" w:rsidR="002375D6" w:rsidRDefault="008D0901">
            <w:pPr>
              <w:spacing w:after="0" w:line="240" w:lineRule="auto"/>
              <w:rPr>
                <w:sz w:val="24"/>
                <w:szCs w:val="24"/>
              </w:rPr>
            </w:pPr>
            <w:r>
              <w:rPr>
                <w:sz w:val="24"/>
                <w:szCs w:val="24"/>
              </w:rPr>
              <w:t>71</w:t>
            </w:r>
          </w:p>
        </w:tc>
        <w:tc>
          <w:tcPr>
            <w:tcW w:w="576" w:type="dxa"/>
          </w:tcPr>
          <w:p w14:paraId="2D489951" w14:textId="77777777" w:rsidR="002375D6" w:rsidRDefault="008D0901">
            <w:pPr>
              <w:spacing w:after="0" w:line="240" w:lineRule="auto"/>
              <w:rPr>
                <w:sz w:val="24"/>
                <w:szCs w:val="24"/>
              </w:rPr>
            </w:pPr>
            <w:r>
              <w:rPr>
                <w:sz w:val="24"/>
                <w:szCs w:val="24"/>
              </w:rPr>
              <w:t>90</w:t>
            </w:r>
          </w:p>
        </w:tc>
        <w:tc>
          <w:tcPr>
            <w:tcW w:w="576" w:type="dxa"/>
          </w:tcPr>
          <w:p w14:paraId="552E8F44" w14:textId="77777777" w:rsidR="002375D6" w:rsidRDefault="008D0901">
            <w:pPr>
              <w:spacing w:after="0" w:line="240" w:lineRule="auto"/>
              <w:rPr>
                <w:sz w:val="24"/>
                <w:szCs w:val="24"/>
              </w:rPr>
            </w:pPr>
            <w:r>
              <w:rPr>
                <w:sz w:val="24"/>
                <w:szCs w:val="24"/>
              </w:rPr>
              <w:t>232</w:t>
            </w:r>
          </w:p>
        </w:tc>
        <w:tc>
          <w:tcPr>
            <w:tcW w:w="576" w:type="dxa"/>
          </w:tcPr>
          <w:p w14:paraId="763B118C" w14:textId="77777777" w:rsidR="002375D6" w:rsidRDefault="008D0901">
            <w:pPr>
              <w:spacing w:after="0" w:line="240" w:lineRule="auto"/>
              <w:rPr>
                <w:sz w:val="24"/>
                <w:szCs w:val="24"/>
              </w:rPr>
            </w:pPr>
            <w:r>
              <w:rPr>
                <w:sz w:val="24"/>
                <w:szCs w:val="24"/>
              </w:rPr>
              <w:t>110</w:t>
            </w:r>
          </w:p>
        </w:tc>
        <w:tc>
          <w:tcPr>
            <w:tcW w:w="756" w:type="dxa"/>
          </w:tcPr>
          <w:p w14:paraId="531D0CA3" w14:textId="77777777" w:rsidR="002375D6" w:rsidRDefault="008D0901">
            <w:pPr>
              <w:spacing w:after="0" w:line="240" w:lineRule="auto"/>
              <w:rPr>
                <w:sz w:val="24"/>
                <w:szCs w:val="24"/>
              </w:rPr>
            </w:pPr>
            <w:r>
              <w:rPr>
                <w:sz w:val="24"/>
                <w:szCs w:val="24"/>
              </w:rPr>
              <w:t>0.728</w:t>
            </w:r>
          </w:p>
        </w:tc>
        <w:tc>
          <w:tcPr>
            <w:tcW w:w="777" w:type="dxa"/>
          </w:tcPr>
          <w:p w14:paraId="1C7AAEE5" w14:textId="77777777" w:rsidR="002375D6" w:rsidRDefault="008D0901">
            <w:pPr>
              <w:spacing w:after="0" w:line="240" w:lineRule="auto"/>
              <w:rPr>
                <w:sz w:val="24"/>
                <w:szCs w:val="24"/>
              </w:rPr>
            </w:pPr>
            <w:r>
              <w:rPr>
                <w:sz w:val="24"/>
                <w:szCs w:val="24"/>
              </w:rPr>
              <w:t>7</w:t>
            </w:r>
          </w:p>
        </w:tc>
      </w:tr>
      <w:tr w:rsidR="002375D6" w14:paraId="441232FF" w14:textId="77777777">
        <w:tc>
          <w:tcPr>
            <w:tcW w:w="790" w:type="dxa"/>
          </w:tcPr>
          <w:p w14:paraId="39674397" w14:textId="77777777" w:rsidR="002375D6" w:rsidRDefault="008D0901">
            <w:pPr>
              <w:spacing w:after="0" w:line="240" w:lineRule="auto"/>
              <w:rPr>
                <w:sz w:val="24"/>
                <w:szCs w:val="24"/>
              </w:rPr>
            </w:pPr>
            <w:r>
              <w:rPr>
                <w:sz w:val="24"/>
                <w:szCs w:val="24"/>
              </w:rPr>
              <w:t>5</w:t>
            </w:r>
          </w:p>
        </w:tc>
        <w:tc>
          <w:tcPr>
            <w:tcW w:w="7045" w:type="dxa"/>
          </w:tcPr>
          <w:p w14:paraId="4998DAE9" w14:textId="77777777" w:rsidR="002375D6" w:rsidRDefault="008D0901">
            <w:pPr>
              <w:spacing w:after="0" w:line="240" w:lineRule="auto"/>
              <w:rPr>
                <w:sz w:val="24"/>
                <w:szCs w:val="24"/>
              </w:rPr>
            </w:pPr>
            <w:r>
              <w:rPr>
                <w:sz w:val="24"/>
                <w:szCs w:val="24"/>
              </w:rPr>
              <w:t>Periodic assessment of NTEP by Federal Ministry of Education.</w:t>
            </w:r>
          </w:p>
        </w:tc>
        <w:tc>
          <w:tcPr>
            <w:tcW w:w="550" w:type="dxa"/>
          </w:tcPr>
          <w:p w14:paraId="0812FB6F" w14:textId="77777777" w:rsidR="002375D6" w:rsidRDefault="008D0901">
            <w:pPr>
              <w:spacing w:after="0" w:line="240" w:lineRule="auto"/>
              <w:rPr>
                <w:sz w:val="24"/>
                <w:szCs w:val="24"/>
              </w:rPr>
            </w:pPr>
            <w:r>
              <w:rPr>
                <w:sz w:val="24"/>
                <w:szCs w:val="24"/>
              </w:rPr>
              <w:t>34</w:t>
            </w:r>
          </w:p>
        </w:tc>
        <w:tc>
          <w:tcPr>
            <w:tcW w:w="456" w:type="dxa"/>
          </w:tcPr>
          <w:p w14:paraId="5B447C2F" w14:textId="77777777" w:rsidR="002375D6" w:rsidRDefault="008D0901">
            <w:pPr>
              <w:spacing w:after="0" w:line="240" w:lineRule="auto"/>
              <w:rPr>
                <w:sz w:val="24"/>
                <w:szCs w:val="24"/>
              </w:rPr>
            </w:pPr>
            <w:r>
              <w:rPr>
                <w:sz w:val="24"/>
                <w:szCs w:val="24"/>
              </w:rPr>
              <w:t>70</w:t>
            </w:r>
          </w:p>
        </w:tc>
        <w:tc>
          <w:tcPr>
            <w:tcW w:w="576" w:type="dxa"/>
          </w:tcPr>
          <w:p w14:paraId="6D5CED04" w14:textId="77777777" w:rsidR="002375D6" w:rsidRDefault="008D0901">
            <w:pPr>
              <w:spacing w:after="0" w:line="240" w:lineRule="auto"/>
              <w:rPr>
                <w:sz w:val="24"/>
                <w:szCs w:val="24"/>
              </w:rPr>
            </w:pPr>
            <w:r>
              <w:rPr>
                <w:sz w:val="24"/>
                <w:szCs w:val="24"/>
              </w:rPr>
              <w:t>232</w:t>
            </w:r>
          </w:p>
        </w:tc>
        <w:tc>
          <w:tcPr>
            <w:tcW w:w="576" w:type="dxa"/>
          </w:tcPr>
          <w:p w14:paraId="20FD9968" w14:textId="77777777" w:rsidR="002375D6" w:rsidRDefault="008D0901">
            <w:pPr>
              <w:spacing w:after="0" w:line="240" w:lineRule="auto"/>
              <w:rPr>
                <w:sz w:val="24"/>
                <w:szCs w:val="24"/>
              </w:rPr>
            </w:pPr>
            <w:r>
              <w:rPr>
                <w:sz w:val="24"/>
                <w:szCs w:val="24"/>
              </w:rPr>
              <w:t>140</w:t>
            </w:r>
          </w:p>
        </w:tc>
        <w:tc>
          <w:tcPr>
            <w:tcW w:w="756" w:type="dxa"/>
          </w:tcPr>
          <w:p w14:paraId="3BF2F470" w14:textId="77777777" w:rsidR="002375D6" w:rsidRDefault="008D0901">
            <w:pPr>
              <w:spacing w:after="0" w:line="240" w:lineRule="auto"/>
              <w:rPr>
                <w:sz w:val="24"/>
                <w:szCs w:val="24"/>
              </w:rPr>
            </w:pPr>
            <w:r>
              <w:rPr>
                <w:sz w:val="24"/>
                <w:szCs w:val="24"/>
              </w:rPr>
              <w:t>0.751</w:t>
            </w:r>
          </w:p>
        </w:tc>
        <w:tc>
          <w:tcPr>
            <w:tcW w:w="777" w:type="dxa"/>
          </w:tcPr>
          <w:p w14:paraId="7298355D" w14:textId="77777777" w:rsidR="002375D6" w:rsidRDefault="008D0901">
            <w:pPr>
              <w:spacing w:after="0" w:line="240" w:lineRule="auto"/>
              <w:rPr>
                <w:sz w:val="24"/>
                <w:szCs w:val="24"/>
              </w:rPr>
            </w:pPr>
            <w:r>
              <w:rPr>
                <w:sz w:val="24"/>
                <w:szCs w:val="24"/>
              </w:rPr>
              <w:t xml:space="preserve">  9</w:t>
            </w:r>
          </w:p>
        </w:tc>
        <w:tc>
          <w:tcPr>
            <w:tcW w:w="550" w:type="dxa"/>
          </w:tcPr>
          <w:p w14:paraId="54443854" w14:textId="77777777" w:rsidR="002375D6" w:rsidRDefault="008D0901">
            <w:pPr>
              <w:spacing w:after="0" w:line="240" w:lineRule="auto"/>
              <w:rPr>
                <w:sz w:val="24"/>
                <w:szCs w:val="24"/>
              </w:rPr>
            </w:pPr>
            <w:r>
              <w:rPr>
                <w:sz w:val="24"/>
                <w:szCs w:val="24"/>
              </w:rPr>
              <w:t>57</w:t>
            </w:r>
          </w:p>
        </w:tc>
        <w:tc>
          <w:tcPr>
            <w:tcW w:w="576" w:type="dxa"/>
          </w:tcPr>
          <w:p w14:paraId="5831DEFB" w14:textId="77777777" w:rsidR="002375D6" w:rsidRDefault="008D0901">
            <w:pPr>
              <w:spacing w:after="0" w:line="240" w:lineRule="auto"/>
              <w:rPr>
                <w:sz w:val="24"/>
                <w:szCs w:val="24"/>
              </w:rPr>
            </w:pPr>
            <w:r>
              <w:rPr>
                <w:sz w:val="24"/>
                <w:szCs w:val="24"/>
              </w:rPr>
              <w:t>57</w:t>
            </w:r>
          </w:p>
        </w:tc>
        <w:tc>
          <w:tcPr>
            <w:tcW w:w="576" w:type="dxa"/>
          </w:tcPr>
          <w:p w14:paraId="0C4435AD" w14:textId="77777777" w:rsidR="002375D6" w:rsidRDefault="008D0901">
            <w:pPr>
              <w:spacing w:after="0" w:line="240" w:lineRule="auto"/>
              <w:rPr>
                <w:sz w:val="24"/>
                <w:szCs w:val="24"/>
              </w:rPr>
            </w:pPr>
            <w:r>
              <w:rPr>
                <w:sz w:val="24"/>
                <w:szCs w:val="24"/>
              </w:rPr>
              <w:t>239</w:t>
            </w:r>
          </w:p>
        </w:tc>
        <w:tc>
          <w:tcPr>
            <w:tcW w:w="576" w:type="dxa"/>
          </w:tcPr>
          <w:p w14:paraId="2FCBF64E" w14:textId="77777777" w:rsidR="002375D6" w:rsidRDefault="008D0901">
            <w:pPr>
              <w:spacing w:after="0" w:line="240" w:lineRule="auto"/>
              <w:rPr>
                <w:sz w:val="24"/>
                <w:szCs w:val="24"/>
              </w:rPr>
            </w:pPr>
            <w:r>
              <w:rPr>
                <w:sz w:val="24"/>
                <w:szCs w:val="24"/>
              </w:rPr>
              <w:t>150</w:t>
            </w:r>
          </w:p>
        </w:tc>
        <w:tc>
          <w:tcPr>
            <w:tcW w:w="756" w:type="dxa"/>
          </w:tcPr>
          <w:p w14:paraId="3EB4DA9D" w14:textId="77777777" w:rsidR="002375D6" w:rsidRDefault="008D0901">
            <w:pPr>
              <w:spacing w:after="0" w:line="240" w:lineRule="auto"/>
              <w:rPr>
                <w:sz w:val="24"/>
                <w:szCs w:val="24"/>
              </w:rPr>
            </w:pPr>
            <w:r>
              <w:rPr>
                <w:sz w:val="24"/>
                <w:szCs w:val="24"/>
              </w:rPr>
              <w:t>0.782</w:t>
            </w:r>
          </w:p>
        </w:tc>
        <w:tc>
          <w:tcPr>
            <w:tcW w:w="777" w:type="dxa"/>
          </w:tcPr>
          <w:p w14:paraId="3B338F6E" w14:textId="77777777" w:rsidR="002375D6" w:rsidRDefault="008D0901">
            <w:pPr>
              <w:spacing w:after="0" w:line="240" w:lineRule="auto"/>
              <w:rPr>
                <w:sz w:val="24"/>
                <w:szCs w:val="24"/>
              </w:rPr>
            </w:pPr>
            <w:r>
              <w:rPr>
                <w:sz w:val="24"/>
                <w:szCs w:val="24"/>
              </w:rPr>
              <w:t>8</w:t>
            </w:r>
          </w:p>
        </w:tc>
      </w:tr>
      <w:tr w:rsidR="002375D6" w14:paraId="0A1B3433" w14:textId="77777777">
        <w:tc>
          <w:tcPr>
            <w:tcW w:w="790" w:type="dxa"/>
          </w:tcPr>
          <w:p w14:paraId="093B37C8" w14:textId="77777777" w:rsidR="002375D6" w:rsidRDefault="008D0901">
            <w:pPr>
              <w:spacing w:after="0" w:line="240" w:lineRule="auto"/>
              <w:rPr>
                <w:sz w:val="24"/>
                <w:szCs w:val="24"/>
              </w:rPr>
            </w:pPr>
            <w:r>
              <w:rPr>
                <w:sz w:val="24"/>
                <w:szCs w:val="24"/>
              </w:rPr>
              <w:t>6</w:t>
            </w:r>
          </w:p>
        </w:tc>
        <w:tc>
          <w:tcPr>
            <w:tcW w:w="7045" w:type="dxa"/>
          </w:tcPr>
          <w:p w14:paraId="3FD7B0A6" w14:textId="77777777" w:rsidR="002375D6" w:rsidRDefault="008D0901">
            <w:pPr>
              <w:spacing w:after="0" w:line="240" w:lineRule="auto"/>
              <w:rPr>
                <w:sz w:val="24"/>
                <w:szCs w:val="24"/>
              </w:rPr>
            </w:pPr>
            <w:r>
              <w:rPr>
                <w:sz w:val="24"/>
                <w:szCs w:val="24"/>
              </w:rPr>
              <w:t>Level of professionalism in the teaching profession.</w:t>
            </w:r>
          </w:p>
        </w:tc>
        <w:tc>
          <w:tcPr>
            <w:tcW w:w="550" w:type="dxa"/>
          </w:tcPr>
          <w:p w14:paraId="50A0A499" w14:textId="77777777" w:rsidR="002375D6" w:rsidRDefault="008D0901">
            <w:pPr>
              <w:spacing w:after="0" w:line="240" w:lineRule="auto"/>
              <w:rPr>
                <w:sz w:val="24"/>
                <w:szCs w:val="24"/>
              </w:rPr>
            </w:pPr>
            <w:r>
              <w:rPr>
                <w:sz w:val="24"/>
                <w:szCs w:val="24"/>
              </w:rPr>
              <w:t>27</w:t>
            </w:r>
          </w:p>
        </w:tc>
        <w:tc>
          <w:tcPr>
            <w:tcW w:w="456" w:type="dxa"/>
          </w:tcPr>
          <w:p w14:paraId="3DD768AF" w14:textId="77777777" w:rsidR="002375D6" w:rsidRDefault="008D0901">
            <w:pPr>
              <w:spacing w:after="0" w:line="240" w:lineRule="auto"/>
              <w:rPr>
                <w:sz w:val="24"/>
                <w:szCs w:val="24"/>
              </w:rPr>
            </w:pPr>
            <w:r>
              <w:rPr>
                <w:sz w:val="24"/>
                <w:szCs w:val="24"/>
              </w:rPr>
              <w:t>57</w:t>
            </w:r>
          </w:p>
        </w:tc>
        <w:tc>
          <w:tcPr>
            <w:tcW w:w="576" w:type="dxa"/>
          </w:tcPr>
          <w:p w14:paraId="0BD7D905" w14:textId="77777777" w:rsidR="002375D6" w:rsidRDefault="008D0901">
            <w:pPr>
              <w:spacing w:after="0" w:line="240" w:lineRule="auto"/>
              <w:rPr>
                <w:sz w:val="24"/>
                <w:szCs w:val="24"/>
              </w:rPr>
            </w:pPr>
            <w:r>
              <w:rPr>
                <w:sz w:val="24"/>
                <w:szCs w:val="24"/>
              </w:rPr>
              <w:t>219</w:t>
            </w:r>
          </w:p>
        </w:tc>
        <w:tc>
          <w:tcPr>
            <w:tcW w:w="576" w:type="dxa"/>
          </w:tcPr>
          <w:p w14:paraId="72AD4751" w14:textId="77777777" w:rsidR="002375D6" w:rsidRDefault="008D0901">
            <w:pPr>
              <w:spacing w:after="0" w:line="240" w:lineRule="auto"/>
              <w:rPr>
                <w:sz w:val="24"/>
                <w:szCs w:val="24"/>
              </w:rPr>
            </w:pPr>
            <w:r>
              <w:rPr>
                <w:sz w:val="24"/>
                <w:szCs w:val="24"/>
              </w:rPr>
              <w:t>173</w:t>
            </w:r>
          </w:p>
        </w:tc>
        <w:tc>
          <w:tcPr>
            <w:tcW w:w="756" w:type="dxa"/>
          </w:tcPr>
          <w:p w14:paraId="7C95D899" w14:textId="77777777" w:rsidR="002375D6" w:rsidRDefault="008D0901">
            <w:pPr>
              <w:spacing w:after="0" w:line="240" w:lineRule="auto"/>
              <w:rPr>
                <w:sz w:val="24"/>
                <w:szCs w:val="24"/>
              </w:rPr>
            </w:pPr>
            <w:r>
              <w:rPr>
                <w:sz w:val="24"/>
                <w:szCs w:val="24"/>
              </w:rPr>
              <w:t>0.783</w:t>
            </w:r>
          </w:p>
        </w:tc>
        <w:tc>
          <w:tcPr>
            <w:tcW w:w="777" w:type="dxa"/>
          </w:tcPr>
          <w:p w14:paraId="1BA34E42" w14:textId="77777777" w:rsidR="002375D6" w:rsidRDefault="008D0901">
            <w:pPr>
              <w:spacing w:after="0" w:line="240" w:lineRule="auto"/>
              <w:rPr>
                <w:sz w:val="24"/>
                <w:szCs w:val="24"/>
              </w:rPr>
            </w:pPr>
            <w:r>
              <w:rPr>
                <w:sz w:val="24"/>
                <w:szCs w:val="24"/>
              </w:rPr>
              <w:t xml:space="preserve">  6</w:t>
            </w:r>
          </w:p>
        </w:tc>
        <w:tc>
          <w:tcPr>
            <w:tcW w:w="550" w:type="dxa"/>
          </w:tcPr>
          <w:p w14:paraId="62FE0A5F" w14:textId="77777777" w:rsidR="002375D6" w:rsidRDefault="008D0901">
            <w:pPr>
              <w:spacing w:after="0" w:line="240" w:lineRule="auto"/>
              <w:rPr>
                <w:sz w:val="24"/>
                <w:szCs w:val="24"/>
              </w:rPr>
            </w:pPr>
            <w:r>
              <w:rPr>
                <w:sz w:val="24"/>
                <w:szCs w:val="24"/>
              </w:rPr>
              <w:t>59</w:t>
            </w:r>
          </w:p>
        </w:tc>
        <w:tc>
          <w:tcPr>
            <w:tcW w:w="576" w:type="dxa"/>
          </w:tcPr>
          <w:p w14:paraId="46E0DAE5" w14:textId="77777777" w:rsidR="002375D6" w:rsidRDefault="008D0901">
            <w:pPr>
              <w:spacing w:after="0" w:line="240" w:lineRule="auto"/>
              <w:rPr>
                <w:sz w:val="24"/>
                <w:szCs w:val="24"/>
              </w:rPr>
            </w:pPr>
            <w:r>
              <w:rPr>
                <w:sz w:val="24"/>
                <w:szCs w:val="24"/>
              </w:rPr>
              <w:t>80</w:t>
            </w:r>
          </w:p>
        </w:tc>
        <w:tc>
          <w:tcPr>
            <w:tcW w:w="576" w:type="dxa"/>
          </w:tcPr>
          <w:p w14:paraId="3B3A4AC0" w14:textId="77777777" w:rsidR="002375D6" w:rsidRDefault="008D0901">
            <w:pPr>
              <w:spacing w:after="0" w:line="240" w:lineRule="auto"/>
              <w:rPr>
                <w:sz w:val="24"/>
                <w:szCs w:val="24"/>
              </w:rPr>
            </w:pPr>
            <w:r>
              <w:rPr>
                <w:sz w:val="24"/>
                <w:szCs w:val="24"/>
              </w:rPr>
              <w:t>186</w:t>
            </w:r>
          </w:p>
        </w:tc>
        <w:tc>
          <w:tcPr>
            <w:tcW w:w="576" w:type="dxa"/>
          </w:tcPr>
          <w:p w14:paraId="46526D22" w14:textId="77777777" w:rsidR="002375D6" w:rsidRDefault="008D0901">
            <w:pPr>
              <w:spacing w:after="0" w:line="240" w:lineRule="auto"/>
              <w:rPr>
                <w:sz w:val="24"/>
                <w:szCs w:val="24"/>
              </w:rPr>
            </w:pPr>
            <w:r>
              <w:rPr>
                <w:sz w:val="24"/>
                <w:szCs w:val="24"/>
              </w:rPr>
              <w:t>178</w:t>
            </w:r>
          </w:p>
        </w:tc>
        <w:tc>
          <w:tcPr>
            <w:tcW w:w="756" w:type="dxa"/>
          </w:tcPr>
          <w:p w14:paraId="633192D5" w14:textId="77777777" w:rsidR="002375D6" w:rsidRDefault="008D0901">
            <w:pPr>
              <w:spacing w:after="0" w:line="240" w:lineRule="auto"/>
              <w:rPr>
                <w:sz w:val="24"/>
                <w:szCs w:val="24"/>
              </w:rPr>
            </w:pPr>
            <w:r>
              <w:rPr>
                <w:sz w:val="24"/>
                <w:szCs w:val="24"/>
              </w:rPr>
              <w:t>0.782</w:t>
            </w:r>
          </w:p>
        </w:tc>
        <w:tc>
          <w:tcPr>
            <w:tcW w:w="777" w:type="dxa"/>
          </w:tcPr>
          <w:p w14:paraId="7FDADB47" w14:textId="77777777" w:rsidR="002375D6" w:rsidRDefault="008D0901">
            <w:pPr>
              <w:spacing w:after="0" w:line="240" w:lineRule="auto"/>
              <w:rPr>
                <w:sz w:val="24"/>
                <w:szCs w:val="24"/>
              </w:rPr>
            </w:pPr>
            <w:r>
              <w:rPr>
                <w:sz w:val="24"/>
                <w:szCs w:val="24"/>
              </w:rPr>
              <w:t>8</w:t>
            </w:r>
          </w:p>
        </w:tc>
      </w:tr>
      <w:tr w:rsidR="002375D6" w14:paraId="0B3F9471" w14:textId="77777777">
        <w:tc>
          <w:tcPr>
            <w:tcW w:w="790" w:type="dxa"/>
          </w:tcPr>
          <w:p w14:paraId="50AE3050" w14:textId="77777777" w:rsidR="002375D6" w:rsidRDefault="008D0901">
            <w:pPr>
              <w:spacing w:after="0" w:line="240" w:lineRule="auto"/>
              <w:rPr>
                <w:sz w:val="24"/>
                <w:szCs w:val="24"/>
              </w:rPr>
            </w:pPr>
            <w:r>
              <w:rPr>
                <w:sz w:val="24"/>
                <w:szCs w:val="24"/>
              </w:rPr>
              <w:t>7</w:t>
            </w:r>
          </w:p>
        </w:tc>
        <w:tc>
          <w:tcPr>
            <w:tcW w:w="7045" w:type="dxa"/>
          </w:tcPr>
          <w:p w14:paraId="45805836" w14:textId="77777777" w:rsidR="002375D6" w:rsidRDefault="008D0901">
            <w:pPr>
              <w:spacing w:after="0" w:line="240" w:lineRule="auto"/>
              <w:rPr>
                <w:sz w:val="24"/>
                <w:szCs w:val="24"/>
              </w:rPr>
            </w:pPr>
            <w:r>
              <w:rPr>
                <w:sz w:val="24"/>
                <w:szCs w:val="24"/>
              </w:rPr>
              <w:t>Staff attendance at conferences and briefing by institution.</w:t>
            </w:r>
          </w:p>
        </w:tc>
        <w:tc>
          <w:tcPr>
            <w:tcW w:w="550" w:type="dxa"/>
          </w:tcPr>
          <w:p w14:paraId="67C4DFB7" w14:textId="77777777" w:rsidR="002375D6" w:rsidRDefault="008D0901">
            <w:pPr>
              <w:spacing w:after="0" w:line="240" w:lineRule="auto"/>
              <w:rPr>
                <w:sz w:val="24"/>
                <w:szCs w:val="24"/>
              </w:rPr>
            </w:pPr>
            <w:r>
              <w:rPr>
                <w:sz w:val="24"/>
                <w:szCs w:val="24"/>
              </w:rPr>
              <w:t>21</w:t>
            </w:r>
          </w:p>
        </w:tc>
        <w:tc>
          <w:tcPr>
            <w:tcW w:w="456" w:type="dxa"/>
          </w:tcPr>
          <w:p w14:paraId="06C74FFE" w14:textId="77777777" w:rsidR="002375D6" w:rsidRDefault="008D0901">
            <w:pPr>
              <w:spacing w:after="0" w:line="240" w:lineRule="auto"/>
              <w:rPr>
                <w:sz w:val="24"/>
                <w:szCs w:val="24"/>
              </w:rPr>
            </w:pPr>
            <w:r>
              <w:rPr>
                <w:sz w:val="24"/>
                <w:szCs w:val="24"/>
              </w:rPr>
              <w:t>47</w:t>
            </w:r>
          </w:p>
        </w:tc>
        <w:tc>
          <w:tcPr>
            <w:tcW w:w="576" w:type="dxa"/>
          </w:tcPr>
          <w:p w14:paraId="275474F4" w14:textId="77777777" w:rsidR="002375D6" w:rsidRDefault="008D0901">
            <w:pPr>
              <w:spacing w:after="0" w:line="240" w:lineRule="auto"/>
              <w:rPr>
                <w:sz w:val="24"/>
                <w:szCs w:val="24"/>
              </w:rPr>
            </w:pPr>
            <w:r>
              <w:rPr>
                <w:sz w:val="24"/>
                <w:szCs w:val="24"/>
              </w:rPr>
              <w:t>256</w:t>
            </w:r>
          </w:p>
        </w:tc>
        <w:tc>
          <w:tcPr>
            <w:tcW w:w="576" w:type="dxa"/>
          </w:tcPr>
          <w:p w14:paraId="6E177886" w14:textId="77777777" w:rsidR="002375D6" w:rsidRDefault="008D0901">
            <w:pPr>
              <w:spacing w:after="0" w:line="240" w:lineRule="auto"/>
              <w:rPr>
                <w:sz w:val="24"/>
                <w:szCs w:val="24"/>
              </w:rPr>
            </w:pPr>
            <w:r>
              <w:rPr>
                <w:sz w:val="24"/>
                <w:szCs w:val="24"/>
              </w:rPr>
              <w:t>152</w:t>
            </w:r>
          </w:p>
        </w:tc>
        <w:tc>
          <w:tcPr>
            <w:tcW w:w="756" w:type="dxa"/>
          </w:tcPr>
          <w:p w14:paraId="15779C40" w14:textId="77777777" w:rsidR="002375D6" w:rsidRDefault="008D0901">
            <w:pPr>
              <w:spacing w:after="0" w:line="240" w:lineRule="auto"/>
              <w:rPr>
                <w:sz w:val="24"/>
                <w:szCs w:val="24"/>
              </w:rPr>
            </w:pPr>
            <w:r>
              <w:rPr>
                <w:sz w:val="24"/>
                <w:szCs w:val="24"/>
              </w:rPr>
              <w:t>0.783</w:t>
            </w:r>
          </w:p>
        </w:tc>
        <w:tc>
          <w:tcPr>
            <w:tcW w:w="777" w:type="dxa"/>
          </w:tcPr>
          <w:p w14:paraId="28B2088F" w14:textId="77777777" w:rsidR="002375D6" w:rsidRDefault="008D0901">
            <w:pPr>
              <w:spacing w:after="0" w:line="240" w:lineRule="auto"/>
              <w:rPr>
                <w:sz w:val="24"/>
                <w:szCs w:val="24"/>
              </w:rPr>
            </w:pPr>
            <w:r>
              <w:rPr>
                <w:sz w:val="24"/>
                <w:szCs w:val="24"/>
              </w:rPr>
              <w:t xml:space="preserve">  6</w:t>
            </w:r>
          </w:p>
        </w:tc>
        <w:tc>
          <w:tcPr>
            <w:tcW w:w="550" w:type="dxa"/>
          </w:tcPr>
          <w:p w14:paraId="50FF3076" w14:textId="77777777" w:rsidR="002375D6" w:rsidRDefault="008D0901">
            <w:pPr>
              <w:spacing w:after="0" w:line="240" w:lineRule="auto"/>
              <w:rPr>
                <w:sz w:val="24"/>
                <w:szCs w:val="24"/>
              </w:rPr>
            </w:pPr>
            <w:r>
              <w:rPr>
                <w:sz w:val="24"/>
                <w:szCs w:val="24"/>
              </w:rPr>
              <w:t>57</w:t>
            </w:r>
          </w:p>
        </w:tc>
        <w:tc>
          <w:tcPr>
            <w:tcW w:w="576" w:type="dxa"/>
          </w:tcPr>
          <w:p w14:paraId="68F308E3" w14:textId="77777777" w:rsidR="002375D6" w:rsidRDefault="008D0901">
            <w:pPr>
              <w:spacing w:after="0" w:line="240" w:lineRule="auto"/>
              <w:rPr>
                <w:sz w:val="24"/>
                <w:szCs w:val="24"/>
              </w:rPr>
            </w:pPr>
            <w:r>
              <w:rPr>
                <w:sz w:val="24"/>
                <w:szCs w:val="24"/>
              </w:rPr>
              <w:t>72</w:t>
            </w:r>
          </w:p>
        </w:tc>
        <w:tc>
          <w:tcPr>
            <w:tcW w:w="576" w:type="dxa"/>
          </w:tcPr>
          <w:p w14:paraId="4EA8ED7E" w14:textId="77777777" w:rsidR="002375D6" w:rsidRDefault="008D0901">
            <w:pPr>
              <w:spacing w:after="0" w:line="240" w:lineRule="auto"/>
              <w:rPr>
                <w:sz w:val="24"/>
                <w:szCs w:val="24"/>
              </w:rPr>
            </w:pPr>
            <w:r>
              <w:rPr>
                <w:sz w:val="24"/>
                <w:szCs w:val="24"/>
              </w:rPr>
              <w:t>159</w:t>
            </w:r>
          </w:p>
        </w:tc>
        <w:tc>
          <w:tcPr>
            <w:tcW w:w="576" w:type="dxa"/>
          </w:tcPr>
          <w:p w14:paraId="41ABCC5F" w14:textId="77777777" w:rsidR="002375D6" w:rsidRDefault="008D0901">
            <w:pPr>
              <w:spacing w:after="0" w:line="240" w:lineRule="auto"/>
              <w:rPr>
                <w:sz w:val="24"/>
                <w:szCs w:val="24"/>
              </w:rPr>
            </w:pPr>
            <w:r>
              <w:rPr>
                <w:sz w:val="24"/>
                <w:szCs w:val="24"/>
              </w:rPr>
              <w:t>215</w:t>
            </w:r>
          </w:p>
        </w:tc>
        <w:tc>
          <w:tcPr>
            <w:tcW w:w="756" w:type="dxa"/>
          </w:tcPr>
          <w:p w14:paraId="76CC2AEE" w14:textId="77777777" w:rsidR="002375D6" w:rsidRDefault="008D0901">
            <w:pPr>
              <w:spacing w:after="0" w:line="240" w:lineRule="auto"/>
              <w:rPr>
                <w:sz w:val="24"/>
                <w:szCs w:val="24"/>
              </w:rPr>
            </w:pPr>
            <w:r>
              <w:rPr>
                <w:sz w:val="24"/>
                <w:szCs w:val="24"/>
              </w:rPr>
              <w:t>0.808</w:t>
            </w:r>
          </w:p>
        </w:tc>
        <w:tc>
          <w:tcPr>
            <w:tcW w:w="777" w:type="dxa"/>
          </w:tcPr>
          <w:p w14:paraId="1197E52C" w14:textId="77777777" w:rsidR="002375D6" w:rsidRDefault="008D0901">
            <w:pPr>
              <w:spacing w:after="0" w:line="240" w:lineRule="auto"/>
              <w:rPr>
                <w:sz w:val="24"/>
                <w:szCs w:val="24"/>
              </w:rPr>
            </w:pPr>
            <w:r>
              <w:rPr>
                <w:sz w:val="24"/>
                <w:szCs w:val="24"/>
              </w:rPr>
              <w:t>4</w:t>
            </w:r>
          </w:p>
        </w:tc>
      </w:tr>
      <w:tr w:rsidR="002375D6" w14:paraId="68EC2B1F" w14:textId="77777777">
        <w:tc>
          <w:tcPr>
            <w:tcW w:w="790" w:type="dxa"/>
          </w:tcPr>
          <w:p w14:paraId="212E6328" w14:textId="77777777" w:rsidR="002375D6" w:rsidRDefault="008D0901">
            <w:pPr>
              <w:spacing w:after="0" w:line="240" w:lineRule="auto"/>
              <w:rPr>
                <w:sz w:val="24"/>
                <w:szCs w:val="24"/>
              </w:rPr>
            </w:pPr>
            <w:r>
              <w:rPr>
                <w:sz w:val="24"/>
                <w:szCs w:val="24"/>
              </w:rPr>
              <w:t>8</w:t>
            </w:r>
          </w:p>
        </w:tc>
        <w:tc>
          <w:tcPr>
            <w:tcW w:w="7045" w:type="dxa"/>
          </w:tcPr>
          <w:p w14:paraId="0B9EC08A" w14:textId="77777777" w:rsidR="002375D6" w:rsidRDefault="008D0901">
            <w:pPr>
              <w:spacing w:after="0" w:line="240" w:lineRule="auto"/>
              <w:rPr>
                <w:sz w:val="24"/>
                <w:szCs w:val="24"/>
              </w:rPr>
            </w:pPr>
            <w:r>
              <w:rPr>
                <w:sz w:val="24"/>
                <w:szCs w:val="24"/>
              </w:rPr>
              <w:t>Assessment of institution’s compliance with NTEP by National Universities Commission.</w:t>
            </w:r>
          </w:p>
        </w:tc>
        <w:tc>
          <w:tcPr>
            <w:tcW w:w="550" w:type="dxa"/>
          </w:tcPr>
          <w:p w14:paraId="644D1ACA" w14:textId="77777777" w:rsidR="002375D6" w:rsidRDefault="008D0901">
            <w:pPr>
              <w:spacing w:after="0" w:line="240" w:lineRule="auto"/>
              <w:rPr>
                <w:sz w:val="24"/>
                <w:szCs w:val="24"/>
              </w:rPr>
            </w:pPr>
            <w:r>
              <w:rPr>
                <w:sz w:val="24"/>
                <w:szCs w:val="24"/>
              </w:rPr>
              <w:t>26</w:t>
            </w:r>
          </w:p>
        </w:tc>
        <w:tc>
          <w:tcPr>
            <w:tcW w:w="456" w:type="dxa"/>
          </w:tcPr>
          <w:p w14:paraId="7D099B1C" w14:textId="77777777" w:rsidR="002375D6" w:rsidRDefault="008D0901">
            <w:pPr>
              <w:spacing w:after="0" w:line="240" w:lineRule="auto"/>
              <w:rPr>
                <w:sz w:val="24"/>
                <w:szCs w:val="24"/>
              </w:rPr>
            </w:pPr>
            <w:r>
              <w:rPr>
                <w:sz w:val="24"/>
                <w:szCs w:val="24"/>
              </w:rPr>
              <w:t>31</w:t>
            </w:r>
          </w:p>
        </w:tc>
        <w:tc>
          <w:tcPr>
            <w:tcW w:w="576" w:type="dxa"/>
          </w:tcPr>
          <w:p w14:paraId="7490784E" w14:textId="77777777" w:rsidR="002375D6" w:rsidRDefault="008D0901">
            <w:pPr>
              <w:spacing w:after="0" w:line="240" w:lineRule="auto"/>
              <w:rPr>
                <w:sz w:val="24"/>
                <w:szCs w:val="24"/>
              </w:rPr>
            </w:pPr>
            <w:r>
              <w:rPr>
                <w:sz w:val="24"/>
                <w:szCs w:val="24"/>
              </w:rPr>
              <w:t>244</w:t>
            </w:r>
          </w:p>
        </w:tc>
        <w:tc>
          <w:tcPr>
            <w:tcW w:w="576" w:type="dxa"/>
          </w:tcPr>
          <w:p w14:paraId="65644158" w14:textId="77777777" w:rsidR="002375D6" w:rsidRDefault="008D0901">
            <w:pPr>
              <w:spacing w:after="0" w:line="240" w:lineRule="auto"/>
              <w:rPr>
                <w:sz w:val="24"/>
                <w:szCs w:val="24"/>
              </w:rPr>
            </w:pPr>
            <w:r>
              <w:rPr>
                <w:sz w:val="24"/>
                <w:szCs w:val="24"/>
              </w:rPr>
              <w:t>175</w:t>
            </w:r>
          </w:p>
        </w:tc>
        <w:tc>
          <w:tcPr>
            <w:tcW w:w="756" w:type="dxa"/>
          </w:tcPr>
          <w:p w14:paraId="522BB44B" w14:textId="77777777" w:rsidR="002375D6" w:rsidRDefault="008D0901">
            <w:pPr>
              <w:spacing w:after="0" w:line="240" w:lineRule="auto"/>
              <w:rPr>
                <w:sz w:val="24"/>
                <w:szCs w:val="24"/>
              </w:rPr>
            </w:pPr>
            <w:r>
              <w:rPr>
                <w:sz w:val="24"/>
                <w:szCs w:val="24"/>
              </w:rPr>
              <w:t>0.798</w:t>
            </w:r>
          </w:p>
        </w:tc>
        <w:tc>
          <w:tcPr>
            <w:tcW w:w="777" w:type="dxa"/>
          </w:tcPr>
          <w:p w14:paraId="71B08D97" w14:textId="77777777" w:rsidR="002375D6" w:rsidRDefault="008D0901">
            <w:pPr>
              <w:spacing w:after="0" w:line="240" w:lineRule="auto"/>
              <w:rPr>
                <w:sz w:val="24"/>
                <w:szCs w:val="24"/>
              </w:rPr>
            </w:pPr>
            <w:r>
              <w:rPr>
                <w:sz w:val="24"/>
                <w:szCs w:val="24"/>
              </w:rPr>
              <w:t xml:space="preserve">  2</w:t>
            </w:r>
          </w:p>
        </w:tc>
        <w:tc>
          <w:tcPr>
            <w:tcW w:w="550" w:type="dxa"/>
          </w:tcPr>
          <w:p w14:paraId="1D34CCB9" w14:textId="77777777" w:rsidR="002375D6" w:rsidRDefault="008D0901">
            <w:pPr>
              <w:spacing w:after="0" w:line="240" w:lineRule="auto"/>
              <w:rPr>
                <w:sz w:val="24"/>
                <w:szCs w:val="24"/>
              </w:rPr>
            </w:pPr>
            <w:r>
              <w:rPr>
                <w:sz w:val="24"/>
                <w:szCs w:val="24"/>
              </w:rPr>
              <w:t>43</w:t>
            </w:r>
          </w:p>
        </w:tc>
        <w:tc>
          <w:tcPr>
            <w:tcW w:w="576" w:type="dxa"/>
          </w:tcPr>
          <w:p w14:paraId="0D9E9A38" w14:textId="77777777" w:rsidR="002375D6" w:rsidRDefault="008D0901">
            <w:pPr>
              <w:spacing w:after="0" w:line="240" w:lineRule="auto"/>
              <w:rPr>
                <w:sz w:val="24"/>
                <w:szCs w:val="24"/>
              </w:rPr>
            </w:pPr>
            <w:r>
              <w:rPr>
                <w:sz w:val="24"/>
                <w:szCs w:val="24"/>
              </w:rPr>
              <w:t>59</w:t>
            </w:r>
          </w:p>
        </w:tc>
        <w:tc>
          <w:tcPr>
            <w:tcW w:w="576" w:type="dxa"/>
          </w:tcPr>
          <w:p w14:paraId="188F14FD" w14:textId="77777777" w:rsidR="002375D6" w:rsidRDefault="008D0901">
            <w:pPr>
              <w:spacing w:after="0" w:line="240" w:lineRule="auto"/>
              <w:rPr>
                <w:sz w:val="24"/>
                <w:szCs w:val="24"/>
              </w:rPr>
            </w:pPr>
            <w:r>
              <w:rPr>
                <w:sz w:val="24"/>
                <w:szCs w:val="24"/>
              </w:rPr>
              <w:t>226</w:t>
            </w:r>
          </w:p>
        </w:tc>
        <w:tc>
          <w:tcPr>
            <w:tcW w:w="576" w:type="dxa"/>
          </w:tcPr>
          <w:p w14:paraId="4424DBB1" w14:textId="77777777" w:rsidR="002375D6" w:rsidRDefault="008D0901">
            <w:pPr>
              <w:spacing w:after="0" w:line="240" w:lineRule="auto"/>
              <w:rPr>
                <w:sz w:val="24"/>
                <w:szCs w:val="24"/>
              </w:rPr>
            </w:pPr>
            <w:r>
              <w:rPr>
                <w:sz w:val="24"/>
                <w:szCs w:val="24"/>
              </w:rPr>
              <w:t>175</w:t>
            </w:r>
          </w:p>
        </w:tc>
        <w:tc>
          <w:tcPr>
            <w:tcW w:w="756" w:type="dxa"/>
          </w:tcPr>
          <w:p w14:paraId="550CEE77" w14:textId="77777777" w:rsidR="002375D6" w:rsidRDefault="008D0901">
            <w:pPr>
              <w:spacing w:after="0" w:line="240" w:lineRule="auto"/>
              <w:rPr>
                <w:sz w:val="24"/>
                <w:szCs w:val="24"/>
              </w:rPr>
            </w:pPr>
            <w:r>
              <w:rPr>
                <w:sz w:val="24"/>
                <w:szCs w:val="24"/>
              </w:rPr>
              <w:t>0.808</w:t>
            </w:r>
          </w:p>
        </w:tc>
        <w:tc>
          <w:tcPr>
            <w:tcW w:w="777" w:type="dxa"/>
          </w:tcPr>
          <w:p w14:paraId="6C252AE9" w14:textId="77777777" w:rsidR="002375D6" w:rsidRDefault="008D0901">
            <w:pPr>
              <w:spacing w:after="0" w:line="240" w:lineRule="auto"/>
              <w:rPr>
                <w:sz w:val="24"/>
                <w:szCs w:val="24"/>
              </w:rPr>
            </w:pPr>
            <w:r>
              <w:rPr>
                <w:sz w:val="24"/>
                <w:szCs w:val="24"/>
              </w:rPr>
              <w:t>4</w:t>
            </w:r>
          </w:p>
        </w:tc>
      </w:tr>
      <w:tr w:rsidR="002375D6" w14:paraId="3EB8B1A6" w14:textId="77777777">
        <w:tc>
          <w:tcPr>
            <w:tcW w:w="790" w:type="dxa"/>
          </w:tcPr>
          <w:p w14:paraId="473F357A" w14:textId="77777777" w:rsidR="002375D6" w:rsidRDefault="008D0901">
            <w:pPr>
              <w:spacing w:after="0" w:line="240" w:lineRule="auto"/>
              <w:rPr>
                <w:sz w:val="24"/>
                <w:szCs w:val="24"/>
              </w:rPr>
            </w:pPr>
            <w:r>
              <w:rPr>
                <w:sz w:val="24"/>
                <w:szCs w:val="24"/>
              </w:rPr>
              <w:t>9</w:t>
            </w:r>
          </w:p>
        </w:tc>
        <w:tc>
          <w:tcPr>
            <w:tcW w:w="7045" w:type="dxa"/>
          </w:tcPr>
          <w:p w14:paraId="5EF374C4" w14:textId="77777777" w:rsidR="002375D6" w:rsidRDefault="008D0901">
            <w:pPr>
              <w:spacing w:after="0" w:line="240" w:lineRule="auto"/>
              <w:rPr>
                <w:sz w:val="24"/>
                <w:szCs w:val="24"/>
              </w:rPr>
            </w:pPr>
            <w:r>
              <w:rPr>
                <w:sz w:val="24"/>
                <w:szCs w:val="24"/>
              </w:rPr>
              <w:t>Lack of inclusion of NTEP in Teacher Education Curriculum.</w:t>
            </w:r>
          </w:p>
        </w:tc>
        <w:tc>
          <w:tcPr>
            <w:tcW w:w="550" w:type="dxa"/>
          </w:tcPr>
          <w:p w14:paraId="3CD36F2D" w14:textId="77777777" w:rsidR="002375D6" w:rsidRDefault="008D0901">
            <w:pPr>
              <w:spacing w:after="0" w:line="240" w:lineRule="auto"/>
              <w:rPr>
                <w:sz w:val="24"/>
                <w:szCs w:val="24"/>
              </w:rPr>
            </w:pPr>
            <w:r>
              <w:rPr>
                <w:sz w:val="24"/>
                <w:szCs w:val="24"/>
              </w:rPr>
              <w:t>20</w:t>
            </w:r>
          </w:p>
        </w:tc>
        <w:tc>
          <w:tcPr>
            <w:tcW w:w="456" w:type="dxa"/>
          </w:tcPr>
          <w:p w14:paraId="165CE160" w14:textId="77777777" w:rsidR="002375D6" w:rsidRDefault="008D0901">
            <w:pPr>
              <w:spacing w:after="0" w:line="240" w:lineRule="auto"/>
              <w:rPr>
                <w:sz w:val="24"/>
                <w:szCs w:val="24"/>
              </w:rPr>
            </w:pPr>
            <w:r>
              <w:rPr>
                <w:sz w:val="24"/>
                <w:szCs w:val="24"/>
              </w:rPr>
              <w:t>38</w:t>
            </w:r>
          </w:p>
        </w:tc>
        <w:tc>
          <w:tcPr>
            <w:tcW w:w="576" w:type="dxa"/>
          </w:tcPr>
          <w:p w14:paraId="043ED30E" w14:textId="77777777" w:rsidR="002375D6" w:rsidRDefault="008D0901">
            <w:pPr>
              <w:spacing w:after="0" w:line="240" w:lineRule="auto"/>
              <w:rPr>
                <w:sz w:val="24"/>
                <w:szCs w:val="24"/>
              </w:rPr>
            </w:pPr>
            <w:r>
              <w:rPr>
                <w:sz w:val="24"/>
                <w:szCs w:val="24"/>
              </w:rPr>
              <w:t>248</w:t>
            </w:r>
          </w:p>
        </w:tc>
        <w:tc>
          <w:tcPr>
            <w:tcW w:w="576" w:type="dxa"/>
          </w:tcPr>
          <w:p w14:paraId="793375E2" w14:textId="77777777" w:rsidR="002375D6" w:rsidRDefault="008D0901">
            <w:pPr>
              <w:spacing w:after="0" w:line="240" w:lineRule="auto"/>
              <w:rPr>
                <w:sz w:val="24"/>
                <w:szCs w:val="24"/>
              </w:rPr>
            </w:pPr>
            <w:r>
              <w:rPr>
                <w:sz w:val="24"/>
                <w:szCs w:val="24"/>
              </w:rPr>
              <w:t>170</w:t>
            </w:r>
          </w:p>
        </w:tc>
        <w:tc>
          <w:tcPr>
            <w:tcW w:w="756" w:type="dxa"/>
          </w:tcPr>
          <w:p w14:paraId="463E48FA" w14:textId="77777777" w:rsidR="002375D6" w:rsidRDefault="008D0901">
            <w:pPr>
              <w:spacing w:after="0" w:line="240" w:lineRule="auto"/>
              <w:rPr>
                <w:sz w:val="24"/>
                <w:szCs w:val="24"/>
              </w:rPr>
            </w:pPr>
            <w:r>
              <w:rPr>
                <w:sz w:val="24"/>
                <w:szCs w:val="24"/>
              </w:rPr>
              <w:t>0.798</w:t>
            </w:r>
          </w:p>
        </w:tc>
        <w:tc>
          <w:tcPr>
            <w:tcW w:w="777" w:type="dxa"/>
          </w:tcPr>
          <w:p w14:paraId="5E826B9F" w14:textId="77777777" w:rsidR="002375D6" w:rsidRDefault="008D0901">
            <w:pPr>
              <w:spacing w:after="0" w:line="240" w:lineRule="auto"/>
              <w:rPr>
                <w:sz w:val="24"/>
                <w:szCs w:val="24"/>
              </w:rPr>
            </w:pPr>
            <w:r>
              <w:rPr>
                <w:sz w:val="24"/>
                <w:szCs w:val="24"/>
              </w:rPr>
              <w:t xml:space="preserve">  2</w:t>
            </w:r>
          </w:p>
        </w:tc>
        <w:tc>
          <w:tcPr>
            <w:tcW w:w="550" w:type="dxa"/>
          </w:tcPr>
          <w:p w14:paraId="4C679392" w14:textId="77777777" w:rsidR="002375D6" w:rsidRDefault="008D0901">
            <w:pPr>
              <w:spacing w:after="0" w:line="240" w:lineRule="auto"/>
              <w:rPr>
                <w:sz w:val="24"/>
                <w:szCs w:val="24"/>
              </w:rPr>
            </w:pPr>
            <w:r>
              <w:rPr>
                <w:sz w:val="24"/>
                <w:szCs w:val="24"/>
              </w:rPr>
              <w:t>26</w:t>
            </w:r>
          </w:p>
        </w:tc>
        <w:tc>
          <w:tcPr>
            <w:tcW w:w="576" w:type="dxa"/>
          </w:tcPr>
          <w:p w14:paraId="3C951597" w14:textId="77777777" w:rsidR="002375D6" w:rsidRDefault="008D0901">
            <w:pPr>
              <w:spacing w:after="0" w:line="240" w:lineRule="auto"/>
              <w:rPr>
                <w:sz w:val="24"/>
                <w:szCs w:val="24"/>
              </w:rPr>
            </w:pPr>
            <w:r>
              <w:rPr>
                <w:sz w:val="24"/>
                <w:szCs w:val="24"/>
              </w:rPr>
              <w:t>101</w:t>
            </w:r>
          </w:p>
        </w:tc>
        <w:tc>
          <w:tcPr>
            <w:tcW w:w="576" w:type="dxa"/>
          </w:tcPr>
          <w:p w14:paraId="3E6A1B9F" w14:textId="77777777" w:rsidR="002375D6" w:rsidRDefault="008D0901">
            <w:pPr>
              <w:spacing w:after="0" w:line="240" w:lineRule="auto"/>
              <w:rPr>
                <w:sz w:val="24"/>
                <w:szCs w:val="24"/>
              </w:rPr>
            </w:pPr>
            <w:r>
              <w:rPr>
                <w:sz w:val="24"/>
                <w:szCs w:val="24"/>
              </w:rPr>
              <w:t>233</w:t>
            </w:r>
          </w:p>
        </w:tc>
        <w:tc>
          <w:tcPr>
            <w:tcW w:w="576" w:type="dxa"/>
          </w:tcPr>
          <w:p w14:paraId="07B26D78" w14:textId="77777777" w:rsidR="002375D6" w:rsidRDefault="008D0901">
            <w:pPr>
              <w:spacing w:after="0" w:line="240" w:lineRule="auto"/>
              <w:rPr>
                <w:sz w:val="24"/>
                <w:szCs w:val="24"/>
              </w:rPr>
            </w:pPr>
            <w:r>
              <w:rPr>
                <w:sz w:val="24"/>
                <w:szCs w:val="24"/>
              </w:rPr>
              <w:t>143</w:t>
            </w:r>
          </w:p>
        </w:tc>
        <w:tc>
          <w:tcPr>
            <w:tcW w:w="756" w:type="dxa"/>
          </w:tcPr>
          <w:p w14:paraId="631E4BBD" w14:textId="77777777" w:rsidR="002375D6" w:rsidRDefault="008D0901">
            <w:pPr>
              <w:spacing w:after="0" w:line="240" w:lineRule="auto"/>
              <w:rPr>
                <w:sz w:val="24"/>
                <w:szCs w:val="24"/>
              </w:rPr>
            </w:pPr>
            <w:r>
              <w:rPr>
                <w:sz w:val="24"/>
                <w:szCs w:val="24"/>
              </w:rPr>
              <w:t>0.787</w:t>
            </w:r>
          </w:p>
        </w:tc>
        <w:tc>
          <w:tcPr>
            <w:tcW w:w="777" w:type="dxa"/>
          </w:tcPr>
          <w:p w14:paraId="1C4C85E0" w14:textId="77777777" w:rsidR="002375D6" w:rsidRDefault="008D0901">
            <w:pPr>
              <w:spacing w:after="0" w:line="240" w:lineRule="auto"/>
              <w:rPr>
                <w:sz w:val="24"/>
                <w:szCs w:val="24"/>
              </w:rPr>
            </w:pPr>
            <w:r>
              <w:rPr>
                <w:sz w:val="24"/>
                <w:szCs w:val="24"/>
              </w:rPr>
              <w:t>6</w:t>
            </w:r>
          </w:p>
        </w:tc>
      </w:tr>
      <w:tr w:rsidR="002375D6" w14:paraId="55495332" w14:textId="77777777">
        <w:tc>
          <w:tcPr>
            <w:tcW w:w="790" w:type="dxa"/>
          </w:tcPr>
          <w:p w14:paraId="4E840DE3" w14:textId="77777777" w:rsidR="002375D6" w:rsidRDefault="008D0901">
            <w:pPr>
              <w:spacing w:after="0" w:line="240" w:lineRule="auto"/>
              <w:rPr>
                <w:sz w:val="24"/>
                <w:szCs w:val="24"/>
              </w:rPr>
            </w:pPr>
            <w:r>
              <w:rPr>
                <w:sz w:val="24"/>
                <w:szCs w:val="24"/>
              </w:rPr>
              <w:t>10</w:t>
            </w:r>
          </w:p>
        </w:tc>
        <w:tc>
          <w:tcPr>
            <w:tcW w:w="7045" w:type="dxa"/>
          </w:tcPr>
          <w:p w14:paraId="3B159C79" w14:textId="77777777" w:rsidR="002375D6" w:rsidRDefault="008D0901">
            <w:pPr>
              <w:spacing w:after="0" w:line="240" w:lineRule="auto"/>
              <w:rPr>
                <w:sz w:val="24"/>
                <w:szCs w:val="24"/>
              </w:rPr>
            </w:pPr>
            <w:r>
              <w:rPr>
                <w:sz w:val="24"/>
                <w:szCs w:val="24"/>
              </w:rPr>
              <w:t>Lack of regular revision of NTEP.</w:t>
            </w:r>
          </w:p>
        </w:tc>
        <w:tc>
          <w:tcPr>
            <w:tcW w:w="550" w:type="dxa"/>
          </w:tcPr>
          <w:p w14:paraId="4720B416" w14:textId="77777777" w:rsidR="002375D6" w:rsidRDefault="008D0901">
            <w:pPr>
              <w:spacing w:after="0" w:line="240" w:lineRule="auto"/>
              <w:rPr>
                <w:sz w:val="24"/>
                <w:szCs w:val="24"/>
              </w:rPr>
            </w:pPr>
            <w:r>
              <w:rPr>
                <w:sz w:val="24"/>
                <w:szCs w:val="24"/>
              </w:rPr>
              <w:t>27</w:t>
            </w:r>
          </w:p>
        </w:tc>
        <w:tc>
          <w:tcPr>
            <w:tcW w:w="456" w:type="dxa"/>
          </w:tcPr>
          <w:p w14:paraId="4CA97992" w14:textId="77777777" w:rsidR="002375D6" w:rsidRDefault="008D0901">
            <w:pPr>
              <w:spacing w:after="0" w:line="240" w:lineRule="auto"/>
              <w:rPr>
                <w:sz w:val="24"/>
                <w:szCs w:val="24"/>
              </w:rPr>
            </w:pPr>
            <w:r>
              <w:rPr>
                <w:sz w:val="24"/>
                <w:szCs w:val="24"/>
              </w:rPr>
              <w:t>36</w:t>
            </w:r>
          </w:p>
        </w:tc>
        <w:tc>
          <w:tcPr>
            <w:tcW w:w="576" w:type="dxa"/>
          </w:tcPr>
          <w:p w14:paraId="1CA9BE1E" w14:textId="77777777" w:rsidR="002375D6" w:rsidRDefault="008D0901">
            <w:pPr>
              <w:spacing w:after="0" w:line="240" w:lineRule="auto"/>
              <w:rPr>
                <w:sz w:val="24"/>
                <w:szCs w:val="24"/>
              </w:rPr>
            </w:pPr>
            <w:r>
              <w:rPr>
                <w:sz w:val="24"/>
                <w:szCs w:val="24"/>
              </w:rPr>
              <w:t>267</w:t>
            </w:r>
          </w:p>
        </w:tc>
        <w:tc>
          <w:tcPr>
            <w:tcW w:w="576" w:type="dxa"/>
          </w:tcPr>
          <w:p w14:paraId="36EF43D7" w14:textId="77777777" w:rsidR="002375D6" w:rsidRDefault="008D0901">
            <w:pPr>
              <w:spacing w:after="0" w:line="240" w:lineRule="auto"/>
              <w:rPr>
                <w:sz w:val="24"/>
                <w:szCs w:val="24"/>
              </w:rPr>
            </w:pPr>
            <w:r>
              <w:rPr>
                <w:sz w:val="24"/>
                <w:szCs w:val="24"/>
              </w:rPr>
              <w:t>146</w:t>
            </w:r>
          </w:p>
        </w:tc>
        <w:tc>
          <w:tcPr>
            <w:tcW w:w="756" w:type="dxa"/>
          </w:tcPr>
          <w:p w14:paraId="140A58C3" w14:textId="77777777" w:rsidR="002375D6" w:rsidRDefault="008D0901">
            <w:pPr>
              <w:spacing w:after="0" w:line="240" w:lineRule="auto"/>
              <w:rPr>
                <w:sz w:val="24"/>
                <w:szCs w:val="24"/>
              </w:rPr>
            </w:pPr>
            <w:r>
              <w:rPr>
                <w:sz w:val="24"/>
                <w:szCs w:val="24"/>
              </w:rPr>
              <w:t>0.779</w:t>
            </w:r>
          </w:p>
        </w:tc>
        <w:tc>
          <w:tcPr>
            <w:tcW w:w="777" w:type="dxa"/>
          </w:tcPr>
          <w:p w14:paraId="6BFBF985" w14:textId="77777777" w:rsidR="002375D6" w:rsidRDefault="008D0901">
            <w:pPr>
              <w:spacing w:after="0" w:line="240" w:lineRule="auto"/>
              <w:rPr>
                <w:sz w:val="24"/>
                <w:szCs w:val="24"/>
              </w:rPr>
            </w:pPr>
            <w:r>
              <w:rPr>
                <w:sz w:val="24"/>
                <w:szCs w:val="24"/>
              </w:rPr>
              <w:t xml:space="preserve">  8</w:t>
            </w:r>
          </w:p>
        </w:tc>
        <w:tc>
          <w:tcPr>
            <w:tcW w:w="550" w:type="dxa"/>
          </w:tcPr>
          <w:p w14:paraId="3CA04480" w14:textId="77777777" w:rsidR="002375D6" w:rsidRDefault="008D0901">
            <w:pPr>
              <w:spacing w:after="0" w:line="240" w:lineRule="auto"/>
              <w:rPr>
                <w:sz w:val="24"/>
                <w:szCs w:val="24"/>
              </w:rPr>
            </w:pPr>
            <w:r>
              <w:rPr>
                <w:sz w:val="24"/>
                <w:szCs w:val="24"/>
              </w:rPr>
              <w:t>25</w:t>
            </w:r>
          </w:p>
        </w:tc>
        <w:tc>
          <w:tcPr>
            <w:tcW w:w="576" w:type="dxa"/>
          </w:tcPr>
          <w:p w14:paraId="6B70AC9A" w14:textId="77777777" w:rsidR="002375D6" w:rsidRDefault="008D0901">
            <w:pPr>
              <w:spacing w:after="0" w:line="240" w:lineRule="auto"/>
              <w:rPr>
                <w:sz w:val="24"/>
                <w:szCs w:val="24"/>
              </w:rPr>
            </w:pPr>
            <w:r>
              <w:rPr>
                <w:sz w:val="24"/>
                <w:szCs w:val="24"/>
              </w:rPr>
              <w:t>68</w:t>
            </w:r>
          </w:p>
        </w:tc>
        <w:tc>
          <w:tcPr>
            <w:tcW w:w="576" w:type="dxa"/>
          </w:tcPr>
          <w:p w14:paraId="5C9A826F" w14:textId="77777777" w:rsidR="002375D6" w:rsidRDefault="008D0901">
            <w:pPr>
              <w:spacing w:after="0" w:line="240" w:lineRule="auto"/>
              <w:rPr>
                <w:sz w:val="24"/>
                <w:szCs w:val="24"/>
              </w:rPr>
            </w:pPr>
            <w:r>
              <w:rPr>
                <w:sz w:val="24"/>
                <w:szCs w:val="24"/>
              </w:rPr>
              <w:t>231</w:t>
            </w:r>
          </w:p>
        </w:tc>
        <w:tc>
          <w:tcPr>
            <w:tcW w:w="576" w:type="dxa"/>
          </w:tcPr>
          <w:p w14:paraId="2E8ACB25" w14:textId="77777777" w:rsidR="002375D6" w:rsidRDefault="008D0901">
            <w:pPr>
              <w:spacing w:after="0" w:line="240" w:lineRule="auto"/>
              <w:rPr>
                <w:sz w:val="24"/>
                <w:szCs w:val="24"/>
              </w:rPr>
            </w:pPr>
            <w:r>
              <w:rPr>
                <w:sz w:val="24"/>
                <w:szCs w:val="24"/>
              </w:rPr>
              <w:t>179</w:t>
            </w:r>
          </w:p>
        </w:tc>
        <w:tc>
          <w:tcPr>
            <w:tcW w:w="756" w:type="dxa"/>
          </w:tcPr>
          <w:p w14:paraId="1DA016B9" w14:textId="77777777" w:rsidR="002375D6" w:rsidRDefault="008D0901">
            <w:pPr>
              <w:spacing w:after="0" w:line="240" w:lineRule="auto"/>
              <w:rPr>
                <w:sz w:val="24"/>
                <w:szCs w:val="24"/>
              </w:rPr>
            </w:pPr>
            <w:r>
              <w:rPr>
                <w:sz w:val="24"/>
                <w:szCs w:val="24"/>
              </w:rPr>
              <w:t>0.825</w:t>
            </w:r>
          </w:p>
        </w:tc>
        <w:tc>
          <w:tcPr>
            <w:tcW w:w="777" w:type="dxa"/>
          </w:tcPr>
          <w:p w14:paraId="2194673D" w14:textId="77777777" w:rsidR="002375D6" w:rsidRDefault="008D0901">
            <w:pPr>
              <w:spacing w:after="0" w:line="240" w:lineRule="auto"/>
              <w:rPr>
                <w:sz w:val="24"/>
                <w:szCs w:val="24"/>
              </w:rPr>
            </w:pPr>
            <w:r>
              <w:rPr>
                <w:sz w:val="24"/>
                <w:szCs w:val="24"/>
              </w:rPr>
              <w:t>3</w:t>
            </w:r>
          </w:p>
        </w:tc>
      </w:tr>
    </w:tbl>
    <w:p w14:paraId="79097C4D" w14:textId="77777777" w:rsidR="002375D6" w:rsidRDefault="008D090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Source: Field Survey (2021)</w:t>
      </w:r>
    </w:p>
    <w:p w14:paraId="7BF29FB0" w14:textId="77777777" w:rsidR="002375D6" w:rsidRDefault="008D090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VT= Very True</w:t>
      </w:r>
      <w:r>
        <w:rPr>
          <w:rFonts w:ascii="Times New Roman" w:hAnsi="Times New Roman"/>
          <w:sz w:val="24"/>
          <w:szCs w:val="24"/>
        </w:rPr>
        <w:tab/>
      </w:r>
    </w:p>
    <w:p w14:paraId="25E51DBF" w14:textId="77777777" w:rsidR="002375D6" w:rsidRDefault="008D090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 True</w:t>
      </w:r>
    </w:p>
    <w:p w14:paraId="61B2F722" w14:textId="77777777" w:rsidR="002375D6" w:rsidRDefault="008D090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ST= Somewhat True</w:t>
      </w:r>
    </w:p>
    <w:p w14:paraId="29BFCFE2" w14:textId="77777777" w:rsidR="002375D6" w:rsidRDefault="008D0901">
      <w:pPr>
        <w:pStyle w:val="ListParagraph"/>
        <w:spacing w:after="0" w:line="240" w:lineRule="auto"/>
        <w:ind w:left="0"/>
        <w:jc w:val="both"/>
        <w:rPr>
          <w:rFonts w:ascii="Times New Roman" w:hAnsi="Times New Roman"/>
          <w:sz w:val="24"/>
          <w:szCs w:val="24"/>
        </w:rPr>
        <w:sectPr w:rsidR="002375D6">
          <w:pgSz w:w="16834" w:h="11909" w:orient="landscape" w:code="9"/>
          <w:pgMar w:top="1728" w:right="1440" w:bottom="1440" w:left="1440" w:header="720" w:footer="720" w:gutter="0"/>
          <w:pgNumType w:start="1"/>
          <w:cols w:space="720"/>
          <w:docGrid w:linePitch="360"/>
        </w:sectPr>
      </w:pPr>
      <w:r>
        <w:rPr>
          <w:rFonts w:ascii="Times New Roman" w:hAnsi="Times New Roman"/>
          <w:sz w:val="24"/>
          <w:szCs w:val="24"/>
        </w:rPr>
        <w:t>NT- Not True</w:t>
      </w:r>
      <w:r>
        <w:rPr>
          <w:rFonts w:ascii="Times New Roman" w:hAnsi="Times New Roman"/>
          <w:sz w:val="24"/>
          <w:szCs w:val="24"/>
        </w:rPr>
        <w:tab/>
      </w:r>
    </w:p>
    <w:p w14:paraId="3E96E698" w14:textId="584A160E" w:rsidR="002375D6" w:rsidRDefault="008D0901">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Table 2 </w:t>
      </w:r>
      <w:r w:rsidR="00BB5EAC" w:rsidRPr="00837D90">
        <w:rPr>
          <w:rFonts w:ascii="Times New Roman" w:hAnsi="Times New Roman"/>
          <w:sz w:val="24"/>
          <w:szCs w:val="24"/>
          <w:highlight w:val="yellow"/>
        </w:rPr>
        <w:t xml:space="preserve">shows </w:t>
      </w:r>
      <w:r w:rsidRPr="00837D90">
        <w:rPr>
          <w:rFonts w:ascii="Times New Roman" w:hAnsi="Times New Roman"/>
          <w:sz w:val="24"/>
          <w:szCs w:val="24"/>
          <w:highlight w:val="yellow"/>
        </w:rPr>
        <w:t>the ranking</w:t>
      </w:r>
      <w:r>
        <w:rPr>
          <w:rFonts w:ascii="Times New Roman" w:hAnsi="Times New Roman"/>
          <w:sz w:val="24"/>
          <w:szCs w:val="24"/>
        </w:rPr>
        <w:t xml:space="preserve"> of factors that are capable of affecting awareness </w:t>
      </w:r>
      <w:r w:rsidRPr="00837D90">
        <w:rPr>
          <w:rFonts w:ascii="Times New Roman" w:hAnsi="Times New Roman"/>
          <w:sz w:val="24"/>
          <w:szCs w:val="24"/>
          <w:highlight w:val="yellow"/>
        </w:rPr>
        <w:t xml:space="preserve">of </w:t>
      </w:r>
      <w:r w:rsidR="00BB5EAC" w:rsidRPr="00837D90">
        <w:rPr>
          <w:rFonts w:ascii="Times New Roman" w:hAnsi="Times New Roman"/>
          <w:sz w:val="24"/>
          <w:szCs w:val="24"/>
          <w:highlight w:val="yellow"/>
        </w:rPr>
        <w:t>the</w:t>
      </w:r>
      <w:r w:rsidR="00BB5EAC">
        <w:rPr>
          <w:rFonts w:ascii="Times New Roman" w:hAnsi="Times New Roman"/>
          <w:sz w:val="24"/>
          <w:szCs w:val="24"/>
        </w:rPr>
        <w:t xml:space="preserve"> </w:t>
      </w:r>
      <w:r>
        <w:rPr>
          <w:rFonts w:ascii="Times New Roman" w:hAnsi="Times New Roman"/>
          <w:sz w:val="24"/>
          <w:szCs w:val="24"/>
        </w:rPr>
        <w:t xml:space="preserve">National Teacher Education Policy as perceived by lecturers in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Colle</w:t>
      </w:r>
      <w:r>
        <w:rPr>
          <w:rFonts w:ascii="Times New Roman" w:hAnsi="Times New Roman"/>
          <w:sz w:val="24"/>
          <w:szCs w:val="24"/>
        </w:rPr>
        <w:t xml:space="preserve">ge of Education and Universities. </w:t>
      </w:r>
    </w:p>
    <w:p w14:paraId="3E1938B9" w14:textId="2D3D04EF" w:rsidR="002375D6" w:rsidRDefault="008D0901">
      <w:pPr>
        <w:spacing w:after="0" w:line="480" w:lineRule="auto"/>
        <w:jc w:val="both"/>
        <w:rPr>
          <w:rFonts w:ascii="Times New Roman" w:hAnsi="Times New Roman"/>
          <w:sz w:val="24"/>
          <w:szCs w:val="24"/>
        </w:rPr>
      </w:pPr>
      <w:r>
        <w:rPr>
          <w:rFonts w:ascii="Times New Roman" w:hAnsi="Times New Roman"/>
          <w:sz w:val="24"/>
          <w:szCs w:val="24"/>
        </w:rPr>
        <w:t>The ranking from Table 2 showed that both the lecturers in Colleges of Education and Universities claimed that “poor funding contributed to the inadequate awareness of NTEP” is a major factor affecting NTEP</w:t>
      </w:r>
      <w:r w:rsidR="00BB5EAC">
        <w:rPr>
          <w:rFonts w:ascii="Times New Roman" w:hAnsi="Times New Roman"/>
          <w:sz w:val="24"/>
          <w:szCs w:val="24"/>
        </w:rPr>
        <w:t>,</w:t>
      </w:r>
      <w:r>
        <w:rPr>
          <w:rFonts w:ascii="Times New Roman" w:hAnsi="Times New Roman"/>
          <w:sz w:val="24"/>
          <w:szCs w:val="24"/>
        </w:rPr>
        <w:t xml:space="preserve"> with the highest relative importance index (RII) of 0.804 and 0.863</w:t>
      </w:r>
      <w:r w:rsidR="00BB5EAC">
        <w:rPr>
          <w:rFonts w:ascii="Times New Roman" w:hAnsi="Times New Roman"/>
          <w:sz w:val="24"/>
          <w:szCs w:val="24"/>
        </w:rPr>
        <w:t>,</w:t>
      </w:r>
      <w:r>
        <w:rPr>
          <w:rFonts w:ascii="Times New Roman" w:hAnsi="Times New Roman"/>
          <w:sz w:val="24"/>
          <w:szCs w:val="24"/>
        </w:rPr>
        <w:t xml:space="preserve"> respectively. Also, </w:t>
      </w:r>
      <w:r w:rsidRPr="00837D90">
        <w:rPr>
          <w:rFonts w:ascii="Times New Roman" w:hAnsi="Times New Roman"/>
          <w:sz w:val="24"/>
          <w:szCs w:val="24"/>
          <w:highlight w:val="yellow"/>
        </w:rPr>
        <w:t>Table</w:t>
      </w:r>
      <w:r>
        <w:rPr>
          <w:rFonts w:ascii="Times New Roman" w:hAnsi="Times New Roman"/>
          <w:sz w:val="24"/>
          <w:szCs w:val="24"/>
        </w:rPr>
        <w:t xml:space="preserve"> 2 recorded the lowest RII of 0.711 (availability of NTEP copies in libraries) and 0.763 (periodic assessment of NTEP by Federal Ministry of Education) as possible factors affecting awareness of NTEP</w:t>
      </w:r>
      <w:r w:rsidR="00121347">
        <w:rPr>
          <w:rFonts w:ascii="Times New Roman" w:hAnsi="Times New Roman"/>
          <w:sz w:val="24"/>
          <w:szCs w:val="24"/>
        </w:rPr>
        <w:t>,</w:t>
      </w:r>
      <w:r>
        <w:rPr>
          <w:rFonts w:ascii="Times New Roman" w:hAnsi="Times New Roman"/>
          <w:sz w:val="24"/>
          <w:szCs w:val="24"/>
        </w:rPr>
        <w:t xml:space="preserve"> as ascertained by lecturers in Colleges of Education and Universities</w:t>
      </w:r>
      <w:r w:rsidR="00121347">
        <w:rPr>
          <w:rFonts w:ascii="Times New Roman" w:hAnsi="Times New Roman"/>
          <w:sz w:val="24"/>
          <w:szCs w:val="24"/>
        </w:rPr>
        <w:t>,</w:t>
      </w:r>
      <w:r>
        <w:rPr>
          <w:rFonts w:ascii="Times New Roman" w:hAnsi="Times New Roman"/>
          <w:sz w:val="24"/>
          <w:szCs w:val="24"/>
        </w:rPr>
        <w:t xml:space="preserve"> r</w:t>
      </w:r>
      <w:r w:rsidRPr="00837D90">
        <w:rPr>
          <w:rFonts w:ascii="Times New Roman" w:hAnsi="Times New Roman"/>
          <w:sz w:val="24"/>
          <w:szCs w:val="24"/>
          <w:highlight w:val="yellow"/>
        </w:rPr>
        <w:t>e</w:t>
      </w:r>
      <w:r>
        <w:rPr>
          <w:rFonts w:ascii="Times New Roman" w:hAnsi="Times New Roman"/>
          <w:sz w:val="24"/>
          <w:szCs w:val="24"/>
        </w:rPr>
        <w:t xml:space="preserve">spectively. </w:t>
      </w:r>
    </w:p>
    <w:p w14:paraId="68A1F370"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Discussion of Findings</w:t>
      </w:r>
    </w:p>
    <w:p w14:paraId="2804EE8C" w14:textId="49E4FAB5"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t xml:space="preserve">From the findings of the study, there was moderate awareness of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N</w:t>
      </w:r>
      <w:r>
        <w:rPr>
          <w:rFonts w:ascii="Times New Roman" w:hAnsi="Times New Roman"/>
          <w:sz w:val="24"/>
          <w:szCs w:val="24"/>
        </w:rPr>
        <w:t>ational Teacher Education Policy among lecturers in universities and Colleges of Education. This finding was supported by the position of Adebowale and Dare (2012) that</w:t>
      </w:r>
      <w:r w:rsidR="00BB5EAC">
        <w:rPr>
          <w:rFonts w:ascii="Times New Roman" w:hAnsi="Times New Roman"/>
          <w:sz w:val="24"/>
          <w:szCs w:val="24"/>
        </w:rPr>
        <w:t>,</w:t>
      </w:r>
      <w:r>
        <w:rPr>
          <w:rFonts w:ascii="Times New Roman" w:hAnsi="Times New Roman"/>
          <w:sz w:val="24"/>
          <w:szCs w:val="24"/>
        </w:rPr>
        <w:t xml:space="preserve"> in order for any education policy to succeed, teachers are indispensable in the formulation </w:t>
      </w:r>
      <w:r w:rsidRPr="00837D90">
        <w:rPr>
          <w:rFonts w:ascii="Times New Roman" w:hAnsi="Times New Roman"/>
          <w:sz w:val="24"/>
          <w:szCs w:val="24"/>
          <w:highlight w:val="yellow"/>
        </w:rPr>
        <w:t>and implementation</w:t>
      </w:r>
      <w:r>
        <w:rPr>
          <w:rFonts w:ascii="Times New Roman" w:hAnsi="Times New Roman"/>
          <w:sz w:val="24"/>
          <w:szCs w:val="24"/>
        </w:rPr>
        <w:t xml:space="preserve"> of the policy. However, in a situation where the teachers who are meant to implement the policy are either ignorant of the </w:t>
      </w:r>
      <w:r w:rsidR="00BB5EAC" w:rsidRPr="00837D90">
        <w:rPr>
          <w:rFonts w:ascii="Times New Roman" w:hAnsi="Times New Roman"/>
          <w:sz w:val="24"/>
          <w:szCs w:val="24"/>
          <w:highlight w:val="yellow"/>
        </w:rPr>
        <w:t xml:space="preserve">existence </w:t>
      </w:r>
      <w:r w:rsidRPr="00837D90">
        <w:rPr>
          <w:rFonts w:ascii="Times New Roman" w:hAnsi="Times New Roman"/>
          <w:sz w:val="24"/>
          <w:szCs w:val="24"/>
          <w:highlight w:val="yellow"/>
        </w:rPr>
        <w:t>of the</w:t>
      </w:r>
      <w:r>
        <w:rPr>
          <w:rFonts w:ascii="Times New Roman" w:hAnsi="Times New Roman"/>
          <w:sz w:val="24"/>
          <w:szCs w:val="24"/>
        </w:rPr>
        <w:t xml:space="preserve"> policy or only possess a moderate level of awareness about the policy, it is inevitable that the policy </w:t>
      </w:r>
      <w:r w:rsidR="00BB5EAC" w:rsidRPr="00837D90">
        <w:rPr>
          <w:rFonts w:ascii="Times New Roman" w:hAnsi="Times New Roman"/>
          <w:sz w:val="24"/>
          <w:szCs w:val="24"/>
          <w:highlight w:val="yellow"/>
        </w:rPr>
        <w:t xml:space="preserve">will be </w:t>
      </w:r>
      <w:r w:rsidRPr="00837D90">
        <w:rPr>
          <w:rFonts w:ascii="Times New Roman" w:hAnsi="Times New Roman"/>
          <w:sz w:val="24"/>
          <w:szCs w:val="24"/>
          <w:highlight w:val="yellow"/>
        </w:rPr>
        <w:t>shoddily</w:t>
      </w:r>
      <w:r>
        <w:rPr>
          <w:rFonts w:ascii="Times New Roman" w:hAnsi="Times New Roman"/>
          <w:sz w:val="24"/>
          <w:szCs w:val="24"/>
        </w:rPr>
        <w:t xml:space="preserve"> implemented. </w:t>
      </w:r>
      <w:r w:rsidR="00BB5EAC" w:rsidRPr="00837D90">
        <w:rPr>
          <w:rFonts w:ascii="Times New Roman" w:hAnsi="Times New Roman"/>
          <w:sz w:val="24"/>
          <w:szCs w:val="24"/>
          <w:highlight w:val="yellow"/>
        </w:rPr>
        <w:t>Additionally</w:t>
      </w:r>
      <w:r w:rsidRPr="00837D90">
        <w:rPr>
          <w:rFonts w:ascii="Times New Roman" w:hAnsi="Times New Roman"/>
          <w:sz w:val="24"/>
          <w:szCs w:val="24"/>
          <w:highlight w:val="yellow"/>
        </w:rPr>
        <w:t>, the</w:t>
      </w:r>
      <w:r>
        <w:rPr>
          <w:rFonts w:ascii="Times New Roman" w:hAnsi="Times New Roman"/>
          <w:sz w:val="24"/>
          <w:szCs w:val="24"/>
        </w:rPr>
        <w:t xml:space="preserve"> knowledge of teachers about a policy (ICT) will determine its success or otherwise in education.</w:t>
      </w:r>
    </w:p>
    <w:p w14:paraId="6040490C" w14:textId="0CA195BC" w:rsidR="002375D6" w:rsidRDefault="00F943FF">
      <w:pPr>
        <w:spacing w:after="0" w:line="480" w:lineRule="auto"/>
        <w:ind w:firstLine="720"/>
        <w:jc w:val="both"/>
        <w:rPr>
          <w:rFonts w:ascii="Times New Roman" w:hAnsi="Times New Roman"/>
          <w:sz w:val="24"/>
          <w:szCs w:val="24"/>
        </w:rPr>
      </w:pPr>
      <w:r w:rsidRPr="00837D90">
        <w:rPr>
          <w:rFonts w:ascii="Times New Roman" w:hAnsi="Times New Roman"/>
          <w:sz w:val="24"/>
          <w:szCs w:val="24"/>
          <w:highlight w:val="yellow"/>
        </w:rPr>
        <w:t xml:space="preserve">Johnson (2024) </w:t>
      </w:r>
      <w:r w:rsidR="008D0901">
        <w:rPr>
          <w:rFonts w:ascii="Times New Roman" w:hAnsi="Times New Roman"/>
          <w:sz w:val="24"/>
          <w:szCs w:val="24"/>
        </w:rPr>
        <w:t xml:space="preserve">also affirmed that </w:t>
      </w:r>
      <w:r w:rsidR="000B5796">
        <w:rPr>
          <w:rFonts w:ascii="Times New Roman" w:hAnsi="Times New Roman"/>
          <w:sz w:val="24"/>
          <w:szCs w:val="24"/>
        </w:rPr>
        <w:t>“</w:t>
      </w:r>
      <w:r w:rsidR="008D0901">
        <w:rPr>
          <w:rFonts w:ascii="Times New Roman" w:hAnsi="Times New Roman"/>
          <w:sz w:val="24"/>
          <w:szCs w:val="24"/>
        </w:rPr>
        <w:t xml:space="preserve">there is </w:t>
      </w:r>
      <w:r w:rsidR="00BB5EAC" w:rsidRPr="00837D90">
        <w:rPr>
          <w:rFonts w:ascii="Times New Roman" w:hAnsi="Times New Roman"/>
          <w:sz w:val="24"/>
          <w:szCs w:val="24"/>
          <w:highlight w:val="yellow"/>
        </w:rPr>
        <w:t xml:space="preserve">a </w:t>
      </w:r>
      <w:r w:rsidR="008D0901" w:rsidRPr="00837D90">
        <w:rPr>
          <w:rFonts w:ascii="Times New Roman" w:hAnsi="Times New Roman"/>
          <w:sz w:val="24"/>
          <w:szCs w:val="24"/>
          <w:highlight w:val="yellow"/>
        </w:rPr>
        <w:t>need</w:t>
      </w:r>
      <w:r w:rsidR="008D0901">
        <w:rPr>
          <w:rFonts w:ascii="Times New Roman" w:hAnsi="Times New Roman"/>
          <w:sz w:val="24"/>
          <w:szCs w:val="24"/>
        </w:rPr>
        <w:t xml:space="preserve"> for adequate awareness of the policy among teachers at all levels of education</w:t>
      </w:r>
      <w:r w:rsidR="00BB5EAC">
        <w:rPr>
          <w:rFonts w:ascii="Times New Roman" w:hAnsi="Times New Roman"/>
          <w:sz w:val="24"/>
          <w:szCs w:val="24"/>
        </w:rPr>
        <w:t>,</w:t>
      </w:r>
      <w:r w:rsidR="008D0901">
        <w:rPr>
          <w:rFonts w:ascii="Times New Roman" w:hAnsi="Times New Roman"/>
          <w:sz w:val="24"/>
          <w:szCs w:val="24"/>
        </w:rPr>
        <w:t xml:space="preserve"> especially secondary school education</w:t>
      </w:r>
      <w:r w:rsidR="00BB5EAC">
        <w:rPr>
          <w:rFonts w:ascii="Times New Roman" w:hAnsi="Times New Roman"/>
          <w:sz w:val="24"/>
          <w:szCs w:val="24"/>
        </w:rPr>
        <w:t>,</w:t>
      </w:r>
      <w:r w:rsidR="008D0901">
        <w:rPr>
          <w:rFonts w:ascii="Times New Roman" w:hAnsi="Times New Roman"/>
          <w:sz w:val="24"/>
          <w:szCs w:val="24"/>
        </w:rPr>
        <w:t xml:space="preserve"> because it is the bedrock of education as it stands between primary and tertiary education. Having ensured the awareness of the policy among teachers, the teachers would be able to know how best to </w:t>
      </w:r>
      <w:r w:rsidR="008D0901">
        <w:rPr>
          <w:rFonts w:ascii="Times New Roman" w:hAnsi="Times New Roman"/>
          <w:sz w:val="24"/>
          <w:szCs w:val="24"/>
        </w:rPr>
        <w:lastRenderedPageBreak/>
        <w:t xml:space="preserve">go about curriculum implementation to ensure </w:t>
      </w:r>
      <w:r w:rsidR="00BB5EAC">
        <w:rPr>
          <w:rFonts w:ascii="Times New Roman" w:hAnsi="Times New Roman"/>
          <w:sz w:val="24"/>
          <w:szCs w:val="24"/>
        </w:rPr>
        <w:t xml:space="preserve">a </w:t>
      </w:r>
      <w:r w:rsidR="008D0901">
        <w:rPr>
          <w:rFonts w:ascii="Times New Roman" w:hAnsi="Times New Roman"/>
          <w:sz w:val="24"/>
          <w:szCs w:val="24"/>
        </w:rPr>
        <w:t xml:space="preserve">relatively permanent change in learners so that they become functional </w:t>
      </w:r>
      <w:r w:rsidR="008D0901" w:rsidRPr="00837D90">
        <w:rPr>
          <w:rFonts w:ascii="Times New Roman" w:hAnsi="Times New Roman"/>
          <w:sz w:val="24"/>
          <w:szCs w:val="24"/>
          <w:highlight w:val="yellow"/>
        </w:rPr>
        <w:t>members of society</w:t>
      </w:r>
      <w:r w:rsidR="000B5796">
        <w:rPr>
          <w:rFonts w:ascii="Times New Roman" w:hAnsi="Times New Roman"/>
          <w:sz w:val="24"/>
          <w:szCs w:val="24"/>
          <w:highlight w:val="yellow"/>
        </w:rPr>
        <w:t>”</w:t>
      </w:r>
      <w:r w:rsidR="008D0901">
        <w:rPr>
          <w:rFonts w:ascii="Times New Roman" w:hAnsi="Times New Roman"/>
          <w:sz w:val="24"/>
          <w:szCs w:val="24"/>
        </w:rPr>
        <w:t>.</w:t>
      </w:r>
    </w:p>
    <w:p w14:paraId="1D3F498C" w14:textId="14E8843E"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addition, </w:t>
      </w:r>
      <w:proofErr w:type="spellStart"/>
      <w:r>
        <w:rPr>
          <w:rFonts w:ascii="Times New Roman" w:hAnsi="Times New Roman"/>
          <w:sz w:val="24"/>
          <w:szCs w:val="24"/>
        </w:rPr>
        <w:t>Koda</w:t>
      </w:r>
      <w:proofErr w:type="spellEnd"/>
      <w:r>
        <w:rPr>
          <w:rFonts w:ascii="Times New Roman" w:hAnsi="Times New Roman"/>
          <w:sz w:val="24"/>
          <w:szCs w:val="24"/>
        </w:rPr>
        <w:t xml:space="preserve"> (2007) and </w:t>
      </w:r>
      <w:proofErr w:type="spellStart"/>
      <w:r>
        <w:rPr>
          <w:rFonts w:ascii="Times New Roman" w:hAnsi="Times New Roman"/>
          <w:sz w:val="24"/>
          <w:szCs w:val="24"/>
        </w:rPr>
        <w:t>Malekele</w:t>
      </w:r>
      <w:proofErr w:type="spellEnd"/>
      <w:r>
        <w:rPr>
          <w:rFonts w:ascii="Times New Roman" w:hAnsi="Times New Roman"/>
          <w:sz w:val="24"/>
          <w:szCs w:val="24"/>
        </w:rPr>
        <w:t xml:space="preserve"> (2000) posited that awareness of the policy among the secondary school teachers is second to none because it </w:t>
      </w:r>
      <w:r w:rsidRPr="00837D90">
        <w:rPr>
          <w:rFonts w:ascii="Times New Roman" w:hAnsi="Times New Roman"/>
          <w:sz w:val="24"/>
          <w:szCs w:val="24"/>
          <w:highlight w:val="yellow"/>
        </w:rPr>
        <w:t xml:space="preserve">has </w:t>
      </w:r>
      <w:r w:rsidR="00BB5EAC" w:rsidRPr="00837D90">
        <w:rPr>
          <w:rFonts w:ascii="Times New Roman" w:hAnsi="Times New Roman"/>
          <w:sz w:val="24"/>
          <w:szCs w:val="24"/>
          <w:highlight w:val="yellow"/>
        </w:rPr>
        <w:t xml:space="preserve">an </w:t>
      </w:r>
      <w:r w:rsidRPr="00837D90">
        <w:rPr>
          <w:rFonts w:ascii="Times New Roman" w:hAnsi="Times New Roman"/>
          <w:sz w:val="24"/>
          <w:szCs w:val="24"/>
          <w:highlight w:val="yellow"/>
        </w:rPr>
        <w:t>important</w:t>
      </w:r>
      <w:r>
        <w:rPr>
          <w:rFonts w:ascii="Times New Roman" w:hAnsi="Times New Roman"/>
          <w:sz w:val="24"/>
          <w:szCs w:val="24"/>
        </w:rPr>
        <w:t xml:space="preserve"> connection with other levels of education as well as the world of work. It is </w:t>
      </w:r>
      <w:r w:rsidRPr="00837D90">
        <w:rPr>
          <w:rFonts w:ascii="Times New Roman" w:hAnsi="Times New Roman"/>
          <w:sz w:val="24"/>
          <w:szCs w:val="24"/>
          <w:highlight w:val="yellow"/>
        </w:rPr>
        <w:t xml:space="preserve">therefore </w:t>
      </w:r>
      <w:r w:rsidR="00BB5EAC" w:rsidRPr="00837D90">
        <w:rPr>
          <w:rFonts w:ascii="Times New Roman" w:hAnsi="Times New Roman"/>
          <w:sz w:val="24"/>
          <w:szCs w:val="24"/>
          <w:highlight w:val="yellow"/>
        </w:rPr>
        <w:t>deduced</w:t>
      </w:r>
      <w:r w:rsidR="00BB5EAC">
        <w:rPr>
          <w:rFonts w:ascii="Times New Roman" w:hAnsi="Times New Roman"/>
          <w:sz w:val="24"/>
          <w:szCs w:val="24"/>
        </w:rPr>
        <w:t xml:space="preserve"> </w:t>
      </w:r>
      <w:r>
        <w:rPr>
          <w:rFonts w:ascii="Times New Roman" w:hAnsi="Times New Roman"/>
          <w:sz w:val="24"/>
          <w:szCs w:val="24"/>
        </w:rPr>
        <w:t>that the demand or secondary education has continued to increase rapidly</w:t>
      </w:r>
      <w:r w:rsidR="00BB5EAC">
        <w:rPr>
          <w:rFonts w:ascii="Times New Roman" w:hAnsi="Times New Roman"/>
          <w:sz w:val="24"/>
          <w:szCs w:val="24"/>
        </w:rPr>
        <w:t>,</w:t>
      </w:r>
      <w:r>
        <w:rPr>
          <w:rFonts w:ascii="Times New Roman" w:hAnsi="Times New Roman"/>
          <w:sz w:val="24"/>
          <w:szCs w:val="24"/>
        </w:rPr>
        <w:t xml:space="preserve"> consequent upon the pivotal role it plays in the development of the nation</w:t>
      </w:r>
      <w:r w:rsidR="00BB5EAC">
        <w:rPr>
          <w:rFonts w:ascii="Times New Roman" w:hAnsi="Times New Roman"/>
          <w:sz w:val="24"/>
          <w:szCs w:val="24"/>
        </w:rPr>
        <w:t xml:space="preserve">; </w:t>
      </w:r>
      <w:r>
        <w:rPr>
          <w:rFonts w:ascii="Times New Roman" w:hAnsi="Times New Roman"/>
          <w:sz w:val="24"/>
          <w:szCs w:val="24"/>
        </w:rPr>
        <w:t xml:space="preserve">hence, there is </w:t>
      </w:r>
      <w:r w:rsidR="00BB5EAC">
        <w:rPr>
          <w:rFonts w:ascii="Times New Roman" w:hAnsi="Times New Roman"/>
          <w:sz w:val="24"/>
          <w:szCs w:val="24"/>
        </w:rPr>
        <w:t xml:space="preserve">a </w:t>
      </w:r>
      <w:r>
        <w:rPr>
          <w:rFonts w:ascii="Times New Roman" w:hAnsi="Times New Roman"/>
          <w:sz w:val="24"/>
          <w:szCs w:val="24"/>
        </w:rPr>
        <w:t>need to improve the quality of secondary education.</w:t>
      </w:r>
    </w:p>
    <w:p w14:paraId="1FF540D3" w14:textId="1EBADDD4"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study asserted that the factors that are responsible for poor awareness of National Teacher Education Policy (NTEP) among lecturers in both Universities and Colleges of Education are: poor funding, lack of inclusion of NTEP in Teacher education curriculum, level of implementation, assessment of institution’s compliance with NTEP by NCCE, lack of regular revision of NTEP, degree of government effort in creating awareness of the policy among others. The results showed that the major factor affecting the awareness of NTEP in both Universities and Colleges of Education was poor funding. It is a fact that nothing can be done without money. To support these findings, there will be </w:t>
      </w:r>
      <w:r w:rsidR="00BB5EAC" w:rsidRPr="00837D90">
        <w:rPr>
          <w:rFonts w:ascii="Times New Roman" w:hAnsi="Times New Roman"/>
          <w:sz w:val="24"/>
          <w:szCs w:val="24"/>
          <w:highlight w:val="yellow"/>
        </w:rPr>
        <w:t xml:space="preserve">a </w:t>
      </w:r>
      <w:r w:rsidRPr="00837D90">
        <w:rPr>
          <w:rFonts w:ascii="Times New Roman" w:hAnsi="Times New Roman"/>
          <w:sz w:val="24"/>
          <w:szCs w:val="24"/>
          <w:highlight w:val="yellow"/>
        </w:rPr>
        <w:t>need</w:t>
      </w:r>
      <w:r>
        <w:rPr>
          <w:rFonts w:ascii="Times New Roman" w:hAnsi="Times New Roman"/>
          <w:sz w:val="24"/>
          <w:szCs w:val="24"/>
        </w:rPr>
        <w:t xml:space="preserve"> for funds to train and organise human capital development</w:t>
      </w:r>
      <w:r w:rsidR="00BB5EAC">
        <w:rPr>
          <w:rFonts w:ascii="Times New Roman" w:hAnsi="Times New Roman"/>
          <w:sz w:val="24"/>
          <w:szCs w:val="24"/>
        </w:rPr>
        <w:t>,</w:t>
      </w:r>
      <w:r>
        <w:rPr>
          <w:rFonts w:ascii="Times New Roman" w:hAnsi="Times New Roman"/>
          <w:sz w:val="24"/>
          <w:szCs w:val="24"/>
        </w:rPr>
        <w:t xml:space="preserve"> such that they will be exposed to various sources of knowledge that will open their eyes to many things</w:t>
      </w:r>
      <w:r w:rsidR="00BB5EAC">
        <w:rPr>
          <w:rFonts w:ascii="Times New Roman" w:hAnsi="Times New Roman"/>
          <w:sz w:val="24"/>
          <w:szCs w:val="24"/>
        </w:rPr>
        <w:t>,</w:t>
      </w:r>
      <w:r>
        <w:rPr>
          <w:rFonts w:ascii="Times New Roman" w:hAnsi="Times New Roman"/>
          <w:sz w:val="24"/>
          <w:szCs w:val="24"/>
        </w:rPr>
        <w:t xml:space="preserve"> like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best</w:t>
      </w:r>
      <w:r>
        <w:rPr>
          <w:rFonts w:ascii="Times New Roman" w:hAnsi="Times New Roman"/>
          <w:sz w:val="24"/>
          <w:szCs w:val="24"/>
        </w:rPr>
        <w:t xml:space="preserve"> way to implement curriculum and awareness of policy that will help them to know the dos and don’ts of the teaching profession.</w:t>
      </w:r>
    </w:p>
    <w:p w14:paraId="1EC4A4A3"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Conclusion</w:t>
      </w:r>
    </w:p>
    <w:p w14:paraId="78ECCDB7" w14:textId="3725F512"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t>The study concluded that the level of lecturers of the Faculties of Education awareness of the component of NTEP in Southwestern Nigeria is moderate</w:t>
      </w:r>
      <w:r w:rsidR="00BB5EAC">
        <w:rPr>
          <w:rFonts w:ascii="Times New Roman" w:hAnsi="Times New Roman"/>
          <w:sz w:val="24"/>
          <w:szCs w:val="24"/>
        </w:rPr>
        <w:t>,</w:t>
      </w:r>
      <w:r>
        <w:rPr>
          <w:rFonts w:ascii="Times New Roman" w:hAnsi="Times New Roman"/>
          <w:sz w:val="24"/>
          <w:szCs w:val="24"/>
        </w:rPr>
        <w:t xml:space="preserve"> and factors affecting lecturers of Faculties of Education awareness of NTEP ranged from poor funding </w:t>
      </w:r>
      <w:r w:rsidRPr="00837D90">
        <w:rPr>
          <w:rFonts w:ascii="Times New Roman" w:hAnsi="Times New Roman"/>
          <w:sz w:val="24"/>
          <w:szCs w:val="24"/>
          <w:highlight w:val="yellow"/>
        </w:rPr>
        <w:t xml:space="preserve">to </w:t>
      </w:r>
      <w:r w:rsidR="00BB5EAC" w:rsidRPr="00837D90">
        <w:rPr>
          <w:rFonts w:ascii="Times New Roman" w:hAnsi="Times New Roman"/>
          <w:sz w:val="24"/>
          <w:szCs w:val="24"/>
          <w:highlight w:val="yellow"/>
        </w:rPr>
        <w:t xml:space="preserve">the </w:t>
      </w:r>
      <w:r w:rsidRPr="00837D90">
        <w:rPr>
          <w:rFonts w:ascii="Times New Roman" w:hAnsi="Times New Roman"/>
          <w:sz w:val="24"/>
          <w:szCs w:val="24"/>
          <w:highlight w:val="yellow"/>
        </w:rPr>
        <w:t>availability</w:t>
      </w:r>
      <w:r>
        <w:rPr>
          <w:rFonts w:ascii="Times New Roman" w:hAnsi="Times New Roman"/>
          <w:sz w:val="24"/>
          <w:szCs w:val="24"/>
        </w:rPr>
        <w:t xml:space="preserve"> of NTEP copies in libraries. The moderate awareness of this policy and the unavailability of </w:t>
      </w:r>
      <w:r>
        <w:rPr>
          <w:rFonts w:ascii="Times New Roman" w:hAnsi="Times New Roman"/>
          <w:sz w:val="24"/>
          <w:szCs w:val="24"/>
        </w:rPr>
        <w:lastRenderedPageBreak/>
        <w:t xml:space="preserve">copies of NTEP in libraries </w:t>
      </w:r>
      <w:r w:rsidR="00BB5EAC" w:rsidRPr="00837D90">
        <w:rPr>
          <w:rFonts w:ascii="Times New Roman" w:hAnsi="Times New Roman"/>
          <w:sz w:val="24"/>
          <w:szCs w:val="24"/>
          <w:highlight w:val="yellow"/>
        </w:rPr>
        <w:t xml:space="preserve">make </w:t>
      </w:r>
      <w:r w:rsidRPr="00837D90">
        <w:rPr>
          <w:rFonts w:ascii="Times New Roman" w:hAnsi="Times New Roman"/>
          <w:sz w:val="24"/>
          <w:szCs w:val="24"/>
          <w:highlight w:val="yellow"/>
        </w:rPr>
        <w:t>the implementation</w:t>
      </w:r>
      <w:r>
        <w:rPr>
          <w:rFonts w:ascii="Times New Roman" w:hAnsi="Times New Roman"/>
          <w:sz w:val="24"/>
          <w:szCs w:val="24"/>
        </w:rPr>
        <w:t xml:space="preserve"> of this policy difficult and the impact of this policy unfelt by the stakeholders.</w:t>
      </w:r>
    </w:p>
    <w:p w14:paraId="2F9CD0C7" w14:textId="77777777" w:rsidR="002375D6" w:rsidRDefault="002375D6">
      <w:pPr>
        <w:spacing w:after="0" w:line="480" w:lineRule="auto"/>
        <w:ind w:firstLine="720"/>
        <w:jc w:val="both"/>
        <w:rPr>
          <w:rFonts w:ascii="Times New Roman" w:hAnsi="Times New Roman"/>
          <w:sz w:val="24"/>
          <w:szCs w:val="24"/>
        </w:rPr>
      </w:pPr>
    </w:p>
    <w:p w14:paraId="2E024054"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Recommendations</w:t>
      </w:r>
    </w:p>
    <w:p w14:paraId="276AAEC8" w14:textId="4637965F" w:rsidR="002375D6" w:rsidRDefault="008D0901">
      <w:pPr>
        <w:spacing w:after="0" w:line="480" w:lineRule="auto"/>
        <w:ind w:firstLine="360"/>
        <w:jc w:val="both"/>
        <w:rPr>
          <w:rFonts w:ascii="Times New Roman" w:hAnsi="Times New Roman"/>
          <w:sz w:val="24"/>
          <w:szCs w:val="24"/>
        </w:rPr>
      </w:pPr>
      <w:r>
        <w:rPr>
          <w:rFonts w:ascii="Times New Roman" w:hAnsi="Times New Roman"/>
          <w:sz w:val="24"/>
          <w:szCs w:val="24"/>
        </w:rPr>
        <w:t xml:space="preserve">Based on the findings of this study, the following </w:t>
      </w:r>
      <w:r w:rsidR="00BB5EAC" w:rsidRPr="00837D90">
        <w:rPr>
          <w:rFonts w:ascii="Times New Roman" w:hAnsi="Times New Roman"/>
          <w:sz w:val="24"/>
          <w:szCs w:val="24"/>
          <w:highlight w:val="yellow"/>
        </w:rPr>
        <w:t>recommendations</w:t>
      </w:r>
      <w:r w:rsidR="00BB5EAC">
        <w:rPr>
          <w:rFonts w:ascii="Times New Roman" w:hAnsi="Times New Roman"/>
          <w:sz w:val="24"/>
          <w:szCs w:val="24"/>
        </w:rPr>
        <w:t xml:space="preserve"> </w:t>
      </w:r>
      <w:r>
        <w:rPr>
          <w:rFonts w:ascii="Times New Roman" w:hAnsi="Times New Roman"/>
          <w:sz w:val="24"/>
          <w:szCs w:val="24"/>
        </w:rPr>
        <w:t>were made;</w:t>
      </w:r>
    </w:p>
    <w:p w14:paraId="42C00772" w14:textId="5D908464" w:rsidR="002375D6" w:rsidRDefault="00BB5EAC">
      <w:pPr>
        <w:numPr>
          <w:ilvl w:val="0"/>
          <w:numId w:val="2"/>
        </w:numPr>
        <w:spacing w:after="0" w:line="480" w:lineRule="auto"/>
        <w:jc w:val="both"/>
        <w:rPr>
          <w:rFonts w:ascii="Times New Roman" w:hAnsi="Times New Roman"/>
          <w:sz w:val="24"/>
          <w:szCs w:val="24"/>
        </w:rPr>
      </w:pPr>
      <w:r w:rsidRPr="00837D90">
        <w:rPr>
          <w:rFonts w:ascii="Times New Roman" w:hAnsi="Times New Roman"/>
          <w:sz w:val="24"/>
          <w:szCs w:val="24"/>
          <w:highlight w:val="yellow"/>
        </w:rPr>
        <w:t xml:space="preserve">The government </w:t>
      </w:r>
      <w:r w:rsidR="008D0901" w:rsidRPr="00837D90">
        <w:rPr>
          <w:rFonts w:ascii="Times New Roman" w:hAnsi="Times New Roman"/>
          <w:sz w:val="24"/>
          <w:szCs w:val="24"/>
          <w:highlight w:val="yellow"/>
        </w:rPr>
        <w:t>should</w:t>
      </w:r>
      <w:r w:rsidR="008D0901">
        <w:rPr>
          <w:rFonts w:ascii="Times New Roman" w:hAnsi="Times New Roman"/>
          <w:sz w:val="24"/>
          <w:szCs w:val="24"/>
        </w:rPr>
        <w:t xml:space="preserve"> endeavour to give education priority in terms of funding</w:t>
      </w:r>
      <w:r>
        <w:rPr>
          <w:rFonts w:ascii="Times New Roman" w:hAnsi="Times New Roman"/>
          <w:sz w:val="24"/>
          <w:szCs w:val="24"/>
        </w:rPr>
        <w:t>,</w:t>
      </w:r>
      <w:r w:rsidR="008D0901">
        <w:rPr>
          <w:rFonts w:ascii="Times New Roman" w:hAnsi="Times New Roman"/>
          <w:sz w:val="24"/>
          <w:szCs w:val="24"/>
        </w:rPr>
        <w:t xml:space="preserve"> </w:t>
      </w:r>
      <w:r w:rsidR="008D0901" w:rsidRPr="00837D90">
        <w:rPr>
          <w:rFonts w:ascii="Times New Roman" w:hAnsi="Times New Roman"/>
          <w:sz w:val="24"/>
          <w:szCs w:val="24"/>
          <w:highlight w:val="yellow"/>
        </w:rPr>
        <w:t xml:space="preserve">so </w:t>
      </w:r>
      <w:r w:rsidRPr="00837D90">
        <w:rPr>
          <w:rFonts w:ascii="Times New Roman" w:hAnsi="Times New Roman"/>
          <w:sz w:val="24"/>
          <w:szCs w:val="24"/>
          <w:highlight w:val="yellow"/>
        </w:rPr>
        <w:t xml:space="preserve">as </w:t>
      </w:r>
      <w:r w:rsidR="008D0901" w:rsidRPr="00837D90">
        <w:rPr>
          <w:rFonts w:ascii="Times New Roman" w:hAnsi="Times New Roman"/>
          <w:sz w:val="24"/>
          <w:szCs w:val="24"/>
          <w:highlight w:val="yellow"/>
        </w:rPr>
        <w:t>to</w:t>
      </w:r>
      <w:r w:rsidR="008D0901">
        <w:rPr>
          <w:rFonts w:ascii="Times New Roman" w:hAnsi="Times New Roman"/>
          <w:sz w:val="24"/>
          <w:szCs w:val="24"/>
        </w:rPr>
        <w:t xml:space="preserve"> ease problems affecting the awareness and implementation of </w:t>
      </w:r>
      <w:r>
        <w:rPr>
          <w:rFonts w:ascii="Times New Roman" w:hAnsi="Times New Roman"/>
          <w:sz w:val="24"/>
          <w:szCs w:val="24"/>
        </w:rPr>
        <w:t xml:space="preserve">the </w:t>
      </w:r>
      <w:r w:rsidR="008D0901">
        <w:rPr>
          <w:rFonts w:ascii="Times New Roman" w:hAnsi="Times New Roman"/>
          <w:sz w:val="24"/>
          <w:szCs w:val="24"/>
        </w:rPr>
        <w:t>National Teacher Education Policy.</w:t>
      </w:r>
    </w:p>
    <w:p w14:paraId="7D1938CC" w14:textId="2FDC9420" w:rsidR="00C97CAF" w:rsidRPr="00EB3DB1" w:rsidRDefault="008D0901" w:rsidP="00B94776">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Copies of NTEP should be made available in all the universities, colleges of education and secondary schools for the purpose of awareness and improved </w:t>
      </w:r>
      <w:r w:rsidR="00BB5EAC" w:rsidRPr="00837D90">
        <w:rPr>
          <w:rFonts w:ascii="Times New Roman" w:hAnsi="Times New Roman"/>
          <w:sz w:val="24"/>
          <w:szCs w:val="24"/>
          <w:highlight w:val="yellow"/>
        </w:rPr>
        <w:t>conditions</w:t>
      </w:r>
      <w:r w:rsidRPr="00837D90">
        <w:rPr>
          <w:rFonts w:ascii="Times New Roman" w:hAnsi="Times New Roman"/>
          <w:sz w:val="24"/>
          <w:szCs w:val="24"/>
          <w:highlight w:val="yellow"/>
        </w:rPr>
        <w:t xml:space="preserve"> o</w:t>
      </w:r>
      <w:r>
        <w:rPr>
          <w:rFonts w:ascii="Times New Roman" w:hAnsi="Times New Roman"/>
          <w:sz w:val="24"/>
          <w:szCs w:val="24"/>
        </w:rPr>
        <w:t xml:space="preserve">f the lecturers.   </w:t>
      </w:r>
    </w:p>
    <w:p w14:paraId="535C0442" w14:textId="77777777" w:rsidR="00C97CAF" w:rsidRPr="00EB3DB1" w:rsidRDefault="00C97CAF" w:rsidP="00C97CAF">
      <w:pPr>
        <w:rPr>
          <w:b/>
          <w:kern w:val="2"/>
          <w:highlight w:val="yellow"/>
          <w:lang w:val="en-US"/>
        </w:rPr>
      </w:pPr>
      <w:bookmarkStart w:id="3" w:name="_Hlk197682619"/>
      <w:bookmarkStart w:id="4" w:name="_Hlk180402183"/>
      <w:bookmarkStart w:id="5" w:name="_Hlk183680988"/>
      <w:r w:rsidRPr="00EB3DB1">
        <w:rPr>
          <w:b/>
          <w:kern w:val="2"/>
          <w:highlight w:val="yellow"/>
          <w:lang w:val="en-US"/>
        </w:rPr>
        <w:t>Disclaimer (Artificial intelligence)</w:t>
      </w:r>
    </w:p>
    <w:p w14:paraId="0C1C47D9" w14:textId="77777777" w:rsidR="00C97CAF" w:rsidRPr="009C5487" w:rsidRDefault="00C97CAF" w:rsidP="00C97CAF">
      <w:pPr>
        <w:rPr>
          <w:kern w:val="2"/>
          <w:highlight w:val="yellow"/>
          <w:lang w:val="en-US"/>
        </w:rPr>
      </w:pPr>
      <w:r w:rsidRPr="009C5487">
        <w:rPr>
          <w:kern w:val="2"/>
          <w:highlight w:val="yellow"/>
          <w:lang w:val="en-US"/>
        </w:rPr>
        <w:t xml:space="preserve">Option 1: </w:t>
      </w:r>
    </w:p>
    <w:p w14:paraId="33FD0A94" w14:textId="77777777" w:rsidR="00C97CAF" w:rsidRPr="009C5487" w:rsidRDefault="00C97CAF" w:rsidP="00C97CAF">
      <w:pPr>
        <w:rPr>
          <w:kern w:val="2"/>
          <w:highlight w:val="yellow"/>
          <w:lang w:val="en-US"/>
        </w:rPr>
      </w:pPr>
      <w:r w:rsidRPr="009C5487">
        <w:rPr>
          <w:kern w:val="2"/>
          <w:highlight w:val="yellow"/>
          <w:lang w:val="en-US"/>
        </w:rPr>
        <w:t>Author(s) hereby declare that NO generative AI technologies such as Large Language Models (</w:t>
      </w:r>
      <w:proofErr w:type="spellStart"/>
      <w:r w:rsidRPr="009C5487">
        <w:rPr>
          <w:kern w:val="2"/>
          <w:highlight w:val="yellow"/>
          <w:lang w:val="en-US"/>
        </w:rPr>
        <w:t>ChatGPT</w:t>
      </w:r>
      <w:proofErr w:type="spellEnd"/>
      <w:r w:rsidRPr="009C5487">
        <w:rPr>
          <w:kern w:val="2"/>
          <w:highlight w:val="yellow"/>
          <w:lang w:val="en-US"/>
        </w:rPr>
        <w:t xml:space="preserve">, COPILOT, etc.) and text-to-image generators have been used during the writing or editing of this manuscript. </w:t>
      </w:r>
    </w:p>
    <w:p w14:paraId="0D8B92D4" w14:textId="77777777" w:rsidR="00C97CAF" w:rsidRPr="009C5487" w:rsidRDefault="00C97CAF" w:rsidP="00C97CAF">
      <w:pPr>
        <w:rPr>
          <w:kern w:val="2"/>
          <w:highlight w:val="yellow"/>
          <w:lang w:val="en-US"/>
        </w:rPr>
      </w:pPr>
      <w:r w:rsidRPr="009C5487">
        <w:rPr>
          <w:kern w:val="2"/>
          <w:highlight w:val="yellow"/>
          <w:lang w:val="en-US"/>
        </w:rPr>
        <w:t xml:space="preserve">Option 2: </w:t>
      </w:r>
    </w:p>
    <w:p w14:paraId="3E8C984C" w14:textId="77777777" w:rsidR="00C97CAF" w:rsidRPr="009C5487" w:rsidRDefault="00C97CAF" w:rsidP="00C97CAF">
      <w:pPr>
        <w:rPr>
          <w:kern w:val="2"/>
          <w:highlight w:val="yellow"/>
          <w:lang w:val="en-US"/>
        </w:rPr>
      </w:pPr>
      <w:r w:rsidRPr="009C5487">
        <w:rPr>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BB67D0" w14:textId="77777777" w:rsidR="00C97CAF" w:rsidRPr="009C5487" w:rsidRDefault="00C97CAF" w:rsidP="00C97CAF">
      <w:pPr>
        <w:rPr>
          <w:kern w:val="2"/>
          <w:highlight w:val="yellow"/>
          <w:lang w:val="en-US"/>
        </w:rPr>
      </w:pPr>
      <w:r w:rsidRPr="009C5487">
        <w:rPr>
          <w:kern w:val="2"/>
          <w:highlight w:val="yellow"/>
          <w:lang w:val="en-US"/>
        </w:rPr>
        <w:t>Details of the AI usage are given below:</w:t>
      </w:r>
    </w:p>
    <w:p w14:paraId="5A8A65FC" w14:textId="77777777" w:rsidR="00C97CAF" w:rsidRPr="009C5487" w:rsidRDefault="00C97CAF" w:rsidP="00C97CAF">
      <w:pPr>
        <w:rPr>
          <w:kern w:val="2"/>
          <w:highlight w:val="yellow"/>
          <w:lang w:val="en-US"/>
        </w:rPr>
      </w:pPr>
      <w:r w:rsidRPr="009C5487">
        <w:rPr>
          <w:kern w:val="2"/>
          <w:highlight w:val="yellow"/>
          <w:lang w:val="en-US"/>
        </w:rPr>
        <w:t>1.</w:t>
      </w:r>
    </w:p>
    <w:p w14:paraId="0A776312" w14:textId="77777777" w:rsidR="00C97CAF" w:rsidRPr="009C5487" w:rsidRDefault="00C97CAF" w:rsidP="00C97CAF">
      <w:pPr>
        <w:rPr>
          <w:kern w:val="2"/>
          <w:highlight w:val="yellow"/>
          <w:lang w:val="en-US"/>
        </w:rPr>
      </w:pPr>
      <w:r w:rsidRPr="009C5487">
        <w:rPr>
          <w:kern w:val="2"/>
          <w:highlight w:val="yellow"/>
          <w:lang w:val="en-US"/>
        </w:rPr>
        <w:t>2.</w:t>
      </w:r>
    </w:p>
    <w:p w14:paraId="212059F2" w14:textId="77777777" w:rsidR="00C97CAF" w:rsidRPr="009C5487" w:rsidRDefault="00C97CAF" w:rsidP="00C97CAF">
      <w:pPr>
        <w:rPr>
          <w:kern w:val="2"/>
          <w:lang w:val="en-US"/>
        </w:rPr>
      </w:pPr>
      <w:bookmarkStart w:id="6" w:name="_Hlk197682629"/>
      <w:bookmarkEnd w:id="3"/>
      <w:r w:rsidRPr="009C5487">
        <w:rPr>
          <w:kern w:val="2"/>
          <w:highlight w:val="yellow"/>
          <w:lang w:val="en-US"/>
        </w:rPr>
        <w:t>3.</w:t>
      </w:r>
    </w:p>
    <w:bookmarkEnd w:id="4"/>
    <w:bookmarkEnd w:id="5"/>
    <w:bookmarkEnd w:id="6"/>
    <w:p w14:paraId="0F733F9C" w14:textId="77777777" w:rsidR="00C97CAF" w:rsidRPr="00B94776" w:rsidRDefault="00C97CAF" w:rsidP="00B94776">
      <w:pPr>
        <w:rPr>
          <w:rFonts w:eastAsia="Times New Roman"/>
          <w:lang w:eastAsia="en-GB"/>
        </w:rPr>
      </w:pPr>
    </w:p>
    <w:p w14:paraId="3F1B6DF7" w14:textId="77777777" w:rsidR="002375D6" w:rsidRDefault="002375D6">
      <w:pPr>
        <w:spacing w:after="0" w:line="480" w:lineRule="auto"/>
        <w:jc w:val="both"/>
        <w:rPr>
          <w:rFonts w:ascii="Times New Roman" w:hAnsi="Times New Roman"/>
          <w:b/>
          <w:sz w:val="24"/>
          <w:szCs w:val="24"/>
        </w:rPr>
      </w:pPr>
    </w:p>
    <w:p w14:paraId="00561E40" w14:textId="77777777" w:rsidR="002375D6" w:rsidRDefault="008D0901">
      <w:pPr>
        <w:spacing w:after="0" w:line="480" w:lineRule="auto"/>
        <w:rPr>
          <w:rFonts w:ascii="Times New Roman" w:hAnsi="Times New Roman"/>
          <w:b/>
          <w:sz w:val="24"/>
          <w:szCs w:val="24"/>
        </w:rPr>
      </w:pPr>
      <w:r>
        <w:rPr>
          <w:rFonts w:ascii="Times New Roman" w:hAnsi="Times New Roman"/>
          <w:b/>
          <w:sz w:val="24"/>
          <w:szCs w:val="24"/>
        </w:rPr>
        <w:t>References</w:t>
      </w:r>
    </w:p>
    <w:p w14:paraId="02D335D3" w14:textId="77777777" w:rsidR="002375D6" w:rsidRDefault="008D0901">
      <w:pPr>
        <w:spacing w:before="240" w:after="0" w:line="240" w:lineRule="auto"/>
        <w:ind w:left="785" w:hangingChars="327" w:hanging="785"/>
        <w:jc w:val="both"/>
        <w:rPr>
          <w:rFonts w:ascii="Times New Roman" w:eastAsia="SimSun" w:hAnsi="Times New Roman"/>
          <w:sz w:val="24"/>
          <w:szCs w:val="24"/>
        </w:rPr>
      </w:pPr>
      <w:r>
        <w:rPr>
          <w:rFonts w:ascii="Times New Roman" w:eastAsia="SimSun" w:hAnsi="Times New Roman"/>
          <w:sz w:val="24"/>
          <w:szCs w:val="24"/>
          <w:lang w:val="en-US"/>
        </w:rPr>
        <w:lastRenderedPageBreak/>
        <w:t xml:space="preserve">Adebowale, F. O. &amp; </w:t>
      </w:r>
      <w:r>
        <w:rPr>
          <w:rFonts w:ascii="Times New Roman" w:eastAsia="SimSun" w:hAnsi="Times New Roman"/>
          <w:bCs/>
          <w:sz w:val="24"/>
          <w:szCs w:val="24"/>
          <w:lang w:val="en-US"/>
        </w:rPr>
        <w:t>Dare, N. O.</w:t>
      </w:r>
      <w:r>
        <w:rPr>
          <w:rFonts w:ascii="Times New Roman" w:eastAsia="SimSun" w:hAnsi="Times New Roman"/>
          <w:sz w:val="24"/>
          <w:szCs w:val="24"/>
          <w:lang w:val="en-US"/>
        </w:rPr>
        <w:t xml:space="preserve"> (2012). Teachers’ awareness of Nigeria’s educational policy on ICT and the use of ICT in Oyo State Secondary Schools. </w:t>
      </w:r>
      <w:r>
        <w:rPr>
          <w:rFonts w:ascii="Times New Roman" w:eastAsia="SimSun" w:hAnsi="Times New Roman"/>
          <w:i/>
          <w:sz w:val="24"/>
          <w:szCs w:val="24"/>
          <w:lang w:val="en-US"/>
        </w:rPr>
        <w:t>Education Policy and Management, Nr. 1(10), 28-39.</w:t>
      </w:r>
      <w:r>
        <w:rPr>
          <w:rFonts w:ascii="Times New Roman" w:eastAsia="SimSun" w:hAnsi="Times New Roman"/>
          <w:sz w:val="24"/>
          <w:szCs w:val="24"/>
          <w:lang w:val="en-US"/>
        </w:rPr>
        <w:t xml:space="preserve"> ISSN 2029-1922. Retrieved on the 17</w:t>
      </w:r>
      <w:r>
        <w:rPr>
          <w:rFonts w:ascii="Times New Roman" w:eastAsia="SimSun" w:hAnsi="Times New Roman"/>
          <w:sz w:val="24"/>
          <w:szCs w:val="24"/>
          <w:vertAlign w:val="superscript"/>
          <w:lang w:val="en-US"/>
        </w:rPr>
        <w:t>th</w:t>
      </w:r>
      <w:r>
        <w:rPr>
          <w:rFonts w:ascii="Times New Roman" w:eastAsia="SimSun" w:hAnsi="Times New Roman"/>
          <w:sz w:val="24"/>
          <w:szCs w:val="24"/>
          <w:lang w:val="en-US"/>
        </w:rPr>
        <w:t xml:space="preserve"> of April, 2023 from: </w:t>
      </w:r>
      <w:hyperlink r:id="rId13" w:history="1">
        <w:r w:rsidR="002375D6">
          <w:rPr>
            <w:rStyle w:val="Hyperlink"/>
            <w:rFonts w:ascii="Times New Roman" w:eastAsia="SimSun" w:hAnsi="Times New Roman"/>
            <w:sz w:val="24"/>
            <w:szCs w:val="24"/>
            <w:lang w:val="en-US"/>
          </w:rPr>
          <w:t>https://www.researchgate.net/publication/362668438</w:t>
        </w:r>
      </w:hyperlink>
      <w:r>
        <w:rPr>
          <w:rFonts w:ascii="Times New Roman" w:eastAsia="SimSun" w:hAnsi="Times New Roman"/>
          <w:sz w:val="24"/>
          <w:szCs w:val="24"/>
        </w:rPr>
        <w:t>.</w:t>
      </w:r>
    </w:p>
    <w:p w14:paraId="02C14751" w14:textId="29F8C423" w:rsidR="00F262FA" w:rsidRDefault="00F262FA">
      <w:pPr>
        <w:spacing w:before="240" w:after="0" w:line="240" w:lineRule="auto"/>
        <w:ind w:left="785" w:hangingChars="327" w:hanging="785"/>
        <w:jc w:val="both"/>
        <w:rPr>
          <w:rFonts w:ascii="Times New Roman" w:eastAsia="SimSun" w:hAnsi="Times New Roman"/>
          <w:sz w:val="24"/>
          <w:szCs w:val="24"/>
        </w:rPr>
      </w:pPr>
      <w:proofErr w:type="spellStart"/>
      <w:r w:rsidRPr="00837D90">
        <w:rPr>
          <w:rFonts w:ascii="Times New Roman" w:eastAsia="SimSun" w:hAnsi="Times New Roman"/>
          <w:sz w:val="24"/>
          <w:szCs w:val="24"/>
          <w:highlight w:val="yellow"/>
        </w:rPr>
        <w:t>Riyanto</w:t>
      </w:r>
      <w:proofErr w:type="spellEnd"/>
      <w:r w:rsidRPr="00837D90">
        <w:rPr>
          <w:rFonts w:ascii="Times New Roman" w:eastAsia="SimSun" w:hAnsi="Times New Roman"/>
          <w:sz w:val="24"/>
          <w:szCs w:val="24"/>
          <w:highlight w:val="yellow"/>
        </w:rPr>
        <w:t xml:space="preserve">, S. (2024). </w:t>
      </w:r>
      <w:r w:rsidRPr="00F262FA">
        <w:rPr>
          <w:rFonts w:ascii="Times New Roman" w:eastAsia="SimSun" w:hAnsi="Times New Roman"/>
          <w:sz w:val="24"/>
          <w:szCs w:val="24"/>
          <w:highlight w:val="yellow"/>
        </w:rPr>
        <w:t>The Effect of Learning Interest on Literacy and Numeracy Levels</w:t>
      </w:r>
      <w:r w:rsidRPr="00837D90">
        <w:rPr>
          <w:rFonts w:ascii="Times New Roman" w:eastAsia="SimSun" w:hAnsi="Times New Roman"/>
          <w:sz w:val="24"/>
          <w:szCs w:val="24"/>
          <w:highlight w:val="yellow"/>
        </w:rPr>
        <w:t xml:space="preserve">. </w:t>
      </w:r>
      <w:r w:rsidRPr="00837D90">
        <w:rPr>
          <w:rFonts w:ascii="Times New Roman" w:eastAsia="SimSun" w:hAnsi="Times New Roman"/>
          <w:i/>
          <w:iCs/>
          <w:sz w:val="24"/>
          <w:szCs w:val="24"/>
          <w:highlight w:val="yellow"/>
        </w:rPr>
        <w:t>International Journal of Teaching, 1</w:t>
      </w:r>
      <w:r w:rsidRPr="00837D90">
        <w:rPr>
          <w:rFonts w:ascii="Times New Roman" w:eastAsia="SimSun" w:hAnsi="Times New Roman"/>
          <w:sz w:val="24"/>
          <w:szCs w:val="24"/>
          <w:highlight w:val="yellow"/>
        </w:rPr>
        <w:t>(2).</w:t>
      </w:r>
    </w:p>
    <w:p w14:paraId="787944BE" w14:textId="0D49135D" w:rsidR="000A3D02" w:rsidRDefault="000A3D02">
      <w:pPr>
        <w:spacing w:before="240" w:after="0" w:line="240" w:lineRule="auto"/>
        <w:ind w:left="785" w:hangingChars="327" w:hanging="785"/>
        <w:jc w:val="both"/>
        <w:rPr>
          <w:rStyle w:val="fontstyle01"/>
        </w:rPr>
      </w:pPr>
      <w:r w:rsidRPr="00837D90">
        <w:rPr>
          <w:rFonts w:ascii="Times New Roman" w:eastAsia="SimSun" w:hAnsi="Times New Roman"/>
          <w:color w:val="000000"/>
          <w:sz w:val="24"/>
          <w:szCs w:val="24"/>
          <w:highlight w:val="yellow"/>
        </w:rPr>
        <w:t xml:space="preserve">Okeke, R. C., &amp; </w:t>
      </w:r>
      <w:proofErr w:type="spellStart"/>
      <w:r w:rsidRPr="00837D90">
        <w:rPr>
          <w:rFonts w:ascii="Times New Roman" w:eastAsia="SimSun" w:hAnsi="Times New Roman"/>
          <w:color w:val="000000"/>
          <w:sz w:val="24"/>
          <w:szCs w:val="24"/>
          <w:highlight w:val="yellow"/>
        </w:rPr>
        <w:t>Chukwudebelu</w:t>
      </w:r>
      <w:proofErr w:type="spellEnd"/>
      <w:r w:rsidRPr="00837D90">
        <w:rPr>
          <w:rFonts w:ascii="Times New Roman" w:eastAsia="SimSun" w:hAnsi="Times New Roman"/>
          <w:color w:val="000000"/>
          <w:sz w:val="24"/>
          <w:szCs w:val="24"/>
          <w:highlight w:val="yellow"/>
        </w:rPr>
        <w:t>, C. B. (2024). Educational policy and national development in Nigeria. </w:t>
      </w:r>
      <w:r w:rsidRPr="00837D90">
        <w:rPr>
          <w:rFonts w:ascii="Times New Roman" w:eastAsia="SimSun" w:hAnsi="Times New Roman"/>
          <w:i/>
          <w:iCs/>
          <w:color w:val="000000"/>
          <w:sz w:val="24"/>
          <w:szCs w:val="24"/>
          <w:highlight w:val="yellow"/>
        </w:rPr>
        <w:t>International Journal of Education and Evaluation</w:t>
      </w:r>
      <w:r w:rsidRPr="00837D90">
        <w:rPr>
          <w:rFonts w:ascii="Times New Roman" w:eastAsia="SimSun" w:hAnsi="Times New Roman"/>
          <w:color w:val="000000"/>
          <w:sz w:val="24"/>
          <w:szCs w:val="24"/>
          <w:highlight w:val="yellow"/>
        </w:rPr>
        <w:t>, </w:t>
      </w:r>
      <w:r w:rsidRPr="00837D90">
        <w:rPr>
          <w:rFonts w:ascii="Times New Roman" w:eastAsia="SimSun" w:hAnsi="Times New Roman"/>
          <w:i/>
          <w:iCs/>
          <w:color w:val="000000"/>
          <w:sz w:val="24"/>
          <w:szCs w:val="24"/>
          <w:highlight w:val="yellow"/>
        </w:rPr>
        <w:t>10</w:t>
      </w:r>
      <w:r w:rsidRPr="00837D90">
        <w:rPr>
          <w:rFonts w:ascii="Times New Roman" w:eastAsia="SimSun" w:hAnsi="Times New Roman"/>
          <w:color w:val="000000"/>
          <w:sz w:val="24"/>
          <w:szCs w:val="24"/>
          <w:highlight w:val="yellow"/>
        </w:rPr>
        <w:t>(4), 268-274.</w:t>
      </w:r>
    </w:p>
    <w:p w14:paraId="26194154" w14:textId="77777777" w:rsidR="002375D6" w:rsidRDefault="008D0901">
      <w:pPr>
        <w:spacing w:before="240" w:after="0" w:line="240" w:lineRule="auto"/>
        <w:ind w:left="785" w:hangingChars="327" w:hanging="785"/>
        <w:jc w:val="both"/>
        <w:rPr>
          <w:rFonts w:ascii="Times New Roman" w:hAnsi="Times New Roman"/>
          <w:sz w:val="24"/>
          <w:szCs w:val="24"/>
        </w:rPr>
      </w:pPr>
      <w:r>
        <w:rPr>
          <w:rFonts w:ascii="Times New Roman" w:hAnsi="Times New Roman"/>
          <w:sz w:val="24"/>
          <w:szCs w:val="24"/>
        </w:rPr>
        <w:t>Federal Republic of Nigeria (2014). National teacher education policy. Federal Ministry of Education Policy Document.</w:t>
      </w:r>
    </w:p>
    <w:p w14:paraId="31EBF2E8" w14:textId="77777777" w:rsidR="002375D6" w:rsidRDefault="008D0901">
      <w:pPr>
        <w:spacing w:before="240" w:after="0" w:line="240" w:lineRule="auto"/>
        <w:ind w:left="785" w:hangingChars="327" w:hanging="785"/>
        <w:jc w:val="both"/>
        <w:rPr>
          <w:rFonts w:ascii="Times New Roman" w:hAnsi="Times New Roman"/>
          <w:sz w:val="24"/>
          <w:szCs w:val="24"/>
        </w:rPr>
      </w:pPr>
      <w:proofErr w:type="spellStart"/>
      <w:r>
        <w:rPr>
          <w:rFonts w:ascii="Times New Roman" w:hAnsi="Times New Roman"/>
          <w:sz w:val="24"/>
          <w:szCs w:val="24"/>
        </w:rPr>
        <w:t>Ige</w:t>
      </w:r>
      <w:proofErr w:type="spellEnd"/>
      <w:r>
        <w:rPr>
          <w:rFonts w:ascii="Times New Roman" w:hAnsi="Times New Roman"/>
          <w:sz w:val="24"/>
          <w:szCs w:val="24"/>
        </w:rPr>
        <w:t xml:space="preserve">, A. M. (2012). Provision of secondary education in Nigeria: challenges and way forward. </w:t>
      </w:r>
      <w:r>
        <w:rPr>
          <w:rFonts w:ascii="Times New Roman" w:hAnsi="Times New Roman"/>
          <w:i/>
          <w:sz w:val="24"/>
          <w:szCs w:val="24"/>
        </w:rPr>
        <w:t>Journal of African Studies and Development, 5</w:t>
      </w:r>
      <w:r>
        <w:rPr>
          <w:rFonts w:ascii="Times New Roman" w:hAnsi="Times New Roman"/>
          <w:sz w:val="24"/>
          <w:szCs w:val="24"/>
        </w:rPr>
        <w:t>(1), 1-9.</w:t>
      </w:r>
    </w:p>
    <w:p w14:paraId="43D27B62" w14:textId="77777777" w:rsidR="002375D6" w:rsidRDefault="008D0901">
      <w:pPr>
        <w:spacing w:before="240" w:after="0" w:line="240" w:lineRule="auto"/>
        <w:ind w:left="785" w:hangingChars="327" w:hanging="785"/>
        <w:jc w:val="both"/>
        <w:rPr>
          <w:rFonts w:ascii="Times New Roman" w:eastAsia="SimSun" w:hAnsi="Times New Roman"/>
          <w:sz w:val="24"/>
          <w:szCs w:val="24"/>
        </w:rPr>
      </w:pPr>
      <w:proofErr w:type="spellStart"/>
      <w:r>
        <w:rPr>
          <w:rFonts w:ascii="Times New Roman" w:eastAsia="SimSun" w:hAnsi="Times New Roman"/>
          <w:sz w:val="24"/>
          <w:szCs w:val="24"/>
        </w:rPr>
        <w:t>Koda</w:t>
      </w:r>
      <w:proofErr w:type="spellEnd"/>
      <w:r>
        <w:rPr>
          <w:rFonts w:ascii="Times New Roman" w:eastAsia="SimSun" w:hAnsi="Times New Roman"/>
          <w:sz w:val="24"/>
          <w:szCs w:val="24"/>
        </w:rPr>
        <w:t xml:space="preserve">, B. (2007). </w:t>
      </w:r>
      <w:r>
        <w:rPr>
          <w:rFonts w:ascii="Times New Roman" w:eastAsia="SimSun" w:hAnsi="Times New Roman"/>
          <w:i/>
          <w:sz w:val="24"/>
          <w:szCs w:val="24"/>
        </w:rPr>
        <w:t xml:space="preserve">Education </w:t>
      </w:r>
      <w:r>
        <w:rPr>
          <w:rFonts w:ascii="Times New Roman" w:eastAsia="SimSun" w:hAnsi="Times New Roman"/>
          <w:sz w:val="24"/>
          <w:szCs w:val="24"/>
        </w:rPr>
        <w:t xml:space="preserve">for sustainable development: The experience of Tanzania. A paper presented at the </w:t>
      </w:r>
      <w:proofErr w:type="spellStart"/>
      <w:r>
        <w:rPr>
          <w:rFonts w:ascii="Times New Roman" w:eastAsia="SimSun" w:hAnsi="Times New Roman"/>
          <w:sz w:val="24"/>
          <w:szCs w:val="24"/>
        </w:rPr>
        <w:t>UniPID</w:t>
      </w:r>
      <w:proofErr w:type="spellEnd"/>
      <w:r>
        <w:rPr>
          <w:rFonts w:ascii="Times New Roman" w:eastAsia="SimSun" w:hAnsi="Times New Roman"/>
          <w:sz w:val="24"/>
          <w:szCs w:val="24"/>
        </w:rPr>
        <w:t xml:space="preserve">-EADI </w:t>
      </w:r>
      <w:r>
        <w:rPr>
          <w:rFonts w:ascii="Times New Roman" w:eastAsia="SimSun" w:hAnsi="Times New Roman"/>
          <w:i/>
          <w:sz w:val="24"/>
          <w:szCs w:val="24"/>
        </w:rPr>
        <w:t>symposium on accessing development knowledge partnership perspective</w:t>
      </w:r>
      <w:r>
        <w:rPr>
          <w:rFonts w:ascii="Times New Roman" w:eastAsia="SimSun" w:hAnsi="Times New Roman"/>
          <w:sz w:val="24"/>
          <w:szCs w:val="24"/>
        </w:rPr>
        <w:t>. Helsinki, 2007.</w:t>
      </w:r>
    </w:p>
    <w:p w14:paraId="7CD434EA" w14:textId="77777777" w:rsidR="002375D6" w:rsidRDefault="008D0901">
      <w:pPr>
        <w:spacing w:before="240" w:after="0" w:line="240" w:lineRule="auto"/>
        <w:ind w:left="785" w:hangingChars="327" w:hanging="785"/>
        <w:jc w:val="both"/>
        <w:rPr>
          <w:rFonts w:ascii="Times New Roman" w:hAnsi="Times New Roman"/>
          <w:sz w:val="24"/>
          <w:szCs w:val="24"/>
        </w:rPr>
      </w:pPr>
      <w:proofErr w:type="spellStart"/>
      <w:r>
        <w:rPr>
          <w:rFonts w:ascii="Times New Roman" w:hAnsi="Times New Roman"/>
          <w:sz w:val="24"/>
          <w:szCs w:val="24"/>
        </w:rPr>
        <w:t>Maciver</w:t>
      </w:r>
      <w:proofErr w:type="spellEnd"/>
      <w:r>
        <w:rPr>
          <w:rFonts w:ascii="Times New Roman" w:hAnsi="Times New Roman"/>
          <w:sz w:val="24"/>
          <w:szCs w:val="24"/>
        </w:rPr>
        <w:t xml:space="preserve"> J. E.  (2017). Examination malpractices and teachers’ involvement in delta state secondary</w:t>
      </w:r>
      <w:r>
        <w:rPr>
          <w:rFonts w:ascii="Times New Roman" w:eastAsia="SimSun" w:hAnsi="Times New Roman"/>
          <w:sz w:val="24"/>
          <w:szCs w:val="24"/>
          <w:lang w:val="en-US"/>
        </w:rPr>
        <w:t xml:space="preserve">, </w:t>
      </w:r>
      <w:r>
        <w:rPr>
          <w:rFonts w:ascii="Times New Roman" w:hAnsi="Times New Roman"/>
          <w:i/>
          <w:sz w:val="24"/>
          <w:szCs w:val="24"/>
        </w:rPr>
        <w:t>Nigerian Academic Forum</w:t>
      </w:r>
      <w:r>
        <w:rPr>
          <w:rFonts w:ascii="Times New Roman" w:hAnsi="Times New Roman"/>
          <w:sz w:val="24"/>
          <w:szCs w:val="24"/>
        </w:rPr>
        <w:t>, 25(1), 1-6.</w:t>
      </w:r>
    </w:p>
    <w:p w14:paraId="73FEFECC" w14:textId="77777777" w:rsidR="002375D6" w:rsidRDefault="008D0901">
      <w:pPr>
        <w:spacing w:before="240" w:after="0" w:line="240" w:lineRule="auto"/>
        <w:ind w:left="785" w:hangingChars="327" w:hanging="785"/>
        <w:jc w:val="both"/>
        <w:rPr>
          <w:rFonts w:ascii="Times New Roman" w:eastAsia="SimSun" w:hAnsi="Times New Roman"/>
          <w:sz w:val="24"/>
          <w:szCs w:val="24"/>
          <w:lang w:val="en-US"/>
        </w:rPr>
      </w:pPr>
      <w:proofErr w:type="spellStart"/>
      <w:r>
        <w:rPr>
          <w:rFonts w:ascii="Times New Roman" w:eastAsia="SimSun" w:hAnsi="Times New Roman"/>
          <w:sz w:val="24"/>
          <w:szCs w:val="24"/>
        </w:rPr>
        <w:t>Malekela</w:t>
      </w:r>
      <w:proofErr w:type="spellEnd"/>
      <w:r>
        <w:rPr>
          <w:rFonts w:ascii="Times New Roman" w:eastAsia="SimSun" w:hAnsi="Times New Roman"/>
          <w:sz w:val="24"/>
          <w:szCs w:val="24"/>
        </w:rPr>
        <w:t xml:space="preserve">, G. (2000). Quality of secondary school education in Tanzania. In J. C. J. </w:t>
      </w:r>
      <w:proofErr w:type="spellStart"/>
      <w:r>
        <w:rPr>
          <w:rFonts w:ascii="Times New Roman" w:eastAsia="SimSun" w:hAnsi="Times New Roman"/>
          <w:sz w:val="24"/>
          <w:szCs w:val="24"/>
        </w:rPr>
        <w:t>Galabawa</w:t>
      </w:r>
      <w:proofErr w:type="spellEnd"/>
      <w:r>
        <w:rPr>
          <w:rFonts w:ascii="Times New Roman" w:eastAsia="SimSun" w:hAnsi="Times New Roman"/>
          <w:sz w:val="24"/>
          <w:szCs w:val="24"/>
        </w:rPr>
        <w:t xml:space="preserve">, F. </w:t>
      </w:r>
    </w:p>
    <w:p w14:paraId="53FDA4DD" w14:textId="57F114BC" w:rsidR="00041A45" w:rsidRDefault="008D0901" w:rsidP="00222C3C">
      <w:pPr>
        <w:spacing w:before="240" w:after="0"/>
        <w:ind w:left="785" w:hangingChars="327" w:hanging="785"/>
        <w:jc w:val="both"/>
        <w:rPr>
          <w:rFonts w:ascii="Times New Roman" w:hAnsi="Times New Roman"/>
          <w:sz w:val="24"/>
          <w:szCs w:val="24"/>
        </w:rPr>
      </w:pPr>
      <w:r w:rsidRPr="00837D90">
        <w:rPr>
          <w:rFonts w:ascii="Times New Roman" w:hAnsi="Times New Roman"/>
          <w:sz w:val="24"/>
          <w:szCs w:val="24"/>
          <w:highlight w:val="yellow"/>
        </w:rPr>
        <w:t>National Commission for Colleges of Education (NCCE). (</w:t>
      </w:r>
      <w:r w:rsidR="00222C3C" w:rsidRPr="00837D90">
        <w:rPr>
          <w:rFonts w:ascii="Times New Roman" w:hAnsi="Times New Roman"/>
          <w:sz w:val="24"/>
          <w:szCs w:val="24"/>
          <w:highlight w:val="yellow"/>
        </w:rPr>
        <w:t>2025</w:t>
      </w:r>
      <w:r w:rsidRPr="00837D90">
        <w:rPr>
          <w:rFonts w:ascii="Times New Roman" w:hAnsi="Times New Roman"/>
          <w:sz w:val="24"/>
          <w:szCs w:val="24"/>
          <w:highlight w:val="yellow"/>
        </w:rPr>
        <w:t>).</w:t>
      </w:r>
      <w:r w:rsidR="00222C3C" w:rsidRPr="00837D90">
        <w:rPr>
          <w:rFonts w:ascii="Times New Roman" w:hAnsi="Times New Roman"/>
          <w:sz w:val="24"/>
          <w:szCs w:val="24"/>
          <w:highlight w:val="yellow"/>
        </w:rPr>
        <w:t xml:space="preserve"> </w:t>
      </w:r>
      <w:hyperlink r:id="rId14" w:history="1">
        <w:r w:rsidR="00222C3C" w:rsidRPr="00837D90">
          <w:rPr>
            <w:rStyle w:val="Hyperlink"/>
            <w:rFonts w:ascii="Times New Roman" w:hAnsi="Times New Roman"/>
            <w:sz w:val="24"/>
            <w:szCs w:val="24"/>
            <w:highlight w:val="yellow"/>
          </w:rPr>
          <w:t>https://ncce.gov.ng/</w:t>
        </w:r>
      </w:hyperlink>
      <w:r w:rsidR="00041A45">
        <w:rPr>
          <w:rFonts w:ascii="Times New Roman" w:hAnsi="Times New Roman"/>
          <w:sz w:val="24"/>
          <w:szCs w:val="24"/>
        </w:rPr>
        <w:t xml:space="preserve"> </w:t>
      </w:r>
    </w:p>
    <w:p w14:paraId="488DC439" w14:textId="0DBEBB18" w:rsidR="002375D6" w:rsidRDefault="00F943FF">
      <w:pPr>
        <w:spacing w:before="240" w:after="0"/>
        <w:ind w:left="785" w:hangingChars="327" w:hanging="785"/>
        <w:jc w:val="both"/>
        <w:rPr>
          <w:rFonts w:ascii="Times New Roman" w:hAnsi="Times New Roman"/>
          <w:sz w:val="24"/>
          <w:szCs w:val="24"/>
        </w:rPr>
      </w:pPr>
      <w:r w:rsidRPr="00837D90">
        <w:rPr>
          <w:rFonts w:ascii="Times New Roman" w:hAnsi="Times New Roman"/>
          <w:sz w:val="24"/>
          <w:szCs w:val="24"/>
          <w:highlight w:val="yellow"/>
        </w:rPr>
        <w:t>Johnson, K. (2024). Teachers’ Characteristics and Academic Performance of Students in Secondary Schools in Calabar South Local Government Area of Cross River State, Nigeria. </w:t>
      </w:r>
      <w:r w:rsidRPr="00837D90">
        <w:rPr>
          <w:rFonts w:ascii="Times New Roman" w:hAnsi="Times New Roman"/>
          <w:i/>
          <w:iCs/>
          <w:sz w:val="24"/>
          <w:szCs w:val="24"/>
          <w:highlight w:val="yellow"/>
        </w:rPr>
        <w:t>Nigeria (January 11, 2024)</w:t>
      </w:r>
      <w:r w:rsidRPr="00837D90">
        <w:rPr>
          <w:rFonts w:ascii="Times New Roman" w:hAnsi="Times New Roman"/>
          <w:sz w:val="24"/>
          <w:szCs w:val="24"/>
          <w:highlight w:val="yellow"/>
        </w:rPr>
        <w:t>.</w:t>
      </w:r>
      <w:r w:rsidR="008D0901">
        <w:rPr>
          <w:rFonts w:ascii="Times New Roman" w:hAnsi="Times New Roman"/>
          <w:sz w:val="24"/>
          <w:szCs w:val="24"/>
        </w:rPr>
        <w:t xml:space="preserve"> </w:t>
      </w:r>
    </w:p>
    <w:p w14:paraId="01AD9960" w14:textId="77777777" w:rsidR="002375D6" w:rsidRDefault="008D0901">
      <w:pPr>
        <w:spacing w:before="240" w:after="0" w:line="240" w:lineRule="auto"/>
        <w:ind w:left="785" w:hangingChars="327" w:hanging="785"/>
        <w:jc w:val="both"/>
        <w:rPr>
          <w:rFonts w:ascii="Times New Roman" w:hAnsi="Times New Roman"/>
          <w:sz w:val="24"/>
          <w:szCs w:val="24"/>
        </w:rPr>
      </w:pPr>
      <w:proofErr w:type="spellStart"/>
      <w:r>
        <w:rPr>
          <w:rFonts w:ascii="Times New Roman" w:hAnsi="Times New Roman"/>
          <w:sz w:val="24"/>
          <w:szCs w:val="24"/>
        </w:rPr>
        <w:t>Oko</w:t>
      </w:r>
      <w:proofErr w:type="spellEnd"/>
      <w:r>
        <w:rPr>
          <w:rFonts w:ascii="Times New Roman" w:hAnsi="Times New Roman"/>
          <w:sz w:val="24"/>
          <w:szCs w:val="24"/>
        </w:rPr>
        <w:t xml:space="preserve">, S. U. &amp; Adie, R. I. (2016). </w:t>
      </w:r>
      <w:r>
        <w:rPr>
          <w:rFonts w:ascii="Times New Roman" w:hAnsi="Times New Roman"/>
          <w:i/>
          <w:sz w:val="24"/>
          <w:szCs w:val="24"/>
        </w:rPr>
        <w:t>International Journal of Managerial Studies and Research</w:t>
      </w:r>
      <w:r>
        <w:rPr>
          <w:rFonts w:ascii="Times New Roman" w:hAnsi="Times New Roman"/>
          <w:sz w:val="24"/>
          <w:szCs w:val="24"/>
        </w:rPr>
        <w:t xml:space="preserve"> (IJMSR), 4(1), 59-65.   </w:t>
      </w:r>
    </w:p>
    <w:p w14:paraId="5707FCA1" w14:textId="14017CC3" w:rsidR="0022123D" w:rsidRDefault="0022123D">
      <w:pPr>
        <w:shd w:val="clear" w:color="auto" w:fill="FFFFFF"/>
        <w:spacing w:before="240" w:after="0" w:line="240" w:lineRule="auto"/>
        <w:ind w:left="785" w:hangingChars="327" w:hanging="785"/>
        <w:jc w:val="both"/>
        <w:rPr>
          <w:rFonts w:ascii="Times New Roman" w:eastAsia="Times New Roman" w:hAnsi="Times New Roman"/>
          <w:sz w:val="24"/>
          <w:szCs w:val="24"/>
        </w:rPr>
      </w:pPr>
      <w:proofErr w:type="spellStart"/>
      <w:r w:rsidRPr="00837D90">
        <w:rPr>
          <w:rFonts w:ascii="Times New Roman" w:eastAsia="Times New Roman" w:hAnsi="Times New Roman"/>
          <w:sz w:val="24"/>
          <w:szCs w:val="24"/>
          <w:highlight w:val="yellow"/>
        </w:rPr>
        <w:t>Oloba</w:t>
      </w:r>
      <w:proofErr w:type="spellEnd"/>
      <w:r w:rsidRPr="00837D90">
        <w:rPr>
          <w:rFonts w:ascii="Times New Roman" w:eastAsia="Times New Roman" w:hAnsi="Times New Roman"/>
          <w:sz w:val="24"/>
          <w:szCs w:val="24"/>
          <w:highlight w:val="yellow"/>
        </w:rPr>
        <w:t>, P. B. (2024). Exploring the stakeholders who should be involved in the introduction and implementation of system-wide change processes: A case study of the Nigerian basic education system. </w:t>
      </w:r>
      <w:r w:rsidRPr="00837D90">
        <w:rPr>
          <w:rFonts w:ascii="Times New Roman" w:eastAsia="Times New Roman" w:hAnsi="Times New Roman"/>
          <w:i/>
          <w:iCs/>
          <w:sz w:val="24"/>
          <w:szCs w:val="24"/>
          <w:highlight w:val="yellow"/>
        </w:rPr>
        <w:t>Social Sciences, Humanities and Education Journal (SHE Journal)</w:t>
      </w:r>
      <w:r w:rsidRPr="00837D90">
        <w:rPr>
          <w:rFonts w:ascii="Times New Roman" w:eastAsia="Times New Roman" w:hAnsi="Times New Roman"/>
          <w:sz w:val="24"/>
          <w:szCs w:val="24"/>
          <w:highlight w:val="yellow"/>
        </w:rPr>
        <w:t>, (2), 246-270.</w:t>
      </w:r>
    </w:p>
    <w:p w14:paraId="1A3B3B99" w14:textId="77777777" w:rsidR="002375D6" w:rsidRDefault="008D0901">
      <w:pPr>
        <w:spacing w:before="240" w:after="0" w:line="240" w:lineRule="auto"/>
        <w:ind w:left="785" w:hangingChars="327" w:hanging="785"/>
        <w:jc w:val="both"/>
        <w:rPr>
          <w:rFonts w:ascii="Times New Roman" w:hAnsi="Times New Roman"/>
          <w:sz w:val="24"/>
          <w:szCs w:val="24"/>
        </w:rPr>
      </w:pPr>
      <w:proofErr w:type="spellStart"/>
      <w:r>
        <w:rPr>
          <w:rFonts w:ascii="Times New Roman" w:hAnsi="Times New Roman"/>
          <w:sz w:val="24"/>
          <w:szCs w:val="24"/>
        </w:rPr>
        <w:t>Oyetoro</w:t>
      </w:r>
      <w:proofErr w:type="spellEnd"/>
      <w:r>
        <w:rPr>
          <w:rFonts w:ascii="Times New Roman" w:hAnsi="Times New Roman"/>
          <w:sz w:val="24"/>
          <w:szCs w:val="24"/>
        </w:rPr>
        <w:t xml:space="preserve">, O. S, </w:t>
      </w:r>
      <w:proofErr w:type="spellStart"/>
      <w:r>
        <w:rPr>
          <w:rFonts w:ascii="Times New Roman" w:hAnsi="Times New Roman"/>
          <w:sz w:val="24"/>
          <w:szCs w:val="24"/>
        </w:rPr>
        <w:t>Odeyemi</w:t>
      </w:r>
      <w:proofErr w:type="spellEnd"/>
      <w:r>
        <w:rPr>
          <w:rFonts w:ascii="Times New Roman" w:hAnsi="Times New Roman"/>
          <w:sz w:val="24"/>
          <w:szCs w:val="24"/>
        </w:rPr>
        <w:t xml:space="preserve">, T. G. &amp; Adesina, B. A., (2019). Interest and learning approaches as discriminating factors in the performance of senior secondary students in Economics. </w:t>
      </w:r>
      <w:r>
        <w:rPr>
          <w:rFonts w:ascii="Times New Roman" w:hAnsi="Times New Roman"/>
          <w:i/>
          <w:sz w:val="24"/>
          <w:szCs w:val="24"/>
        </w:rPr>
        <w:t>Contemporary Educational Research Journal</w:t>
      </w:r>
      <w:r>
        <w:rPr>
          <w:rFonts w:ascii="Times New Roman" w:hAnsi="Times New Roman"/>
          <w:sz w:val="24"/>
          <w:szCs w:val="24"/>
        </w:rPr>
        <w:t xml:space="preserve">, 9(1), 1-13. </w:t>
      </w:r>
    </w:p>
    <w:p w14:paraId="6D6A1FA4" w14:textId="3DFB46AD" w:rsidR="002375D6" w:rsidRDefault="00D86617">
      <w:pPr>
        <w:shd w:val="clear" w:color="auto" w:fill="FFFFFF"/>
        <w:spacing w:before="240" w:after="0" w:line="240" w:lineRule="auto"/>
        <w:ind w:left="785" w:hangingChars="327" w:hanging="785"/>
        <w:jc w:val="both"/>
        <w:rPr>
          <w:rFonts w:ascii="Times New Roman" w:eastAsia="Times New Roman" w:hAnsi="Times New Roman"/>
          <w:sz w:val="24"/>
          <w:szCs w:val="24"/>
        </w:rPr>
      </w:pPr>
      <w:proofErr w:type="spellStart"/>
      <w:r w:rsidRPr="00837D90">
        <w:rPr>
          <w:rFonts w:ascii="Times New Roman" w:eastAsia="Times New Roman" w:hAnsi="Times New Roman"/>
          <w:sz w:val="24"/>
          <w:szCs w:val="24"/>
          <w:highlight w:val="yellow"/>
        </w:rPr>
        <w:t>Oluwalola</w:t>
      </w:r>
      <w:proofErr w:type="spellEnd"/>
      <w:r w:rsidRPr="00837D90">
        <w:rPr>
          <w:rFonts w:ascii="Times New Roman" w:eastAsia="Times New Roman" w:hAnsi="Times New Roman"/>
          <w:sz w:val="24"/>
          <w:szCs w:val="24"/>
          <w:highlight w:val="yellow"/>
        </w:rPr>
        <w:t xml:space="preserve">, F. K., </w:t>
      </w:r>
      <w:proofErr w:type="spellStart"/>
      <w:r w:rsidRPr="00837D90">
        <w:rPr>
          <w:rFonts w:ascii="Times New Roman" w:eastAsia="Times New Roman" w:hAnsi="Times New Roman"/>
          <w:sz w:val="24"/>
          <w:szCs w:val="24"/>
          <w:highlight w:val="yellow"/>
        </w:rPr>
        <w:t>Olaoluwa</w:t>
      </w:r>
      <w:proofErr w:type="spellEnd"/>
      <w:r w:rsidRPr="00837D90">
        <w:rPr>
          <w:rFonts w:ascii="Times New Roman" w:eastAsia="Times New Roman" w:hAnsi="Times New Roman"/>
          <w:sz w:val="24"/>
          <w:szCs w:val="24"/>
          <w:highlight w:val="yellow"/>
        </w:rPr>
        <w:t xml:space="preserve">, A. A., &amp; </w:t>
      </w:r>
      <w:proofErr w:type="spellStart"/>
      <w:r w:rsidRPr="00837D90">
        <w:rPr>
          <w:rFonts w:ascii="Times New Roman" w:eastAsia="Times New Roman" w:hAnsi="Times New Roman"/>
          <w:sz w:val="24"/>
          <w:szCs w:val="24"/>
          <w:highlight w:val="yellow"/>
        </w:rPr>
        <w:t>Ojo</w:t>
      </w:r>
      <w:proofErr w:type="spellEnd"/>
      <w:r w:rsidRPr="00837D90">
        <w:rPr>
          <w:rFonts w:ascii="Times New Roman" w:eastAsia="Times New Roman" w:hAnsi="Times New Roman"/>
          <w:sz w:val="24"/>
          <w:szCs w:val="24"/>
          <w:highlight w:val="yellow"/>
        </w:rPr>
        <w:t xml:space="preserve">, O. J. (2022). The impact of policy implementation on </w:t>
      </w:r>
      <w:proofErr w:type="spellStart"/>
      <w:r w:rsidRPr="00837D90">
        <w:rPr>
          <w:rFonts w:ascii="Times New Roman" w:eastAsia="Times New Roman" w:hAnsi="Times New Roman"/>
          <w:sz w:val="24"/>
          <w:szCs w:val="24"/>
          <w:highlight w:val="yellow"/>
        </w:rPr>
        <w:t>nigeria</w:t>
      </w:r>
      <w:proofErr w:type="spellEnd"/>
      <w:r w:rsidRPr="00837D90">
        <w:rPr>
          <w:rFonts w:ascii="Times New Roman" w:eastAsia="Times New Roman" w:hAnsi="Times New Roman"/>
          <w:sz w:val="24"/>
          <w:szCs w:val="24"/>
          <w:highlight w:val="yellow"/>
        </w:rPr>
        <w:t xml:space="preserve"> educational system. </w:t>
      </w:r>
      <w:r w:rsidRPr="00837D90">
        <w:rPr>
          <w:rFonts w:ascii="Times New Roman" w:eastAsia="Times New Roman" w:hAnsi="Times New Roman"/>
          <w:i/>
          <w:iCs/>
          <w:sz w:val="24"/>
          <w:szCs w:val="24"/>
          <w:highlight w:val="yellow"/>
        </w:rPr>
        <w:t>Journal of Curriculum and Instruction</w:t>
      </w:r>
      <w:r w:rsidRPr="00837D90">
        <w:rPr>
          <w:rFonts w:ascii="Times New Roman" w:eastAsia="Times New Roman" w:hAnsi="Times New Roman"/>
          <w:sz w:val="24"/>
          <w:szCs w:val="24"/>
          <w:highlight w:val="yellow"/>
        </w:rPr>
        <w:t>, </w:t>
      </w:r>
      <w:r w:rsidRPr="00837D90">
        <w:rPr>
          <w:rFonts w:ascii="Times New Roman" w:eastAsia="Times New Roman" w:hAnsi="Times New Roman"/>
          <w:i/>
          <w:iCs/>
          <w:sz w:val="24"/>
          <w:szCs w:val="24"/>
          <w:highlight w:val="yellow"/>
        </w:rPr>
        <w:t>14</w:t>
      </w:r>
      <w:r w:rsidRPr="00837D90">
        <w:rPr>
          <w:rFonts w:ascii="Times New Roman" w:eastAsia="Times New Roman" w:hAnsi="Times New Roman"/>
          <w:sz w:val="24"/>
          <w:szCs w:val="24"/>
          <w:highlight w:val="yellow"/>
        </w:rPr>
        <w:t>(1), 31-38.</w:t>
      </w:r>
    </w:p>
    <w:p w14:paraId="2794F497" w14:textId="525E49CA" w:rsidR="00BC2A8F" w:rsidRDefault="00BC2A8F">
      <w:pPr>
        <w:shd w:val="clear" w:color="auto" w:fill="FFFFFF"/>
        <w:spacing w:before="240" w:after="0" w:line="240" w:lineRule="auto"/>
        <w:ind w:left="785" w:hangingChars="327" w:hanging="785"/>
        <w:jc w:val="both"/>
        <w:rPr>
          <w:rFonts w:ascii="Times New Roman" w:eastAsia="Times New Roman" w:hAnsi="Times New Roman"/>
          <w:sz w:val="24"/>
          <w:szCs w:val="24"/>
        </w:rPr>
      </w:pPr>
      <w:proofErr w:type="spellStart"/>
      <w:r w:rsidRPr="00837D90">
        <w:rPr>
          <w:rFonts w:ascii="Times New Roman" w:eastAsia="Times New Roman" w:hAnsi="Times New Roman"/>
          <w:sz w:val="24"/>
          <w:szCs w:val="24"/>
          <w:highlight w:val="yellow"/>
        </w:rPr>
        <w:t>Tatto</w:t>
      </w:r>
      <w:proofErr w:type="spellEnd"/>
      <w:r w:rsidRPr="00837D90">
        <w:rPr>
          <w:rFonts w:ascii="Times New Roman" w:eastAsia="Times New Roman" w:hAnsi="Times New Roman"/>
          <w:sz w:val="24"/>
          <w:szCs w:val="24"/>
          <w:highlight w:val="yellow"/>
        </w:rPr>
        <w:t>, M. T. (2021). Professionalism in teaching and the role of teacher education. </w:t>
      </w:r>
      <w:r w:rsidRPr="00837D90">
        <w:rPr>
          <w:rFonts w:ascii="Times New Roman" w:eastAsia="Times New Roman" w:hAnsi="Times New Roman"/>
          <w:i/>
          <w:iCs/>
          <w:sz w:val="24"/>
          <w:szCs w:val="24"/>
          <w:highlight w:val="yellow"/>
        </w:rPr>
        <w:t>European journal of teacher education</w:t>
      </w:r>
      <w:r w:rsidRPr="00837D90">
        <w:rPr>
          <w:rFonts w:ascii="Times New Roman" w:eastAsia="Times New Roman" w:hAnsi="Times New Roman"/>
          <w:sz w:val="24"/>
          <w:szCs w:val="24"/>
          <w:highlight w:val="yellow"/>
        </w:rPr>
        <w:t>, </w:t>
      </w:r>
      <w:r w:rsidRPr="00837D90">
        <w:rPr>
          <w:rFonts w:ascii="Times New Roman" w:eastAsia="Times New Roman" w:hAnsi="Times New Roman"/>
          <w:i/>
          <w:iCs/>
          <w:sz w:val="24"/>
          <w:szCs w:val="24"/>
          <w:highlight w:val="yellow"/>
        </w:rPr>
        <w:t>44</w:t>
      </w:r>
      <w:r w:rsidRPr="00837D90">
        <w:rPr>
          <w:rFonts w:ascii="Times New Roman" w:eastAsia="Times New Roman" w:hAnsi="Times New Roman"/>
          <w:sz w:val="24"/>
          <w:szCs w:val="24"/>
          <w:highlight w:val="yellow"/>
        </w:rPr>
        <w:t>(1), 20-44.</w:t>
      </w:r>
    </w:p>
    <w:p w14:paraId="4EE14AAC" w14:textId="77777777" w:rsidR="00BC2A8F" w:rsidRDefault="00BC2A8F">
      <w:pPr>
        <w:shd w:val="clear" w:color="auto" w:fill="FFFFFF"/>
        <w:spacing w:before="240" w:after="0" w:line="240" w:lineRule="auto"/>
        <w:ind w:left="785" w:hangingChars="327" w:hanging="785"/>
        <w:jc w:val="both"/>
        <w:rPr>
          <w:rFonts w:ascii="Times New Roman" w:eastAsia="Times New Roman" w:hAnsi="Times New Roman"/>
          <w:sz w:val="24"/>
          <w:szCs w:val="24"/>
        </w:rPr>
      </w:pPr>
    </w:p>
    <w:p w14:paraId="7C888391" w14:textId="77777777" w:rsidR="0004622C" w:rsidRDefault="0004622C">
      <w:pPr>
        <w:shd w:val="clear" w:color="auto" w:fill="FFFFFF"/>
        <w:spacing w:before="240" w:after="0" w:line="240" w:lineRule="auto"/>
        <w:ind w:left="785" w:hangingChars="327" w:hanging="785"/>
        <w:jc w:val="both"/>
        <w:rPr>
          <w:rFonts w:ascii="Times New Roman" w:eastAsia="Times New Roman" w:hAnsi="Times New Roman"/>
          <w:sz w:val="24"/>
          <w:szCs w:val="24"/>
        </w:rPr>
      </w:pPr>
    </w:p>
    <w:p w14:paraId="1D7BA4A3" w14:textId="77777777" w:rsidR="00D86617" w:rsidRDefault="00D86617">
      <w:pPr>
        <w:shd w:val="clear" w:color="auto" w:fill="FFFFFF"/>
        <w:spacing w:before="240" w:after="0" w:line="240" w:lineRule="auto"/>
        <w:ind w:left="785" w:hangingChars="327" w:hanging="785"/>
        <w:jc w:val="both"/>
        <w:rPr>
          <w:rFonts w:ascii="Times New Roman" w:eastAsia="Times New Roman" w:hAnsi="Times New Roman"/>
          <w:sz w:val="24"/>
          <w:szCs w:val="24"/>
        </w:rPr>
      </w:pPr>
    </w:p>
    <w:p w14:paraId="1B4CC639" w14:textId="77777777" w:rsidR="002375D6" w:rsidRDefault="002375D6">
      <w:pPr>
        <w:spacing w:before="240" w:after="0"/>
        <w:ind w:left="785" w:hangingChars="327" w:hanging="785"/>
        <w:jc w:val="both"/>
        <w:rPr>
          <w:rFonts w:ascii="Times New Roman" w:hAnsi="Times New Roman"/>
          <w:sz w:val="24"/>
          <w:szCs w:val="24"/>
        </w:rPr>
      </w:pPr>
    </w:p>
    <w:p w14:paraId="6B5D450F" w14:textId="77777777" w:rsidR="002375D6" w:rsidRDefault="002375D6">
      <w:pPr>
        <w:spacing w:after="0" w:line="480" w:lineRule="auto"/>
        <w:jc w:val="both"/>
        <w:rPr>
          <w:rFonts w:ascii="Times New Roman" w:hAnsi="Times New Roman"/>
        </w:rPr>
      </w:pPr>
    </w:p>
    <w:sectPr w:rsidR="002375D6">
      <w:headerReference w:type="even" r:id="rId15"/>
      <w:headerReference w:type="default" r:id="rId16"/>
      <w:footerReference w:type="default" r:id="rId17"/>
      <w:headerReference w:type="firs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A6E75" w14:textId="77777777" w:rsidR="00E221E2" w:rsidRDefault="00E221E2">
      <w:pPr>
        <w:spacing w:after="0" w:line="240" w:lineRule="auto"/>
      </w:pPr>
      <w:r>
        <w:separator/>
      </w:r>
    </w:p>
  </w:endnote>
  <w:endnote w:type="continuationSeparator" w:id="0">
    <w:p w14:paraId="57F292FD" w14:textId="77777777" w:rsidR="00E221E2" w:rsidRDefault="00E22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8FD2" w14:textId="77777777" w:rsidR="00B76AB6" w:rsidRDefault="00B76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D3781" w14:textId="77777777" w:rsidR="002375D6" w:rsidRDefault="008D0901">
    <w:pPr>
      <w:pStyle w:val="Footer"/>
      <w:jc w:val="center"/>
    </w:pPr>
    <w:r>
      <w:fldChar w:fldCharType="begin"/>
    </w:r>
    <w:r>
      <w:instrText xml:space="preserve"> PAGE   \* MERGEFORMAT </w:instrText>
    </w:r>
    <w:r>
      <w:fldChar w:fldCharType="separate"/>
    </w:r>
    <w:r>
      <w:rPr>
        <w:noProof/>
      </w:rPr>
      <w:t>1</w:t>
    </w:r>
    <w:r>
      <w:rPr>
        <w:noProof/>
      </w:rPr>
      <w:fldChar w:fldCharType="end"/>
    </w:r>
  </w:p>
  <w:p w14:paraId="4F275144" w14:textId="77777777" w:rsidR="002375D6" w:rsidRDefault="00237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F7689" w14:textId="77777777" w:rsidR="00B76AB6" w:rsidRDefault="00B76A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7557" w14:textId="77777777" w:rsidR="002375D6" w:rsidRDefault="002375D6">
    <w:pPr>
      <w:pStyle w:val="Footer"/>
      <w:jc w:val="center"/>
    </w:pPr>
  </w:p>
  <w:p w14:paraId="058D8112" w14:textId="77777777" w:rsidR="002375D6" w:rsidRDefault="008D090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8E3E4" w14:textId="77777777" w:rsidR="00E221E2" w:rsidRDefault="00E221E2">
      <w:pPr>
        <w:spacing w:after="0" w:line="240" w:lineRule="auto"/>
      </w:pPr>
      <w:r>
        <w:separator/>
      </w:r>
    </w:p>
  </w:footnote>
  <w:footnote w:type="continuationSeparator" w:id="0">
    <w:p w14:paraId="0BAD537E" w14:textId="77777777" w:rsidR="00E221E2" w:rsidRDefault="00E22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2D2B0" w14:textId="67144230" w:rsidR="00B76AB6" w:rsidRDefault="00E221E2">
    <w:pPr>
      <w:pStyle w:val="Header"/>
    </w:pPr>
    <w:r>
      <w:rPr>
        <w:noProof/>
      </w:rPr>
      <w:pict w14:anchorId="41409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4563" o:spid="_x0000_s2050" type="#_x0000_t136" style="position:absolute;margin-left:0;margin-top:0;width:518.85pt;height:9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B2EC2" w14:textId="70C4FF16" w:rsidR="00B76AB6" w:rsidRDefault="00E221E2">
    <w:pPr>
      <w:pStyle w:val="Header"/>
    </w:pPr>
    <w:r>
      <w:rPr>
        <w:noProof/>
      </w:rPr>
      <w:pict w14:anchorId="36F50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4564" o:spid="_x0000_s2051" type="#_x0000_t136" style="position:absolute;margin-left:0;margin-top:0;width:518.85pt;height:9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6BE2" w14:textId="3B88B7B6" w:rsidR="00B76AB6" w:rsidRDefault="00E221E2">
    <w:pPr>
      <w:pStyle w:val="Header"/>
    </w:pPr>
    <w:r>
      <w:rPr>
        <w:noProof/>
      </w:rPr>
      <w:pict w14:anchorId="58C5E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4562" o:spid="_x0000_s2049" type="#_x0000_t136" style="position:absolute;margin-left:0;margin-top:0;width:518.85pt;height:9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745B" w14:textId="57DAE448" w:rsidR="00B76AB6" w:rsidRDefault="00E221E2">
    <w:pPr>
      <w:pStyle w:val="Header"/>
    </w:pPr>
    <w:r>
      <w:rPr>
        <w:noProof/>
      </w:rPr>
      <w:pict w14:anchorId="62DD1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4566" o:spid="_x0000_s2053" type="#_x0000_t136" style="position:absolute;margin-left:0;margin-top:0;width:518.85pt;height:97.2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7524" w14:textId="7841CA1C" w:rsidR="00B76AB6" w:rsidRDefault="00E221E2">
    <w:pPr>
      <w:pStyle w:val="Header"/>
    </w:pPr>
    <w:r>
      <w:rPr>
        <w:noProof/>
      </w:rPr>
      <w:pict w14:anchorId="60034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4567" o:spid="_x0000_s2054" type="#_x0000_t136" style="position:absolute;margin-left:0;margin-top:0;width:518.85pt;height:97.2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422B6" w14:textId="2440F5DA" w:rsidR="00B76AB6" w:rsidRDefault="00E221E2">
    <w:pPr>
      <w:pStyle w:val="Header"/>
    </w:pPr>
    <w:r>
      <w:rPr>
        <w:noProof/>
      </w:rPr>
      <w:pict w14:anchorId="767C9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4565" o:spid="_x0000_s2052" type="#_x0000_t136" style="position:absolute;margin-left:0;margin-top:0;width:518.85pt;height:97.2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6C803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0653F"/>
    <w:multiLevelType w:val="hybridMultilevel"/>
    <w:tmpl w:val="70168D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0NDU1NDQwNzc3MzJU0lEKTi0uzszPAykwrAUAdEDCfSwAAAA="/>
  </w:docVars>
  <w:rsids>
    <w:rsidRoot w:val="002375D6"/>
    <w:rsid w:val="00041A45"/>
    <w:rsid w:val="0004622C"/>
    <w:rsid w:val="00082AF9"/>
    <w:rsid w:val="000A3D02"/>
    <w:rsid w:val="000B5796"/>
    <w:rsid w:val="00121347"/>
    <w:rsid w:val="001675A0"/>
    <w:rsid w:val="001D118E"/>
    <w:rsid w:val="0022123D"/>
    <w:rsid w:val="00222C3C"/>
    <w:rsid w:val="002375D6"/>
    <w:rsid w:val="002A2A85"/>
    <w:rsid w:val="00324BCD"/>
    <w:rsid w:val="003D3882"/>
    <w:rsid w:val="00496631"/>
    <w:rsid w:val="00562F0C"/>
    <w:rsid w:val="005F6462"/>
    <w:rsid w:val="00631D71"/>
    <w:rsid w:val="006A7888"/>
    <w:rsid w:val="007A584A"/>
    <w:rsid w:val="00837D90"/>
    <w:rsid w:val="008D0901"/>
    <w:rsid w:val="008F361D"/>
    <w:rsid w:val="00A03132"/>
    <w:rsid w:val="00AF7428"/>
    <w:rsid w:val="00B43C83"/>
    <w:rsid w:val="00B6131D"/>
    <w:rsid w:val="00B76AB6"/>
    <w:rsid w:val="00B94776"/>
    <w:rsid w:val="00BB5EAC"/>
    <w:rsid w:val="00BC2A8F"/>
    <w:rsid w:val="00C97CAF"/>
    <w:rsid w:val="00D12EC6"/>
    <w:rsid w:val="00D86617"/>
    <w:rsid w:val="00E221E2"/>
    <w:rsid w:val="00EB3DB1"/>
    <w:rsid w:val="00EE093B"/>
    <w:rsid w:val="00F262FA"/>
    <w:rsid w:val="00F70050"/>
    <w:rsid w:val="00F94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ABADCED"/>
  <w15:docId w15:val="{A15CEFDA-EC41-4536-9E48-EBD00CA3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table" w:styleId="TableGrid">
    <w:name w:val="Table Grid"/>
    <w:basedOn w:val="TableNormal"/>
    <w:uiPriority w:val="3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563C1"/>
      <w:u w:val="single"/>
    </w:rPr>
  </w:style>
  <w:style w:type="character" w:customStyle="1" w:styleId="fontstyle01">
    <w:name w:val="fontstyle01"/>
    <w:rPr>
      <w:rFonts w:ascii="Times New Roman" w:eastAsia="SimSun" w:hAnsi="Times New Roman" w:cs="Times New Roman" w:hint="default"/>
      <w:b w:val="0"/>
      <w:bCs w:val="0"/>
      <w:i w:val="0"/>
      <w:iCs w:val="0"/>
      <w:color w:val="000000"/>
      <w:sz w:val="24"/>
      <w:szCs w:val="24"/>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1D118E"/>
    <w:rPr>
      <w:color w:val="605E5C"/>
      <w:shd w:val="clear" w:color="auto" w:fill="E1DFDD"/>
    </w:rPr>
  </w:style>
  <w:style w:type="paragraph" w:styleId="Revision">
    <w:name w:val="Revision"/>
    <w:hidden/>
    <w:uiPriority w:val="99"/>
    <w:semiHidden/>
    <w:rsid w:val="00324BCD"/>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earchgate.net/publication/362668438" TargetMode="Externa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ncce.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13</Pages>
  <Words>3105</Words>
  <Characters>17704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ADEBAYO RASAAQ A</dc:creator>
  <cp:lastModifiedBy>SDI 1183</cp:lastModifiedBy>
  <cp:revision>146</cp:revision>
  <dcterms:created xsi:type="dcterms:W3CDTF">2024-02-09T21:37:00Z</dcterms:created>
  <dcterms:modified xsi:type="dcterms:W3CDTF">2025-10-29T09:07:00Z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b90fadd4ead842ca9b35a52c30771e25</vt:lpwstr>
  </property>
  <property fmtid="{D5CDD505-2E9C-101B-9397-08002B2CF9AE}" pid="3" name="GrammarlyDocumentId">
    <vt:lpwstr>dc7f5c61-a673-4f35-8365-11a12dd2a162</vt:lpwstr>
  </property>
</Properties>
</file>