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C9A5A" w14:textId="1E7199E3" w:rsidR="00035371" w:rsidRPr="0086769E" w:rsidRDefault="00035371" w:rsidP="00035371">
      <w:pPr>
        <w:pStyle w:val="Title"/>
        <w:ind w:left="0"/>
        <w:jc w:val="right"/>
        <w:rPr>
          <w:rFonts w:ascii="Arial" w:hAnsi="Arial" w:cs="Arial"/>
          <w:b/>
          <w:bCs/>
          <w:sz w:val="36"/>
          <w:szCs w:val="36"/>
        </w:rPr>
      </w:pPr>
      <w:r w:rsidRPr="0086769E">
        <w:rPr>
          <w:rFonts w:ascii="Arial" w:hAnsi="Arial" w:cs="Arial"/>
          <w:b/>
          <w:bCs/>
          <w:sz w:val="36"/>
          <w:szCs w:val="36"/>
        </w:rPr>
        <w:t>Traditional Indian Sports in Education: Promoting Physical Health and Well-Being</w:t>
      </w:r>
    </w:p>
    <w:p w14:paraId="68FDE952" w14:textId="77777777" w:rsidR="00035371" w:rsidRPr="0086769E" w:rsidRDefault="00035371" w:rsidP="00035371">
      <w:pPr>
        <w:pStyle w:val="Title"/>
        <w:ind w:left="0"/>
        <w:jc w:val="right"/>
        <w:rPr>
          <w:rFonts w:ascii="Arial" w:hAnsi="Arial" w:cs="Arial"/>
          <w:b/>
          <w:bCs/>
          <w:sz w:val="24"/>
          <w:szCs w:val="24"/>
        </w:rPr>
      </w:pPr>
    </w:p>
    <w:p w14:paraId="09F52604" w14:textId="579165B8" w:rsidR="00CA59CD" w:rsidRPr="0086769E" w:rsidRDefault="00CA59CD" w:rsidP="00035371">
      <w:pPr>
        <w:pStyle w:val="Title"/>
        <w:ind w:left="0"/>
        <w:rPr>
          <w:rFonts w:ascii="Arial" w:hAnsi="Arial" w:cs="Arial"/>
          <w:b/>
          <w:bCs/>
          <w:sz w:val="24"/>
          <w:szCs w:val="24"/>
        </w:rPr>
      </w:pPr>
    </w:p>
    <w:p w14:paraId="7FF838F4" w14:textId="77777777" w:rsidR="009D54AC" w:rsidRPr="0086769E" w:rsidRDefault="009D54AC" w:rsidP="00035371">
      <w:pPr>
        <w:pStyle w:val="Title"/>
        <w:ind w:left="0"/>
        <w:rPr>
          <w:rFonts w:ascii="Arial" w:hAnsi="Arial" w:cs="Arial"/>
          <w:b/>
          <w:bCs/>
          <w:sz w:val="24"/>
          <w:szCs w:val="24"/>
        </w:rPr>
      </w:pPr>
    </w:p>
    <w:p w14:paraId="115A2830" w14:textId="77777777" w:rsidR="00CA59CD" w:rsidRPr="0086769E" w:rsidRDefault="00CA59CD" w:rsidP="00035371">
      <w:pPr>
        <w:pStyle w:val="Title"/>
        <w:ind w:left="0"/>
        <w:rPr>
          <w:rFonts w:ascii="Arial" w:hAnsi="Arial" w:cs="Arial"/>
          <w:b/>
          <w:bCs/>
          <w:sz w:val="24"/>
          <w:szCs w:val="24"/>
        </w:rPr>
      </w:pPr>
    </w:p>
    <w:p w14:paraId="03C2E89F" w14:textId="1CC01E61" w:rsidR="006F50C0" w:rsidRPr="0086769E" w:rsidRDefault="009F50F9" w:rsidP="00035371">
      <w:pPr>
        <w:pStyle w:val="Title"/>
        <w:ind w:left="0"/>
        <w:rPr>
          <w:rFonts w:ascii="Arial" w:hAnsi="Arial" w:cs="Arial"/>
          <w:b/>
          <w:bCs/>
          <w:sz w:val="24"/>
          <w:szCs w:val="24"/>
        </w:rPr>
      </w:pPr>
      <w:r w:rsidRPr="0086769E">
        <w:rPr>
          <w:rFonts w:ascii="Arial" w:hAnsi="Arial" w:cs="Arial"/>
          <w:b/>
          <w:bCs/>
          <w:sz w:val="24"/>
          <w:szCs w:val="24"/>
        </w:rPr>
        <w:t>ABSTRACT</w:t>
      </w:r>
    </w:p>
    <w:p w14:paraId="797A3C1C" w14:textId="01E3B6F0" w:rsidR="00824E35" w:rsidRPr="0086769E" w:rsidRDefault="00316695" w:rsidP="00035371">
      <w:pPr>
        <w:pStyle w:val="Title"/>
        <w:ind w:left="0"/>
        <w:jc w:val="both"/>
        <w:rPr>
          <w:rFonts w:ascii="Arial" w:hAnsi="Arial" w:cs="Arial"/>
          <w:sz w:val="24"/>
          <w:szCs w:val="24"/>
        </w:rPr>
      </w:pPr>
      <w:r w:rsidRPr="0086769E">
        <w:rPr>
          <w:rFonts w:ascii="Arial" w:hAnsi="Arial" w:cs="Arial"/>
          <w:sz w:val="24"/>
          <w:szCs w:val="24"/>
        </w:rPr>
        <w:t>This review paper critically examines the role of diverse sports in promoting self-reliance and enhancing health and well-being in India, rooted in rich Indian traditional health practices. Drawing from ancient wisdom and cultural heritage, these traditional health practices offer holistic approaches to physical activity, seamlessly integrating body, mind, and spirit. By incorporating such practices into health promotion initiatives, individuals and communities can reclaim ownership of their well-being, fostering self-reliance and sustainability while preserving cultural identity. Recognizing the intrinsic connection between physical activity and mental health, promoting diverse sports rooted in Indian traditional health practices serves as a holistic approach to improving overall health outcomes. Through partnerships and community-driven initiatives, India can leverage its rich cultural heritage to create supportive environments that prioritize physical activity. Embracing sports rooted in Indian traditional health practices not only promotes physical health but also strengthens cultural identity and fosters a deeper connection to ancestral wisdom, emphasizing the importance of heritage in fostering self-reliance and well-being.</w:t>
      </w:r>
      <w:r w:rsidR="00824E35" w:rsidRPr="0086769E">
        <w:rPr>
          <w:rFonts w:ascii="Arial" w:hAnsi="Arial" w:cs="Arial"/>
          <w:sz w:val="24"/>
          <w:szCs w:val="24"/>
        </w:rPr>
        <w:t xml:space="preserve"> This review paper offers meaningful insights for policymakers, health professionals, and community leaders to design inclusive and effective strategies that promote physical activity and enhance health outcomes in India. Additionally, it seeks to encourage researchers and scholars to undertake empirical studies that deepen understanding of how traditional sports can be integrated into the mainstream sporting framework, thereby enhancing their functional and cultural significance within diverse </w:t>
      </w:r>
      <w:r w:rsidR="00A342C8" w:rsidRPr="0086769E">
        <w:rPr>
          <w:rFonts w:ascii="Arial" w:hAnsi="Arial" w:cs="Arial"/>
          <w:sz w:val="24"/>
          <w:szCs w:val="24"/>
        </w:rPr>
        <w:t>cultural</w:t>
      </w:r>
      <w:r w:rsidR="00824E35" w:rsidRPr="0086769E">
        <w:rPr>
          <w:rFonts w:ascii="Arial" w:hAnsi="Arial" w:cs="Arial"/>
          <w:sz w:val="24"/>
          <w:szCs w:val="24"/>
        </w:rPr>
        <w:t xml:space="preserve"> contexts.</w:t>
      </w:r>
    </w:p>
    <w:p w14:paraId="3CF36531" w14:textId="7B6E046E" w:rsidR="00A82E51" w:rsidRPr="0086769E" w:rsidRDefault="00A82E51" w:rsidP="00035371">
      <w:pPr>
        <w:pStyle w:val="Title"/>
        <w:ind w:left="0"/>
        <w:jc w:val="both"/>
        <w:rPr>
          <w:rFonts w:ascii="Arial" w:hAnsi="Arial" w:cs="Arial"/>
          <w:sz w:val="24"/>
          <w:szCs w:val="24"/>
        </w:rPr>
      </w:pPr>
      <w:r w:rsidRPr="0086769E">
        <w:rPr>
          <w:rFonts w:ascii="Arial" w:hAnsi="Arial" w:cs="Arial"/>
          <w:b/>
          <w:bCs/>
          <w:sz w:val="24"/>
          <w:szCs w:val="24"/>
        </w:rPr>
        <w:t>Keyword</w:t>
      </w:r>
      <w:r w:rsidR="007E1200" w:rsidRPr="0086769E">
        <w:rPr>
          <w:rFonts w:ascii="Arial" w:hAnsi="Arial" w:cs="Arial"/>
          <w:b/>
          <w:bCs/>
          <w:sz w:val="24"/>
          <w:szCs w:val="24"/>
        </w:rPr>
        <w:t>s</w:t>
      </w:r>
      <w:r w:rsidRPr="0086769E">
        <w:rPr>
          <w:rFonts w:ascii="Arial" w:hAnsi="Arial" w:cs="Arial"/>
          <w:b/>
          <w:bCs/>
          <w:sz w:val="24"/>
          <w:szCs w:val="24"/>
        </w:rPr>
        <w:t>:</w:t>
      </w:r>
      <w:r w:rsidRPr="0086769E">
        <w:rPr>
          <w:rFonts w:ascii="Arial" w:hAnsi="Arial" w:cs="Arial"/>
          <w:sz w:val="24"/>
          <w:szCs w:val="24"/>
        </w:rPr>
        <w:t xml:space="preserve"> Physical activity, Health promotion, Well-being, </w:t>
      </w:r>
      <w:r w:rsidR="00796DCC" w:rsidRPr="0086769E">
        <w:rPr>
          <w:rFonts w:ascii="Arial" w:hAnsi="Arial" w:cs="Arial"/>
          <w:sz w:val="24"/>
          <w:szCs w:val="24"/>
        </w:rPr>
        <w:t>Traditional</w:t>
      </w:r>
      <w:r w:rsidR="00824E35" w:rsidRPr="0086769E">
        <w:rPr>
          <w:rFonts w:ascii="Arial" w:hAnsi="Arial" w:cs="Arial"/>
          <w:sz w:val="24"/>
          <w:szCs w:val="24"/>
        </w:rPr>
        <w:t xml:space="preserve"> sports</w:t>
      </w:r>
      <w:r w:rsidRPr="0086769E">
        <w:rPr>
          <w:rFonts w:ascii="Arial" w:hAnsi="Arial" w:cs="Arial"/>
          <w:sz w:val="24"/>
          <w:szCs w:val="24"/>
        </w:rPr>
        <w:t>.</w:t>
      </w:r>
    </w:p>
    <w:p w14:paraId="6BF9CE8D" w14:textId="77777777" w:rsidR="00035371" w:rsidRPr="0086769E" w:rsidRDefault="00035371" w:rsidP="00035371">
      <w:pPr>
        <w:pStyle w:val="Title"/>
        <w:ind w:left="0"/>
        <w:jc w:val="both"/>
        <w:rPr>
          <w:rFonts w:ascii="Arial" w:hAnsi="Arial" w:cs="Arial"/>
          <w:sz w:val="24"/>
          <w:szCs w:val="24"/>
        </w:rPr>
      </w:pPr>
    </w:p>
    <w:p w14:paraId="17FF82E4" w14:textId="77777777" w:rsidR="00F72D7F" w:rsidRPr="0086769E" w:rsidRDefault="00F72D7F" w:rsidP="00035371">
      <w:pPr>
        <w:pStyle w:val="Title"/>
        <w:ind w:left="0"/>
        <w:jc w:val="both"/>
        <w:rPr>
          <w:rFonts w:ascii="Arial" w:hAnsi="Arial" w:cs="Arial"/>
          <w:sz w:val="24"/>
          <w:szCs w:val="24"/>
        </w:rPr>
      </w:pPr>
    </w:p>
    <w:p w14:paraId="20559975" w14:textId="0EECADC5" w:rsidR="00D86B05" w:rsidRPr="0086769E" w:rsidRDefault="009F50F9" w:rsidP="00035371">
      <w:pPr>
        <w:pStyle w:val="Title"/>
        <w:ind w:left="0"/>
        <w:jc w:val="both"/>
        <w:rPr>
          <w:rFonts w:ascii="Arial" w:hAnsi="Arial" w:cs="Arial"/>
          <w:b/>
          <w:bCs/>
          <w:sz w:val="24"/>
          <w:szCs w:val="24"/>
        </w:rPr>
      </w:pPr>
      <w:r w:rsidRPr="0086769E">
        <w:rPr>
          <w:rFonts w:ascii="Arial" w:hAnsi="Arial" w:cs="Arial"/>
          <w:b/>
          <w:bCs/>
          <w:sz w:val="24"/>
          <w:szCs w:val="24"/>
        </w:rPr>
        <w:t>INTRODUCTION</w:t>
      </w:r>
    </w:p>
    <w:p w14:paraId="2706E3BF" w14:textId="77777777" w:rsidR="00D86B05" w:rsidRPr="0086769E" w:rsidRDefault="00D86B05" w:rsidP="00035371">
      <w:pPr>
        <w:pStyle w:val="Title"/>
        <w:ind w:left="0"/>
        <w:jc w:val="both"/>
        <w:rPr>
          <w:rFonts w:ascii="Arial" w:hAnsi="Arial" w:cs="Arial"/>
          <w:sz w:val="24"/>
          <w:szCs w:val="24"/>
        </w:rPr>
      </w:pPr>
      <w:r w:rsidRPr="0086769E">
        <w:rPr>
          <w:rFonts w:ascii="Arial" w:hAnsi="Arial" w:cs="Arial"/>
          <w:sz w:val="24"/>
          <w:szCs w:val="24"/>
        </w:rPr>
        <w:t xml:space="preserve">The promotion of traditional sports activities in India encompasses a multifaceted approach aimed at fostering self-reliance and enhancing overall health and well-being. This initiative involves encouraging individuals and communities to actively participate in indigenous sports and games deeply rooted in the country's cultural heritage. The concept of promoting traditional sports activities revolves around recognizing the intrinsic value of these age-old practices and their significance in promoting physical, mental, and social wellness. These activities not only provide avenues for physical exercise but also serve as mediums for cultural expression, community bonding, and personal development. </w:t>
      </w:r>
    </w:p>
    <w:p w14:paraId="3A8F79C8" w14:textId="7C16770E" w:rsidR="00323CD2" w:rsidRPr="0086769E" w:rsidRDefault="00323CD2" w:rsidP="00323CD2">
      <w:pPr>
        <w:pStyle w:val="Title"/>
        <w:ind w:left="0"/>
        <w:jc w:val="both"/>
        <w:rPr>
          <w:rFonts w:ascii="Arial" w:hAnsi="Arial" w:cs="Arial"/>
          <w:sz w:val="24"/>
          <w:szCs w:val="24"/>
        </w:rPr>
      </w:pPr>
      <w:r w:rsidRPr="0086769E">
        <w:rPr>
          <w:rFonts w:ascii="Arial" w:hAnsi="Arial" w:cs="Arial"/>
          <w:sz w:val="24"/>
          <w:szCs w:val="24"/>
        </w:rPr>
        <w:t xml:space="preserve">Traditional games have been a fundamental part of human culture for centuries, ranging from simple activities like jumping rope to more complex team-based games played across different regions. Beyond entertainment, these games offer significant potential to enhance health and well-being. In today’s fast-paced, technology-driven world, there is growing recognition of the role of traditional games play in promoting both physical and mental health (Tripathi, 2024). Systematic scientific research is essential to understand and validate these benefits, preserve cultural heritage, and develop effective strategies for public health promotion. As modern lifestyles become </w:t>
      </w:r>
      <w:r w:rsidRPr="0086769E">
        <w:rPr>
          <w:rFonts w:ascii="Arial" w:hAnsi="Arial" w:cs="Arial"/>
          <w:sz w:val="24"/>
          <w:szCs w:val="24"/>
        </w:rPr>
        <w:lastRenderedPageBreak/>
        <w:t>increasingly sedentary, exploring how traditional games improve fitness, coordination, and overall physical well-being is more important than ever. Previous studies indicate that participation in traditional games can positively influence multiple aspects of physical health (e.g., fitness) and mental health (e.g., self-confidence) (</w:t>
      </w:r>
      <w:proofErr w:type="spellStart"/>
      <w:r w:rsidRPr="0086769E">
        <w:rPr>
          <w:rFonts w:ascii="Arial" w:hAnsi="Arial" w:cs="Arial"/>
          <w:sz w:val="24"/>
          <w:szCs w:val="24"/>
        </w:rPr>
        <w:t>Polatcan</w:t>
      </w:r>
      <w:proofErr w:type="spellEnd"/>
      <w:r w:rsidRPr="0086769E">
        <w:rPr>
          <w:rFonts w:ascii="Arial" w:hAnsi="Arial" w:cs="Arial"/>
          <w:sz w:val="24"/>
          <w:szCs w:val="24"/>
        </w:rPr>
        <w:t xml:space="preserve"> &amp; </w:t>
      </w:r>
      <w:proofErr w:type="spellStart"/>
      <w:r w:rsidRPr="0086769E">
        <w:rPr>
          <w:rFonts w:ascii="Arial" w:hAnsi="Arial" w:cs="Arial"/>
          <w:sz w:val="24"/>
          <w:szCs w:val="24"/>
        </w:rPr>
        <w:t>Şahin</w:t>
      </w:r>
      <w:proofErr w:type="spellEnd"/>
      <w:r w:rsidRPr="0086769E">
        <w:rPr>
          <w:rFonts w:ascii="Arial" w:hAnsi="Arial" w:cs="Arial"/>
          <w:sz w:val="24"/>
          <w:szCs w:val="24"/>
        </w:rPr>
        <w:t xml:space="preserve">; 2019; </w:t>
      </w:r>
      <w:r w:rsidR="009D1C58" w:rsidRPr="0086769E">
        <w:rPr>
          <w:rFonts w:ascii="Arial" w:hAnsi="Arial" w:cs="Arial"/>
          <w:sz w:val="24"/>
          <w:szCs w:val="24"/>
        </w:rPr>
        <w:t xml:space="preserve">Ding &amp; Gebel, </w:t>
      </w:r>
      <w:r w:rsidRPr="0086769E">
        <w:rPr>
          <w:rFonts w:ascii="Arial" w:hAnsi="Arial" w:cs="Arial"/>
          <w:sz w:val="24"/>
          <w:szCs w:val="24"/>
        </w:rPr>
        <w:t>201</w:t>
      </w:r>
      <w:r w:rsidR="009D1C58" w:rsidRPr="0086769E">
        <w:rPr>
          <w:rFonts w:ascii="Arial" w:hAnsi="Arial" w:cs="Arial"/>
          <w:sz w:val="24"/>
          <w:szCs w:val="24"/>
        </w:rPr>
        <w:t>2</w:t>
      </w:r>
      <w:r w:rsidRPr="0086769E">
        <w:rPr>
          <w:rFonts w:ascii="Arial" w:hAnsi="Arial" w:cs="Arial"/>
          <w:sz w:val="24"/>
          <w:szCs w:val="24"/>
        </w:rPr>
        <w:t>).</w:t>
      </w:r>
    </w:p>
    <w:p w14:paraId="34B6844D" w14:textId="05A2EE10" w:rsidR="00323CD2" w:rsidRPr="0086769E" w:rsidRDefault="007C64C8" w:rsidP="00CC1F2F">
      <w:pPr>
        <w:pStyle w:val="Title"/>
        <w:ind w:left="0"/>
        <w:jc w:val="both"/>
        <w:rPr>
          <w:rFonts w:ascii="Arial" w:hAnsi="Arial" w:cs="Arial"/>
          <w:sz w:val="24"/>
          <w:szCs w:val="24"/>
        </w:rPr>
      </w:pPr>
      <w:r w:rsidRPr="0086769E">
        <w:rPr>
          <w:rFonts w:ascii="Arial" w:hAnsi="Arial" w:cs="Arial"/>
          <w:sz w:val="24"/>
          <w:szCs w:val="24"/>
        </w:rPr>
        <w:t xml:space="preserve">Traditional games, as recreational activities passed down through generations, have long been an essential part of a society’s culture. </w:t>
      </w:r>
      <w:r w:rsidR="007E1200" w:rsidRPr="0086769E">
        <w:rPr>
          <w:rFonts w:ascii="Arial" w:hAnsi="Arial" w:cs="Arial"/>
          <w:sz w:val="24"/>
          <w:szCs w:val="24"/>
        </w:rPr>
        <w:t xml:space="preserve">Engaging in recreational indigenous sports plays a vital role in promoting health, fitness, and overall well-being by enhancing strength, maintaining flexibility, and stimulating both the body and mind. A study (Bano &amp; Tripathi, 2013) aimed to explore the impact of recreational indigenous sports activities on children’s psychological well-being. The research involved 200 participants (n=100 government school &amp; n=100 private schools) and employed a psychological well-being scale along with a training program based on recreational indigenous sports. The findings demonstrated that participation in recreational sports positively contributes to improving the psychological well-being of children from both government and private schools. Research underscores the significance of traditional sports in promoting health and well-being. </w:t>
      </w:r>
      <w:r w:rsidRPr="0086769E">
        <w:rPr>
          <w:rFonts w:ascii="Arial" w:hAnsi="Arial" w:cs="Arial"/>
          <w:sz w:val="24"/>
          <w:szCs w:val="24"/>
        </w:rPr>
        <w:t>These games not only reflect the values, norms, and customs of a community but also carry important physical, mental, and social benefits. The hereditary and oral transmission of these games links them closely to cultural heritage while simultaneously promoting active lifestyles. Research indicates that traditional games, such as those played by Malay children, support the holistic development of body, mind, and spirit (</w:t>
      </w:r>
      <w:r w:rsidR="006C4EBD" w:rsidRPr="0086769E">
        <w:rPr>
          <w:rFonts w:ascii="Arial" w:hAnsi="Arial" w:cs="Arial"/>
          <w:sz w:val="24"/>
          <w:szCs w:val="24"/>
        </w:rPr>
        <w:t xml:space="preserve">Wardani et al. 2021; </w:t>
      </w:r>
      <w:proofErr w:type="spellStart"/>
      <w:r w:rsidR="00A00D83" w:rsidRPr="0086769E">
        <w:rPr>
          <w:rFonts w:ascii="Arial" w:hAnsi="Arial" w:cs="Arial"/>
          <w:sz w:val="24"/>
          <w:szCs w:val="24"/>
        </w:rPr>
        <w:t>Ismoyo</w:t>
      </w:r>
      <w:proofErr w:type="spellEnd"/>
      <w:r w:rsidR="00A00D83" w:rsidRPr="0086769E">
        <w:rPr>
          <w:rFonts w:ascii="Arial" w:hAnsi="Arial" w:cs="Arial"/>
          <w:sz w:val="24"/>
          <w:szCs w:val="24"/>
        </w:rPr>
        <w:t xml:space="preserve"> et al.</w:t>
      </w:r>
      <w:r w:rsidR="006C4EBD" w:rsidRPr="0086769E">
        <w:rPr>
          <w:rFonts w:ascii="Arial" w:hAnsi="Arial" w:cs="Arial"/>
          <w:sz w:val="24"/>
          <w:szCs w:val="24"/>
        </w:rPr>
        <w:t xml:space="preserve"> 2024</w:t>
      </w:r>
      <w:r w:rsidR="00323CD2" w:rsidRPr="0086769E">
        <w:rPr>
          <w:rFonts w:ascii="Arial" w:hAnsi="Arial" w:cs="Arial"/>
          <w:sz w:val="24"/>
          <w:szCs w:val="24"/>
        </w:rPr>
        <w:t>; Tripathi, 2024</w:t>
      </w:r>
      <w:r w:rsidRPr="0086769E">
        <w:rPr>
          <w:rFonts w:ascii="Arial" w:hAnsi="Arial" w:cs="Arial"/>
          <w:sz w:val="24"/>
          <w:szCs w:val="24"/>
        </w:rPr>
        <w:t>). By encouraging physical activity, enhancing coordination, and fostering mental resilience, traditional games serve as both a cultural practice and a practical tool for improving overall health, well-being, and social skills in children and adults alike.</w:t>
      </w:r>
      <w:r w:rsidR="00CC1F2F" w:rsidRPr="0086769E">
        <w:rPr>
          <w:rFonts w:ascii="Arial" w:hAnsi="Arial" w:cs="Arial"/>
          <w:sz w:val="24"/>
          <w:szCs w:val="24"/>
        </w:rPr>
        <w:t xml:space="preserve"> </w:t>
      </w:r>
    </w:p>
    <w:p w14:paraId="31A9E767" w14:textId="35DE2FD6" w:rsidR="007C64C8" w:rsidRPr="0086769E" w:rsidRDefault="00CC1F2F" w:rsidP="00035371">
      <w:pPr>
        <w:pStyle w:val="Title"/>
        <w:ind w:left="0"/>
        <w:jc w:val="both"/>
        <w:rPr>
          <w:rFonts w:ascii="Arial" w:hAnsi="Arial" w:cs="Arial"/>
          <w:sz w:val="24"/>
          <w:szCs w:val="24"/>
        </w:rPr>
      </w:pPr>
      <w:r w:rsidRPr="0086769E">
        <w:rPr>
          <w:rFonts w:ascii="Arial" w:hAnsi="Arial" w:cs="Arial"/>
          <w:sz w:val="24"/>
          <w:szCs w:val="24"/>
        </w:rPr>
        <w:t xml:space="preserve">A study by </w:t>
      </w:r>
      <w:proofErr w:type="spellStart"/>
      <w:r w:rsidRPr="0086769E">
        <w:rPr>
          <w:rFonts w:ascii="Arial" w:hAnsi="Arial" w:cs="Arial"/>
          <w:sz w:val="24"/>
          <w:szCs w:val="24"/>
        </w:rPr>
        <w:t>Iswanto</w:t>
      </w:r>
      <w:proofErr w:type="spellEnd"/>
      <w:r w:rsidRPr="0086769E">
        <w:rPr>
          <w:rFonts w:ascii="Arial" w:hAnsi="Arial" w:cs="Arial"/>
          <w:sz w:val="24"/>
          <w:szCs w:val="24"/>
        </w:rPr>
        <w:t xml:space="preserve"> et al. (2024) examined the impact of traditional sports on enhancing the physical fitness of elementary school students, with a focus on identifying the most effective training frequency. Using a quasi-experimental design, the researchers employed the Indonesian Physical Freshness Test (TKJI) to assess improvements in the physical fitness of children aged 10–12 years. The sample included 48 students divided into three groups</w:t>
      </w:r>
      <w:r w:rsidR="00A00D83" w:rsidRPr="0086769E">
        <w:rPr>
          <w:rFonts w:ascii="Arial" w:hAnsi="Arial" w:cs="Arial"/>
          <w:sz w:val="24"/>
          <w:szCs w:val="24"/>
        </w:rPr>
        <w:t xml:space="preserve"> as </w:t>
      </w:r>
      <w:r w:rsidRPr="0086769E">
        <w:rPr>
          <w:rFonts w:ascii="Arial" w:hAnsi="Arial" w:cs="Arial"/>
          <w:sz w:val="24"/>
          <w:szCs w:val="24"/>
        </w:rPr>
        <w:t>treatment group A, treatment group B, and a control group</w:t>
      </w:r>
      <w:r w:rsidR="00A00D83" w:rsidRPr="0086769E">
        <w:rPr>
          <w:rFonts w:ascii="Arial" w:hAnsi="Arial" w:cs="Arial"/>
          <w:sz w:val="24"/>
          <w:szCs w:val="24"/>
        </w:rPr>
        <w:t xml:space="preserve"> </w:t>
      </w:r>
      <w:r w:rsidRPr="0086769E">
        <w:rPr>
          <w:rFonts w:ascii="Arial" w:hAnsi="Arial" w:cs="Arial"/>
          <w:sz w:val="24"/>
          <w:szCs w:val="24"/>
        </w:rPr>
        <w:t>each consisting of 16 students Findings revealed that treatment group A, which engaged in traditional sports training four times per week, demonstrated the highest level of physical fitness. Treatment group B also showed significant improvement compared to the control group, which exhibited no notable change. Overall, the study concluded that traditional sports effectively enhance the physical fitness of elementary school students.</w:t>
      </w:r>
    </w:p>
    <w:p w14:paraId="3B7A4FFB" w14:textId="06F95A39" w:rsidR="00D86B05" w:rsidRPr="0086769E" w:rsidRDefault="00D86B05" w:rsidP="00035371">
      <w:pPr>
        <w:pStyle w:val="Title"/>
        <w:ind w:left="0"/>
        <w:jc w:val="both"/>
        <w:rPr>
          <w:rFonts w:ascii="Arial" w:hAnsi="Arial" w:cs="Arial"/>
          <w:sz w:val="24"/>
          <w:szCs w:val="24"/>
        </w:rPr>
      </w:pPr>
      <w:r w:rsidRPr="0086769E">
        <w:rPr>
          <w:rFonts w:ascii="Arial" w:hAnsi="Arial" w:cs="Arial"/>
          <w:sz w:val="24"/>
          <w:szCs w:val="24"/>
        </w:rPr>
        <w:t xml:space="preserve">The scope of promoting traditional sports activities in India is broad and diverse, encompassing a wide range of indigenous sports, games, and physical activities prevalent across different regions of the country. From traditional martial arts like </w:t>
      </w:r>
      <w:proofErr w:type="spellStart"/>
      <w:r w:rsidRPr="0086769E">
        <w:rPr>
          <w:rFonts w:ascii="Arial" w:hAnsi="Arial" w:cs="Arial"/>
          <w:sz w:val="24"/>
          <w:szCs w:val="24"/>
        </w:rPr>
        <w:t>Kalaripayattu</w:t>
      </w:r>
      <w:proofErr w:type="spellEnd"/>
      <w:r w:rsidRPr="0086769E">
        <w:rPr>
          <w:rFonts w:ascii="Arial" w:hAnsi="Arial" w:cs="Arial"/>
          <w:sz w:val="24"/>
          <w:szCs w:val="24"/>
        </w:rPr>
        <w:t xml:space="preserve"> and Gatka to folk games like Kabaddi and Gilli-Danda, there is a rich tapestry of traditional sports that reflect India's cultural diversity and heritage. At its core, promoting traditional sports activities is about empowering individuals and communities to take ownership of their health and well-being. By engaging in these activities, individuals develop physical fitness, mental resilience, and a sense of cultural pride and identity. Moreover, participation in traditional sports fosters a spirit of self-reliance by encouraging individuals to rely on their own abilities and resources to maintain their health and fitness levels. </w:t>
      </w:r>
    </w:p>
    <w:p w14:paraId="697AACAA" w14:textId="005F5198" w:rsidR="007E1200" w:rsidRPr="0086769E" w:rsidRDefault="00D86B05" w:rsidP="00035371">
      <w:pPr>
        <w:pStyle w:val="Title"/>
        <w:ind w:left="0"/>
        <w:jc w:val="both"/>
        <w:rPr>
          <w:rFonts w:ascii="Arial" w:hAnsi="Arial" w:cs="Arial"/>
          <w:sz w:val="24"/>
          <w:szCs w:val="24"/>
        </w:rPr>
      </w:pPr>
      <w:r w:rsidRPr="0086769E">
        <w:rPr>
          <w:rFonts w:ascii="Arial" w:hAnsi="Arial" w:cs="Arial"/>
          <w:sz w:val="24"/>
          <w:szCs w:val="24"/>
        </w:rPr>
        <w:t xml:space="preserve">Traditional sports, deeply embedded in India's cultural fabric, offer avenues for </w:t>
      </w:r>
      <w:r w:rsidRPr="0086769E">
        <w:rPr>
          <w:rFonts w:ascii="Arial" w:hAnsi="Arial" w:cs="Arial"/>
          <w:sz w:val="24"/>
          <w:szCs w:val="24"/>
        </w:rPr>
        <w:lastRenderedPageBreak/>
        <w:t xml:space="preserve">physical activity that are rooted in indigenous practices and beliefs. As individuals engage in these activities, they not only uphold cultural heritage but also experience the physical, mental, and social benefits associated with them. </w:t>
      </w:r>
      <w:r w:rsidR="00D16E7A" w:rsidRPr="0086769E">
        <w:rPr>
          <w:rFonts w:ascii="Arial" w:hAnsi="Arial" w:cs="Arial"/>
          <w:sz w:val="24"/>
          <w:szCs w:val="24"/>
        </w:rPr>
        <w:t xml:space="preserve">It is widely recognized that psychological well-being cannot be achieved without physical well-being, as the two are closely interconnected. </w:t>
      </w:r>
      <w:r w:rsidRPr="0086769E">
        <w:rPr>
          <w:rFonts w:ascii="Arial" w:hAnsi="Arial" w:cs="Arial"/>
          <w:sz w:val="24"/>
          <w:szCs w:val="24"/>
        </w:rPr>
        <w:t>Studies have shown that participation in traditional sports contributes to improved cardiovascular health, enhanced physical fitness, and reduced risk factors for chronic diseases (Anand et al., 201</w:t>
      </w:r>
      <w:r w:rsidR="006A11E1" w:rsidRPr="0086769E">
        <w:rPr>
          <w:rFonts w:ascii="Arial" w:hAnsi="Arial" w:cs="Arial"/>
          <w:sz w:val="24"/>
          <w:szCs w:val="24"/>
        </w:rPr>
        <w:t>1</w:t>
      </w:r>
      <w:r w:rsidRPr="0086769E">
        <w:rPr>
          <w:rFonts w:ascii="Arial" w:hAnsi="Arial" w:cs="Arial"/>
          <w:sz w:val="24"/>
          <w:szCs w:val="24"/>
        </w:rPr>
        <w:t xml:space="preserve">). </w:t>
      </w:r>
    </w:p>
    <w:p w14:paraId="6316B59A" w14:textId="4681F4C1" w:rsidR="007E1200" w:rsidRPr="0086769E" w:rsidRDefault="00D86B05" w:rsidP="00035371">
      <w:pPr>
        <w:pStyle w:val="Title"/>
        <w:ind w:left="0"/>
        <w:jc w:val="both"/>
        <w:rPr>
          <w:rFonts w:ascii="Arial" w:hAnsi="Arial" w:cs="Arial"/>
          <w:sz w:val="24"/>
          <w:szCs w:val="24"/>
        </w:rPr>
      </w:pPr>
      <w:r w:rsidRPr="0086769E">
        <w:rPr>
          <w:rFonts w:ascii="Arial" w:hAnsi="Arial" w:cs="Arial"/>
          <w:sz w:val="24"/>
          <w:szCs w:val="24"/>
        </w:rPr>
        <w:t>Moreover, engagement in such activities fosters a sense of community, social cohesion, and mental well-being, aligning with the holistic approach to health advocated by traditional Indian systems like Ayurveda.</w:t>
      </w:r>
      <w:r w:rsidR="00D012E5" w:rsidRPr="0086769E">
        <w:rPr>
          <w:rFonts w:ascii="Arial" w:hAnsi="Arial" w:cs="Arial"/>
          <w:sz w:val="24"/>
          <w:szCs w:val="24"/>
        </w:rPr>
        <w:t xml:space="preserve"> </w:t>
      </w:r>
      <w:r w:rsidR="00CC1F2F" w:rsidRPr="0086769E">
        <w:rPr>
          <w:rFonts w:ascii="Arial" w:hAnsi="Arial" w:cs="Arial"/>
          <w:sz w:val="24"/>
          <w:szCs w:val="24"/>
        </w:rPr>
        <w:t xml:space="preserve">A recent study by </w:t>
      </w:r>
      <w:proofErr w:type="spellStart"/>
      <w:r w:rsidR="00CF272C" w:rsidRPr="0086769E">
        <w:rPr>
          <w:rFonts w:ascii="Arial" w:hAnsi="Arial" w:cs="Arial"/>
          <w:sz w:val="24"/>
          <w:szCs w:val="24"/>
        </w:rPr>
        <w:t>Akoijam</w:t>
      </w:r>
      <w:proofErr w:type="spellEnd"/>
      <w:r w:rsidR="00CC1F2F" w:rsidRPr="0086769E">
        <w:rPr>
          <w:rFonts w:ascii="Arial" w:hAnsi="Arial" w:cs="Arial"/>
          <w:sz w:val="24"/>
          <w:szCs w:val="24"/>
        </w:rPr>
        <w:t xml:space="preserve"> and Chakraborty (2025) explored how traditional sports contribute to health and social bonding. The research involved 300 participants including players, coaches, and event organizers, representing six traditional sports of Manipur as Thang-Ta, Sagol </w:t>
      </w:r>
      <w:proofErr w:type="spellStart"/>
      <w:r w:rsidR="00CC1F2F" w:rsidRPr="0086769E">
        <w:rPr>
          <w:rFonts w:ascii="Arial" w:hAnsi="Arial" w:cs="Arial"/>
          <w:sz w:val="24"/>
          <w:szCs w:val="24"/>
        </w:rPr>
        <w:t>Kangjei</w:t>
      </w:r>
      <w:proofErr w:type="spellEnd"/>
      <w:r w:rsidR="00CC1F2F" w:rsidRPr="0086769E">
        <w:rPr>
          <w:rFonts w:ascii="Arial" w:hAnsi="Arial" w:cs="Arial"/>
          <w:sz w:val="24"/>
          <w:szCs w:val="24"/>
        </w:rPr>
        <w:t xml:space="preserve">, </w:t>
      </w:r>
      <w:proofErr w:type="spellStart"/>
      <w:r w:rsidR="00CC1F2F" w:rsidRPr="0086769E">
        <w:rPr>
          <w:rFonts w:ascii="Arial" w:hAnsi="Arial" w:cs="Arial"/>
          <w:sz w:val="24"/>
          <w:szCs w:val="24"/>
        </w:rPr>
        <w:t>Yubi</w:t>
      </w:r>
      <w:proofErr w:type="spellEnd"/>
      <w:r w:rsidR="00CC1F2F" w:rsidRPr="0086769E">
        <w:rPr>
          <w:rFonts w:ascii="Arial" w:hAnsi="Arial" w:cs="Arial"/>
          <w:sz w:val="24"/>
          <w:szCs w:val="24"/>
        </w:rPr>
        <w:t xml:space="preserve"> </w:t>
      </w:r>
      <w:proofErr w:type="spellStart"/>
      <w:r w:rsidR="00CC1F2F" w:rsidRPr="0086769E">
        <w:rPr>
          <w:rFonts w:ascii="Arial" w:hAnsi="Arial" w:cs="Arial"/>
          <w:sz w:val="24"/>
          <w:szCs w:val="24"/>
        </w:rPr>
        <w:t>Lakpi</w:t>
      </w:r>
      <w:proofErr w:type="spellEnd"/>
      <w:r w:rsidR="00CC1F2F" w:rsidRPr="0086769E">
        <w:rPr>
          <w:rFonts w:ascii="Arial" w:hAnsi="Arial" w:cs="Arial"/>
          <w:sz w:val="24"/>
          <w:szCs w:val="24"/>
        </w:rPr>
        <w:t xml:space="preserve">, </w:t>
      </w:r>
      <w:proofErr w:type="spellStart"/>
      <w:r w:rsidR="00CC1F2F" w:rsidRPr="0086769E">
        <w:rPr>
          <w:rFonts w:ascii="Arial" w:hAnsi="Arial" w:cs="Arial"/>
          <w:sz w:val="24"/>
          <w:szCs w:val="24"/>
        </w:rPr>
        <w:t>Mukna</w:t>
      </w:r>
      <w:proofErr w:type="spellEnd"/>
      <w:r w:rsidR="00CC1F2F" w:rsidRPr="0086769E">
        <w:rPr>
          <w:rFonts w:ascii="Arial" w:hAnsi="Arial" w:cs="Arial"/>
          <w:sz w:val="24"/>
          <w:szCs w:val="24"/>
        </w:rPr>
        <w:t xml:space="preserve">, Kang, and </w:t>
      </w:r>
      <w:proofErr w:type="spellStart"/>
      <w:r w:rsidR="00CC1F2F" w:rsidRPr="0086769E">
        <w:rPr>
          <w:rFonts w:ascii="Arial" w:hAnsi="Arial" w:cs="Arial"/>
          <w:sz w:val="24"/>
          <w:szCs w:val="24"/>
        </w:rPr>
        <w:t>Hiyang</w:t>
      </w:r>
      <w:proofErr w:type="spellEnd"/>
      <w:r w:rsidR="00CC1F2F" w:rsidRPr="0086769E">
        <w:rPr>
          <w:rFonts w:ascii="Arial" w:hAnsi="Arial" w:cs="Arial"/>
          <w:sz w:val="24"/>
          <w:szCs w:val="24"/>
        </w:rPr>
        <w:t xml:space="preserve"> </w:t>
      </w:r>
      <w:proofErr w:type="spellStart"/>
      <w:r w:rsidR="00CC1F2F" w:rsidRPr="0086769E">
        <w:rPr>
          <w:rFonts w:ascii="Arial" w:hAnsi="Arial" w:cs="Arial"/>
          <w:sz w:val="24"/>
          <w:szCs w:val="24"/>
        </w:rPr>
        <w:t>Tanaba</w:t>
      </w:r>
      <w:proofErr w:type="spellEnd"/>
      <w:r w:rsidR="00CC1F2F" w:rsidRPr="0086769E">
        <w:rPr>
          <w:rFonts w:ascii="Arial" w:hAnsi="Arial" w:cs="Arial"/>
          <w:sz w:val="24"/>
          <w:szCs w:val="24"/>
        </w:rPr>
        <w:t>. Using snowball and purposive sampling methods, participants aged 18–45 were drawn from six districts. Data were gathered through a 55-item questionnaire and structured interviews. The findings indicated that traditional sports play a significant role in promoting physical well-being and enhancing social connections.</w:t>
      </w:r>
      <w:r w:rsidR="007E1200" w:rsidRPr="0086769E">
        <w:rPr>
          <w:rFonts w:ascii="Arial" w:hAnsi="Arial" w:cs="Arial"/>
          <w:sz w:val="24"/>
          <w:szCs w:val="24"/>
        </w:rPr>
        <w:t xml:space="preserve"> </w:t>
      </w:r>
      <w:r w:rsidRPr="0086769E">
        <w:rPr>
          <w:rFonts w:ascii="Arial" w:hAnsi="Arial" w:cs="Arial"/>
          <w:sz w:val="24"/>
          <w:szCs w:val="24"/>
        </w:rPr>
        <w:t xml:space="preserve">Promoting traditional sports activities not only enhances individual health outcomes but also cultivates self-reliance within communities. By reviving and sustaining traditional sports, communities can harness their own resources and cultural practices to promote active living and well-being. </w:t>
      </w:r>
    </w:p>
    <w:p w14:paraId="68DBF0B4" w14:textId="1EB11D9D" w:rsidR="00115F6A" w:rsidRPr="0086769E" w:rsidRDefault="00D86B05" w:rsidP="00035371">
      <w:pPr>
        <w:pStyle w:val="Title"/>
        <w:ind w:left="0"/>
        <w:jc w:val="both"/>
        <w:rPr>
          <w:rFonts w:ascii="Arial" w:hAnsi="Arial" w:cs="Arial"/>
          <w:sz w:val="24"/>
          <w:szCs w:val="24"/>
        </w:rPr>
      </w:pPr>
      <w:r w:rsidRPr="0086769E">
        <w:rPr>
          <w:rFonts w:ascii="Arial" w:hAnsi="Arial" w:cs="Arial"/>
          <w:sz w:val="24"/>
          <w:szCs w:val="24"/>
        </w:rPr>
        <w:t xml:space="preserve">This approach aligns with the broader goal of promoting self-reliance in health management, empowering individuals and communities to take charge of their own health (Tripathi, 2019; </w:t>
      </w:r>
      <w:r w:rsidR="009D1C58" w:rsidRPr="0086769E">
        <w:rPr>
          <w:rFonts w:ascii="Arial" w:hAnsi="Arial" w:cs="Arial"/>
          <w:sz w:val="24"/>
          <w:szCs w:val="24"/>
        </w:rPr>
        <w:t>Ding &amp; Gebel, 2012</w:t>
      </w:r>
      <w:r w:rsidRPr="0086769E">
        <w:rPr>
          <w:rFonts w:ascii="Arial" w:hAnsi="Arial" w:cs="Arial"/>
          <w:sz w:val="24"/>
          <w:szCs w:val="24"/>
        </w:rPr>
        <w:t xml:space="preserve">). </w:t>
      </w:r>
      <w:r w:rsidR="00115F6A" w:rsidRPr="0086769E">
        <w:rPr>
          <w:rFonts w:ascii="Arial" w:hAnsi="Arial" w:cs="Arial"/>
          <w:sz w:val="24"/>
          <w:szCs w:val="24"/>
        </w:rPr>
        <w:t>Embedded within the educational philosophy of fostering self-reliance in India lies a rich tapestry of Indian philosophical ideas, including those found in the Bhagavad Gita, Upanishads, and Vedas. These ancient texts provide profound insights into the interconnectedness of physical, mental, and spiritual dimensions of human existence, emphasizing the pursuit of holistic well-being. Drawing from the Bhagavad Gita's teachings on karma yoga and self-discipline, individuals are encouraged to engage in physical activity as a means of fulfilling their duties while maintaining inner balance (Bhagavad Gita, Chapter 2). Similarly, the Upanishads and Vedas expound upon the concept of "</w:t>
      </w:r>
      <w:proofErr w:type="spellStart"/>
      <w:r w:rsidR="00115F6A" w:rsidRPr="0086769E">
        <w:rPr>
          <w:rFonts w:ascii="Arial" w:hAnsi="Arial" w:cs="Arial"/>
          <w:sz w:val="24"/>
          <w:szCs w:val="24"/>
        </w:rPr>
        <w:t>Sarvam</w:t>
      </w:r>
      <w:proofErr w:type="spellEnd"/>
      <w:r w:rsidR="00115F6A" w:rsidRPr="0086769E">
        <w:rPr>
          <w:rFonts w:ascii="Arial" w:hAnsi="Arial" w:cs="Arial"/>
          <w:sz w:val="24"/>
          <w:szCs w:val="24"/>
        </w:rPr>
        <w:t xml:space="preserve"> </w:t>
      </w:r>
      <w:proofErr w:type="spellStart"/>
      <w:r w:rsidR="00115F6A" w:rsidRPr="0086769E">
        <w:rPr>
          <w:rFonts w:ascii="Arial" w:hAnsi="Arial" w:cs="Arial"/>
          <w:sz w:val="24"/>
          <w:szCs w:val="24"/>
        </w:rPr>
        <w:t>Khalvidam</w:t>
      </w:r>
      <w:proofErr w:type="spellEnd"/>
      <w:r w:rsidR="00115F6A" w:rsidRPr="0086769E">
        <w:rPr>
          <w:rFonts w:ascii="Arial" w:hAnsi="Arial" w:cs="Arial"/>
          <w:sz w:val="24"/>
          <w:szCs w:val="24"/>
        </w:rPr>
        <w:t xml:space="preserve"> Brahma," highlighting the divine presence within all aspects of creation, including the human body (</w:t>
      </w:r>
      <w:proofErr w:type="spellStart"/>
      <w:r w:rsidR="009D1C58" w:rsidRPr="0086769E">
        <w:rPr>
          <w:rFonts w:ascii="Arial" w:hAnsi="Arial" w:cs="Arial"/>
          <w:sz w:val="24"/>
          <w:szCs w:val="24"/>
        </w:rPr>
        <w:t>Krishnananda</w:t>
      </w:r>
      <w:proofErr w:type="spellEnd"/>
      <w:r w:rsidR="009D1C58" w:rsidRPr="0086769E">
        <w:rPr>
          <w:rFonts w:ascii="Arial" w:hAnsi="Arial" w:cs="Arial"/>
          <w:sz w:val="24"/>
          <w:szCs w:val="24"/>
        </w:rPr>
        <w:t>, 1984</w:t>
      </w:r>
      <w:r w:rsidR="00115F6A" w:rsidRPr="0086769E">
        <w:rPr>
          <w:rFonts w:ascii="Arial" w:hAnsi="Arial" w:cs="Arial"/>
          <w:sz w:val="24"/>
          <w:szCs w:val="24"/>
        </w:rPr>
        <w:t>). By integrating these philosophical ideas into educational frameworks, India seeks to imbue its youth with a profound understanding of self-reliance rooted in ancient wisdom, fostering a culture of holistic development and well-being.</w:t>
      </w:r>
      <w:r w:rsidR="00AA4C4B" w:rsidRPr="0086769E">
        <w:rPr>
          <w:rFonts w:ascii="Arial" w:hAnsi="Arial" w:cs="Arial"/>
          <w:sz w:val="24"/>
          <w:szCs w:val="24"/>
        </w:rPr>
        <w:tab/>
      </w:r>
    </w:p>
    <w:p w14:paraId="58AE1D14" w14:textId="48241DC9" w:rsidR="00AA4C4B" w:rsidRPr="0086769E" w:rsidRDefault="00AA4C4B" w:rsidP="00035371">
      <w:pPr>
        <w:pStyle w:val="Title"/>
        <w:ind w:left="0"/>
        <w:jc w:val="both"/>
        <w:rPr>
          <w:rFonts w:ascii="Arial" w:hAnsi="Arial" w:cs="Arial"/>
          <w:sz w:val="24"/>
          <w:szCs w:val="24"/>
        </w:rPr>
      </w:pPr>
      <w:r w:rsidRPr="0086769E">
        <w:rPr>
          <w:rFonts w:ascii="Arial" w:hAnsi="Arial" w:cs="Arial"/>
          <w:sz w:val="24"/>
          <w:szCs w:val="24"/>
        </w:rPr>
        <w:t>In the landscape of Indian education, Physical Education (PE) emerges as a vital pillar in the pursuit of self-reliance and holistic well-being. By engaging in a diverse array of physical activities, PE endeavors to not only enhance physical fitness and motor skills but also promote overall health and wellness</w:t>
      </w:r>
      <w:r w:rsidR="009B3FA5" w:rsidRPr="0086769E">
        <w:rPr>
          <w:rFonts w:ascii="Arial" w:hAnsi="Arial" w:cs="Arial"/>
          <w:sz w:val="24"/>
          <w:szCs w:val="24"/>
        </w:rPr>
        <w:t xml:space="preserve"> (Tripathi, 2019)</w:t>
      </w:r>
      <w:r w:rsidRPr="0086769E">
        <w:rPr>
          <w:rFonts w:ascii="Arial" w:hAnsi="Arial" w:cs="Arial"/>
          <w:sz w:val="24"/>
          <w:szCs w:val="24"/>
        </w:rPr>
        <w:t xml:space="preserve">. This integration of PE into school curricula, spanning from primary to higher education levels, underscores its pivotal role in instilling enduring habits of physical health and self-sufficiency among students. Extensive research reviews affirm the indispensable role of PE participation in achieving positive outcomes across various domains, aligning seamlessly with the overarching goal of self-reliance. Through their investigations, </w:t>
      </w:r>
      <w:r w:rsidR="009B3FA5" w:rsidRPr="0086769E">
        <w:rPr>
          <w:rFonts w:ascii="Arial" w:hAnsi="Arial" w:cs="Arial"/>
          <w:sz w:val="24"/>
          <w:szCs w:val="24"/>
        </w:rPr>
        <w:t>(</w:t>
      </w:r>
      <w:r w:rsidRPr="0086769E">
        <w:rPr>
          <w:rFonts w:ascii="Arial" w:hAnsi="Arial" w:cs="Arial"/>
          <w:sz w:val="24"/>
          <w:szCs w:val="24"/>
        </w:rPr>
        <w:t>Dobbins et al. 2019) shed light on the impact of school-based physical activity interventions on academic outcomes, highlighting the potential of PE programs to enhance student performance. Similarly, Warburton et al. (20</w:t>
      </w:r>
      <w:r w:rsidR="00B96359" w:rsidRPr="0086769E">
        <w:rPr>
          <w:rFonts w:ascii="Arial" w:hAnsi="Arial" w:cs="Arial"/>
          <w:sz w:val="24"/>
          <w:szCs w:val="24"/>
        </w:rPr>
        <w:t>06</w:t>
      </w:r>
      <w:r w:rsidRPr="0086769E">
        <w:rPr>
          <w:rFonts w:ascii="Arial" w:hAnsi="Arial" w:cs="Arial"/>
          <w:sz w:val="24"/>
          <w:szCs w:val="24"/>
        </w:rPr>
        <w:t xml:space="preserve">) emphasized the significant health benefits arising from physical activity, including those stemming from active participation in PE, thus </w:t>
      </w:r>
      <w:r w:rsidRPr="0086769E">
        <w:rPr>
          <w:rFonts w:ascii="Arial" w:hAnsi="Arial" w:cs="Arial"/>
          <w:sz w:val="24"/>
          <w:szCs w:val="24"/>
        </w:rPr>
        <w:lastRenderedPageBreak/>
        <w:t>substantiating its role in mitigating chronic diseases and promoting overall well-being.</w:t>
      </w:r>
    </w:p>
    <w:p w14:paraId="642CF447" w14:textId="1D7E1F1A" w:rsidR="004B7872" w:rsidRPr="0086769E" w:rsidRDefault="00B71338" w:rsidP="001E19E5">
      <w:pPr>
        <w:pStyle w:val="Title"/>
        <w:ind w:left="0"/>
        <w:jc w:val="both"/>
        <w:rPr>
          <w:rFonts w:ascii="Arial" w:hAnsi="Arial" w:cs="Arial"/>
          <w:sz w:val="24"/>
          <w:szCs w:val="24"/>
        </w:rPr>
      </w:pPr>
      <w:r w:rsidRPr="0086769E">
        <w:rPr>
          <w:rFonts w:ascii="Arial" w:hAnsi="Arial" w:cs="Arial"/>
          <w:sz w:val="24"/>
          <w:szCs w:val="24"/>
        </w:rPr>
        <w:t>Bailey et al. (2018) emphasized the broader impacts of physical activity, particularly through school-based PE programs, revealing positive effects on self-esteem, social bonds, and emotional resilience among children and adolescents. These findings underscore the holistic benefits of PE, extending beyond physical health to encompass mental well-being, social skills, and academic achievements. In the context of promoting physical activity for self-reliance in India, PE plays a pivotal role in fostering holistic development and well-being</w:t>
      </w:r>
      <w:r w:rsidR="009B3FA5" w:rsidRPr="0086769E">
        <w:rPr>
          <w:rFonts w:ascii="Arial" w:hAnsi="Arial" w:cs="Arial"/>
          <w:sz w:val="24"/>
          <w:szCs w:val="24"/>
        </w:rPr>
        <w:t xml:space="preserve"> (Tripathi, 2022</w:t>
      </w:r>
      <w:r w:rsidR="00F14662" w:rsidRPr="0086769E">
        <w:rPr>
          <w:rFonts w:ascii="Arial" w:hAnsi="Arial" w:cs="Arial"/>
          <w:sz w:val="24"/>
          <w:szCs w:val="24"/>
        </w:rPr>
        <w:t>b</w:t>
      </w:r>
      <w:r w:rsidR="009B3FA5" w:rsidRPr="0086769E">
        <w:rPr>
          <w:rFonts w:ascii="Arial" w:hAnsi="Arial" w:cs="Arial"/>
          <w:sz w:val="24"/>
          <w:szCs w:val="24"/>
        </w:rPr>
        <w:t>)</w:t>
      </w:r>
      <w:r w:rsidRPr="0086769E">
        <w:rPr>
          <w:rFonts w:ascii="Arial" w:hAnsi="Arial" w:cs="Arial"/>
          <w:sz w:val="24"/>
          <w:szCs w:val="24"/>
        </w:rPr>
        <w:t>. By integrating scientific insights with engaging methodologies, PE contributes to a healthier, more self-sufficient nation, enriching the educational experience and shaping future generations.</w:t>
      </w:r>
    </w:p>
    <w:p w14:paraId="1BC1597B" w14:textId="451759C7" w:rsidR="005B6AE5" w:rsidRPr="0086769E" w:rsidRDefault="009F50F9" w:rsidP="00035371">
      <w:pPr>
        <w:pStyle w:val="Title"/>
        <w:ind w:left="0"/>
        <w:jc w:val="both"/>
        <w:rPr>
          <w:rFonts w:ascii="Arial" w:hAnsi="Arial" w:cs="Arial"/>
          <w:b/>
          <w:bCs/>
          <w:sz w:val="24"/>
          <w:szCs w:val="24"/>
        </w:rPr>
      </w:pPr>
      <w:r w:rsidRPr="0086769E">
        <w:rPr>
          <w:rFonts w:ascii="Arial" w:hAnsi="Arial" w:cs="Arial"/>
          <w:b/>
          <w:bCs/>
          <w:sz w:val="24"/>
          <w:szCs w:val="24"/>
        </w:rPr>
        <w:t>PHYSICAL ACTIVITY FOR MENTAL AND PHYSICAL WELL-BEING</w:t>
      </w:r>
    </w:p>
    <w:p w14:paraId="639279B4" w14:textId="07BCE5AD" w:rsidR="005B6AE5" w:rsidRPr="0086769E" w:rsidRDefault="006B31E3" w:rsidP="00035371">
      <w:pPr>
        <w:pStyle w:val="Title"/>
        <w:ind w:left="0"/>
        <w:jc w:val="both"/>
        <w:rPr>
          <w:rFonts w:ascii="Arial" w:hAnsi="Arial" w:cs="Arial"/>
          <w:sz w:val="24"/>
          <w:szCs w:val="24"/>
        </w:rPr>
      </w:pPr>
      <w:r w:rsidRPr="0086769E">
        <w:rPr>
          <w:rFonts w:ascii="Arial" w:hAnsi="Arial" w:cs="Arial"/>
          <w:sz w:val="24"/>
          <w:szCs w:val="24"/>
        </w:rPr>
        <w:t xml:space="preserve">Physical activity has long been acknowledged as a pivotal factor in maintaining overall well-being, with mounting evidence suggesting its profound impact on both physical and mental health. Research spanning various disciplines has consistently demonstrated a robust association between regular physical activity and enhanced mental well-being (Peluso &amp; de Andrade, 2005; Salmon, 2001; Craft &amp; Perna, 2004; Stathopoulou et al., 2006). This association underscores the importance of physical activity as a modifiable lifestyle factor that can positively influence mental health outcomes. The literature extensively explores the diverse forms of physical activity and their specific effects on mental health. Aerobic exercises, such as walking, running, and cycling, have been linked to improvements in mood, reduced symptoms of depression, and enhanced stress resilience (Ross &amp; Thomas, 2010; Salmon, 2001). Similarly, resistance training, including weightlifting and bodyweight exercises, has shown promise in reducing anxiety levels and promoting a sense of well-being (Gordon et al., 2017; Strickland &amp; Smith, 2014). Moreover, mind-body practices like yoga and mindfulness-based interventions have gained recognition for their significant positive impact on mental health, with studies indicating reductions in anxiety and depression symptoms (Cramer et al., 2013; Hofmann et al., 2010; Khoury et al., 2013). </w:t>
      </w:r>
    </w:p>
    <w:p w14:paraId="0553ED2C" w14:textId="4EF56448" w:rsidR="006B31E3" w:rsidRPr="0086769E" w:rsidRDefault="006B31E3" w:rsidP="00035371">
      <w:pPr>
        <w:pStyle w:val="Title"/>
        <w:ind w:left="0"/>
        <w:jc w:val="both"/>
        <w:rPr>
          <w:rFonts w:ascii="Arial" w:hAnsi="Arial" w:cs="Arial"/>
          <w:sz w:val="24"/>
          <w:szCs w:val="24"/>
        </w:rPr>
      </w:pPr>
      <w:r w:rsidRPr="0086769E">
        <w:rPr>
          <w:rFonts w:ascii="Arial" w:hAnsi="Arial" w:cs="Arial"/>
          <w:sz w:val="24"/>
          <w:szCs w:val="24"/>
        </w:rPr>
        <w:t xml:space="preserve">Understanding the mechanisms underlying the relationship between </w:t>
      </w:r>
      <w:r w:rsidR="009B3FA5" w:rsidRPr="0086769E">
        <w:rPr>
          <w:rFonts w:ascii="Arial" w:hAnsi="Arial" w:cs="Arial"/>
          <w:sz w:val="24"/>
          <w:szCs w:val="24"/>
        </w:rPr>
        <w:t xml:space="preserve">physical activities, yogic practices </w:t>
      </w:r>
      <w:r w:rsidRPr="0086769E">
        <w:rPr>
          <w:rFonts w:ascii="Arial" w:hAnsi="Arial" w:cs="Arial"/>
          <w:sz w:val="24"/>
          <w:szCs w:val="24"/>
        </w:rPr>
        <w:t>and mental health is crucial for developing effective interventions</w:t>
      </w:r>
      <w:r w:rsidR="009B3FA5" w:rsidRPr="0086769E">
        <w:rPr>
          <w:rFonts w:ascii="Arial" w:hAnsi="Arial" w:cs="Arial"/>
          <w:sz w:val="24"/>
          <w:szCs w:val="24"/>
        </w:rPr>
        <w:t xml:space="preserve"> (Tripathi, 2022</w:t>
      </w:r>
      <w:r w:rsidR="00F14662" w:rsidRPr="0086769E">
        <w:rPr>
          <w:rFonts w:ascii="Arial" w:hAnsi="Arial" w:cs="Arial"/>
          <w:sz w:val="24"/>
          <w:szCs w:val="24"/>
        </w:rPr>
        <w:t>b</w:t>
      </w:r>
      <w:r w:rsidR="009B3FA5" w:rsidRPr="0086769E">
        <w:rPr>
          <w:rFonts w:ascii="Arial" w:hAnsi="Arial" w:cs="Arial"/>
          <w:sz w:val="24"/>
          <w:szCs w:val="24"/>
        </w:rPr>
        <w:t>)</w:t>
      </w:r>
      <w:r w:rsidRPr="0086769E">
        <w:rPr>
          <w:rFonts w:ascii="Arial" w:hAnsi="Arial" w:cs="Arial"/>
          <w:sz w:val="24"/>
          <w:szCs w:val="24"/>
        </w:rPr>
        <w:t>. Physical activity is believed to exert its beneficial effects through various pathways, including the release of endorphins, neurotransmitter modulation, and neurogenesis, which collectively contribute to improved mood and cognitive function (Salmon, 2001; Stathopoulou et al., 2006). Additionally, engaging in physical activity often fosters social connections and a sense of achievement, further bolstering psychological well-being.</w:t>
      </w:r>
    </w:p>
    <w:p w14:paraId="7FBE7158" w14:textId="198A38D5" w:rsidR="00165576" w:rsidRPr="0086769E" w:rsidRDefault="009F50F9" w:rsidP="00035371">
      <w:pPr>
        <w:pStyle w:val="Title"/>
        <w:ind w:left="0"/>
        <w:jc w:val="both"/>
        <w:rPr>
          <w:rFonts w:ascii="Arial" w:hAnsi="Arial" w:cs="Arial"/>
          <w:b/>
          <w:bCs/>
          <w:sz w:val="24"/>
          <w:szCs w:val="24"/>
        </w:rPr>
      </w:pPr>
      <w:r w:rsidRPr="0086769E">
        <w:rPr>
          <w:rFonts w:ascii="Arial" w:hAnsi="Arial" w:cs="Arial"/>
          <w:b/>
          <w:bCs/>
          <w:sz w:val="24"/>
          <w:szCs w:val="24"/>
        </w:rPr>
        <w:t>BENEFITS OF REGULAR EXERCISE FOR HEALTH</w:t>
      </w:r>
    </w:p>
    <w:p w14:paraId="0B30A094" w14:textId="58739551" w:rsidR="001154DA" w:rsidRPr="0086769E" w:rsidRDefault="005811A1" w:rsidP="00035371">
      <w:pPr>
        <w:jc w:val="both"/>
        <w:rPr>
          <w:rFonts w:ascii="Arial" w:hAnsi="Arial" w:cs="Arial"/>
          <w:sz w:val="24"/>
          <w:szCs w:val="24"/>
        </w:rPr>
      </w:pPr>
      <w:r w:rsidRPr="0086769E">
        <w:rPr>
          <w:rFonts w:ascii="Arial" w:hAnsi="Arial" w:cs="Arial"/>
          <w:sz w:val="24"/>
          <w:szCs w:val="24"/>
        </w:rPr>
        <w:t xml:space="preserve">Youth engaging in regular physical activities not only experience higher life satisfaction but also exhibit fewer psychological problems, highlighting the dual benefits of physical activity for mental well-being (Tripathi, Singh, Vyas &amp; Faridi, 2022). Scientific evidence robustly supports the benefits of regular exercise across various dimensions of health. </w:t>
      </w:r>
      <w:r w:rsidR="00CF6C60" w:rsidRPr="0086769E">
        <w:rPr>
          <w:rFonts w:ascii="Arial" w:hAnsi="Arial" w:cs="Arial"/>
          <w:sz w:val="24"/>
          <w:szCs w:val="24"/>
        </w:rPr>
        <w:t>Shah et al.</w:t>
      </w:r>
      <w:r w:rsidRPr="0086769E">
        <w:rPr>
          <w:rFonts w:ascii="Arial" w:hAnsi="Arial" w:cs="Arial"/>
          <w:sz w:val="24"/>
          <w:szCs w:val="24"/>
        </w:rPr>
        <w:t xml:space="preserve"> (20</w:t>
      </w:r>
      <w:r w:rsidR="00CF6C60" w:rsidRPr="0086769E">
        <w:rPr>
          <w:rFonts w:ascii="Arial" w:hAnsi="Arial" w:cs="Arial"/>
          <w:sz w:val="24"/>
          <w:szCs w:val="24"/>
        </w:rPr>
        <w:t>17</w:t>
      </w:r>
      <w:r w:rsidRPr="0086769E">
        <w:rPr>
          <w:rFonts w:ascii="Arial" w:hAnsi="Arial" w:cs="Arial"/>
          <w:sz w:val="24"/>
          <w:szCs w:val="24"/>
        </w:rPr>
        <w:t xml:space="preserve">) underscores the enhancement of quality of life through physical activity, while Warburton et al. (2006) emphasize its positive impact on cardiovascular health. </w:t>
      </w:r>
      <w:r w:rsidR="009D1C58" w:rsidRPr="0086769E">
        <w:rPr>
          <w:rFonts w:ascii="Arial" w:hAnsi="Arial" w:cs="Arial"/>
          <w:sz w:val="24"/>
          <w:szCs w:val="24"/>
        </w:rPr>
        <w:t>Van Dijk</w:t>
      </w:r>
      <w:r w:rsidRPr="0086769E">
        <w:rPr>
          <w:rFonts w:ascii="Arial" w:hAnsi="Arial" w:cs="Arial"/>
          <w:sz w:val="24"/>
          <w:szCs w:val="24"/>
        </w:rPr>
        <w:t xml:space="preserve"> et al. (20</w:t>
      </w:r>
      <w:r w:rsidR="009D1C58" w:rsidRPr="0086769E">
        <w:rPr>
          <w:rFonts w:ascii="Arial" w:hAnsi="Arial" w:cs="Arial"/>
          <w:sz w:val="24"/>
          <w:szCs w:val="24"/>
        </w:rPr>
        <w:t>13</w:t>
      </w:r>
      <w:r w:rsidRPr="0086769E">
        <w:rPr>
          <w:rFonts w:ascii="Arial" w:hAnsi="Arial" w:cs="Arial"/>
          <w:sz w:val="24"/>
          <w:szCs w:val="24"/>
        </w:rPr>
        <w:t xml:space="preserve">) demonstrate the effects of exercise on glycemic control in individuals with type 2 diabetes, and the </w:t>
      </w:r>
      <w:r w:rsidR="00A04BC4" w:rsidRPr="0086769E">
        <w:rPr>
          <w:rFonts w:ascii="Arial" w:hAnsi="Arial" w:cs="Arial"/>
          <w:sz w:val="24"/>
          <w:szCs w:val="24"/>
        </w:rPr>
        <w:t>Thompson et al. (2020) emphasize the importance of proper staff training, well-designed emergency plans, and regular safety drills in fitness centers. Their aim is to reduce rare cardiovascular risks during exercise while promoting safe, accessible, and inclusive participation in regular physical activity for all individuals.</w:t>
      </w:r>
      <w:r w:rsidRPr="0086769E">
        <w:rPr>
          <w:rFonts w:ascii="Arial" w:hAnsi="Arial" w:cs="Arial"/>
          <w:sz w:val="24"/>
          <w:szCs w:val="24"/>
        </w:rPr>
        <w:t xml:space="preserve"> </w:t>
      </w:r>
      <w:r w:rsidR="000A5481" w:rsidRPr="0086769E">
        <w:rPr>
          <w:rFonts w:ascii="Arial" w:hAnsi="Arial" w:cs="Arial"/>
          <w:sz w:val="24"/>
          <w:szCs w:val="24"/>
        </w:rPr>
        <w:t>(</w:t>
      </w:r>
      <w:r w:rsidRPr="0086769E">
        <w:rPr>
          <w:rFonts w:ascii="Arial" w:hAnsi="Arial" w:cs="Arial"/>
          <w:sz w:val="24"/>
          <w:szCs w:val="24"/>
        </w:rPr>
        <w:t>Tripathi</w:t>
      </w:r>
      <w:r w:rsidR="00741955" w:rsidRPr="0086769E">
        <w:rPr>
          <w:rFonts w:ascii="Arial" w:hAnsi="Arial" w:cs="Arial"/>
          <w:sz w:val="24"/>
          <w:szCs w:val="24"/>
        </w:rPr>
        <w:t xml:space="preserve"> et al.</w:t>
      </w:r>
      <w:r w:rsidR="000A5481" w:rsidRPr="0086769E">
        <w:rPr>
          <w:rFonts w:ascii="Arial" w:hAnsi="Arial" w:cs="Arial"/>
          <w:sz w:val="24"/>
          <w:szCs w:val="24"/>
        </w:rPr>
        <w:t xml:space="preserve"> </w:t>
      </w:r>
      <w:r w:rsidRPr="0086769E">
        <w:rPr>
          <w:rFonts w:ascii="Arial" w:hAnsi="Arial" w:cs="Arial"/>
          <w:sz w:val="24"/>
          <w:szCs w:val="24"/>
        </w:rPr>
        <w:t>2023</w:t>
      </w:r>
      <w:r w:rsidR="000A5481" w:rsidRPr="0086769E">
        <w:rPr>
          <w:rFonts w:ascii="Arial" w:hAnsi="Arial" w:cs="Arial"/>
          <w:sz w:val="24"/>
          <w:szCs w:val="24"/>
        </w:rPr>
        <w:t xml:space="preserve"> &amp; </w:t>
      </w:r>
      <w:r w:rsidRPr="0086769E">
        <w:rPr>
          <w:rFonts w:ascii="Arial" w:hAnsi="Arial" w:cs="Arial"/>
          <w:sz w:val="24"/>
          <w:szCs w:val="24"/>
        </w:rPr>
        <w:t>Craft and Perna</w:t>
      </w:r>
      <w:r w:rsidR="000A5481" w:rsidRPr="0086769E">
        <w:rPr>
          <w:rFonts w:ascii="Arial" w:hAnsi="Arial" w:cs="Arial"/>
          <w:sz w:val="24"/>
          <w:szCs w:val="24"/>
        </w:rPr>
        <w:t>,</w:t>
      </w:r>
      <w:r w:rsidRPr="0086769E">
        <w:rPr>
          <w:rFonts w:ascii="Arial" w:hAnsi="Arial" w:cs="Arial"/>
          <w:sz w:val="24"/>
          <w:szCs w:val="24"/>
        </w:rPr>
        <w:t xml:space="preserve"> 2004) discuss its benefits for </w:t>
      </w:r>
      <w:r w:rsidRPr="0086769E">
        <w:rPr>
          <w:rFonts w:ascii="Arial" w:hAnsi="Arial" w:cs="Arial"/>
          <w:sz w:val="24"/>
          <w:szCs w:val="24"/>
        </w:rPr>
        <w:lastRenderedPageBreak/>
        <w:t xml:space="preserve">clinically depressed individuals, while </w:t>
      </w:r>
      <w:r w:rsidR="00D220A0" w:rsidRPr="0086769E">
        <w:rPr>
          <w:rFonts w:ascii="Arial" w:hAnsi="Arial" w:cs="Arial"/>
          <w:sz w:val="24"/>
          <w:szCs w:val="24"/>
        </w:rPr>
        <w:t xml:space="preserve">Hillman </w:t>
      </w:r>
      <w:r w:rsidRPr="0086769E">
        <w:rPr>
          <w:rFonts w:ascii="Arial" w:hAnsi="Arial" w:cs="Arial"/>
          <w:sz w:val="24"/>
          <w:szCs w:val="24"/>
        </w:rPr>
        <w:t>(20</w:t>
      </w:r>
      <w:r w:rsidR="00D220A0" w:rsidRPr="0086769E">
        <w:rPr>
          <w:rFonts w:ascii="Arial" w:hAnsi="Arial" w:cs="Arial"/>
          <w:sz w:val="24"/>
          <w:szCs w:val="24"/>
        </w:rPr>
        <w:t>08</w:t>
      </w:r>
      <w:r w:rsidRPr="0086769E">
        <w:rPr>
          <w:rFonts w:ascii="Arial" w:hAnsi="Arial" w:cs="Arial"/>
          <w:sz w:val="24"/>
          <w:szCs w:val="24"/>
        </w:rPr>
        <w:t xml:space="preserve">) elucidates its effects on brain function and mental health. </w:t>
      </w:r>
      <w:r w:rsidR="006672D4" w:rsidRPr="0086769E">
        <w:rPr>
          <w:rFonts w:ascii="Arial" w:hAnsi="Arial" w:cs="Arial"/>
          <w:sz w:val="24"/>
          <w:szCs w:val="24"/>
        </w:rPr>
        <w:t xml:space="preserve">Edmed et al. </w:t>
      </w:r>
      <w:r w:rsidRPr="0086769E">
        <w:rPr>
          <w:rFonts w:ascii="Arial" w:hAnsi="Arial" w:cs="Arial"/>
          <w:sz w:val="24"/>
          <w:szCs w:val="24"/>
        </w:rPr>
        <w:t>(202</w:t>
      </w:r>
      <w:r w:rsidR="0050488E" w:rsidRPr="0086769E">
        <w:rPr>
          <w:rFonts w:ascii="Arial" w:hAnsi="Arial" w:cs="Arial"/>
          <w:sz w:val="24"/>
          <w:szCs w:val="24"/>
        </w:rPr>
        <w:t>5</w:t>
      </w:r>
      <w:r w:rsidRPr="0086769E">
        <w:rPr>
          <w:rFonts w:ascii="Arial" w:hAnsi="Arial" w:cs="Arial"/>
          <w:sz w:val="24"/>
          <w:szCs w:val="24"/>
        </w:rPr>
        <w:t>) highlights the link between exercise and improved sleep quality, while Tripathi</w:t>
      </w:r>
      <w:r w:rsidR="00741955" w:rsidRPr="0086769E">
        <w:rPr>
          <w:rFonts w:ascii="Arial" w:hAnsi="Arial" w:cs="Arial"/>
          <w:sz w:val="24"/>
          <w:szCs w:val="24"/>
        </w:rPr>
        <w:t xml:space="preserve"> and Bano</w:t>
      </w:r>
      <w:r w:rsidRPr="0086769E">
        <w:rPr>
          <w:rFonts w:ascii="Arial" w:hAnsi="Arial" w:cs="Arial"/>
          <w:sz w:val="24"/>
          <w:szCs w:val="24"/>
        </w:rPr>
        <w:t xml:space="preserve"> (20</w:t>
      </w:r>
      <w:r w:rsidR="00741955" w:rsidRPr="0086769E">
        <w:rPr>
          <w:rFonts w:ascii="Arial" w:hAnsi="Arial" w:cs="Arial"/>
          <w:sz w:val="24"/>
          <w:szCs w:val="24"/>
        </w:rPr>
        <w:t>14</w:t>
      </w:r>
      <w:r w:rsidRPr="0086769E">
        <w:rPr>
          <w:rFonts w:ascii="Arial" w:hAnsi="Arial" w:cs="Arial"/>
          <w:sz w:val="24"/>
          <w:szCs w:val="24"/>
        </w:rPr>
        <w:t>) and Campbell and Turner (2018) underscore its positive impact on immune function. Puetz et al. (2006) demonstrate the effects of chronic exercise on feelings of energy and fatigue, while Kramer et al. (1999) and Erickson et al. (2011) discuss its relationship with cognitive function. Cruwys et al. (2013) highlight the importance of social group memberships in protecting against depression, and Moore et al. (2012) underscore the association between leisure</w:t>
      </w:r>
      <w:r w:rsidR="00485926" w:rsidRPr="0086769E">
        <w:rPr>
          <w:rFonts w:ascii="Arial" w:hAnsi="Arial" w:cs="Arial"/>
          <w:sz w:val="24"/>
          <w:szCs w:val="24"/>
        </w:rPr>
        <w:t>-</w:t>
      </w:r>
      <w:r w:rsidRPr="0086769E">
        <w:rPr>
          <w:rFonts w:ascii="Arial" w:hAnsi="Arial" w:cs="Arial"/>
          <w:sz w:val="24"/>
          <w:szCs w:val="24"/>
        </w:rPr>
        <w:t xml:space="preserve">time physical activity and longevity. </w:t>
      </w:r>
    </w:p>
    <w:p w14:paraId="34666709" w14:textId="7EA06B64" w:rsidR="001154DA" w:rsidRPr="0086769E" w:rsidRDefault="005811A1" w:rsidP="00035371">
      <w:pPr>
        <w:jc w:val="both"/>
        <w:rPr>
          <w:rFonts w:ascii="Arial" w:hAnsi="Arial" w:cs="Arial"/>
          <w:sz w:val="24"/>
          <w:szCs w:val="24"/>
        </w:rPr>
      </w:pPr>
      <w:r w:rsidRPr="0086769E">
        <w:rPr>
          <w:rFonts w:ascii="Arial" w:hAnsi="Arial" w:cs="Arial"/>
          <w:sz w:val="24"/>
          <w:szCs w:val="24"/>
        </w:rPr>
        <w:t>Finally, Sonstroem and Morgan (1989) emphasize the role of exercise in improving self-esteem and body image. These references collectively provide robust support for the multifaceted benefits of regular exercise on both physical and mental health.</w:t>
      </w:r>
      <w:r w:rsidR="001154DA" w:rsidRPr="0086769E">
        <w:rPr>
          <w:rFonts w:ascii="Arial" w:hAnsi="Arial" w:cs="Arial"/>
          <w:sz w:val="24"/>
          <w:szCs w:val="24"/>
        </w:rPr>
        <w:t xml:space="preserve"> </w:t>
      </w:r>
      <w:r w:rsidRPr="0086769E">
        <w:rPr>
          <w:rFonts w:ascii="Arial" w:hAnsi="Arial" w:cs="Arial"/>
          <w:sz w:val="24"/>
          <w:szCs w:val="24"/>
        </w:rPr>
        <w:t>In India, the existing literature on physical activity promotion underscores its significant impact on health outcomes, encompassing cardiovascular health, mental well-being, and mortality rates (Tripathi, 2019; Anand et al., 201</w:t>
      </w:r>
      <w:r w:rsidR="00741955" w:rsidRPr="0086769E">
        <w:rPr>
          <w:rFonts w:ascii="Arial" w:hAnsi="Arial" w:cs="Arial"/>
          <w:sz w:val="24"/>
          <w:szCs w:val="24"/>
        </w:rPr>
        <w:t>1</w:t>
      </w:r>
      <w:r w:rsidRPr="0086769E">
        <w:rPr>
          <w:rFonts w:ascii="Arial" w:hAnsi="Arial" w:cs="Arial"/>
          <w:sz w:val="24"/>
          <w:szCs w:val="24"/>
        </w:rPr>
        <w:t>; Warburton et al., 20</w:t>
      </w:r>
      <w:r w:rsidR="00B96359" w:rsidRPr="0086769E">
        <w:rPr>
          <w:rFonts w:ascii="Arial" w:hAnsi="Arial" w:cs="Arial"/>
          <w:sz w:val="24"/>
          <w:szCs w:val="24"/>
        </w:rPr>
        <w:t>06</w:t>
      </w:r>
      <w:r w:rsidRPr="0086769E">
        <w:rPr>
          <w:rFonts w:ascii="Arial" w:hAnsi="Arial" w:cs="Arial"/>
          <w:sz w:val="24"/>
          <w:szCs w:val="24"/>
        </w:rPr>
        <w:t>). Regular physical activity consistently links to improved health and a reduced risk of chronic diseases. Furthermore, research examines physical activity promotion's role in fostering self-reliance among individuals and communities in India. Self-reliance, defined as meeting one's needs independently, is vital for sustainable health behaviors (</w:t>
      </w:r>
      <w:proofErr w:type="spellStart"/>
      <w:r w:rsidRPr="0086769E">
        <w:rPr>
          <w:rFonts w:ascii="Arial" w:hAnsi="Arial" w:cs="Arial"/>
          <w:sz w:val="24"/>
          <w:szCs w:val="24"/>
        </w:rPr>
        <w:t>Dreze</w:t>
      </w:r>
      <w:proofErr w:type="spellEnd"/>
      <w:r w:rsidRPr="0086769E">
        <w:rPr>
          <w:rFonts w:ascii="Arial" w:hAnsi="Arial" w:cs="Arial"/>
          <w:sz w:val="24"/>
          <w:szCs w:val="24"/>
        </w:rPr>
        <w:t xml:space="preserve"> &amp; Sen, 1995). Studies explore strategies like community-based interventions, cultural adaptations, and policy initiatives to promote self-reliance in physical activity (</w:t>
      </w:r>
      <w:proofErr w:type="spellStart"/>
      <w:r w:rsidRPr="0086769E">
        <w:rPr>
          <w:rFonts w:ascii="Arial" w:hAnsi="Arial" w:cs="Arial"/>
          <w:sz w:val="24"/>
          <w:szCs w:val="24"/>
        </w:rPr>
        <w:t>Labonté</w:t>
      </w:r>
      <w:proofErr w:type="spellEnd"/>
      <w:r w:rsidRPr="0086769E">
        <w:rPr>
          <w:rFonts w:ascii="Arial" w:hAnsi="Arial" w:cs="Arial"/>
          <w:sz w:val="24"/>
          <w:szCs w:val="24"/>
        </w:rPr>
        <w:t xml:space="preserve"> et al., </w:t>
      </w:r>
      <w:r w:rsidR="001252F5" w:rsidRPr="0086769E">
        <w:rPr>
          <w:rFonts w:ascii="Arial" w:hAnsi="Arial" w:cs="Arial"/>
          <w:sz w:val="24"/>
          <w:szCs w:val="24"/>
        </w:rPr>
        <w:t>2011</w:t>
      </w:r>
      <w:r w:rsidRPr="0086769E">
        <w:rPr>
          <w:rFonts w:ascii="Arial" w:hAnsi="Arial" w:cs="Arial"/>
          <w:sz w:val="24"/>
          <w:szCs w:val="24"/>
        </w:rPr>
        <w:t xml:space="preserve">). </w:t>
      </w:r>
    </w:p>
    <w:p w14:paraId="4F65BFCB" w14:textId="70F5E33D" w:rsidR="005811A1" w:rsidRPr="0086769E" w:rsidRDefault="005811A1" w:rsidP="00035371">
      <w:pPr>
        <w:jc w:val="both"/>
        <w:rPr>
          <w:rFonts w:ascii="Arial" w:hAnsi="Arial" w:cs="Arial"/>
          <w:sz w:val="24"/>
          <w:szCs w:val="24"/>
        </w:rPr>
      </w:pPr>
      <w:r w:rsidRPr="0086769E">
        <w:rPr>
          <w:rFonts w:ascii="Arial" w:hAnsi="Arial" w:cs="Arial"/>
          <w:sz w:val="24"/>
          <w:szCs w:val="24"/>
        </w:rPr>
        <w:t>Additionally, research has examined the impact of physical activity promotion on health outcomes among specific population groups in India, including women, children, and marginalized communities (</w:t>
      </w:r>
      <w:r w:rsidR="0050488E" w:rsidRPr="0086769E">
        <w:rPr>
          <w:rFonts w:ascii="Arial" w:hAnsi="Arial" w:cs="Arial"/>
          <w:sz w:val="24"/>
          <w:szCs w:val="24"/>
        </w:rPr>
        <w:t>Philip</w:t>
      </w:r>
      <w:r w:rsidRPr="0086769E">
        <w:rPr>
          <w:rFonts w:ascii="Arial" w:hAnsi="Arial" w:cs="Arial"/>
          <w:sz w:val="24"/>
          <w:szCs w:val="24"/>
        </w:rPr>
        <w:t xml:space="preserve"> et al., 201</w:t>
      </w:r>
      <w:r w:rsidR="0050488E" w:rsidRPr="0086769E">
        <w:rPr>
          <w:rFonts w:ascii="Arial" w:hAnsi="Arial" w:cs="Arial"/>
          <w:sz w:val="24"/>
          <w:szCs w:val="24"/>
        </w:rPr>
        <w:t>8</w:t>
      </w:r>
      <w:r w:rsidRPr="0086769E">
        <w:rPr>
          <w:rFonts w:ascii="Arial" w:hAnsi="Arial" w:cs="Arial"/>
          <w:sz w:val="24"/>
          <w:szCs w:val="24"/>
        </w:rPr>
        <w:t>; World Health Organization, 2018). These studies highlight the importance of addressing social determinants of health and promoting equity in physical activity promotion efforts to ensure all individuals have access to opportunities for active living. The concept of self-reliance in promoting physical activity in India encompasses several dimensions, each contributing to a comprehensive approach towards fostering a culture of active living. Through concerted efforts addressing both individual and systemic factors, India can harness the transformative potential of physical activity promotion to enhance the health and well-being of its population. Collectively, these insights underscore the multifaceted benefits of physical activity and the need for comprehensive strategies to promote active living across diverse populations.</w:t>
      </w:r>
    </w:p>
    <w:p w14:paraId="2EED106F" w14:textId="7C9F1B2D" w:rsidR="009963B5" w:rsidRPr="0086769E" w:rsidRDefault="009F50F9" w:rsidP="00035371">
      <w:pPr>
        <w:jc w:val="both"/>
        <w:rPr>
          <w:rFonts w:ascii="Arial" w:hAnsi="Arial" w:cs="Arial"/>
          <w:b/>
          <w:bCs/>
          <w:sz w:val="24"/>
          <w:szCs w:val="24"/>
        </w:rPr>
      </w:pPr>
      <w:r w:rsidRPr="0086769E">
        <w:rPr>
          <w:rFonts w:ascii="Arial" w:hAnsi="Arial" w:cs="Arial"/>
          <w:b/>
          <w:bCs/>
          <w:sz w:val="24"/>
          <w:szCs w:val="24"/>
        </w:rPr>
        <w:t>INDIGENOUS PERSPECTIVES ON PHYSICAL ACTIVITY IN INDIA</w:t>
      </w:r>
    </w:p>
    <w:p w14:paraId="69DBFA6C" w14:textId="0A7BEB0F" w:rsidR="001154DA" w:rsidRPr="0086769E" w:rsidRDefault="005811A1" w:rsidP="00035371">
      <w:pPr>
        <w:pStyle w:val="Title"/>
        <w:ind w:left="0"/>
        <w:jc w:val="both"/>
        <w:rPr>
          <w:rFonts w:ascii="Arial" w:hAnsi="Arial" w:cs="Arial"/>
          <w:sz w:val="24"/>
          <w:szCs w:val="24"/>
        </w:rPr>
      </w:pPr>
      <w:r w:rsidRPr="0086769E">
        <w:rPr>
          <w:rFonts w:ascii="Arial" w:hAnsi="Arial" w:cs="Arial"/>
          <w:sz w:val="24"/>
          <w:szCs w:val="24"/>
        </w:rPr>
        <w:t>Exploring indigenous perspectives and cultural practices related to physical activity within Indian communities offers valuable insights into traditional approaches to health and well-being (Tripathi,</w:t>
      </w:r>
      <w:r w:rsidR="003D23B1" w:rsidRPr="0086769E">
        <w:rPr>
          <w:rFonts w:ascii="Arial" w:hAnsi="Arial" w:cs="Arial"/>
          <w:sz w:val="24"/>
          <w:szCs w:val="24"/>
        </w:rPr>
        <w:t xml:space="preserve"> 202</w:t>
      </w:r>
      <w:r w:rsidR="007E1200" w:rsidRPr="0086769E">
        <w:rPr>
          <w:rFonts w:ascii="Arial" w:hAnsi="Arial" w:cs="Arial"/>
          <w:sz w:val="24"/>
          <w:szCs w:val="24"/>
        </w:rPr>
        <w:t>2</w:t>
      </w:r>
      <w:r w:rsidR="00F14662" w:rsidRPr="0086769E">
        <w:rPr>
          <w:rFonts w:ascii="Arial" w:hAnsi="Arial" w:cs="Arial"/>
          <w:sz w:val="24"/>
          <w:szCs w:val="24"/>
        </w:rPr>
        <w:t>a</w:t>
      </w:r>
      <w:r w:rsidR="007E1200" w:rsidRPr="0086769E">
        <w:rPr>
          <w:rFonts w:ascii="Arial" w:hAnsi="Arial" w:cs="Arial"/>
          <w:sz w:val="24"/>
          <w:szCs w:val="24"/>
        </w:rPr>
        <w:t xml:space="preserve">; </w:t>
      </w:r>
      <w:r w:rsidRPr="0086769E">
        <w:rPr>
          <w:rFonts w:ascii="Arial" w:hAnsi="Arial" w:cs="Arial"/>
          <w:sz w:val="24"/>
          <w:szCs w:val="24"/>
        </w:rPr>
        <w:t>202</w:t>
      </w:r>
      <w:r w:rsidR="007E1200" w:rsidRPr="0086769E">
        <w:rPr>
          <w:rFonts w:ascii="Arial" w:hAnsi="Arial" w:cs="Arial"/>
          <w:sz w:val="24"/>
          <w:szCs w:val="24"/>
        </w:rPr>
        <w:t>4</w:t>
      </w:r>
      <w:r w:rsidRPr="0086769E">
        <w:rPr>
          <w:rFonts w:ascii="Arial" w:hAnsi="Arial" w:cs="Arial"/>
          <w:sz w:val="24"/>
          <w:szCs w:val="24"/>
        </w:rPr>
        <w:t xml:space="preserve">). These perspectives are deeply rooted in cultural heritage and have been passed down through generations, shaping the ways in which physical activity is understood and practiced in diverse Indian societies (Tripathi &amp; Bano, 2014; </w:t>
      </w:r>
      <w:r w:rsidR="00D97613" w:rsidRPr="0086769E">
        <w:rPr>
          <w:rFonts w:ascii="Arial" w:hAnsi="Arial" w:cs="Arial"/>
          <w:sz w:val="24"/>
          <w:szCs w:val="24"/>
        </w:rPr>
        <w:t>John, 2011</w:t>
      </w:r>
      <w:r w:rsidRPr="0086769E">
        <w:rPr>
          <w:rFonts w:ascii="Arial" w:hAnsi="Arial" w:cs="Arial"/>
          <w:sz w:val="24"/>
          <w:szCs w:val="24"/>
        </w:rPr>
        <w:t xml:space="preserve">). By delving into these indigenous perspectives, we can uncover centuries-old wisdom regarding holistic health practices, often intertwined with spiritual and communal values. Encouraging individuals and communities to take ownership of their health by promoting physical activity as a means of self-care and well-being empowers them not only physically but also fosters a sense of agency and autonomy in managing their overall health. This empowerment aligns with the World Health Organization's (2020) vision of health promotion as a fundamental human right, emphasizing the importance of individuals being active participants in their own well-being journey. Moreover, leveraging existing resources </w:t>
      </w:r>
      <w:r w:rsidRPr="0086769E">
        <w:rPr>
          <w:rFonts w:ascii="Arial" w:hAnsi="Arial" w:cs="Arial"/>
          <w:sz w:val="24"/>
          <w:szCs w:val="24"/>
        </w:rPr>
        <w:lastRenderedPageBreak/>
        <w:t>and cultural practices to facilitate physical activity promotion promotes self-reliance and sustainability through efficient resource utilization, thereby strengthening community resilience and fostering long-term health outcomes (Tripathi,</w:t>
      </w:r>
      <w:r w:rsidR="003D23B1" w:rsidRPr="0086769E">
        <w:rPr>
          <w:rFonts w:ascii="Arial" w:hAnsi="Arial" w:cs="Arial"/>
          <w:sz w:val="24"/>
          <w:szCs w:val="24"/>
        </w:rPr>
        <w:t xml:space="preserve"> 2024 &amp;</w:t>
      </w:r>
      <w:r w:rsidRPr="0086769E">
        <w:rPr>
          <w:rFonts w:ascii="Arial" w:hAnsi="Arial" w:cs="Arial"/>
          <w:sz w:val="24"/>
          <w:szCs w:val="24"/>
        </w:rPr>
        <w:t xml:space="preserve"> 2019; </w:t>
      </w:r>
      <w:r w:rsidR="009D1C58" w:rsidRPr="0086769E">
        <w:rPr>
          <w:rFonts w:ascii="Arial" w:hAnsi="Arial" w:cs="Arial"/>
          <w:sz w:val="24"/>
          <w:szCs w:val="24"/>
        </w:rPr>
        <w:t xml:space="preserve">Ding, D., &amp; Gebel, K. </w:t>
      </w:r>
      <w:r w:rsidRPr="0086769E">
        <w:rPr>
          <w:rFonts w:ascii="Arial" w:hAnsi="Arial" w:cs="Arial"/>
          <w:sz w:val="24"/>
          <w:szCs w:val="24"/>
        </w:rPr>
        <w:t>201</w:t>
      </w:r>
      <w:r w:rsidR="009D1C58" w:rsidRPr="0086769E">
        <w:rPr>
          <w:rFonts w:ascii="Arial" w:hAnsi="Arial" w:cs="Arial"/>
          <w:sz w:val="24"/>
          <w:szCs w:val="24"/>
        </w:rPr>
        <w:t>2</w:t>
      </w:r>
      <w:r w:rsidRPr="0086769E">
        <w:rPr>
          <w:rFonts w:ascii="Arial" w:hAnsi="Arial" w:cs="Arial"/>
          <w:sz w:val="24"/>
          <w:szCs w:val="24"/>
        </w:rPr>
        <w:t xml:space="preserve">). </w:t>
      </w:r>
    </w:p>
    <w:p w14:paraId="6830EF05" w14:textId="7FAF288B" w:rsidR="005811A1" w:rsidRPr="0086769E" w:rsidRDefault="005811A1" w:rsidP="00035371">
      <w:pPr>
        <w:pStyle w:val="Title"/>
        <w:ind w:left="0"/>
        <w:jc w:val="both"/>
        <w:rPr>
          <w:rFonts w:ascii="Arial" w:hAnsi="Arial" w:cs="Arial"/>
          <w:sz w:val="24"/>
          <w:szCs w:val="24"/>
        </w:rPr>
      </w:pPr>
      <w:r w:rsidRPr="0086769E">
        <w:rPr>
          <w:rFonts w:ascii="Arial" w:hAnsi="Arial" w:cs="Arial"/>
          <w:sz w:val="24"/>
          <w:szCs w:val="24"/>
        </w:rPr>
        <w:t>By nurturing community-driven initiatives and partnerships to create supportive environments for physical activity, we emphasize collective responsibility and self-reliance, laying the groundwork for inclusive and equitable health promotion efforts (Tripathi</w:t>
      </w:r>
      <w:r w:rsidR="00741955" w:rsidRPr="0086769E">
        <w:rPr>
          <w:rFonts w:ascii="Arial" w:hAnsi="Arial" w:cs="Arial"/>
          <w:sz w:val="24"/>
          <w:szCs w:val="24"/>
        </w:rPr>
        <w:t xml:space="preserve"> et al.</w:t>
      </w:r>
      <w:r w:rsidRPr="0086769E">
        <w:rPr>
          <w:rFonts w:ascii="Arial" w:hAnsi="Arial" w:cs="Arial"/>
          <w:sz w:val="24"/>
          <w:szCs w:val="24"/>
        </w:rPr>
        <w:t xml:space="preserve"> 202</w:t>
      </w:r>
      <w:r w:rsidR="00741955" w:rsidRPr="0086769E">
        <w:rPr>
          <w:rFonts w:ascii="Arial" w:hAnsi="Arial" w:cs="Arial"/>
          <w:sz w:val="24"/>
          <w:szCs w:val="24"/>
        </w:rPr>
        <w:t>2</w:t>
      </w:r>
      <w:r w:rsidRPr="0086769E">
        <w:rPr>
          <w:rFonts w:ascii="Arial" w:hAnsi="Arial" w:cs="Arial"/>
          <w:sz w:val="24"/>
          <w:szCs w:val="24"/>
        </w:rPr>
        <w:t xml:space="preserve">; </w:t>
      </w:r>
      <w:r w:rsidR="00741955" w:rsidRPr="0086769E">
        <w:rPr>
          <w:rFonts w:ascii="Arial" w:hAnsi="Arial" w:cs="Arial"/>
          <w:sz w:val="24"/>
          <w:szCs w:val="24"/>
        </w:rPr>
        <w:t>Ding</w:t>
      </w:r>
      <w:r w:rsidRPr="0086769E">
        <w:rPr>
          <w:rFonts w:ascii="Arial" w:hAnsi="Arial" w:cs="Arial"/>
          <w:sz w:val="24"/>
          <w:szCs w:val="24"/>
        </w:rPr>
        <w:t xml:space="preserve"> et al., 201</w:t>
      </w:r>
      <w:r w:rsidR="00741955" w:rsidRPr="0086769E">
        <w:rPr>
          <w:rFonts w:ascii="Arial" w:hAnsi="Arial" w:cs="Arial"/>
          <w:sz w:val="24"/>
          <w:szCs w:val="24"/>
        </w:rPr>
        <w:t>2</w:t>
      </w:r>
      <w:r w:rsidRPr="0086769E">
        <w:rPr>
          <w:rFonts w:ascii="Arial" w:hAnsi="Arial" w:cs="Arial"/>
          <w:sz w:val="24"/>
          <w:szCs w:val="24"/>
        </w:rPr>
        <w:t xml:space="preserve">). Additionally, recognizing and integrating indigenous perspectives and cultural practices related to physical activity not only promote self-reliance but also serve as a means of preserving cultural heritage through cultural relevance. This integration honors the rich tapestry of traditions and wisdom passed down through generations, reinforcing the interconnectedness of cultural identity and health practices (Tripathi, </w:t>
      </w:r>
      <w:proofErr w:type="spellStart"/>
      <w:r w:rsidRPr="0086769E">
        <w:rPr>
          <w:rFonts w:ascii="Arial" w:hAnsi="Arial" w:cs="Arial"/>
          <w:sz w:val="24"/>
          <w:szCs w:val="24"/>
        </w:rPr>
        <w:t>Naushi</w:t>
      </w:r>
      <w:proofErr w:type="spellEnd"/>
      <w:r w:rsidRPr="0086769E">
        <w:rPr>
          <w:rFonts w:ascii="Arial" w:hAnsi="Arial" w:cs="Arial"/>
          <w:sz w:val="24"/>
          <w:szCs w:val="24"/>
        </w:rPr>
        <w:t xml:space="preserve"> &amp; </w:t>
      </w:r>
      <w:proofErr w:type="spellStart"/>
      <w:r w:rsidRPr="0086769E">
        <w:rPr>
          <w:rFonts w:ascii="Arial" w:hAnsi="Arial" w:cs="Arial"/>
          <w:sz w:val="24"/>
          <w:szCs w:val="24"/>
        </w:rPr>
        <w:t>Bano</w:t>
      </w:r>
      <w:proofErr w:type="spellEnd"/>
      <w:r w:rsidRPr="0086769E">
        <w:rPr>
          <w:rFonts w:ascii="Arial" w:hAnsi="Arial" w:cs="Arial"/>
          <w:sz w:val="24"/>
          <w:szCs w:val="24"/>
        </w:rPr>
        <w:t>, 2023; Schuch et al., 20</w:t>
      </w:r>
      <w:r w:rsidR="0050488E" w:rsidRPr="0086769E">
        <w:rPr>
          <w:rFonts w:ascii="Arial" w:hAnsi="Arial" w:cs="Arial"/>
          <w:sz w:val="24"/>
          <w:szCs w:val="24"/>
        </w:rPr>
        <w:t>19</w:t>
      </w:r>
      <w:r w:rsidRPr="0086769E">
        <w:rPr>
          <w:rFonts w:ascii="Arial" w:hAnsi="Arial" w:cs="Arial"/>
          <w:sz w:val="24"/>
          <w:szCs w:val="24"/>
        </w:rPr>
        <w:t>). As we continue to navigate modern health challenges, incorporating indigenous knowledge systems and cultural practices into physical activity promotion efforts can lead to more holistic and sustainable approaches that resonate deeply with diverse communities across India.</w:t>
      </w:r>
    </w:p>
    <w:p w14:paraId="6F800925" w14:textId="3BF1E946" w:rsidR="000A5481" w:rsidRPr="0086769E" w:rsidRDefault="009F50F9" w:rsidP="00035371">
      <w:pPr>
        <w:pStyle w:val="Title"/>
        <w:ind w:left="0"/>
        <w:jc w:val="both"/>
        <w:rPr>
          <w:rFonts w:ascii="Arial" w:hAnsi="Arial" w:cs="Arial"/>
          <w:sz w:val="24"/>
          <w:szCs w:val="24"/>
        </w:rPr>
      </w:pPr>
      <w:r w:rsidRPr="0086769E">
        <w:rPr>
          <w:rFonts w:ascii="Arial" w:hAnsi="Arial" w:cs="Arial"/>
          <w:b/>
          <w:bCs/>
          <w:sz w:val="24"/>
          <w:szCs w:val="24"/>
        </w:rPr>
        <w:t>YOGA:</w:t>
      </w:r>
      <w:r w:rsidRPr="0086769E">
        <w:rPr>
          <w:rFonts w:ascii="Arial" w:hAnsi="Arial" w:cs="Arial"/>
          <w:sz w:val="24"/>
          <w:szCs w:val="24"/>
        </w:rPr>
        <w:t xml:space="preserve"> </w:t>
      </w:r>
      <w:r w:rsidR="000A5481" w:rsidRPr="0086769E">
        <w:rPr>
          <w:rFonts w:ascii="Arial" w:hAnsi="Arial" w:cs="Arial"/>
          <w:sz w:val="24"/>
          <w:szCs w:val="24"/>
        </w:rPr>
        <w:t>Patanjali, revered as the "father of yoga," is attributed to the compilation and systematization of yoga principles and practices. His seminal work, the Yoga Sutras, stands as a cornerstone of classical yoga philosophy, offering a comprehensive guide to spiritual development and self-realization. Comprised of 196 aphorisms, the Yoga Sutras provide profound insights into various aspects of yoga, including ethical conduct, meditation, concentration, and the attainment of liberation (samadhi). Through Patanjali's teachings, individuals embark on a transformative journey towards inner peace, spiritual growth, and liberation from suffering, as elucidated in the timeless wisdom of the Yoga Sutras (Telles &amp; Dash, 2004).</w:t>
      </w:r>
    </w:p>
    <w:p w14:paraId="7AB3B3C0" w14:textId="1B743102" w:rsidR="009963B5" w:rsidRPr="0086769E" w:rsidRDefault="009F50F9" w:rsidP="00035371">
      <w:pPr>
        <w:pStyle w:val="Title"/>
        <w:ind w:left="0"/>
        <w:jc w:val="both"/>
        <w:rPr>
          <w:rFonts w:ascii="Arial" w:hAnsi="Arial" w:cs="Arial"/>
          <w:sz w:val="24"/>
          <w:szCs w:val="24"/>
        </w:rPr>
      </w:pPr>
      <w:r w:rsidRPr="0086769E">
        <w:rPr>
          <w:rFonts w:ascii="Arial" w:hAnsi="Arial" w:cs="Arial"/>
          <w:b/>
          <w:bCs/>
          <w:sz w:val="24"/>
          <w:szCs w:val="24"/>
        </w:rPr>
        <w:t>TRADITIONAL DANCE FORMS:</w:t>
      </w:r>
      <w:r w:rsidRPr="0086769E">
        <w:rPr>
          <w:rFonts w:ascii="Arial" w:hAnsi="Arial" w:cs="Arial"/>
          <w:sz w:val="24"/>
          <w:szCs w:val="24"/>
        </w:rPr>
        <w:t xml:space="preserve"> </w:t>
      </w:r>
      <w:r w:rsidR="000A5481" w:rsidRPr="0086769E">
        <w:rPr>
          <w:rFonts w:ascii="Arial" w:hAnsi="Arial" w:cs="Arial"/>
          <w:sz w:val="24"/>
          <w:szCs w:val="24"/>
        </w:rPr>
        <w:t>India's traditional dance forms, such as Bharatanatyam, Kathak, Odissi, and Kuchipudi, are not just artistic expressions but also promote physical fitness. Through their intricate movements and rhythmic footwork, these dances enhance flexibility, coordination, and cardiovascular health. Practitioners engage in a full-body workout, improving strength, endurance, and spatial awareness. Beyond their cultural significance, these dance forms serve as holistic exercises, highlighting the fusion of artistry, physical well-being, and cultural heritage.</w:t>
      </w:r>
    </w:p>
    <w:p w14:paraId="5BA2FA6C" w14:textId="4FC1B1A5" w:rsidR="000A5481" w:rsidRPr="0086769E" w:rsidRDefault="009F50F9" w:rsidP="00035371">
      <w:pPr>
        <w:pStyle w:val="Title"/>
        <w:ind w:left="0"/>
        <w:jc w:val="both"/>
        <w:rPr>
          <w:rFonts w:ascii="Arial" w:hAnsi="Arial" w:cs="Arial"/>
          <w:sz w:val="24"/>
          <w:szCs w:val="24"/>
        </w:rPr>
      </w:pPr>
      <w:r w:rsidRPr="0086769E">
        <w:rPr>
          <w:rFonts w:ascii="Arial" w:hAnsi="Arial" w:cs="Arial"/>
          <w:b/>
          <w:bCs/>
          <w:sz w:val="24"/>
          <w:szCs w:val="24"/>
        </w:rPr>
        <w:t>MARTIAL ARTS:</w:t>
      </w:r>
      <w:r w:rsidRPr="0086769E">
        <w:rPr>
          <w:rFonts w:ascii="Arial" w:hAnsi="Arial" w:cs="Arial"/>
          <w:sz w:val="24"/>
          <w:szCs w:val="24"/>
        </w:rPr>
        <w:t xml:space="preserve"> I</w:t>
      </w:r>
      <w:r w:rsidR="000A5481" w:rsidRPr="0086769E">
        <w:rPr>
          <w:rFonts w:ascii="Arial" w:hAnsi="Arial" w:cs="Arial"/>
          <w:sz w:val="24"/>
          <w:szCs w:val="24"/>
        </w:rPr>
        <w:t xml:space="preserve">ndigenous martial arts such as </w:t>
      </w:r>
      <w:proofErr w:type="spellStart"/>
      <w:r w:rsidR="000A5481" w:rsidRPr="0086769E">
        <w:rPr>
          <w:rFonts w:ascii="Arial" w:hAnsi="Arial" w:cs="Arial"/>
          <w:sz w:val="24"/>
          <w:szCs w:val="24"/>
        </w:rPr>
        <w:t>Kalaripayattu</w:t>
      </w:r>
      <w:proofErr w:type="spellEnd"/>
      <w:r w:rsidR="000A5481" w:rsidRPr="0086769E">
        <w:rPr>
          <w:rFonts w:ascii="Arial" w:hAnsi="Arial" w:cs="Arial"/>
          <w:sz w:val="24"/>
          <w:szCs w:val="24"/>
        </w:rPr>
        <w:t>, Gatka, and Thang-Ta have a rich heritage spanning centuries in India, offering not just self-defense skills but also holistic development encompassing physical, mental, and spiritual dimensions. These traditions are deeply ingrained within Indian communities, reflecting diverse philosophies and cultural practices (</w:t>
      </w:r>
      <w:r w:rsidR="0050488E" w:rsidRPr="0086769E">
        <w:rPr>
          <w:rFonts w:ascii="Arial" w:hAnsi="Arial" w:cs="Arial"/>
          <w:sz w:val="24"/>
          <w:szCs w:val="24"/>
        </w:rPr>
        <w:t>John,</w:t>
      </w:r>
      <w:r w:rsidR="000A5481" w:rsidRPr="0086769E">
        <w:rPr>
          <w:rFonts w:ascii="Arial" w:hAnsi="Arial" w:cs="Arial"/>
          <w:sz w:val="24"/>
          <w:szCs w:val="24"/>
        </w:rPr>
        <w:t xml:space="preserve"> 201</w:t>
      </w:r>
      <w:r w:rsidR="0050488E" w:rsidRPr="0086769E">
        <w:rPr>
          <w:rFonts w:ascii="Arial" w:hAnsi="Arial" w:cs="Arial"/>
          <w:sz w:val="24"/>
          <w:szCs w:val="24"/>
        </w:rPr>
        <w:t>1</w:t>
      </w:r>
      <w:r w:rsidR="000A5481" w:rsidRPr="0086769E">
        <w:rPr>
          <w:rFonts w:ascii="Arial" w:hAnsi="Arial" w:cs="Arial"/>
          <w:sz w:val="24"/>
          <w:szCs w:val="24"/>
        </w:rPr>
        <w:t>).</w:t>
      </w:r>
    </w:p>
    <w:p w14:paraId="3350E810" w14:textId="30215A60" w:rsidR="00316695" w:rsidRPr="0086769E" w:rsidRDefault="009F50F9" w:rsidP="00035371">
      <w:pPr>
        <w:pStyle w:val="Title"/>
        <w:ind w:left="0"/>
        <w:jc w:val="both"/>
        <w:rPr>
          <w:rFonts w:ascii="Arial" w:hAnsi="Arial" w:cs="Arial"/>
          <w:sz w:val="24"/>
          <w:szCs w:val="24"/>
        </w:rPr>
      </w:pPr>
      <w:bookmarkStart w:id="0" w:name="_Hlk161516484"/>
      <w:r w:rsidRPr="0086769E">
        <w:rPr>
          <w:rFonts w:ascii="Arial" w:hAnsi="Arial" w:cs="Arial"/>
          <w:b/>
          <w:bCs/>
          <w:sz w:val="24"/>
          <w:szCs w:val="24"/>
        </w:rPr>
        <w:t>TRADITIONAL GAMES AND SPORTS:</w:t>
      </w:r>
      <w:r w:rsidRPr="0086769E">
        <w:rPr>
          <w:rFonts w:ascii="Arial" w:hAnsi="Arial" w:cs="Arial"/>
          <w:sz w:val="24"/>
          <w:szCs w:val="24"/>
        </w:rPr>
        <w:t xml:space="preserve">  </w:t>
      </w:r>
      <w:r w:rsidR="000A5481" w:rsidRPr="0086769E">
        <w:rPr>
          <w:rFonts w:ascii="Arial" w:hAnsi="Arial" w:cs="Arial"/>
          <w:sz w:val="24"/>
          <w:szCs w:val="24"/>
        </w:rPr>
        <w:t xml:space="preserve">India boasts a rich tapestry of traditional martial arts, sports, and games deeply rooted in its diverse cultural heritage. From the ancient martial art of </w:t>
      </w:r>
      <w:proofErr w:type="spellStart"/>
      <w:r w:rsidR="000A5481" w:rsidRPr="0086769E">
        <w:rPr>
          <w:rFonts w:ascii="Arial" w:hAnsi="Arial" w:cs="Arial"/>
          <w:sz w:val="24"/>
          <w:szCs w:val="24"/>
        </w:rPr>
        <w:t>Kalaripayattu</w:t>
      </w:r>
      <w:proofErr w:type="spellEnd"/>
      <w:r w:rsidR="000A5481" w:rsidRPr="0086769E">
        <w:rPr>
          <w:rFonts w:ascii="Arial" w:hAnsi="Arial" w:cs="Arial"/>
          <w:sz w:val="24"/>
          <w:szCs w:val="24"/>
        </w:rPr>
        <w:t xml:space="preserve"> in Kerala to the staff fencing art of Silambam in Tamil Nadu, and the tribal </w:t>
      </w:r>
      <w:proofErr w:type="spellStart"/>
      <w:r w:rsidR="000A5481" w:rsidRPr="0086769E">
        <w:rPr>
          <w:rFonts w:ascii="Arial" w:hAnsi="Arial" w:cs="Arial"/>
          <w:sz w:val="24"/>
          <w:szCs w:val="24"/>
        </w:rPr>
        <w:t>Thoda</w:t>
      </w:r>
      <w:proofErr w:type="spellEnd"/>
      <w:r w:rsidR="000A5481" w:rsidRPr="0086769E">
        <w:rPr>
          <w:rFonts w:ascii="Arial" w:hAnsi="Arial" w:cs="Arial"/>
          <w:sz w:val="24"/>
          <w:szCs w:val="24"/>
        </w:rPr>
        <w:t xml:space="preserve"> practiced in Chhattisgarh and Odisha, each form embodies unique techniques and cultural significance. The Sikh martial art of Gatka in Punjab and Manipur's Thang-Ta and Sarit Sarak combine armed and unarmed combat, while Tamil Nadu's </w:t>
      </w:r>
      <w:proofErr w:type="spellStart"/>
      <w:r w:rsidR="000A5481" w:rsidRPr="0086769E">
        <w:rPr>
          <w:rFonts w:ascii="Arial" w:hAnsi="Arial" w:cs="Arial"/>
          <w:sz w:val="24"/>
          <w:szCs w:val="24"/>
        </w:rPr>
        <w:t>Kuttu</w:t>
      </w:r>
      <w:proofErr w:type="spellEnd"/>
      <w:r w:rsidR="000A5481" w:rsidRPr="0086769E">
        <w:rPr>
          <w:rFonts w:ascii="Arial" w:hAnsi="Arial" w:cs="Arial"/>
          <w:sz w:val="24"/>
          <w:szCs w:val="24"/>
        </w:rPr>
        <w:t xml:space="preserve"> </w:t>
      </w:r>
      <w:proofErr w:type="spellStart"/>
      <w:r w:rsidR="000A5481" w:rsidRPr="0086769E">
        <w:rPr>
          <w:rFonts w:ascii="Arial" w:hAnsi="Arial" w:cs="Arial"/>
          <w:sz w:val="24"/>
          <w:szCs w:val="24"/>
        </w:rPr>
        <w:t>Varisai</w:t>
      </w:r>
      <w:proofErr w:type="spellEnd"/>
      <w:r w:rsidR="000A5481" w:rsidRPr="0086769E">
        <w:rPr>
          <w:rFonts w:ascii="Arial" w:hAnsi="Arial" w:cs="Arial"/>
          <w:sz w:val="24"/>
          <w:szCs w:val="24"/>
        </w:rPr>
        <w:t xml:space="preserve"> emphasizes animal-inspired movements. Varma Kalai focuses on pressure points and vital spots for combat and healing, while Lezim from Maharashtra blends physical exercise with cultural celebration. Traditional games like Kabaddi, Spinning Top, and Kancha promote physical fitness and strategic thinking, while Hide and Seek, Chase, and Kho-Kho encourage social interaction and </w:t>
      </w:r>
      <w:r w:rsidR="000A5481" w:rsidRPr="0086769E">
        <w:rPr>
          <w:rFonts w:ascii="Arial" w:hAnsi="Arial" w:cs="Arial"/>
          <w:sz w:val="24"/>
          <w:szCs w:val="24"/>
        </w:rPr>
        <w:lastRenderedPageBreak/>
        <w:t xml:space="preserve">agility. </w:t>
      </w:r>
      <w:proofErr w:type="spellStart"/>
      <w:r w:rsidR="000A5481" w:rsidRPr="0086769E">
        <w:rPr>
          <w:rFonts w:ascii="Arial" w:hAnsi="Arial" w:cs="Arial"/>
          <w:sz w:val="24"/>
          <w:szCs w:val="24"/>
        </w:rPr>
        <w:t>Mallakhamb</w:t>
      </w:r>
      <w:proofErr w:type="spellEnd"/>
      <w:r w:rsidR="000A5481" w:rsidRPr="0086769E">
        <w:rPr>
          <w:rFonts w:ascii="Arial" w:hAnsi="Arial" w:cs="Arial"/>
          <w:sz w:val="24"/>
          <w:szCs w:val="24"/>
        </w:rPr>
        <w:t xml:space="preserve"> showcases traditional gymnastics, while </w:t>
      </w:r>
      <w:proofErr w:type="spellStart"/>
      <w:r w:rsidR="000A5481" w:rsidRPr="0086769E">
        <w:rPr>
          <w:rFonts w:ascii="Arial" w:hAnsi="Arial" w:cs="Arial"/>
          <w:sz w:val="24"/>
          <w:szCs w:val="24"/>
        </w:rPr>
        <w:t>Kushti</w:t>
      </w:r>
      <w:proofErr w:type="spellEnd"/>
      <w:r w:rsidR="000A5481" w:rsidRPr="0086769E">
        <w:rPr>
          <w:rFonts w:ascii="Arial" w:hAnsi="Arial" w:cs="Arial"/>
          <w:sz w:val="24"/>
          <w:szCs w:val="24"/>
        </w:rPr>
        <w:t xml:space="preserve"> embodies the discipline of Indian wrestling. Hopscotch, </w:t>
      </w:r>
      <w:proofErr w:type="spellStart"/>
      <w:r w:rsidR="000A5481" w:rsidRPr="0086769E">
        <w:rPr>
          <w:rFonts w:ascii="Arial" w:hAnsi="Arial" w:cs="Arial"/>
          <w:sz w:val="24"/>
          <w:szCs w:val="24"/>
        </w:rPr>
        <w:t>Gilli</w:t>
      </w:r>
      <w:proofErr w:type="spellEnd"/>
      <w:r w:rsidR="000A5481" w:rsidRPr="0086769E">
        <w:rPr>
          <w:rFonts w:ascii="Arial" w:hAnsi="Arial" w:cs="Arial"/>
          <w:sz w:val="24"/>
          <w:szCs w:val="24"/>
        </w:rPr>
        <w:t xml:space="preserve"> </w:t>
      </w:r>
      <w:proofErr w:type="spellStart"/>
      <w:r w:rsidR="000A5481" w:rsidRPr="0086769E">
        <w:rPr>
          <w:rFonts w:ascii="Arial" w:hAnsi="Arial" w:cs="Arial"/>
          <w:sz w:val="24"/>
          <w:szCs w:val="24"/>
        </w:rPr>
        <w:t>Danda</w:t>
      </w:r>
      <w:proofErr w:type="spellEnd"/>
      <w:r w:rsidR="000A5481" w:rsidRPr="0086769E">
        <w:rPr>
          <w:rFonts w:ascii="Arial" w:hAnsi="Arial" w:cs="Arial"/>
          <w:sz w:val="24"/>
          <w:szCs w:val="24"/>
        </w:rPr>
        <w:t xml:space="preserve">, and </w:t>
      </w:r>
      <w:proofErr w:type="spellStart"/>
      <w:r w:rsidR="000A5481" w:rsidRPr="0086769E">
        <w:rPr>
          <w:rFonts w:ascii="Arial" w:hAnsi="Arial" w:cs="Arial"/>
          <w:sz w:val="24"/>
          <w:szCs w:val="24"/>
        </w:rPr>
        <w:t>Vallamkali</w:t>
      </w:r>
      <w:proofErr w:type="spellEnd"/>
      <w:r w:rsidR="000A5481" w:rsidRPr="0086769E">
        <w:rPr>
          <w:rFonts w:ascii="Arial" w:hAnsi="Arial" w:cs="Arial"/>
          <w:sz w:val="24"/>
          <w:szCs w:val="24"/>
        </w:rPr>
        <w:t xml:space="preserve"> add elements of balance, coordination, and teamwork, while </w:t>
      </w:r>
      <w:proofErr w:type="spellStart"/>
      <w:r w:rsidR="000A5481" w:rsidRPr="0086769E">
        <w:rPr>
          <w:rFonts w:ascii="Arial" w:hAnsi="Arial" w:cs="Arial"/>
          <w:sz w:val="24"/>
          <w:szCs w:val="24"/>
        </w:rPr>
        <w:t>Jallikattu</w:t>
      </w:r>
      <w:proofErr w:type="spellEnd"/>
      <w:r w:rsidR="000A5481" w:rsidRPr="0086769E">
        <w:rPr>
          <w:rFonts w:ascii="Arial" w:hAnsi="Arial" w:cs="Arial"/>
          <w:sz w:val="24"/>
          <w:szCs w:val="24"/>
        </w:rPr>
        <w:t xml:space="preserve"> highlights cultural heritage and bravery. These traditional activities not only promote physical well-being but also serve as repositories of cultural identity and pride, fostering a sense of community and preserving India's rich cultural heritage for future generations to cherish and enjoy. </w:t>
      </w:r>
      <w:r w:rsidR="008F2352" w:rsidRPr="0086769E">
        <w:rPr>
          <w:rFonts w:ascii="Arial" w:hAnsi="Arial" w:cs="Arial"/>
          <w:sz w:val="24"/>
          <w:szCs w:val="24"/>
        </w:rPr>
        <w:t>These indigenous physical activities showcase India's cultural diversity and heritage while promoting holistic well-being and community engagement.</w:t>
      </w:r>
    </w:p>
    <w:bookmarkEnd w:id="0"/>
    <w:p w14:paraId="14CAD073" w14:textId="0D3DC3AD" w:rsidR="002607DD" w:rsidRPr="0086769E" w:rsidRDefault="009F50F9" w:rsidP="00035371">
      <w:pPr>
        <w:pStyle w:val="Title"/>
        <w:ind w:left="0"/>
        <w:jc w:val="both"/>
        <w:rPr>
          <w:rFonts w:ascii="Arial" w:hAnsi="Arial" w:cs="Arial"/>
          <w:b/>
          <w:bCs/>
          <w:sz w:val="24"/>
          <w:szCs w:val="24"/>
        </w:rPr>
      </w:pPr>
      <w:r w:rsidRPr="0086769E">
        <w:rPr>
          <w:rFonts w:ascii="Arial" w:hAnsi="Arial" w:cs="Arial"/>
          <w:b/>
          <w:bCs/>
          <w:sz w:val="24"/>
          <w:szCs w:val="24"/>
        </w:rPr>
        <w:t>AYURVEDA AND INDIGENOUS HEALING PRACTICES</w:t>
      </w:r>
    </w:p>
    <w:p w14:paraId="58DB9917" w14:textId="02975E0B" w:rsidR="00685AD8" w:rsidRPr="0086769E" w:rsidRDefault="00685AD8" w:rsidP="00035371">
      <w:pPr>
        <w:pStyle w:val="Title"/>
        <w:ind w:left="0"/>
        <w:jc w:val="both"/>
        <w:rPr>
          <w:rFonts w:ascii="Arial" w:hAnsi="Arial" w:cs="Arial"/>
          <w:sz w:val="24"/>
          <w:szCs w:val="24"/>
        </w:rPr>
      </w:pPr>
      <w:r w:rsidRPr="0086769E">
        <w:rPr>
          <w:rFonts w:ascii="Arial" w:hAnsi="Arial" w:cs="Arial"/>
          <w:sz w:val="24"/>
          <w:szCs w:val="24"/>
        </w:rPr>
        <w:t>Indigenous healing practices in India, notably Ayurveda, epitomize a holistic approach that integrates physical, mental, and spiritual dimensions of health. Ayurveda, deeply entrenched in Indian culture, is a cornerstone of traditional medicine (</w:t>
      </w:r>
      <w:proofErr w:type="spellStart"/>
      <w:r w:rsidRPr="0086769E">
        <w:rPr>
          <w:rFonts w:ascii="Arial" w:hAnsi="Arial" w:cs="Arial"/>
          <w:sz w:val="24"/>
          <w:szCs w:val="24"/>
        </w:rPr>
        <w:t>Firenzuoli</w:t>
      </w:r>
      <w:proofErr w:type="spellEnd"/>
      <w:r w:rsidRPr="0086769E">
        <w:rPr>
          <w:rFonts w:ascii="Arial" w:hAnsi="Arial" w:cs="Arial"/>
          <w:sz w:val="24"/>
          <w:szCs w:val="24"/>
        </w:rPr>
        <w:t xml:space="preserve"> &amp; Gori, 2007). This system encompasses a diverse range of indigenous healthcare practices rooted in cultural beliefs and experiences, shaping the healthcare landscape in India</w:t>
      </w:r>
      <w:bookmarkStart w:id="1" w:name="_GoBack"/>
      <w:bookmarkEnd w:id="1"/>
      <w:r w:rsidRPr="0086769E">
        <w:rPr>
          <w:rFonts w:ascii="Arial" w:hAnsi="Arial" w:cs="Arial"/>
          <w:sz w:val="24"/>
          <w:szCs w:val="24"/>
        </w:rPr>
        <w:t>. Despite some concerns raised by experts regarding its fundamental concepts and training methods (</w:t>
      </w:r>
      <w:r w:rsidR="00615A0F" w:rsidRPr="009A311A">
        <w:rPr>
          <w:rFonts w:ascii="Arial" w:hAnsi="Arial" w:cs="Arial"/>
          <w:sz w:val="24"/>
          <w:szCs w:val="24"/>
        </w:rPr>
        <w:t>Harpreet Singh</w:t>
      </w:r>
      <w:r w:rsidRPr="0086769E">
        <w:rPr>
          <w:rFonts w:ascii="Arial" w:hAnsi="Arial" w:cs="Arial"/>
          <w:sz w:val="24"/>
          <w:szCs w:val="24"/>
        </w:rPr>
        <w:t xml:space="preserve"> et al., 2018), Ayurveda remains widely accepted and integrated into state-sponsored healthcare programs, regulated by governmental bodies. There's a discernible trend towards traditional healthcare systems, particularly in developing countries, reflecting a growing preference for personalized care and perceived safety of herbal therapies (Joseph, Divya, &amp; Pillai, 2021). </w:t>
      </w:r>
    </w:p>
    <w:p w14:paraId="62513526" w14:textId="76D7565F" w:rsidR="009963B5" w:rsidRPr="0086769E" w:rsidRDefault="00685AD8" w:rsidP="00035371">
      <w:pPr>
        <w:pStyle w:val="Title"/>
        <w:ind w:left="0"/>
        <w:jc w:val="both"/>
        <w:rPr>
          <w:rFonts w:ascii="Arial" w:hAnsi="Arial" w:cs="Arial"/>
          <w:sz w:val="24"/>
          <w:szCs w:val="24"/>
        </w:rPr>
      </w:pPr>
      <w:r w:rsidRPr="0086769E">
        <w:rPr>
          <w:rFonts w:ascii="Arial" w:hAnsi="Arial" w:cs="Arial"/>
          <w:sz w:val="24"/>
          <w:szCs w:val="24"/>
        </w:rPr>
        <w:t>Ayurveda's enduring popularity is evidenced by the sustained patient turnover in rural dispensaries, private clinics, and medical colleges, indicating continued reliance on its principles and treatments. The involvement of Ayurvedic physicians in initiatives such as COVID-19 management underscores its relevance in addressing contemporary health challenges</w:t>
      </w:r>
      <w:r w:rsidR="001A28BA" w:rsidRPr="0086769E">
        <w:rPr>
          <w:rFonts w:ascii="Arial" w:hAnsi="Arial" w:cs="Arial"/>
          <w:sz w:val="24"/>
          <w:szCs w:val="24"/>
        </w:rPr>
        <w:t xml:space="preserve"> (</w:t>
      </w:r>
      <w:r w:rsidRPr="0086769E">
        <w:rPr>
          <w:rFonts w:ascii="Arial" w:hAnsi="Arial" w:cs="Arial"/>
          <w:sz w:val="24"/>
          <w:szCs w:val="24"/>
        </w:rPr>
        <w:t>Joseph et al., 2021). Despite modern medical advancements, Ayurveda's holistic approach resonates with individuals seeking comprehensive healthcare solutions. Ayurveda's holistic paradigm, deeply rooted in tradition and cultural heritage, continues to play a significant role in healthcare delivery in India and beyond. Its integration into mainstream healthcare systems and active participation in addressing modern health crises underscore its enduring relevance and efficacy in promoting holistic well-being.</w:t>
      </w:r>
    </w:p>
    <w:p w14:paraId="0C6D09A8" w14:textId="33FBE08B" w:rsidR="008F2352" w:rsidRPr="0086769E" w:rsidRDefault="009F50F9" w:rsidP="00035371">
      <w:pPr>
        <w:pStyle w:val="Title"/>
        <w:ind w:left="0"/>
        <w:jc w:val="both"/>
        <w:rPr>
          <w:rFonts w:ascii="Arial" w:hAnsi="Arial" w:cs="Arial"/>
          <w:sz w:val="24"/>
          <w:szCs w:val="24"/>
        </w:rPr>
      </w:pPr>
      <w:r w:rsidRPr="0086769E">
        <w:rPr>
          <w:rFonts w:ascii="Arial" w:hAnsi="Arial" w:cs="Arial"/>
          <w:b/>
          <w:bCs/>
          <w:sz w:val="24"/>
          <w:szCs w:val="24"/>
        </w:rPr>
        <w:t>INITIATIVES UNDERTAKEN BY THE INDIAN GOVERNMENT</w:t>
      </w:r>
      <w:r w:rsidRPr="0086769E">
        <w:rPr>
          <w:rFonts w:ascii="Arial" w:hAnsi="Arial" w:cs="Arial"/>
          <w:sz w:val="24"/>
          <w:szCs w:val="24"/>
        </w:rPr>
        <w:t xml:space="preserve"> </w:t>
      </w:r>
    </w:p>
    <w:p w14:paraId="7806AC7A" w14:textId="77F12268" w:rsidR="008F2352" w:rsidRPr="0086769E" w:rsidRDefault="008F2352" w:rsidP="00035371">
      <w:pPr>
        <w:pStyle w:val="Title"/>
        <w:ind w:left="0"/>
        <w:jc w:val="both"/>
        <w:rPr>
          <w:rFonts w:ascii="Arial" w:hAnsi="Arial" w:cs="Arial"/>
          <w:sz w:val="24"/>
          <w:szCs w:val="24"/>
        </w:rPr>
      </w:pPr>
      <w:r w:rsidRPr="0086769E">
        <w:rPr>
          <w:rFonts w:ascii="Arial" w:hAnsi="Arial" w:cs="Arial"/>
          <w:sz w:val="24"/>
          <w:szCs w:val="24"/>
        </w:rPr>
        <w:t xml:space="preserve">Several initiatives and policies have been implemented in India to promote sports, physical fitness, and community service. The National Service Scheme (NSS), established in 1969, focuses on instilling social responsibility and community development among students, incorporating sports and physical fitness activities. The National Sports Policy, introduced in 1984, aims to enhance sports infrastructure, provide training facilities, and support talented athletes nationwide. The Sports Authority of India (SAI), founded in 1982, serves as the apex body for sports development, offering training, coaching, and infrastructure for athletes. The </w:t>
      </w:r>
      <w:proofErr w:type="spellStart"/>
      <w:r w:rsidRPr="0086769E">
        <w:rPr>
          <w:rFonts w:ascii="Arial" w:hAnsi="Arial" w:cs="Arial"/>
          <w:sz w:val="24"/>
          <w:szCs w:val="24"/>
        </w:rPr>
        <w:t>Rashtriya</w:t>
      </w:r>
      <w:proofErr w:type="spellEnd"/>
      <w:r w:rsidRPr="0086769E">
        <w:rPr>
          <w:rFonts w:ascii="Arial" w:hAnsi="Arial" w:cs="Arial"/>
          <w:sz w:val="24"/>
          <w:szCs w:val="24"/>
        </w:rPr>
        <w:t xml:space="preserve"> Khel </w:t>
      </w:r>
      <w:proofErr w:type="spellStart"/>
      <w:r w:rsidRPr="0086769E">
        <w:rPr>
          <w:rFonts w:ascii="Arial" w:hAnsi="Arial" w:cs="Arial"/>
          <w:sz w:val="24"/>
          <w:szCs w:val="24"/>
        </w:rPr>
        <w:t>Protsahan</w:t>
      </w:r>
      <w:proofErr w:type="spellEnd"/>
      <w:r w:rsidRPr="0086769E">
        <w:rPr>
          <w:rFonts w:ascii="Arial" w:hAnsi="Arial" w:cs="Arial"/>
          <w:sz w:val="24"/>
          <w:szCs w:val="24"/>
        </w:rPr>
        <w:t xml:space="preserve"> </w:t>
      </w:r>
      <w:proofErr w:type="spellStart"/>
      <w:r w:rsidRPr="0086769E">
        <w:rPr>
          <w:rFonts w:ascii="Arial" w:hAnsi="Arial" w:cs="Arial"/>
          <w:sz w:val="24"/>
          <w:szCs w:val="24"/>
        </w:rPr>
        <w:t>Puruskar</w:t>
      </w:r>
      <w:proofErr w:type="spellEnd"/>
      <w:r w:rsidRPr="0086769E">
        <w:rPr>
          <w:rFonts w:ascii="Arial" w:hAnsi="Arial" w:cs="Arial"/>
          <w:sz w:val="24"/>
          <w:szCs w:val="24"/>
        </w:rPr>
        <w:t xml:space="preserve">, initiated by the Government of India, recognizes excellence in sports through various awards. The </w:t>
      </w:r>
      <w:proofErr w:type="spellStart"/>
      <w:r w:rsidRPr="0086769E">
        <w:rPr>
          <w:rFonts w:ascii="Arial" w:hAnsi="Arial" w:cs="Arial"/>
          <w:sz w:val="24"/>
          <w:szCs w:val="24"/>
        </w:rPr>
        <w:t>Khelo</w:t>
      </w:r>
      <w:proofErr w:type="spellEnd"/>
      <w:r w:rsidRPr="0086769E">
        <w:rPr>
          <w:rFonts w:ascii="Arial" w:hAnsi="Arial" w:cs="Arial"/>
          <w:sz w:val="24"/>
          <w:szCs w:val="24"/>
        </w:rPr>
        <w:t xml:space="preserve"> India </w:t>
      </w:r>
      <w:proofErr w:type="spellStart"/>
      <w:r w:rsidRPr="0086769E">
        <w:rPr>
          <w:rFonts w:ascii="Arial" w:hAnsi="Arial" w:cs="Arial"/>
          <w:sz w:val="24"/>
          <w:szCs w:val="24"/>
        </w:rPr>
        <w:t>Programme</w:t>
      </w:r>
      <w:proofErr w:type="spellEnd"/>
      <w:r w:rsidRPr="0086769E">
        <w:rPr>
          <w:rFonts w:ascii="Arial" w:hAnsi="Arial" w:cs="Arial"/>
          <w:sz w:val="24"/>
          <w:szCs w:val="24"/>
        </w:rPr>
        <w:t xml:space="preserve">, launched in 2018, promotes sports among youth through events like the </w:t>
      </w:r>
      <w:proofErr w:type="spellStart"/>
      <w:r w:rsidRPr="0086769E">
        <w:rPr>
          <w:rFonts w:ascii="Arial" w:hAnsi="Arial" w:cs="Arial"/>
          <w:sz w:val="24"/>
          <w:szCs w:val="24"/>
        </w:rPr>
        <w:t>Khelo</w:t>
      </w:r>
      <w:proofErr w:type="spellEnd"/>
      <w:r w:rsidRPr="0086769E">
        <w:rPr>
          <w:rFonts w:ascii="Arial" w:hAnsi="Arial" w:cs="Arial"/>
          <w:sz w:val="24"/>
          <w:szCs w:val="24"/>
        </w:rPr>
        <w:t xml:space="preserve"> India Youth Games and School Games. The National Physical Fitness </w:t>
      </w:r>
      <w:proofErr w:type="spellStart"/>
      <w:r w:rsidRPr="0086769E">
        <w:rPr>
          <w:rFonts w:ascii="Arial" w:hAnsi="Arial" w:cs="Arial"/>
          <w:sz w:val="24"/>
          <w:szCs w:val="24"/>
        </w:rPr>
        <w:t>Programme</w:t>
      </w:r>
      <w:proofErr w:type="spellEnd"/>
      <w:r w:rsidRPr="0086769E">
        <w:rPr>
          <w:rFonts w:ascii="Arial" w:hAnsi="Arial" w:cs="Arial"/>
          <w:sz w:val="24"/>
          <w:szCs w:val="24"/>
        </w:rPr>
        <w:t>, also introduced in 2018, emphasizes physical well-being through fitness assessment camps and yoga events. Additionally, the Fit India Movement, initiated in 2019 by Prime Minister Narendra Modi, encourages individuals of all ages to lead active lifestyles and participate in sports and fitness activities regularly, collectively reflecting the government's commitment to fostering a culture of sports and physical fitness across the nation.</w:t>
      </w:r>
    </w:p>
    <w:p w14:paraId="3E5D80BE" w14:textId="60C640E9" w:rsidR="00CB55C7" w:rsidRPr="0086769E" w:rsidRDefault="009F50F9" w:rsidP="00035371">
      <w:pPr>
        <w:pStyle w:val="Title"/>
        <w:ind w:left="0"/>
        <w:jc w:val="both"/>
        <w:rPr>
          <w:rFonts w:ascii="Arial" w:hAnsi="Arial" w:cs="Arial"/>
          <w:b/>
          <w:bCs/>
          <w:sz w:val="24"/>
          <w:szCs w:val="24"/>
        </w:rPr>
      </w:pPr>
      <w:r w:rsidRPr="0086769E">
        <w:rPr>
          <w:rFonts w:ascii="Arial" w:hAnsi="Arial" w:cs="Arial"/>
          <w:b/>
          <w:bCs/>
          <w:sz w:val="24"/>
          <w:szCs w:val="24"/>
        </w:rPr>
        <w:t>CHALLENGES IN PHYSICAL EDUCATION PROGRAMS IN INDIA</w:t>
      </w:r>
    </w:p>
    <w:p w14:paraId="2420CC1F" w14:textId="78C1F9B9" w:rsidR="00CB55C7" w:rsidRPr="0086769E" w:rsidRDefault="00CB55C7" w:rsidP="00035371">
      <w:pPr>
        <w:pStyle w:val="Title"/>
        <w:ind w:left="0"/>
        <w:jc w:val="both"/>
        <w:rPr>
          <w:rFonts w:ascii="Arial" w:hAnsi="Arial" w:cs="Arial"/>
          <w:sz w:val="24"/>
          <w:szCs w:val="24"/>
        </w:rPr>
      </w:pPr>
      <w:r w:rsidRPr="0086769E">
        <w:rPr>
          <w:rFonts w:ascii="Arial" w:hAnsi="Arial" w:cs="Arial"/>
          <w:sz w:val="24"/>
          <w:szCs w:val="24"/>
        </w:rPr>
        <w:lastRenderedPageBreak/>
        <w:t>While efforts have been made to promote physical education in India, several challenges persist in implementing effective programs. These challenges arise from a combination of social, economic, and infrastructural factors. Some of the key challenges include,</w:t>
      </w:r>
    </w:p>
    <w:p w14:paraId="2ECBE415" w14:textId="2EEB0586" w:rsidR="001154DA" w:rsidRPr="0086769E" w:rsidRDefault="008F2352" w:rsidP="00035371">
      <w:pPr>
        <w:pStyle w:val="Title"/>
        <w:ind w:left="0"/>
        <w:jc w:val="both"/>
        <w:rPr>
          <w:rFonts w:ascii="Arial" w:hAnsi="Arial" w:cs="Arial"/>
          <w:sz w:val="24"/>
          <w:szCs w:val="24"/>
        </w:rPr>
      </w:pPr>
      <w:r w:rsidRPr="0086769E">
        <w:rPr>
          <w:rFonts w:ascii="Arial" w:hAnsi="Arial" w:cs="Arial"/>
          <w:b/>
          <w:bCs/>
          <w:i/>
          <w:iCs/>
          <w:sz w:val="24"/>
          <w:szCs w:val="24"/>
        </w:rPr>
        <w:t>Inadequate Infrastructure</w:t>
      </w:r>
      <w:r w:rsidR="001154DA" w:rsidRPr="0086769E">
        <w:rPr>
          <w:rFonts w:ascii="Arial" w:hAnsi="Arial" w:cs="Arial"/>
          <w:b/>
          <w:bCs/>
          <w:i/>
          <w:iCs/>
          <w:sz w:val="24"/>
          <w:szCs w:val="24"/>
        </w:rPr>
        <w:t>:</w:t>
      </w:r>
      <w:r w:rsidR="001154DA" w:rsidRPr="0086769E">
        <w:rPr>
          <w:rFonts w:ascii="Arial" w:hAnsi="Arial" w:cs="Arial"/>
          <w:i/>
          <w:iCs/>
          <w:sz w:val="24"/>
          <w:szCs w:val="24"/>
        </w:rPr>
        <w:t xml:space="preserve"> </w:t>
      </w:r>
      <w:r w:rsidR="001154DA" w:rsidRPr="0086769E">
        <w:rPr>
          <w:rFonts w:ascii="Arial" w:hAnsi="Arial" w:cs="Arial"/>
          <w:sz w:val="24"/>
          <w:szCs w:val="24"/>
        </w:rPr>
        <w:t>The absence of adequate facilities, including playgrounds, sports equipment, and sufficient space, poses a significant obstacle to implementing effective physical education programs in many schools. Without these resources, students are deprived of opportunities to engage in physical activity, hindering their overall health and well-being.</w:t>
      </w:r>
    </w:p>
    <w:p w14:paraId="56D6D06C" w14:textId="77777777" w:rsidR="001154DA" w:rsidRPr="0086769E" w:rsidRDefault="008F2352" w:rsidP="00035371">
      <w:pPr>
        <w:pStyle w:val="Title"/>
        <w:ind w:left="0"/>
        <w:jc w:val="both"/>
        <w:rPr>
          <w:rFonts w:ascii="Arial" w:hAnsi="Arial" w:cs="Arial"/>
          <w:sz w:val="24"/>
          <w:szCs w:val="24"/>
        </w:rPr>
      </w:pPr>
      <w:r w:rsidRPr="0086769E">
        <w:rPr>
          <w:rFonts w:ascii="Arial" w:hAnsi="Arial" w:cs="Arial"/>
          <w:b/>
          <w:bCs/>
          <w:i/>
          <w:iCs/>
          <w:sz w:val="24"/>
          <w:szCs w:val="24"/>
        </w:rPr>
        <w:t>Shortage of Qualified Instructors:</w:t>
      </w:r>
      <w:r w:rsidRPr="0086769E">
        <w:rPr>
          <w:rFonts w:ascii="Arial" w:hAnsi="Arial" w:cs="Arial"/>
          <w:i/>
          <w:iCs/>
          <w:sz w:val="24"/>
          <w:szCs w:val="24"/>
        </w:rPr>
        <w:t xml:space="preserve"> </w:t>
      </w:r>
      <w:r w:rsidR="001154DA" w:rsidRPr="0086769E">
        <w:rPr>
          <w:rFonts w:ascii="Arial" w:hAnsi="Arial" w:cs="Arial"/>
          <w:sz w:val="24"/>
          <w:szCs w:val="24"/>
        </w:rPr>
        <w:t xml:space="preserve">The shortage of trained physical education instructors adversely impacts the quality of program delivery and the ability to tailor programs to meet students' needs effectively. Without sufficient expertise, instructors may struggle to design and implement engaging and beneficial physical education activities that cater to diverse student abilities and interests. This scarcity hampers efforts to promote physical fitness, skill development, and overall well-being among students. </w:t>
      </w:r>
    </w:p>
    <w:p w14:paraId="4ABD5C81" w14:textId="77777777" w:rsidR="001154DA" w:rsidRPr="0086769E" w:rsidRDefault="008F2352" w:rsidP="00035371">
      <w:pPr>
        <w:pStyle w:val="Title"/>
        <w:ind w:left="0"/>
        <w:jc w:val="both"/>
        <w:rPr>
          <w:rFonts w:ascii="Arial" w:hAnsi="Arial" w:cs="Arial"/>
          <w:sz w:val="24"/>
          <w:szCs w:val="24"/>
        </w:rPr>
      </w:pPr>
      <w:r w:rsidRPr="0086769E">
        <w:rPr>
          <w:rFonts w:ascii="Arial" w:hAnsi="Arial" w:cs="Arial"/>
          <w:b/>
          <w:bCs/>
          <w:i/>
          <w:iCs/>
          <w:sz w:val="24"/>
          <w:szCs w:val="24"/>
        </w:rPr>
        <w:t>Emphasis on Academic Curriculum:</w:t>
      </w:r>
      <w:r w:rsidRPr="0086769E">
        <w:rPr>
          <w:rFonts w:ascii="Arial" w:hAnsi="Arial" w:cs="Arial"/>
          <w:i/>
          <w:iCs/>
          <w:sz w:val="24"/>
          <w:szCs w:val="24"/>
        </w:rPr>
        <w:t xml:space="preserve"> </w:t>
      </w:r>
      <w:r w:rsidR="001154DA" w:rsidRPr="0086769E">
        <w:rPr>
          <w:rFonts w:ascii="Arial" w:hAnsi="Arial" w:cs="Arial"/>
          <w:sz w:val="24"/>
          <w:szCs w:val="24"/>
        </w:rPr>
        <w:t>The predominant emphasis on academic achievement often relegates physical education to a secondary role, leading to insufficient time and resources dedicated to sports and fitness activities. As schools prioritize academic subjects, physical education may receive less attention in the curriculum, reducing opportunities for students to engage in regular physical activity and develop essential motor skills, fitness, and overall health. This imbalance underscores the need to advocate for the integration of physical education as a core component of education, ensuring that students receive adequate time and support for both academic and physical development.</w:t>
      </w:r>
    </w:p>
    <w:p w14:paraId="306DF0E0" w14:textId="77777777" w:rsidR="001154DA" w:rsidRPr="0086769E" w:rsidRDefault="008F2352" w:rsidP="00035371">
      <w:pPr>
        <w:pStyle w:val="Title"/>
        <w:ind w:left="0"/>
        <w:jc w:val="both"/>
        <w:rPr>
          <w:rFonts w:ascii="Arial" w:hAnsi="Arial" w:cs="Arial"/>
          <w:sz w:val="24"/>
          <w:szCs w:val="24"/>
        </w:rPr>
      </w:pPr>
      <w:r w:rsidRPr="0086769E">
        <w:rPr>
          <w:rFonts w:ascii="Arial" w:hAnsi="Arial" w:cs="Arial"/>
          <w:b/>
          <w:bCs/>
          <w:i/>
          <w:iCs/>
          <w:sz w:val="24"/>
          <w:szCs w:val="24"/>
        </w:rPr>
        <w:t>Cultural Perceptions:</w:t>
      </w:r>
      <w:r w:rsidRPr="0086769E">
        <w:rPr>
          <w:rFonts w:ascii="Arial" w:hAnsi="Arial" w:cs="Arial"/>
          <w:i/>
          <w:iCs/>
          <w:sz w:val="24"/>
          <w:szCs w:val="24"/>
        </w:rPr>
        <w:t xml:space="preserve"> </w:t>
      </w:r>
      <w:r w:rsidR="001154DA" w:rsidRPr="0086769E">
        <w:rPr>
          <w:rFonts w:ascii="Arial" w:hAnsi="Arial" w:cs="Arial"/>
          <w:sz w:val="24"/>
          <w:szCs w:val="24"/>
        </w:rPr>
        <w:t>Traditional attitudes towards physical activity may undervalue its importance, with academic achievements often prioritized over physical well-being. In many cultures, there is a historical emphasis on intellectual pursuits and academic success, leading to a perception that physical activity is secondary or less essential. Consequently, physical education programs and opportunities for exercise may receive less attention and resources compared to academic subjects. However, recognizing the holistic benefits of physical activity is crucial for promoting overall well-being and ensuring a balanced approach to education and personal development.</w:t>
      </w:r>
    </w:p>
    <w:p w14:paraId="152CD490" w14:textId="77777777" w:rsidR="001154DA" w:rsidRPr="0086769E" w:rsidRDefault="008F2352" w:rsidP="00035371">
      <w:pPr>
        <w:pStyle w:val="Title"/>
        <w:ind w:left="0"/>
        <w:jc w:val="both"/>
        <w:rPr>
          <w:rFonts w:ascii="Arial" w:hAnsi="Arial" w:cs="Arial"/>
          <w:sz w:val="24"/>
          <w:szCs w:val="24"/>
        </w:rPr>
      </w:pPr>
      <w:r w:rsidRPr="0086769E">
        <w:rPr>
          <w:rFonts w:ascii="Arial" w:hAnsi="Arial" w:cs="Arial"/>
          <w:b/>
          <w:bCs/>
          <w:i/>
          <w:iCs/>
          <w:sz w:val="24"/>
          <w:szCs w:val="24"/>
        </w:rPr>
        <w:t>Socioeconomic Disparities:</w:t>
      </w:r>
      <w:r w:rsidRPr="0086769E">
        <w:rPr>
          <w:rFonts w:ascii="Arial" w:hAnsi="Arial" w:cs="Arial"/>
          <w:i/>
          <w:iCs/>
          <w:sz w:val="24"/>
          <w:szCs w:val="24"/>
        </w:rPr>
        <w:t xml:space="preserve"> </w:t>
      </w:r>
      <w:r w:rsidR="001154DA" w:rsidRPr="0086769E">
        <w:rPr>
          <w:rFonts w:ascii="Arial" w:hAnsi="Arial" w:cs="Arial"/>
          <w:sz w:val="24"/>
          <w:szCs w:val="24"/>
        </w:rPr>
        <w:t>Unequal access to sports facilities due to socioeconomic disparities hinders participation, particularly for rural and economically disadvantaged students. Limited funding and transportation options, along with fewer recreational facilities, exacerbate these disparities. Marginalized communities face challenges in accessing sports programs, impacting their physical well-being. Addressing these inequalities necessitates investment in infrastructure, community partnerships, and targeted interventions to ensure equitable access to sports and physical education opportunities for all students.</w:t>
      </w:r>
    </w:p>
    <w:p w14:paraId="41E98920" w14:textId="417FAF6E" w:rsidR="008F2352" w:rsidRPr="0086769E" w:rsidRDefault="008F2352" w:rsidP="00035371">
      <w:pPr>
        <w:pStyle w:val="Title"/>
        <w:ind w:left="0"/>
        <w:jc w:val="both"/>
        <w:rPr>
          <w:rFonts w:ascii="Arial" w:hAnsi="Arial" w:cs="Arial"/>
          <w:sz w:val="24"/>
          <w:szCs w:val="24"/>
        </w:rPr>
      </w:pPr>
      <w:r w:rsidRPr="0086769E">
        <w:rPr>
          <w:rFonts w:ascii="Arial" w:hAnsi="Arial" w:cs="Arial"/>
          <w:b/>
          <w:bCs/>
          <w:i/>
          <w:iCs/>
          <w:sz w:val="24"/>
          <w:szCs w:val="24"/>
        </w:rPr>
        <w:t>Gender Disparities</w:t>
      </w:r>
      <w:r w:rsidRPr="0086769E">
        <w:rPr>
          <w:rFonts w:ascii="Arial" w:hAnsi="Arial" w:cs="Arial"/>
          <w:b/>
          <w:bCs/>
          <w:sz w:val="24"/>
          <w:szCs w:val="24"/>
        </w:rPr>
        <w:t>:</w:t>
      </w:r>
      <w:r w:rsidRPr="0086769E">
        <w:rPr>
          <w:rFonts w:ascii="Arial" w:hAnsi="Arial" w:cs="Arial"/>
          <w:sz w:val="24"/>
          <w:szCs w:val="24"/>
        </w:rPr>
        <w:t xml:space="preserve"> </w:t>
      </w:r>
      <w:r w:rsidR="001154DA" w:rsidRPr="0086769E">
        <w:rPr>
          <w:rFonts w:ascii="Arial" w:hAnsi="Arial" w:cs="Arial"/>
          <w:sz w:val="24"/>
          <w:szCs w:val="24"/>
        </w:rPr>
        <w:t>Gender disparities persist in physical education due to societal norms and cultural beliefs that often discourage or limit girls' participation in sports and physical activities. Deep-rooted stereotypes surrounding femininity and athleticism contribute to the marginalization of girls in physical education programs, leading to unequal opportunities and resources compared to their male counterparts. Addressing these disparities requires challenging gender norms, providing supportive environments, and promoting inclusive policies to ensure equitable access and participation for all students regardless of gender.</w:t>
      </w:r>
    </w:p>
    <w:p w14:paraId="708A08C5" w14:textId="49713306" w:rsidR="008F2352" w:rsidRPr="0086769E" w:rsidRDefault="008F2352" w:rsidP="00035371">
      <w:pPr>
        <w:pStyle w:val="Title"/>
        <w:ind w:left="0"/>
        <w:jc w:val="both"/>
        <w:rPr>
          <w:rFonts w:ascii="Arial" w:hAnsi="Arial" w:cs="Arial"/>
          <w:sz w:val="24"/>
          <w:szCs w:val="24"/>
        </w:rPr>
      </w:pPr>
      <w:r w:rsidRPr="0086769E">
        <w:rPr>
          <w:rFonts w:ascii="Arial" w:hAnsi="Arial" w:cs="Arial"/>
          <w:b/>
          <w:bCs/>
          <w:i/>
          <w:iCs/>
          <w:sz w:val="24"/>
          <w:szCs w:val="24"/>
        </w:rPr>
        <w:t>Policy Implementation:</w:t>
      </w:r>
      <w:r w:rsidRPr="0086769E">
        <w:rPr>
          <w:rFonts w:ascii="Arial" w:hAnsi="Arial" w:cs="Arial"/>
          <w:i/>
          <w:iCs/>
          <w:sz w:val="24"/>
          <w:szCs w:val="24"/>
        </w:rPr>
        <w:t xml:space="preserve"> </w:t>
      </w:r>
      <w:r w:rsidR="001154DA" w:rsidRPr="0086769E">
        <w:rPr>
          <w:rFonts w:ascii="Arial" w:hAnsi="Arial" w:cs="Arial"/>
          <w:sz w:val="24"/>
          <w:szCs w:val="24"/>
        </w:rPr>
        <w:t xml:space="preserve">Policy implementation poses a significant challenge in </w:t>
      </w:r>
      <w:r w:rsidR="001154DA" w:rsidRPr="0086769E">
        <w:rPr>
          <w:rFonts w:ascii="Arial" w:hAnsi="Arial" w:cs="Arial"/>
          <w:sz w:val="24"/>
          <w:szCs w:val="24"/>
        </w:rPr>
        <w:lastRenderedPageBreak/>
        <w:t>ensuring the effective delivery of physical education programs across India. While national policies advocate for physical education, inconsistencies in implementation at the state and local levels hinder program quality and accessibility. Discrepancies arise due to resource allocation, administrative capacity, and differing priorities, resulting in variations in the availability and quality of physical education initiatives. Addressing these challenges requires coordinated efforts to streamline policy implementation, allocate adequate resources, and enhance monitoring and evaluation mechanisms to ensure equitable access to quality physical education for all students.</w:t>
      </w:r>
    </w:p>
    <w:p w14:paraId="14093B32" w14:textId="77777777" w:rsidR="00A765BC" w:rsidRPr="0086769E" w:rsidRDefault="008F2352" w:rsidP="00A765BC">
      <w:pPr>
        <w:pStyle w:val="Title"/>
        <w:ind w:left="0"/>
        <w:jc w:val="both"/>
        <w:rPr>
          <w:rFonts w:ascii="Arial" w:hAnsi="Arial" w:cs="Arial"/>
          <w:sz w:val="24"/>
          <w:szCs w:val="24"/>
        </w:rPr>
      </w:pPr>
      <w:r w:rsidRPr="0086769E">
        <w:rPr>
          <w:rFonts w:ascii="Arial" w:hAnsi="Arial" w:cs="Arial"/>
          <w:b/>
          <w:bCs/>
          <w:i/>
          <w:iCs/>
          <w:sz w:val="24"/>
          <w:szCs w:val="24"/>
        </w:rPr>
        <w:t>Lack of Monitoring and Evaluation:</w:t>
      </w:r>
      <w:r w:rsidRPr="0086769E">
        <w:rPr>
          <w:rFonts w:ascii="Arial" w:hAnsi="Arial" w:cs="Arial"/>
          <w:i/>
          <w:iCs/>
          <w:sz w:val="24"/>
          <w:szCs w:val="24"/>
        </w:rPr>
        <w:t xml:space="preserve"> </w:t>
      </w:r>
      <w:r w:rsidR="001154DA" w:rsidRPr="0086769E">
        <w:rPr>
          <w:rFonts w:ascii="Arial" w:hAnsi="Arial" w:cs="Arial"/>
          <w:sz w:val="24"/>
          <w:szCs w:val="24"/>
        </w:rPr>
        <w:t>The absence of robust monitoring and evaluation mechanisms poses a significant obstacle to the advancement of physical education programs in India. Without effective tools to assess program effectiveness, it becomes challenging to identify areas of success and areas needing improvement. This deficiency hampers the ability to make informed decisions and implement necessary enhancements to ensure the quality and impact of physical education initiatives. To address this challenge, there is a critical need to develop comprehensive monitoring and evaluation frameworks that enable systematic assessment of program outcomes, facilitate data-driven decision-making, and foster continuous improvement in physical education delivery across the country.</w:t>
      </w:r>
      <w:r w:rsidR="00A765BC" w:rsidRPr="0086769E">
        <w:rPr>
          <w:rFonts w:ascii="Arial" w:hAnsi="Arial" w:cs="Arial"/>
          <w:sz w:val="24"/>
          <w:szCs w:val="24"/>
        </w:rPr>
        <w:t xml:space="preserve"> </w:t>
      </w:r>
    </w:p>
    <w:p w14:paraId="5EA0C28F" w14:textId="4496177B" w:rsidR="004B7872" w:rsidRPr="0086769E" w:rsidRDefault="00046F31" w:rsidP="00661742">
      <w:pPr>
        <w:pStyle w:val="Title"/>
        <w:ind w:left="0"/>
        <w:jc w:val="both"/>
        <w:rPr>
          <w:rFonts w:ascii="Arial" w:hAnsi="Arial" w:cs="Arial"/>
          <w:sz w:val="24"/>
          <w:szCs w:val="24"/>
        </w:rPr>
      </w:pPr>
      <w:r w:rsidRPr="0086769E">
        <w:rPr>
          <w:rFonts w:ascii="Arial" w:hAnsi="Arial" w:cs="Arial"/>
          <w:sz w:val="24"/>
          <w:szCs w:val="24"/>
        </w:rPr>
        <w:t>Addressing challenges in physical education requires comprehensive action, including policy reforms, infrastructure investment, awareness campaigns, and cultural perception shifts. This necessitates collaborative efforts involving government, communities, and stakeholders.</w:t>
      </w:r>
      <w:r w:rsidR="00A765BC" w:rsidRPr="0086769E">
        <w:rPr>
          <w:rFonts w:ascii="Arial" w:hAnsi="Arial" w:cs="Arial"/>
          <w:sz w:val="24"/>
          <w:szCs w:val="24"/>
        </w:rPr>
        <w:t xml:space="preserve"> </w:t>
      </w:r>
      <w:r w:rsidR="00367665" w:rsidRPr="0086769E">
        <w:rPr>
          <w:rFonts w:ascii="Arial" w:hAnsi="Arial" w:cs="Arial"/>
          <w:sz w:val="24"/>
          <w:szCs w:val="24"/>
        </w:rPr>
        <w:t>Strengthening governance in Indian sports is essential for both professional and traditional indigenous games, which contribute to physical health, mental well-being, and social cohesion. Policies such as the National Code for Good Governance in Sports (NCGGS, 2017) and the National Sports Development Code (NSDC, 2011) promote accountability, transparency, and ethical administration for National Sports Federations and the National Olympic Committee. Applying these governance standards to traditional sports can improve organization, funding, and policy support, enabling broader community participation and sustainable development. Effective governance not only preserves India’s cultural heritage but also fosters community engagement, moral values, holistic development, and national pride through sports.</w:t>
      </w:r>
    </w:p>
    <w:p w14:paraId="673402B9" w14:textId="43F6281D" w:rsidR="00046F31" w:rsidRPr="0086769E" w:rsidRDefault="00046F31" w:rsidP="00A765BC">
      <w:pPr>
        <w:jc w:val="both"/>
        <w:rPr>
          <w:rFonts w:ascii="Arial" w:hAnsi="Arial" w:cs="Arial"/>
          <w:sz w:val="24"/>
          <w:szCs w:val="24"/>
        </w:rPr>
      </w:pPr>
      <w:r w:rsidRPr="0086769E">
        <w:rPr>
          <w:rFonts w:ascii="Arial" w:hAnsi="Arial" w:cs="Arial"/>
          <w:sz w:val="24"/>
          <w:szCs w:val="24"/>
        </w:rPr>
        <w:t>By implementing policy changes, investing in infrastructure, raising awareness, and shifting cultural perceptions, India can create an environment conducive to physical activity, promoting health and well-being across diverse population groups.</w:t>
      </w:r>
      <w:r w:rsidR="00F371C6" w:rsidRPr="0086769E">
        <w:rPr>
          <w:rFonts w:ascii="Arial" w:hAnsi="Arial" w:cs="Arial"/>
          <w:sz w:val="24"/>
          <w:szCs w:val="24"/>
        </w:rPr>
        <w:t xml:space="preserve"> Traditional games and sports play a crucial role in this context, particularly during childhood, by fostering social harmony and teaching teamwork, discipline, and moral values. These activities also support the development of coordinative neuromuscular skills, enhancing children’s physical, mental, and psychological growth. In today’s scenario, many children are increasingly engaged with mobile devices and screens, leading to sedentary lifestyles. Integrating traditional sports into schools and community spaces provides a healthy alternative, offering structured physical activity while reinforcing cultural roots and heritage. Participation in these games encourages group cohesion, collaboration, and a sense of belonging during this critical learning period, helping children develop not only physically but also socially, emotionally, and morally. </w:t>
      </w:r>
      <w:r w:rsidR="00D53CE5" w:rsidRPr="0086769E">
        <w:rPr>
          <w:rFonts w:ascii="Arial" w:hAnsi="Arial" w:cs="Arial"/>
          <w:sz w:val="24"/>
          <w:szCs w:val="24"/>
        </w:rPr>
        <w:t>Traditional games can be preserved and promoted as tools for holistic health, cultural pride, and community engagement, ultimately contributing to a healthier and more active society.</w:t>
      </w:r>
    </w:p>
    <w:p w14:paraId="6687B956" w14:textId="543C8FCB" w:rsidR="0010488D" w:rsidRPr="0086769E" w:rsidRDefault="0010488D" w:rsidP="0010488D">
      <w:pPr>
        <w:pStyle w:val="Title"/>
        <w:ind w:left="0"/>
        <w:jc w:val="both"/>
        <w:rPr>
          <w:rFonts w:ascii="Arial" w:hAnsi="Arial" w:cs="Arial"/>
          <w:b/>
          <w:bCs/>
          <w:sz w:val="24"/>
          <w:szCs w:val="24"/>
        </w:rPr>
      </w:pPr>
      <w:r w:rsidRPr="0086769E">
        <w:rPr>
          <w:rFonts w:ascii="Arial" w:hAnsi="Arial" w:cs="Arial"/>
          <w:b/>
          <w:bCs/>
          <w:sz w:val="24"/>
          <w:szCs w:val="24"/>
        </w:rPr>
        <w:t>POLICY AND RESEARCH GAP</w:t>
      </w:r>
    </w:p>
    <w:p w14:paraId="7FDDF73F" w14:textId="77777777" w:rsidR="0010488D" w:rsidRPr="0086769E" w:rsidRDefault="0010488D" w:rsidP="00A765BC">
      <w:pPr>
        <w:pStyle w:val="Title"/>
        <w:ind w:left="0"/>
        <w:jc w:val="both"/>
        <w:rPr>
          <w:rFonts w:ascii="Arial" w:hAnsi="Arial" w:cs="Arial"/>
          <w:sz w:val="24"/>
          <w:szCs w:val="24"/>
        </w:rPr>
      </w:pPr>
      <w:proofErr w:type="spellStart"/>
      <w:r w:rsidRPr="0086769E">
        <w:rPr>
          <w:rFonts w:ascii="Arial" w:hAnsi="Arial" w:cs="Arial"/>
          <w:sz w:val="24"/>
          <w:szCs w:val="24"/>
        </w:rPr>
        <w:t>Khelo</w:t>
      </w:r>
      <w:proofErr w:type="spellEnd"/>
      <w:r w:rsidRPr="0086769E">
        <w:rPr>
          <w:rFonts w:ascii="Arial" w:hAnsi="Arial" w:cs="Arial"/>
          <w:sz w:val="24"/>
          <w:szCs w:val="24"/>
        </w:rPr>
        <w:t xml:space="preserve"> India Scheme (2025), launched by the Ministry of Youth Affairs and Sports, aims </w:t>
      </w:r>
      <w:r w:rsidRPr="0086769E">
        <w:rPr>
          <w:rFonts w:ascii="Arial" w:hAnsi="Arial" w:cs="Arial"/>
          <w:sz w:val="24"/>
          <w:szCs w:val="24"/>
        </w:rPr>
        <w:lastRenderedPageBreak/>
        <w:t xml:space="preserve">to promote rural, indigenous, and tribal sports across India. While the </w:t>
      </w:r>
      <w:proofErr w:type="spellStart"/>
      <w:r w:rsidRPr="0086769E">
        <w:rPr>
          <w:rFonts w:ascii="Arial" w:hAnsi="Arial" w:cs="Arial"/>
          <w:sz w:val="24"/>
          <w:szCs w:val="24"/>
        </w:rPr>
        <w:t>programme</w:t>
      </w:r>
      <w:proofErr w:type="spellEnd"/>
      <w:r w:rsidRPr="0086769E">
        <w:rPr>
          <w:rFonts w:ascii="Arial" w:hAnsi="Arial" w:cs="Arial"/>
          <w:sz w:val="24"/>
          <w:szCs w:val="24"/>
        </w:rPr>
        <w:t xml:space="preserve"> sets out clear objectives for preserving traditional games, its implementation at the grassroots level remains limited (Government of India, Ministry of Youth Affairs &amp; Sports, n.d.; Government of India, 2019</w:t>
      </w:r>
      <w:r w:rsidRPr="0086769E">
        <w:rPr>
          <w:rFonts w:ascii="Cambria Math" w:hAnsi="Cambria Math" w:cs="Cambria Math"/>
          <w:sz w:val="24"/>
          <w:szCs w:val="24"/>
        </w:rPr>
        <w:t>‑</w:t>
      </w:r>
      <w:r w:rsidRPr="0086769E">
        <w:rPr>
          <w:rFonts w:ascii="Arial" w:hAnsi="Arial" w:cs="Arial"/>
          <w:sz w:val="24"/>
          <w:szCs w:val="24"/>
        </w:rPr>
        <w:t xml:space="preserve">20). Popular contemporary sports such as football, cricket, badminton, volleyball, and athletics continue to dominate public interest, infrastructure support, and institutional funding, leaving indigenous games with limited visibility and organized opportunities (Singh &amp; Bali, 2022). A significant policy gap exists in the decentralized execution of traditional sports initiatives. Few states have taken proactive measures to promote indigenous games at the community level. For instance, the Jharkhand Government, through a collaborative effort between the Department of Sports and the Department of Tourism, has successfully implemented traditional game programs at district and block levels (Financial Express, 2022). This example highlights the potential of localized political and administrative initiatives, which remain largely absent in most other states (PRS Legislative Research, 2024). </w:t>
      </w:r>
    </w:p>
    <w:p w14:paraId="01633862" w14:textId="66692403" w:rsidR="0010488D" w:rsidRPr="0086769E" w:rsidRDefault="0010488D" w:rsidP="00A765BC">
      <w:pPr>
        <w:pStyle w:val="Title"/>
        <w:ind w:left="0"/>
        <w:jc w:val="both"/>
        <w:rPr>
          <w:rFonts w:ascii="Arial" w:hAnsi="Arial" w:cs="Arial"/>
          <w:sz w:val="24"/>
          <w:szCs w:val="24"/>
        </w:rPr>
      </w:pPr>
      <w:r w:rsidRPr="0086769E">
        <w:rPr>
          <w:rFonts w:ascii="Arial" w:hAnsi="Arial" w:cs="Arial"/>
          <w:sz w:val="24"/>
          <w:szCs w:val="24"/>
        </w:rPr>
        <w:t>Another critical gap is the integration of traditional sports into primary education, particularly for children, a formative period for physical, mental, and moral development. Introducing indigenous games in schools can foster physical fitness, teamwork, discipline, and cultural awareness (Parmar, Sahu, &amp; Roy, 2023). Furthermore, most traditional games require minimal infrastructure and rely primarily on community engagement and social collaboration, making them cost-effective and culturally enriching opportunities for rural youth (The New Indian Express, 2020). Addressing these gaps requires community-driven models, school-level inclusion strategies, and stronger state-level support to ensure sustainable promotion and preservation of India’s traditional and indigenous sports (Government of India, Ministry of Youth Affairs &amp; Sports, n.d.; Singh &amp; Bali, 2022). A coordinated effort by government, educational institutions, and civil society is essential to bridge the divide between policy intent and grassroots implementation, while also safeguarding the nation’s cultural heritage and sporting diversity.</w:t>
      </w:r>
    </w:p>
    <w:p w14:paraId="1A5A3EBF" w14:textId="7F7CFB27" w:rsidR="00DE30A5" w:rsidRPr="0086769E" w:rsidRDefault="001622C0" w:rsidP="001622C0">
      <w:pPr>
        <w:jc w:val="both"/>
        <w:rPr>
          <w:rFonts w:ascii="Arial" w:eastAsia="Times New Roman" w:hAnsi="Arial" w:cs="Arial"/>
          <w:sz w:val="24"/>
          <w:szCs w:val="24"/>
        </w:rPr>
      </w:pPr>
      <w:r w:rsidRPr="0086769E">
        <w:rPr>
          <w:rFonts w:ascii="Arial" w:eastAsia="Times New Roman" w:hAnsi="Arial" w:cs="Arial"/>
          <w:sz w:val="24"/>
          <w:szCs w:val="24"/>
        </w:rPr>
        <w:t>Moreover, within the academic domain, there remains a scarcity of empirical research examining the beneficial effects of traditional sports on health and well-being, both in the Indian context and globally</w:t>
      </w:r>
      <w:r w:rsidR="00D402F8" w:rsidRPr="0086769E">
        <w:rPr>
          <w:rFonts w:ascii="Arial" w:eastAsia="Times New Roman" w:hAnsi="Arial" w:cs="Arial"/>
          <w:sz w:val="24"/>
          <w:szCs w:val="24"/>
        </w:rPr>
        <w:t xml:space="preserve"> through the ecological perspective</w:t>
      </w:r>
      <w:r w:rsidRPr="0086769E">
        <w:rPr>
          <w:rFonts w:ascii="Arial" w:eastAsia="Times New Roman" w:hAnsi="Arial" w:cs="Arial"/>
          <w:sz w:val="24"/>
          <w:szCs w:val="24"/>
        </w:rPr>
        <w:t>. Consequently, this review paper seeks to draw scholarly attention toward this underexplored area by encouraging further investigation into how traditional and indigenous games influence health across diverse cultural settings. It also aims to highlight the ecological perspective, which elucidates why specific forms of traditional sports emerge within particular cultural contexts and how these practices contribute to the well-being of individuals and communities in those environments.</w:t>
      </w:r>
    </w:p>
    <w:p w14:paraId="096020C0" w14:textId="701CBD60" w:rsidR="00046F31" w:rsidRPr="0086769E" w:rsidRDefault="009F50F9" w:rsidP="00035371">
      <w:pPr>
        <w:pStyle w:val="Title"/>
        <w:ind w:left="0"/>
        <w:jc w:val="both"/>
        <w:rPr>
          <w:rFonts w:ascii="Arial" w:hAnsi="Arial" w:cs="Arial"/>
          <w:b/>
          <w:bCs/>
          <w:sz w:val="24"/>
          <w:szCs w:val="24"/>
        </w:rPr>
      </w:pPr>
      <w:r w:rsidRPr="0086769E">
        <w:rPr>
          <w:rFonts w:ascii="Arial" w:hAnsi="Arial" w:cs="Arial"/>
          <w:b/>
          <w:bCs/>
          <w:sz w:val="24"/>
          <w:szCs w:val="24"/>
        </w:rPr>
        <w:t xml:space="preserve">CONCLUSION AND RECOMMENDATION </w:t>
      </w:r>
    </w:p>
    <w:p w14:paraId="0BA53887" w14:textId="3B15F549" w:rsidR="00046F31" w:rsidRPr="0086769E" w:rsidRDefault="00046F31" w:rsidP="00035371">
      <w:pPr>
        <w:pStyle w:val="Title"/>
        <w:ind w:left="0"/>
        <w:jc w:val="both"/>
        <w:rPr>
          <w:rFonts w:ascii="Arial" w:hAnsi="Arial" w:cs="Arial"/>
          <w:b/>
          <w:bCs/>
          <w:sz w:val="24"/>
          <w:szCs w:val="24"/>
        </w:rPr>
      </w:pPr>
      <w:r w:rsidRPr="0086769E">
        <w:rPr>
          <w:rFonts w:ascii="Arial" w:hAnsi="Arial" w:cs="Arial"/>
          <w:sz w:val="24"/>
          <w:szCs w:val="24"/>
        </w:rPr>
        <w:t>Promoting physical activity in India is not just a matter of individual health but a public health imperative with far-reaching implications. The documented benefits of physical activity, including improvements in cardiovascular health, mental well-being, and overall quality of life, underscore the importance of prioritizing initiatives that encourage active living across the population. One key aspect that cannot be overlooked is the role of indigenous</w:t>
      </w:r>
      <w:r w:rsidR="00E424B6" w:rsidRPr="0086769E">
        <w:rPr>
          <w:rFonts w:ascii="Arial" w:hAnsi="Arial" w:cs="Arial"/>
          <w:sz w:val="24"/>
          <w:szCs w:val="24"/>
        </w:rPr>
        <w:t xml:space="preserve"> </w:t>
      </w:r>
      <w:r w:rsidRPr="0086769E">
        <w:rPr>
          <w:rFonts w:ascii="Arial" w:hAnsi="Arial" w:cs="Arial"/>
          <w:sz w:val="24"/>
          <w:szCs w:val="24"/>
        </w:rPr>
        <w:t xml:space="preserve">perspectives, particularly yoga, in shaping attitudes towards physical activity. Yoga, deeply ingrained in Indian culture, offers a holistic approach to health and well-being, emphasizing the mind-body connection and promoting self-reliance through culturally resonant activities. Integrating indigenous knowledge systems into physical activity promotion efforts can enhance their acceptability and sustainability, ensuring that interventions are culturally appropriate </w:t>
      </w:r>
      <w:r w:rsidRPr="0086769E">
        <w:rPr>
          <w:rFonts w:ascii="Arial" w:hAnsi="Arial" w:cs="Arial"/>
          <w:sz w:val="24"/>
          <w:szCs w:val="24"/>
        </w:rPr>
        <w:lastRenderedPageBreak/>
        <w:t>and rooted in local traditions.</w:t>
      </w:r>
    </w:p>
    <w:p w14:paraId="51799D37" w14:textId="546FBF5E" w:rsidR="00D402F8" w:rsidRPr="0086769E" w:rsidRDefault="00046F31" w:rsidP="00D402F8">
      <w:pPr>
        <w:pStyle w:val="Title"/>
        <w:ind w:left="0"/>
        <w:jc w:val="both"/>
        <w:rPr>
          <w:rFonts w:ascii="Arial" w:hAnsi="Arial" w:cs="Arial"/>
          <w:sz w:val="24"/>
          <w:szCs w:val="24"/>
        </w:rPr>
      </w:pPr>
      <w:r w:rsidRPr="0086769E">
        <w:rPr>
          <w:rFonts w:ascii="Arial" w:hAnsi="Arial" w:cs="Arial"/>
          <w:sz w:val="24"/>
          <w:szCs w:val="24"/>
        </w:rPr>
        <w:t>However, to truly promote physical activity and achieve health equity, it is essential to address access barriers that disproportionately affect marginalized populations. Socioeconomic disparities, gender inequalities, and inadequate infrastructure can hinder individuals' ability to engage in physical activity, perpetuating health inequities. Culturally sensitive approaches that consider the unique needs and contexts of diverse communities are crucial for overcoming these barriers.</w:t>
      </w:r>
      <w:r w:rsidR="00E424B6" w:rsidRPr="0086769E">
        <w:rPr>
          <w:rFonts w:ascii="Arial" w:hAnsi="Arial" w:cs="Arial"/>
          <w:sz w:val="24"/>
          <w:szCs w:val="24"/>
        </w:rPr>
        <w:t xml:space="preserve"> </w:t>
      </w:r>
      <w:r w:rsidRPr="0086769E">
        <w:rPr>
          <w:rFonts w:ascii="Arial" w:hAnsi="Arial" w:cs="Arial"/>
          <w:sz w:val="24"/>
          <w:szCs w:val="24"/>
        </w:rPr>
        <w:t>In addition to community-based interventions, policy initiatives play a pivotal role in creating environments that support active living. Investments in infrastructure, urban planning, and education can help create walkable neighborhoods, safe public spaces, and inclusive recreational facilities, making it easier for people to incorporate physical activity into their daily lives. By prioritizing health in all policies, governments can demonstrate a commitment to promoting active living and improving population health outcomes.</w:t>
      </w:r>
    </w:p>
    <w:p w14:paraId="31639503" w14:textId="6D3DF906" w:rsidR="00D402F8" w:rsidRPr="0086769E" w:rsidRDefault="00367665" w:rsidP="00D402F8">
      <w:pPr>
        <w:pStyle w:val="Title"/>
        <w:ind w:left="0"/>
        <w:jc w:val="both"/>
        <w:rPr>
          <w:rFonts w:ascii="Arial" w:hAnsi="Arial" w:cs="Arial"/>
          <w:sz w:val="24"/>
          <w:szCs w:val="24"/>
        </w:rPr>
      </w:pPr>
      <w:r w:rsidRPr="0086769E">
        <w:rPr>
          <w:rFonts w:ascii="Arial" w:hAnsi="Arial" w:cs="Arial"/>
          <w:sz w:val="24"/>
          <w:szCs w:val="24"/>
        </w:rPr>
        <w:t>Traditional Indian sports in education play a critical role in promoting physical health, mental well-being, and holistic development among children. These games enhance physical fitness, coordination, endurance, and motor skills, while also fostering mental resilience, emotional regulation, teamwork, discipline, empathy, and social cohesion (Bonato, 2023;</w:t>
      </w:r>
      <w:r w:rsidR="0054148D" w:rsidRPr="0086769E">
        <w:rPr>
          <w:sz w:val="24"/>
          <w:szCs w:val="24"/>
        </w:rPr>
        <w:t xml:space="preserve"> </w:t>
      </w:r>
      <w:r w:rsidR="0054148D" w:rsidRPr="0086769E">
        <w:rPr>
          <w:rFonts w:ascii="Arial" w:hAnsi="Arial" w:cs="Arial"/>
          <w:sz w:val="24"/>
          <w:szCs w:val="24"/>
        </w:rPr>
        <w:t>Irawan et al.</w:t>
      </w:r>
      <w:r w:rsidRPr="0086769E">
        <w:rPr>
          <w:rFonts w:ascii="Arial" w:hAnsi="Arial" w:cs="Arial"/>
          <w:sz w:val="24"/>
          <w:szCs w:val="24"/>
        </w:rPr>
        <w:t xml:space="preserve"> 2021). Government initiatives such as the National Indigenous Games and the </w:t>
      </w:r>
      <w:proofErr w:type="spellStart"/>
      <w:r w:rsidRPr="0086769E">
        <w:rPr>
          <w:rFonts w:ascii="Arial" w:hAnsi="Arial" w:cs="Arial"/>
          <w:sz w:val="24"/>
          <w:szCs w:val="24"/>
        </w:rPr>
        <w:t>Khelo</w:t>
      </w:r>
      <w:proofErr w:type="spellEnd"/>
      <w:r w:rsidRPr="0086769E">
        <w:rPr>
          <w:rFonts w:ascii="Arial" w:hAnsi="Arial" w:cs="Arial"/>
          <w:sz w:val="24"/>
          <w:szCs w:val="24"/>
        </w:rPr>
        <w:t xml:space="preserve"> India program provide coaching, infrastructure, scholarships, and mentorship, supporting grassroots talent development and preparing athletes for higher-level competitions (Parmar, Sahu, &amp; Roy, 2023; Singh &amp; Bali, 2020). Research also highlights that participation in traditional physical activities is shaped by familial, community, and environmental factors, reinforcing cultural learning and social engagement (Akbar, Zuk, &amp; Tsuji, 2020; Moore et al., 201</w:t>
      </w:r>
      <w:r w:rsidR="0054148D" w:rsidRPr="0086769E">
        <w:rPr>
          <w:rFonts w:ascii="Arial" w:hAnsi="Arial" w:cs="Arial"/>
          <w:sz w:val="24"/>
          <w:szCs w:val="24"/>
        </w:rPr>
        <w:t>2</w:t>
      </w:r>
      <w:r w:rsidRPr="0086769E">
        <w:rPr>
          <w:rFonts w:ascii="Arial" w:hAnsi="Arial" w:cs="Arial"/>
          <w:sz w:val="24"/>
          <w:szCs w:val="24"/>
        </w:rPr>
        <w:t xml:space="preserve">; MacDonald et al., 2015; Crowe et al., 2017; Thompson et al., 2013; Kirby et al., 2007; Skinner et al., 2006). Integrating these sports into education encourages intergenerational interaction, preserves cultural heritage, and nurtures moral and social values, demonstrating their significant contribution to children’s overall health, well-being, and holistic development (Tripathi, 2024). </w:t>
      </w:r>
    </w:p>
    <w:p w14:paraId="28512177" w14:textId="2698DEC9" w:rsidR="00046F31" w:rsidRPr="0086769E" w:rsidRDefault="00195B0E" w:rsidP="00D402F8">
      <w:pPr>
        <w:pStyle w:val="Title"/>
        <w:ind w:left="0"/>
        <w:jc w:val="both"/>
        <w:rPr>
          <w:rFonts w:ascii="Arial" w:hAnsi="Arial" w:cs="Arial"/>
          <w:sz w:val="24"/>
          <w:szCs w:val="24"/>
        </w:rPr>
      </w:pPr>
      <w:r w:rsidRPr="0086769E">
        <w:rPr>
          <w:rFonts w:ascii="Arial" w:hAnsi="Arial" w:cs="Arial"/>
          <w:sz w:val="24"/>
          <w:szCs w:val="24"/>
        </w:rPr>
        <w:t>To promote rural and traditional sports, the Jharkhand Government launched a joint initiative between the Department of Sports and the Tourism Department, supporting the development of indigenous games across districts and blocks. These sports require minimal infrastructure and rely primarily on community participation and social collaboration, making them highly adaptable for widespread implementation. Regions such as Maharashtra and South India already demonstrate greater awareness and engagement with traditional games. Incorporating these activities into primary education is particularly important, as this stage is critical for physical, mental, and moral development, allowing children to develop essential skills, build resilience, and learn important life values through active participation in traditional sports.</w:t>
      </w:r>
      <w:r w:rsidR="00E424B6" w:rsidRPr="0086769E">
        <w:rPr>
          <w:rFonts w:ascii="Arial" w:hAnsi="Arial" w:cs="Arial"/>
          <w:sz w:val="24"/>
          <w:szCs w:val="24"/>
        </w:rPr>
        <w:t xml:space="preserve"> </w:t>
      </w:r>
      <w:r w:rsidR="00046F31" w:rsidRPr="0086769E">
        <w:rPr>
          <w:rFonts w:ascii="Arial" w:hAnsi="Arial" w:cs="Arial"/>
          <w:sz w:val="24"/>
          <w:szCs w:val="24"/>
        </w:rPr>
        <w:t xml:space="preserve">Looking to the future, there is a need for continued research to evaluate the effectiveness of culturally tailored interventions and explore innovative strategies for reaching underserved populations. Embracing cultural diversity and adopting holistic approaches will be essential for empowering individuals and communities to lead healthier lives. Moreover, leveraging insights from the latest Census data can inform evidence-based decision-making and ensure that interventions are tailored to the unique demographic profiles and needs of different population groups. Furthermore, governments can play a proactive role in promoting physical activity by implementing policies and programs that incentivize active living. This could include initiatives such as subsidizing gym memberships, providing tax incentives for businesses that </w:t>
      </w:r>
      <w:r w:rsidR="00046F31" w:rsidRPr="0086769E">
        <w:rPr>
          <w:rFonts w:ascii="Arial" w:hAnsi="Arial" w:cs="Arial"/>
          <w:sz w:val="24"/>
          <w:szCs w:val="24"/>
        </w:rPr>
        <w:lastRenderedPageBreak/>
        <w:t>promote physical activity among employees, and integrating physical education into school curricula from an early age. By adopting a comprehensive approach that combines individual empowerment, community engagement, and supportive policies, India can work towards creating a culture of active living that benefits all its citizens.</w:t>
      </w:r>
      <w:r w:rsidR="00E424B6" w:rsidRPr="0086769E">
        <w:rPr>
          <w:rFonts w:ascii="Arial" w:hAnsi="Arial" w:cs="Arial"/>
          <w:sz w:val="24"/>
          <w:szCs w:val="24"/>
        </w:rPr>
        <w:t xml:space="preserve"> Moreover, empirical studies create a positive environment for traditional sports by providing evidence-based insights that highlight their physical, psychological, social, and cultural benefits. Such research validates the importance of traditional games, encouraging their inclusion in mainstream sports policies and programs, and fostering broader acceptance, preservation, and revitalization within contemporary society.</w:t>
      </w:r>
    </w:p>
    <w:p w14:paraId="5F3E1A01" w14:textId="6C7878A5" w:rsidR="00D6156E" w:rsidRPr="0086769E" w:rsidRDefault="00D6156E" w:rsidP="00782219">
      <w:pPr>
        <w:pStyle w:val="Title"/>
        <w:spacing w:before="240" w:after="240"/>
        <w:ind w:left="0"/>
        <w:jc w:val="both"/>
        <w:rPr>
          <w:rFonts w:ascii="Arial" w:hAnsi="Arial" w:cs="Arial"/>
          <w:sz w:val="24"/>
          <w:szCs w:val="24"/>
        </w:rPr>
      </w:pPr>
    </w:p>
    <w:p w14:paraId="312A2E4D" w14:textId="77777777" w:rsidR="00D6156E" w:rsidRPr="003D44D0" w:rsidRDefault="00D6156E" w:rsidP="00D6156E">
      <w:pPr>
        <w:rPr>
          <w:rFonts w:cs="Times New Roman"/>
          <w:b/>
          <w:kern w:val="2"/>
          <w:highlight w:val="yellow"/>
        </w:rPr>
      </w:pPr>
      <w:bookmarkStart w:id="2" w:name="_Hlk197682619"/>
      <w:bookmarkStart w:id="3" w:name="_Hlk180402183"/>
      <w:bookmarkStart w:id="4" w:name="_Hlk183680988"/>
      <w:bookmarkStart w:id="5" w:name="_Hlk197351200"/>
      <w:r w:rsidRPr="003D44D0">
        <w:rPr>
          <w:rFonts w:cs="Times New Roman"/>
          <w:b/>
          <w:kern w:val="2"/>
          <w:highlight w:val="yellow"/>
        </w:rPr>
        <w:t>Disclaimer (Artificial intelligence)</w:t>
      </w:r>
    </w:p>
    <w:p w14:paraId="3A3F080E" w14:textId="77777777" w:rsidR="00D6156E" w:rsidRPr="0086769E" w:rsidRDefault="00D6156E" w:rsidP="00D6156E">
      <w:pPr>
        <w:rPr>
          <w:rFonts w:cs="Times New Roman"/>
          <w:kern w:val="2"/>
          <w:highlight w:val="yellow"/>
        </w:rPr>
      </w:pPr>
      <w:r w:rsidRPr="0086769E">
        <w:rPr>
          <w:rFonts w:cs="Times New Roman"/>
          <w:kern w:val="2"/>
          <w:highlight w:val="yellow"/>
        </w:rPr>
        <w:t xml:space="preserve">Option 1: </w:t>
      </w:r>
    </w:p>
    <w:p w14:paraId="1F24D0E3" w14:textId="77777777" w:rsidR="00D6156E" w:rsidRPr="0086769E" w:rsidRDefault="00D6156E" w:rsidP="00D6156E">
      <w:pPr>
        <w:rPr>
          <w:rFonts w:cs="Times New Roman"/>
          <w:kern w:val="2"/>
          <w:highlight w:val="yellow"/>
        </w:rPr>
      </w:pPr>
      <w:r w:rsidRPr="0086769E">
        <w:rPr>
          <w:rFonts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626E5919" w14:textId="77777777" w:rsidR="00D6156E" w:rsidRPr="0086769E" w:rsidRDefault="00D6156E" w:rsidP="00D6156E">
      <w:pPr>
        <w:rPr>
          <w:rFonts w:cs="Times New Roman"/>
          <w:kern w:val="2"/>
          <w:highlight w:val="yellow"/>
        </w:rPr>
      </w:pPr>
      <w:r w:rsidRPr="0086769E">
        <w:rPr>
          <w:rFonts w:cs="Times New Roman"/>
          <w:kern w:val="2"/>
          <w:highlight w:val="yellow"/>
        </w:rPr>
        <w:t xml:space="preserve">Option 2: </w:t>
      </w:r>
    </w:p>
    <w:p w14:paraId="3E5CFC9C" w14:textId="77777777" w:rsidR="00D6156E" w:rsidRPr="0086769E" w:rsidRDefault="00D6156E" w:rsidP="00D6156E">
      <w:pPr>
        <w:rPr>
          <w:rFonts w:cs="Times New Roman"/>
          <w:kern w:val="2"/>
          <w:highlight w:val="yellow"/>
        </w:rPr>
      </w:pPr>
      <w:r w:rsidRPr="0086769E">
        <w:rPr>
          <w:rFonts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053AF10" w14:textId="77777777" w:rsidR="00D6156E" w:rsidRPr="0086769E" w:rsidRDefault="00D6156E" w:rsidP="00D6156E">
      <w:pPr>
        <w:rPr>
          <w:rFonts w:cs="Times New Roman"/>
          <w:kern w:val="2"/>
          <w:highlight w:val="yellow"/>
        </w:rPr>
      </w:pPr>
      <w:r w:rsidRPr="0086769E">
        <w:rPr>
          <w:rFonts w:cs="Times New Roman"/>
          <w:kern w:val="2"/>
          <w:highlight w:val="yellow"/>
        </w:rPr>
        <w:t>Details of the AI usage are given below:</w:t>
      </w:r>
    </w:p>
    <w:p w14:paraId="756FA9BD" w14:textId="77777777" w:rsidR="00D6156E" w:rsidRPr="0086769E" w:rsidRDefault="00D6156E" w:rsidP="00D6156E">
      <w:pPr>
        <w:rPr>
          <w:rFonts w:cs="Times New Roman"/>
          <w:kern w:val="2"/>
          <w:highlight w:val="yellow"/>
        </w:rPr>
      </w:pPr>
      <w:r w:rsidRPr="0086769E">
        <w:rPr>
          <w:rFonts w:cs="Times New Roman"/>
          <w:kern w:val="2"/>
          <w:highlight w:val="yellow"/>
        </w:rPr>
        <w:t>1.</w:t>
      </w:r>
    </w:p>
    <w:p w14:paraId="57CFA8F3" w14:textId="77777777" w:rsidR="00D6156E" w:rsidRPr="0086769E" w:rsidRDefault="00D6156E" w:rsidP="00D6156E">
      <w:pPr>
        <w:rPr>
          <w:rFonts w:cs="Times New Roman"/>
          <w:kern w:val="2"/>
          <w:highlight w:val="yellow"/>
        </w:rPr>
      </w:pPr>
      <w:r w:rsidRPr="0086769E">
        <w:rPr>
          <w:rFonts w:cs="Times New Roman"/>
          <w:kern w:val="2"/>
          <w:highlight w:val="yellow"/>
        </w:rPr>
        <w:t>2.</w:t>
      </w:r>
    </w:p>
    <w:p w14:paraId="549164B1" w14:textId="77777777" w:rsidR="00D6156E" w:rsidRPr="0086769E" w:rsidRDefault="00D6156E" w:rsidP="00D6156E">
      <w:pPr>
        <w:rPr>
          <w:rFonts w:cs="Times New Roman"/>
          <w:kern w:val="2"/>
        </w:rPr>
      </w:pPr>
      <w:bookmarkStart w:id="6" w:name="_Hlk197682629"/>
      <w:bookmarkEnd w:id="2"/>
      <w:r w:rsidRPr="0086769E">
        <w:rPr>
          <w:rFonts w:cs="Times New Roman"/>
          <w:kern w:val="2"/>
          <w:highlight w:val="yellow"/>
        </w:rPr>
        <w:t>3.</w:t>
      </w:r>
    </w:p>
    <w:p w14:paraId="68D0C226" w14:textId="77777777" w:rsidR="00D6156E" w:rsidRPr="0086769E" w:rsidRDefault="00D6156E" w:rsidP="00D6156E">
      <w:pPr>
        <w:ind w:firstLine="720"/>
      </w:pPr>
      <w:bookmarkStart w:id="7" w:name="_Hlk187485061"/>
      <w:bookmarkEnd w:id="3"/>
      <w:bookmarkEnd w:id="4"/>
      <w:bookmarkEnd w:id="6"/>
    </w:p>
    <w:bookmarkEnd w:id="5"/>
    <w:bookmarkEnd w:id="7"/>
    <w:p w14:paraId="64B93B70" w14:textId="77777777" w:rsidR="00D6156E" w:rsidRPr="0086769E" w:rsidRDefault="00D6156E" w:rsidP="00782219">
      <w:pPr>
        <w:pStyle w:val="Title"/>
        <w:spacing w:before="240" w:after="240"/>
        <w:ind w:left="0"/>
        <w:jc w:val="both"/>
        <w:rPr>
          <w:rFonts w:ascii="Arial" w:hAnsi="Arial" w:cs="Arial"/>
          <w:sz w:val="24"/>
          <w:szCs w:val="24"/>
        </w:rPr>
      </w:pPr>
    </w:p>
    <w:p w14:paraId="2D528C0F" w14:textId="77777777" w:rsidR="00025B04" w:rsidRPr="0086769E" w:rsidRDefault="00025B04" w:rsidP="00782219">
      <w:pPr>
        <w:pStyle w:val="Title"/>
        <w:spacing w:before="240" w:after="240"/>
        <w:ind w:left="0"/>
        <w:jc w:val="both"/>
        <w:rPr>
          <w:rFonts w:ascii="Arial" w:hAnsi="Arial" w:cs="Arial"/>
          <w:sz w:val="24"/>
          <w:szCs w:val="24"/>
        </w:rPr>
      </w:pPr>
    </w:p>
    <w:p w14:paraId="23A7A0E8" w14:textId="77777777" w:rsidR="00025B04" w:rsidRPr="0086769E" w:rsidRDefault="00025B04" w:rsidP="00782219">
      <w:pPr>
        <w:pStyle w:val="Title"/>
        <w:spacing w:before="240" w:after="240"/>
        <w:ind w:left="0"/>
        <w:jc w:val="both"/>
        <w:rPr>
          <w:rFonts w:ascii="Arial" w:hAnsi="Arial" w:cs="Arial"/>
          <w:sz w:val="24"/>
          <w:szCs w:val="24"/>
        </w:rPr>
      </w:pPr>
    </w:p>
    <w:p w14:paraId="2C5ABF43" w14:textId="77777777" w:rsidR="00025B04" w:rsidRPr="0086769E" w:rsidRDefault="00025B04" w:rsidP="00782219">
      <w:pPr>
        <w:pStyle w:val="Title"/>
        <w:spacing w:before="240" w:after="240"/>
        <w:ind w:left="0"/>
        <w:jc w:val="both"/>
        <w:rPr>
          <w:rFonts w:ascii="Arial" w:hAnsi="Arial" w:cs="Arial"/>
          <w:sz w:val="24"/>
          <w:szCs w:val="24"/>
        </w:rPr>
      </w:pPr>
    </w:p>
    <w:p w14:paraId="2B0C868F" w14:textId="77777777" w:rsidR="00025B04" w:rsidRPr="0086769E" w:rsidRDefault="00025B04" w:rsidP="00782219">
      <w:pPr>
        <w:pStyle w:val="Title"/>
        <w:spacing w:before="240" w:after="240"/>
        <w:ind w:left="0"/>
        <w:jc w:val="both"/>
        <w:rPr>
          <w:rFonts w:ascii="Arial" w:hAnsi="Arial" w:cs="Arial"/>
          <w:sz w:val="24"/>
          <w:szCs w:val="24"/>
        </w:rPr>
      </w:pPr>
    </w:p>
    <w:p w14:paraId="0ED00764" w14:textId="77777777" w:rsidR="00025B04" w:rsidRPr="0086769E" w:rsidRDefault="00025B04" w:rsidP="00782219">
      <w:pPr>
        <w:pStyle w:val="Title"/>
        <w:spacing w:before="240" w:after="240"/>
        <w:ind w:left="0"/>
        <w:jc w:val="both"/>
        <w:rPr>
          <w:rFonts w:ascii="Arial" w:hAnsi="Arial" w:cs="Arial"/>
          <w:sz w:val="24"/>
          <w:szCs w:val="24"/>
        </w:rPr>
      </w:pPr>
    </w:p>
    <w:p w14:paraId="01752E56" w14:textId="77777777" w:rsidR="00025B04" w:rsidRPr="0086769E" w:rsidRDefault="00025B04" w:rsidP="00782219">
      <w:pPr>
        <w:pStyle w:val="Title"/>
        <w:spacing w:before="240" w:after="240"/>
        <w:ind w:left="0"/>
        <w:jc w:val="both"/>
        <w:rPr>
          <w:rFonts w:ascii="Arial" w:hAnsi="Arial" w:cs="Arial"/>
          <w:sz w:val="24"/>
          <w:szCs w:val="24"/>
        </w:rPr>
      </w:pPr>
    </w:p>
    <w:p w14:paraId="3B023142" w14:textId="77777777" w:rsidR="00025B04" w:rsidRPr="0086769E" w:rsidRDefault="00025B04" w:rsidP="00782219">
      <w:pPr>
        <w:pStyle w:val="Title"/>
        <w:spacing w:before="240" w:after="240"/>
        <w:ind w:left="0"/>
        <w:jc w:val="both"/>
        <w:rPr>
          <w:rFonts w:ascii="Arial" w:hAnsi="Arial" w:cs="Arial"/>
          <w:sz w:val="24"/>
          <w:szCs w:val="24"/>
        </w:rPr>
      </w:pPr>
    </w:p>
    <w:p w14:paraId="1B8664D8" w14:textId="699C32AE" w:rsidR="00287F36" w:rsidRPr="0086769E" w:rsidRDefault="00FB6EE5" w:rsidP="00035371">
      <w:pPr>
        <w:pStyle w:val="Title"/>
        <w:spacing w:before="240" w:after="240"/>
        <w:ind w:left="0"/>
        <w:jc w:val="both"/>
        <w:rPr>
          <w:rFonts w:ascii="Arial" w:hAnsi="Arial" w:cs="Arial"/>
          <w:b/>
          <w:bCs/>
          <w:sz w:val="24"/>
          <w:szCs w:val="24"/>
        </w:rPr>
      </w:pPr>
      <w:r w:rsidRPr="0086769E">
        <w:rPr>
          <w:rFonts w:ascii="Arial" w:hAnsi="Arial" w:cs="Arial"/>
          <w:b/>
          <w:bCs/>
          <w:sz w:val="24"/>
          <w:szCs w:val="24"/>
        </w:rPr>
        <w:t xml:space="preserve">References </w:t>
      </w:r>
    </w:p>
    <w:p w14:paraId="7A50544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Akbar, L., Zuk, A. M., &amp; Tsuji, L. J. S. (2020). </w:t>
      </w:r>
      <w:r w:rsidRPr="004A53DA">
        <w:rPr>
          <w:rFonts w:ascii="Arial" w:hAnsi="Arial" w:cs="Arial"/>
          <w:i/>
          <w:iCs/>
          <w:sz w:val="24"/>
          <w:szCs w:val="24"/>
        </w:rPr>
        <w:t xml:space="preserve">Health and wellness </w:t>
      </w:r>
      <w:proofErr w:type="gramStart"/>
      <w:r w:rsidRPr="004A53DA">
        <w:rPr>
          <w:rFonts w:ascii="Arial" w:hAnsi="Arial" w:cs="Arial"/>
          <w:i/>
          <w:iCs/>
          <w:sz w:val="24"/>
          <w:szCs w:val="24"/>
        </w:rPr>
        <w:t>impacts</w:t>
      </w:r>
      <w:proofErr w:type="gramEnd"/>
      <w:r w:rsidRPr="004A53DA">
        <w:rPr>
          <w:rFonts w:ascii="Arial" w:hAnsi="Arial" w:cs="Arial"/>
          <w:i/>
          <w:iCs/>
          <w:sz w:val="24"/>
          <w:szCs w:val="24"/>
        </w:rPr>
        <w:t xml:space="preserve"> of traditional physical activity experiences on Indigenous youth: A systematic review.</w:t>
      </w:r>
      <w:r w:rsidRPr="004A53DA">
        <w:rPr>
          <w:rFonts w:ascii="Arial" w:hAnsi="Arial" w:cs="Arial"/>
          <w:sz w:val="24"/>
          <w:szCs w:val="24"/>
        </w:rPr>
        <w:t xml:space="preserve"> </w:t>
      </w:r>
      <w:r w:rsidRPr="004A53DA">
        <w:rPr>
          <w:rFonts w:ascii="Arial" w:hAnsi="Arial" w:cs="Arial"/>
          <w:i/>
          <w:iCs/>
          <w:sz w:val="24"/>
          <w:szCs w:val="24"/>
        </w:rPr>
        <w:t>International Journal of Environmental Research and Public Health, 17</w:t>
      </w:r>
      <w:r w:rsidRPr="004A53DA">
        <w:rPr>
          <w:rFonts w:ascii="Arial" w:hAnsi="Arial" w:cs="Arial"/>
          <w:sz w:val="24"/>
          <w:szCs w:val="24"/>
        </w:rPr>
        <w:t xml:space="preserve">(21), 8275. </w:t>
      </w:r>
      <w:hyperlink r:id="rId8" w:tgtFrame="_new" w:history="1">
        <w:r w:rsidRPr="004A53DA">
          <w:rPr>
            <w:rStyle w:val="Hyperlink"/>
            <w:rFonts w:ascii="Arial" w:hAnsi="Arial" w:cs="Arial"/>
            <w:color w:val="auto"/>
            <w:sz w:val="24"/>
            <w:szCs w:val="24"/>
          </w:rPr>
          <w:t>https://doi.org/10.3390/ijerph17218275</w:t>
        </w:r>
      </w:hyperlink>
    </w:p>
    <w:p w14:paraId="76BD16CE"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proofErr w:type="spellStart"/>
      <w:r w:rsidRPr="004A53DA">
        <w:rPr>
          <w:rFonts w:ascii="Arial" w:hAnsi="Arial" w:cs="Arial"/>
          <w:sz w:val="24"/>
          <w:szCs w:val="24"/>
        </w:rPr>
        <w:lastRenderedPageBreak/>
        <w:t>Akoijam</w:t>
      </w:r>
      <w:proofErr w:type="spellEnd"/>
      <w:r w:rsidRPr="004A53DA">
        <w:rPr>
          <w:rFonts w:ascii="Arial" w:hAnsi="Arial" w:cs="Arial"/>
          <w:sz w:val="24"/>
          <w:szCs w:val="24"/>
        </w:rPr>
        <w:t xml:space="preserve">, R. D., &amp; Chakraborty, S. (2025). </w:t>
      </w:r>
      <w:r w:rsidRPr="004A53DA">
        <w:rPr>
          <w:rFonts w:ascii="Arial" w:hAnsi="Arial" w:cs="Arial"/>
          <w:i/>
          <w:iCs/>
          <w:sz w:val="24"/>
          <w:szCs w:val="24"/>
        </w:rPr>
        <w:t>Heritage to harmony: The social impact and health benefits of traditional sports.</w:t>
      </w:r>
      <w:r w:rsidRPr="004A53DA">
        <w:rPr>
          <w:rFonts w:ascii="Arial" w:hAnsi="Arial" w:cs="Arial"/>
          <w:sz w:val="24"/>
          <w:szCs w:val="24"/>
        </w:rPr>
        <w:t xml:space="preserve"> </w:t>
      </w:r>
      <w:r w:rsidRPr="004A53DA">
        <w:rPr>
          <w:rFonts w:ascii="Arial" w:hAnsi="Arial" w:cs="Arial"/>
          <w:i/>
          <w:iCs/>
          <w:sz w:val="24"/>
          <w:szCs w:val="24"/>
        </w:rPr>
        <w:t>International Journal of Applied Research, 11</w:t>
      </w:r>
      <w:r w:rsidRPr="004A53DA">
        <w:rPr>
          <w:rFonts w:ascii="Arial" w:hAnsi="Arial" w:cs="Arial"/>
          <w:sz w:val="24"/>
          <w:szCs w:val="24"/>
        </w:rPr>
        <w:t xml:space="preserve">(1), 212–216. </w:t>
      </w:r>
    </w:p>
    <w:p w14:paraId="4F20CAE8"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Anand, T., Tanwar, S., Kumar, R., Meena, G. S., &amp; Ingle, G. K. (2011). Knowledge, attitude, and level of physical activity among medical undergraduate students in Delhi. </w:t>
      </w:r>
      <w:r w:rsidRPr="004A53DA">
        <w:rPr>
          <w:rFonts w:ascii="Arial" w:hAnsi="Arial" w:cs="Arial"/>
          <w:i/>
          <w:iCs/>
          <w:sz w:val="24"/>
          <w:szCs w:val="24"/>
        </w:rPr>
        <w:t>Indian Journal of Medical Sciences, 65</w:t>
      </w:r>
      <w:r w:rsidRPr="004A53DA">
        <w:rPr>
          <w:rFonts w:ascii="Arial" w:hAnsi="Arial" w:cs="Arial"/>
          <w:sz w:val="24"/>
          <w:szCs w:val="24"/>
        </w:rPr>
        <w:t xml:space="preserve">(4), 133–142. </w:t>
      </w:r>
      <w:hyperlink r:id="rId9" w:tgtFrame="_new" w:history="1">
        <w:r w:rsidRPr="004A53DA">
          <w:rPr>
            <w:rStyle w:val="Hyperlink"/>
            <w:rFonts w:ascii="Arial" w:hAnsi="Arial" w:cs="Arial"/>
            <w:color w:val="auto"/>
            <w:sz w:val="24"/>
            <w:szCs w:val="24"/>
          </w:rPr>
          <w:t>https://pubmed.ncbi.nlm.nih.gov/23250343/</w:t>
        </w:r>
      </w:hyperlink>
    </w:p>
    <w:p w14:paraId="3814F9AD"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Bailey, R., Hillman, C., </w:t>
      </w:r>
      <w:proofErr w:type="spellStart"/>
      <w:r w:rsidRPr="004A53DA">
        <w:rPr>
          <w:rFonts w:ascii="Arial" w:hAnsi="Arial" w:cs="Arial"/>
          <w:sz w:val="24"/>
          <w:szCs w:val="24"/>
        </w:rPr>
        <w:t>Arent</w:t>
      </w:r>
      <w:proofErr w:type="spellEnd"/>
      <w:r w:rsidRPr="004A53DA">
        <w:rPr>
          <w:rFonts w:ascii="Arial" w:hAnsi="Arial" w:cs="Arial"/>
          <w:sz w:val="24"/>
          <w:szCs w:val="24"/>
        </w:rPr>
        <w:t xml:space="preserve">, S., &amp; Petitpas, A. (2018). Physical activity: An underestimated investment in human capital? </w:t>
      </w:r>
      <w:r w:rsidRPr="004A53DA">
        <w:rPr>
          <w:rFonts w:ascii="Arial" w:hAnsi="Arial" w:cs="Arial"/>
          <w:i/>
          <w:iCs/>
          <w:sz w:val="24"/>
          <w:szCs w:val="24"/>
        </w:rPr>
        <w:t>Journal of Physical Activity and Health, 15</w:t>
      </w:r>
      <w:r w:rsidRPr="004A53DA">
        <w:rPr>
          <w:rFonts w:ascii="Arial" w:hAnsi="Arial" w:cs="Arial"/>
          <w:sz w:val="24"/>
          <w:szCs w:val="24"/>
        </w:rPr>
        <w:t xml:space="preserve">(3), 169–170. </w:t>
      </w:r>
      <w:hyperlink r:id="rId10" w:tgtFrame="_new" w:history="1">
        <w:r w:rsidRPr="004A53DA">
          <w:rPr>
            <w:rStyle w:val="Hyperlink"/>
            <w:rFonts w:ascii="Arial" w:hAnsi="Arial" w:cs="Arial"/>
            <w:color w:val="auto"/>
            <w:sz w:val="24"/>
            <w:szCs w:val="24"/>
          </w:rPr>
          <w:t>https://doi.org/10.1123/jpah.2018-0034</w:t>
        </w:r>
      </w:hyperlink>
    </w:p>
    <w:p w14:paraId="17BB420F"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Bano, S., &amp; Tripathi, R. C. (2013). </w:t>
      </w:r>
      <w:r w:rsidRPr="004A53DA">
        <w:rPr>
          <w:rFonts w:ascii="Arial" w:hAnsi="Arial" w:cs="Arial"/>
          <w:i/>
          <w:iCs/>
          <w:sz w:val="24"/>
          <w:szCs w:val="24"/>
        </w:rPr>
        <w:t>Recreational sport activities: Psychological well-being of children in government and private schools.</w:t>
      </w:r>
      <w:r w:rsidRPr="004A53DA">
        <w:rPr>
          <w:rFonts w:ascii="Arial" w:hAnsi="Arial" w:cs="Arial"/>
          <w:sz w:val="24"/>
          <w:szCs w:val="24"/>
        </w:rPr>
        <w:t xml:space="preserve"> </w:t>
      </w:r>
      <w:hyperlink r:id="rId11" w:tgtFrame="_new" w:history="1">
        <w:r w:rsidRPr="004A53DA">
          <w:rPr>
            <w:rStyle w:val="Hyperlink"/>
            <w:rFonts w:ascii="Arial" w:hAnsi="Arial" w:cs="Arial"/>
            <w:color w:val="auto"/>
            <w:sz w:val="24"/>
            <w:szCs w:val="24"/>
          </w:rPr>
          <w:t>https://www.oiirj.org/ejournal/july-aug-sept2013/14.pdf</w:t>
        </w:r>
      </w:hyperlink>
    </w:p>
    <w:p w14:paraId="05E1F59F"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Bonato, G., Dinan-Thompson, M., &amp; Salter, P. (2023). </w:t>
      </w:r>
      <w:r w:rsidRPr="004A53DA">
        <w:rPr>
          <w:rFonts w:ascii="Arial" w:hAnsi="Arial" w:cs="Arial"/>
          <w:i/>
          <w:iCs/>
          <w:sz w:val="24"/>
          <w:szCs w:val="24"/>
        </w:rPr>
        <w:t>Investigating Indigenous games as Indigenous knowledges and perspectives in PETE: A systematic literature review.</w:t>
      </w:r>
      <w:r w:rsidRPr="004A53DA">
        <w:rPr>
          <w:rFonts w:ascii="Arial" w:hAnsi="Arial" w:cs="Arial"/>
          <w:sz w:val="24"/>
          <w:szCs w:val="24"/>
        </w:rPr>
        <w:t xml:space="preserve"> </w:t>
      </w:r>
      <w:r w:rsidRPr="004A53DA">
        <w:rPr>
          <w:rFonts w:ascii="Arial" w:hAnsi="Arial" w:cs="Arial"/>
          <w:i/>
          <w:iCs/>
          <w:sz w:val="24"/>
          <w:szCs w:val="24"/>
        </w:rPr>
        <w:t>Curriculum Studies in Health and Physical Education, 15</w:t>
      </w:r>
      <w:r w:rsidRPr="004A53DA">
        <w:rPr>
          <w:rFonts w:ascii="Arial" w:hAnsi="Arial" w:cs="Arial"/>
          <w:sz w:val="24"/>
          <w:szCs w:val="24"/>
        </w:rPr>
        <w:t xml:space="preserve">(2), 182–201. </w:t>
      </w:r>
      <w:hyperlink r:id="rId12" w:tgtFrame="_new" w:history="1">
        <w:r w:rsidRPr="004A53DA">
          <w:rPr>
            <w:rStyle w:val="Hyperlink"/>
            <w:rFonts w:ascii="Arial" w:hAnsi="Arial" w:cs="Arial"/>
            <w:color w:val="auto"/>
            <w:sz w:val="24"/>
            <w:szCs w:val="24"/>
          </w:rPr>
          <w:t>https://doi.org/10.1080/25742981.2023.2218350</w:t>
        </w:r>
      </w:hyperlink>
    </w:p>
    <w:p w14:paraId="489882C4"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Campbell, J. P., &amp; Turner, J. E. (2018). Debunking the myth of exercise-induced immune suppression: Redefining the impact of exercise on immunological health across the lifespan. </w:t>
      </w:r>
      <w:r w:rsidRPr="004A53DA">
        <w:rPr>
          <w:rFonts w:ascii="Arial" w:hAnsi="Arial" w:cs="Arial"/>
          <w:i/>
          <w:iCs/>
          <w:sz w:val="24"/>
          <w:szCs w:val="24"/>
        </w:rPr>
        <w:t>Frontiers in Immunology, 9</w:t>
      </w:r>
      <w:r w:rsidRPr="004A53DA">
        <w:rPr>
          <w:rFonts w:ascii="Arial" w:hAnsi="Arial" w:cs="Arial"/>
          <w:sz w:val="24"/>
          <w:szCs w:val="24"/>
        </w:rPr>
        <w:t xml:space="preserve">, 648. </w:t>
      </w:r>
      <w:hyperlink r:id="rId13" w:tgtFrame="_new" w:history="1">
        <w:r w:rsidRPr="004A53DA">
          <w:rPr>
            <w:rStyle w:val="Hyperlink"/>
            <w:rFonts w:ascii="Arial" w:hAnsi="Arial" w:cs="Arial"/>
            <w:color w:val="auto"/>
            <w:sz w:val="24"/>
            <w:szCs w:val="24"/>
          </w:rPr>
          <w:t>https://doi.org/10.3389/fimmu.2018.00648</w:t>
        </w:r>
      </w:hyperlink>
    </w:p>
    <w:p w14:paraId="1DDD8746"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Craft, L. L., &amp; Perna, F. M. (2004). The benefits of exercise for the clinically depressed. </w:t>
      </w:r>
      <w:r w:rsidRPr="004A53DA">
        <w:rPr>
          <w:rFonts w:ascii="Arial" w:hAnsi="Arial" w:cs="Arial"/>
          <w:i/>
          <w:iCs/>
          <w:sz w:val="24"/>
          <w:szCs w:val="24"/>
        </w:rPr>
        <w:t>Primary care companion to the Journal of clinical psychiatry</w:t>
      </w:r>
      <w:r w:rsidRPr="004A53DA">
        <w:rPr>
          <w:rFonts w:ascii="Arial" w:hAnsi="Arial" w:cs="Arial"/>
          <w:sz w:val="24"/>
          <w:szCs w:val="24"/>
        </w:rPr>
        <w:t>, </w:t>
      </w:r>
      <w:r w:rsidRPr="004A53DA">
        <w:rPr>
          <w:rFonts w:ascii="Arial" w:hAnsi="Arial" w:cs="Arial"/>
          <w:i/>
          <w:iCs/>
          <w:sz w:val="24"/>
          <w:szCs w:val="24"/>
        </w:rPr>
        <w:t>6</w:t>
      </w:r>
      <w:r w:rsidRPr="004A53DA">
        <w:rPr>
          <w:rFonts w:ascii="Arial" w:hAnsi="Arial" w:cs="Arial"/>
          <w:sz w:val="24"/>
          <w:szCs w:val="24"/>
        </w:rPr>
        <w:t xml:space="preserve">(3), 104. </w:t>
      </w:r>
    </w:p>
    <w:p w14:paraId="569B5BC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Cramer, H., </w:t>
      </w:r>
      <w:proofErr w:type="spellStart"/>
      <w:r w:rsidRPr="004A53DA">
        <w:rPr>
          <w:rFonts w:ascii="Arial" w:hAnsi="Arial" w:cs="Arial"/>
          <w:sz w:val="24"/>
          <w:szCs w:val="24"/>
        </w:rPr>
        <w:t>Lauche</w:t>
      </w:r>
      <w:proofErr w:type="spellEnd"/>
      <w:r w:rsidRPr="004A53DA">
        <w:rPr>
          <w:rFonts w:ascii="Arial" w:hAnsi="Arial" w:cs="Arial"/>
          <w:sz w:val="24"/>
          <w:szCs w:val="24"/>
        </w:rPr>
        <w:t>, R., Langhorst, J., &amp; Dobos, G. (2013). Yoga for depression: a systematic review and meta-analysis. </w:t>
      </w:r>
      <w:r w:rsidRPr="004A53DA">
        <w:rPr>
          <w:rFonts w:ascii="Arial" w:hAnsi="Arial" w:cs="Arial"/>
          <w:i/>
          <w:iCs/>
          <w:sz w:val="24"/>
          <w:szCs w:val="24"/>
        </w:rPr>
        <w:t>Depression and anxiety</w:t>
      </w:r>
      <w:r w:rsidRPr="004A53DA">
        <w:rPr>
          <w:rFonts w:ascii="Arial" w:hAnsi="Arial" w:cs="Arial"/>
          <w:sz w:val="24"/>
          <w:szCs w:val="24"/>
        </w:rPr>
        <w:t>, </w:t>
      </w:r>
      <w:r w:rsidRPr="004A53DA">
        <w:rPr>
          <w:rFonts w:ascii="Arial" w:hAnsi="Arial" w:cs="Arial"/>
          <w:i/>
          <w:iCs/>
          <w:sz w:val="24"/>
          <w:szCs w:val="24"/>
        </w:rPr>
        <w:t>30</w:t>
      </w:r>
      <w:r w:rsidRPr="004A53DA">
        <w:rPr>
          <w:rFonts w:ascii="Arial" w:hAnsi="Arial" w:cs="Arial"/>
          <w:sz w:val="24"/>
          <w:szCs w:val="24"/>
        </w:rPr>
        <w:t xml:space="preserve">(11), 1068–1083. </w:t>
      </w:r>
      <w:hyperlink r:id="rId14" w:history="1">
        <w:r w:rsidRPr="004A53DA">
          <w:rPr>
            <w:rStyle w:val="Hyperlink"/>
            <w:rFonts w:ascii="Arial" w:hAnsi="Arial" w:cs="Arial"/>
            <w:color w:val="auto"/>
            <w:sz w:val="24"/>
            <w:szCs w:val="24"/>
          </w:rPr>
          <w:t>https://doi.org/10.1002/da.22166</w:t>
        </w:r>
      </w:hyperlink>
    </w:p>
    <w:p w14:paraId="211BADFE"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Crowe, R., Stanley, R., Probst, Y., &amp; McMahon, A. (2017). </w:t>
      </w:r>
      <w:r w:rsidRPr="004A53DA">
        <w:rPr>
          <w:rFonts w:ascii="Arial" w:hAnsi="Arial" w:cs="Arial"/>
          <w:i/>
          <w:iCs/>
          <w:sz w:val="24"/>
          <w:szCs w:val="24"/>
        </w:rPr>
        <w:t>Culture and healthy lifestyles: A qualitative exploration of the role of food and physical activity in three urban Australian Indigenous communities.</w:t>
      </w:r>
      <w:r w:rsidRPr="004A53DA">
        <w:rPr>
          <w:rFonts w:ascii="Arial" w:hAnsi="Arial" w:cs="Arial"/>
          <w:sz w:val="24"/>
          <w:szCs w:val="24"/>
        </w:rPr>
        <w:t xml:space="preserve"> </w:t>
      </w:r>
      <w:r w:rsidRPr="004A53DA">
        <w:rPr>
          <w:rFonts w:ascii="Arial" w:hAnsi="Arial" w:cs="Arial"/>
          <w:i/>
          <w:iCs/>
          <w:sz w:val="24"/>
          <w:szCs w:val="24"/>
        </w:rPr>
        <w:t>Australian and New Zealand Journal of Public Health, 41</w:t>
      </w:r>
      <w:r w:rsidRPr="004A53DA">
        <w:rPr>
          <w:rFonts w:ascii="Arial" w:hAnsi="Arial" w:cs="Arial"/>
          <w:sz w:val="24"/>
          <w:szCs w:val="24"/>
        </w:rPr>
        <w:t xml:space="preserve">(4), 411–416. </w:t>
      </w:r>
      <w:hyperlink r:id="rId15" w:tgtFrame="_new" w:history="1">
        <w:r w:rsidRPr="004A53DA">
          <w:rPr>
            <w:rStyle w:val="Hyperlink"/>
            <w:rFonts w:ascii="Arial" w:hAnsi="Arial" w:cs="Arial"/>
            <w:color w:val="auto"/>
            <w:sz w:val="24"/>
            <w:szCs w:val="24"/>
          </w:rPr>
          <w:t>https://doi.org/10.1111/1753-6405.12623</w:t>
        </w:r>
      </w:hyperlink>
    </w:p>
    <w:p w14:paraId="3DEEA99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Cruwys, T., Dingle, G. A., Haslam, C., Haslam, S. A., Jetten, J., &amp; Morton, T. A. (2013). Social group memberships protect against future depression, alleviate depression symptoms and prevent depression relapse. </w:t>
      </w:r>
      <w:r w:rsidRPr="004A53DA">
        <w:rPr>
          <w:rFonts w:ascii="Arial" w:hAnsi="Arial" w:cs="Arial"/>
          <w:i/>
          <w:iCs/>
          <w:sz w:val="24"/>
          <w:szCs w:val="24"/>
        </w:rPr>
        <w:t>Social science &amp; medicine</w:t>
      </w:r>
      <w:r w:rsidRPr="004A53DA">
        <w:rPr>
          <w:rFonts w:ascii="Arial" w:hAnsi="Arial" w:cs="Arial"/>
          <w:sz w:val="24"/>
          <w:szCs w:val="24"/>
        </w:rPr>
        <w:t>, </w:t>
      </w:r>
      <w:r w:rsidRPr="004A53DA">
        <w:rPr>
          <w:rFonts w:ascii="Arial" w:hAnsi="Arial" w:cs="Arial"/>
          <w:i/>
          <w:iCs/>
          <w:sz w:val="24"/>
          <w:szCs w:val="24"/>
        </w:rPr>
        <w:t>98</w:t>
      </w:r>
      <w:r w:rsidRPr="004A53DA">
        <w:rPr>
          <w:rFonts w:ascii="Arial" w:hAnsi="Arial" w:cs="Arial"/>
          <w:sz w:val="24"/>
          <w:szCs w:val="24"/>
        </w:rPr>
        <w:t xml:space="preserve">, 179-186. </w:t>
      </w:r>
    </w:p>
    <w:p w14:paraId="07EBCD5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Ding, D., &amp; Gebel, K. (2012). Built environment, physical activity, and obesity: What have we learned from reviewing the literature? </w:t>
      </w:r>
      <w:r w:rsidRPr="004A53DA">
        <w:rPr>
          <w:rFonts w:ascii="Arial" w:hAnsi="Arial" w:cs="Arial"/>
          <w:i/>
          <w:iCs/>
          <w:sz w:val="24"/>
          <w:szCs w:val="24"/>
        </w:rPr>
        <w:t>Health &amp; Place, 18</w:t>
      </w:r>
      <w:r w:rsidRPr="004A53DA">
        <w:rPr>
          <w:rFonts w:ascii="Arial" w:hAnsi="Arial" w:cs="Arial"/>
          <w:sz w:val="24"/>
          <w:szCs w:val="24"/>
        </w:rPr>
        <w:t xml:space="preserve">(1), 100–105. </w:t>
      </w:r>
      <w:hyperlink r:id="rId16" w:tgtFrame="_new" w:history="1">
        <w:r w:rsidRPr="004A53DA">
          <w:rPr>
            <w:rStyle w:val="Hyperlink"/>
            <w:rFonts w:ascii="Arial" w:hAnsi="Arial" w:cs="Arial"/>
            <w:color w:val="auto"/>
            <w:sz w:val="24"/>
            <w:szCs w:val="24"/>
          </w:rPr>
          <w:t>https://doi.org/10.1016/j.healthplace.2011.08.021</w:t>
        </w:r>
      </w:hyperlink>
    </w:p>
    <w:p w14:paraId="7C301AED"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Dobbins, M., Husson, H., </w:t>
      </w:r>
      <w:proofErr w:type="spellStart"/>
      <w:r w:rsidRPr="004A53DA">
        <w:rPr>
          <w:rFonts w:ascii="Arial" w:hAnsi="Arial" w:cs="Arial"/>
          <w:sz w:val="24"/>
          <w:szCs w:val="24"/>
        </w:rPr>
        <w:t>DeCorby</w:t>
      </w:r>
      <w:proofErr w:type="spellEnd"/>
      <w:r w:rsidRPr="004A53DA">
        <w:rPr>
          <w:rFonts w:ascii="Arial" w:hAnsi="Arial" w:cs="Arial"/>
          <w:sz w:val="24"/>
          <w:szCs w:val="24"/>
        </w:rPr>
        <w:t xml:space="preserve">, K., &amp; LaRocca, R. L. (2019). School-based physical activity programs for promoting physical activity and fitness in children and adolescents aged 6 to 18. </w:t>
      </w:r>
      <w:r w:rsidRPr="004A53DA">
        <w:rPr>
          <w:rFonts w:ascii="Arial" w:hAnsi="Arial" w:cs="Arial"/>
          <w:i/>
          <w:iCs/>
          <w:sz w:val="24"/>
          <w:szCs w:val="24"/>
        </w:rPr>
        <w:t>Cochrane Database of Systematic Reviews, 2,</w:t>
      </w:r>
      <w:r w:rsidRPr="004A53DA">
        <w:rPr>
          <w:rFonts w:ascii="Arial" w:hAnsi="Arial" w:cs="Arial"/>
          <w:sz w:val="24"/>
          <w:szCs w:val="24"/>
        </w:rPr>
        <w:t xml:space="preserve"> CD007651. </w:t>
      </w:r>
      <w:hyperlink r:id="rId17" w:tgtFrame="_new" w:history="1">
        <w:r w:rsidRPr="004A53DA">
          <w:rPr>
            <w:rStyle w:val="Hyperlink"/>
            <w:rFonts w:ascii="Arial" w:hAnsi="Arial" w:cs="Arial"/>
            <w:color w:val="auto"/>
            <w:sz w:val="24"/>
            <w:szCs w:val="24"/>
          </w:rPr>
          <w:t>https://doi.org/10.1002/14651858.CD007651.pub2</w:t>
        </w:r>
      </w:hyperlink>
    </w:p>
    <w:p w14:paraId="5C85DE06"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proofErr w:type="spellStart"/>
      <w:r w:rsidRPr="004A53DA">
        <w:rPr>
          <w:rFonts w:ascii="Arial" w:hAnsi="Arial" w:cs="Arial"/>
          <w:sz w:val="24"/>
          <w:szCs w:val="24"/>
        </w:rPr>
        <w:lastRenderedPageBreak/>
        <w:t>Dreze</w:t>
      </w:r>
      <w:proofErr w:type="spellEnd"/>
      <w:r w:rsidRPr="004A53DA">
        <w:rPr>
          <w:rFonts w:ascii="Arial" w:hAnsi="Arial" w:cs="Arial"/>
          <w:sz w:val="24"/>
          <w:szCs w:val="24"/>
        </w:rPr>
        <w:t xml:space="preserve">, J., &amp; Sen, A. (1995). </w:t>
      </w:r>
      <w:r w:rsidRPr="004A53DA">
        <w:rPr>
          <w:rFonts w:ascii="Arial" w:hAnsi="Arial" w:cs="Arial"/>
          <w:i/>
          <w:iCs/>
          <w:sz w:val="24"/>
          <w:szCs w:val="24"/>
        </w:rPr>
        <w:t>India: Economic development and social opportunity.</w:t>
      </w:r>
      <w:r w:rsidRPr="004A53DA">
        <w:rPr>
          <w:rFonts w:ascii="Arial" w:hAnsi="Arial" w:cs="Arial"/>
          <w:sz w:val="24"/>
          <w:szCs w:val="24"/>
        </w:rPr>
        <w:t xml:space="preserve"> Oxford University Press.</w:t>
      </w:r>
      <w:r w:rsidRPr="004A53DA">
        <w:rPr>
          <w:rFonts w:ascii="Arial" w:hAnsi="Arial" w:cs="Arial"/>
          <w:spacing w:val="-5"/>
          <w:sz w:val="24"/>
          <w:szCs w:val="24"/>
        </w:rPr>
        <w:t xml:space="preserve"> </w:t>
      </w:r>
      <w:hyperlink r:id="rId18" w:history="1">
        <w:r w:rsidRPr="004A53DA">
          <w:rPr>
            <w:rStyle w:val="Hyperlink"/>
            <w:rFonts w:ascii="Arial" w:hAnsi="Arial" w:cs="Arial"/>
            <w:color w:val="auto"/>
            <w:sz w:val="24"/>
            <w:szCs w:val="24"/>
          </w:rPr>
          <w:t>https://www.jstor.org/stable/29793737</w:t>
        </w:r>
      </w:hyperlink>
    </w:p>
    <w:p w14:paraId="16A363A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Edmed, S. L., Huda, M. M., Alam, M. A., Pattinson, C. L., Rossa, K. R., </w:t>
      </w:r>
      <w:proofErr w:type="spellStart"/>
      <w:r w:rsidRPr="004A53DA">
        <w:rPr>
          <w:rFonts w:ascii="Arial" w:hAnsi="Arial" w:cs="Arial"/>
          <w:sz w:val="24"/>
          <w:szCs w:val="24"/>
        </w:rPr>
        <w:t>Soleimanloo</w:t>
      </w:r>
      <w:proofErr w:type="spellEnd"/>
      <w:r w:rsidRPr="004A53DA">
        <w:rPr>
          <w:rFonts w:ascii="Arial" w:hAnsi="Arial" w:cs="Arial"/>
          <w:sz w:val="24"/>
          <w:szCs w:val="24"/>
        </w:rPr>
        <w:t xml:space="preserve">, S. S., &amp; Smith, S. S. (2025). Housing well-being and sleep in Australia. </w:t>
      </w:r>
      <w:r w:rsidRPr="004A53DA">
        <w:rPr>
          <w:rFonts w:ascii="Arial" w:hAnsi="Arial" w:cs="Arial"/>
          <w:i/>
          <w:iCs/>
          <w:sz w:val="24"/>
          <w:szCs w:val="24"/>
        </w:rPr>
        <w:t>Sleep Health: Journal of the National Sleep Foundation, 11</w:t>
      </w:r>
      <w:r w:rsidRPr="004A53DA">
        <w:rPr>
          <w:rFonts w:ascii="Arial" w:hAnsi="Arial" w:cs="Arial"/>
          <w:sz w:val="24"/>
          <w:szCs w:val="24"/>
        </w:rPr>
        <w:t xml:space="preserve">(4), 506–514. https://doi.org/10.1016/j.sleh.2025.02.001 </w:t>
      </w:r>
    </w:p>
    <w:p w14:paraId="1531A3A1"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eastAsiaTheme="minorHAnsi" w:hAnsi="Arial" w:cs="Arial"/>
          <w:kern w:val="2"/>
          <w:sz w:val="24"/>
          <w:szCs w:val="24"/>
        </w:rPr>
      </w:pPr>
      <w:r w:rsidRPr="004A53DA">
        <w:rPr>
          <w:rFonts w:ascii="Arial" w:eastAsiaTheme="majorEastAsia" w:hAnsi="Arial" w:cs="Arial"/>
          <w:spacing w:val="-10"/>
          <w:kern w:val="28"/>
          <w:sz w:val="24"/>
          <w:szCs w:val="24"/>
        </w:rPr>
        <w:t>Erickson, K. I., Voss, M. W., Prakash, R. S., Basak, C., Szabo, A., Chaddock, L., ... &amp; Kramer, A. F. (2011). Exercise training increases size of hippocampus and improves memory. </w:t>
      </w:r>
      <w:r w:rsidRPr="004A53DA">
        <w:rPr>
          <w:rFonts w:ascii="Arial" w:eastAsiaTheme="majorEastAsia" w:hAnsi="Arial" w:cs="Arial"/>
          <w:i/>
          <w:iCs/>
          <w:spacing w:val="-10"/>
          <w:kern w:val="28"/>
          <w:sz w:val="24"/>
          <w:szCs w:val="24"/>
        </w:rPr>
        <w:t>Proceedings of the national academy of sciences</w:t>
      </w:r>
      <w:r w:rsidRPr="004A53DA">
        <w:rPr>
          <w:rFonts w:ascii="Arial" w:eastAsiaTheme="majorEastAsia" w:hAnsi="Arial" w:cs="Arial"/>
          <w:spacing w:val="-10"/>
          <w:kern w:val="28"/>
          <w:sz w:val="24"/>
          <w:szCs w:val="24"/>
        </w:rPr>
        <w:t>, </w:t>
      </w:r>
      <w:r w:rsidRPr="004A53DA">
        <w:rPr>
          <w:rFonts w:ascii="Arial" w:eastAsiaTheme="majorEastAsia" w:hAnsi="Arial" w:cs="Arial"/>
          <w:i/>
          <w:iCs/>
          <w:spacing w:val="-10"/>
          <w:kern w:val="28"/>
          <w:sz w:val="24"/>
          <w:szCs w:val="24"/>
        </w:rPr>
        <w:t>108</w:t>
      </w:r>
      <w:r w:rsidRPr="004A53DA">
        <w:rPr>
          <w:rFonts w:ascii="Arial" w:eastAsiaTheme="majorEastAsia" w:hAnsi="Arial" w:cs="Arial"/>
          <w:spacing w:val="-10"/>
          <w:kern w:val="28"/>
          <w:sz w:val="24"/>
          <w:szCs w:val="24"/>
        </w:rPr>
        <w:t xml:space="preserve">(7), 3017-3022. </w:t>
      </w:r>
    </w:p>
    <w:p w14:paraId="2C5F1B4D"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Financial Express. (2022, July 27). Five rural and indigenous/tribal games identified under special component of </w:t>
      </w:r>
      <w:proofErr w:type="spellStart"/>
      <w:r w:rsidRPr="004A53DA">
        <w:rPr>
          <w:rFonts w:ascii="Arial" w:hAnsi="Arial" w:cs="Arial"/>
          <w:sz w:val="24"/>
          <w:szCs w:val="24"/>
        </w:rPr>
        <w:t>Khelo</w:t>
      </w:r>
      <w:proofErr w:type="spellEnd"/>
      <w:r w:rsidRPr="004A53DA">
        <w:rPr>
          <w:rFonts w:ascii="Arial" w:hAnsi="Arial" w:cs="Arial"/>
          <w:sz w:val="24"/>
          <w:szCs w:val="24"/>
        </w:rPr>
        <w:t xml:space="preserve"> India Scheme; details. </w:t>
      </w:r>
      <w:r w:rsidRPr="004A53DA">
        <w:rPr>
          <w:rFonts w:ascii="Arial" w:hAnsi="Arial" w:cs="Arial"/>
          <w:i/>
          <w:iCs/>
          <w:sz w:val="24"/>
          <w:szCs w:val="24"/>
        </w:rPr>
        <w:t>The Financial Express.</w:t>
      </w:r>
      <w:r w:rsidRPr="004A53DA">
        <w:rPr>
          <w:rFonts w:ascii="Arial" w:hAnsi="Arial" w:cs="Arial"/>
          <w:sz w:val="24"/>
          <w:szCs w:val="24"/>
        </w:rPr>
        <w:t xml:space="preserve"> </w:t>
      </w:r>
      <w:hyperlink r:id="rId19" w:tgtFrame="_new" w:history="1">
        <w:r w:rsidRPr="004A53DA">
          <w:rPr>
            <w:rStyle w:val="Hyperlink"/>
            <w:rFonts w:ascii="Arial" w:hAnsi="Arial" w:cs="Arial"/>
            <w:color w:val="auto"/>
            <w:sz w:val="24"/>
            <w:szCs w:val="24"/>
          </w:rPr>
          <w:t>https://www.financialexpress.com/sports/five-rural-and-indigenous-tribal-games-identified-under-special-component-of-khelo-india-scheme-details/2608152/</w:t>
        </w:r>
      </w:hyperlink>
    </w:p>
    <w:p w14:paraId="57A71B35"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proofErr w:type="spellStart"/>
      <w:r w:rsidRPr="004A53DA">
        <w:rPr>
          <w:rFonts w:ascii="Arial" w:hAnsi="Arial" w:cs="Arial"/>
          <w:sz w:val="24"/>
          <w:szCs w:val="24"/>
        </w:rPr>
        <w:t>Firenzuoli</w:t>
      </w:r>
      <w:proofErr w:type="spellEnd"/>
      <w:r w:rsidRPr="004A53DA">
        <w:rPr>
          <w:rFonts w:ascii="Arial" w:hAnsi="Arial" w:cs="Arial"/>
          <w:sz w:val="24"/>
          <w:szCs w:val="24"/>
        </w:rPr>
        <w:t>, F., &amp; Gori, L. (2007). Herbal medicine today: clinical and research issues. </w:t>
      </w:r>
      <w:r w:rsidRPr="004A53DA">
        <w:rPr>
          <w:rFonts w:ascii="Arial" w:hAnsi="Arial" w:cs="Arial"/>
          <w:i/>
          <w:iCs/>
          <w:sz w:val="24"/>
          <w:szCs w:val="24"/>
        </w:rPr>
        <w:t>Evidence</w:t>
      </w:r>
      <w:r w:rsidRPr="004A53DA">
        <w:rPr>
          <w:rFonts w:ascii="Cambria Math" w:hAnsi="Cambria Math" w:cs="Cambria Math"/>
          <w:i/>
          <w:iCs/>
          <w:sz w:val="24"/>
          <w:szCs w:val="24"/>
        </w:rPr>
        <w:t>‐</w:t>
      </w:r>
      <w:r w:rsidRPr="004A53DA">
        <w:rPr>
          <w:rFonts w:ascii="Arial" w:hAnsi="Arial" w:cs="Arial"/>
          <w:i/>
          <w:iCs/>
          <w:sz w:val="24"/>
          <w:szCs w:val="24"/>
        </w:rPr>
        <w:t>Based Complementary and Alternative Medicine</w:t>
      </w:r>
      <w:r w:rsidRPr="004A53DA">
        <w:rPr>
          <w:rFonts w:ascii="Arial" w:hAnsi="Arial" w:cs="Arial"/>
          <w:sz w:val="24"/>
          <w:szCs w:val="24"/>
        </w:rPr>
        <w:t>, </w:t>
      </w:r>
      <w:r w:rsidRPr="004A53DA">
        <w:rPr>
          <w:rFonts w:ascii="Arial" w:hAnsi="Arial" w:cs="Arial"/>
          <w:i/>
          <w:iCs/>
          <w:sz w:val="24"/>
          <w:szCs w:val="24"/>
        </w:rPr>
        <w:t>4</w:t>
      </w:r>
      <w:r w:rsidRPr="004A53DA">
        <w:rPr>
          <w:rFonts w:ascii="Arial" w:hAnsi="Arial" w:cs="Arial"/>
          <w:sz w:val="24"/>
          <w:szCs w:val="24"/>
        </w:rPr>
        <w:t>, 37-40.</w:t>
      </w:r>
    </w:p>
    <w:p w14:paraId="40CBAFF9"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Gordon, B. R., McDowell, C. P., Lyons, M., &amp; Herring, M. P. (2017). The effects of resistance exercise training on anxiety: A meta-analysis and meta-regression analysis of randomized controlled trials. </w:t>
      </w:r>
      <w:r w:rsidRPr="004A53DA">
        <w:rPr>
          <w:rFonts w:ascii="Arial" w:hAnsi="Arial" w:cs="Arial"/>
          <w:i/>
          <w:iCs/>
          <w:sz w:val="24"/>
          <w:szCs w:val="24"/>
        </w:rPr>
        <w:t>Sports Medicine, 47</w:t>
      </w:r>
      <w:r w:rsidRPr="004A53DA">
        <w:rPr>
          <w:rFonts w:ascii="Arial" w:hAnsi="Arial" w:cs="Arial"/>
          <w:sz w:val="24"/>
          <w:szCs w:val="24"/>
        </w:rPr>
        <w:t xml:space="preserve">(12), 2521–2532. </w:t>
      </w:r>
      <w:hyperlink r:id="rId20" w:history="1">
        <w:r w:rsidRPr="004A53DA">
          <w:rPr>
            <w:rStyle w:val="Hyperlink"/>
            <w:rFonts w:ascii="Arial" w:hAnsi="Arial" w:cs="Arial"/>
            <w:color w:val="auto"/>
            <w:sz w:val="24"/>
            <w:szCs w:val="24"/>
          </w:rPr>
          <w:t>https://doi.org/10.1007/s40279-017-0769-0</w:t>
        </w:r>
      </w:hyperlink>
    </w:p>
    <w:p w14:paraId="612AB6A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Government of India. (2019–2020). </w:t>
      </w:r>
      <w:r w:rsidRPr="004A53DA">
        <w:rPr>
          <w:rFonts w:ascii="Arial" w:hAnsi="Arial" w:cs="Arial"/>
          <w:i/>
          <w:iCs/>
          <w:sz w:val="24"/>
          <w:szCs w:val="24"/>
        </w:rPr>
        <w:t>Annual report 2019–20: Ministry of Youth Affairs &amp; Sports.</w:t>
      </w:r>
      <w:r w:rsidRPr="004A53DA">
        <w:rPr>
          <w:rFonts w:ascii="Arial" w:hAnsi="Arial" w:cs="Arial"/>
          <w:sz w:val="24"/>
          <w:szCs w:val="24"/>
        </w:rPr>
        <w:t xml:space="preserve"> </w:t>
      </w:r>
      <w:hyperlink r:id="rId21" w:tgtFrame="_new" w:history="1">
        <w:r w:rsidRPr="004A53DA">
          <w:rPr>
            <w:rStyle w:val="Hyperlink"/>
            <w:rFonts w:ascii="Arial" w:hAnsi="Arial" w:cs="Arial"/>
            <w:color w:val="auto"/>
            <w:sz w:val="24"/>
            <w:szCs w:val="24"/>
          </w:rPr>
          <w:t>https://www.yas.nic.in/sites/default/files/MYAS%20Annual%20Report%20English_2019-20.pdf</w:t>
        </w:r>
      </w:hyperlink>
    </w:p>
    <w:p w14:paraId="3EAD09CB"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Government of India, Ministry of Youth Affairs &amp; Sports. (n.d.). </w:t>
      </w:r>
      <w:proofErr w:type="spellStart"/>
      <w:r w:rsidRPr="004A53DA">
        <w:rPr>
          <w:rFonts w:ascii="Arial" w:hAnsi="Arial" w:cs="Arial"/>
          <w:i/>
          <w:iCs/>
          <w:sz w:val="24"/>
          <w:szCs w:val="24"/>
        </w:rPr>
        <w:t>Khelo</w:t>
      </w:r>
      <w:proofErr w:type="spellEnd"/>
      <w:r w:rsidRPr="004A53DA">
        <w:rPr>
          <w:rFonts w:ascii="Arial" w:hAnsi="Arial" w:cs="Arial"/>
          <w:i/>
          <w:iCs/>
          <w:sz w:val="24"/>
          <w:szCs w:val="24"/>
        </w:rPr>
        <w:t xml:space="preserve"> India: National </w:t>
      </w:r>
      <w:proofErr w:type="spellStart"/>
      <w:r w:rsidRPr="004A53DA">
        <w:rPr>
          <w:rFonts w:ascii="Arial" w:hAnsi="Arial" w:cs="Arial"/>
          <w:i/>
          <w:iCs/>
          <w:sz w:val="24"/>
          <w:szCs w:val="24"/>
        </w:rPr>
        <w:t>Programme</w:t>
      </w:r>
      <w:proofErr w:type="spellEnd"/>
      <w:r w:rsidRPr="004A53DA">
        <w:rPr>
          <w:rFonts w:ascii="Arial" w:hAnsi="Arial" w:cs="Arial"/>
          <w:i/>
          <w:iCs/>
          <w:sz w:val="24"/>
          <w:szCs w:val="24"/>
        </w:rPr>
        <w:t xml:space="preserve"> for Development of Sports.</w:t>
      </w:r>
      <w:r w:rsidRPr="004A53DA">
        <w:rPr>
          <w:rFonts w:ascii="Arial" w:hAnsi="Arial" w:cs="Arial"/>
          <w:sz w:val="24"/>
          <w:szCs w:val="24"/>
        </w:rPr>
        <w:t xml:space="preserve"> </w:t>
      </w:r>
      <w:hyperlink r:id="rId22" w:tgtFrame="_new" w:history="1">
        <w:r w:rsidRPr="004A53DA">
          <w:rPr>
            <w:rStyle w:val="Hyperlink"/>
            <w:rFonts w:ascii="Arial" w:hAnsi="Arial" w:cs="Arial"/>
            <w:color w:val="auto"/>
            <w:sz w:val="24"/>
            <w:szCs w:val="24"/>
          </w:rPr>
          <w:t>https://www.yas.nic.in/sports/khelo-india-national-programme-development-sports-0</w:t>
        </w:r>
      </w:hyperlink>
    </w:p>
    <w:p w14:paraId="0F5D7948"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bookmarkStart w:id="8" w:name="_Hlk212677461"/>
      <w:r w:rsidRPr="004A53DA">
        <w:rPr>
          <w:rFonts w:ascii="Arial" w:hAnsi="Arial" w:cs="Arial"/>
          <w:sz w:val="24"/>
          <w:szCs w:val="24"/>
        </w:rPr>
        <w:t>Hillman</w:t>
      </w:r>
      <w:bookmarkEnd w:id="8"/>
      <w:r w:rsidRPr="004A53DA">
        <w:rPr>
          <w:rFonts w:ascii="Arial" w:hAnsi="Arial" w:cs="Arial"/>
          <w:sz w:val="24"/>
          <w:szCs w:val="24"/>
        </w:rPr>
        <w:t xml:space="preserve">, C. H., Erickson, K. I., &amp; Kramer, A. F. (2008). Be smart, exercise your heart: Exercise effects on brain and cognition. </w:t>
      </w:r>
      <w:r w:rsidRPr="004A53DA">
        <w:rPr>
          <w:rFonts w:ascii="Arial" w:hAnsi="Arial" w:cs="Arial"/>
          <w:i/>
          <w:iCs/>
          <w:sz w:val="24"/>
          <w:szCs w:val="24"/>
        </w:rPr>
        <w:t>Nature Reviews Neuroscience, 9</w:t>
      </w:r>
      <w:r w:rsidRPr="004A53DA">
        <w:rPr>
          <w:rFonts w:ascii="Arial" w:hAnsi="Arial" w:cs="Arial"/>
          <w:sz w:val="24"/>
          <w:szCs w:val="24"/>
        </w:rPr>
        <w:t xml:space="preserve">(1), 58–65. </w:t>
      </w:r>
      <w:hyperlink r:id="rId23" w:tgtFrame="_new" w:history="1">
        <w:r w:rsidRPr="004A53DA">
          <w:rPr>
            <w:rStyle w:val="Hyperlink"/>
            <w:rFonts w:ascii="Arial" w:hAnsi="Arial" w:cs="Arial"/>
            <w:color w:val="auto"/>
            <w:sz w:val="24"/>
            <w:szCs w:val="24"/>
          </w:rPr>
          <w:t>https://doi.org/10.1038/nrn2298</w:t>
        </w:r>
      </w:hyperlink>
    </w:p>
    <w:p w14:paraId="10026C0B"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bookmarkStart w:id="9" w:name="_Hlk212631217"/>
      <w:r w:rsidRPr="004A53DA">
        <w:rPr>
          <w:rFonts w:ascii="Arial" w:hAnsi="Arial" w:cs="Arial"/>
          <w:sz w:val="24"/>
          <w:szCs w:val="24"/>
        </w:rPr>
        <w:t>Hofmann, S. G., Sawyer, A. T., Witt, A. A., &amp; Oh, D. (2010). The effect of mindfulness-based therapy on anxiety and depression: A meta-analytic review. </w:t>
      </w:r>
      <w:r w:rsidRPr="004A53DA">
        <w:rPr>
          <w:rFonts w:ascii="Arial" w:hAnsi="Arial" w:cs="Arial"/>
          <w:i/>
          <w:iCs/>
          <w:sz w:val="24"/>
          <w:szCs w:val="24"/>
        </w:rPr>
        <w:t>Journal of Consulting and Clinical Psychology, 78</w:t>
      </w:r>
      <w:r w:rsidRPr="004A53DA">
        <w:rPr>
          <w:rFonts w:ascii="Arial" w:hAnsi="Arial" w:cs="Arial"/>
          <w:sz w:val="24"/>
          <w:szCs w:val="24"/>
        </w:rPr>
        <w:t>(2), 169–183. </w:t>
      </w:r>
      <w:hyperlink r:id="rId24" w:tgtFrame="_blank" w:history="1">
        <w:r w:rsidRPr="004A53DA">
          <w:rPr>
            <w:rStyle w:val="Hyperlink"/>
            <w:rFonts w:ascii="Arial" w:hAnsi="Arial" w:cs="Arial"/>
            <w:color w:val="auto"/>
            <w:sz w:val="24"/>
            <w:szCs w:val="24"/>
          </w:rPr>
          <w:t>https://doi.org/10.1037/a0018555</w:t>
        </w:r>
      </w:hyperlink>
      <w:r w:rsidRPr="004A53DA">
        <w:rPr>
          <w:rFonts w:ascii="Arial" w:hAnsi="Arial" w:cs="Arial"/>
          <w:sz w:val="24"/>
          <w:szCs w:val="24"/>
        </w:rPr>
        <w:t xml:space="preserve"> </w:t>
      </w:r>
    </w:p>
    <w:p w14:paraId="47F78DE7"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Irawan, F. A., </w:t>
      </w:r>
      <w:proofErr w:type="spellStart"/>
      <w:r w:rsidRPr="004A53DA">
        <w:rPr>
          <w:rFonts w:ascii="Arial" w:hAnsi="Arial" w:cs="Arial"/>
          <w:sz w:val="24"/>
          <w:szCs w:val="24"/>
        </w:rPr>
        <w:t>Sutaryono</w:t>
      </w:r>
      <w:proofErr w:type="spellEnd"/>
      <w:r w:rsidRPr="004A53DA">
        <w:rPr>
          <w:rFonts w:ascii="Arial" w:hAnsi="Arial" w:cs="Arial"/>
          <w:sz w:val="24"/>
          <w:szCs w:val="24"/>
        </w:rPr>
        <w:t xml:space="preserve">, S., </w:t>
      </w:r>
      <w:proofErr w:type="spellStart"/>
      <w:r w:rsidRPr="004A53DA">
        <w:rPr>
          <w:rFonts w:ascii="Arial" w:hAnsi="Arial" w:cs="Arial"/>
          <w:sz w:val="24"/>
          <w:szCs w:val="24"/>
        </w:rPr>
        <w:t>Permana</w:t>
      </w:r>
      <w:proofErr w:type="spellEnd"/>
      <w:r w:rsidRPr="004A53DA">
        <w:rPr>
          <w:rFonts w:ascii="Arial" w:hAnsi="Arial" w:cs="Arial"/>
          <w:sz w:val="24"/>
          <w:szCs w:val="24"/>
        </w:rPr>
        <w:t xml:space="preserve">, D. F. W., Chuang, L.-R., &amp; </w:t>
      </w:r>
      <w:proofErr w:type="spellStart"/>
      <w:r w:rsidRPr="004A53DA">
        <w:rPr>
          <w:rFonts w:ascii="Arial" w:hAnsi="Arial" w:cs="Arial"/>
          <w:sz w:val="24"/>
          <w:szCs w:val="24"/>
        </w:rPr>
        <w:t>Yuwono</w:t>
      </w:r>
      <w:proofErr w:type="spellEnd"/>
      <w:r w:rsidRPr="004A53DA">
        <w:rPr>
          <w:rFonts w:ascii="Arial" w:hAnsi="Arial" w:cs="Arial"/>
          <w:sz w:val="24"/>
          <w:szCs w:val="24"/>
        </w:rPr>
        <w:t xml:space="preserve">, Y. (2021). </w:t>
      </w:r>
      <w:r w:rsidRPr="004A53DA">
        <w:rPr>
          <w:rFonts w:ascii="Arial" w:hAnsi="Arial" w:cs="Arial"/>
          <w:i/>
          <w:iCs/>
          <w:sz w:val="24"/>
          <w:szCs w:val="24"/>
        </w:rPr>
        <w:t>Locomotor skills: Traditional games in the fundamental of physical activities.</w:t>
      </w:r>
      <w:r w:rsidRPr="004A53DA">
        <w:rPr>
          <w:rFonts w:ascii="Arial" w:hAnsi="Arial" w:cs="Arial"/>
          <w:sz w:val="24"/>
          <w:szCs w:val="24"/>
        </w:rPr>
        <w:t xml:space="preserve"> </w:t>
      </w:r>
      <w:r w:rsidRPr="004A53DA">
        <w:rPr>
          <w:rFonts w:ascii="Arial" w:hAnsi="Arial" w:cs="Arial"/>
          <w:i/>
          <w:iCs/>
          <w:sz w:val="24"/>
          <w:szCs w:val="24"/>
        </w:rPr>
        <w:t>Al-</w:t>
      </w:r>
      <w:proofErr w:type="spellStart"/>
      <w:r w:rsidRPr="004A53DA">
        <w:rPr>
          <w:rFonts w:ascii="Arial" w:hAnsi="Arial" w:cs="Arial"/>
          <w:i/>
          <w:iCs/>
          <w:sz w:val="24"/>
          <w:szCs w:val="24"/>
        </w:rPr>
        <w:t>Athfaal</w:t>
      </w:r>
      <w:proofErr w:type="spellEnd"/>
      <w:r w:rsidRPr="004A53DA">
        <w:rPr>
          <w:rFonts w:ascii="Arial" w:hAnsi="Arial" w:cs="Arial"/>
          <w:i/>
          <w:iCs/>
          <w:sz w:val="24"/>
          <w:szCs w:val="24"/>
        </w:rPr>
        <w:t xml:space="preserve"> </w:t>
      </w:r>
      <w:proofErr w:type="spellStart"/>
      <w:r w:rsidRPr="004A53DA">
        <w:rPr>
          <w:rFonts w:ascii="Arial" w:hAnsi="Arial" w:cs="Arial"/>
          <w:i/>
          <w:iCs/>
          <w:sz w:val="24"/>
          <w:szCs w:val="24"/>
        </w:rPr>
        <w:t>Jurnal</w:t>
      </w:r>
      <w:proofErr w:type="spellEnd"/>
      <w:r w:rsidRPr="004A53DA">
        <w:rPr>
          <w:rFonts w:ascii="Arial" w:hAnsi="Arial" w:cs="Arial"/>
          <w:i/>
          <w:iCs/>
          <w:sz w:val="24"/>
          <w:szCs w:val="24"/>
        </w:rPr>
        <w:t xml:space="preserve"> </w:t>
      </w:r>
      <w:proofErr w:type="spellStart"/>
      <w:r w:rsidRPr="004A53DA">
        <w:rPr>
          <w:rFonts w:ascii="Arial" w:hAnsi="Arial" w:cs="Arial"/>
          <w:i/>
          <w:iCs/>
          <w:sz w:val="24"/>
          <w:szCs w:val="24"/>
        </w:rPr>
        <w:t>Ilmiah</w:t>
      </w:r>
      <w:proofErr w:type="spellEnd"/>
      <w:r w:rsidRPr="004A53DA">
        <w:rPr>
          <w:rFonts w:ascii="Arial" w:hAnsi="Arial" w:cs="Arial"/>
          <w:i/>
          <w:iCs/>
          <w:sz w:val="24"/>
          <w:szCs w:val="24"/>
        </w:rPr>
        <w:t xml:space="preserve"> Pendidikan </w:t>
      </w:r>
      <w:proofErr w:type="spellStart"/>
      <w:r w:rsidRPr="004A53DA">
        <w:rPr>
          <w:rFonts w:ascii="Arial" w:hAnsi="Arial" w:cs="Arial"/>
          <w:i/>
          <w:iCs/>
          <w:sz w:val="24"/>
          <w:szCs w:val="24"/>
        </w:rPr>
        <w:t>Anak</w:t>
      </w:r>
      <w:proofErr w:type="spellEnd"/>
      <w:r w:rsidRPr="004A53DA">
        <w:rPr>
          <w:rFonts w:ascii="Arial" w:hAnsi="Arial" w:cs="Arial"/>
          <w:i/>
          <w:iCs/>
          <w:sz w:val="24"/>
          <w:szCs w:val="24"/>
        </w:rPr>
        <w:t xml:space="preserve"> </w:t>
      </w:r>
      <w:proofErr w:type="spellStart"/>
      <w:r w:rsidRPr="004A53DA">
        <w:rPr>
          <w:rFonts w:ascii="Arial" w:hAnsi="Arial" w:cs="Arial"/>
          <w:i/>
          <w:iCs/>
          <w:sz w:val="24"/>
          <w:szCs w:val="24"/>
        </w:rPr>
        <w:t>Usia</w:t>
      </w:r>
      <w:proofErr w:type="spellEnd"/>
      <w:r w:rsidRPr="004A53DA">
        <w:rPr>
          <w:rFonts w:ascii="Arial" w:hAnsi="Arial" w:cs="Arial"/>
          <w:i/>
          <w:iCs/>
          <w:sz w:val="24"/>
          <w:szCs w:val="24"/>
        </w:rPr>
        <w:t xml:space="preserve"> Dini.</w:t>
      </w:r>
      <w:r w:rsidRPr="004A53DA">
        <w:rPr>
          <w:rFonts w:ascii="Arial" w:hAnsi="Arial" w:cs="Arial"/>
          <w:sz w:val="24"/>
          <w:szCs w:val="24"/>
        </w:rPr>
        <w:t xml:space="preserve"> </w:t>
      </w:r>
      <w:hyperlink r:id="rId25" w:tgtFrame="_new" w:history="1">
        <w:r w:rsidRPr="004A53DA">
          <w:rPr>
            <w:rStyle w:val="Hyperlink"/>
            <w:rFonts w:ascii="Arial" w:hAnsi="Arial" w:cs="Arial"/>
            <w:color w:val="auto"/>
            <w:sz w:val="24"/>
            <w:szCs w:val="24"/>
          </w:rPr>
          <w:t>https://doi.org/10.24042/ajipaud.v4i1.8215</w:t>
        </w:r>
      </w:hyperlink>
    </w:p>
    <w:p w14:paraId="011276ED" w14:textId="43126CDE"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proofErr w:type="spellStart"/>
      <w:r w:rsidRPr="004A53DA">
        <w:rPr>
          <w:rFonts w:ascii="Arial" w:hAnsi="Arial" w:cs="Arial"/>
          <w:sz w:val="24"/>
          <w:szCs w:val="24"/>
        </w:rPr>
        <w:t>Ismoyo</w:t>
      </w:r>
      <w:bookmarkEnd w:id="9"/>
      <w:proofErr w:type="spellEnd"/>
      <w:r w:rsidRPr="004A53DA">
        <w:rPr>
          <w:rFonts w:ascii="Arial" w:hAnsi="Arial" w:cs="Arial"/>
          <w:sz w:val="24"/>
          <w:szCs w:val="24"/>
        </w:rPr>
        <w:t xml:space="preserve">, I., </w:t>
      </w:r>
      <w:proofErr w:type="spellStart"/>
      <w:r w:rsidRPr="004A53DA">
        <w:rPr>
          <w:rFonts w:ascii="Arial" w:hAnsi="Arial" w:cs="Arial"/>
          <w:sz w:val="24"/>
          <w:szCs w:val="24"/>
        </w:rPr>
        <w:t>Nasrulloh</w:t>
      </w:r>
      <w:proofErr w:type="spellEnd"/>
      <w:r w:rsidRPr="004A53DA">
        <w:rPr>
          <w:rFonts w:ascii="Arial" w:hAnsi="Arial" w:cs="Arial"/>
          <w:sz w:val="24"/>
          <w:szCs w:val="24"/>
        </w:rPr>
        <w:t xml:space="preserve">, A., Hermawan, H. A., &amp; Ihsan, F. (2024). Health benefits of traditional games: A systematic review. Challenges, 59, 843–856. </w:t>
      </w:r>
      <w:hyperlink r:id="rId26" w:history="1">
        <w:r w:rsidRPr="004A53DA">
          <w:rPr>
            <w:rStyle w:val="Hyperlink"/>
            <w:rFonts w:ascii="Arial" w:hAnsi="Arial" w:cs="Arial"/>
            <w:color w:val="auto"/>
            <w:sz w:val="24"/>
            <w:szCs w:val="24"/>
          </w:rPr>
          <w:t>https://doi.org/10.47197/retos.v59.107467</w:t>
        </w:r>
      </w:hyperlink>
    </w:p>
    <w:p w14:paraId="3C690A7C"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proofErr w:type="spellStart"/>
      <w:r w:rsidRPr="004A53DA">
        <w:rPr>
          <w:rFonts w:ascii="Arial" w:hAnsi="Arial" w:cs="Arial"/>
          <w:sz w:val="24"/>
          <w:szCs w:val="24"/>
        </w:rPr>
        <w:t>Iswanto</w:t>
      </w:r>
      <w:proofErr w:type="spellEnd"/>
      <w:r w:rsidRPr="004A53DA">
        <w:rPr>
          <w:rFonts w:ascii="Arial" w:hAnsi="Arial" w:cs="Arial"/>
          <w:sz w:val="24"/>
          <w:szCs w:val="24"/>
        </w:rPr>
        <w:t xml:space="preserve">, A., </w:t>
      </w:r>
      <w:proofErr w:type="spellStart"/>
      <w:r w:rsidRPr="004A53DA">
        <w:rPr>
          <w:rFonts w:ascii="Arial" w:hAnsi="Arial" w:cs="Arial"/>
          <w:sz w:val="24"/>
          <w:szCs w:val="24"/>
        </w:rPr>
        <w:t>Siswantoyo</w:t>
      </w:r>
      <w:proofErr w:type="spellEnd"/>
      <w:r w:rsidRPr="004A53DA">
        <w:rPr>
          <w:rFonts w:ascii="Arial" w:hAnsi="Arial" w:cs="Arial"/>
          <w:sz w:val="24"/>
          <w:szCs w:val="24"/>
        </w:rPr>
        <w:t xml:space="preserve">, S., </w:t>
      </w:r>
      <w:proofErr w:type="spellStart"/>
      <w:r w:rsidRPr="004A53DA">
        <w:rPr>
          <w:rFonts w:ascii="Arial" w:hAnsi="Arial" w:cs="Arial"/>
          <w:sz w:val="24"/>
          <w:szCs w:val="24"/>
        </w:rPr>
        <w:t>Nurcahyo</w:t>
      </w:r>
      <w:proofErr w:type="spellEnd"/>
      <w:r w:rsidRPr="004A53DA">
        <w:rPr>
          <w:rFonts w:ascii="Arial" w:hAnsi="Arial" w:cs="Arial"/>
          <w:sz w:val="24"/>
          <w:szCs w:val="24"/>
        </w:rPr>
        <w:t xml:space="preserve">, F., </w:t>
      </w:r>
      <w:proofErr w:type="spellStart"/>
      <w:r w:rsidRPr="004A53DA">
        <w:rPr>
          <w:rFonts w:ascii="Arial" w:hAnsi="Arial" w:cs="Arial"/>
          <w:sz w:val="24"/>
          <w:szCs w:val="24"/>
        </w:rPr>
        <w:t>Arga</w:t>
      </w:r>
      <w:proofErr w:type="spellEnd"/>
      <w:r w:rsidRPr="004A53DA">
        <w:rPr>
          <w:rFonts w:ascii="Arial" w:hAnsi="Arial" w:cs="Arial"/>
          <w:sz w:val="24"/>
          <w:szCs w:val="24"/>
        </w:rPr>
        <w:t xml:space="preserve">, M., &amp; Susanto, S. (2024). The effect of traditional sports on improving the physical fitness of elementary </w:t>
      </w:r>
      <w:r w:rsidRPr="004A53DA">
        <w:rPr>
          <w:rFonts w:ascii="Arial" w:hAnsi="Arial" w:cs="Arial"/>
          <w:sz w:val="24"/>
          <w:szCs w:val="24"/>
        </w:rPr>
        <w:lastRenderedPageBreak/>
        <w:t xml:space="preserve">school students. </w:t>
      </w:r>
      <w:proofErr w:type="spellStart"/>
      <w:r w:rsidRPr="004A53DA">
        <w:rPr>
          <w:rFonts w:ascii="Arial" w:hAnsi="Arial" w:cs="Arial"/>
          <w:i/>
          <w:iCs/>
          <w:sz w:val="24"/>
          <w:szCs w:val="24"/>
        </w:rPr>
        <w:t>Fizjoterapia</w:t>
      </w:r>
      <w:proofErr w:type="spellEnd"/>
      <w:r w:rsidRPr="004A53DA">
        <w:rPr>
          <w:rFonts w:ascii="Arial" w:hAnsi="Arial" w:cs="Arial"/>
          <w:i/>
          <w:iCs/>
          <w:sz w:val="24"/>
          <w:szCs w:val="24"/>
        </w:rPr>
        <w:t xml:space="preserve"> </w:t>
      </w:r>
      <w:proofErr w:type="spellStart"/>
      <w:r w:rsidRPr="004A53DA">
        <w:rPr>
          <w:rFonts w:ascii="Arial" w:hAnsi="Arial" w:cs="Arial"/>
          <w:i/>
          <w:iCs/>
          <w:sz w:val="24"/>
          <w:szCs w:val="24"/>
        </w:rPr>
        <w:t>Polska</w:t>
      </w:r>
      <w:proofErr w:type="spellEnd"/>
      <w:r w:rsidRPr="004A53DA">
        <w:rPr>
          <w:rFonts w:ascii="Arial" w:hAnsi="Arial" w:cs="Arial"/>
          <w:i/>
          <w:iCs/>
          <w:sz w:val="24"/>
          <w:szCs w:val="24"/>
        </w:rPr>
        <w:t>, 24,</w:t>
      </w:r>
      <w:r w:rsidRPr="004A53DA">
        <w:rPr>
          <w:rFonts w:ascii="Arial" w:hAnsi="Arial" w:cs="Arial"/>
          <w:sz w:val="24"/>
          <w:szCs w:val="24"/>
        </w:rPr>
        <w:t xml:space="preserve"> 235–243. </w:t>
      </w:r>
      <w:hyperlink r:id="rId27" w:tgtFrame="_new" w:history="1">
        <w:r w:rsidRPr="004A53DA">
          <w:rPr>
            <w:rStyle w:val="Hyperlink"/>
            <w:rFonts w:ascii="Arial" w:hAnsi="Arial" w:cs="Arial"/>
            <w:color w:val="auto"/>
            <w:sz w:val="24"/>
            <w:szCs w:val="24"/>
          </w:rPr>
          <w:t>https://doi.org/10.56984/8ZG2EF80Yj</w:t>
        </w:r>
      </w:hyperlink>
    </w:p>
    <w:p w14:paraId="24C40D38"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John, S. K. (2011). </w:t>
      </w:r>
      <w:r w:rsidRPr="004A53DA">
        <w:rPr>
          <w:rFonts w:ascii="Arial" w:hAnsi="Arial" w:cs="Arial"/>
          <w:i/>
          <w:iCs/>
          <w:sz w:val="24"/>
          <w:szCs w:val="24"/>
        </w:rPr>
        <w:t>Kalarippayattu: The martial and healing art of Kerala.</w:t>
      </w:r>
      <w:r w:rsidRPr="004A53DA">
        <w:rPr>
          <w:rFonts w:ascii="Arial" w:hAnsi="Arial" w:cs="Arial"/>
          <w:sz w:val="24"/>
          <w:szCs w:val="24"/>
        </w:rPr>
        <w:t xml:space="preserve"> </w:t>
      </w:r>
      <w:proofErr w:type="spellStart"/>
      <w:r w:rsidRPr="004A53DA">
        <w:rPr>
          <w:rFonts w:ascii="Arial" w:hAnsi="Arial" w:cs="Arial"/>
          <w:sz w:val="24"/>
          <w:szCs w:val="24"/>
        </w:rPr>
        <w:t>Koovackal</w:t>
      </w:r>
      <w:proofErr w:type="spellEnd"/>
      <w:r w:rsidRPr="004A53DA">
        <w:rPr>
          <w:rFonts w:ascii="Arial" w:hAnsi="Arial" w:cs="Arial"/>
          <w:sz w:val="24"/>
          <w:szCs w:val="24"/>
        </w:rPr>
        <w:t xml:space="preserve">, </w:t>
      </w:r>
      <w:proofErr w:type="spellStart"/>
      <w:r w:rsidRPr="004A53DA">
        <w:rPr>
          <w:rFonts w:ascii="Arial" w:hAnsi="Arial" w:cs="Arial"/>
          <w:sz w:val="24"/>
          <w:szCs w:val="24"/>
        </w:rPr>
        <w:t>Kappumthala</w:t>
      </w:r>
      <w:proofErr w:type="spellEnd"/>
      <w:r w:rsidRPr="004A53DA">
        <w:rPr>
          <w:rFonts w:ascii="Arial" w:hAnsi="Arial" w:cs="Arial"/>
          <w:sz w:val="24"/>
          <w:szCs w:val="24"/>
        </w:rPr>
        <w:t xml:space="preserve"> PO, </w:t>
      </w:r>
      <w:proofErr w:type="spellStart"/>
      <w:r w:rsidRPr="004A53DA">
        <w:rPr>
          <w:rFonts w:ascii="Arial" w:hAnsi="Arial" w:cs="Arial"/>
          <w:sz w:val="24"/>
          <w:szCs w:val="24"/>
        </w:rPr>
        <w:t>Muttuchira</w:t>
      </w:r>
      <w:proofErr w:type="spellEnd"/>
      <w:r w:rsidRPr="004A53DA">
        <w:rPr>
          <w:rFonts w:ascii="Arial" w:hAnsi="Arial" w:cs="Arial"/>
          <w:sz w:val="24"/>
          <w:szCs w:val="24"/>
        </w:rPr>
        <w:t xml:space="preserve">, Kottayam, Kerala. </w:t>
      </w:r>
      <w:hyperlink r:id="rId28" w:tgtFrame="_new" w:history="1">
        <w:r w:rsidRPr="004A53DA">
          <w:rPr>
            <w:rStyle w:val="Hyperlink"/>
            <w:rFonts w:ascii="Arial" w:hAnsi="Arial" w:cs="Arial"/>
            <w:color w:val="auto"/>
            <w:sz w:val="24"/>
            <w:szCs w:val="24"/>
          </w:rPr>
          <w:t>https://www.academia.edu/29708005/KALARIPPAYATTU_The_Martial_and_healing_art_of_Kerala</w:t>
        </w:r>
      </w:hyperlink>
    </w:p>
    <w:p w14:paraId="103BD7F1"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Joseph, S. M., Iyer, D. S., &amp; Pillai, R. V. (2021). Ayurvedic response to COVID-19 pandemic in Kerala, India and its impact on quarantined individuals: A community case study. </w:t>
      </w:r>
      <w:r w:rsidRPr="004A53DA">
        <w:rPr>
          <w:rFonts w:ascii="Arial" w:hAnsi="Arial" w:cs="Arial"/>
          <w:i/>
          <w:iCs/>
          <w:sz w:val="24"/>
          <w:szCs w:val="24"/>
        </w:rPr>
        <w:t>Frontiers in Public Health, 9,</w:t>
      </w:r>
      <w:r w:rsidRPr="004A53DA">
        <w:rPr>
          <w:rFonts w:ascii="Arial" w:hAnsi="Arial" w:cs="Arial"/>
          <w:sz w:val="24"/>
          <w:szCs w:val="24"/>
        </w:rPr>
        <w:t xml:space="preserve"> 732523. </w:t>
      </w:r>
      <w:hyperlink r:id="rId29" w:tgtFrame="_new" w:history="1">
        <w:r w:rsidRPr="004A53DA">
          <w:rPr>
            <w:rStyle w:val="Hyperlink"/>
            <w:rFonts w:ascii="Arial" w:hAnsi="Arial" w:cs="Arial"/>
            <w:color w:val="auto"/>
            <w:sz w:val="24"/>
            <w:szCs w:val="24"/>
          </w:rPr>
          <w:t>https://doi.org/10.3389/fpubh.2021.732523</w:t>
        </w:r>
      </w:hyperlink>
    </w:p>
    <w:p w14:paraId="62D7EDAC"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Khoury, B., Lecomte, T., Fortin, G., Masse, M., Therien, P., Bouchard, V., … Hofmann, S. G. (2013). Mindfulness-based therapy: A comprehensive meta-analysis. </w:t>
      </w:r>
      <w:r w:rsidRPr="004A53DA">
        <w:rPr>
          <w:rFonts w:ascii="Arial" w:hAnsi="Arial" w:cs="Arial"/>
          <w:i/>
          <w:iCs/>
          <w:sz w:val="24"/>
          <w:szCs w:val="24"/>
        </w:rPr>
        <w:t>Clinical Psychology Review, 33</w:t>
      </w:r>
      <w:r w:rsidRPr="004A53DA">
        <w:rPr>
          <w:rFonts w:ascii="Arial" w:hAnsi="Arial" w:cs="Arial"/>
          <w:sz w:val="24"/>
          <w:szCs w:val="24"/>
        </w:rPr>
        <w:t>(6), 763–771.</w:t>
      </w:r>
    </w:p>
    <w:p w14:paraId="10C5D75F"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Kirby, A. M., Lévesque, L., </w:t>
      </w:r>
      <w:proofErr w:type="spellStart"/>
      <w:r w:rsidRPr="004A53DA">
        <w:rPr>
          <w:rFonts w:ascii="Arial" w:hAnsi="Arial" w:cs="Arial"/>
          <w:sz w:val="24"/>
          <w:szCs w:val="24"/>
        </w:rPr>
        <w:t>Wabano</w:t>
      </w:r>
      <w:proofErr w:type="spellEnd"/>
      <w:r w:rsidRPr="004A53DA">
        <w:rPr>
          <w:rFonts w:ascii="Arial" w:hAnsi="Arial" w:cs="Arial"/>
          <w:sz w:val="24"/>
          <w:szCs w:val="24"/>
        </w:rPr>
        <w:t xml:space="preserve">, V., &amp; Robertson-Wilson, J. (2007). </w:t>
      </w:r>
      <w:r w:rsidRPr="004A53DA">
        <w:rPr>
          <w:rFonts w:ascii="Arial" w:hAnsi="Arial" w:cs="Arial"/>
          <w:i/>
          <w:iCs/>
          <w:sz w:val="24"/>
          <w:szCs w:val="24"/>
        </w:rPr>
        <w:t>Perceived community environment and physical activity involvement in a northern-rural Aboriginal community.</w:t>
      </w:r>
      <w:r w:rsidRPr="004A53DA">
        <w:rPr>
          <w:rFonts w:ascii="Arial" w:hAnsi="Arial" w:cs="Arial"/>
          <w:sz w:val="24"/>
          <w:szCs w:val="24"/>
        </w:rPr>
        <w:t xml:space="preserve"> </w:t>
      </w:r>
      <w:r w:rsidRPr="004A53DA">
        <w:rPr>
          <w:rFonts w:ascii="Arial" w:hAnsi="Arial" w:cs="Arial"/>
          <w:i/>
          <w:iCs/>
          <w:sz w:val="24"/>
          <w:szCs w:val="24"/>
        </w:rPr>
        <w:t>International Journal of Behavioral Nutrition and Physical Activity, 4,</w:t>
      </w:r>
      <w:r w:rsidRPr="004A53DA">
        <w:rPr>
          <w:rFonts w:ascii="Arial" w:hAnsi="Arial" w:cs="Arial"/>
          <w:sz w:val="24"/>
          <w:szCs w:val="24"/>
        </w:rPr>
        <w:t xml:space="preserve"> Article 63. </w:t>
      </w:r>
      <w:hyperlink r:id="rId30" w:tgtFrame="_new" w:history="1">
        <w:r w:rsidRPr="004A53DA">
          <w:rPr>
            <w:rStyle w:val="Hyperlink"/>
            <w:rFonts w:ascii="Arial" w:hAnsi="Arial" w:cs="Arial"/>
            <w:color w:val="auto"/>
            <w:sz w:val="24"/>
            <w:szCs w:val="24"/>
          </w:rPr>
          <w:t>https://doi.org/10.1186/1479-5868-4-63</w:t>
        </w:r>
      </w:hyperlink>
    </w:p>
    <w:p w14:paraId="1B1E3433" w14:textId="1BCEA4CA"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Kramer, A. F., et al. (1999). </w:t>
      </w:r>
      <w:r w:rsidRPr="004A53DA">
        <w:rPr>
          <w:rFonts w:ascii="Arial" w:hAnsi="Arial" w:cs="Arial"/>
          <w:i/>
          <w:iCs/>
          <w:sz w:val="24"/>
          <w:szCs w:val="24"/>
        </w:rPr>
        <w:t>Ageing, fitness and neurocognitive function.</w:t>
      </w:r>
      <w:r w:rsidRPr="004A53DA">
        <w:rPr>
          <w:rFonts w:ascii="Arial" w:hAnsi="Arial" w:cs="Arial"/>
          <w:sz w:val="24"/>
          <w:szCs w:val="24"/>
        </w:rPr>
        <w:t xml:space="preserve"> </w:t>
      </w:r>
      <w:r w:rsidRPr="004A53DA">
        <w:rPr>
          <w:rFonts w:ascii="Arial" w:hAnsi="Arial" w:cs="Arial"/>
          <w:i/>
          <w:iCs/>
          <w:sz w:val="24"/>
          <w:szCs w:val="24"/>
        </w:rPr>
        <w:t>Nature, 400</w:t>
      </w:r>
      <w:r w:rsidRPr="004A53DA">
        <w:rPr>
          <w:rFonts w:ascii="Arial" w:hAnsi="Arial" w:cs="Arial"/>
          <w:sz w:val="24"/>
          <w:szCs w:val="24"/>
        </w:rPr>
        <w:t xml:space="preserve">(6743), 418–419. </w:t>
      </w:r>
      <w:hyperlink r:id="rId31" w:tgtFrame="_new" w:history="1">
        <w:r w:rsidRPr="004A53DA">
          <w:rPr>
            <w:rStyle w:val="Hyperlink"/>
            <w:rFonts w:ascii="Arial" w:hAnsi="Arial" w:cs="Arial"/>
            <w:color w:val="auto"/>
            <w:sz w:val="24"/>
            <w:szCs w:val="24"/>
          </w:rPr>
          <w:t>https://www.nature.com/articles/22682</w:t>
        </w:r>
      </w:hyperlink>
    </w:p>
    <w:p w14:paraId="70C55387"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proofErr w:type="spellStart"/>
      <w:r w:rsidRPr="004A53DA">
        <w:rPr>
          <w:rFonts w:ascii="Arial" w:hAnsi="Arial" w:cs="Arial"/>
          <w:sz w:val="24"/>
          <w:szCs w:val="24"/>
        </w:rPr>
        <w:t>Krishnananda</w:t>
      </w:r>
      <w:proofErr w:type="spellEnd"/>
      <w:r w:rsidRPr="004A53DA">
        <w:rPr>
          <w:rFonts w:ascii="Arial" w:hAnsi="Arial" w:cs="Arial"/>
          <w:sz w:val="24"/>
          <w:szCs w:val="24"/>
        </w:rPr>
        <w:t xml:space="preserve">, S. (1984). </w:t>
      </w:r>
      <w:proofErr w:type="spellStart"/>
      <w:r w:rsidRPr="004A53DA">
        <w:rPr>
          <w:rFonts w:ascii="Arial" w:hAnsi="Arial" w:cs="Arial"/>
          <w:i/>
          <w:iCs/>
          <w:sz w:val="24"/>
          <w:szCs w:val="24"/>
        </w:rPr>
        <w:t>Chandogya</w:t>
      </w:r>
      <w:proofErr w:type="spellEnd"/>
      <w:r w:rsidRPr="004A53DA">
        <w:rPr>
          <w:rFonts w:ascii="Arial" w:hAnsi="Arial" w:cs="Arial"/>
          <w:i/>
          <w:iCs/>
          <w:sz w:val="24"/>
          <w:szCs w:val="24"/>
        </w:rPr>
        <w:t xml:space="preserve"> Upanishad.</w:t>
      </w:r>
      <w:r w:rsidRPr="004A53DA">
        <w:rPr>
          <w:rFonts w:ascii="Arial" w:hAnsi="Arial" w:cs="Arial"/>
          <w:sz w:val="24"/>
          <w:szCs w:val="24"/>
        </w:rPr>
        <w:t xml:space="preserve"> Divine Life Society. </w:t>
      </w:r>
      <w:hyperlink r:id="rId32" w:tgtFrame="_new" w:history="1">
        <w:r w:rsidRPr="004A53DA">
          <w:rPr>
            <w:rStyle w:val="Hyperlink"/>
            <w:rFonts w:ascii="Arial" w:hAnsi="Arial" w:cs="Arial"/>
            <w:color w:val="auto"/>
            <w:sz w:val="24"/>
            <w:szCs w:val="24"/>
          </w:rPr>
          <w:t>https://www.swami-krishnananda.org/chhand/Chhandogya_Upanishad.pdf</w:t>
        </w:r>
      </w:hyperlink>
    </w:p>
    <w:p w14:paraId="5D225B6D"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Labonté, R., Mohindra, K., &amp; Schrecker, T. (2011). The growing impact of globalization for health and public health practice. </w:t>
      </w:r>
      <w:r w:rsidRPr="004A53DA">
        <w:rPr>
          <w:rFonts w:ascii="Arial" w:hAnsi="Arial" w:cs="Arial"/>
          <w:i/>
          <w:iCs/>
          <w:sz w:val="24"/>
          <w:szCs w:val="24"/>
        </w:rPr>
        <w:t>Annual review of public health</w:t>
      </w:r>
      <w:r w:rsidRPr="004A53DA">
        <w:rPr>
          <w:rFonts w:ascii="Arial" w:hAnsi="Arial" w:cs="Arial"/>
          <w:sz w:val="24"/>
          <w:szCs w:val="24"/>
        </w:rPr>
        <w:t>, </w:t>
      </w:r>
      <w:r w:rsidRPr="004A53DA">
        <w:rPr>
          <w:rFonts w:ascii="Arial" w:hAnsi="Arial" w:cs="Arial"/>
          <w:i/>
          <w:iCs/>
          <w:sz w:val="24"/>
          <w:szCs w:val="24"/>
        </w:rPr>
        <w:t>32</w:t>
      </w:r>
      <w:r w:rsidRPr="004A53DA">
        <w:rPr>
          <w:rFonts w:ascii="Arial" w:hAnsi="Arial" w:cs="Arial"/>
          <w:sz w:val="24"/>
          <w:szCs w:val="24"/>
        </w:rPr>
        <w:t xml:space="preserve">(1), 263-283. </w:t>
      </w:r>
      <w:hyperlink r:id="rId33" w:history="1">
        <w:r w:rsidRPr="004A53DA">
          <w:rPr>
            <w:rFonts w:ascii="Arial" w:hAnsi="Arial" w:cs="Arial"/>
            <w:sz w:val="24"/>
            <w:szCs w:val="24"/>
            <w:u w:val="single"/>
          </w:rPr>
          <w:t>annurev-publhealth-031210-101225.pdf</w:t>
        </w:r>
      </w:hyperlink>
      <w:r w:rsidRPr="004A53DA">
        <w:rPr>
          <w:rFonts w:ascii="Arial" w:hAnsi="Arial" w:cs="Arial"/>
          <w:sz w:val="24"/>
          <w:szCs w:val="24"/>
        </w:rPr>
        <w:t xml:space="preserve">  </w:t>
      </w:r>
    </w:p>
    <w:p w14:paraId="2D558F4A" w14:textId="522C91F1"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MacDonald, J. P., Cunsolo Willox, A., Ford, J. D., Shiwak, I., Wood, M., &amp; IMHACC Team. (2015). </w:t>
      </w:r>
      <w:r w:rsidRPr="004A53DA">
        <w:rPr>
          <w:rFonts w:ascii="Arial" w:hAnsi="Arial" w:cs="Arial"/>
          <w:i/>
          <w:iCs/>
          <w:sz w:val="24"/>
          <w:szCs w:val="24"/>
        </w:rPr>
        <w:t>Protective factors for mental health and well-being in a changing climate: Perspectives from Inuit youth in Nunatsiavut, Labrador.</w:t>
      </w:r>
      <w:r w:rsidRPr="004A53DA">
        <w:rPr>
          <w:rFonts w:ascii="Arial" w:hAnsi="Arial" w:cs="Arial"/>
          <w:sz w:val="24"/>
          <w:szCs w:val="24"/>
        </w:rPr>
        <w:t xml:space="preserve"> </w:t>
      </w:r>
      <w:r w:rsidRPr="004A53DA">
        <w:rPr>
          <w:rFonts w:ascii="Arial" w:hAnsi="Arial" w:cs="Arial"/>
          <w:i/>
          <w:iCs/>
          <w:sz w:val="24"/>
          <w:szCs w:val="24"/>
        </w:rPr>
        <w:t>Social Science &amp; Medicine, 141,</w:t>
      </w:r>
      <w:r w:rsidRPr="004A53DA">
        <w:rPr>
          <w:rFonts w:ascii="Arial" w:hAnsi="Arial" w:cs="Arial"/>
          <w:sz w:val="24"/>
          <w:szCs w:val="24"/>
        </w:rPr>
        <w:t xml:space="preserve"> 133–141. </w:t>
      </w:r>
      <w:hyperlink r:id="rId34" w:tgtFrame="_new" w:history="1">
        <w:r w:rsidRPr="004A53DA">
          <w:rPr>
            <w:rStyle w:val="Hyperlink"/>
            <w:rFonts w:ascii="Arial" w:hAnsi="Arial" w:cs="Arial"/>
            <w:color w:val="auto"/>
            <w:sz w:val="24"/>
            <w:szCs w:val="24"/>
          </w:rPr>
          <w:t>https://doi.org/10.1016/j.socscimed.2015.07.017</w:t>
        </w:r>
      </w:hyperlink>
    </w:p>
    <w:p w14:paraId="4666DC61"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Ministry of Youth Affairs and Sports. (2017). </w:t>
      </w:r>
      <w:r w:rsidRPr="004A53DA">
        <w:rPr>
          <w:rFonts w:ascii="Arial" w:hAnsi="Arial" w:cs="Arial"/>
          <w:i/>
          <w:iCs/>
          <w:sz w:val="24"/>
          <w:szCs w:val="24"/>
        </w:rPr>
        <w:t>National Code for Good Governance in Sports (NCGGS 2017).</w:t>
      </w:r>
      <w:r w:rsidRPr="004A53DA">
        <w:rPr>
          <w:rFonts w:ascii="Arial" w:hAnsi="Arial" w:cs="Arial"/>
          <w:sz w:val="24"/>
          <w:szCs w:val="24"/>
        </w:rPr>
        <w:t xml:space="preserve"> Government of India. </w:t>
      </w:r>
      <w:hyperlink r:id="rId35" w:tgtFrame="_new" w:history="1">
        <w:r w:rsidRPr="004A53DA">
          <w:rPr>
            <w:rStyle w:val="Hyperlink"/>
            <w:rFonts w:ascii="Arial" w:hAnsi="Arial" w:cs="Arial"/>
            <w:color w:val="auto"/>
            <w:sz w:val="24"/>
            <w:szCs w:val="24"/>
          </w:rPr>
          <w:t>https://yas.nic.in/sites/default/files/Draft%20National%20Code%20for%20Good%20Governance%20in%20Sports.pdf</w:t>
        </w:r>
      </w:hyperlink>
    </w:p>
    <w:p w14:paraId="73214E8D"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Moore, S. C., et al. (2012). Leisure time physical activity of moderate to vigorous intensity and mortality: A large pooled cohort analysis. </w:t>
      </w:r>
      <w:proofErr w:type="spellStart"/>
      <w:r w:rsidRPr="004A53DA">
        <w:rPr>
          <w:rFonts w:ascii="Arial" w:hAnsi="Arial" w:cs="Arial"/>
          <w:i/>
          <w:iCs/>
          <w:sz w:val="24"/>
          <w:szCs w:val="24"/>
        </w:rPr>
        <w:t>PLoS</w:t>
      </w:r>
      <w:proofErr w:type="spellEnd"/>
      <w:r w:rsidRPr="004A53DA">
        <w:rPr>
          <w:rFonts w:ascii="Arial" w:hAnsi="Arial" w:cs="Arial"/>
          <w:i/>
          <w:iCs/>
          <w:sz w:val="24"/>
          <w:szCs w:val="24"/>
        </w:rPr>
        <w:t xml:space="preserve"> Medicine, 9</w:t>
      </w:r>
      <w:r w:rsidRPr="004A53DA">
        <w:rPr>
          <w:rFonts w:ascii="Arial" w:hAnsi="Arial" w:cs="Arial"/>
          <w:sz w:val="24"/>
          <w:szCs w:val="24"/>
        </w:rPr>
        <w:t>(11), e1001335.</w:t>
      </w:r>
    </w:p>
    <w:p w14:paraId="5FCF64D7"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Peluso, M. A. M., &amp; de Andrade, L. H. S. G. (2005). Physical activity and mental health: The association between exercise and mood. </w:t>
      </w:r>
      <w:r w:rsidRPr="004A53DA">
        <w:rPr>
          <w:rFonts w:ascii="Arial" w:hAnsi="Arial" w:cs="Arial"/>
          <w:i/>
          <w:iCs/>
          <w:sz w:val="24"/>
          <w:szCs w:val="24"/>
        </w:rPr>
        <w:t>Clinics, 60</w:t>
      </w:r>
      <w:r w:rsidRPr="004A53DA">
        <w:rPr>
          <w:rFonts w:ascii="Arial" w:hAnsi="Arial" w:cs="Arial"/>
          <w:sz w:val="24"/>
          <w:szCs w:val="24"/>
        </w:rPr>
        <w:t>(1), 61–70.</w:t>
      </w:r>
    </w:p>
    <w:p w14:paraId="22041572" w14:textId="183F505F"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Parmar, M. S., Sahu, K. K., &amp; Roy, P. (2023). </w:t>
      </w:r>
      <w:proofErr w:type="spellStart"/>
      <w:r w:rsidRPr="004A53DA">
        <w:rPr>
          <w:rFonts w:ascii="Arial" w:hAnsi="Arial" w:cs="Arial"/>
          <w:sz w:val="24"/>
          <w:szCs w:val="24"/>
        </w:rPr>
        <w:t>Analysing</w:t>
      </w:r>
      <w:proofErr w:type="spellEnd"/>
      <w:r w:rsidRPr="004A53DA">
        <w:rPr>
          <w:rFonts w:ascii="Arial" w:hAnsi="Arial" w:cs="Arial"/>
          <w:sz w:val="24"/>
          <w:szCs w:val="24"/>
        </w:rPr>
        <w:t xml:space="preserve"> the impact of </w:t>
      </w:r>
      <w:proofErr w:type="spellStart"/>
      <w:r w:rsidRPr="004A53DA">
        <w:rPr>
          <w:rFonts w:ascii="Arial" w:hAnsi="Arial" w:cs="Arial"/>
          <w:sz w:val="24"/>
          <w:szCs w:val="24"/>
        </w:rPr>
        <w:t>Khelo</w:t>
      </w:r>
      <w:proofErr w:type="spellEnd"/>
      <w:r w:rsidRPr="004A53DA">
        <w:rPr>
          <w:rFonts w:ascii="Arial" w:hAnsi="Arial" w:cs="Arial"/>
          <w:sz w:val="24"/>
          <w:szCs w:val="24"/>
        </w:rPr>
        <w:t xml:space="preserve"> India program on training and nurturing of talent in northeast region of India. </w:t>
      </w:r>
      <w:hyperlink r:id="rId36" w:history="1">
        <w:r w:rsidRPr="004A53DA">
          <w:rPr>
            <w:rStyle w:val="Hyperlink"/>
            <w:rFonts w:ascii="Arial" w:hAnsi="Arial" w:cs="Arial"/>
            <w:color w:val="auto"/>
            <w:sz w:val="24"/>
            <w:szCs w:val="24"/>
          </w:rPr>
          <w:t>https://doi.org/10.22271/kheljournal.2023.v10.i3b.2933</w:t>
        </w:r>
      </w:hyperlink>
    </w:p>
    <w:p w14:paraId="11B77056"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Philip, P. M., Kannan, S., &amp; </w:t>
      </w:r>
      <w:proofErr w:type="spellStart"/>
      <w:r w:rsidRPr="004A53DA">
        <w:rPr>
          <w:rFonts w:ascii="Arial" w:hAnsi="Arial" w:cs="Arial"/>
          <w:sz w:val="24"/>
          <w:szCs w:val="24"/>
        </w:rPr>
        <w:t>Parambil</w:t>
      </w:r>
      <w:proofErr w:type="spellEnd"/>
      <w:r w:rsidRPr="004A53DA">
        <w:rPr>
          <w:rFonts w:ascii="Arial" w:hAnsi="Arial" w:cs="Arial"/>
          <w:sz w:val="24"/>
          <w:szCs w:val="24"/>
        </w:rPr>
        <w:t xml:space="preserve">, N. A. (2018). Community-based interventions for health promotion and disease prevention in </w:t>
      </w:r>
      <w:r w:rsidRPr="004A53DA">
        <w:rPr>
          <w:rFonts w:ascii="Arial" w:hAnsi="Arial" w:cs="Arial"/>
          <w:sz w:val="24"/>
          <w:szCs w:val="24"/>
        </w:rPr>
        <w:lastRenderedPageBreak/>
        <w:t xml:space="preserve">noncommunicable diseases: A narrative review. </w:t>
      </w:r>
      <w:r w:rsidRPr="004A53DA">
        <w:rPr>
          <w:rFonts w:ascii="Arial" w:hAnsi="Arial" w:cs="Arial"/>
          <w:i/>
          <w:iCs/>
          <w:sz w:val="24"/>
          <w:szCs w:val="24"/>
        </w:rPr>
        <w:t>Journal of Education and Health Promotion, 7</w:t>
      </w:r>
      <w:r w:rsidRPr="004A53DA">
        <w:rPr>
          <w:rFonts w:ascii="Arial" w:hAnsi="Arial" w:cs="Arial"/>
          <w:sz w:val="24"/>
          <w:szCs w:val="24"/>
        </w:rPr>
        <w:t xml:space="preserve">(1), 141. </w:t>
      </w:r>
      <w:hyperlink r:id="rId37" w:tgtFrame="_new" w:history="1">
        <w:r w:rsidRPr="004A53DA">
          <w:rPr>
            <w:rStyle w:val="Hyperlink"/>
            <w:rFonts w:ascii="Arial" w:hAnsi="Arial" w:cs="Arial"/>
            <w:color w:val="auto"/>
            <w:sz w:val="24"/>
            <w:szCs w:val="24"/>
          </w:rPr>
          <w:t>https://doi.org/10.4103/jehp.jehp_145_18</w:t>
        </w:r>
      </w:hyperlink>
    </w:p>
    <w:p w14:paraId="28C7977D" w14:textId="7F4B8253"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proofErr w:type="spellStart"/>
      <w:r w:rsidRPr="004A53DA">
        <w:rPr>
          <w:rFonts w:ascii="Arial" w:hAnsi="Arial" w:cs="Arial"/>
          <w:sz w:val="24"/>
          <w:szCs w:val="24"/>
        </w:rPr>
        <w:t>Polatcan</w:t>
      </w:r>
      <w:proofErr w:type="spellEnd"/>
      <w:r w:rsidRPr="004A53DA">
        <w:rPr>
          <w:rFonts w:ascii="Arial" w:hAnsi="Arial" w:cs="Arial"/>
          <w:sz w:val="24"/>
          <w:szCs w:val="24"/>
        </w:rPr>
        <w:t xml:space="preserve">, F., &amp; Sahin, N. (2019). </w:t>
      </w:r>
      <w:r w:rsidRPr="004A53DA">
        <w:rPr>
          <w:rFonts w:ascii="Arial" w:hAnsi="Arial" w:cs="Arial"/>
          <w:i/>
          <w:iCs/>
          <w:sz w:val="24"/>
          <w:szCs w:val="24"/>
        </w:rPr>
        <w:t>The effect of secondary school students' writing tendencies and self-efficacy on writing attitudes: A structural equation modeling.</w:t>
      </w:r>
      <w:r w:rsidRPr="004A53DA">
        <w:rPr>
          <w:rFonts w:ascii="Arial" w:hAnsi="Arial" w:cs="Arial"/>
          <w:sz w:val="24"/>
          <w:szCs w:val="24"/>
        </w:rPr>
        <w:t xml:space="preserve"> </w:t>
      </w:r>
      <w:r w:rsidRPr="004A53DA">
        <w:rPr>
          <w:rFonts w:ascii="Arial" w:hAnsi="Arial" w:cs="Arial"/>
          <w:i/>
          <w:iCs/>
          <w:sz w:val="24"/>
          <w:szCs w:val="24"/>
        </w:rPr>
        <w:t>Journal of Language and Linguistic Studies, 15</w:t>
      </w:r>
      <w:r w:rsidRPr="004A53DA">
        <w:rPr>
          <w:rFonts w:ascii="Arial" w:hAnsi="Arial" w:cs="Arial"/>
          <w:sz w:val="24"/>
          <w:szCs w:val="24"/>
        </w:rPr>
        <w:t>(2), 739–753.</w:t>
      </w:r>
    </w:p>
    <w:p w14:paraId="0C0B5E7F"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PRS Legislative Research. (2024). </w:t>
      </w:r>
      <w:r w:rsidRPr="004A53DA">
        <w:rPr>
          <w:rFonts w:ascii="Arial" w:hAnsi="Arial" w:cs="Arial"/>
          <w:i/>
          <w:iCs/>
          <w:sz w:val="24"/>
          <w:szCs w:val="24"/>
        </w:rPr>
        <w:t xml:space="preserve">Review of functioning and performance of Sports Authority of India and </w:t>
      </w:r>
      <w:proofErr w:type="spellStart"/>
      <w:r w:rsidRPr="004A53DA">
        <w:rPr>
          <w:rFonts w:ascii="Arial" w:hAnsi="Arial" w:cs="Arial"/>
          <w:i/>
          <w:iCs/>
          <w:sz w:val="24"/>
          <w:szCs w:val="24"/>
        </w:rPr>
        <w:t>Khelo</w:t>
      </w:r>
      <w:proofErr w:type="spellEnd"/>
      <w:r w:rsidRPr="004A53DA">
        <w:rPr>
          <w:rFonts w:ascii="Arial" w:hAnsi="Arial" w:cs="Arial"/>
          <w:i/>
          <w:iCs/>
          <w:sz w:val="24"/>
          <w:szCs w:val="24"/>
        </w:rPr>
        <w:t xml:space="preserve"> India.</w:t>
      </w:r>
      <w:r w:rsidRPr="004A53DA">
        <w:rPr>
          <w:rFonts w:ascii="Arial" w:hAnsi="Arial" w:cs="Arial"/>
          <w:sz w:val="24"/>
          <w:szCs w:val="24"/>
        </w:rPr>
        <w:t xml:space="preserve"> </w:t>
      </w:r>
      <w:hyperlink r:id="rId38" w:tgtFrame="_new" w:history="1">
        <w:r w:rsidRPr="004A53DA">
          <w:rPr>
            <w:rStyle w:val="Hyperlink"/>
            <w:rFonts w:ascii="Arial" w:hAnsi="Arial" w:cs="Arial"/>
            <w:color w:val="auto"/>
            <w:sz w:val="24"/>
            <w:szCs w:val="24"/>
          </w:rPr>
          <w:t>https://prsindia.org/policy/report-summaries/review-of-functioning-and-performance-of-sports-authority-of-india-and-khelo-india</w:t>
        </w:r>
      </w:hyperlink>
    </w:p>
    <w:p w14:paraId="2B34D793"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Puetz, T. W., et al. (2006). Effects of chronic exercise on feelings of energy and fatigue: A quantitative synthesis. </w:t>
      </w:r>
      <w:r w:rsidRPr="004A53DA">
        <w:rPr>
          <w:rFonts w:ascii="Arial" w:hAnsi="Arial" w:cs="Arial"/>
          <w:i/>
          <w:iCs/>
          <w:sz w:val="24"/>
          <w:szCs w:val="24"/>
        </w:rPr>
        <w:t>Psychological Bulletin, 132</w:t>
      </w:r>
      <w:r w:rsidRPr="004A53DA">
        <w:rPr>
          <w:rFonts w:ascii="Arial" w:hAnsi="Arial" w:cs="Arial"/>
          <w:sz w:val="24"/>
          <w:szCs w:val="24"/>
        </w:rPr>
        <w:t>(6), 866–876.</w:t>
      </w:r>
    </w:p>
    <w:p w14:paraId="253EE70A"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Ross, A., &amp; Thomas, S. (2010). The health benefits of yoga and exercise: A review of comparison studies. </w:t>
      </w:r>
      <w:r w:rsidRPr="004A53DA">
        <w:rPr>
          <w:rFonts w:ascii="Arial" w:hAnsi="Arial" w:cs="Arial"/>
          <w:i/>
          <w:iCs/>
          <w:sz w:val="24"/>
          <w:szCs w:val="24"/>
        </w:rPr>
        <w:t>The Journal of Alternative and Complementary Medicine, 16</w:t>
      </w:r>
      <w:r w:rsidRPr="004A53DA">
        <w:rPr>
          <w:rFonts w:ascii="Arial" w:hAnsi="Arial" w:cs="Arial"/>
          <w:sz w:val="24"/>
          <w:szCs w:val="24"/>
        </w:rPr>
        <w:t>(1), 3–12.</w:t>
      </w:r>
    </w:p>
    <w:p w14:paraId="79322CCB"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Salmon, P. (2001). </w:t>
      </w:r>
      <w:r w:rsidRPr="004A53DA">
        <w:rPr>
          <w:rFonts w:ascii="Arial" w:hAnsi="Arial" w:cs="Arial"/>
          <w:i/>
          <w:iCs/>
          <w:sz w:val="24"/>
          <w:szCs w:val="24"/>
        </w:rPr>
        <w:t>Effects of physical exercise on anxiety, depression, and sensitivity to stress: A unifying theory.</w:t>
      </w:r>
      <w:r w:rsidRPr="004A53DA">
        <w:rPr>
          <w:rFonts w:ascii="Arial" w:hAnsi="Arial" w:cs="Arial"/>
          <w:sz w:val="24"/>
          <w:szCs w:val="24"/>
        </w:rPr>
        <w:t xml:space="preserve"> </w:t>
      </w:r>
      <w:r w:rsidRPr="004A53DA">
        <w:rPr>
          <w:rFonts w:ascii="Arial" w:hAnsi="Arial" w:cs="Arial"/>
          <w:i/>
          <w:iCs/>
          <w:sz w:val="24"/>
          <w:szCs w:val="24"/>
        </w:rPr>
        <w:t>Clinical Psychology Review, 21</w:t>
      </w:r>
      <w:r w:rsidRPr="004A53DA">
        <w:rPr>
          <w:rFonts w:ascii="Arial" w:hAnsi="Arial" w:cs="Arial"/>
          <w:sz w:val="24"/>
          <w:szCs w:val="24"/>
        </w:rPr>
        <w:t xml:space="preserve">(1), 33–61. </w:t>
      </w:r>
      <w:hyperlink r:id="rId39" w:tgtFrame="_new" w:history="1">
        <w:r w:rsidRPr="004A53DA">
          <w:rPr>
            <w:rStyle w:val="Hyperlink"/>
            <w:rFonts w:ascii="Arial" w:hAnsi="Arial" w:cs="Arial"/>
            <w:color w:val="auto"/>
            <w:sz w:val="24"/>
            <w:szCs w:val="24"/>
          </w:rPr>
          <w:t>https://doi.org/10.1016/S0272-7358(99)00032-X</w:t>
        </w:r>
      </w:hyperlink>
    </w:p>
    <w:p w14:paraId="14ED508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Schuch, F. B., Stubbs, B., Meyer, J., Heissel, A., Zech, P., </w:t>
      </w:r>
      <w:proofErr w:type="spellStart"/>
      <w:r w:rsidRPr="004A53DA">
        <w:rPr>
          <w:rFonts w:ascii="Arial" w:hAnsi="Arial" w:cs="Arial"/>
          <w:sz w:val="24"/>
          <w:szCs w:val="24"/>
        </w:rPr>
        <w:t>Vancampfort</w:t>
      </w:r>
      <w:proofErr w:type="spellEnd"/>
      <w:r w:rsidRPr="004A53DA">
        <w:rPr>
          <w:rFonts w:ascii="Arial" w:hAnsi="Arial" w:cs="Arial"/>
          <w:sz w:val="24"/>
          <w:szCs w:val="24"/>
        </w:rPr>
        <w:t xml:space="preserve">, D., Rosenbaum, S., </w:t>
      </w:r>
      <w:proofErr w:type="spellStart"/>
      <w:r w:rsidRPr="004A53DA">
        <w:rPr>
          <w:rFonts w:ascii="Arial" w:hAnsi="Arial" w:cs="Arial"/>
          <w:sz w:val="24"/>
          <w:szCs w:val="24"/>
        </w:rPr>
        <w:t>Deenik</w:t>
      </w:r>
      <w:proofErr w:type="spellEnd"/>
      <w:r w:rsidRPr="004A53DA">
        <w:rPr>
          <w:rFonts w:ascii="Arial" w:hAnsi="Arial" w:cs="Arial"/>
          <w:sz w:val="24"/>
          <w:szCs w:val="24"/>
        </w:rPr>
        <w:t xml:space="preserve">, J., Firth, J., Ward, P. B., Carvalho, A. F., &amp; Hiles, S. A. (2019). Physical activity protects from incident anxiety: A meta-analysis of prospective cohort studies. </w:t>
      </w:r>
      <w:r w:rsidRPr="004A53DA">
        <w:rPr>
          <w:rFonts w:ascii="Arial" w:hAnsi="Arial" w:cs="Arial"/>
          <w:i/>
          <w:iCs/>
          <w:sz w:val="24"/>
          <w:szCs w:val="24"/>
        </w:rPr>
        <w:t>Depression and Anxiety, 36</w:t>
      </w:r>
      <w:r w:rsidRPr="004A53DA">
        <w:rPr>
          <w:rFonts w:ascii="Arial" w:hAnsi="Arial" w:cs="Arial"/>
          <w:sz w:val="24"/>
          <w:szCs w:val="24"/>
        </w:rPr>
        <w:t xml:space="preserve">(9), 846–858. </w:t>
      </w:r>
      <w:hyperlink r:id="rId40" w:tgtFrame="_new" w:history="1">
        <w:r w:rsidRPr="004A53DA">
          <w:rPr>
            <w:rStyle w:val="Hyperlink"/>
            <w:rFonts w:ascii="Arial" w:hAnsi="Arial" w:cs="Arial"/>
            <w:color w:val="auto"/>
            <w:sz w:val="24"/>
            <w:szCs w:val="24"/>
          </w:rPr>
          <w:t>https://doi.org/10.1002/da.22915</w:t>
        </w:r>
      </w:hyperlink>
    </w:p>
    <w:p w14:paraId="0334D9A2" w14:textId="4D8CA67A" w:rsidR="004A53DA" w:rsidRPr="00B0719B" w:rsidRDefault="004A53DA" w:rsidP="00B0719B">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Singh, H., Bhargava, S., Ganeshan, S., Kaur, R., Sethi, T., Sharma, M., … </w:t>
      </w:r>
      <w:proofErr w:type="spellStart"/>
      <w:r w:rsidRPr="004A53DA">
        <w:rPr>
          <w:rFonts w:ascii="Arial" w:hAnsi="Arial" w:cs="Arial"/>
          <w:sz w:val="24"/>
          <w:szCs w:val="24"/>
        </w:rPr>
        <w:t>Brahmachari</w:t>
      </w:r>
      <w:proofErr w:type="spellEnd"/>
      <w:r w:rsidRPr="004A53DA">
        <w:rPr>
          <w:rFonts w:ascii="Arial" w:hAnsi="Arial" w:cs="Arial"/>
          <w:sz w:val="24"/>
          <w:szCs w:val="24"/>
        </w:rPr>
        <w:t>, S. K. (2018). Big Data Analysis of Traditional Knowledge-based Ayurveda Medicine. </w:t>
      </w:r>
      <w:r w:rsidRPr="004A53DA">
        <w:rPr>
          <w:rFonts w:ascii="Arial" w:hAnsi="Arial" w:cs="Arial"/>
          <w:i/>
          <w:iCs/>
          <w:sz w:val="24"/>
          <w:szCs w:val="24"/>
        </w:rPr>
        <w:t>Progress in Preventive Medicine</w:t>
      </w:r>
      <w:r w:rsidRPr="004A53DA">
        <w:rPr>
          <w:rFonts w:ascii="Arial" w:hAnsi="Arial" w:cs="Arial"/>
          <w:sz w:val="24"/>
          <w:szCs w:val="24"/>
        </w:rPr>
        <w:t>, </w:t>
      </w:r>
      <w:r w:rsidRPr="004A53DA">
        <w:rPr>
          <w:rFonts w:ascii="Arial" w:hAnsi="Arial" w:cs="Arial"/>
          <w:i/>
          <w:iCs/>
          <w:sz w:val="24"/>
          <w:szCs w:val="24"/>
        </w:rPr>
        <w:t>3</w:t>
      </w:r>
      <w:r w:rsidRPr="004A53DA">
        <w:rPr>
          <w:rFonts w:ascii="Arial" w:hAnsi="Arial" w:cs="Arial"/>
          <w:sz w:val="24"/>
          <w:szCs w:val="24"/>
        </w:rPr>
        <w:t xml:space="preserve">(5). </w:t>
      </w:r>
      <w:hyperlink r:id="rId41" w:history="1">
        <w:r w:rsidRPr="004A53DA">
          <w:rPr>
            <w:rStyle w:val="Hyperlink"/>
            <w:rFonts w:ascii="Arial" w:hAnsi="Arial" w:cs="Arial"/>
            <w:color w:val="auto"/>
            <w:sz w:val="24"/>
            <w:szCs w:val="24"/>
          </w:rPr>
          <w:t>https://doi.org/10.1097/pp9.0000000000000020</w:t>
        </w:r>
      </w:hyperlink>
    </w:p>
    <w:p w14:paraId="1D8DDFD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Singh, G., &amp; Bali, A. (2022). Play India Youth Games (</w:t>
      </w:r>
      <w:proofErr w:type="spellStart"/>
      <w:r w:rsidRPr="004A53DA">
        <w:rPr>
          <w:rFonts w:ascii="Arial" w:hAnsi="Arial" w:cs="Arial"/>
          <w:sz w:val="24"/>
          <w:szCs w:val="24"/>
        </w:rPr>
        <w:t>Khelo</w:t>
      </w:r>
      <w:proofErr w:type="spellEnd"/>
      <w:r w:rsidRPr="004A53DA">
        <w:rPr>
          <w:rFonts w:ascii="Arial" w:hAnsi="Arial" w:cs="Arial"/>
          <w:sz w:val="24"/>
          <w:szCs w:val="24"/>
        </w:rPr>
        <w:t xml:space="preserve"> India): Scheme for promotion of sports in India. </w:t>
      </w:r>
      <w:r w:rsidRPr="004A53DA">
        <w:rPr>
          <w:rFonts w:ascii="Arial" w:hAnsi="Arial" w:cs="Arial"/>
          <w:i/>
          <w:iCs/>
          <w:sz w:val="24"/>
          <w:szCs w:val="24"/>
        </w:rPr>
        <w:t>Indian Journal of Physiotherapy and Occupational Therapy, 14</w:t>
      </w:r>
      <w:r w:rsidRPr="004A53DA">
        <w:rPr>
          <w:rFonts w:ascii="Arial" w:hAnsi="Arial" w:cs="Arial"/>
          <w:sz w:val="24"/>
          <w:szCs w:val="24"/>
        </w:rPr>
        <w:t xml:space="preserve">(2). </w:t>
      </w:r>
      <w:hyperlink r:id="rId42" w:tgtFrame="_new" w:history="1">
        <w:r w:rsidRPr="004A53DA">
          <w:rPr>
            <w:rStyle w:val="Hyperlink"/>
            <w:rFonts w:ascii="Arial" w:hAnsi="Arial" w:cs="Arial"/>
            <w:color w:val="auto"/>
            <w:sz w:val="24"/>
            <w:szCs w:val="24"/>
          </w:rPr>
          <w:t>https://doi.org/10.37506/ijpot.v14i2.2609</w:t>
        </w:r>
      </w:hyperlink>
    </w:p>
    <w:p w14:paraId="66CFFEBC"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Skinner, K., Hanning, R., &amp; Tsuji, L. (2006). </w:t>
      </w:r>
      <w:r w:rsidRPr="004A53DA">
        <w:rPr>
          <w:rFonts w:ascii="Arial" w:hAnsi="Arial" w:cs="Arial"/>
          <w:i/>
          <w:iCs/>
          <w:sz w:val="24"/>
          <w:szCs w:val="24"/>
        </w:rPr>
        <w:t>Barriers and supports for healthy eating and physical activity for First Nation youths in northern Canada.</w:t>
      </w:r>
      <w:r w:rsidRPr="004A53DA">
        <w:rPr>
          <w:rFonts w:ascii="Arial" w:hAnsi="Arial" w:cs="Arial"/>
          <w:sz w:val="24"/>
          <w:szCs w:val="24"/>
        </w:rPr>
        <w:t xml:space="preserve"> </w:t>
      </w:r>
      <w:r w:rsidRPr="004A53DA">
        <w:rPr>
          <w:rFonts w:ascii="Arial" w:hAnsi="Arial" w:cs="Arial"/>
          <w:i/>
          <w:iCs/>
          <w:sz w:val="24"/>
          <w:szCs w:val="24"/>
        </w:rPr>
        <w:t>International Journal of Circumpolar Health, 65</w:t>
      </w:r>
      <w:r w:rsidRPr="004A53DA">
        <w:rPr>
          <w:rFonts w:ascii="Arial" w:hAnsi="Arial" w:cs="Arial"/>
          <w:sz w:val="24"/>
          <w:szCs w:val="24"/>
        </w:rPr>
        <w:t xml:space="preserve">(2), 148–161. </w:t>
      </w:r>
      <w:hyperlink r:id="rId43" w:tgtFrame="_new" w:history="1">
        <w:r w:rsidRPr="004A53DA">
          <w:rPr>
            <w:rStyle w:val="Hyperlink"/>
            <w:rFonts w:ascii="Arial" w:hAnsi="Arial" w:cs="Arial"/>
            <w:color w:val="auto"/>
            <w:sz w:val="24"/>
            <w:szCs w:val="24"/>
          </w:rPr>
          <w:t>https://doi.org/10.3402/ijch.v65i2.18095</w:t>
        </w:r>
      </w:hyperlink>
    </w:p>
    <w:p w14:paraId="546C70C6"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Shah, A. J., Khan, A., Haleem Ur Rehman, S. R., Khan, M. J., Waqas, M., &amp; Ahmad, K. (2017). Impact of recreational activities upon psychological wellbeing. </w:t>
      </w:r>
      <w:r w:rsidRPr="004A53DA">
        <w:rPr>
          <w:rFonts w:ascii="Arial" w:hAnsi="Arial" w:cs="Arial"/>
          <w:i/>
          <w:iCs/>
          <w:sz w:val="24"/>
          <w:szCs w:val="24"/>
        </w:rPr>
        <w:t>International Journal of Physical and Educational Sport and Technologies</w:t>
      </w:r>
      <w:r w:rsidRPr="004A53DA">
        <w:rPr>
          <w:rFonts w:ascii="Arial" w:hAnsi="Arial" w:cs="Arial"/>
          <w:sz w:val="24"/>
          <w:szCs w:val="24"/>
        </w:rPr>
        <w:t>, </w:t>
      </w:r>
      <w:r w:rsidRPr="004A53DA">
        <w:rPr>
          <w:rFonts w:ascii="Arial" w:hAnsi="Arial" w:cs="Arial"/>
          <w:i/>
          <w:iCs/>
          <w:sz w:val="24"/>
          <w:szCs w:val="24"/>
        </w:rPr>
        <w:t>2</w:t>
      </w:r>
      <w:r w:rsidRPr="004A53DA">
        <w:rPr>
          <w:rFonts w:ascii="Arial" w:hAnsi="Arial" w:cs="Arial"/>
          <w:sz w:val="24"/>
          <w:szCs w:val="24"/>
        </w:rPr>
        <w:t>(6), 19-23.</w:t>
      </w:r>
    </w:p>
    <w:p w14:paraId="5F2F4D25"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Sonstroem, R. J., &amp; Morgan, W. P. (1989). Exercise and self-esteem: Rationale and model. </w:t>
      </w:r>
      <w:r w:rsidRPr="004A53DA">
        <w:rPr>
          <w:rFonts w:ascii="Arial" w:hAnsi="Arial" w:cs="Arial"/>
          <w:i/>
          <w:iCs/>
          <w:sz w:val="24"/>
          <w:szCs w:val="24"/>
        </w:rPr>
        <w:t>Medicine and Science in Sports and Exercise, 21</w:t>
      </w:r>
      <w:r w:rsidRPr="004A53DA">
        <w:rPr>
          <w:rFonts w:ascii="Arial" w:hAnsi="Arial" w:cs="Arial"/>
          <w:sz w:val="24"/>
          <w:szCs w:val="24"/>
        </w:rPr>
        <w:t>(3), 329–337.</w:t>
      </w:r>
    </w:p>
    <w:p w14:paraId="34AF6FE4"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Stathopoulou, G., Powers, M. B., Berry, A. C., Smits, J. A. J., &amp; Otto, M. W. (2006). Exercise interventions for mental health: A quantitative and qualitative review. </w:t>
      </w:r>
      <w:r w:rsidRPr="004A53DA">
        <w:rPr>
          <w:rFonts w:ascii="Arial" w:hAnsi="Arial" w:cs="Arial"/>
          <w:i/>
          <w:iCs/>
          <w:sz w:val="24"/>
          <w:szCs w:val="24"/>
        </w:rPr>
        <w:t>Clinical Psychology: Science and Practice, 13</w:t>
      </w:r>
      <w:r w:rsidRPr="004A53DA">
        <w:rPr>
          <w:rFonts w:ascii="Arial" w:hAnsi="Arial" w:cs="Arial"/>
          <w:sz w:val="24"/>
          <w:szCs w:val="24"/>
        </w:rPr>
        <w:t>(2), 179–193.</w:t>
      </w:r>
    </w:p>
    <w:p w14:paraId="49644370"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lastRenderedPageBreak/>
        <w:t xml:space="preserve">Strickland, J. C., &amp; Smith, M. A. (2014). The anxiolytic effects of resistance exercise. </w:t>
      </w:r>
      <w:r w:rsidRPr="004A53DA">
        <w:rPr>
          <w:rFonts w:ascii="Arial" w:hAnsi="Arial" w:cs="Arial"/>
          <w:i/>
          <w:iCs/>
          <w:sz w:val="24"/>
          <w:szCs w:val="24"/>
        </w:rPr>
        <w:t>Frontiers in Psychology, 5</w:t>
      </w:r>
      <w:r w:rsidRPr="004A53DA">
        <w:rPr>
          <w:rFonts w:ascii="Arial" w:hAnsi="Arial" w:cs="Arial"/>
          <w:sz w:val="24"/>
          <w:szCs w:val="24"/>
        </w:rPr>
        <w:t xml:space="preserve">, 753. </w:t>
      </w:r>
      <w:hyperlink r:id="rId44" w:tgtFrame="_new" w:history="1">
        <w:r w:rsidRPr="004A53DA">
          <w:rPr>
            <w:rStyle w:val="Hyperlink"/>
            <w:rFonts w:ascii="Arial" w:hAnsi="Arial" w:cs="Arial"/>
            <w:color w:val="auto"/>
            <w:sz w:val="24"/>
            <w:szCs w:val="24"/>
          </w:rPr>
          <w:t>https://doi.org/10.3389/fpsyg.2014.00753</w:t>
        </w:r>
      </w:hyperlink>
    </w:p>
    <w:p w14:paraId="267BEFB6"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Telles, S., Joshi, M., &amp; Dash, M. (2004). An evaluation of the ability to voluntarily reduce the heart rate after a month of yoga practice. </w:t>
      </w:r>
      <w:r w:rsidRPr="004A53DA">
        <w:rPr>
          <w:rFonts w:ascii="Arial" w:hAnsi="Arial" w:cs="Arial"/>
          <w:i/>
          <w:iCs/>
          <w:sz w:val="24"/>
          <w:szCs w:val="24"/>
        </w:rPr>
        <w:t>Integrative Psychological and Behavioral Science, 39,</w:t>
      </w:r>
      <w:r w:rsidRPr="004A53DA">
        <w:rPr>
          <w:rFonts w:ascii="Arial" w:hAnsi="Arial" w:cs="Arial"/>
          <w:sz w:val="24"/>
          <w:szCs w:val="24"/>
        </w:rPr>
        <w:t xml:space="preserve"> 119–125. </w:t>
      </w:r>
      <w:hyperlink r:id="rId45" w:tgtFrame="_new" w:history="1">
        <w:r w:rsidRPr="004A53DA">
          <w:rPr>
            <w:rStyle w:val="Hyperlink"/>
            <w:rFonts w:ascii="Arial" w:hAnsi="Arial" w:cs="Arial"/>
            <w:color w:val="auto"/>
            <w:sz w:val="24"/>
            <w:szCs w:val="24"/>
          </w:rPr>
          <w:t>https://doi.org/10.1007/BF02734277</w:t>
        </w:r>
      </w:hyperlink>
    </w:p>
    <w:p w14:paraId="7BA7F2A7"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The New Indian Express. (2020, December 20). Sports Ministry approves inclusion of four indigenous games in </w:t>
      </w:r>
      <w:proofErr w:type="spellStart"/>
      <w:r w:rsidRPr="004A53DA">
        <w:rPr>
          <w:rFonts w:ascii="Arial" w:hAnsi="Arial" w:cs="Arial"/>
          <w:sz w:val="24"/>
          <w:szCs w:val="24"/>
        </w:rPr>
        <w:t>Khelo</w:t>
      </w:r>
      <w:proofErr w:type="spellEnd"/>
      <w:r w:rsidRPr="004A53DA">
        <w:rPr>
          <w:rFonts w:ascii="Arial" w:hAnsi="Arial" w:cs="Arial"/>
          <w:sz w:val="24"/>
          <w:szCs w:val="24"/>
        </w:rPr>
        <w:t xml:space="preserve"> India Youth Games. </w:t>
      </w:r>
      <w:r w:rsidRPr="004A53DA">
        <w:rPr>
          <w:rFonts w:ascii="Arial" w:hAnsi="Arial" w:cs="Arial"/>
          <w:i/>
          <w:iCs/>
          <w:sz w:val="24"/>
          <w:szCs w:val="24"/>
        </w:rPr>
        <w:t>The New Indian Express.</w:t>
      </w:r>
      <w:r w:rsidRPr="004A53DA">
        <w:rPr>
          <w:rFonts w:ascii="Arial" w:hAnsi="Arial" w:cs="Arial"/>
          <w:sz w:val="24"/>
          <w:szCs w:val="24"/>
        </w:rPr>
        <w:t xml:space="preserve"> </w:t>
      </w:r>
      <w:hyperlink r:id="rId46" w:tgtFrame="_new" w:history="1">
        <w:r w:rsidRPr="004A53DA">
          <w:rPr>
            <w:rStyle w:val="Hyperlink"/>
            <w:rFonts w:ascii="Arial" w:hAnsi="Arial" w:cs="Arial"/>
            <w:color w:val="auto"/>
            <w:sz w:val="24"/>
            <w:szCs w:val="24"/>
          </w:rPr>
          <w:t>https://www.newindianexpress.com/sport/other/2020/dec/20/sports-ministry-approves-inclusion-of-four-indigenous-games-in-khelo-india-youth-games-2238817.html</w:t>
        </w:r>
      </w:hyperlink>
    </w:p>
    <w:p w14:paraId="7514F331"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Thompson, S. L., </w:t>
      </w:r>
      <w:proofErr w:type="spellStart"/>
      <w:r w:rsidRPr="004A53DA">
        <w:rPr>
          <w:rFonts w:ascii="Arial" w:hAnsi="Arial" w:cs="Arial"/>
          <w:sz w:val="24"/>
          <w:szCs w:val="24"/>
        </w:rPr>
        <w:t>Chenhall</w:t>
      </w:r>
      <w:proofErr w:type="spellEnd"/>
      <w:r w:rsidRPr="004A53DA">
        <w:rPr>
          <w:rFonts w:ascii="Arial" w:hAnsi="Arial" w:cs="Arial"/>
          <w:sz w:val="24"/>
          <w:szCs w:val="24"/>
        </w:rPr>
        <w:t xml:space="preserve">, R. D., &amp; Brimblecombe, J. K. (2013). </w:t>
      </w:r>
      <w:r w:rsidRPr="004A53DA">
        <w:rPr>
          <w:rFonts w:ascii="Arial" w:hAnsi="Arial" w:cs="Arial"/>
          <w:i/>
          <w:iCs/>
          <w:sz w:val="24"/>
          <w:szCs w:val="24"/>
        </w:rPr>
        <w:t>Indigenous perspectives on active living in remote Australia: A qualitative exploration of the socio-cultural link between health, the environment and economics.</w:t>
      </w:r>
      <w:r w:rsidRPr="004A53DA">
        <w:rPr>
          <w:rFonts w:ascii="Arial" w:hAnsi="Arial" w:cs="Arial"/>
          <w:sz w:val="24"/>
          <w:szCs w:val="24"/>
        </w:rPr>
        <w:t xml:space="preserve"> </w:t>
      </w:r>
      <w:r w:rsidRPr="004A53DA">
        <w:rPr>
          <w:rFonts w:ascii="Arial" w:hAnsi="Arial" w:cs="Arial"/>
          <w:i/>
          <w:iCs/>
          <w:sz w:val="24"/>
          <w:szCs w:val="24"/>
        </w:rPr>
        <w:t>BMC Public Health, 13,</w:t>
      </w:r>
      <w:r w:rsidRPr="004A53DA">
        <w:rPr>
          <w:rFonts w:ascii="Arial" w:hAnsi="Arial" w:cs="Arial"/>
          <w:sz w:val="24"/>
          <w:szCs w:val="24"/>
        </w:rPr>
        <w:t xml:space="preserve"> Article 473. </w:t>
      </w:r>
      <w:hyperlink r:id="rId47" w:tgtFrame="_new" w:history="1">
        <w:r w:rsidRPr="004A53DA">
          <w:rPr>
            <w:rStyle w:val="Hyperlink"/>
            <w:rFonts w:ascii="Arial" w:hAnsi="Arial" w:cs="Arial"/>
            <w:color w:val="auto"/>
            <w:sz w:val="24"/>
            <w:szCs w:val="24"/>
          </w:rPr>
          <w:t>https://doi.org/10.1186/1471-2458-13-473</w:t>
        </w:r>
      </w:hyperlink>
    </w:p>
    <w:p w14:paraId="3FC288D3"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bookmarkStart w:id="10" w:name="_Hlk212672131"/>
      <w:r w:rsidRPr="004A53DA">
        <w:rPr>
          <w:rFonts w:ascii="Arial" w:hAnsi="Arial" w:cs="Arial"/>
          <w:sz w:val="24"/>
          <w:szCs w:val="24"/>
        </w:rPr>
        <w:t>Thompson</w:t>
      </w:r>
      <w:bookmarkEnd w:id="10"/>
      <w:r w:rsidRPr="004A53DA">
        <w:rPr>
          <w:rFonts w:ascii="Arial" w:hAnsi="Arial" w:cs="Arial"/>
          <w:sz w:val="24"/>
          <w:szCs w:val="24"/>
        </w:rPr>
        <w:t xml:space="preserve">, P. D., </w:t>
      </w:r>
      <w:proofErr w:type="spellStart"/>
      <w:r w:rsidRPr="004A53DA">
        <w:rPr>
          <w:rFonts w:ascii="Arial" w:hAnsi="Arial" w:cs="Arial"/>
          <w:sz w:val="24"/>
          <w:szCs w:val="24"/>
        </w:rPr>
        <w:t>Baggish</w:t>
      </w:r>
      <w:proofErr w:type="spellEnd"/>
      <w:r w:rsidRPr="004A53DA">
        <w:rPr>
          <w:rFonts w:ascii="Arial" w:hAnsi="Arial" w:cs="Arial"/>
          <w:sz w:val="24"/>
          <w:szCs w:val="24"/>
        </w:rPr>
        <w:t>, A. L., Franklin, B., Jaworski, C., &amp; Riebe, D. (2020). American College of Sports Medicine Expert Consensus Statement to Update Recommendations for Screening, Staffing, and Emergency Policies to Prevent Cardiovascular Events at Health Fitness Facilities. </w:t>
      </w:r>
      <w:r w:rsidRPr="004A53DA">
        <w:rPr>
          <w:rFonts w:ascii="Arial" w:hAnsi="Arial" w:cs="Arial"/>
          <w:i/>
          <w:iCs/>
          <w:sz w:val="24"/>
          <w:szCs w:val="24"/>
        </w:rPr>
        <w:t>Current sports medicine reports</w:t>
      </w:r>
      <w:r w:rsidRPr="004A53DA">
        <w:rPr>
          <w:rFonts w:ascii="Arial" w:hAnsi="Arial" w:cs="Arial"/>
          <w:sz w:val="24"/>
          <w:szCs w:val="24"/>
        </w:rPr>
        <w:t>, </w:t>
      </w:r>
      <w:r w:rsidRPr="004A53DA">
        <w:rPr>
          <w:rFonts w:ascii="Arial" w:hAnsi="Arial" w:cs="Arial"/>
          <w:i/>
          <w:iCs/>
          <w:sz w:val="24"/>
          <w:szCs w:val="24"/>
        </w:rPr>
        <w:t>19</w:t>
      </w:r>
      <w:r w:rsidRPr="004A53DA">
        <w:rPr>
          <w:rFonts w:ascii="Arial" w:hAnsi="Arial" w:cs="Arial"/>
          <w:sz w:val="24"/>
          <w:szCs w:val="24"/>
        </w:rPr>
        <w:t>(6), 223–231. https://doi.org/10.1249/JSR.0000000000000721</w:t>
      </w:r>
    </w:p>
    <w:p w14:paraId="3A5E91E5"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Tripathi, R. C. (2019). </w:t>
      </w:r>
      <w:r w:rsidRPr="004A53DA">
        <w:rPr>
          <w:rFonts w:ascii="Arial" w:hAnsi="Arial" w:cs="Arial"/>
          <w:i/>
          <w:iCs/>
          <w:sz w:val="24"/>
          <w:szCs w:val="24"/>
        </w:rPr>
        <w:t>Role of physical activity in marital adjustment of married couples.</w:t>
      </w:r>
      <w:r w:rsidRPr="004A53DA">
        <w:rPr>
          <w:rFonts w:ascii="Arial" w:hAnsi="Arial" w:cs="Arial"/>
          <w:sz w:val="24"/>
          <w:szCs w:val="24"/>
        </w:rPr>
        <w:t xml:space="preserve"> </w:t>
      </w:r>
      <w:r w:rsidRPr="004A53DA">
        <w:rPr>
          <w:rFonts w:ascii="Arial" w:hAnsi="Arial" w:cs="Arial"/>
          <w:i/>
          <w:iCs/>
          <w:sz w:val="24"/>
          <w:szCs w:val="24"/>
        </w:rPr>
        <w:t>Online International Interdisciplinary Peer Reviewed Research Journal, 9</w:t>
      </w:r>
      <w:r w:rsidRPr="004A53DA">
        <w:rPr>
          <w:rFonts w:ascii="Arial" w:hAnsi="Arial" w:cs="Arial"/>
          <w:sz w:val="24"/>
          <w:szCs w:val="24"/>
        </w:rPr>
        <w:t xml:space="preserve">.  </w:t>
      </w:r>
      <w:hyperlink r:id="rId48" w:tgtFrame="_new" w:history="1">
        <w:r w:rsidRPr="004A53DA">
          <w:rPr>
            <w:rStyle w:val="Hyperlink"/>
            <w:rFonts w:ascii="Arial" w:hAnsi="Arial" w:cs="Arial"/>
            <w:color w:val="auto"/>
            <w:sz w:val="24"/>
            <w:szCs w:val="24"/>
          </w:rPr>
          <w:t>https://oiirj.org/oiirj/june2019-special-issue01/14.pdf</w:t>
        </w:r>
      </w:hyperlink>
    </w:p>
    <w:p w14:paraId="590FCC7E"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Tripathi, R. C. (2022a). </w:t>
      </w:r>
      <w:r w:rsidRPr="004A53DA">
        <w:rPr>
          <w:rFonts w:ascii="Arial" w:hAnsi="Arial" w:cs="Arial"/>
          <w:i/>
          <w:iCs/>
          <w:sz w:val="24"/>
          <w:szCs w:val="24"/>
        </w:rPr>
        <w:t>Traditional sports and games: A cultural saga of Indian soil.</w:t>
      </w:r>
      <w:r w:rsidRPr="004A53DA">
        <w:rPr>
          <w:rFonts w:ascii="Arial" w:hAnsi="Arial" w:cs="Arial"/>
          <w:sz w:val="24"/>
          <w:szCs w:val="24"/>
        </w:rPr>
        <w:t xml:space="preserve"> </w:t>
      </w:r>
      <w:r w:rsidRPr="004A53DA">
        <w:rPr>
          <w:rFonts w:ascii="Arial" w:hAnsi="Arial" w:cs="Arial"/>
          <w:i/>
          <w:iCs/>
          <w:sz w:val="24"/>
          <w:szCs w:val="24"/>
        </w:rPr>
        <w:t>International Journal of Enhanced Research in Educational Development, 10</w:t>
      </w:r>
      <w:r w:rsidRPr="004A53DA">
        <w:rPr>
          <w:rFonts w:ascii="Arial" w:hAnsi="Arial" w:cs="Arial"/>
          <w:sz w:val="24"/>
          <w:szCs w:val="24"/>
        </w:rPr>
        <w:t xml:space="preserve">(3), 50–54. </w:t>
      </w:r>
      <w:hyperlink r:id="rId49" w:tgtFrame="_new" w:history="1">
        <w:r w:rsidRPr="004A53DA">
          <w:rPr>
            <w:rStyle w:val="Hyperlink"/>
            <w:rFonts w:ascii="Arial" w:hAnsi="Arial" w:cs="Arial"/>
            <w:color w:val="auto"/>
            <w:sz w:val="24"/>
            <w:szCs w:val="24"/>
          </w:rPr>
          <w:t>https://www.erpublications.com/uploaded_files/download/dr-rajnish-chandra-tripathi_dyyng.pdf</w:t>
        </w:r>
      </w:hyperlink>
    </w:p>
    <w:p w14:paraId="4E24D07E"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Tripathi, R. C. (2022b). Yoga: A healing therapy for stress management among youth. </w:t>
      </w:r>
      <w:r w:rsidRPr="004A53DA">
        <w:rPr>
          <w:rFonts w:ascii="Arial" w:hAnsi="Arial" w:cs="Arial"/>
          <w:i/>
          <w:iCs/>
          <w:sz w:val="24"/>
          <w:szCs w:val="24"/>
        </w:rPr>
        <w:t>National Journal of Education, 20</w:t>
      </w:r>
      <w:r w:rsidRPr="004A53DA">
        <w:rPr>
          <w:rFonts w:ascii="Arial" w:hAnsi="Arial" w:cs="Arial"/>
          <w:sz w:val="24"/>
          <w:szCs w:val="24"/>
        </w:rPr>
        <w:t>(2), 25–39.</w:t>
      </w:r>
    </w:p>
    <w:p w14:paraId="755F5FFD"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Tripathi, R. C. (2024). </w:t>
      </w:r>
      <w:proofErr w:type="spellStart"/>
      <w:r w:rsidRPr="004A53DA">
        <w:rPr>
          <w:rFonts w:ascii="Arial" w:hAnsi="Arial" w:cs="Arial"/>
          <w:sz w:val="24"/>
          <w:szCs w:val="24"/>
        </w:rPr>
        <w:t>Revitalising</w:t>
      </w:r>
      <w:proofErr w:type="spellEnd"/>
      <w:r w:rsidRPr="004A53DA">
        <w:rPr>
          <w:rFonts w:ascii="Arial" w:hAnsi="Arial" w:cs="Arial"/>
          <w:sz w:val="24"/>
          <w:szCs w:val="24"/>
        </w:rPr>
        <w:t xml:space="preserve"> indigenous sports in India: An examination of their impact on fostering social and character development of children. </w:t>
      </w:r>
      <w:r w:rsidRPr="004A53DA">
        <w:rPr>
          <w:rFonts w:ascii="Arial" w:hAnsi="Arial" w:cs="Arial"/>
          <w:i/>
          <w:iCs/>
          <w:sz w:val="24"/>
          <w:szCs w:val="24"/>
        </w:rPr>
        <w:t>Curriculum Studies in Health and Physical Education,</w:t>
      </w:r>
      <w:r w:rsidRPr="004A53DA">
        <w:rPr>
          <w:rFonts w:ascii="Arial" w:hAnsi="Arial" w:cs="Arial"/>
          <w:sz w:val="24"/>
          <w:szCs w:val="24"/>
        </w:rPr>
        <w:t xml:space="preserve"> 1–12. </w:t>
      </w:r>
      <w:hyperlink r:id="rId50" w:tgtFrame="_new" w:history="1">
        <w:r w:rsidRPr="004A53DA">
          <w:rPr>
            <w:rStyle w:val="Hyperlink"/>
            <w:rFonts w:ascii="Arial" w:hAnsi="Arial" w:cs="Arial"/>
            <w:color w:val="auto"/>
            <w:sz w:val="24"/>
            <w:szCs w:val="24"/>
          </w:rPr>
          <w:t>https://doi.org/10.1080/25742981.2024.2400259</w:t>
        </w:r>
      </w:hyperlink>
    </w:p>
    <w:p w14:paraId="7E6D568D" w14:textId="22F48746"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Tripathi, R. C., &amp; Bano, S. (2014). Yogic practices: A healing therapy to relieve stress of middle-aged people. </w:t>
      </w:r>
      <w:r w:rsidRPr="004A53DA">
        <w:rPr>
          <w:rFonts w:ascii="Arial" w:hAnsi="Arial" w:cs="Arial"/>
          <w:i/>
          <w:iCs/>
          <w:sz w:val="24"/>
          <w:szCs w:val="24"/>
        </w:rPr>
        <w:t>Journal of Psychosocial Research, 9</w:t>
      </w:r>
      <w:r w:rsidRPr="004A53DA">
        <w:rPr>
          <w:rFonts w:ascii="Arial" w:hAnsi="Arial" w:cs="Arial"/>
          <w:sz w:val="24"/>
          <w:szCs w:val="24"/>
        </w:rPr>
        <w:t xml:space="preserve">(2), 319–328. </w:t>
      </w:r>
      <w:hyperlink r:id="rId51" w:history="1">
        <w:r w:rsidRPr="004A53DA">
          <w:rPr>
            <w:rStyle w:val="Hyperlink"/>
            <w:rFonts w:ascii="Arial" w:hAnsi="Arial" w:cs="Arial"/>
            <w:color w:val="auto"/>
            <w:sz w:val="24"/>
            <w:szCs w:val="24"/>
          </w:rPr>
          <w:t>https://www.printspublications.com/journal/article/journal-of-psychosocial-research/2262</w:t>
        </w:r>
      </w:hyperlink>
    </w:p>
    <w:p w14:paraId="439E548F"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Tripathi, R. C., </w:t>
      </w:r>
      <w:proofErr w:type="spellStart"/>
      <w:r w:rsidRPr="004A53DA">
        <w:rPr>
          <w:rFonts w:ascii="Arial" w:hAnsi="Arial" w:cs="Arial"/>
          <w:sz w:val="24"/>
          <w:szCs w:val="24"/>
        </w:rPr>
        <w:t>Naushi</w:t>
      </w:r>
      <w:proofErr w:type="spellEnd"/>
      <w:r w:rsidRPr="004A53DA">
        <w:rPr>
          <w:rFonts w:ascii="Arial" w:hAnsi="Arial" w:cs="Arial"/>
          <w:sz w:val="24"/>
          <w:szCs w:val="24"/>
        </w:rPr>
        <w:t xml:space="preserve">, B., &amp; Bano, S. (2023). Role of sport participation in youth experience, youth development, and life satisfaction. </w:t>
      </w:r>
      <w:r w:rsidRPr="004A53DA">
        <w:rPr>
          <w:rFonts w:ascii="Arial" w:hAnsi="Arial" w:cs="Arial"/>
          <w:i/>
          <w:iCs/>
          <w:sz w:val="24"/>
          <w:szCs w:val="24"/>
        </w:rPr>
        <w:t>Journal of Psychosocial Research,</w:t>
      </w:r>
      <w:r w:rsidRPr="004A53DA">
        <w:rPr>
          <w:rFonts w:ascii="Arial" w:hAnsi="Arial" w:cs="Arial"/>
          <w:sz w:val="24"/>
          <w:szCs w:val="24"/>
        </w:rPr>
        <w:t xml:space="preserve"> 155–164. </w:t>
      </w:r>
      <w:hyperlink r:id="rId52" w:tgtFrame="_new" w:history="1">
        <w:r w:rsidRPr="004A53DA">
          <w:rPr>
            <w:rStyle w:val="Hyperlink"/>
            <w:rFonts w:ascii="Arial" w:hAnsi="Arial" w:cs="Arial"/>
            <w:color w:val="auto"/>
            <w:sz w:val="24"/>
            <w:szCs w:val="24"/>
          </w:rPr>
          <w:t>https://doi.org/10.32381/JPR.2023.18.02</w:t>
        </w:r>
      </w:hyperlink>
    </w:p>
    <w:p w14:paraId="2C1EDD2C"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Tripathi, R. C., Singh, A., Vyas, R., &amp; Faridi, M. (2022). Youth development, life satisfaction and psychological problems among sport persons and non-</w:t>
      </w:r>
      <w:r w:rsidRPr="004A53DA">
        <w:rPr>
          <w:rFonts w:ascii="Arial" w:hAnsi="Arial" w:cs="Arial"/>
          <w:sz w:val="24"/>
          <w:szCs w:val="24"/>
        </w:rPr>
        <w:lastRenderedPageBreak/>
        <w:t xml:space="preserve">sport persons. </w:t>
      </w:r>
      <w:r w:rsidRPr="004A53DA">
        <w:rPr>
          <w:rFonts w:ascii="Arial" w:hAnsi="Arial" w:cs="Arial"/>
          <w:i/>
          <w:iCs/>
          <w:sz w:val="24"/>
          <w:szCs w:val="24"/>
        </w:rPr>
        <w:t>International Journal of Early Childhood Special Education, 14</w:t>
      </w:r>
      <w:r w:rsidRPr="004A53DA">
        <w:rPr>
          <w:rFonts w:ascii="Arial" w:hAnsi="Arial" w:cs="Arial"/>
          <w:sz w:val="24"/>
          <w:szCs w:val="24"/>
        </w:rPr>
        <w:t>(8). https://doi.org/10.48047/intjecse/V14I8.357</w:t>
      </w:r>
    </w:p>
    <w:p w14:paraId="3717B80D"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Van Dijk, J. W., Manders, R. J., Canfora, E. E., Van </w:t>
      </w:r>
      <w:proofErr w:type="spellStart"/>
      <w:r w:rsidRPr="004A53DA">
        <w:rPr>
          <w:rFonts w:ascii="Arial" w:hAnsi="Arial" w:cs="Arial"/>
          <w:sz w:val="24"/>
          <w:szCs w:val="24"/>
        </w:rPr>
        <w:t>Mechelen</w:t>
      </w:r>
      <w:proofErr w:type="spellEnd"/>
      <w:r w:rsidRPr="004A53DA">
        <w:rPr>
          <w:rFonts w:ascii="Arial" w:hAnsi="Arial" w:cs="Arial"/>
          <w:sz w:val="24"/>
          <w:szCs w:val="24"/>
        </w:rPr>
        <w:t xml:space="preserve">, W., </w:t>
      </w:r>
      <w:proofErr w:type="spellStart"/>
      <w:r w:rsidRPr="004A53DA">
        <w:rPr>
          <w:rFonts w:ascii="Arial" w:hAnsi="Arial" w:cs="Arial"/>
          <w:sz w:val="24"/>
          <w:szCs w:val="24"/>
        </w:rPr>
        <w:t>Hartgens</w:t>
      </w:r>
      <w:proofErr w:type="spellEnd"/>
      <w:r w:rsidRPr="004A53DA">
        <w:rPr>
          <w:rFonts w:ascii="Arial" w:hAnsi="Arial" w:cs="Arial"/>
          <w:sz w:val="24"/>
          <w:szCs w:val="24"/>
        </w:rPr>
        <w:t xml:space="preserve">, F., Stehouwer, C. D., &amp; Van Loon, L. J. (2013). Exercise and 24-h glycemic control: Equal effects for all type 2 diabetes patients? </w:t>
      </w:r>
      <w:r w:rsidRPr="004A53DA">
        <w:rPr>
          <w:rFonts w:ascii="Arial" w:hAnsi="Arial" w:cs="Arial"/>
          <w:i/>
          <w:iCs/>
          <w:sz w:val="24"/>
          <w:szCs w:val="24"/>
        </w:rPr>
        <w:t>Medicine &amp; Science in Sports &amp; Exercise, 45</w:t>
      </w:r>
      <w:r w:rsidRPr="004A53DA">
        <w:rPr>
          <w:rFonts w:ascii="Arial" w:hAnsi="Arial" w:cs="Arial"/>
          <w:sz w:val="24"/>
          <w:szCs w:val="24"/>
        </w:rPr>
        <w:t>(4), 628–635.</w:t>
      </w:r>
    </w:p>
    <w:p w14:paraId="23FCA71C"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Warburton, D. E. R., Nicol, C. W., &amp; Bredin, S. S. D. (2006). Health benefits of physical activity: The evidence. </w:t>
      </w:r>
      <w:r w:rsidRPr="004A53DA">
        <w:rPr>
          <w:rFonts w:ascii="Arial" w:hAnsi="Arial" w:cs="Arial"/>
          <w:i/>
          <w:iCs/>
          <w:sz w:val="24"/>
          <w:szCs w:val="24"/>
        </w:rPr>
        <w:t>Canadian Medical Association Journal, 174</w:t>
      </w:r>
      <w:r w:rsidRPr="004A53DA">
        <w:rPr>
          <w:rFonts w:ascii="Arial" w:hAnsi="Arial" w:cs="Arial"/>
          <w:sz w:val="24"/>
          <w:szCs w:val="24"/>
        </w:rPr>
        <w:t xml:space="preserve">(6), 801–809. </w:t>
      </w:r>
      <w:hyperlink r:id="rId53" w:tgtFrame="_new" w:history="1">
        <w:r w:rsidRPr="004A53DA">
          <w:rPr>
            <w:rStyle w:val="Hyperlink"/>
            <w:rFonts w:ascii="Arial" w:hAnsi="Arial" w:cs="Arial"/>
            <w:color w:val="auto"/>
            <w:sz w:val="24"/>
            <w:szCs w:val="24"/>
          </w:rPr>
          <w:t>https://doi.org/10.1503/cmaj.051351</w:t>
        </w:r>
      </w:hyperlink>
    </w:p>
    <w:p w14:paraId="2EA3B597"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Wardani, B. T. A. K., &amp; </w:t>
      </w:r>
      <w:proofErr w:type="spellStart"/>
      <w:r w:rsidRPr="004A53DA">
        <w:rPr>
          <w:rFonts w:ascii="Arial" w:hAnsi="Arial" w:cs="Arial"/>
          <w:sz w:val="24"/>
          <w:szCs w:val="24"/>
        </w:rPr>
        <w:t>Nugrahanta</w:t>
      </w:r>
      <w:proofErr w:type="spellEnd"/>
      <w:r w:rsidRPr="004A53DA">
        <w:rPr>
          <w:rFonts w:ascii="Arial" w:hAnsi="Arial" w:cs="Arial"/>
          <w:sz w:val="24"/>
          <w:szCs w:val="24"/>
        </w:rPr>
        <w:t xml:space="preserve">, G. A. (2021). </w:t>
      </w:r>
      <w:r w:rsidRPr="004A53DA">
        <w:rPr>
          <w:rFonts w:ascii="Arial" w:hAnsi="Arial" w:cs="Arial"/>
          <w:i/>
          <w:iCs/>
          <w:sz w:val="24"/>
          <w:szCs w:val="24"/>
        </w:rPr>
        <w:t>The contribution of traditional games in establishing self-control children.</w:t>
      </w:r>
      <w:r w:rsidRPr="004A53DA">
        <w:rPr>
          <w:rFonts w:ascii="Arial" w:hAnsi="Arial" w:cs="Arial"/>
          <w:sz w:val="24"/>
          <w:szCs w:val="24"/>
        </w:rPr>
        <w:t xml:space="preserve"> </w:t>
      </w:r>
      <w:r w:rsidRPr="004A53DA">
        <w:rPr>
          <w:rFonts w:ascii="Arial" w:hAnsi="Arial" w:cs="Arial"/>
          <w:i/>
          <w:iCs/>
          <w:sz w:val="24"/>
          <w:szCs w:val="24"/>
        </w:rPr>
        <w:t xml:space="preserve">PEDAGOGIK: </w:t>
      </w:r>
      <w:proofErr w:type="spellStart"/>
      <w:r w:rsidRPr="004A53DA">
        <w:rPr>
          <w:rFonts w:ascii="Arial" w:hAnsi="Arial" w:cs="Arial"/>
          <w:i/>
          <w:iCs/>
          <w:sz w:val="24"/>
          <w:szCs w:val="24"/>
        </w:rPr>
        <w:t>Jurnal</w:t>
      </w:r>
      <w:proofErr w:type="spellEnd"/>
      <w:r w:rsidRPr="004A53DA">
        <w:rPr>
          <w:rFonts w:ascii="Arial" w:hAnsi="Arial" w:cs="Arial"/>
          <w:i/>
          <w:iCs/>
          <w:sz w:val="24"/>
          <w:szCs w:val="24"/>
        </w:rPr>
        <w:t xml:space="preserve"> Pendidikan, 8</w:t>
      </w:r>
      <w:r w:rsidRPr="004A53DA">
        <w:rPr>
          <w:rFonts w:ascii="Arial" w:hAnsi="Arial" w:cs="Arial"/>
          <w:sz w:val="24"/>
          <w:szCs w:val="24"/>
        </w:rPr>
        <w:t>(2), 335–367</w:t>
      </w:r>
    </w:p>
    <w:p w14:paraId="597A2238"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World Health Organization. (2019). </w:t>
      </w:r>
      <w:r w:rsidRPr="004A53DA">
        <w:rPr>
          <w:rFonts w:ascii="Arial" w:hAnsi="Arial" w:cs="Arial"/>
          <w:i/>
          <w:iCs/>
          <w:sz w:val="24"/>
          <w:szCs w:val="24"/>
        </w:rPr>
        <w:t>Global action plan on physical activity 2018-2030: more active people for a healthier world</w:t>
      </w:r>
      <w:r w:rsidRPr="004A53DA">
        <w:rPr>
          <w:rFonts w:ascii="Arial" w:hAnsi="Arial" w:cs="Arial"/>
          <w:sz w:val="24"/>
          <w:szCs w:val="24"/>
        </w:rPr>
        <w:t>. World Health Organization.</w:t>
      </w:r>
    </w:p>
    <w:p w14:paraId="3D7F994F" w14:textId="77777777" w:rsidR="004A53DA" w:rsidRPr="004A53DA" w:rsidRDefault="004A53DA" w:rsidP="004A53DA">
      <w:pPr>
        <w:pStyle w:val="ListParagraph"/>
        <w:widowControl/>
        <w:numPr>
          <w:ilvl w:val="0"/>
          <w:numId w:val="21"/>
        </w:numPr>
        <w:autoSpaceDE/>
        <w:autoSpaceDN/>
        <w:spacing w:after="240" w:line="276" w:lineRule="auto"/>
        <w:contextualSpacing/>
        <w:jc w:val="both"/>
        <w:rPr>
          <w:rFonts w:ascii="Arial" w:hAnsi="Arial" w:cs="Arial"/>
          <w:sz w:val="24"/>
          <w:szCs w:val="24"/>
        </w:rPr>
      </w:pPr>
      <w:r w:rsidRPr="004A53DA">
        <w:rPr>
          <w:rFonts w:ascii="Arial" w:hAnsi="Arial" w:cs="Arial"/>
          <w:sz w:val="24"/>
          <w:szCs w:val="24"/>
        </w:rPr>
        <w:t xml:space="preserve">World Health Organization. (2020). </w:t>
      </w:r>
      <w:r w:rsidRPr="004A53DA">
        <w:rPr>
          <w:rFonts w:ascii="Arial" w:hAnsi="Arial" w:cs="Arial"/>
          <w:i/>
          <w:iCs/>
          <w:sz w:val="24"/>
          <w:szCs w:val="24"/>
        </w:rPr>
        <w:t>Global action plan on physical activity 2018–2030: More active people for a healthier world.</w:t>
      </w:r>
      <w:r w:rsidRPr="004A53DA">
        <w:rPr>
          <w:rFonts w:ascii="Arial" w:hAnsi="Arial" w:cs="Arial"/>
          <w:sz w:val="24"/>
          <w:szCs w:val="24"/>
        </w:rPr>
        <w:t xml:space="preserve"> World Health Organization. </w:t>
      </w:r>
      <w:hyperlink r:id="rId54" w:tgtFrame="_new" w:history="1">
        <w:r w:rsidRPr="004A53DA">
          <w:rPr>
            <w:rStyle w:val="Hyperlink"/>
            <w:rFonts w:ascii="Arial" w:hAnsi="Arial" w:cs="Arial"/>
            <w:color w:val="auto"/>
            <w:sz w:val="24"/>
            <w:szCs w:val="24"/>
          </w:rPr>
          <w:t>https://www.who.int/publications/i/item/9789241514187</w:t>
        </w:r>
      </w:hyperlink>
    </w:p>
    <w:p w14:paraId="0B4FE16B" w14:textId="77777777" w:rsidR="008B7B8E" w:rsidRPr="004A53DA" w:rsidRDefault="008B7B8E" w:rsidP="004A53DA">
      <w:pPr>
        <w:pStyle w:val="Title"/>
        <w:spacing w:after="240"/>
        <w:ind w:left="720"/>
        <w:jc w:val="both"/>
        <w:rPr>
          <w:rFonts w:ascii="Arial" w:hAnsi="Arial" w:cs="Arial"/>
          <w:b/>
          <w:bCs/>
          <w:sz w:val="24"/>
          <w:szCs w:val="24"/>
        </w:rPr>
      </w:pPr>
    </w:p>
    <w:sectPr w:rsidR="008B7B8E" w:rsidRPr="004A53DA" w:rsidSect="002B6F48">
      <w:headerReference w:type="even" r:id="rId55"/>
      <w:headerReference w:type="default" r:id="rId56"/>
      <w:footerReference w:type="even" r:id="rId57"/>
      <w:footerReference w:type="default" r:id="rId58"/>
      <w:headerReference w:type="first" r:id="rId59"/>
      <w:footerReference w:type="first" r:id="rId60"/>
      <w:type w:val="continuous"/>
      <w:pgSz w:w="1190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2FF3C" w14:textId="77777777" w:rsidR="00264C13" w:rsidRDefault="00264C13" w:rsidP="009D54AC">
      <w:r>
        <w:separator/>
      </w:r>
    </w:p>
  </w:endnote>
  <w:endnote w:type="continuationSeparator" w:id="0">
    <w:p w14:paraId="5ACF9F6D" w14:textId="77777777" w:rsidR="00264C13" w:rsidRDefault="00264C13" w:rsidP="009D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3EA5" w14:textId="77777777" w:rsidR="009D54AC" w:rsidRDefault="009D54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A9087" w14:textId="77777777" w:rsidR="009D54AC" w:rsidRDefault="009D54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D40CF" w14:textId="77777777" w:rsidR="009D54AC" w:rsidRDefault="009D5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835F8" w14:textId="77777777" w:rsidR="00264C13" w:rsidRDefault="00264C13" w:rsidP="009D54AC">
      <w:r>
        <w:separator/>
      </w:r>
    </w:p>
  </w:footnote>
  <w:footnote w:type="continuationSeparator" w:id="0">
    <w:p w14:paraId="542F1D6C" w14:textId="77777777" w:rsidR="00264C13" w:rsidRDefault="00264C13" w:rsidP="009D5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99C2" w14:textId="371488CE" w:rsidR="009D54AC" w:rsidRDefault="00264C13">
    <w:pPr>
      <w:pStyle w:val="Header"/>
    </w:pPr>
    <w:r>
      <w:rPr>
        <w:noProof/>
      </w:rPr>
      <w:pict w14:anchorId="7A58A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937110" o:spid="_x0000_s2050" type="#_x0000_t136" alt="" style="position:absolute;margin-left:0;margin-top:0;width:535.4pt;height:100.3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DD956" w14:textId="005A3871" w:rsidR="009D54AC" w:rsidRDefault="00264C13">
    <w:pPr>
      <w:pStyle w:val="Header"/>
    </w:pPr>
    <w:r>
      <w:rPr>
        <w:noProof/>
      </w:rPr>
      <w:pict w14:anchorId="66DB2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937111" o:spid="_x0000_s2051" type="#_x0000_t136" alt="" style="position:absolute;margin-left:0;margin-top:0;width:535.4pt;height:100.3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E3169" w14:textId="23269033" w:rsidR="009D54AC" w:rsidRDefault="00264C13">
    <w:pPr>
      <w:pStyle w:val="Header"/>
    </w:pPr>
    <w:r>
      <w:rPr>
        <w:noProof/>
      </w:rPr>
      <w:pict w14:anchorId="38334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3937109" o:spid="_x0000_s2049" type="#_x0000_t136" alt="" style="position:absolute;margin-left:0;margin-top:0;width:535.4pt;height:100.3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20.3pt;height:952.3pt" o:bullet="t">
        <v:imagedata r:id="rId1" o:title="20090809_Lotus_flower_2736[1]"/>
      </v:shape>
    </w:pict>
  </w:numPicBullet>
  <w:abstractNum w:abstractNumId="0" w15:restartNumberingAfterBreak="0">
    <w:nsid w:val="0CB118B3"/>
    <w:multiLevelType w:val="hybridMultilevel"/>
    <w:tmpl w:val="A220361A"/>
    <w:lvl w:ilvl="0" w:tplc="40090009">
      <w:start w:val="1"/>
      <w:numFmt w:val="bullet"/>
      <w:lvlText w:val=""/>
      <w:lvlJc w:val="left"/>
      <w:pPr>
        <w:ind w:left="1295"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ED53ECC"/>
    <w:multiLevelType w:val="hybridMultilevel"/>
    <w:tmpl w:val="CDFE0A16"/>
    <w:lvl w:ilvl="0" w:tplc="4009000F">
      <w:start w:val="1"/>
      <w:numFmt w:val="decimal"/>
      <w:lvlText w:val="%1."/>
      <w:lvlJc w:val="left"/>
      <w:pPr>
        <w:ind w:left="1087" w:hanging="360"/>
      </w:pPr>
    </w:lvl>
    <w:lvl w:ilvl="1" w:tplc="40090019" w:tentative="1">
      <w:start w:val="1"/>
      <w:numFmt w:val="lowerLetter"/>
      <w:lvlText w:val="%2."/>
      <w:lvlJc w:val="left"/>
      <w:pPr>
        <w:ind w:left="1807" w:hanging="360"/>
      </w:pPr>
    </w:lvl>
    <w:lvl w:ilvl="2" w:tplc="4009001B" w:tentative="1">
      <w:start w:val="1"/>
      <w:numFmt w:val="lowerRoman"/>
      <w:lvlText w:val="%3."/>
      <w:lvlJc w:val="right"/>
      <w:pPr>
        <w:ind w:left="2527" w:hanging="180"/>
      </w:pPr>
    </w:lvl>
    <w:lvl w:ilvl="3" w:tplc="4009000F" w:tentative="1">
      <w:start w:val="1"/>
      <w:numFmt w:val="decimal"/>
      <w:lvlText w:val="%4."/>
      <w:lvlJc w:val="left"/>
      <w:pPr>
        <w:ind w:left="3247" w:hanging="360"/>
      </w:pPr>
    </w:lvl>
    <w:lvl w:ilvl="4" w:tplc="40090019" w:tentative="1">
      <w:start w:val="1"/>
      <w:numFmt w:val="lowerLetter"/>
      <w:lvlText w:val="%5."/>
      <w:lvlJc w:val="left"/>
      <w:pPr>
        <w:ind w:left="3967" w:hanging="360"/>
      </w:pPr>
    </w:lvl>
    <w:lvl w:ilvl="5" w:tplc="4009001B" w:tentative="1">
      <w:start w:val="1"/>
      <w:numFmt w:val="lowerRoman"/>
      <w:lvlText w:val="%6."/>
      <w:lvlJc w:val="right"/>
      <w:pPr>
        <w:ind w:left="4687" w:hanging="180"/>
      </w:pPr>
    </w:lvl>
    <w:lvl w:ilvl="6" w:tplc="4009000F" w:tentative="1">
      <w:start w:val="1"/>
      <w:numFmt w:val="decimal"/>
      <w:lvlText w:val="%7."/>
      <w:lvlJc w:val="left"/>
      <w:pPr>
        <w:ind w:left="5407" w:hanging="360"/>
      </w:pPr>
    </w:lvl>
    <w:lvl w:ilvl="7" w:tplc="40090019" w:tentative="1">
      <w:start w:val="1"/>
      <w:numFmt w:val="lowerLetter"/>
      <w:lvlText w:val="%8."/>
      <w:lvlJc w:val="left"/>
      <w:pPr>
        <w:ind w:left="6127" w:hanging="360"/>
      </w:pPr>
    </w:lvl>
    <w:lvl w:ilvl="8" w:tplc="4009001B" w:tentative="1">
      <w:start w:val="1"/>
      <w:numFmt w:val="lowerRoman"/>
      <w:lvlText w:val="%9."/>
      <w:lvlJc w:val="right"/>
      <w:pPr>
        <w:ind w:left="6847" w:hanging="180"/>
      </w:pPr>
    </w:lvl>
  </w:abstractNum>
  <w:abstractNum w:abstractNumId="2" w15:restartNumberingAfterBreak="0">
    <w:nsid w:val="14D26BB6"/>
    <w:multiLevelType w:val="hybridMultilevel"/>
    <w:tmpl w:val="BAD04E32"/>
    <w:numStyleLink w:val="ImportedStyle7"/>
  </w:abstractNum>
  <w:abstractNum w:abstractNumId="3" w15:restartNumberingAfterBreak="0">
    <w:nsid w:val="30C7091E"/>
    <w:multiLevelType w:val="hybridMultilevel"/>
    <w:tmpl w:val="0D04A1D4"/>
    <w:lvl w:ilvl="0" w:tplc="40090009">
      <w:start w:val="1"/>
      <w:numFmt w:val="bullet"/>
      <w:lvlText w:val=""/>
      <w:lvlJc w:val="left"/>
      <w:pPr>
        <w:ind w:left="1087" w:hanging="360"/>
      </w:pPr>
      <w:rPr>
        <w:rFonts w:ascii="Wingdings" w:hAnsi="Wingdings" w:hint="default"/>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4" w15:restartNumberingAfterBreak="0">
    <w:nsid w:val="34097D3A"/>
    <w:multiLevelType w:val="hybridMultilevel"/>
    <w:tmpl w:val="C94879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99F459A"/>
    <w:multiLevelType w:val="hybridMultilevel"/>
    <w:tmpl w:val="BAD04E32"/>
    <w:styleLink w:val="ImportedStyle7"/>
    <w:lvl w:ilvl="0" w:tplc="51CEB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34AEA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58341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9A6149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12A3D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8C438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62E13C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CE7C48">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4C2EFF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1C13D26"/>
    <w:multiLevelType w:val="hybridMultilevel"/>
    <w:tmpl w:val="9D24F7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41B79A4"/>
    <w:multiLevelType w:val="hybridMultilevel"/>
    <w:tmpl w:val="C02E1FF0"/>
    <w:lvl w:ilvl="0" w:tplc="7948232E">
      <w:start w:val="1"/>
      <w:numFmt w:val="bullet"/>
      <w:lvlText w:val=""/>
      <w:lvlPicBulletId w:val="0"/>
      <w:lvlJc w:val="left"/>
      <w:pPr>
        <w:ind w:left="1087" w:hanging="360"/>
      </w:pPr>
      <w:rPr>
        <w:rFonts w:ascii="Symbol" w:hAnsi="Symbol" w:hint="default"/>
        <w:color w:val="auto"/>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8" w15:restartNumberingAfterBreak="0">
    <w:nsid w:val="465902C0"/>
    <w:multiLevelType w:val="hybridMultilevel"/>
    <w:tmpl w:val="BA8AED0C"/>
    <w:lvl w:ilvl="0" w:tplc="40090009">
      <w:start w:val="1"/>
      <w:numFmt w:val="bullet"/>
      <w:lvlText w:val=""/>
      <w:lvlJc w:val="left"/>
      <w:pPr>
        <w:ind w:left="1087" w:hanging="360"/>
      </w:pPr>
      <w:rPr>
        <w:rFonts w:ascii="Wingdings" w:hAnsi="Wingdings" w:hint="default"/>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9" w15:restartNumberingAfterBreak="0">
    <w:nsid w:val="48215692"/>
    <w:multiLevelType w:val="hybridMultilevel"/>
    <w:tmpl w:val="0846CCD6"/>
    <w:lvl w:ilvl="0" w:tplc="B06A5E7E">
      <w:start w:val="1"/>
      <w:numFmt w:val="bullet"/>
      <w:lvlText w:val="֍"/>
      <w:lvlJc w:val="left"/>
      <w:pPr>
        <w:ind w:left="928" w:hanging="360"/>
      </w:pPr>
      <w:rPr>
        <w:rFonts w:ascii="Sylfaen" w:hAnsi="Sylfaen" w:hint="default"/>
        <w:color w:val="auto"/>
      </w:rPr>
    </w:lvl>
    <w:lvl w:ilvl="1" w:tplc="40090003" w:tentative="1">
      <w:start w:val="1"/>
      <w:numFmt w:val="bullet"/>
      <w:lvlText w:val="o"/>
      <w:lvlJc w:val="left"/>
      <w:pPr>
        <w:ind w:left="2167" w:hanging="360"/>
      </w:pPr>
      <w:rPr>
        <w:rFonts w:ascii="Courier New" w:hAnsi="Courier New" w:cs="Courier New" w:hint="default"/>
      </w:rPr>
    </w:lvl>
    <w:lvl w:ilvl="2" w:tplc="40090005">
      <w:start w:val="1"/>
      <w:numFmt w:val="bullet"/>
      <w:lvlText w:val=""/>
      <w:lvlJc w:val="left"/>
      <w:pPr>
        <w:ind w:left="2887" w:hanging="360"/>
      </w:pPr>
      <w:rPr>
        <w:rFonts w:ascii="Wingdings" w:hAnsi="Wingdings" w:hint="default"/>
      </w:rPr>
    </w:lvl>
    <w:lvl w:ilvl="3" w:tplc="40090001" w:tentative="1">
      <w:start w:val="1"/>
      <w:numFmt w:val="bullet"/>
      <w:lvlText w:val=""/>
      <w:lvlJc w:val="left"/>
      <w:pPr>
        <w:ind w:left="3607" w:hanging="360"/>
      </w:pPr>
      <w:rPr>
        <w:rFonts w:ascii="Symbol" w:hAnsi="Symbol" w:hint="default"/>
      </w:rPr>
    </w:lvl>
    <w:lvl w:ilvl="4" w:tplc="40090003" w:tentative="1">
      <w:start w:val="1"/>
      <w:numFmt w:val="bullet"/>
      <w:lvlText w:val="o"/>
      <w:lvlJc w:val="left"/>
      <w:pPr>
        <w:ind w:left="4327" w:hanging="360"/>
      </w:pPr>
      <w:rPr>
        <w:rFonts w:ascii="Courier New" w:hAnsi="Courier New" w:cs="Courier New" w:hint="default"/>
      </w:rPr>
    </w:lvl>
    <w:lvl w:ilvl="5" w:tplc="40090005" w:tentative="1">
      <w:start w:val="1"/>
      <w:numFmt w:val="bullet"/>
      <w:lvlText w:val=""/>
      <w:lvlJc w:val="left"/>
      <w:pPr>
        <w:ind w:left="5047" w:hanging="360"/>
      </w:pPr>
      <w:rPr>
        <w:rFonts w:ascii="Wingdings" w:hAnsi="Wingdings" w:hint="default"/>
      </w:rPr>
    </w:lvl>
    <w:lvl w:ilvl="6" w:tplc="40090001" w:tentative="1">
      <w:start w:val="1"/>
      <w:numFmt w:val="bullet"/>
      <w:lvlText w:val=""/>
      <w:lvlJc w:val="left"/>
      <w:pPr>
        <w:ind w:left="5767" w:hanging="360"/>
      </w:pPr>
      <w:rPr>
        <w:rFonts w:ascii="Symbol" w:hAnsi="Symbol" w:hint="default"/>
      </w:rPr>
    </w:lvl>
    <w:lvl w:ilvl="7" w:tplc="40090003" w:tentative="1">
      <w:start w:val="1"/>
      <w:numFmt w:val="bullet"/>
      <w:lvlText w:val="o"/>
      <w:lvlJc w:val="left"/>
      <w:pPr>
        <w:ind w:left="6487" w:hanging="360"/>
      </w:pPr>
      <w:rPr>
        <w:rFonts w:ascii="Courier New" w:hAnsi="Courier New" w:cs="Courier New" w:hint="default"/>
      </w:rPr>
    </w:lvl>
    <w:lvl w:ilvl="8" w:tplc="40090005" w:tentative="1">
      <w:start w:val="1"/>
      <w:numFmt w:val="bullet"/>
      <w:lvlText w:val=""/>
      <w:lvlJc w:val="left"/>
      <w:pPr>
        <w:ind w:left="7207" w:hanging="360"/>
      </w:pPr>
      <w:rPr>
        <w:rFonts w:ascii="Wingdings" w:hAnsi="Wingdings" w:hint="default"/>
      </w:rPr>
    </w:lvl>
  </w:abstractNum>
  <w:abstractNum w:abstractNumId="10" w15:restartNumberingAfterBreak="0">
    <w:nsid w:val="4B566FC0"/>
    <w:multiLevelType w:val="hybridMultilevel"/>
    <w:tmpl w:val="B8E843B6"/>
    <w:lvl w:ilvl="0" w:tplc="4009000F">
      <w:start w:val="1"/>
      <w:numFmt w:val="decimal"/>
      <w:lvlText w:val="%1."/>
      <w:lvlJc w:val="left"/>
      <w:pPr>
        <w:ind w:left="81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E1D65F0"/>
    <w:multiLevelType w:val="hybridMultilevel"/>
    <w:tmpl w:val="DE20FD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E537EE5"/>
    <w:multiLevelType w:val="hybridMultilevel"/>
    <w:tmpl w:val="BF5834B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4EFB30D8"/>
    <w:multiLevelType w:val="hybridMultilevel"/>
    <w:tmpl w:val="0366B92C"/>
    <w:lvl w:ilvl="0" w:tplc="B06A5E7E">
      <w:start w:val="1"/>
      <w:numFmt w:val="bullet"/>
      <w:lvlText w:val="֍"/>
      <w:lvlJc w:val="left"/>
      <w:pPr>
        <w:ind w:left="720" w:hanging="360"/>
      </w:pPr>
      <w:rPr>
        <w:rFonts w:ascii="Sylfaen" w:hAnsi="Sylfaen"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8E9379A"/>
    <w:multiLevelType w:val="hybridMultilevel"/>
    <w:tmpl w:val="838282F6"/>
    <w:lvl w:ilvl="0" w:tplc="4009000F">
      <w:start w:val="1"/>
      <w:numFmt w:val="decimal"/>
      <w:lvlText w:val="%1."/>
      <w:lvlJc w:val="left"/>
      <w:pPr>
        <w:ind w:left="1087" w:hanging="360"/>
      </w:pPr>
    </w:lvl>
    <w:lvl w:ilvl="1" w:tplc="40090019" w:tentative="1">
      <w:start w:val="1"/>
      <w:numFmt w:val="lowerLetter"/>
      <w:lvlText w:val="%2."/>
      <w:lvlJc w:val="left"/>
      <w:pPr>
        <w:ind w:left="1807" w:hanging="360"/>
      </w:pPr>
    </w:lvl>
    <w:lvl w:ilvl="2" w:tplc="4009001B" w:tentative="1">
      <w:start w:val="1"/>
      <w:numFmt w:val="lowerRoman"/>
      <w:lvlText w:val="%3."/>
      <w:lvlJc w:val="right"/>
      <w:pPr>
        <w:ind w:left="2527" w:hanging="180"/>
      </w:pPr>
    </w:lvl>
    <w:lvl w:ilvl="3" w:tplc="4009000F" w:tentative="1">
      <w:start w:val="1"/>
      <w:numFmt w:val="decimal"/>
      <w:lvlText w:val="%4."/>
      <w:lvlJc w:val="left"/>
      <w:pPr>
        <w:ind w:left="3247" w:hanging="360"/>
      </w:pPr>
    </w:lvl>
    <w:lvl w:ilvl="4" w:tplc="40090019" w:tentative="1">
      <w:start w:val="1"/>
      <w:numFmt w:val="lowerLetter"/>
      <w:lvlText w:val="%5."/>
      <w:lvlJc w:val="left"/>
      <w:pPr>
        <w:ind w:left="3967" w:hanging="360"/>
      </w:pPr>
    </w:lvl>
    <w:lvl w:ilvl="5" w:tplc="4009001B" w:tentative="1">
      <w:start w:val="1"/>
      <w:numFmt w:val="lowerRoman"/>
      <w:lvlText w:val="%6."/>
      <w:lvlJc w:val="right"/>
      <w:pPr>
        <w:ind w:left="4687" w:hanging="180"/>
      </w:pPr>
    </w:lvl>
    <w:lvl w:ilvl="6" w:tplc="4009000F" w:tentative="1">
      <w:start w:val="1"/>
      <w:numFmt w:val="decimal"/>
      <w:lvlText w:val="%7."/>
      <w:lvlJc w:val="left"/>
      <w:pPr>
        <w:ind w:left="5407" w:hanging="360"/>
      </w:pPr>
    </w:lvl>
    <w:lvl w:ilvl="7" w:tplc="40090019" w:tentative="1">
      <w:start w:val="1"/>
      <w:numFmt w:val="lowerLetter"/>
      <w:lvlText w:val="%8."/>
      <w:lvlJc w:val="left"/>
      <w:pPr>
        <w:ind w:left="6127" w:hanging="360"/>
      </w:pPr>
    </w:lvl>
    <w:lvl w:ilvl="8" w:tplc="4009001B" w:tentative="1">
      <w:start w:val="1"/>
      <w:numFmt w:val="lowerRoman"/>
      <w:lvlText w:val="%9."/>
      <w:lvlJc w:val="right"/>
      <w:pPr>
        <w:ind w:left="6847" w:hanging="180"/>
      </w:pPr>
    </w:lvl>
  </w:abstractNum>
  <w:abstractNum w:abstractNumId="15" w15:restartNumberingAfterBreak="0">
    <w:nsid w:val="5D79476F"/>
    <w:multiLevelType w:val="hybridMultilevel"/>
    <w:tmpl w:val="C7A6CBD8"/>
    <w:lvl w:ilvl="0" w:tplc="40090009">
      <w:start w:val="1"/>
      <w:numFmt w:val="bullet"/>
      <w:lvlText w:val=""/>
      <w:lvlJc w:val="left"/>
      <w:pPr>
        <w:ind w:left="928"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2EA74B6"/>
    <w:multiLevelType w:val="hybridMultilevel"/>
    <w:tmpl w:val="095EAC62"/>
    <w:lvl w:ilvl="0" w:tplc="40090009">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8316734"/>
    <w:multiLevelType w:val="hybridMultilevel"/>
    <w:tmpl w:val="63147076"/>
    <w:lvl w:ilvl="0" w:tplc="164E0F46">
      <w:start w:val="21"/>
      <w:numFmt w:val="decimal"/>
      <w:lvlText w:val="%1."/>
      <w:lvlJc w:val="left"/>
      <w:pPr>
        <w:ind w:left="786"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6D3A1299"/>
    <w:multiLevelType w:val="hybridMultilevel"/>
    <w:tmpl w:val="9D9E27A6"/>
    <w:lvl w:ilvl="0" w:tplc="96BADD40">
      <w:start w:val="1"/>
      <w:numFmt w:val="decimal"/>
      <w:lvlText w:val="%1."/>
      <w:lvlJc w:val="left"/>
      <w:pPr>
        <w:ind w:left="727" w:hanging="360"/>
      </w:pPr>
      <w:rPr>
        <w:rFonts w:hint="default"/>
      </w:rPr>
    </w:lvl>
    <w:lvl w:ilvl="1" w:tplc="40090019" w:tentative="1">
      <w:start w:val="1"/>
      <w:numFmt w:val="lowerLetter"/>
      <w:lvlText w:val="%2."/>
      <w:lvlJc w:val="left"/>
      <w:pPr>
        <w:ind w:left="1447" w:hanging="360"/>
      </w:pPr>
    </w:lvl>
    <w:lvl w:ilvl="2" w:tplc="4009001B" w:tentative="1">
      <w:start w:val="1"/>
      <w:numFmt w:val="lowerRoman"/>
      <w:lvlText w:val="%3."/>
      <w:lvlJc w:val="right"/>
      <w:pPr>
        <w:ind w:left="2167" w:hanging="180"/>
      </w:pPr>
    </w:lvl>
    <w:lvl w:ilvl="3" w:tplc="4009000F" w:tentative="1">
      <w:start w:val="1"/>
      <w:numFmt w:val="decimal"/>
      <w:lvlText w:val="%4."/>
      <w:lvlJc w:val="left"/>
      <w:pPr>
        <w:ind w:left="2887" w:hanging="360"/>
      </w:pPr>
    </w:lvl>
    <w:lvl w:ilvl="4" w:tplc="40090019" w:tentative="1">
      <w:start w:val="1"/>
      <w:numFmt w:val="lowerLetter"/>
      <w:lvlText w:val="%5."/>
      <w:lvlJc w:val="left"/>
      <w:pPr>
        <w:ind w:left="3607" w:hanging="360"/>
      </w:pPr>
    </w:lvl>
    <w:lvl w:ilvl="5" w:tplc="4009001B" w:tentative="1">
      <w:start w:val="1"/>
      <w:numFmt w:val="lowerRoman"/>
      <w:lvlText w:val="%6."/>
      <w:lvlJc w:val="right"/>
      <w:pPr>
        <w:ind w:left="4327" w:hanging="180"/>
      </w:pPr>
    </w:lvl>
    <w:lvl w:ilvl="6" w:tplc="4009000F" w:tentative="1">
      <w:start w:val="1"/>
      <w:numFmt w:val="decimal"/>
      <w:lvlText w:val="%7."/>
      <w:lvlJc w:val="left"/>
      <w:pPr>
        <w:ind w:left="5047" w:hanging="360"/>
      </w:pPr>
    </w:lvl>
    <w:lvl w:ilvl="7" w:tplc="40090019" w:tentative="1">
      <w:start w:val="1"/>
      <w:numFmt w:val="lowerLetter"/>
      <w:lvlText w:val="%8."/>
      <w:lvlJc w:val="left"/>
      <w:pPr>
        <w:ind w:left="5767" w:hanging="360"/>
      </w:pPr>
    </w:lvl>
    <w:lvl w:ilvl="8" w:tplc="4009001B" w:tentative="1">
      <w:start w:val="1"/>
      <w:numFmt w:val="lowerRoman"/>
      <w:lvlText w:val="%9."/>
      <w:lvlJc w:val="right"/>
      <w:pPr>
        <w:ind w:left="6487" w:hanging="180"/>
      </w:pPr>
    </w:lvl>
  </w:abstractNum>
  <w:abstractNum w:abstractNumId="19" w15:restartNumberingAfterBreak="0">
    <w:nsid w:val="74C574D8"/>
    <w:multiLevelType w:val="hybridMultilevel"/>
    <w:tmpl w:val="4B7AD9BC"/>
    <w:lvl w:ilvl="0" w:tplc="3AF67808">
      <w:start w:val="3"/>
      <w:numFmt w:val="bullet"/>
      <w:lvlText w:val=""/>
      <w:lvlJc w:val="left"/>
      <w:pPr>
        <w:ind w:left="727" w:hanging="360"/>
      </w:pPr>
      <w:rPr>
        <w:rFonts w:ascii="Symbol" w:eastAsia="Times New Roman" w:hAnsi="Symbol" w:cs="Times New Roman" w:hint="default"/>
      </w:rPr>
    </w:lvl>
    <w:lvl w:ilvl="1" w:tplc="40090003" w:tentative="1">
      <w:start w:val="1"/>
      <w:numFmt w:val="bullet"/>
      <w:lvlText w:val="o"/>
      <w:lvlJc w:val="left"/>
      <w:pPr>
        <w:ind w:left="1447" w:hanging="360"/>
      </w:pPr>
      <w:rPr>
        <w:rFonts w:ascii="Courier New" w:hAnsi="Courier New" w:cs="Courier New" w:hint="default"/>
      </w:rPr>
    </w:lvl>
    <w:lvl w:ilvl="2" w:tplc="40090005" w:tentative="1">
      <w:start w:val="1"/>
      <w:numFmt w:val="bullet"/>
      <w:lvlText w:val=""/>
      <w:lvlJc w:val="left"/>
      <w:pPr>
        <w:ind w:left="2167" w:hanging="360"/>
      </w:pPr>
      <w:rPr>
        <w:rFonts w:ascii="Wingdings" w:hAnsi="Wingdings" w:hint="default"/>
      </w:rPr>
    </w:lvl>
    <w:lvl w:ilvl="3" w:tplc="40090001" w:tentative="1">
      <w:start w:val="1"/>
      <w:numFmt w:val="bullet"/>
      <w:lvlText w:val=""/>
      <w:lvlJc w:val="left"/>
      <w:pPr>
        <w:ind w:left="2887" w:hanging="360"/>
      </w:pPr>
      <w:rPr>
        <w:rFonts w:ascii="Symbol" w:hAnsi="Symbol" w:hint="default"/>
      </w:rPr>
    </w:lvl>
    <w:lvl w:ilvl="4" w:tplc="40090003" w:tentative="1">
      <w:start w:val="1"/>
      <w:numFmt w:val="bullet"/>
      <w:lvlText w:val="o"/>
      <w:lvlJc w:val="left"/>
      <w:pPr>
        <w:ind w:left="3607" w:hanging="360"/>
      </w:pPr>
      <w:rPr>
        <w:rFonts w:ascii="Courier New" w:hAnsi="Courier New" w:cs="Courier New" w:hint="default"/>
      </w:rPr>
    </w:lvl>
    <w:lvl w:ilvl="5" w:tplc="40090005" w:tentative="1">
      <w:start w:val="1"/>
      <w:numFmt w:val="bullet"/>
      <w:lvlText w:val=""/>
      <w:lvlJc w:val="left"/>
      <w:pPr>
        <w:ind w:left="4327" w:hanging="360"/>
      </w:pPr>
      <w:rPr>
        <w:rFonts w:ascii="Wingdings" w:hAnsi="Wingdings" w:hint="default"/>
      </w:rPr>
    </w:lvl>
    <w:lvl w:ilvl="6" w:tplc="40090001" w:tentative="1">
      <w:start w:val="1"/>
      <w:numFmt w:val="bullet"/>
      <w:lvlText w:val=""/>
      <w:lvlJc w:val="left"/>
      <w:pPr>
        <w:ind w:left="5047" w:hanging="360"/>
      </w:pPr>
      <w:rPr>
        <w:rFonts w:ascii="Symbol" w:hAnsi="Symbol" w:hint="default"/>
      </w:rPr>
    </w:lvl>
    <w:lvl w:ilvl="7" w:tplc="40090003" w:tentative="1">
      <w:start w:val="1"/>
      <w:numFmt w:val="bullet"/>
      <w:lvlText w:val="o"/>
      <w:lvlJc w:val="left"/>
      <w:pPr>
        <w:ind w:left="5767" w:hanging="360"/>
      </w:pPr>
      <w:rPr>
        <w:rFonts w:ascii="Courier New" w:hAnsi="Courier New" w:cs="Courier New" w:hint="default"/>
      </w:rPr>
    </w:lvl>
    <w:lvl w:ilvl="8" w:tplc="40090005" w:tentative="1">
      <w:start w:val="1"/>
      <w:numFmt w:val="bullet"/>
      <w:lvlText w:val=""/>
      <w:lvlJc w:val="left"/>
      <w:pPr>
        <w:ind w:left="6487" w:hanging="360"/>
      </w:pPr>
      <w:rPr>
        <w:rFonts w:ascii="Wingdings" w:hAnsi="Wingdings" w:hint="default"/>
      </w:rPr>
    </w:lvl>
  </w:abstractNum>
  <w:abstractNum w:abstractNumId="20" w15:restartNumberingAfterBreak="0">
    <w:nsid w:val="7CC0169D"/>
    <w:multiLevelType w:val="hybridMultilevel"/>
    <w:tmpl w:val="5A247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4"/>
  </w:num>
  <w:num w:numId="2">
    <w:abstractNumId w:val="1"/>
  </w:num>
  <w:num w:numId="3">
    <w:abstractNumId w:val="11"/>
  </w:num>
  <w:num w:numId="4">
    <w:abstractNumId w:val="12"/>
  </w:num>
  <w:num w:numId="5">
    <w:abstractNumId w:val="6"/>
  </w:num>
  <w:num w:numId="6">
    <w:abstractNumId w:val="19"/>
  </w:num>
  <w:num w:numId="7">
    <w:abstractNumId w:val="7"/>
  </w:num>
  <w:num w:numId="8">
    <w:abstractNumId w:val="9"/>
  </w:num>
  <w:num w:numId="9">
    <w:abstractNumId w:val="15"/>
  </w:num>
  <w:num w:numId="10">
    <w:abstractNumId w:val="0"/>
  </w:num>
  <w:num w:numId="11">
    <w:abstractNumId w:val="13"/>
  </w:num>
  <w:num w:numId="12">
    <w:abstractNumId w:val="16"/>
  </w:num>
  <w:num w:numId="13">
    <w:abstractNumId w:val="17"/>
  </w:num>
  <w:num w:numId="14">
    <w:abstractNumId w:val="20"/>
  </w:num>
  <w:num w:numId="15">
    <w:abstractNumId w:val="5"/>
  </w:num>
  <w:num w:numId="16">
    <w:abstractNumId w:val="2"/>
    <w:lvlOverride w:ilvl="0">
      <w:lvl w:ilvl="0" w:tplc="CEF890E6">
        <w:start w:val="1"/>
        <w:numFmt w:val="decimal"/>
        <w:lvlText w:val="%1."/>
        <w:lvlJc w:val="left"/>
        <w:pPr>
          <w:ind w:left="736" w:hanging="376"/>
        </w:pPr>
        <w:rPr>
          <w:rFonts w:hAnsi="Arial Unicode MS"/>
          <w:b w:val="0"/>
          <w:b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5B1CA3C2">
        <w:start w:val="1"/>
        <w:numFmt w:val="decimal"/>
        <w:lvlText w:val="%2."/>
        <w:lvlJc w:val="left"/>
        <w:pPr>
          <w:ind w:left="109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DFF09066">
        <w:start w:val="1"/>
        <w:numFmt w:val="decimal"/>
        <w:lvlText w:val="%3."/>
        <w:lvlJc w:val="left"/>
        <w:pPr>
          <w:ind w:left="181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0A9428E8">
        <w:start w:val="1"/>
        <w:numFmt w:val="decimal"/>
        <w:lvlText w:val="%4."/>
        <w:lvlJc w:val="left"/>
        <w:pPr>
          <w:ind w:left="253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A164F866">
        <w:start w:val="1"/>
        <w:numFmt w:val="decimal"/>
        <w:lvlText w:val="%5."/>
        <w:lvlJc w:val="left"/>
        <w:pPr>
          <w:ind w:left="325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1D188BE0">
        <w:start w:val="1"/>
        <w:numFmt w:val="decimal"/>
        <w:lvlText w:val="%6."/>
        <w:lvlJc w:val="left"/>
        <w:pPr>
          <w:ind w:left="397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91889A3E">
        <w:start w:val="1"/>
        <w:numFmt w:val="decimal"/>
        <w:lvlText w:val="%7."/>
        <w:lvlJc w:val="left"/>
        <w:pPr>
          <w:ind w:left="469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CC8A87D4">
        <w:start w:val="1"/>
        <w:numFmt w:val="decimal"/>
        <w:lvlText w:val="%8."/>
        <w:lvlJc w:val="left"/>
        <w:pPr>
          <w:ind w:left="541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4F92F712">
        <w:start w:val="1"/>
        <w:numFmt w:val="decimal"/>
        <w:lvlText w:val="%9."/>
        <w:lvlJc w:val="left"/>
        <w:pPr>
          <w:ind w:left="6136"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3"/>
  </w:num>
  <w:num w:numId="18">
    <w:abstractNumId w:val="18"/>
  </w:num>
  <w:num w:numId="19">
    <w:abstractNumId w:val="8"/>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F7"/>
    <w:rsid w:val="0000134C"/>
    <w:rsid w:val="00002EEC"/>
    <w:rsid w:val="00012646"/>
    <w:rsid w:val="00025B04"/>
    <w:rsid w:val="00027352"/>
    <w:rsid w:val="00035371"/>
    <w:rsid w:val="00046F31"/>
    <w:rsid w:val="00092F17"/>
    <w:rsid w:val="000A5481"/>
    <w:rsid w:val="000C11BD"/>
    <w:rsid w:val="000C7409"/>
    <w:rsid w:val="000D33BA"/>
    <w:rsid w:val="000D660A"/>
    <w:rsid w:val="001015C9"/>
    <w:rsid w:val="00103CC1"/>
    <w:rsid w:val="0010488D"/>
    <w:rsid w:val="001151D7"/>
    <w:rsid w:val="001154DA"/>
    <w:rsid w:val="00115F6A"/>
    <w:rsid w:val="001252F5"/>
    <w:rsid w:val="00157AD1"/>
    <w:rsid w:val="001606A3"/>
    <w:rsid w:val="001622C0"/>
    <w:rsid w:val="00165576"/>
    <w:rsid w:val="001827E6"/>
    <w:rsid w:val="001844E5"/>
    <w:rsid w:val="00195B0E"/>
    <w:rsid w:val="001A28BA"/>
    <w:rsid w:val="001D3F1C"/>
    <w:rsid w:val="001E0DED"/>
    <w:rsid w:val="001E19E5"/>
    <w:rsid w:val="001E4D33"/>
    <w:rsid w:val="001F0B66"/>
    <w:rsid w:val="001F550B"/>
    <w:rsid w:val="00242466"/>
    <w:rsid w:val="002607DD"/>
    <w:rsid w:val="00264C13"/>
    <w:rsid w:val="00287F36"/>
    <w:rsid w:val="002A3ED4"/>
    <w:rsid w:val="002A7152"/>
    <w:rsid w:val="002B079F"/>
    <w:rsid w:val="002B3FF9"/>
    <w:rsid w:val="002B6F48"/>
    <w:rsid w:val="002C4A34"/>
    <w:rsid w:val="002D3837"/>
    <w:rsid w:val="002F6BBB"/>
    <w:rsid w:val="00301E35"/>
    <w:rsid w:val="00312506"/>
    <w:rsid w:val="00316695"/>
    <w:rsid w:val="00323CD2"/>
    <w:rsid w:val="00323E5A"/>
    <w:rsid w:val="003370A2"/>
    <w:rsid w:val="00341635"/>
    <w:rsid w:val="00342CDA"/>
    <w:rsid w:val="00367665"/>
    <w:rsid w:val="00375161"/>
    <w:rsid w:val="003A1D0A"/>
    <w:rsid w:val="003A39BB"/>
    <w:rsid w:val="003D23B1"/>
    <w:rsid w:val="003D44D0"/>
    <w:rsid w:val="003F4993"/>
    <w:rsid w:val="00441DD7"/>
    <w:rsid w:val="0046170C"/>
    <w:rsid w:val="004645CB"/>
    <w:rsid w:val="00470A86"/>
    <w:rsid w:val="004824AD"/>
    <w:rsid w:val="00485926"/>
    <w:rsid w:val="004A53DA"/>
    <w:rsid w:val="004B1F81"/>
    <w:rsid w:val="004B5449"/>
    <w:rsid w:val="004B7872"/>
    <w:rsid w:val="005018D3"/>
    <w:rsid w:val="0050488E"/>
    <w:rsid w:val="00521028"/>
    <w:rsid w:val="005240C3"/>
    <w:rsid w:val="0054148D"/>
    <w:rsid w:val="005620FE"/>
    <w:rsid w:val="005811A1"/>
    <w:rsid w:val="00595901"/>
    <w:rsid w:val="005B6AE5"/>
    <w:rsid w:val="005D5F8F"/>
    <w:rsid w:val="005D73F7"/>
    <w:rsid w:val="005F0F02"/>
    <w:rsid w:val="00600784"/>
    <w:rsid w:val="0060656E"/>
    <w:rsid w:val="00615A0F"/>
    <w:rsid w:val="00625CBA"/>
    <w:rsid w:val="00630731"/>
    <w:rsid w:val="00651AD8"/>
    <w:rsid w:val="0065533A"/>
    <w:rsid w:val="00661742"/>
    <w:rsid w:val="006672D4"/>
    <w:rsid w:val="00680B89"/>
    <w:rsid w:val="00685AD8"/>
    <w:rsid w:val="00690914"/>
    <w:rsid w:val="006A11E1"/>
    <w:rsid w:val="006A7BBE"/>
    <w:rsid w:val="006B31E3"/>
    <w:rsid w:val="006C4EBD"/>
    <w:rsid w:val="006F2DE0"/>
    <w:rsid w:val="006F50C0"/>
    <w:rsid w:val="00707879"/>
    <w:rsid w:val="00735C5F"/>
    <w:rsid w:val="00741955"/>
    <w:rsid w:val="00766EA1"/>
    <w:rsid w:val="00775818"/>
    <w:rsid w:val="00782219"/>
    <w:rsid w:val="00796495"/>
    <w:rsid w:val="00796DCC"/>
    <w:rsid w:val="007C64C8"/>
    <w:rsid w:val="007E1200"/>
    <w:rsid w:val="007F3F41"/>
    <w:rsid w:val="00800734"/>
    <w:rsid w:val="00822172"/>
    <w:rsid w:val="00824E35"/>
    <w:rsid w:val="00831CC9"/>
    <w:rsid w:val="008320A2"/>
    <w:rsid w:val="008437C6"/>
    <w:rsid w:val="00847888"/>
    <w:rsid w:val="0086769D"/>
    <w:rsid w:val="0086769E"/>
    <w:rsid w:val="00885D23"/>
    <w:rsid w:val="008B44EC"/>
    <w:rsid w:val="008B7B8E"/>
    <w:rsid w:val="008B7F23"/>
    <w:rsid w:val="008C2155"/>
    <w:rsid w:val="008D3D45"/>
    <w:rsid w:val="008F2352"/>
    <w:rsid w:val="008F3451"/>
    <w:rsid w:val="00907C39"/>
    <w:rsid w:val="009126E2"/>
    <w:rsid w:val="00923AE8"/>
    <w:rsid w:val="00933134"/>
    <w:rsid w:val="0093372A"/>
    <w:rsid w:val="00967AA8"/>
    <w:rsid w:val="009963B5"/>
    <w:rsid w:val="009A12FA"/>
    <w:rsid w:val="009B3FA5"/>
    <w:rsid w:val="009D1C58"/>
    <w:rsid w:val="009D331D"/>
    <w:rsid w:val="009D54AC"/>
    <w:rsid w:val="009E200E"/>
    <w:rsid w:val="009F1D76"/>
    <w:rsid w:val="009F50F9"/>
    <w:rsid w:val="009F7639"/>
    <w:rsid w:val="009F7A19"/>
    <w:rsid w:val="00A00D83"/>
    <w:rsid w:val="00A04BC4"/>
    <w:rsid w:val="00A124F5"/>
    <w:rsid w:val="00A328DA"/>
    <w:rsid w:val="00A342C8"/>
    <w:rsid w:val="00A35E31"/>
    <w:rsid w:val="00A408BC"/>
    <w:rsid w:val="00A707A5"/>
    <w:rsid w:val="00A73C15"/>
    <w:rsid w:val="00A765BC"/>
    <w:rsid w:val="00A82E51"/>
    <w:rsid w:val="00AA4C4B"/>
    <w:rsid w:val="00AC2011"/>
    <w:rsid w:val="00AD64B2"/>
    <w:rsid w:val="00AE1B5B"/>
    <w:rsid w:val="00AF050B"/>
    <w:rsid w:val="00B007A7"/>
    <w:rsid w:val="00B0719B"/>
    <w:rsid w:val="00B41E5A"/>
    <w:rsid w:val="00B65FA5"/>
    <w:rsid w:val="00B71338"/>
    <w:rsid w:val="00B961EE"/>
    <w:rsid w:val="00B96359"/>
    <w:rsid w:val="00BE2FBD"/>
    <w:rsid w:val="00C02D84"/>
    <w:rsid w:val="00C15457"/>
    <w:rsid w:val="00C239BC"/>
    <w:rsid w:val="00C42BF6"/>
    <w:rsid w:val="00C47D1C"/>
    <w:rsid w:val="00C508C0"/>
    <w:rsid w:val="00C70531"/>
    <w:rsid w:val="00CA59CD"/>
    <w:rsid w:val="00CB27C8"/>
    <w:rsid w:val="00CB36F9"/>
    <w:rsid w:val="00CB55C7"/>
    <w:rsid w:val="00CC1F2F"/>
    <w:rsid w:val="00CC6101"/>
    <w:rsid w:val="00CC6527"/>
    <w:rsid w:val="00CC71A7"/>
    <w:rsid w:val="00CD1A96"/>
    <w:rsid w:val="00CD7E3F"/>
    <w:rsid w:val="00CF272C"/>
    <w:rsid w:val="00CF330F"/>
    <w:rsid w:val="00CF6C60"/>
    <w:rsid w:val="00D012E5"/>
    <w:rsid w:val="00D10297"/>
    <w:rsid w:val="00D12865"/>
    <w:rsid w:val="00D16E7A"/>
    <w:rsid w:val="00D220A0"/>
    <w:rsid w:val="00D402F8"/>
    <w:rsid w:val="00D42BB1"/>
    <w:rsid w:val="00D53CE5"/>
    <w:rsid w:val="00D6156E"/>
    <w:rsid w:val="00D664C9"/>
    <w:rsid w:val="00D7462D"/>
    <w:rsid w:val="00D86B05"/>
    <w:rsid w:val="00D97613"/>
    <w:rsid w:val="00DD2623"/>
    <w:rsid w:val="00DE30A5"/>
    <w:rsid w:val="00E00599"/>
    <w:rsid w:val="00E1015D"/>
    <w:rsid w:val="00E10672"/>
    <w:rsid w:val="00E411F5"/>
    <w:rsid w:val="00E424B6"/>
    <w:rsid w:val="00E5321D"/>
    <w:rsid w:val="00E6276B"/>
    <w:rsid w:val="00E70C6F"/>
    <w:rsid w:val="00E751A8"/>
    <w:rsid w:val="00E853C0"/>
    <w:rsid w:val="00E91D87"/>
    <w:rsid w:val="00E93E80"/>
    <w:rsid w:val="00E940D6"/>
    <w:rsid w:val="00EE108C"/>
    <w:rsid w:val="00F14662"/>
    <w:rsid w:val="00F20DE0"/>
    <w:rsid w:val="00F371C6"/>
    <w:rsid w:val="00F72D7F"/>
    <w:rsid w:val="00F83688"/>
    <w:rsid w:val="00FB6EE5"/>
    <w:rsid w:val="00FC2E2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E807FD7"/>
  <w15:docId w15:val="{3F2B0CD2-9234-4975-BC2E-5129760C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pPr>
    <w:rPr>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ind w:left="367"/>
    </w:pPr>
    <w:rPr>
      <w:rFonts w:ascii="Times New Roman" w:eastAsia="Times New Roman" w:hAnsi="Times New Roman" w:cs="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unhideWhenUsed/>
    <w:rsid w:val="00FB6EE5"/>
    <w:rPr>
      <w:color w:val="0000FF"/>
      <w:u w:val="single"/>
    </w:rPr>
  </w:style>
  <w:style w:type="character" w:styleId="UnresolvedMention">
    <w:name w:val="Unresolved Mention"/>
    <w:uiPriority w:val="99"/>
    <w:semiHidden/>
    <w:unhideWhenUsed/>
    <w:rsid w:val="00FB6EE5"/>
    <w:rPr>
      <w:color w:val="605E5C"/>
      <w:shd w:val="clear" w:color="auto" w:fill="E1DFDD"/>
    </w:rPr>
  </w:style>
  <w:style w:type="character" w:customStyle="1" w:styleId="TitleChar">
    <w:name w:val="Title Char"/>
    <w:link w:val="Title"/>
    <w:uiPriority w:val="10"/>
    <w:rsid w:val="008C2155"/>
    <w:rPr>
      <w:rFonts w:ascii="Times New Roman" w:eastAsia="Times New Roman" w:hAnsi="Times New Roman" w:cs="Times New Roman"/>
      <w:sz w:val="22"/>
      <w:szCs w:val="22"/>
      <w:lang w:val="en-US" w:eastAsia="en-US" w:bidi="ar-SA"/>
    </w:rPr>
  </w:style>
  <w:style w:type="paragraph" w:customStyle="1" w:styleId="Body">
    <w:name w:val="Body"/>
    <w:rsid w:val="00967AA8"/>
    <w:pPr>
      <w:pBdr>
        <w:top w:val="nil"/>
        <w:left w:val="nil"/>
        <w:bottom w:val="nil"/>
        <w:right w:val="nil"/>
        <w:between w:val="nil"/>
        <w:bar w:val="nil"/>
      </w:pBdr>
    </w:pPr>
    <w:rPr>
      <w:rFonts w:ascii="Times New Roman" w:eastAsia="Times New Roman" w:hAnsi="Times New Roman" w:cs="Times New Roman"/>
      <w:color w:val="000000"/>
      <w:sz w:val="24"/>
      <w:szCs w:val="24"/>
      <w:u w:color="000000"/>
      <w:bdr w:val="nil"/>
      <w:lang w:val="en-US" w:eastAsia="en-US"/>
    </w:rPr>
  </w:style>
  <w:style w:type="numbering" w:customStyle="1" w:styleId="ImportedStyle7">
    <w:name w:val="Imported Style 7"/>
    <w:rsid w:val="00967AA8"/>
    <w:pPr>
      <w:numPr>
        <w:numId w:val="15"/>
      </w:numPr>
    </w:pPr>
  </w:style>
  <w:style w:type="paragraph" w:styleId="Header">
    <w:name w:val="header"/>
    <w:basedOn w:val="Normal"/>
    <w:link w:val="HeaderChar"/>
    <w:uiPriority w:val="99"/>
    <w:unhideWhenUsed/>
    <w:rsid w:val="009D54AC"/>
    <w:pPr>
      <w:tabs>
        <w:tab w:val="center" w:pos="4680"/>
        <w:tab w:val="right" w:pos="9360"/>
      </w:tabs>
    </w:pPr>
  </w:style>
  <w:style w:type="character" w:customStyle="1" w:styleId="HeaderChar">
    <w:name w:val="Header Char"/>
    <w:basedOn w:val="DefaultParagraphFont"/>
    <w:link w:val="Header"/>
    <w:uiPriority w:val="99"/>
    <w:rsid w:val="009D54AC"/>
    <w:rPr>
      <w:sz w:val="22"/>
      <w:szCs w:val="22"/>
      <w:lang w:val="en-US" w:eastAsia="en-US" w:bidi="ar-SA"/>
    </w:rPr>
  </w:style>
  <w:style w:type="paragraph" w:styleId="Footer">
    <w:name w:val="footer"/>
    <w:basedOn w:val="Normal"/>
    <w:link w:val="FooterChar"/>
    <w:uiPriority w:val="99"/>
    <w:unhideWhenUsed/>
    <w:rsid w:val="009D54AC"/>
    <w:pPr>
      <w:tabs>
        <w:tab w:val="center" w:pos="4680"/>
        <w:tab w:val="right" w:pos="9360"/>
      </w:tabs>
    </w:pPr>
  </w:style>
  <w:style w:type="character" w:customStyle="1" w:styleId="FooterChar">
    <w:name w:val="Footer Char"/>
    <w:basedOn w:val="DefaultParagraphFont"/>
    <w:link w:val="Footer"/>
    <w:uiPriority w:val="99"/>
    <w:rsid w:val="009D54AC"/>
    <w:rPr>
      <w:sz w:val="22"/>
      <w:szCs w:val="22"/>
      <w:lang w:val="en-US" w:eastAsia="en-US" w:bidi="ar-SA"/>
    </w:rPr>
  </w:style>
  <w:style w:type="paragraph" w:styleId="NormalWeb">
    <w:name w:val="Normal (Web)"/>
    <w:basedOn w:val="Normal"/>
    <w:uiPriority w:val="99"/>
    <w:semiHidden/>
    <w:unhideWhenUsed/>
    <w:rsid w:val="00D53CE5"/>
    <w:rPr>
      <w:rFonts w:ascii="Times New Roman" w:hAnsi="Times New Roman" w:cs="Times New Roman"/>
      <w:sz w:val="24"/>
      <w:szCs w:val="24"/>
    </w:rPr>
  </w:style>
  <w:style w:type="table" w:styleId="TableGrid">
    <w:name w:val="Table Grid"/>
    <w:basedOn w:val="TableNormal"/>
    <w:uiPriority w:val="59"/>
    <w:rsid w:val="00B961EE"/>
    <w:rPr>
      <w:rFonts w:cs="Times New Roman"/>
      <w:sz w:val="22"/>
      <w:szCs w:val="22"/>
      <w:lang w:val="en-US"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53D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982137">
      <w:bodyDiv w:val="1"/>
      <w:marLeft w:val="0"/>
      <w:marRight w:val="0"/>
      <w:marTop w:val="0"/>
      <w:marBottom w:val="0"/>
      <w:divBdr>
        <w:top w:val="none" w:sz="0" w:space="0" w:color="auto"/>
        <w:left w:val="none" w:sz="0" w:space="0" w:color="auto"/>
        <w:bottom w:val="none" w:sz="0" w:space="0" w:color="auto"/>
        <w:right w:val="none" w:sz="0" w:space="0" w:color="auto"/>
      </w:divBdr>
    </w:div>
    <w:div w:id="68579615">
      <w:bodyDiv w:val="1"/>
      <w:marLeft w:val="0"/>
      <w:marRight w:val="0"/>
      <w:marTop w:val="0"/>
      <w:marBottom w:val="0"/>
      <w:divBdr>
        <w:top w:val="none" w:sz="0" w:space="0" w:color="auto"/>
        <w:left w:val="none" w:sz="0" w:space="0" w:color="auto"/>
        <w:bottom w:val="none" w:sz="0" w:space="0" w:color="auto"/>
        <w:right w:val="none" w:sz="0" w:space="0" w:color="auto"/>
      </w:divBdr>
    </w:div>
    <w:div w:id="107430195">
      <w:bodyDiv w:val="1"/>
      <w:marLeft w:val="0"/>
      <w:marRight w:val="0"/>
      <w:marTop w:val="0"/>
      <w:marBottom w:val="0"/>
      <w:divBdr>
        <w:top w:val="none" w:sz="0" w:space="0" w:color="auto"/>
        <w:left w:val="none" w:sz="0" w:space="0" w:color="auto"/>
        <w:bottom w:val="none" w:sz="0" w:space="0" w:color="auto"/>
        <w:right w:val="none" w:sz="0" w:space="0" w:color="auto"/>
      </w:divBdr>
    </w:div>
    <w:div w:id="116460950">
      <w:bodyDiv w:val="1"/>
      <w:marLeft w:val="0"/>
      <w:marRight w:val="0"/>
      <w:marTop w:val="0"/>
      <w:marBottom w:val="0"/>
      <w:divBdr>
        <w:top w:val="none" w:sz="0" w:space="0" w:color="auto"/>
        <w:left w:val="none" w:sz="0" w:space="0" w:color="auto"/>
        <w:bottom w:val="none" w:sz="0" w:space="0" w:color="auto"/>
        <w:right w:val="none" w:sz="0" w:space="0" w:color="auto"/>
      </w:divBdr>
    </w:div>
    <w:div w:id="199828170">
      <w:bodyDiv w:val="1"/>
      <w:marLeft w:val="0"/>
      <w:marRight w:val="0"/>
      <w:marTop w:val="0"/>
      <w:marBottom w:val="0"/>
      <w:divBdr>
        <w:top w:val="none" w:sz="0" w:space="0" w:color="auto"/>
        <w:left w:val="none" w:sz="0" w:space="0" w:color="auto"/>
        <w:bottom w:val="none" w:sz="0" w:space="0" w:color="auto"/>
        <w:right w:val="none" w:sz="0" w:space="0" w:color="auto"/>
      </w:divBdr>
    </w:div>
    <w:div w:id="258611142">
      <w:bodyDiv w:val="1"/>
      <w:marLeft w:val="0"/>
      <w:marRight w:val="0"/>
      <w:marTop w:val="0"/>
      <w:marBottom w:val="0"/>
      <w:divBdr>
        <w:top w:val="none" w:sz="0" w:space="0" w:color="auto"/>
        <w:left w:val="none" w:sz="0" w:space="0" w:color="auto"/>
        <w:bottom w:val="none" w:sz="0" w:space="0" w:color="auto"/>
        <w:right w:val="none" w:sz="0" w:space="0" w:color="auto"/>
      </w:divBdr>
    </w:div>
    <w:div w:id="259877395">
      <w:bodyDiv w:val="1"/>
      <w:marLeft w:val="0"/>
      <w:marRight w:val="0"/>
      <w:marTop w:val="0"/>
      <w:marBottom w:val="0"/>
      <w:divBdr>
        <w:top w:val="none" w:sz="0" w:space="0" w:color="auto"/>
        <w:left w:val="none" w:sz="0" w:space="0" w:color="auto"/>
        <w:bottom w:val="none" w:sz="0" w:space="0" w:color="auto"/>
        <w:right w:val="none" w:sz="0" w:space="0" w:color="auto"/>
      </w:divBdr>
    </w:div>
    <w:div w:id="342360551">
      <w:bodyDiv w:val="1"/>
      <w:marLeft w:val="0"/>
      <w:marRight w:val="0"/>
      <w:marTop w:val="0"/>
      <w:marBottom w:val="0"/>
      <w:divBdr>
        <w:top w:val="none" w:sz="0" w:space="0" w:color="auto"/>
        <w:left w:val="none" w:sz="0" w:space="0" w:color="auto"/>
        <w:bottom w:val="none" w:sz="0" w:space="0" w:color="auto"/>
        <w:right w:val="none" w:sz="0" w:space="0" w:color="auto"/>
      </w:divBdr>
    </w:div>
    <w:div w:id="456922403">
      <w:bodyDiv w:val="1"/>
      <w:marLeft w:val="0"/>
      <w:marRight w:val="0"/>
      <w:marTop w:val="0"/>
      <w:marBottom w:val="0"/>
      <w:divBdr>
        <w:top w:val="none" w:sz="0" w:space="0" w:color="auto"/>
        <w:left w:val="none" w:sz="0" w:space="0" w:color="auto"/>
        <w:bottom w:val="none" w:sz="0" w:space="0" w:color="auto"/>
        <w:right w:val="none" w:sz="0" w:space="0" w:color="auto"/>
      </w:divBdr>
    </w:div>
    <w:div w:id="477041515">
      <w:bodyDiv w:val="1"/>
      <w:marLeft w:val="0"/>
      <w:marRight w:val="0"/>
      <w:marTop w:val="0"/>
      <w:marBottom w:val="0"/>
      <w:divBdr>
        <w:top w:val="none" w:sz="0" w:space="0" w:color="auto"/>
        <w:left w:val="none" w:sz="0" w:space="0" w:color="auto"/>
        <w:bottom w:val="none" w:sz="0" w:space="0" w:color="auto"/>
        <w:right w:val="none" w:sz="0" w:space="0" w:color="auto"/>
      </w:divBdr>
    </w:div>
    <w:div w:id="485975689">
      <w:bodyDiv w:val="1"/>
      <w:marLeft w:val="0"/>
      <w:marRight w:val="0"/>
      <w:marTop w:val="0"/>
      <w:marBottom w:val="0"/>
      <w:divBdr>
        <w:top w:val="none" w:sz="0" w:space="0" w:color="auto"/>
        <w:left w:val="none" w:sz="0" w:space="0" w:color="auto"/>
        <w:bottom w:val="none" w:sz="0" w:space="0" w:color="auto"/>
        <w:right w:val="none" w:sz="0" w:space="0" w:color="auto"/>
      </w:divBdr>
    </w:div>
    <w:div w:id="613487224">
      <w:bodyDiv w:val="1"/>
      <w:marLeft w:val="0"/>
      <w:marRight w:val="0"/>
      <w:marTop w:val="0"/>
      <w:marBottom w:val="0"/>
      <w:divBdr>
        <w:top w:val="none" w:sz="0" w:space="0" w:color="auto"/>
        <w:left w:val="none" w:sz="0" w:space="0" w:color="auto"/>
        <w:bottom w:val="none" w:sz="0" w:space="0" w:color="auto"/>
        <w:right w:val="none" w:sz="0" w:space="0" w:color="auto"/>
      </w:divBdr>
    </w:div>
    <w:div w:id="648828608">
      <w:bodyDiv w:val="1"/>
      <w:marLeft w:val="0"/>
      <w:marRight w:val="0"/>
      <w:marTop w:val="0"/>
      <w:marBottom w:val="0"/>
      <w:divBdr>
        <w:top w:val="none" w:sz="0" w:space="0" w:color="auto"/>
        <w:left w:val="none" w:sz="0" w:space="0" w:color="auto"/>
        <w:bottom w:val="none" w:sz="0" w:space="0" w:color="auto"/>
        <w:right w:val="none" w:sz="0" w:space="0" w:color="auto"/>
      </w:divBdr>
    </w:div>
    <w:div w:id="651445340">
      <w:bodyDiv w:val="1"/>
      <w:marLeft w:val="0"/>
      <w:marRight w:val="0"/>
      <w:marTop w:val="0"/>
      <w:marBottom w:val="0"/>
      <w:divBdr>
        <w:top w:val="none" w:sz="0" w:space="0" w:color="auto"/>
        <w:left w:val="none" w:sz="0" w:space="0" w:color="auto"/>
        <w:bottom w:val="none" w:sz="0" w:space="0" w:color="auto"/>
        <w:right w:val="none" w:sz="0" w:space="0" w:color="auto"/>
      </w:divBdr>
    </w:div>
    <w:div w:id="750808335">
      <w:bodyDiv w:val="1"/>
      <w:marLeft w:val="0"/>
      <w:marRight w:val="0"/>
      <w:marTop w:val="0"/>
      <w:marBottom w:val="0"/>
      <w:divBdr>
        <w:top w:val="none" w:sz="0" w:space="0" w:color="auto"/>
        <w:left w:val="none" w:sz="0" w:space="0" w:color="auto"/>
        <w:bottom w:val="none" w:sz="0" w:space="0" w:color="auto"/>
        <w:right w:val="none" w:sz="0" w:space="0" w:color="auto"/>
      </w:divBdr>
    </w:div>
    <w:div w:id="757212371">
      <w:bodyDiv w:val="1"/>
      <w:marLeft w:val="0"/>
      <w:marRight w:val="0"/>
      <w:marTop w:val="0"/>
      <w:marBottom w:val="0"/>
      <w:divBdr>
        <w:top w:val="none" w:sz="0" w:space="0" w:color="auto"/>
        <w:left w:val="none" w:sz="0" w:space="0" w:color="auto"/>
        <w:bottom w:val="none" w:sz="0" w:space="0" w:color="auto"/>
        <w:right w:val="none" w:sz="0" w:space="0" w:color="auto"/>
      </w:divBdr>
      <w:divsChild>
        <w:div w:id="343627354">
          <w:marLeft w:val="0"/>
          <w:marRight w:val="0"/>
          <w:marTop w:val="0"/>
          <w:marBottom w:val="0"/>
          <w:divBdr>
            <w:top w:val="single" w:sz="2" w:space="0" w:color="E3E3E3"/>
            <w:left w:val="single" w:sz="2" w:space="0" w:color="E3E3E3"/>
            <w:bottom w:val="single" w:sz="2" w:space="0" w:color="E3E3E3"/>
            <w:right w:val="single" w:sz="2" w:space="0" w:color="E3E3E3"/>
          </w:divBdr>
          <w:divsChild>
            <w:div w:id="13713413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34980396">
                  <w:marLeft w:val="0"/>
                  <w:marRight w:val="0"/>
                  <w:marTop w:val="0"/>
                  <w:marBottom w:val="0"/>
                  <w:divBdr>
                    <w:top w:val="single" w:sz="2" w:space="0" w:color="E3E3E3"/>
                    <w:left w:val="single" w:sz="2" w:space="0" w:color="E3E3E3"/>
                    <w:bottom w:val="single" w:sz="2" w:space="0" w:color="E3E3E3"/>
                    <w:right w:val="single" w:sz="2" w:space="0" w:color="E3E3E3"/>
                  </w:divBdr>
                  <w:divsChild>
                    <w:div w:id="891233668">
                      <w:marLeft w:val="0"/>
                      <w:marRight w:val="0"/>
                      <w:marTop w:val="0"/>
                      <w:marBottom w:val="0"/>
                      <w:divBdr>
                        <w:top w:val="single" w:sz="2" w:space="0" w:color="E3E3E3"/>
                        <w:left w:val="single" w:sz="2" w:space="0" w:color="E3E3E3"/>
                        <w:bottom w:val="single" w:sz="2" w:space="0" w:color="E3E3E3"/>
                        <w:right w:val="single" w:sz="2" w:space="0" w:color="E3E3E3"/>
                      </w:divBdr>
                      <w:divsChild>
                        <w:div w:id="1158964216">
                          <w:marLeft w:val="0"/>
                          <w:marRight w:val="0"/>
                          <w:marTop w:val="0"/>
                          <w:marBottom w:val="0"/>
                          <w:divBdr>
                            <w:top w:val="single" w:sz="2" w:space="0" w:color="E3E3E3"/>
                            <w:left w:val="single" w:sz="2" w:space="0" w:color="E3E3E3"/>
                            <w:bottom w:val="single" w:sz="2" w:space="0" w:color="E3E3E3"/>
                            <w:right w:val="single" w:sz="2" w:space="0" w:color="E3E3E3"/>
                          </w:divBdr>
                          <w:divsChild>
                            <w:div w:id="1551307429">
                              <w:marLeft w:val="0"/>
                              <w:marRight w:val="0"/>
                              <w:marTop w:val="0"/>
                              <w:marBottom w:val="0"/>
                              <w:divBdr>
                                <w:top w:val="single" w:sz="2" w:space="0" w:color="E3E3E3"/>
                                <w:left w:val="single" w:sz="2" w:space="0" w:color="E3E3E3"/>
                                <w:bottom w:val="single" w:sz="2" w:space="0" w:color="E3E3E3"/>
                                <w:right w:val="single" w:sz="2" w:space="0" w:color="E3E3E3"/>
                              </w:divBdr>
                              <w:divsChild>
                                <w:div w:id="1994793979">
                                  <w:marLeft w:val="0"/>
                                  <w:marRight w:val="0"/>
                                  <w:marTop w:val="0"/>
                                  <w:marBottom w:val="0"/>
                                  <w:divBdr>
                                    <w:top w:val="single" w:sz="2" w:space="0" w:color="E3E3E3"/>
                                    <w:left w:val="single" w:sz="2" w:space="0" w:color="E3E3E3"/>
                                    <w:bottom w:val="single" w:sz="2" w:space="0" w:color="E3E3E3"/>
                                    <w:right w:val="single" w:sz="2" w:space="0" w:color="E3E3E3"/>
                                  </w:divBdr>
                                  <w:divsChild>
                                    <w:div w:id="16723653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47453403">
          <w:marLeft w:val="0"/>
          <w:marRight w:val="0"/>
          <w:marTop w:val="0"/>
          <w:marBottom w:val="0"/>
          <w:divBdr>
            <w:top w:val="single" w:sz="2" w:space="0" w:color="E3E3E3"/>
            <w:left w:val="single" w:sz="2" w:space="0" w:color="E3E3E3"/>
            <w:bottom w:val="single" w:sz="2" w:space="0" w:color="E3E3E3"/>
            <w:right w:val="single" w:sz="2" w:space="0" w:color="E3E3E3"/>
          </w:divBdr>
          <w:divsChild>
            <w:div w:id="1953786450">
              <w:marLeft w:val="0"/>
              <w:marRight w:val="0"/>
              <w:marTop w:val="100"/>
              <w:marBottom w:val="100"/>
              <w:divBdr>
                <w:top w:val="single" w:sz="2" w:space="0" w:color="E3E3E3"/>
                <w:left w:val="single" w:sz="2" w:space="0" w:color="E3E3E3"/>
                <w:bottom w:val="single" w:sz="2" w:space="0" w:color="E3E3E3"/>
                <w:right w:val="single" w:sz="2" w:space="0" w:color="E3E3E3"/>
              </w:divBdr>
              <w:divsChild>
                <w:div w:id="897938630">
                  <w:marLeft w:val="0"/>
                  <w:marRight w:val="0"/>
                  <w:marTop w:val="0"/>
                  <w:marBottom w:val="0"/>
                  <w:divBdr>
                    <w:top w:val="single" w:sz="2" w:space="0" w:color="E3E3E3"/>
                    <w:left w:val="single" w:sz="2" w:space="0" w:color="E3E3E3"/>
                    <w:bottom w:val="single" w:sz="2" w:space="0" w:color="E3E3E3"/>
                    <w:right w:val="single" w:sz="2" w:space="0" w:color="E3E3E3"/>
                  </w:divBdr>
                  <w:divsChild>
                    <w:div w:id="36198157">
                      <w:marLeft w:val="0"/>
                      <w:marRight w:val="0"/>
                      <w:marTop w:val="0"/>
                      <w:marBottom w:val="0"/>
                      <w:divBdr>
                        <w:top w:val="single" w:sz="2" w:space="0" w:color="E3E3E3"/>
                        <w:left w:val="single" w:sz="2" w:space="0" w:color="E3E3E3"/>
                        <w:bottom w:val="single" w:sz="2" w:space="0" w:color="E3E3E3"/>
                        <w:right w:val="single" w:sz="2" w:space="0" w:color="E3E3E3"/>
                      </w:divBdr>
                      <w:divsChild>
                        <w:div w:id="86539676">
                          <w:marLeft w:val="0"/>
                          <w:marRight w:val="0"/>
                          <w:marTop w:val="0"/>
                          <w:marBottom w:val="0"/>
                          <w:divBdr>
                            <w:top w:val="single" w:sz="2" w:space="0" w:color="E3E3E3"/>
                            <w:left w:val="single" w:sz="2" w:space="0" w:color="E3E3E3"/>
                            <w:bottom w:val="single" w:sz="2" w:space="0" w:color="E3E3E3"/>
                            <w:right w:val="single" w:sz="2" w:space="0" w:color="E3E3E3"/>
                          </w:divBdr>
                          <w:divsChild>
                            <w:div w:id="2051106960">
                              <w:marLeft w:val="0"/>
                              <w:marRight w:val="0"/>
                              <w:marTop w:val="0"/>
                              <w:marBottom w:val="0"/>
                              <w:divBdr>
                                <w:top w:val="single" w:sz="2" w:space="0" w:color="E3E3E3"/>
                                <w:left w:val="single" w:sz="2" w:space="0" w:color="E3E3E3"/>
                                <w:bottom w:val="single" w:sz="2" w:space="0" w:color="E3E3E3"/>
                                <w:right w:val="single" w:sz="2" w:space="0" w:color="E3E3E3"/>
                              </w:divBdr>
                              <w:divsChild>
                                <w:div w:id="349185120">
                                  <w:marLeft w:val="0"/>
                                  <w:marRight w:val="0"/>
                                  <w:marTop w:val="0"/>
                                  <w:marBottom w:val="0"/>
                                  <w:divBdr>
                                    <w:top w:val="single" w:sz="2" w:space="0" w:color="E3E3E3"/>
                                    <w:left w:val="single" w:sz="2" w:space="0" w:color="E3E3E3"/>
                                    <w:bottom w:val="single" w:sz="2" w:space="0" w:color="E3E3E3"/>
                                    <w:right w:val="single" w:sz="2" w:space="0" w:color="E3E3E3"/>
                                  </w:divBdr>
                                  <w:divsChild>
                                    <w:div w:id="146988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2596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70627596">
                      <w:marLeft w:val="0"/>
                      <w:marRight w:val="0"/>
                      <w:marTop w:val="0"/>
                      <w:marBottom w:val="0"/>
                      <w:divBdr>
                        <w:top w:val="single" w:sz="2" w:space="0" w:color="E3E3E3"/>
                        <w:left w:val="single" w:sz="2" w:space="0" w:color="E3E3E3"/>
                        <w:bottom w:val="single" w:sz="2" w:space="0" w:color="E3E3E3"/>
                        <w:right w:val="single" w:sz="2" w:space="0" w:color="E3E3E3"/>
                      </w:divBdr>
                      <w:divsChild>
                        <w:div w:id="129984087">
                          <w:marLeft w:val="0"/>
                          <w:marRight w:val="0"/>
                          <w:marTop w:val="0"/>
                          <w:marBottom w:val="0"/>
                          <w:divBdr>
                            <w:top w:val="single" w:sz="2" w:space="0" w:color="E3E3E3"/>
                            <w:left w:val="single" w:sz="2" w:space="0" w:color="E3E3E3"/>
                            <w:bottom w:val="single" w:sz="2" w:space="0" w:color="E3E3E3"/>
                            <w:right w:val="single" w:sz="2" w:space="0" w:color="E3E3E3"/>
                          </w:divBdr>
                          <w:divsChild>
                            <w:div w:id="1913419858">
                              <w:marLeft w:val="0"/>
                              <w:marRight w:val="0"/>
                              <w:marTop w:val="0"/>
                              <w:marBottom w:val="0"/>
                              <w:divBdr>
                                <w:top w:val="single" w:sz="2" w:space="0" w:color="E3E3E3"/>
                                <w:left w:val="single" w:sz="2" w:space="0" w:color="E3E3E3"/>
                                <w:bottom w:val="single" w:sz="2" w:space="0" w:color="E3E3E3"/>
                                <w:right w:val="single" w:sz="2" w:space="0" w:color="E3E3E3"/>
                              </w:divBdr>
                              <w:divsChild>
                                <w:div w:id="1201281199">
                                  <w:marLeft w:val="0"/>
                                  <w:marRight w:val="0"/>
                                  <w:marTop w:val="0"/>
                                  <w:marBottom w:val="0"/>
                                  <w:divBdr>
                                    <w:top w:val="single" w:sz="2" w:space="0" w:color="E3E3E3"/>
                                    <w:left w:val="single" w:sz="2" w:space="0" w:color="E3E3E3"/>
                                    <w:bottom w:val="single" w:sz="2" w:space="0" w:color="E3E3E3"/>
                                    <w:right w:val="single" w:sz="2" w:space="0" w:color="E3E3E3"/>
                                  </w:divBdr>
                                  <w:divsChild>
                                    <w:div w:id="18451219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09254131">
      <w:bodyDiv w:val="1"/>
      <w:marLeft w:val="0"/>
      <w:marRight w:val="0"/>
      <w:marTop w:val="0"/>
      <w:marBottom w:val="0"/>
      <w:divBdr>
        <w:top w:val="none" w:sz="0" w:space="0" w:color="auto"/>
        <w:left w:val="none" w:sz="0" w:space="0" w:color="auto"/>
        <w:bottom w:val="none" w:sz="0" w:space="0" w:color="auto"/>
        <w:right w:val="none" w:sz="0" w:space="0" w:color="auto"/>
      </w:divBdr>
    </w:div>
    <w:div w:id="830565999">
      <w:bodyDiv w:val="1"/>
      <w:marLeft w:val="0"/>
      <w:marRight w:val="0"/>
      <w:marTop w:val="0"/>
      <w:marBottom w:val="0"/>
      <w:divBdr>
        <w:top w:val="none" w:sz="0" w:space="0" w:color="auto"/>
        <w:left w:val="none" w:sz="0" w:space="0" w:color="auto"/>
        <w:bottom w:val="none" w:sz="0" w:space="0" w:color="auto"/>
        <w:right w:val="none" w:sz="0" w:space="0" w:color="auto"/>
      </w:divBdr>
    </w:div>
    <w:div w:id="844051781">
      <w:bodyDiv w:val="1"/>
      <w:marLeft w:val="0"/>
      <w:marRight w:val="0"/>
      <w:marTop w:val="0"/>
      <w:marBottom w:val="0"/>
      <w:divBdr>
        <w:top w:val="none" w:sz="0" w:space="0" w:color="auto"/>
        <w:left w:val="none" w:sz="0" w:space="0" w:color="auto"/>
        <w:bottom w:val="none" w:sz="0" w:space="0" w:color="auto"/>
        <w:right w:val="none" w:sz="0" w:space="0" w:color="auto"/>
      </w:divBdr>
      <w:divsChild>
        <w:div w:id="2088116134">
          <w:marLeft w:val="0"/>
          <w:marRight w:val="0"/>
          <w:marTop w:val="0"/>
          <w:marBottom w:val="0"/>
          <w:divBdr>
            <w:top w:val="single" w:sz="2" w:space="0" w:color="E3E3E3"/>
            <w:left w:val="single" w:sz="2" w:space="0" w:color="E3E3E3"/>
            <w:bottom w:val="single" w:sz="2" w:space="0" w:color="E3E3E3"/>
            <w:right w:val="single" w:sz="2" w:space="0" w:color="E3E3E3"/>
          </w:divBdr>
          <w:divsChild>
            <w:div w:id="1415398014">
              <w:marLeft w:val="0"/>
              <w:marRight w:val="0"/>
              <w:marTop w:val="0"/>
              <w:marBottom w:val="0"/>
              <w:divBdr>
                <w:top w:val="single" w:sz="2" w:space="0" w:color="E3E3E3"/>
                <w:left w:val="single" w:sz="2" w:space="0" w:color="E3E3E3"/>
                <w:bottom w:val="single" w:sz="2" w:space="0" w:color="E3E3E3"/>
                <w:right w:val="single" w:sz="2" w:space="0" w:color="E3E3E3"/>
              </w:divBdr>
              <w:divsChild>
                <w:div w:id="406265947">
                  <w:marLeft w:val="0"/>
                  <w:marRight w:val="0"/>
                  <w:marTop w:val="0"/>
                  <w:marBottom w:val="0"/>
                  <w:divBdr>
                    <w:top w:val="single" w:sz="2" w:space="0" w:color="E3E3E3"/>
                    <w:left w:val="single" w:sz="2" w:space="0" w:color="E3E3E3"/>
                    <w:bottom w:val="single" w:sz="2" w:space="0" w:color="E3E3E3"/>
                    <w:right w:val="single" w:sz="2" w:space="0" w:color="E3E3E3"/>
                  </w:divBdr>
                  <w:divsChild>
                    <w:div w:id="1020861396">
                      <w:marLeft w:val="0"/>
                      <w:marRight w:val="0"/>
                      <w:marTop w:val="0"/>
                      <w:marBottom w:val="0"/>
                      <w:divBdr>
                        <w:top w:val="single" w:sz="2" w:space="0" w:color="E3E3E3"/>
                        <w:left w:val="single" w:sz="2" w:space="0" w:color="E3E3E3"/>
                        <w:bottom w:val="single" w:sz="2" w:space="0" w:color="E3E3E3"/>
                        <w:right w:val="single" w:sz="2" w:space="0" w:color="E3E3E3"/>
                      </w:divBdr>
                      <w:divsChild>
                        <w:div w:id="295648325">
                          <w:marLeft w:val="0"/>
                          <w:marRight w:val="0"/>
                          <w:marTop w:val="0"/>
                          <w:marBottom w:val="0"/>
                          <w:divBdr>
                            <w:top w:val="single" w:sz="2" w:space="0" w:color="E3E3E3"/>
                            <w:left w:val="single" w:sz="2" w:space="0" w:color="E3E3E3"/>
                            <w:bottom w:val="single" w:sz="2" w:space="0" w:color="E3E3E3"/>
                            <w:right w:val="single" w:sz="2" w:space="0" w:color="E3E3E3"/>
                          </w:divBdr>
                          <w:divsChild>
                            <w:div w:id="8874442">
                              <w:marLeft w:val="0"/>
                              <w:marRight w:val="0"/>
                              <w:marTop w:val="100"/>
                              <w:marBottom w:val="100"/>
                              <w:divBdr>
                                <w:top w:val="single" w:sz="2" w:space="0" w:color="E3E3E3"/>
                                <w:left w:val="single" w:sz="2" w:space="0" w:color="E3E3E3"/>
                                <w:bottom w:val="single" w:sz="2" w:space="0" w:color="E3E3E3"/>
                                <w:right w:val="single" w:sz="2" w:space="0" w:color="E3E3E3"/>
                              </w:divBdr>
                              <w:divsChild>
                                <w:div w:id="879973435">
                                  <w:marLeft w:val="0"/>
                                  <w:marRight w:val="0"/>
                                  <w:marTop w:val="0"/>
                                  <w:marBottom w:val="0"/>
                                  <w:divBdr>
                                    <w:top w:val="single" w:sz="2" w:space="0" w:color="E3E3E3"/>
                                    <w:left w:val="single" w:sz="2" w:space="0" w:color="E3E3E3"/>
                                    <w:bottom w:val="single" w:sz="2" w:space="0" w:color="E3E3E3"/>
                                    <w:right w:val="single" w:sz="2" w:space="0" w:color="E3E3E3"/>
                                  </w:divBdr>
                                  <w:divsChild>
                                    <w:div w:id="281965604">
                                      <w:marLeft w:val="0"/>
                                      <w:marRight w:val="0"/>
                                      <w:marTop w:val="0"/>
                                      <w:marBottom w:val="0"/>
                                      <w:divBdr>
                                        <w:top w:val="single" w:sz="2" w:space="0" w:color="E3E3E3"/>
                                        <w:left w:val="single" w:sz="2" w:space="0" w:color="E3E3E3"/>
                                        <w:bottom w:val="single" w:sz="2" w:space="0" w:color="E3E3E3"/>
                                        <w:right w:val="single" w:sz="2" w:space="0" w:color="E3E3E3"/>
                                      </w:divBdr>
                                      <w:divsChild>
                                        <w:div w:id="1730373576">
                                          <w:marLeft w:val="0"/>
                                          <w:marRight w:val="0"/>
                                          <w:marTop w:val="0"/>
                                          <w:marBottom w:val="0"/>
                                          <w:divBdr>
                                            <w:top w:val="single" w:sz="2" w:space="0" w:color="E3E3E3"/>
                                            <w:left w:val="single" w:sz="2" w:space="0" w:color="E3E3E3"/>
                                            <w:bottom w:val="single" w:sz="2" w:space="0" w:color="E3E3E3"/>
                                            <w:right w:val="single" w:sz="2" w:space="0" w:color="E3E3E3"/>
                                          </w:divBdr>
                                          <w:divsChild>
                                            <w:div w:id="271977052">
                                              <w:marLeft w:val="0"/>
                                              <w:marRight w:val="0"/>
                                              <w:marTop w:val="0"/>
                                              <w:marBottom w:val="0"/>
                                              <w:divBdr>
                                                <w:top w:val="single" w:sz="2" w:space="0" w:color="E3E3E3"/>
                                                <w:left w:val="single" w:sz="2" w:space="0" w:color="E3E3E3"/>
                                                <w:bottom w:val="single" w:sz="2" w:space="0" w:color="E3E3E3"/>
                                                <w:right w:val="single" w:sz="2" w:space="0" w:color="E3E3E3"/>
                                              </w:divBdr>
                                              <w:divsChild>
                                                <w:div w:id="2050951756">
                                                  <w:marLeft w:val="0"/>
                                                  <w:marRight w:val="0"/>
                                                  <w:marTop w:val="0"/>
                                                  <w:marBottom w:val="0"/>
                                                  <w:divBdr>
                                                    <w:top w:val="single" w:sz="2" w:space="0" w:color="E3E3E3"/>
                                                    <w:left w:val="single" w:sz="2" w:space="0" w:color="E3E3E3"/>
                                                    <w:bottom w:val="single" w:sz="2" w:space="0" w:color="E3E3E3"/>
                                                    <w:right w:val="single" w:sz="2" w:space="0" w:color="E3E3E3"/>
                                                  </w:divBdr>
                                                  <w:divsChild>
                                                    <w:div w:id="1520048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92236324">
          <w:marLeft w:val="0"/>
          <w:marRight w:val="0"/>
          <w:marTop w:val="0"/>
          <w:marBottom w:val="0"/>
          <w:divBdr>
            <w:top w:val="none" w:sz="0" w:space="0" w:color="auto"/>
            <w:left w:val="none" w:sz="0" w:space="0" w:color="auto"/>
            <w:bottom w:val="none" w:sz="0" w:space="0" w:color="auto"/>
            <w:right w:val="none" w:sz="0" w:space="0" w:color="auto"/>
          </w:divBdr>
        </w:div>
      </w:divsChild>
    </w:div>
    <w:div w:id="889926367">
      <w:bodyDiv w:val="1"/>
      <w:marLeft w:val="0"/>
      <w:marRight w:val="0"/>
      <w:marTop w:val="0"/>
      <w:marBottom w:val="0"/>
      <w:divBdr>
        <w:top w:val="none" w:sz="0" w:space="0" w:color="auto"/>
        <w:left w:val="none" w:sz="0" w:space="0" w:color="auto"/>
        <w:bottom w:val="none" w:sz="0" w:space="0" w:color="auto"/>
        <w:right w:val="none" w:sz="0" w:space="0" w:color="auto"/>
      </w:divBdr>
    </w:div>
    <w:div w:id="994643913">
      <w:bodyDiv w:val="1"/>
      <w:marLeft w:val="0"/>
      <w:marRight w:val="0"/>
      <w:marTop w:val="0"/>
      <w:marBottom w:val="0"/>
      <w:divBdr>
        <w:top w:val="none" w:sz="0" w:space="0" w:color="auto"/>
        <w:left w:val="none" w:sz="0" w:space="0" w:color="auto"/>
        <w:bottom w:val="none" w:sz="0" w:space="0" w:color="auto"/>
        <w:right w:val="none" w:sz="0" w:space="0" w:color="auto"/>
      </w:divBdr>
    </w:div>
    <w:div w:id="1095829552">
      <w:bodyDiv w:val="1"/>
      <w:marLeft w:val="0"/>
      <w:marRight w:val="0"/>
      <w:marTop w:val="0"/>
      <w:marBottom w:val="0"/>
      <w:divBdr>
        <w:top w:val="none" w:sz="0" w:space="0" w:color="auto"/>
        <w:left w:val="none" w:sz="0" w:space="0" w:color="auto"/>
        <w:bottom w:val="none" w:sz="0" w:space="0" w:color="auto"/>
        <w:right w:val="none" w:sz="0" w:space="0" w:color="auto"/>
      </w:divBdr>
    </w:div>
    <w:div w:id="1157957625">
      <w:bodyDiv w:val="1"/>
      <w:marLeft w:val="0"/>
      <w:marRight w:val="0"/>
      <w:marTop w:val="0"/>
      <w:marBottom w:val="0"/>
      <w:divBdr>
        <w:top w:val="none" w:sz="0" w:space="0" w:color="auto"/>
        <w:left w:val="none" w:sz="0" w:space="0" w:color="auto"/>
        <w:bottom w:val="none" w:sz="0" w:space="0" w:color="auto"/>
        <w:right w:val="none" w:sz="0" w:space="0" w:color="auto"/>
      </w:divBdr>
    </w:div>
    <w:div w:id="1196700533">
      <w:bodyDiv w:val="1"/>
      <w:marLeft w:val="0"/>
      <w:marRight w:val="0"/>
      <w:marTop w:val="0"/>
      <w:marBottom w:val="0"/>
      <w:divBdr>
        <w:top w:val="none" w:sz="0" w:space="0" w:color="auto"/>
        <w:left w:val="none" w:sz="0" w:space="0" w:color="auto"/>
        <w:bottom w:val="none" w:sz="0" w:space="0" w:color="auto"/>
        <w:right w:val="none" w:sz="0" w:space="0" w:color="auto"/>
      </w:divBdr>
    </w:div>
    <w:div w:id="1200701922">
      <w:bodyDiv w:val="1"/>
      <w:marLeft w:val="0"/>
      <w:marRight w:val="0"/>
      <w:marTop w:val="0"/>
      <w:marBottom w:val="0"/>
      <w:divBdr>
        <w:top w:val="none" w:sz="0" w:space="0" w:color="auto"/>
        <w:left w:val="none" w:sz="0" w:space="0" w:color="auto"/>
        <w:bottom w:val="none" w:sz="0" w:space="0" w:color="auto"/>
        <w:right w:val="none" w:sz="0" w:space="0" w:color="auto"/>
      </w:divBdr>
    </w:div>
    <w:div w:id="1294824297">
      <w:bodyDiv w:val="1"/>
      <w:marLeft w:val="0"/>
      <w:marRight w:val="0"/>
      <w:marTop w:val="0"/>
      <w:marBottom w:val="0"/>
      <w:divBdr>
        <w:top w:val="none" w:sz="0" w:space="0" w:color="auto"/>
        <w:left w:val="none" w:sz="0" w:space="0" w:color="auto"/>
        <w:bottom w:val="none" w:sz="0" w:space="0" w:color="auto"/>
        <w:right w:val="none" w:sz="0" w:space="0" w:color="auto"/>
      </w:divBdr>
    </w:div>
    <w:div w:id="1310281340">
      <w:bodyDiv w:val="1"/>
      <w:marLeft w:val="0"/>
      <w:marRight w:val="0"/>
      <w:marTop w:val="0"/>
      <w:marBottom w:val="0"/>
      <w:divBdr>
        <w:top w:val="none" w:sz="0" w:space="0" w:color="auto"/>
        <w:left w:val="none" w:sz="0" w:space="0" w:color="auto"/>
        <w:bottom w:val="none" w:sz="0" w:space="0" w:color="auto"/>
        <w:right w:val="none" w:sz="0" w:space="0" w:color="auto"/>
      </w:divBdr>
    </w:div>
    <w:div w:id="1316227230">
      <w:bodyDiv w:val="1"/>
      <w:marLeft w:val="0"/>
      <w:marRight w:val="0"/>
      <w:marTop w:val="0"/>
      <w:marBottom w:val="0"/>
      <w:divBdr>
        <w:top w:val="none" w:sz="0" w:space="0" w:color="auto"/>
        <w:left w:val="none" w:sz="0" w:space="0" w:color="auto"/>
        <w:bottom w:val="none" w:sz="0" w:space="0" w:color="auto"/>
        <w:right w:val="none" w:sz="0" w:space="0" w:color="auto"/>
      </w:divBdr>
    </w:div>
    <w:div w:id="1318145908">
      <w:bodyDiv w:val="1"/>
      <w:marLeft w:val="0"/>
      <w:marRight w:val="0"/>
      <w:marTop w:val="0"/>
      <w:marBottom w:val="0"/>
      <w:divBdr>
        <w:top w:val="none" w:sz="0" w:space="0" w:color="auto"/>
        <w:left w:val="none" w:sz="0" w:space="0" w:color="auto"/>
        <w:bottom w:val="none" w:sz="0" w:space="0" w:color="auto"/>
        <w:right w:val="none" w:sz="0" w:space="0" w:color="auto"/>
      </w:divBdr>
    </w:div>
    <w:div w:id="1354116089">
      <w:bodyDiv w:val="1"/>
      <w:marLeft w:val="0"/>
      <w:marRight w:val="0"/>
      <w:marTop w:val="0"/>
      <w:marBottom w:val="0"/>
      <w:divBdr>
        <w:top w:val="none" w:sz="0" w:space="0" w:color="auto"/>
        <w:left w:val="none" w:sz="0" w:space="0" w:color="auto"/>
        <w:bottom w:val="none" w:sz="0" w:space="0" w:color="auto"/>
        <w:right w:val="none" w:sz="0" w:space="0" w:color="auto"/>
      </w:divBdr>
    </w:div>
    <w:div w:id="1370908982">
      <w:bodyDiv w:val="1"/>
      <w:marLeft w:val="0"/>
      <w:marRight w:val="0"/>
      <w:marTop w:val="0"/>
      <w:marBottom w:val="0"/>
      <w:divBdr>
        <w:top w:val="none" w:sz="0" w:space="0" w:color="auto"/>
        <w:left w:val="none" w:sz="0" w:space="0" w:color="auto"/>
        <w:bottom w:val="none" w:sz="0" w:space="0" w:color="auto"/>
        <w:right w:val="none" w:sz="0" w:space="0" w:color="auto"/>
      </w:divBdr>
    </w:div>
    <w:div w:id="1414159236">
      <w:bodyDiv w:val="1"/>
      <w:marLeft w:val="0"/>
      <w:marRight w:val="0"/>
      <w:marTop w:val="0"/>
      <w:marBottom w:val="0"/>
      <w:divBdr>
        <w:top w:val="none" w:sz="0" w:space="0" w:color="auto"/>
        <w:left w:val="none" w:sz="0" w:space="0" w:color="auto"/>
        <w:bottom w:val="none" w:sz="0" w:space="0" w:color="auto"/>
        <w:right w:val="none" w:sz="0" w:space="0" w:color="auto"/>
      </w:divBdr>
    </w:div>
    <w:div w:id="1460146123">
      <w:bodyDiv w:val="1"/>
      <w:marLeft w:val="0"/>
      <w:marRight w:val="0"/>
      <w:marTop w:val="0"/>
      <w:marBottom w:val="0"/>
      <w:divBdr>
        <w:top w:val="none" w:sz="0" w:space="0" w:color="auto"/>
        <w:left w:val="none" w:sz="0" w:space="0" w:color="auto"/>
        <w:bottom w:val="none" w:sz="0" w:space="0" w:color="auto"/>
        <w:right w:val="none" w:sz="0" w:space="0" w:color="auto"/>
      </w:divBdr>
    </w:div>
    <w:div w:id="1498111018">
      <w:bodyDiv w:val="1"/>
      <w:marLeft w:val="0"/>
      <w:marRight w:val="0"/>
      <w:marTop w:val="0"/>
      <w:marBottom w:val="0"/>
      <w:divBdr>
        <w:top w:val="none" w:sz="0" w:space="0" w:color="auto"/>
        <w:left w:val="none" w:sz="0" w:space="0" w:color="auto"/>
        <w:bottom w:val="none" w:sz="0" w:space="0" w:color="auto"/>
        <w:right w:val="none" w:sz="0" w:space="0" w:color="auto"/>
      </w:divBdr>
    </w:div>
    <w:div w:id="1520050069">
      <w:bodyDiv w:val="1"/>
      <w:marLeft w:val="0"/>
      <w:marRight w:val="0"/>
      <w:marTop w:val="0"/>
      <w:marBottom w:val="0"/>
      <w:divBdr>
        <w:top w:val="none" w:sz="0" w:space="0" w:color="auto"/>
        <w:left w:val="none" w:sz="0" w:space="0" w:color="auto"/>
        <w:bottom w:val="none" w:sz="0" w:space="0" w:color="auto"/>
        <w:right w:val="none" w:sz="0" w:space="0" w:color="auto"/>
      </w:divBdr>
    </w:div>
    <w:div w:id="1522091569">
      <w:bodyDiv w:val="1"/>
      <w:marLeft w:val="0"/>
      <w:marRight w:val="0"/>
      <w:marTop w:val="0"/>
      <w:marBottom w:val="0"/>
      <w:divBdr>
        <w:top w:val="none" w:sz="0" w:space="0" w:color="auto"/>
        <w:left w:val="none" w:sz="0" w:space="0" w:color="auto"/>
        <w:bottom w:val="none" w:sz="0" w:space="0" w:color="auto"/>
        <w:right w:val="none" w:sz="0" w:space="0" w:color="auto"/>
      </w:divBdr>
    </w:div>
    <w:div w:id="1612979314">
      <w:bodyDiv w:val="1"/>
      <w:marLeft w:val="0"/>
      <w:marRight w:val="0"/>
      <w:marTop w:val="0"/>
      <w:marBottom w:val="0"/>
      <w:divBdr>
        <w:top w:val="none" w:sz="0" w:space="0" w:color="auto"/>
        <w:left w:val="none" w:sz="0" w:space="0" w:color="auto"/>
        <w:bottom w:val="none" w:sz="0" w:space="0" w:color="auto"/>
        <w:right w:val="none" w:sz="0" w:space="0" w:color="auto"/>
      </w:divBdr>
    </w:div>
    <w:div w:id="1652129305">
      <w:bodyDiv w:val="1"/>
      <w:marLeft w:val="0"/>
      <w:marRight w:val="0"/>
      <w:marTop w:val="0"/>
      <w:marBottom w:val="0"/>
      <w:divBdr>
        <w:top w:val="none" w:sz="0" w:space="0" w:color="auto"/>
        <w:left w:val="none" w:sz="0" w:space="0" w:color="auto"/>
        <w:bottom w:val="none" w:sz="0" w:space="0" w:color="auto"/>
        <w:right w:val="none" w:sz="0" w:space="0" w:color="auto"/>
      </w:divBdr>
    </w:div>
    <w:div w:id="1757901655">
      <w:bodyDiv w:val="1"/>
      <w:marLeft w:val="0"/>
      <w:marRight w:val="0"/>
      <w:marTop w:val="0"/>
      <w:marBottom w:val="0"/>
      <w:divBdr>
        <w:top w:val="none" w:sz="0" w:space="0" w:color="auto"/>
        <w:left w:val="none" w:sz="0" w:space="0" w:color="auto"/>
        <w:bottom w:val="none" w:sz="0" w:space="0" w:color="auto"/>
        <w:right w:val="none" w:sz="0" w:space="0" w:color="auto"/>
      </w:divBdr>
    </w:div>
    <w:div w:id="1795974871">
      <w:bodyDiv w:val="1"/>
      <w:marLeft w:val="0"/>
      <w:marRight w:val="0"/>
      <w:marTop w:val="0"/>
      <w:marBottom w:val="0"/>
      <w:divBdr>
        <w:top w:val="none" w:sz="0" w:space="0" w:color="auto"/>
        <w:left w:val="none" w:sz="0" w:space="0" w:color="auto"/>
        <w:bottom w:val="none" w:sz="0" w:space="0" w:color="auto"/>
        <w:right w:val="none" w:sz="0" w:space="0" w:color="auto"/>
      </w:divBdr>
    </w:div>
    <w:div w:id="1801151135">
      <w:bodyDiv w:val="1"/>
      <w:marLeft w:val="0"/>
      <w:marRight w:val="0"/>
      <w:marTop w:val="0"/>
      <w:marBottom w:val="0"/>
      <w:divBdr>
        <w:top w:val="none" w:sz="0" w:space="0" w:color="auto"/>
        <w:left w:val="none" w:sz="0" w:space="0" w:color="auto"/>
        <w:bottom w:val="none" w:sz="0" w:space="0" w:color="auto"/>
        <w:right w:val="none" w:sz="0" w:space="0" w:color="auto"/>
      </w:divBdr>
    </w:div>
    <w:div w:id="1823043467">
      <w:bodyDiv w:val="1"/>
      <w:marLeft w:val="0"/>
      <w:marRight w:val="0"/>
      <w:marTop w:val="0"/>
      <w:marBottom w:val="0"/>
      <w:divBdr>
        <w:top w:val="none" w:sz="0" w:space="0" w:color="auto"/>
        <w:left w:val="none" w:sz="0" w:space="0" w:color="auto"/>
        <w:bottom w:val="none" w:sz="0" w:space="0" w:color="auto"/>
        <w:right w:val="none" w:sz="0" w:space="0" w:color="auto"/>
      </w:divBdr>
    </w:div>
    <w:div w:id="1824469161">
      <w:bodyDiv w:val="1"/>
      <w:marLeft w:val="0"/>
      <w:marRight w:val="0"/>
      <w:marTop w:val="0"/>
      <w:marBottom w:val="0"/>
      <w:divBdr>
        <w:top w:val="none" w:sz="0" w:space="0" w:color="auto"/>
        <w:left w:val="none" w:sz="0" w:space="0" w:color="auto"/>
        <w:bottom w:val="none" w:sz="0" w:space="0" w:color="auto"/>
        <w:right w:val="none" w:sz="0" w:space="0" w:color="auto"/>
      </w:divBdr>
    </w:div>
    <w:div w:id="1896576987">
      <w:bodyDiv w:val="1"/>
      <w:marLeft w:val="0"/>
      <w:marRight w:val="0"/>
      <w:marTop w:val="0"/>
      <w:marBottom w:val="0"/>
      <w:divBdr>
        <w:top w:val="none" w:sz="0" w:space="0" w:color="auto"/>
        <w:left w:val="none" w:sz="0" w:space="0" w:color="auto"/>
        <w:bottom w:val="none" w:sz="0" w:space="0" w:color="auto"/>
        <w:right w:val="none" w:sz="0" w:space="0" w:color="auto"/>
      </w:divBdr>
    </w:div>
    <w:div w:id="1904412073">
      <w:bodyDiv w:val="1"/>
      <w:marLeft w:val="0"/>
      <w:marRight w:val="0"/>
      <w:marTop w:val="0"/>
      <w:marBottom w:val="0"/>
      <w:divBdr>
        <w:top w:val="none" w:sz="0" w:space="0" w:color="auto"/>
        <w:left w:val="none" w:sz="0" w:space="0" w:color="auto"/>
        <w:bottom w:val="none" w:sz="0" w:space="0" w:color="auto"/>
        <w:right w:val="none" w:sz="0" w:space="0" w:color="auto"/>
      </w:divBdr>
    </w:div>
    <w:div w:id="1912234879">
      <w:bodyDiv w:val="1"/>
      <w:marLeft w:val="0"/>
      <w:marRight w:val="0"/>
      <w:marTop w:val="0"/>
      <w:marBottom w:val="0"/>
      <w:divBdr>
        <w:top w:val="none" w:sz="0" w:space="0" w:color="auto"/>
        <w:left w:val="none" w:sz="0" w:space="0" w:color="auto"/>
        <w:bottom w:val="none" w:sz="0" w:space="0" w:color="auto"/>
        <w:right w:val="none" w:sz="0" w:space="0" w:color="auto"/>
      </w:divBdr>
    </w:div>
    <w:div w:id="1977056252">
      <w:bodyDiv w:val="1"/>
      <w:marLeft w:val="0"/>
      <w:marRight w:val="0"/>
      <w:marTop w:val="0"/>
      <w:marBottom w:val="0"/>
      <w:divBdr>
        <w:top w:val="none" w:sz="0" w:space="0" w:color="auto"/>
        <w:left w:val="none" w:sz="0" w:space="0" w:color="auto"/>
        <w:bottom w:val="none" w:sz="0" w:space="0" w:color="auto"/>
        <w:right w:val="none" w:sz="0" w:space="0" w:color="auto"/>
      </w:divBdr>
    </w:div>
    <w:div w:id="2027973925">
      <w:bodyDiv w:val="1"/>
      <w:marLeft w:val="0"/>
      <w:marRight w:val="0"/>
      <w:marTop w:val="0"/>
      <w:marBottom w:val="0"/>
      <w:divBdr>
        <w:top w:val="none" w:sz="0" w:space="0" w:color="auto"/>
        <w:left w:val="none" w:sz="0" w:space="0" w:color="auto"/>
        <w:bottom w:val="none" w:sz="0" w:space="0" w:color="auto"/>
        <w:right w:val="none" w:sz="0" w:space="0" w:color="auto"/>
      </w:divBdr>
    </w:div>
    <w:div w:id="2028435089">
      <w:bodyDiv w:val="1"/>
      <w:marLeft w:val="0"/>
      <w:marRight w:val="0"/>
      <w:marTop w:val="0"/>
      <w:marBottom w:val="0"/>
      <w:divBdr>
        <w:top w:val="none" w:sz="0" w:space="0" w:color="auto"/>
        <w:left w:val="none" w:sz="0" w:space="0" w:color="auto"/>
        <w:bottom w:val="none" w:sz="0" w:space="0" w:color="auto"/>
        <w:right w:val="none" w:sz="0" w:space="0" w:color="auto"/>
      </w:divBdr>
    </w:div>
    <w:div w:id="2102801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89/fimmu.2018.00648" TargetMode="External"/><Relationship Id="rId18" Type="http://schemas.openxmlformats.org/officeDocument/2006/relationships/hyperlink" Target="https://www.jstor.org/stable/29793737" TargetMode="External"/><Relationship Id="rId26" Type="http://schemas.openxmlformats.org/officeDocument/2006/relationships/hyperlink" Target="https://doi.org/10.47197/retos.v59.107467" TargetMode="External"/><Relationship Id="rId39" Type="http://schemas.openxmlformats.org/officeDocument/2006/relationships/hyperlink" Target="https://doi.org/10.1016/S0272-7358(99)00032-X" TargetMode="External"/><Relationship Id="rId21" Type="http://schemas.openxmlformats.org/officeDocument/2006/relationships/hyperlink" Target="https://www.yas.nic.in/sites/default/files/MYAS%20Annual%20Report%20English_2019-20.pdf" TargetMode="External"/><Relationship Id="rId34" Type="http://schemas.openxmlformats.org/officeDocument/2006/relationships/hyperlink" Target="https://doi.org/10.1016/j.socscimed.2015.07.017" TargetMode="External"/><Relationship Id="rId42" Type="http://schemas.openxmlformats.org/officeDocument/2006/relationships/hyperlink" Target="https://doi.org/10.37506/ijpot.v14i2.2609" TargetMode="External"/><Relationship Id="rId47" Type="http://schemas.openxmlformats.org/officeDocument/2006/relationships/hyperlink" Target="https://doi.org/10.1186/1471-2458-13-473" TargetMode="External"/><Relationship Id="rId50" Type="http://schemas.openxmlformats.org/officeDocument/2006/relationships/hyperlink" Target="https://doi.org/10.1080/25742981.2024.2400259"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healthplace.2011.08.021" TargetMode="External"/><Relationship Id="rId29" Type="http://schemas.openxmlformats.org/officeDocument/2006/relationships/hyperlink" Target="https://doi.org/10.3389/fpubh.2021.732523" TargetMode="External"/><Relationship Id="rId11" Type="http://schemas.openxmlformats.org/officeDocument/2006/relationships/hyperlink" Target="https://www.oiirj.org/ejournal/july-aug-sept2013/14.pdf" TargetMode="External"/><Relationship Id="rId24" Type="http://schemas.openxmlformats.org/officeDocument/2006/relationships/hyperlink" Target="https://psycnet.apa.org/doi/10.1037/a0018555" TargetMode="External"/><Relationship Id="rId32" Type="http://schemas.openxmlformats.org/officeDocument/2006/relationships/hyperlink" Target="https://www.swami-krishnananda.org/chhand/Chhandogya_Upanishad.pdf" TargetMode="External"/><Relationship Id="rId37" Type="http://schemas.openxmlformats.org/officeDocument/2006/relationships/hyperlink" Target="https://doi.org/10.4103/jehp.jehp_145_18" TargetMode="External"/><Relationship Id="rId40" Type="http://schemas.openxmlformats.org/officeDocument/2006/relationships/hyperlink" Target="https://doi.org/10.1002/da.22915" TargetMode="External"/><Relationship Id="rId45" Type="http://schemas.openxmlformats.org/officeDocument/2006/relationships/hyperlink" Target="https://doi.org/10.1007/BF02734277" TargetMode="External"/><Relationship Id="rId53" Type="http://schemas.openxmlformats.org/officeDocument/2006/relationships/hyperlink" Target="https://doi.org/10.1503/cmaj.051351"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financialexpress.com/sports/five-rural-and-indigenous-tribal-games-identified-under-special-component-of-khelo-india-scheme-details/2608152/" TargetMode="External"/><Relationship Id="rId14" Type="http://schemas.openxmlformats.org/officeDocument/2006/relationships/hyperlink" Target="https://doi.org/10.1002/da.22166" TargetMode="External"/><Relationship Id="rId22" Type="http://schemas.openxmlformats.org/officeDocument/2006/relationships/hyperlink" Target="https://www.yas.nic.in/sports/khelo-india-national-programme-development-sports-0" TargetMode="External"/><Relationship Id="rId27" Type="http://schemas.openxmlformats.org/officeDocument/2006/relationships/hyperlink" Target="https://doi.org/10.56984/8ZG2EF80Yj" TargetMode="External"/><Relationship Id="rId30" Type="http://schemas.openxmlformats.org/officeDocument/2006/relationships/hyperlink" Target="https://doi.org/10.1186/1479-5868-4-63" TargetMode="External"/><Relationship Id="rId35" Type="http://schemas.openxmlformats.org/officeDocument/2006/relationships/hyperlink" Target="https://yas.nic.in/sites/default/files/Draft%20National%20Code%20for%20Good%20Governance%20in%20Sports.pdf" TargetMode="External"/><Relationship Id="rId43" Type="http://schemas.openxmlformats.org/officeDocument/2006/relationships/hyperlink" Target="https://doi.org/10.3402/ijch.v65i2.18095" TargetMode="External"/><Relationship Id="rId48" Type="http://schemas.openxmlformats.org/officeDocument/2006/relationships/hyperlink" Target="https://oiirj.org/oiirj/june2019-special-issue01/14.pdf" TargetMode="External"/><Relationship Id="rId56" Type="http://schemas.openxmlformats.org/officeDocument/2006/relationships/header" Target="header2.xml"/><Relationship Id="rId8" Type="http://schemas.openxmlformats.org/officeDocument/2006/relationships/hyperlink" Target="https://doi.org/10.3390/ijerph17218275" TargetMode="External"/><Relationship Id="rId51" Type="http://schemas.openxmlformats.org/officeDocument/2006/relationships/hyperlink" Target="https://www.printspublications.com/journal/article/journal-of-psychosocial-research/2262" TargetMode="External"/><Relationship Id="rId3" Type="http://schemas.openxmlformats.org/officeDocument/2006/relationships/styles" Target="styles.xml"/><Relationship Id="rId12" Type="http://schemas.openxmlformats.org/officeDocument/2006/relationships/hyperlink" Target="https://doi.org/10.1080/25742981.2023.2218350" TargetMode="External"/><Relationship Id="rId17" Type="http://schemas.openxmlformats.org/officeDocument/2006/relationships/hyperlink" Target="https://doi.org/10.1002/14651858.CD007651.pub2" TargetMode="External"/><Relationship Id="rId25" Type="http://schemas.openxmlformats.org/officeDocument/2006/relationships/hyperlink" Target="https://doi.org/10.24042/ajipaud.v4i1.8215" TargetMode="External"/><Relationship Id="rId33" Type="http://schemas.openxmlformats.org/officeDocument/2006/relationships/hyperlink" Target="https://www.annualreviews.org/docserver/fulltext/publhealth/32/1/annurev-publhealth-031210-101225.pdf?expires=1761721837&amp;id=id&amp;accname=guest&amp;checksum=BB594A02534A53F65C0A356B7A91EFDB" TargetMode="External"/><Relationship Id="rId38" Type="http://schemas.openxmlformats.org/officeDocument/2006/relationships/hyperlink" Target="https://prsindia.org/policy/report-summaries/review-of-functioning-and-performance-of-sports-authority-of-india-and-khelo-india" TargetMode="External"/><Relationship Id="rId46" Type="http://schemas.openxmlformats.org/officeDocument/2006/relationships/hyperlink" Target="https://www.newindianexpress.com/sport/other/2020/dec/20/sports-ministry-approves-inclusion-of-four-indigenous-games-in-khelo-india-youth-games-2238817.html" TargetMode="External"/><Relationship Id="rId59" Type="http://schemas.openxmlformats.org/officeDocument/2006/relationships/header" Target="header3.xml"/><Relationship Id="rId20" Type="http://schemas.openxmlformats.org/officeDocument/2006/relationships/hyperlink" Target="https://doi.org/10.1007/s40279-017-0769-0" TargetMode="External"/><Relationship Id="rId41" Type="http://schemas.openxmlformats.org/officeDocument/2006/relationships/hyperlink" Target="https://doi.org/10.1097/pp9.0000000000000020" TargetMode="External"/><Relationship Id="rId54" Type="http://schemas.openxmlformats.org/officeDocument/2006/relationships/hyperlink" Target="https://www.who.int/publications/i/item/9789241514187"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1753-6405.12623" TargetMode="External"/><Relationship Id="rId23" Type="http://schemas.openxmlformats.org/officeDocument/2006/relationships/hyperlink" Target="https://doi.org/10.1038/nrn2298" TargetMode="External"/><Relationship Id="rId28" Type="http://schemas.openxmlformats.org/officeDocument/2006/relationships/hyperlink" Target="https://www.academia.edu/29708005/KALARIPPAYATTU_The_Martial_and_healing_art_of_Kerala" TargetMode="External"/><Relationship Id="rId36" Type="http://schemas.openxmlformats.org/officeDocument/2006/relationships/hyperlink" Target="https://doi.org/10.22271/kheljournal.2023.v10.i3b.2933" TargetMode="External"/><Relationship Id="rId49" Type="http://schemas.openxmlformats.org/officeDocument/2006/relationships/hyperlink" Target="https://www.erpublications.com/uploaded_files/download/dr-rajnish-chandra-tripathi_dyyng.pdf" TargetMode="External"/><Relationship Id="rId57" Type="http://schemas.openxmlformats.org/officeDocument/2006/relationships/footer" Target="footer1.xml"/><Relationship Id="rId10" Type="http://schemas.openxmlformats.org/officeDocument/2006/relationships/hyperlink" Target="https://doi.org/10.1123/jpah.2018-0034" TargetMode="External"/><Relationship Id="rId31" Type="http://schemas.openxmlformats.org/officeDocument/2006/relationships/hyperlink" Target="https://www.nature.com/articles/22682" TargetMode="External"/><Relationship Id="rId44" Type="http://schemas.openxmlformats.org/officeDocument/2006/relationships/hyperlink" Target="https://doi.org/10.3389/fpsyg.2014.00753" TargetMode="External"/><Relationship Id="rId52" Type="http://schemas.openxmlformats.org/officeDocument/2006/relationships/hyperlink" Target="https://doi.org/10.32381/JPR.2023.18.02"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pubmed.ncbi.nlm.nih.gov/2325034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C9B7F-6CC4-4B6D-86A3-87639614E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18</Pages>
  <Words>9587</Words>
  <Characters>54647</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64106</CharactersWithSpaces>
  <SharedDoc>false</SharedDoc>
  <HLinks>
    <vt:vector size="36" baseType="variant">
      <vt:variant>
        <vt:i4>2228285</vt:i4>
      </vt:variant>
      <vt:variant>
        <vt:i4>15</vt:i4>
      </vt:variant>
      <vt:variant>
        <vt:i4>0</vt:i4>
      </vt:variant>
      <vt:variant>
        <vt:i4>5</vt:i4>
      </vt:variant>
      <vt:variant>
        <vt:lpwstr>https://doi.org/10.5539/gjhs.v9n10p126</vt:lpwstr>
      </vt:variant>
      <vt:variant>
        <vt:lpwstr/>
      </vt:variant>
      <vt:variant>
        <vt:i4>3014707</vt:i4>
      </vt:variant>
      <vt:variant>
        <vt:i4>12</vt:i4>
      </vt:variant>
      <vt:variant>
        <vt:i4>0</vt:i4>
      </vt:variant>
      <vt:variant>
        <vt:i4>5</vt:i4>
      </vt:variant>
      <vt:variant>
        <vt:lpwstr>https://doi.org/10.1016/j.jaim.2016.06.005</vt:lpwstr>
      </vt:variant>
      <vt:variant>
        <vt:lpwstr/>
      </vt:variant>
      <vt:variant>
        <vt:i4>786433</vt:i4>
      </vt:variant>
      <vt:variant>
        <vt:i4>9</vt:i4>
      </vt:variant>
      <vt:variant>
        <vt:i4>0</vt:i4>
      </vt:variant>
      <vt:variant>
        <vt:i4>5</vt:i4>
      </vt:variant>
      <vt:variant>
        <vt:lpwstr>https://doi.org/10.1016/S0749-3797(02)00434-8</vt:lpwstr>
      </vt:variant>
      <vt:variant>
        <vt:lpwstr/>
      </vt:variant>
      <vt:variant>
        <vt:i4>2752564</vt:i4>
      </vt:variant>
      <vt:variant>
        <vt:i4>6</vt:i4>
      </vt:variant>
      <vt:variant>
        <vt:i4>0</vt:i4>
      </vt:variant>
      <vt:variant>
        <vt:i4>5</vt:i4>
      </vt:variant>
      <vt:variant>
        <vt:lpwstr>https://doi.org/10.1002/14651858.CD007651.pub2</vt:lpwstr>
      </vt:variant>
      <vt:variant>
        <vt:lpwstr/>
      </vt:variant>
      <vt:variant>
        <vt:i4>7602300</vt:i4>
      </vt:variant>
      <vt:variant>
        <vt:i4>3</vt:i4>
      </vt:variant>
      <vt:variant>
        <vt:i4>0</vt:i4>
      </vt:variant>
      <vt:variant>
        <vt:i4>5</vt:i4>
      </vt:variant>
      <vt:variant>
        <vt:lpwstr>https://www.wisdomlib.org/hinduism/book/chandogya-upanishad-englis</vt:lpwstr>
      </vt:variant>
      <vt:variant>
        <vt:lpwstr/>
      </vt:variant>
      <vt:variant>
        <vt:i4>1572954</vt:i4>
      </vt:variant>
      <vt:variant>
        <vt:i4>0</vt:i4>
      </vt:variant>
      <vt:variant>
        <vt:i4>0</vt:i4>
      </vt:variant>
      <vt:variant>
        <vt:i4>5</vt:i4>
      </vt:variant>
      <vt:variant>
        <vt:lpwstr>https://doi.org/10.1177/1090198104263660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shabana bano</dc:creator>
  <cp:keywords/>
  <cp:lastModifiedBy>SDI 1183</cp:lastModifiedBy>
  <cp:revision>17</cp:revision>
  <cp:lastPrinted>2025-10-27T21:06:00Z</cp:lastPrinted>
  <dcterms:created xsi:type="dcterms:W3CDTF">2025-10-27T07:59:00Z</dcterms:created>
  <dcterms:modified xsi:type="dcterms:W3CDTF">2025-11-06T09:52:00Z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2024-02-27T00:00:00Z</vt:filetime>
  </property>
  <property fmtid="{D5CDD505-2E9C-101B-9397-08002B2CF9AE}" pid="3" name="Producer">
    <vt:lpwstr>3-Heights(TM) PDF Security Shell 4.8.25.2 (http://www.pdf-tools.com)</vt:lpwstr>
  </property>
  <property fmtid="{D5CDD505-2E9C-101B-9397-08002B2CF9AE}" pid="4" name="GrammarlyDocumentId">
    <vt:lpwstr>dc9acd918d76323023ccbf6d9978ad76e885545922d97632309861efe2d8cdde</vt:lpwstr>
  </property>
</Properties>
</file>