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34EE9" w14:textId="20141052" w:rsidR="00BE7920" w:rsidRPr="00551401" w:rsidRDefault="00551401">
      <w:pPr>
        <w:pStyle w:val="NoSpacing"/>
        <w:jc w:val="center"/>
        <w:rPr>
          <w:rFonts w:ascii="Times New Roman" w:hAnsi="Times New Roman" w:cs="Times New Roman"/>
          <w:b/>
          <w:bCs/>
          <w:sz w:val="24"/>
          <w:szCs w:val="24"/>
        </w:rPr>
      </w:pPr>
      <w:bookmarkStart w:id="0" w:name="Bookmark"/>
      <w:r w:rsidRPr="00551401">
        <w:rPr>
          <w:rFonts w:ascii="Times New Roman" w:hAnsi="Times New Roman" w:cs="Times New Roman"/>
          <w:b/>
          <w:bCs/>
          <w:sz w:val="24"/>
          <w:szCs w:val="24"/>
        </w:rPr>
        <w:t xml:space="preserve">Mandatory </w:t>
      </w:r>
      <w:r>
        <w:rPr>
          <w:rFonts w:ascii="Times New Roman" w:hAnsi="Times New Roman" w:cs="Times New Roman"/>
          <w:b/>
          <w:bCs/>
          <w:sz w:val="24"/>
          <w:szCs w:val="24"/>
        </w:rPr>
        <w:t>Retirement</w:t>
      </w:r>
      <w:r w:rsidRPr="00551401">
        <w:rPr>
          <w:rFonts w:ascii="Times New Roman" w:hAnsi="Times New Roman" w:cs="Times New Roman"/>
          <w:b/>
          <w:bCs/>
          <w:sz w:val="24"/>
          <w:szCs w:val="24"/>
        </w:rPr>
        <w:t xml:space="preserve"> of </w:t>
      </w:r>
      <w:r>
        <w:rPr>
          <w:rFonts w:ascii="Times New Roman" w:hAnsi="Times New Roman" w:cs="Times New Roman"/>
          <w:b/>
          <w:bCs/>
          <w:sz w:val="24"/>
          <w:szCs w:val="24"/>
        </w:rPr>
        <w:t>High-Performing</w:t>
      </w:r>
      <w:r w:rsidRPr="00551401">
        <w:rPr>
          <w:rFonts w:ascii="Times New Roman" w:hAnsi="Times New Roman" w:cs="Times New Roman"/>
          <w:b/>
          <w:bCs/>
          <w:sz w:val="24"/>
          <w:szCs w:val="24"/>
        </w:rPr>
        <w:t xml:space="preserve"> </w:t>
      </w:r>
      <w:r>
        <w:rPr>
          <w:rFonts w:ascii="Times New Roman" w:hAnsi="Times New Roman" w:cs="Times New Roman"/>
          <w:b/>
          <w:bCs/>
          <w:sz w:val="24"/>
          <w:szCs w:val="24"/>
        </w:rPr>
        <w:t>S</w:t>
      </w:r>
      <w:r w:rsidRPr="00551401">
        <w:rPr>
          <w:rFonts w:ascii="Times New Roman" w:hAnsi="Times New Roman" w:cs="Times New Roman"/>
          <w:b/>
          <w:bCs/>
          <w:sz w:val="24"/>
          <w:szCs w:val="24"/>
        </w:rPr>
        <w:t xml:space="preserve">taff and </w:t>
      </w:r>
      <w:r>
        <w:rPr>
          <w:rFonts w:ascii="Times New Roman" w:hAnsi="Times New Roman" w:cs="Times New Roman"/>
          <w:b/>
          <w:bCs/>
          <w:sz w:val="24"/>
          <w:szCs w:val="24"/>
        </w:rPr>
        <w:t>O</w:t>
      </w:r>
      <w:r w:rsidRPr="00551401">
        <w:rPr>
          <w:rFonts w:ascii="Times New Roman" w:hAnsi="Times New Roman" w:cs="Times New Roman"/>
          <w:b/>
          <w:bCs/>
          <w:sz w:val="24"/>
          <w:szCs w:val="24"/>
        </w:rPr>
        <w:t xml:space="preserve">rganizational </w:t>
      </w:r>
      <w:r>
        <w:rPr>
          <w:rFonts w:ascii="Times New Roman" w:hAnsi="Times New Roman" w:cs="Times New Roman"/>
          <w:b/>
          <w:bCs/>
          <w:sz w:val="24"/>
          <w:szCs w:val="24"/>
        </w:rPr>
        <w:t>Sustainability</w:t>
      </w:r>
    </w:p>
    <w:p w14:paraId="0157128C" w14:textId="77777777" w:rsidR="00BE7920" w:rsidRDefault="00BE7920">
      <w:pPr>
        <w:spacing w:line="240" w:lineRule="auto"/>
        <w:jc w:val="both"/>
        <w:rPr>
          <w:rFonts w:ascii="Times New Roman" w:hAnsi="Times New Roman" w:cs="Times New Roman"/>
          <w:b/>
          <w:bCs/>
          <w:sz w:val="24"/>
          <w:szCs w:val="24"/>
        </w:rPr>
      </w:pPr>
    </w:p>
    <w:p w14:paraId="046F266E" w14:textId="77777777" w:rsidR="00BE7920" w:rsidRDefault="00803F0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052A8C3" w14:textId="4D18311A" w:rsidR="00385141" w:rsidRPr="002402E9" w:rsidRDefault="00385141" w:rsidP="00385141">
      <w:pPr>
        <w:spacing w:after="0" w:line="240" w:lineRule="auto"/>
        <w:jc w:val="both"/>
        <w:rPr>
          <w:rFonts w:ascii="Times New Roman" w:hAnsi="Times New Roman" w:cs="Times New Roman"/>
          <w:i/>
          <w:iCs/>
          <w:sz w:val="24"/>
          <w:szCs w:val="24"/>
        </w:rPr>
      </w:pPr>
      <w:r w:rsidRPr="002402E9">
        <w:rPr>
          <w:rFonts w:ascii="Times New Roman" w:hAnsi="Times New Roman" w:cs="Times New Roman"/>
          <w:i/>
          <w:iCs/>
          <w:sz w:val="24"/>
          <w:szCs w:val="24"/>
        </w:rPr>
        <w:t>This study examined the consequences of mandatory retirement of high-performing staff on organizational sustainability and overall organizational success. A descriptive correlational research design was adopted to assess the effects of such policies on knowledge retention and innovation, employee morale and motivation, organizational performance, and long-term sustainability. Quantitative data were collected through an online questionnaire administered to 45</w:t>
      </w:r>
      <w:r w:rsidR="00F8126A" w:rsidRPr="00556360">
        <w:rPr>
          <w:rFonts w:ascii="Times New Roman" w:hAnsi="Times New Roman" w:cs="Times New Roman"/>
          <w:i/>
          <w:iCs/>
          <w:sz w:val="24"/>
          <w:szCs w:val="24"/>
        </w:rPr>
        <w:t>1</w:t>
      </w:r>
      <w:r w:rsidRPr="002402E9">
        <w:rPr>
          <w:rFonts w:ascii="Times New Roman" w:hAnsi="Times New Roman" w:cs="Times New Roman"/>
          <w:i/>
          <w:iCs/>
          <w:sz w:val="24"/>
          <w:szCs w:val="24"/>
        </w:rPr>
        <w:t xml:space="preserve"> respondents from academia, religious institutions, government parastatals, and private organizations in Nigeria and internationally. Descriptive statistics and Pearson’s correlation analysis were used to evaluate the relationships between mandatory retirement and indicators of organizational sustainability and success. The findings revealed significant negative correlations between mandatory retirement and all dimensions assessed. Specifically, mandatory retirement undermined organizational knowledge retention (r = –0.656, p &lt; 0.01), reduced innovation, weakened employee morale and motivation (r = –0.694, p &lt; 0.01), and adversely affected productivity, profitability, and efficiency (r = –0.419, p &lt; 0.01). It also negatively influenced long-term competitiveness and sustainability (r = –0.098, p &lt; 0.05). The study recommended phased retirement programmes, robust knowledge management systems, and structured mentorship initiatives to safeguard institutional memory. Overall, the findings </w:t>
      </w:r>
      <w:r w:rsidRPr="00556360">
        <w:rPr>
          <w:rFonts w:ascii="Times New Roman" w:hAnsi="Times New Roman" w:cs="Times New Roman"/>
          <w:i/>
          <w:iCs/>
          <w:sz w:val="24"/>
          <w:szCs w:val="24"/>
        </w:rPr>
        <w:t>underscore</w:t>
      </w:r>
      <w:r w:rsidRPr="002402E9">
        <w:rPr>
          <w:rFonts w:ascii="Times New Roman" w:hAnsi="Times New Roman" w:cs="Times New Roman"/>
          <w:i/>
          <w:iCs/>
          <w:sz w:val="24"/>
          <w:szCs w:val="24"/>
        </w:rPr>
        <w:t xml:space="preserve"> the need for organizations to adopt flexible and experience-inclusive workforce policies to mitigate the adverse effects of mandatory retirement on performance and sustainable long-term growth.</w:t>
      </w:r>
    </w:p>
    <w:p w14:paraId="302C7607" w14:textId="16D4D1A2" w:rsidR="00BE7920" w:rsidRDefault="00803F08">
      <w:pPr>
        <w:pStyle w:val="Standard"/>
        <w:spacing w:line="240" w:lineRule="auto"/>
        <w:jc w:val="both"/>
      </w:pPr>
      <w:r>
        <w:rPr>
          <w:rFonts w:ascii="Times New Roman" w:hAnsi="Times New Roman" w:cs="Times New Roman"/>
          <w:b/>
          <w:bCs/>
          <w:iCs/>
          <w:color w:val="000000"/>
          <w:sz w:val="24"/>
          <w:szCs w:val="24"/>
        </w:rPr>
        <w:t xml:space="preserve">Keywords: </w:t>
      </w:r>
      <w:r>
        <w:rPr>
          <w:rFonts w:ascii="Times New Roman" w:hAnsi="Times New Roman" w:cs="Times New Roman"/>
          <w:iCs/>
          <w:color w:val="000000"/>
          <w:sz w:val="24"/>
          <w:szCs w:val="24"/>
        </w:rPr>
        <w:t>Employee Morale, High-Performing Employees, Knowledge Retention, Mandatory Retirement, Organizational Success</w:t>
      </w:r>
    </w:p>
    <w:bookmarkEnd w:id="0"/>
    <w:p w14:paraId="34B8B300"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 Introduction</w:t>
      </w:r>
    </w:p>
    <w:p w14:paraId="2CB7D347"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Mandatory retirement remains a major and controversial topic in many organizations worldwide. Under such policies, employees who reach a specific age or complete a predetermined number of years in service are required to retire. While these policies are often designed to promote workforce renewal and create opportunities for younger workers, they can have unintended consequences, especially when they affect high-performing professionals with extensive organizational experience and critical expertise.</w:t>
      </w:r>
    </w:p>
    <w:p w14:paraId="23312130"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Historically, retirement has been closely linked to age and the expected career life cycle within a company. With the Industrial Revolution, age-based retirement systems were institutionalized to ensure order and predictability in the workforce. However, in recent decades, there has been a shift toward more flexible and voluntary retirement arrangements, as many countries and organizations adapt to demographic and economic changes (Henkens, 2022). Despite these shifts, mandatory retirement remains prevalent in sectors such as education, government, and some private industries.</w:t>
      </w:r>
    </w:p>
    <w:p w14:paraId="2ED2F279"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Nigeria, retirement age and service years vary by sector. For instance, public servants retire at </w:t>
      </w:r>
      <w:r>
        <w:rPr>
          <w:rFonts w:ascii="Times New Roman" w:hAnsi="Times New Roman" w:cs="Times New Roman"/>
          <w:sz w:val="24"/>
          <w:szCs w:val="24"/>
        </w:rPr>
        <w:lastRenderedPageBreak/>
        <w:t>60 years or after 35 years of service, whichever comes first. Judicial officers, including Supreme Court and High Court judges, now retire at 70 following a constitutional amendment. Teachers and health workers retire at 65 years, while medical consultants may continue until 70. Similar proposals are under consideration for police and National Assembly staff. The Statutory Corporations Pensionable Officers (Retiring Age Limit) Act sets the retirement age for pensionable officers of statutory corporations at 60, though extensions may be granted. In the private sector, retirement policies are typically determined by individual employment contracts or company policy.</w:t>
      </w:r>
    </w:p>
    <w:p w14:paraId="6DACE319"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As life expectancy and career longevity increase, fixed retirement ages of 60 or 65 are being challenged (Boitnott, 2023; Opatha, 2022). Nevertheless, many organizations continue to enforce mandatory retirement, which raises concerns about the potential loss of human capital, particularly when high-performing and experienced employees are involved.</w:t>
      </w:r>
    </w:p>
    <w:p w14:paraId="1C911970"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High-performing employees are crucial assets who contribute significantly to organizational success. They possess deep institutional knowledge, technical expertise, and valuable internal and external networks (Mazzetti &amp; Schaufeli, 2022; Errida &amp; Lotfi, 2021). Their leadership, innovation, and problem-solving abilities often drive performance and mentor younger staff (Cascio &amp; Boudreau, 2015). When such employees are forced to retire, organizations may experience a loss of institutional memory and continuity. Studies by Ivancevich (2007) and Dessler (2020) show that the sudden exit of high-performing workers reduces team performance, disrupts innovation, and lowers operational efficiency.</w:t>
      </w:r>
    </w:p>
    <w:p w14:paraId="0589B223"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effects of mandatory retirement on organizational success are complex. While Boehm et al. (2021) acknowledge that it can create advancement opportunities for younger employees, they also note that it may harm customer relations, disrupt service standards, and weaken organizational stability if poorly managed. Similarly, Jacobsen (2004) found that losing seasoned employees can erode organizational memory and damage client trust.</w:t>
      </w:r>
    </w:p>
    <w:p w14:paraId="0E839108"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success is typically measured through productivity, innovation, employee engagement, and profitability. According to Khan (2021), firms with higher knowledge retention and employee engagement tend to outperform competitors. Consequently, when high-performing workers retire without structured succession or knowledge-transfer systems, organizations risk losing their competitive edge.</w:t>
      </w:r>
    </w:p>
    <w:p w14:paraId="685F88BD"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One of the most immediate impacts of mandatory retirement is on employee morale and motivation. Nyaberi and Kiriago (2013) found that remaining employees often feel demoralized when respected colleagues retire mandatorily, particularly when the process is perceived as unfair or poorly managed. Younger employees may also experience anxiety about their own job security and increased pressure to meet the performance standards set by their predecessors, leading to decreased morale, productivity, and organizational cohesion (Deepalakshmi et al., 2024).</w:t>
      </w:r>
    </w:p>
    <w:p w14:paraId="340DBAA4" w14:textId="0BD0036F"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Knowledge management is another area severely affected by mandatory retirement. Knowledge is often transferred informally through mentoring, collaboration, and interpersonal relationships. Henz and Oliveira (2024) emphasized that such tacit knowledge is difficult to document or replicate. Without structured knowledge-transfer mechanisms, organizations </w:t>
      </w:r>
      <w:r w:rsidR="003C673B">
        <w:rPr>
          <w:rFonts w:ascii="Times New Roman" w:hAnsi="Times New Roman" w:cs="Times New Roman"/>
          <w:sz w:val="24"/>
          <w:szCs w:val="24"/>
        </w:rPr>
        <w:t xml:space="preserve">risk </w:t>
      </w:r>
      <w:r>
        <w:rPr>
          <w:rFonts w:ascii="Times New Roman" w:hAnsi="Times New Roman" w:cs="Times New Roman"/>
          <w:sz w:val="24"/>
          <w:szCs w:val="24"/>
        </w:rPr>
        <w:t>losing vital intellectual capital that supports innovation and long-term competitiveness. Ratnasari et al. (2023) further argue that effective knowledge retention is critical to sustaining competitive advantage, suggesting that mentoring programmes and knowledge-sharing platforms can mitigate the adverse effects of mandatory retirements.</w:t>
      </w:r>
    </w:p>
    <w:p w14:paraId="0DBDE259"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Recent studies underscore the organizational instability caused by mandatory retirement, particularly in knowledge-intensive industries (Hillmann &amp; Guenther, 2020). Companies with flexible or phased retirement policies experience smoother transitions and less disruption. Caines et al. (2024) highlight that organizations fostering respect for experienced employees and providing flexible work arrangements tend to maintain stronger morale, continuity, and productivity.</w:t>
      </w:r>
    </w:p>
    <w:p w14:paraId="48A12FB9" w14:textId="77777777" w:rsidR="00BE7920" w:rsidRDefault="00803F08">
      <w:pPr>
        <w:spacing w:line="360" w:lineRule="auto"/>
        <w:jc w:val="both"/>
      </w:pPr>
      <w:r>
        <w:rPr>
          <w:rFonts w:ascii="Times New Roman" w:hAnsi="Times New Roman" w:cs="Times New Roman"/>
          <w:sz w:val="24"/>
          <w:szCs w:val="24"/>
        </w:rPr>
        <w:t>However, despite increasing attention to retirement management, limited research specifically explores the impact of mandatory retirement on high-performing employees and its broader implications for organizational profitability and sustainability</w:t>
      </w:r>
      <w:r>
        <w:rPr>
          <w:rFonts w:ascii="Times New Roman" w:hAnsi="Times New Roman" w:cs="Times New Roman"/>
          <w:b/>
          <w:bCs/>
          <w:sz w:val="24"/>
          <w:szCs w:val="24"/>
        </w:rPr>
        <w:t>.</w:t>
      </w:r>
      <w:r>
        <w:rPr>
          <w:rFonts w:ascii="Times New Roman" w:hAnsi="Times New Roman" w:cs="Times New Roman"/>
          <w:sz w:val="24"/>
          <w:szCs w:val="24"/>
        </w:rPr>
        <w:t xml:space="preserve"> Most prior studies have examined general retirement outcomes (Kehinde et al., 2025) without addressing the nuanced effects on talent retention, innovation, and knowledge continuity.</w:t>
      </w:r>
    </w:p>
    <w:p w14:paraId="47C54763" w14:textId="77777777" w:rsidR="00B90DC0" w:rsidRPr="00D55A20" w:rsidRDefault="00B90DC0" w:rsidP="00B90DC0">
      <w:pPr>
        <w:spacing w:line="360" w:lineRule="auto"/>
        <w:jc w:val="both"/>
        <w:rPr>
          <w:rFonts w:ascii="Times New Roman" w:hAnsi="Times New Roman" w:cs="Times New Roman"/>
          <w:sz w:val="24"/>
          <w:szCs w:val="24"/>
        </w:rPr>
      </w:pPr>
      <w:r w:rsidRPr="00D55A20">
        <w:rPr>
          <w:rFonts w:ascii="Times New Roman" w:hAnsi="Times New Roman" w:cs="Times New Roman"/>
          <w:sz w:val="24"/>
          <w:szCs w:val="24"/>
        </w:rPr>
        <w:t>Therefore, this study, titled Mandatory Retirement of High-Performing Staff and Organizational Sustainability, sought to bridge this gap by examining how mandatory retirement influences organizational performance, employee morale, knowledge retention, innovation, and long-term sustainability. It also identified strategic interventions</w:t>
      </w:r>
      <w:r w:rsidRPr="00B90DC0">
        <w:rPr>
          <w:rFonts w:ascii="Times New Roman" w:hAnsi="Times New Roman" w:cs="Times New Roman"/>
          <w:sz w:val="24"/>
          <w:szCs w:val="24"/>
        </w:rPr>
        <w:t xml:space="preserve">, </w:t>
      </w:r>
      <w:r w:rsidRPr="00D55A20">
        <w:rPr>
          <w:rFonts w:ascii="Times New Roman" w:hAnsi="Times New Roman" w:cs="Times New Roman"/>
          <w:sz w:val="24"/>
          <w:szCs w:val="24"/>
        </w:rPr>
        <w:t>such as phased retirement, mentorship programmes, and robust knowledge management systems</w:t>
      </w:r>
      <w:r w:rsidRPr="00B90DC0">
        <w:rPr>
          <w:rFonts w:ascii="Times New Roman" w:hAnsi="Times New Roman" w:cs="Times New Roman"/>
          <w:sz w:val="24"/>
          <w:szCs w:val="24"/>
        </w:rPr>
        <w:t xml:space="preserve">, </w:t>
      </w:r>
      <w:r w:rsidRPr="00D55A20">
        <w:rPr>
          <w:rFonts w:ascii="Times New Roman" w:hAnsi="Times New Roman" w:cs="Times New Roman"/>
          <w:sz w:val="24"/>
          <w:szCs w:val="24"/>
        </w:rPr>
        <w:t xml:space="preserve">that organizations can adopt to minimize the adverse effects of losing high-performing employees. By doing so, the study </w:t>
      </w:r>
      <w:r w:rsidRPr="00D55A20">
        <w:rPr>
          <w:rFonts w:ascii="Times New Roman" w:hAnsi="Times New Roman" w:cs="Times New Roman"/>
          <w:sz w:val="24"/>
          <w:szCs w:val="24"/>
        </w:rPr>
        <w:lastRenderedPageBreak/>
        <w:t>contributed to a deeper understanding of how organizations can balance workforce renewal with sustainability and long-term success in an increasingly dynamic global environment.</w:t>
      </w:r>
    </w:p>
    <w:p w14:paraId="13F64205" w14:textId="77777777" w:rsidR="00BE7920" w:rsidRDefault="00803F08">
      <w:pPr>
        <w:spacing w:line="276" w:lineRule="auto"/>
        <w:jc w:val="both"/>
      </w:pPr>
      <w:r>
        <w:rPr>
          <w:rFonts w:ascii="Times New Roman" w:hAnsi="Times New Roman" w:cs="Times New Roman"/>
          <w:b/>
          <w:bCs/>
          <w:sz w:val="24"/>
          <w:szCs w:val="24"/>
        </w:rPr>
        <w:t>1.1 Statement of the Problem</w:t>
      </w:r>
    </w:p>
    <w:p w14:paraId="694F76E1"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For organizations worldwide, the mandatory retirement of employees, especially high-performing ones, remains a significant concern. Although retirement policies aim to promote workforce renewal and create advancement opportunities for younger employees, the retirement of seasoned, high-performing professionals can lead to unintended consequences that affect organizational productivity, efficiency, and sustainability. High-performing employees often possess unique skills, extensive experience, and valuable institutional knowledge that contribute to an organization’s competitive advantage and long-term growth. When these employees retire mandatorily due to age or years of service, organizations may face operational disruptions, knowledge loss, and reduced innovation capacity.</w:t>
      </w:r>
    </w:p>
    <w:p w14:paraId="2890975E"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increasing emphasis on employee retention, many organizations continue to adhere to rigid mandatory retirement policies, inadvertently losing the expertise and creativity that high-performing employees bring. While several studies have explored general retirement trends, few have examined the specific impact of mandatory retirement on high-performing employees and its implications for organizational success (Han, 2020; Yadav et al., 2024). This gap in the literature calls for an in-depth assessment of how mandatory retirement affects key performance dimensions such as knowledge retention, employee morale, productivity, and innovation.</w:t>
      </w:r>
    </w:p>
    <w:p w14:paraId="4E0BADC4"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pressing challenges associated with mandatory retirement is the potential loss of critical tacit knowledge. As Oranga (2023) notes, the expertise accumulated over years of practice is often difficult to document or transfer, leading to gaps in operational efficiency when such employees retire. Organizations lacking structured knowledge management systems may experience declines in productivity and continuity (Kolyasnikov &amp; Kelchevskaya, 2020). In industries like technology, healthcare, and manufacturing, where experience and precision are vital, this loss can hinder innovation and competitiveness (Sajjadiani et al., 2023).</w:t>
      </w:r>
    </w:p>
    <w:p w14:paraId="31161005"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mandatory retirement of high-performing employees can adversely affect employee morale and organizational climate. Remaining staff may feel uncertain or demotivated following the departure of respected colleagues, particularly if the retirement process is perceived as unfair or disruptive (Mallik et al., 2019). This decline in morale can reduce engagement and productivity and increase turnover rates (Deepalakshmi et al., 2024). Additionally, organizations may struggle </w:t>
      </w:r>
      <w:r>
        <w:rPr>
          <w:rFonts w:ascii="Times New Roman" w:hAnsi="Times New Roman" w:cs="Times New Roman"/>
          <w:sz w:val="24"/>
          <w:szCs w:val="24"/>
        </w:rPr>
        <w:lastRenderedPageBreak/>
        <w:t>to maintain a unified corporate culture and consistent leadership values after the exit of these influential employees (Caines et al., 2024).</w:t>
      </w:r>
    </w:p>
    <w:p w14:paraId="36716529"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Finally, the departure of top performers can reduce overall competitiveness and increase recruitment and training costs, as replacing their level of expertise often requires considerable time and resources (Cascio &amp; Boudreau, 2015). These combined effects pose a serious challenge to sustaining organizational success, performance, and long-term viability. Therefore, it is crucial to investigate how mandatory retirement influences organizational knowledge, morale, performance, and competitiveness to inform more effective and adaptive retirement and retention strategies.</w:t>
      </w:r>
    </w:p>
    <w:p w14:paraId="3742AB77"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Research Questions</w:t>
      </w:r>
    </w:p>
    <w:p w14:paraId="13B8B858" w14:textId="77777777" w:rsidR="00BE7920" w:rsidRDefault="00803F08">
      <w:pPr>
        <w:pStyle w:val="Standard"/>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impact of the mandatory retirement of high-performing employees on organizational knowledge retention and innovation?</w:t>
      </w:r>
    </w:p>
    <w:p w14:paraId="3084BFB7" w14:textId="77777777" w:rsidR="00BE7920" w:rsidRDefault="00803F08">
      <w:pPr>
        <w:pStyle w:val="Standard"/>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How does the mandatory retirement of experienced employees affect employee morale and motivation within the organization?</w:t>
      </w:r>
    </w:p>
    <w:p w14:paraId="6FBBAEB6" w14:textId="77777777" w:rsidR="00BE7920" w:rsidRDefault="00803F08">
      <w:pPr>
        <w:pStyle w:val="Standard"/>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consequences of mandatory retirement on organizational performance, including productivity, profitability, and efficiency?</w:t>
      </w:r>
    </w:p>
    <w:p w14:paraId="0E2A7727" w14:textId="77777777" w:rsidR="00BE7920" w:rsidRDefault="00803F08">
      <w:pPr>
        <w:pStyle w:val="Standard"/>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How do the timing and policies of mandatory retirement influence the long-term competitiveness and sustainability of an organization?</w:t>
      </w:r>
    </w:p>
    <w:p w14:paraId="0E29D08A"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 Research Objectives</w:t>
      </w:r>
    </w:p>
    <w:p w14:paraId="7531E88A" w14:textId="77777777" w:rsidR="00BE7920" w:rsidRDefault="00803F08">
      <w:pPr>
        <w:pStyle w:val="Standard"/>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effect of mandatory retirement of high-performing employees on organizational knowledge retention and the innovation process.</w:t>
      </w:r>
    </w:p>
    <w:p w14:paraId="16B2EEFF" w14:textId="77777777" w:rsidR="00BE7920" w:rsidRDefault="00803F08">
      <w:pPr>
        <w:pStyle w:val="Standard"/>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how the mandatory retirement of experienced employees impacts employee morale, motivation, and overall organizational climate.</w:t>
      </w:r>
    </w:p>
    <w:p w14:paraId="69875FA9" w14:textId="77777777" w:rsidR="00BE7920" w:rsidRDefault="00803F08">
      <w:pPr>
        <w:pStyle w:val="Standard"/>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To analyze the relationship between mandatory retirement and organizational performance, specifically focusing on productivity, profitability, and efficiency.</w:t>
      </w:r>
    </w:p>
    <w:p w14:paraId="096DCAFD" w14:textId="77777777" w:rsidR="00BE7920" w:rsidRDefault="00803F08">
      <w:pPr>
        <w:pStyle w:val="Standard"/>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mandatory retirement policies and their timing on the long-term competitiveness and sustainability of the organization.</w:t>
      </w:r>
    </w:p>
    <w:p w14:paraId="2AA41C0B" w14:textId="77777777" w:rsidR="00CF08D4" w:rsidRDefault="00CF08D4">
      <w:pPr>
        <w:pStyle w:val="Standard"/>
        <w:spacing w:line="360" w:lineRule="auto"/>
        <w:jc w:val="both"/>
        <w:rPr>
          <w:rFonts w:ascii="Times New Roman" w:hAnsi="Times New Roman" w:cs="Times New Roman"/>
          <w:b/>
          <w:bCs/>
          <w:sz w:val="24"/>
          <w:szCs w:val="24"/>
        </w:rPr>
      </w:pPr>
    </w:p>
    <w:p w14:paraId="1B69DE18" w14:textId="77777777" w:rsidR="00CF08D4" w:rsidRDefault="00CF08D4">
      <w:pPr>
        <w:pStyle w:val="Standard"/>
        <w:spacing w:line="360" w:lineRule="auto"/>
        <w:jc w:val="both"/>
        <w:rPr>
          <w:rFonts w:ascii="Times New Roman" w:hAnsi="Times New Roman" w:cs="Times New Roman"/>
          <w:b/>
          <w:bCs/>
          <w:sz w:val="24"/>
          <w:szCs w:val="24"/>
        </w:rPr>
      </w:pPr>
    </w:p>
    <w:p w14:paraId="5410F14C" w14:textId="74D49BCC" w:rsidR="00BE7920" w:rsidRDefault="00803F08">
      <w:pPr>
        <w:pStyle w:val="Standard"/>
        <w:spacing w:line="360" w:lineRule="auto"/>
        <w:jc w:val="both"/>
        <w:rPr>
          <w:rFonts w:ascii="Times New Roman" w:hAnsi="Times New Roman" w:cs="Times New Roman"/>
          <w:b/>
          <w:bCs/>
          <w:sz w:val="24"/>
          <w:szCs w:val="24"/>
        </w:rPr>
      </w:pPr>
      <w:bookmarkStart w:id="1" w:name="_Hlk214143576"/>
      <w:r>
        <w:rPr>
          <w:rFonts w:ascii="Times New Roman" w:hAnsi="Times New Roman" w:cs="Times New Roman"/>
          <w:b/>
          <w:bCs/>
          <w:sz w:val="24"/>
          <w:szCs w:val="24"/>
        </w:rPr>
        <w:t>1.4 Research Hypotheses</w:t>
      </w:r>
    </w:p>
    <w:p w14:paraId="2905E2F4" w14:textId="77777777" w:rsidR="00BE7920" w:rsidRDefault="00803F08">
      <w:pPr>
        <w:pStyle w:val="Standard"/>
        <w:spacing w:line="360" w:lineRule="auto"/>
        <w:jc w:val="both"/>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There is no significant impact of mandatory retirement of high-performing employees on organizational knowledge retention and innovation.</w:t>
      </w:r>
    </w:p>
    <w:p w14:paraId="61E06528" w14:textId="77777777" w:rsidR="00BE7920" w:rsidRDefault="00803F08">
      <w:pPr>
        <w:pStyle w:val="Standard"/>
        <w:spacing w:line="360" w:lineRule="auto"/>
        <w:jc w:val="both"/>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The mandatory retirement of experienced employees does not significantly affect employee morale and motivation within the organization.</w:t>
      </w:r>
    </w:p>
    <w:p w14:paraId="7895AA69" w14:textId="77777777" w:rsidR="00BE7920" w:rsidRDefault="00803F08">
      <w:pPr>
        <w:pStyle w:val="Standard"/>
        <w:spacing w:line="360" w:lineRule="auto"/>
        <w:jc w:val="both"/>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There is no significant relationship between mandatory retirement and organizational performance, including productivity, profitability, and efficiency.</w:t>
      </w:r>
    </w:p>
    <w:p w14:paraId="20B77A27" w14:textId="77777777" w:rsidR="00BE7920" w:rsidRDefault="00803F08">
      <w:pPr>
        <w:pStyle w:val="Standard"/>
        <w:spacing w:line="360" w:lineRule="auto"/>
        <w:jc w:val="both"/>
      </w:pPr>
      <w:r>
        <w:rPr>
          <w:rFonts w:ascii="Times New Roman" w:hAnsi="Times New Roman" w:cs="Times New Roman"/>
          <w:sz w:val="24"/>
          <w:szCs w:val="24"/>
        </w:rPr>
        <w:t>H</w:t>
      </w:r>
      <w:r>
        <w:rPr>
          <w:rFonts w:ascii="Times New Roman" w:hAnsi="Times New Roman" w:cs="Times New Roman"/>
          <w:sz w:val="24"/>
          <w:szCs w:val="24"/>
          <w:vertAlign w:val="subscript"/>
        </w:rPr>
        <w:t>04</w:t>
      </w:r>
      <w:r>
        <w:rPr>
          <w:rFonts w:ascii="Times New Roman" w:hAnsi="Times New Roman" w:cs="Times New Roman"/>
          <w:sz w:val="24"/>
          <w:szCs w:val="24"/>
        </w:rPr>
        <w:t>: The timing and policies surrounding mandatory retirement do not significantly influence the long-term competitiveness and sustainability of the organization.</w:t>
      </w:r>
    </w:p>
    <w:bookmarkEnd w:id="1"/>
    <w:p w14:paraId="39D5F552"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 Literature Review</w:t>
      </w:r>
    </w:p>
    <w:p w14:paraId="60312BBF" w14:textId="77777777" w:rsidR="00BE7920" w:rsidRDefault="00803F08" w:rsidP="007B32AC">
      <w:pPr>
        <w:pStyle w:val="Standard"/>
        <w:tabs>
          <w:tab w:val="left" w:pos="4410"/>
        </w:tabs>
        <w:spacing w:line="360" w:lineRule="auto"/>
        <w:rPr>
          <w:rFonts w:ascii="Times New Roman" w:hAnsi="Times New Roman" w:cs="Times New Roman"/>
          <w:b/>
          <w:bCs/>
          <w:sz w:val="24"/>
          <w:szCs w:val="24"/>
        </w:rPr>
      </w:pPr>
      <w:r>
        <w:rPr>
          <w:rFonts w:ascii="Times New Roman" w:hAnsi="Times New Roman" w:cs="Times New Roman"/>
          <w:b/>
          <w:bCs/>
          <w:sz w:val="24"/>
          <w:szCs w:val="24"/>
        </w:rPr>
        <w:t>2.1 Conceptual Review</w:t>
      </w:r>
    </w:p>
    <w:p w14:paraId="596819DF" w14:textId="77777777" w:rsidR="00BE7920" w:rsidRDefault="00803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Mandatory Retirement of High-Performing Employees</w:t>
      </w:r>
    </w:p>
    <w:p w14:paraId="09B577E7"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Mandatory retirement refers to the policy practice of requiring employees to retire at a specific age or after a predetermined number of years of service, regardless of their performance level. Although this practice is common across many organizations, it has significant implications for both the organization and its workforce. Research indicates that while such policies promote workforce renewal, they often fail to recognize the distinct contributions and accumulated knowledge of high-performing employees who continue to deliver exceptional results (Wang &amp; Huang, 2024). Many institutions implement legal or organizational frameworks that define retirement age or service duration, but these criteria do not necessarily reflect an individual’s true capacity or productivity (Boehm et al., 2021).</w:t>
      </w:r>
    </w:p>
    <w:p w14:paraId="11C57E03"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timing and management of retirement greatly influence its impact. Planned retirements, supported by effective succession planning, enable smoother transitions and knowledge transfer. However, abrupt mandatory retirements can disrupt continuity and institutional learning (Adeniyi et al., 2022). High-performing employees often hold critical leadership, mentorship, and experiential knowledge, the loss of which can hinder organizational success (Eisenbeiss et al., 2008). Moreover, the consequences differ across sectors; private organizations feel the loss of </w:t>
      </w:r>
      <w:r>
        <w:rPr>
          <w:rFonts w:ascii="Times New Roman" w:hAnsi="Times New Roman" w:cs="Times New Roman"/>
          <w:sz w:val="24"/>
          <w:szCs w:val="24"/>
        </w:rPr>
        <w:lastRenderedPageBreak/>
        <w:t>experienced talent more acutely, whereas public institutions tend to enforce stricter retirement policies (Anwar &amp; Abdullah, 2021). Hence, organizations should balance performance considerations with retirement planning to mitigate negative outcomes.</w:t>
      </w:r>
    </w:p>
    <w:p w14:paraId="607FE931" w14:textId="77777777" w:rsidR="00BE7920" w:rsidRDefault="00803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Organizational Knowledge Retention and Innovation</w:t>
      </w:r>
    </w:p>
    <w:p w14:paraId="2621EE2B"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knowledge retention and innovation are vital for sustaining competitive advantage, particularly in dynamic environments where success depends on expertise and adaptability. Knowledge retention refers to an organization’s ability to preserve and transfer essential knowledge, skills, and experience when employees, especially high performers, retire or leave (Burmeister &amp; Deller, 2016; Galan, 2023; Al-Suraihi et al., 2021). The loss of tacit knowledge, accumulated experience, and specialized expertise can weaken an organization’s capacity for creative problem-solving, innovation, and long-term strategic development (Ko &amp; Choi, 2023).</w:t>
      </w:r>
    </w:p>
    <w:p w14:paraId="7EBABAA3"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High-performing employees often drive innovation by shaping new ideas, refining processes, and influencing strategic direction. Their contributions play a crucial role in developing and sustaining organizational knowledge systems (Li et al., 2017). When such individuals retire, the resulting knowledge gap can disrupt organizational memory and hinder future innovation efforts (Mubarak et al., 2025). To address these challenges, organizations implement succession planning, knowledge transfer initiatives, and mentorship programmes designed to capture and share critical insights (Wang &amp; Noe, 2010).</w:t>
      </w:r>
    </w:p>
    <w:p w14:paraId="5C97094E"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succession planning involves identifying key roles, developing capable successors through targeted training and mentorship, and continuously reviewing and updating plans to reflect organizational changes. Through structured knowledge management and intentional talent development, organizations can preserve institutional wisdom, maintain operational continuity, and sustain innovation in an evolving competitive landscape.</w:t>
      </w:r>
    </w:p>
    <w:p w14:paraId="294CEC8C"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Employee Morale and Motivation</w:t>
      </w:r>
    </w:p>
    <w:p w14:paraId="071B9054"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Because they affect engagement, productivity, and the culture of the workplace as a whole, employee motivation and morale are critical to an organization's success. The general emotional condition and contentment of the workmandatory, which reflects how workers feel about their role, their work environment, and their contribution to the company, is referred to as employee morale. Contrarily, motivation is the inner drive that encourages workers to seek and accomplish company objectives. It is frequently impacted by elements such as job happiness, personal values, and </w:t>
      </w:r>
      <w:r>
        <w:rPr>
          <w:rFonts w:ascii="Times New Roman" w:hAnsi="Times New Roman" w:cs="Times New Roman"/>
          <w:sz w:val="24"/>
          <w:szCs w:val="24"/>
        </w:rPr>
        <w:lastRenderedPageBreak/>
        <w:t>recognition (Gagné &amp; Deci, 2005). When top performers retire, it can have a significant effect on the motivation and morale of the remaining staff.</w:t>
      </w:r>
    </w:p>
    <w:p w14:paraId="477C9558"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The abrupt departure of seasoned, accomplished workers could cause the remaining employees to feel insecure or depressed, especially if they were viewed as role models or important contributors to the team's success (Barajas, 2024).  Furthermore, senior employees' retirement may have an impact on employee engagement and team dynamics since teams lose important knowledge, mentorship, and direction that are essential for encouraging cooperation and creativity (Satata, 2021). Long-term workers' seniority and experience have a significant impact on the motivation and culture of the company. These workers frequently represent the organization's traditions and beliefs, impacting the workplace and setting an example of leadership (Schein &amp; Schein, 2016).  Their departure may have an impact on the culture of the company, which could result in changes in staff motivation, loyalty, and overall work satisfaction.</w:t>
      </w:r>
    </w:p>
    <w:p w14:paraId="117A3EF7" w14:textId="77777777" w:rsidR="00BE7920" w:rsidRDefault="00803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Organizational Performance</w:t>
      </w:r>
    </w:p>
    <w:p w14:paraId="19CE5616"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performance encompasses productivity, profitability, efficiency, and overall market success, serving as a key indicator of how effectively a company achieves its goals (Kaplan &amp; Norton, 1996). The departure of high-performing employees can significantly affect these outcomes, as their expertise and contributions are often critical to sustaining output, innovation, and client satisfaction (Taye, 2021). Such employees play vital roles in optimizing processes, mentoring others, and maintaining strong customer relationships, factors that directly influence business performance. Consequently, their mandatory retirement may disrupt these dynamics, particularly if effective succession mechanisms are not in place.</w:t>
      </w:r>
    </w:p>
    <w:p w14:paraId="1BC940FE" w14:textId="77777777" w:rsidR="00BE7920"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Leadership transitions following the retirement of high performers can also create gaps in knowledge and strategic direction, influencing decision-making and employee morale (Tushman &amp; O’Reilly, 1997). Furthermore, turnover-related challenges, such as recruitment, training, and onboarding, can impose additional costs and reduce operational efficiency. Over time, these cumulative effects may hinder organizational effectiveness and competitiveness (Božić &amp; Poola, 2023).</w:t>
      </w:r>
    </w:p>
    <w:p w14:paraId="6C0697E9" w14:textId="023780EE" w:rsidR="00CF08D4" w:rsidRDefault="0080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Knowledge erosion, the gradual loss of expertise within an organization, often occurs when experienced employees retire without proper knowledge transfer or documentation. This erosion weakens institutional memory and innovation capacity, ultimately impeding sustained </w:t>
      </w:r>
      <w:r>
        <w:rPr>
          <w:rFonts w:ascii="Times New Roman" w:hAnsi="Times New Roman" w:cs="Times New Roman"/>
          <w:sz w:val="24"/>
          <w:szCs w:val="24"/>
        </w:rPr>
        <w:lastRenderedPageBreak/>
        <w:t>performance and the achievement of long-term strategic objectives.</w:t>
      </w:r>
    </w:p>
    <w:p w14:paraId="2CACD8F5" w14:textId="77777777" w:rsidR="00BE7920" w:rsidRDefault="00803F08">
      <w:pPr>
        <w:pStyle w:val="Standard"/>
        <w:spacing w:line="360" w:lineRule="auto"/>
      </w:pPr>
      <w:r>
        <w:rPr>
          <w:rFonts w:ascii="Times New Roman" w:hAnsi="Times New Roman" w:cs="Times New Roman"/>
          <w:b/>
          <w:bCs/>
          <w:sz w:val="24"/>
          <w:szCs w:val="24"/>
        </w:rPr>
        <w:t>Organizational Competitiveness and Sustainability</w:t>
      </w:r>
    </w:p>
    <w:p w14:paraId="7E0BE878"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company's long-term capacity to prosper in a dynamic and competitive market is largely determined by its organizational competitiveness and sustainability. While sustainability stresses the ability to preserve this competitive edge over time, taking into account both internal capabilities and external market conditions, competitiveness refers to an organization's ability to effectively surpass its competitors within its industry (Barney &amp; Clark, 2023). Mandatory retirement plans can have a big impact on an organization's long-term flexibility because they frequently cause the departure of important personnel, which can make it more difficult for the company to innovate and react to changes in the market (Guzzo, et al. 2022).  </w:t>
      </w:r>
    </w:p>
    <w:p w14:paraId="29E25003" w14:textId="77777777" w:rsidR="00BE7920" w:rsidRDefault="00803F08">
      <w:pPr>
        <w:pStyle w:val="Standard"/>
        <w:spacing w:line="360" w:lineRule="auto"/>
        <w:jc w:val="both"/>
      </w:pPr>
      <w:r>
        <w:rPr>
          <w:rFonts w:ascii="Times New Roman" w:hAnsi="Times New Roman" w:cs="Times New Roman"/>
          <w:sz w:val="24"/>
          <w:szCs w:val="24"/>
        </w:rPr>
        <w:t>By offering the knowledge, guidance, and leadership required for continuous performance, high-performing staff members are crucial to preserving sustainability (Fernandez, 2022).</w:t>
      </w:r>
      <w:r>
        <w:rPr>
          <w:rFonts w:ascii="Times New Roman" w:hAnsi="Times New Roman" w:cs="Times New Roman"/>
          <w:b/>
          <w:bCs/>
          <w:sz w:val="24"/>
          <w:szCs w:val="24"/>
        </w:rPr>
        <w:t xml:space="preserve"> </w:t>
      </w:r>
      <w:r>
        <w:rPr>
          <w:rFonts w:ascii="Times New Roman" w:hAnsi="Times New Roman" w:cs="Times New Roman"/>
          <w:sz w:val="24"/>
          <w:szCs w:val="24"/>
        </w:rPr>
        <w:t xml:space="preserve"> Their background and aptitude for negotiating intricate market conditions are essential to maintaining the company's competitiveness. Organizations must, however, strike a balance between integrating new talent and senior staff expertise. Experienced staff members provide invaluable industry expertise, guidance, and institutional knowledge that support long-term sustainability, while fresh talent contributes creative ideas and vitality (Kanter, 2015). Fostering innovation and stability, two important factors that influence organizational competitiveness and sustainability, requires striking the correct balance between seasoned workers and recent hires.</w:t>
      </w:r>
    </w:p>
    <w:p w14:paraId="6A2445D9"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Human Resource Practices</w:t>
      </w:r>
    </w:p>
    <w:p w14:paraId="0C988FF8"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An organization's human resource practices include the tactics, guidelines, and procedures it uses to efficiently manage its personnel and maximize worker performance (Armstrong &amp; Taylor, 2020). These procedures are essential for establishing company culture, raising employee satisfaction, and making sure that workers support company goals. Among the crucial HR procedures that might mitigate the effects of mandatory retirement are succession planning, knowledge management, employee development, and retirement transition initiatives. When high-performing individuals retire, effective succession planning minimizes the loss of expertise by ensuring a seamless transfer of leadership and information (Saks &amp; Gruman, 2014).</w:t>
      </w:r>
    </w:p>
    <w:p w14:paraId="53D7D36A" w14:textId="7CE2D1E6"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preservation of organizational knowledge depends on knowledge management systems, which prioritize gathering and passing on information from retiring personnel to younger </w:t>
      </w:r>
      <w:r>
        <w:rPr>
          <w:rFonts w:ascii="Times New Roman" w:hAnsi="Times New Roman" w:cs="Times New Roman"/>
          <w:sz w:val="24"/>
          <w:szCs w:val="24"/>
        </w:rPr>
        <w:lastRenderedPageBreak/>
        <w:t xml:space="preserve">staff (Nonaka &amp; Takeuchi, 1995). Both retirement transition programs and staff development activities are crucial because they boost morale, lessen the psychological effects of mandatory retirement, and prepare workers for life beyond retirement (Zhan, et al. 2022).  By encouraging a culture of continuous learning and offering chances for skill development, HR strategies can also assist </w:t>
      </w:r>
      <w:r w:rsidR="004C3139">
        <w:rPr>
          <w:rFonts w:ascii="Times New Roman" w:hAnsi="Times New Roman" w:cs="Times New Roman"/>
          <w:sz w:val="24"/>
          <w:szCs w:val="24"/>
        </w:rPr>
        <w:t>in lessening</w:t>
      </w:r>
      <w:r>
        <w:rPr>
          <w:rFonts w:ascii="Times New Roman" w:hAnsi="Times New Roman" w:cs="Times New Roman"/>
          <w:sz w:val="24"/>
          <w:szCs w:val="24"/>
        </w:rPr>
        <w:t xml:space="preserve"> the detrimental effects of mandatory retirement on organizational performance, preserving employee engagement and productivity (Jiang et al., 2012).</w:t>
      </w:r>
    </w:p>
    <w:p w14:paraId="19D67DCD"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Retirement Planning and Support Systems</w:t>
      </w:r>
    </w:p>
    <w:p w14:paraId="54A4D15A" w14:textId="51A53FDA"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The frameworks and tools that organizations offer to help employees transition into retirement are referred to as retirement planning and support systems. For both the company and the employees to successfully navigate the hurdles of retirement, these mechanisms are essential for preparing them for life after work. Programs for retirement planning, such as workshops for skill development, financial advising, and career counseling, are crucial for helping staff members be ready for this big life transition (Burmeister &amp; Deller, 2016).  Employee morale has been demonstrated to improve when these services are available because they facilitate a more seamless transition by lowering employee worry and uncertainty about retirement (Mohd Talib &amp; Abdul Manaf, 2017).</w:t>
      </w:r>
    </w:p>
    <w:p w14:paraId="52004628" w14:textId="77777777" w:rsidR="00BE7920" w:rsidRDefault="00803F08">
      <w:pPr>
        <w:pStyle w:val="Standard"/>
        <w:spacing w:line="360" w:lineRule="auto"/>
        <w:jc w:val="both"/>
      </w:pPr>
      <w:r>
        <w:rPr>
          <w:rFonts w:ascii="Times New Roman" w:hAnsi="Times New Roman" w:cs="Times New Roman"/>
          <w:sz w:val="24"/>
          <w:szCs w:val="24"/>
        </w:rPr>
        <w:t>Additionally, when older workers feel encouraged, they may be more inclined to mentor younger coworkers and share their skills before they retire, which helps to retain information. Career counseling services and financial assistance are also important components of this process. According to research, providing financial education to staff members aids in their retirement planning, which lowers stress and improves job satisfaction (Nagaprakash, et al. 2023). To reduce the negative effects of mandatory retirement policies on both employees and the company, retirement workshops can also give staff members the skills they need to handle life after retirement (Caines, et al. 2024).</w:t>
      </w:r>
    </w:p>
    <w:p w14:paraId="6F904BEA"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Organizational Culture</w:t>
      </w:r>
    </w:p>
    <w:p w14:paraId="0DBD329E"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collective values, practices, and beliefs that govern behavior within an organization are referred to as its organizational culture. Employee perceptions and responses to organizational regulations, such as mandatory retirement, are greatly influenced by this, which includes the collective understanding of what is expected, accepted, and celebrated. By stressing respect for experience and acknowledging the significance of a seamless transition for retiring employees, a </w:t>
      </w:r>
      <w:r>
        <w:rPr>
          <w:rFonts w:ascii="Times New Roman" w:hAnsi="Times New Roman" w:cs="Times New Roman"/>
          <w:sz w:val="24"/>
          <w:szCs w:val="24"/>
        </w:rPr>
        <w:lastRenderedPageBreak/>
        <w:t>strong corporate culture can promote a favorable response to retirement rules (Schein, 2010). Conversely, employees who perceive such policies as a challenge to the established norms and values may oppose them due to a weak or fractured culture (Denison &amp; Mishra, 2017).</w:t>
      </w:r>
    </w:p>
    <w:p w14:paraId="2E4B8C60"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The culture of the company frequently influences how retirements are handled, especially when high-performing individuals are involved. Employees may be more likely to see retirement as a natural transition in companies with a collaborative and encouraging culture, which facilitates mentorship relationships and knowledge transfer. The departure of high-performing personnel, however, may be viewed as a loss of essential resources in cultures that place a higher priority on innovation or outcomes than on employee relationships. This could lead to a decline in motivation or engagement among the remaining staff (Kotter, 2012). As a result, how retirement plans are seen and how well information and inspiration are shared both before and after employees retire are greatly influenced by the culture of the company.</w:t>
      </w:r>
    </w:p>
    <w:p w14:paraId="23550276"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External Factors</w:t>
      </w:r>
    </w:p>
    <w:p w14:paraId="0F4C3C91" w14:textId="77777777" w:rsidR="00BE7920" w:rsidRDefault="00803F08">
      <w:pPr>
        <w:pStyle w:val="Standard"/>
        <w:spacing w:line="360" w:lineRule="auto"/>
        <w:jc w:val="both"/>
      </w:pPr>
      <w:r>
        <w:rPr>
          <w:rFonts w:ascii="Times New Roman" w:hAnsi="Times New Roman" w:cs="Times New Roman"/>
          <w:sz w:val="24"/>
          <w:szCs w:val="24"/>
        </w:rPr>
        <w:t>The influences that come from outside an organization are referred to as external variables. These include changes in the market, economic cycles, laws, and industry standards. The timing and effects of mandatory retirement regulations are greatly influenced by these considerations. For example, the overall employment landscape may be impacted by external economic variables such as inflation, recessions, or shifts in industry demand, which may hasten or postpone retirement decisions (Mustafa, 2022). Organizations may be tempted to introduce or modify mandatory retirement policies in difficult economic times to control expenses, minimize mandatory size, or simplify operations. On the other hand, during times of economic expansion, businesses might be more motivated to hold onto top performers for longer to capitalize on growing prospects.</w:t>
      </w:r>
    </w:p>
    <w:p w14:paraId="7ABC3607"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Legal requirements, such as modifications to social security or retirement age laws, can also have a direct impact on when workers must retire. In fact, they frequently establish a legal foundation for the retirement age that affects organizational practices. For instance, pension laws in some countries may specify when workers are entitled to retirement benefits, which may influence the organization's and its workers' retirement choices (Blöndal &amp; Scarpetta, 1999). Therefore, the implementation and outcomes of mandatory retirement programs are significantly shaped by external factors, such as legal frameworks and economic situations.</w:t>
      </w:r>
    </w:p>
    <w:p w14:paraId="6DAE81F5" w14:textId="77777777" w:rsidR="00CF08D4" w:rsidRDefault="00CF08D4">
      <w:pPr>
        <w:pStyle w:val="Standard"/>
        <w:spacing w:line="360" w:lineRule="auto"/>
        <w:jc w:val="both"/>
        <w:rPr>
          <w:rFonts w:ascii="Times New Roman" w:hAnsi="Times New Roman" w:cs="Times New Roman"/>
          <w:b/>
          <w:bCs/>
          <w:sz w:val="24"/>
          <w:szCs w:val="24"/>
        </w:rPr>
      </w:pPr>
    </w:p>
    <w:p w14:paraId="100A2185" w14:textId="77777777" w:rsidR="00CF08D4" w:rsidRDefault="00CF08D4">
      <w:pPr>
        <w:pStyle w:val="Standard"/>
        <w:spacing w:line="360" w:lineRule="auto"/>
        <w:jc w:val="both"/>
        <w:rPr>
          <w:rFonts w:ascii="Times New Roman" w:hAnsi="Times New Roman" w:cs="Times New Roman"/>
          <w:b/>
          <w:bCs/>
          <w:sz w:val="24"/>
          <w:szCs w:val="24"/>
        </w:rPr>
      </w:pPr>
    </w:p>
    <w:p w14:paraId="2171A2F4" w14:textId="5ABC976D"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14:paraId="1F854096" w14:textId="77777777" w:rsidR="00BE7920" w:rsidRDefault="00803F08">
      <w:pPr>
        <w:pStyle w:val="Standard"/>
        <w:spacing w:line="360" w:lineRule="auto"/>
        <w:jc w:val="both"/>
        <w:rPr>
          <w:rFonts w:ascii="Times New Roman" w:hAnsi="Times New Roman" w:cs="Times New Roman"/>
          <w:b/>
          <w:bCs/>
          <w:sz w:val="24"/>
          <w:szCs w:val="24"/>
        </w:rPr>
      </w:pPr>
      <w:bookmarkStart w:id="2" w:name="_Hlk214143719"/>
      <w:r>
        <w:rPr>
          <w:rFonts w:ascii="Times New Roman" w:hAnsi="Times New Roman" w:cs="Times New Roman"/>
          <w:b/>
          <w:bCs/>
          <w:sz w:val="24"/>
          <w:szCs w:val="24"/>
        </w:rPr>
        <w:t>2.2.1 Human Capital Theory</w:t>
      </w:r>
    </w:p>
    <w:p w14:paraId="560B7B14" w14:textId="19E1DFAD"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Human Capital Theory, </w:t>
      </w:r>
      <w:r w:rsidR="00CF08D4">
        <w:rPr>
          <w:rFonts w:ascii="Times New Roman" w:hAnsi="Times New Roman" w:cs="Times New Roman"/>
          <w:sz w:val="24"/>
          <w:szCs w:val="24"/>
        </w:rPr>
        <w:t>established by economist Gary S. Becker in the 1960s, people's skills, knowledge, and abilities are important forms</w:t>
      </w:r>
      <w:r>
        <w:rPr>
          <w:rFonts w:ascii="Times New Roman" w:hAnsi="Times New Roman" w:cs="Times New Roman"/>
          <w:sz w:val="24"/>
          <w:szCs w:val="24"/>
        </w:rPr>
        <w:t xml:space="preserve"> of capital that support economic growth and productivity. Becker's groundbreaking book Human Capital: A Theoretical and Empirical Analysis (1993) extended the idea of capital beyond material assets to encompass intangible assets like experience and skills, building on the foundation established by Theodore Shultz's work on investment in human capital in the 1960s. According to the notion, spending money on education, training, and experience is </w:t>
      </w:r>
      <w:r w:rsidR="00CF08D4">
        <w:rPr>
          <w:rFonts w:ascii="Times New Roman" w:hAnsi="Times New Roman" w:cs="Times New Roman"/>
          <w:sz w:val="24"/>
          <w:szCs w:val="24"/>
        </w:rPr>
        <w:t xml:space="preserve">akin to investing in capital and will pay off in </w:t>
      </w:r>
      <w:r>
        <w:rPr>
          <w:rFonts w:ascii="Times New Roman" w:hAnsi="Times New Roman" w:cs="Times New Roman"/>
          <w:sz w:val="24"/>
          <w:szCs w:val="24"/>
        </w:rPr>
        <w:t>increased economic prosperity, innovation, and organizational productivity.</w:t>
      </w:r>
    </w:p>
    <w:p w14:paraId="117D9E23" w14:textId="41BB2F84" w:rsidR="00BE7920" w:rsidRDefault="00803F08">
      <w:pPr>
        <w:pStyle w:val="Standard"/>
        <w:spacing w:line="360" w:lineRule="auto"/>
        <w:jc w:val="both"/>
      </w:pPr>
      <w:r>
        <w:rPr>
          <w:rFonts w:ascii="Times New Roman" w:hAnsi="Times New Roman" w:cs="Times New Roman"/>
          <w:sz w:val="24"/>
          <w:szCs w:val="24"/>
        </w:rPr>
        <w:t xml:space="preserve">Human Capital Theory is extremely pertinent to the study of mandatory retirement because it emphasizes how important seasoned workers are to the profitability of the company. High-achieving workers are a great source of human capital because of their cumulative knowledge and expertise. The company runs the </w:t>
      </w:r>
      <w:r w:rsidR="00BB4B96">
        <w:rPr>
          <w:rFonts w:ascii="Times New Roman" w:hAnsi="Times New Roman" w:cs="Times New Roman"/>
          <w:sz w:val="24"/>
          <w:szCs w:val="24"/>
        </w:rPr>
        <w:t>risk</w:t>
      </w:r>
      <w:r>
        <w:rPr>
          <w:rFonts w:ascii="Times New Roman" w:hAnsi="Times New Roman" w:cs="Times New Roman"/>
          <w:sz w:val="24"/>
          <w:szCs w:val="24"/>
        </w:rPr>
        <w:t xml:space="preserve"> of losing important knowledge when these workers are compelled to retire, which may impair its capacity for innovation and competitive advantage. According to the notion, companies can lessen the negative effects of mandatory retirement by investing in human capital through ongoing staff development. Businesses can better manage retirements and maintain their long-term performance by cultivating a culture of knowledge transfer, succession planning, and skill development.</w:t>
      </w:r>
    </w:p>
    <w:p w14:paraId="1B285F76"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2.2.2 Social Exchange Theory</w:t>
      </w:r>
    </w:p>
    <w:p w14:paraId="76E2F4ED"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Social Exchange Theory (SET), first put forth by sociologist George Homans in the 1950s and then developed by Peter Blau in 1964, offers a framework for comprehending interpersonal relationships in companies through reciprocity and cost-benefit analysis. According to Homans's early research, people act in social ways to maximize benefits and reduce expenses. By adding concepts like power, justice, and reciprocity into organizational relationships, Blau improved this theory even more. According to SET, people constantly analyze the advantages and disadvantages of their connections, and they are more inclined to stick with a relationship when the perceived benefits exceed the disadvantages.</w:t>
      </w:r>
    </w:p>
    <w:p w14:paraId="7BDB17BD"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SET is especially pertinent when it comes to high-performing employees' mandatory retirement. The reciprocity that supports the connection between a business and its employees may be disrupted by the mandatory retirement of valued personnel. High-performing employees who feel that their years of service and contributions have not been fairly recognized may perceive mandatory retirement as an inequitable exchange. This perception can negatively affect their morale and motivation, leading to disengagement. Furthermore, SET highlights the impact of fairness and reciprocity on organizational climate. If employees believe that their contributions are being undervalued, it can erode trust and create a negative work environment, potentially affecting overall employee retention. Employees who feel that the reciprocal relationship is no longer beneficial may also be more likely to leave the organization, further exacerbating the negative effects of mandatory retirement.</w:t>
      </w:r>
    </w:p>
    <w:bookmarkEnd w:id="2"/>
    <w:p w14:paraId="1F2AA061"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Empirical Review</w:t>
      </w:r>
    </w:p>
    <w:p w14:paraId="41576050" w14:textId="77777777" w:rsidR="00BE7920" w:rsidRDefault="00803F08">
      <w:pPr>
        <w:pStyle w:val="Standard"/>
        <w:spacing w:line="360" w:lineRule="auto"/>
        <w:jc w:val="both"/>
      </w:pPr>
      <w:r>
        <w:rPr>
          <w:rFonts w:ascii="Times New Roman" w:hAnsi="Times New Roman" w:cs="Times New Roman"/>
          <w:sz w:val="24"/>
          <w:szCs w:val="24"/>
        </w:rPr>
        <w:t>Deepalakshmi et al. (2024) examined the relationship between employee engagement and organizational performance, emphasizing its significance in driving organizational success. This review synthesizes existing literature, exploring how employee engagement affects various dimensions of organizational effectiveness. The paper defines employee engagement and its key components—affective, cognitive, and behavioral—while drawing on theories like social exchange theory and self-determination theory. It identifies leadership style, organizational culture, job characteristics, and employee well-being as antecedents of engagement. The review also highlights the role of HR practices, such as recruitment and performance management, in fostering engagement. Outcomes discussed include increased productivity, job satisfaction, retention, and innovation. Additionally, the paper considers moderating factors like industry context and organizational size. It identifies gaps in the literature, calling for more longitudinal studies and research on mediating mechanisms. Practical implications for HR practitioners emphasize creating an engaging organizational culture to improve performance.</w:t>
      </w:r>
    </w:p>
    <w:p w14:paraId="5016A3F2"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Sajjadiani et al. (2023) proposed a dynamic framework based on Turnover Event Theory (TET) to evaluate the effects of dismissals, layoff announcements, and voluntary turnover on subsequent work unit turnover. The study applied to 1,620 retail stores over 22 months, demonstrated that modeling turnover events as an interdependent system improves predictions of future human capital outflows. The findings revealed that layoff announcements had the strongest and most immediate effects on subsequent voluntary turnover, while dismissals had the weakest total impact, </w:t>
      </w:r>
      <w:r>
        <w:rPr>
          <w:rFonts w:ascii="Times New Roman" w:hAnsi="Times New Roman" w:cs="Times New Roman"/>
          <w:sz w:val="24"/>
          <w:szCs w:val="24"/>
        </w:rPr>
        <w:lastRenderedPageBreak/>
        <w:t>and voluntary turnover had moderate but lasting effects. Additionally, these exit reasons led to distinct turnover patterns in terms of intensity and longevity. The study also found that turnover "multiplier" effects were concentrated among workers with similar performance levels, suggesting that high-performer exits lead to high-performer quits, and low-performer exits lead to low-performer quits. The results imply that analyses focusing solely on individual-level turnover may underestimate the broader consequences of exit events at the work-unit level.</w:t>
      </w:r>
    </w:p>
    <w:p w14:paraId="0F9C4E50"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Opatha (2022) examined the concept of retirement age, a critical aspect of employee retirement management, particularly in Sri Lanka, which recently increased its retirement age. The paper aimed to answer eleven research questions related to the phenomenon of retirement age. Using a desk research strategy, the study provided a theoretical and practical analysis of retirement age. The findings revealed that the retirement age exists for permanent employment, is mandatory, and has valid justifications. It also discussed the pros and cons of extending the retirement age, noting that a universally accepted retirement age does not exist. Opatha recommended that organizations determine an appropriate retirement age based on context.</w:t>
      </w:r>
    </w:p>
    <w:p w14:paraId="7A750CE7" w14:textId="77777777" w:rsidR="00BE7920" w:rsidRDefault="00803F08">
      <w:pPr>
        <w:pStyle w:val="Standard"/>
        <w:spacing w:line="360" w:lineRule="auto"/>
        <w:jc w:val="both"/>
      </w:pPr>
      <w:r>
        <w:rPr>
          <w:rFonts w:ascii="Times New Roman" w:hAnsi="Times New Roman" w:cs="Times New Roman"/>
          <w:sz w:val="24"/>
          <w:szCs w:val="24"/>
        </w:rPr>
        <w:t>Adeniyi et al. (2022) examined the link between succession planning and organizational performance at Perfetti Van Melle Nigeria Limited in Agbara, Ogun State. Using a descriptive survey design, 135 employees were selected from a population of 1,392, with 91 valid responses analyzed using the Ordinary Least Squares (OLS) method in SPSS version 23. The study found that succession planning, particularly through mentoring and talent retention, positively influenced organizational performance, with improvements of 3.1%, 1.1%, and 0.5% in performance metrics. The authors emphasized the importance of retention strategies to engage top-performing employees. The study concluded that succession planning enhances leadership continuity and organizational effectiveness, highlighting its role in fostering long-term success.</w:t>
      </w:r>
    </w:p>
    <w:p w14:paraId="777D02CF"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Boehm et al. (2021) explored Age-Related Human Resource Management Policies and Practices: Antecedents, Outcomes, and Conceptualizations, highlighting the challenges organizations face due to demographic changes in age. As societies, firms, and individuals work to extend retirement while maintaining motivation, performance, and health throughout employees' careers, Human Resource Management (HRM) practices play a crucial role. Influenced by macro-level trends like new legislation, HRM practices affect both individual and organizational outcomes, including productivity and employability. These editorial reviews interdisciplinary literature and propose a framework that spans macro, meso, and individual levels. It discusses the antecedents, boundary </w:t>
      </w:r>
      <w:r>
        <w:rPr>
          <w:rFonts w:ascii="Times New Roman" w:hAnsi="Times New Roman" w:cs="Times New Roman"/>
          <w:sz w:val="24"/>
          <w:szCs w:val="24"/>
        </w:rPr>
        <w:lastRenderedPageBreak/>
        <w:t>conditions, and outcomes of age-related HRM practices, offering a typology of practices and evaluating the role of individual HRM dimensions versus bundles of practices. The study introduces eight articles on this topic and provides recommendations for future research in age-related HRM.</w:t>
      </w:r>
    </w:p>
    <w:p w14:paraId="11E1BA03" w14:textId="77777777" w:rsidR="00BE7920" w:rsidRDefault="00803F08">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Khan (2021) highlighted that employee retention remains a major challenge for organizations, as the loss of valuable talent incurs significant costs related to institutional knowledge, recruitment, and training. The purpose of this study was to examine the impact of employee retention on organizational performance. Key variables such as career development, supervisor support, work environment, and rewards were explored to understand their influence on employee retention. The study aimed to determine how these factors contribute to retaining employees, which ultimately affects organizational performance. The findings are expected to provide insights into the key elements that drive employee retention in business organizations in Pakistan.</w:t>
      </w:r>
    </w:p>
    <w:p w14:paraId="1BA9AD7B" w14:textId="77777777" w:rsidR="00BE7920" w:rsidRPr="00213BB8" w:rsidRDefault="00803F08">
      <w:pPr>
        <w:pStyle w:val="Standard"/>
        <w:spacing w:line="360" w:lineRule="auto"/>
        <w:jc w:val="both"/>
        <w:rPr>
          <w:rFonts w:ascii="Times New Roman" w:hAnsi="Times New Roman" w:cs="Times New Roman"/>
          <w:b/>
          <w:bCs/>
          <w:sz w:val="24"/>
          <w:szCs w:val="24"/>
        </w:rPr>
      </w:pPr>
      <w:r w:rsidRPr="00213BB8">
        <w:rPr>
          <w:rFonts w:ascii="Times New Roman" w:hAnsi="Times New Roman" w:cs="Times New Roman"/>
          <w:b/>
          <w:bCs/>
          <w:sz w:val="24"/>
          <w:szCs w:val="24"/>
        </w:rPr>
        <w:t>3.0 Methodology</w:t>
      </w:r>
    </w:p>
    <w:p w14:paraId="037799FE" w14:textId="77777777" w:rsidR="00213BB8" w:rsidRPr="00BD3CC9" w:rsidRDefault="00213BB8" w:rsidP="00213BB8">
      <w:pPr>
        <w:spacing w:line="360" w:lineRule="auto"/>
        <w:jc w:val="both"/>
        <w:rPr>
          <w:rFonts w:ascii="Times New Roman" w:hAnsi="Times New Roman" w:cs="Times New Roman"/>
          <w:b/>
          <w:bCs/>
          <w:sz w:val="24"/>
          <w:szCs w:val="24"/>
        </w:rPr>
      </w:pPr>
      <w:r w:rsidRPr="00BD3CC9">
        <w:rPr>
          <w:rFonts w:ascii="Times New Roman" w:hAnsi="Times New Roman" w:cs="Times New Roman"/>
          <w:b/>
          <w:bCs/>
          <w:sz w:val="24"/>
          <w:szCs w:val="24"/>
        </w:rPr>
        <w:t>3.1 Research Design</w:t>
      </w:r>
    </w:p>
    <w:p w14:paraId="1E5B6A5C" w14:textId="77777777" w:rsidR="00213BB8" w:rsidRPr="00BD3CC9" w:rsidRDefault="00213BB8" w:rsidP="00213BB8">
      <w:pPr>
        <w:spacing w:line="360" w:lineRule="auto"/>
        <w:jc w:val="both"/>
        <w:rPr>
          <w:rFonts w:ascii="Times New Roman" w:hAnsi="Times New Roman" w:cs="Times New Roman"/>
          <w:sz w:val="24"/>
          <w:szCs w:val="24"/>
        </w:rPr>
      </w:pPr>
      <w:r w:rsidRPr="00BD3CC9">
        <w:rPr>
          <w:rFonts w:ascii="Times New Roman" w:hAnsi="Times New Roman" w:cs="Times New Roman"/>
          <w:sz w:val="24"/>
          <w:szCs w:val="24"/>
        </w:rPr>
        <w:t>A descriptive correlational research design was adopted for this study. This design was suitable because it allowed the researcher to examine the relationship between mandatory retirement of high-performing employees and key indicators of organizational sustainability</w:t>
      </w:r>
      <w:r w:rsidRPr="00213BB8">
        <w:rPr>
          <w:rFonts w:ascii="Times New Roman" w:hAnsi="Times New Roman" w:cs="Times New Roman"/>
          <w:sz w:val="24"/>
          <w:szCs w:val="24"/>
        </w:rPr>
        <w:t xml:space="preserve">, </w:t>
      </w:r>
      <w:r w:rsidRPr="00BD3CC9">
        <w:rPr>
          <w:rFonts w:ascii="Times New Roman" w:hAnsi="Times New Roman" w:cs="Times New Roman"/>
          <w:sz w:val="24"/>
          <w:szCs w:val="24"/>
        </w:rPr>
        <w:t>such as knowledge retention, employee morale, innovation, productivity, and competitiveness</w:t>
      </w:r>
      <w:r w:rsidRPr="00213BB8">
        <w:rPr>
          <w:rFonts w:ascii="Times New Roman" w:hAnsi="Times New Roman" w:cs="Times New Roman"/>
          <w:sz w:val="24"/>
          <w:szCs w:val="24"/>
        </w:rPr>
        <w:t xml:space="preserve">, </w:t>
      </w:r>
      <w:r w:rsidRPr="00BD3CC9">
        <w:rPr>
          <w:rFonts w:ascii="Times New Roman" w:hAnsi="Times New Roman" w:cs="Times New Roman"/>
          <w:sz w:val="24"/>
          <w:szCs w:val="24"/>
        </w:rPr>
        <w:t>without manipulating any variables.</w:t>
      </w:r>
    </w:p>
    <w:p w14:paraId="340C1108" w14:textId="77777777" w:rsidR="00213BB8" w:rsidRPr="00BD3CC9" w:rsidRDefault="00213BB8" w:rsidP="00213BB8">
      <w:pPr>
        <w:spacing w:line="360" w:lineRule="auto"/>
        <w:jc w:val="both"/>
        <w:rPr>
          <w:rFonts w:ascii="Times New Roman" w:hAnsi="Times New Roman" w:cs="Times New Roman"/>
          <w:b/>
          <w:bCs/>
          <w:sz w:val="24"/>
          <w:szCs w:val="24"/>
        </w:rPr>
      </w:pPr>
      <w:r w:rsidRPr="00BD3CC9">
        <w:rPr>
          <w:rFonts w:ascii="Times New Roman" w:hAnsi="Times New Roman" w:cs="Times New Roman"/>
          <w:b/>
          <w:bCs/>
          <w:sz w:val="24"/>
          <w:szCs w:val="24"/>
        </w:rPr>
        <w:t>3.2 Data Collection Methods</w:t>
      </w:r>
    </w:p>
    <w:p w14:paraId="4DF62FEE" w14:textId="77777777" w:rsidR="00213BB8" w:rsidRPr="00BD3CC9" w:rsidRDefault="00213BB8" w:rsidP="00213BB8">
      <w:pPr>
        <w:spacing w:line="360" w:lineRule="auto"/>
        <w:jc w:val="both"/>
        <w:rPr>
          <w:rFonts w:ascii="Times New Roman" w:hAnsi="Times New Roman" w:cs="Times New Roman"/>
          <w:sz w:val="24"/>
          <w:szCs w:val="24"/>
        </w:rPr>
      </w:pPr>
      <w:r w:rsidRPr="00BD3CC9">
        <w:rPr>
          <w:rFonts w:ascii="Times New Roman" w:hAnsi="Times New Roman" w:cs="Times New Roman"/>
          <w:sz w:val="24"/>
          <w:szCs w:val="24"/>
        </w:rPr>
        <w:t xml:space="preserve">Quantitative data were collected using a structured </w:t>
      </w:r>
      <w:bookmarkStart w:id="3" w:name="_Hlk214890592"/>
      <w:r w:rsidRPr="00BD3CC9">
        <w:rPr>
          <w:rFonts w:ascii="Times New Roman" w:hAnsi="Times New Roman" w:cs="Times New Roman"/>
          <w:sz w:val="24"/>
          <w:szCs w:val="24"/>
        </w:rPr>
        <w:t xml:space="preserve">questionnaire </w:t>
      </w:r>
      <w:bookmarkEnd w:id="3"/>
      <w:r w:rsidRPr="00BD3CC9">
        <w:rPr>
          <w:rFonts w:ascii="Times New Roman" w:hAnsi="Times New Roman" w:cs="Times New Roman"/>
          <w:sz w:val="24"/>
          <w:szCs w:val="24"/>
        </w:rPr>
        <w:t>developed through Google Forms. The instrument consisted of closed-ended and Likert-scale items designed to measure the perceived effects of mandatory retirement on various organizational outcomes. The questionnaire link was disseminated through WhatsApp groups and individual contacts, and respondents were encouraged to share it to increase the reach across multiple organizations.</w:t>
      </w:r>
    </w:p>
    <w:p w14:paraId="789996FF" w14:textId="77777777" w:rsidR="00213BB8" w:rsidRPr="00BD3CC9" w:rsidRDefault="00213BB8" w:rsidP="00213BB8">
      <w:pPr>
        <w:spacing w:line="360" w:lineRule="auto"/>
        <w:jc w:val="both"/>
        <w:rPr>
          <w:rFonts w:ascii="Times New Roman" w:hAnsi="Times New Roman" w:cs="Times New Roman"/>
          <w:b/>
          <w:bCs/>
          <w:sz w:val="24"/>
          <w:szCs w:val="24"/>
        </w:rPr>
      </w:pPr>
      <w:r w:rsidRPr="00BD3CC9">
        <w:rPr>
          <w:rFonts w:ascii="Times New Roman" w:hAnsi="Times New Roman" w:cs="Times New Roman"/>
          <w:b/>
          <w:bCs/>
          <w:sz w:val="24"/>
          <w:szCs w:val="24"/>
        </w:rPr>
        <w:t>3.</w:t>
      </w:r>
      <w:r w:rsidRPr="00213BB8">
        <w:rPr>
          <w:rFonts w:ascii="Times New Roman" w:hAnsi="Times New Roman" w:cs="Times New Roman"/>
          <w:b/>
          <w:bCs/>
          <w:sz w:val="24"/>
          <w:szCs w:val="24"/>
        </w:rPr>
        <w:t>3</w:t>
      </w:r>
      <w:r w:rsidRPr="00BD3CC9">
        <w:rPr>
          <w:rFonts w:ascii="Times New Roman" w:hAnsi="Times New Roman" w:cs="Times New Roman"/>
          <w:b/>
          <w:bCs/>
          <w:sz w:val="24"/>
          <w:szCs w:val="24"/>
        </w:rPr>
        <w:t xml:space="preserve"> Population of the Study</w:t>
      </w:r>
      <w:bookmarkStart w:id="4" w:name="_GoBack"/>
      <w:bookmarkEnd w:id="4"/>
    </w:p>
    <w:p w14:paraId="3742B72A" w14:textId="77777777" w:rsidR="00213BB8" w:rsidRPr="00BD3CC9" w:rsidRDefault="00213BB8" w:rsidP="00213BB8">
      <w:pPr>
        <w:spacing w:line="360" w:lineRule="auto"/>
        <w:jc w:val="both"/>
        <w:rPr>
          <w:rFonts w:ascii="Times New Roman" w:hAnsi="Times New Roman" w:cs="Times New Roman"/>
          <w:sz w:val="24"/>
          <w:szCs w:val="24"/>
        </w:rPr>
      </w:pPr>
      <w:r w:rsidRPr="00BD3CC9">
        <w:rPr>
          <w:rFonts w:ascii="Times New Roman" w:hAnsi="Times New Roman" w:cs="Times New Roman"/>
          <w:sz w:val="24"/>
          <w:szCs w:val="24"/>
        </w:rPr>
        <w:t xml:space="preserve">The population of the study consisted of employees across academia, religious bodies, government parastatals, and private-sector organizations within Nigeria and internationally. Because the exact number of employees in these sectors was large and indeterminate, a sample size determination </w:t>
      </w:r>
      <w:r w:rsidRPr="00BD3CC9">
        <w:rPr>
          <w:rFonts w:ascii="Times New Roman" w:hAnsi="Times New Roman" w:cs="Times New Roman"/>
          <w:sz w:val="24"/>
          <w:szCs w:val="24"/>
        </w:rPr>
        <w:lastRenderedPageBreak/>
        <w:t>procedure suitable for large populations was required.</w:t>
      </w:r>
    </w:p>
    <w:p w14:paraId="157989EC" w14:textId="77777777" w:rsidR="00213BB8" w:rsidRPr="00BD3CC9" w:rsidRDefault="00213BB8" w:rsidP="00213BB8">
      <w:pPr>
        <w:spacing w:line="360" w:lineRule="auto"/>
        <w:jc w:val="both"/>
        <w:rPr>
          <w:rFonts w:ascii="Times New Roman" w:hAnsi="Times New Roman" w:cs="Times New Roman"/>
          <w:b/>
          <w:bCs/>
          <w:sz w:val="24"/>
          <w:szCs w:val="24"/>
        </w:rPr>
      </w:pPr>
      <w:r w:rsidRPr="00BD3CC9">
        <w:rPr>
          <w:rFonts w:ascii="Times New Roman" w:hAnsi="Times New Roman" w:cs="Times New Roman"/>
          <w:b/>
          <w:bCs/>
          <w:sz w:val="24"/>
          <w:szCs w:val="24"/>
        </w:rPr>
        <w:t>3.</w:t>
      </w:r>
      <w:r w:rsidRPr="00213BB8">
        <w:rPr>
          <w:rFonts w:ascii="Times New Roman" w:hAnsi="Times New Roman" w:cs="Times New Roman"/>
          <w:b/>
          <w:bCs/>
          <w:sz w:val="24"/>
          <w:szCs w:val="24"/>
        </w:rPr>
        <w:t>4</w:t>
      </w:r>
      <w:r w:rsidRPr="00BD3CC9">
        <w:rPr>
          <w:rFonts w:ascii="Times New Roman" w:hAnsi="Times New Roman" w:cs="Times New Roman"/>
          <w:b/>
          <w:bCs/>
          <w:sz w:val="24"/>
          <w:szCs w:val="24"/>
        </w:rPr>
        <w:t xml:space="preserve"> Sample Size Determination and Sampling Method</w:t>
      </w:r>
    </w:p>
    <w:p w14:paraId="6BC245DD" w14:textId="5017B817" w:rsidR="00213BB8" w:rsidRPr="00BD3CC9" w:rsidRDefault="00213BB8" w:rsidP="00213BB8">
      <w:pPr>
        <w:spacing w:line="360" w:lineRule="auto"/>
        <w:jc w:val="both"/>
        <w:rPr>
          <w:rFonts w:ascii="Times New Roman" w:hAnsi="Times New Roman" w:cs="Times New Roman"/>
          <w:sz w:val="24"/>
          <w:szCs w:val="24"/>
        </w:rPr>
      </w:pPr>
      <w:r w:rsidRPr="00BD3CC9">
        <w:rPr>
          <w:rFonts w:ascii="Times New Roman" w:hAnsi="Times New Roman" w:cs="Times New Roman"/>
          <w:sz w:val="24"/>
          <w:szCs w:val="24"/>
        </w:rPr>
        <w:t>The minimum required sample size was determined using Cochran’s (1977) formula for large or unknown populations, which yielded a recommended sample of 384 respondents at a 95% confidence level. The study obtained 451 valid responses, exceeding the minimum requirement and ensuring adequate statistical power.</w:t>
      </w:r>
      <w:r w:rsidRPr="00213BB8">
        <w:rPr>
          <w:rFonts w:ascii="Times New Roman" w:hAnsi="Times New Roman" w:cs="Times New Roman"/>
          <w:sz w:val="24"/>
          <w:szCs w:val="24"/>
        </w:rPr>
        <w:t xml:space="preserve"> </w:t>
      </w:r>
      <w:r w:rsidRPr="00BD3CC9">
        <w:rPr>
          <w:rFonts w:ascii="Times New Roman" w:hAnsi="Times New Roman" w:cs="Times New Roman"/>
          <w:sz w:val="24"/>
          <w:szCs w:val="24"/>
        </w:rPr>
        <w:t>A stratified random sampling technique was employed to ensure the representation of employees across organizational levels, including senior management, middle management</w:t>
      </w:r>
      <w:r w:rsidRPr="00213BB8">
        <w:rPr>
          <w:rFonts w:ascii="Times New Roman" w:hAnsi="Times New Roman" w:cs="Times New Roman"/>
          <w:sz w:val="24"/>
          <w:szCs w:val="24"/>
        </w:rPr>
        <w:t>,</w:t>
      </w:r>
      <w:r w:rsidRPr="00BD3CC9">
        <w:rPr>
          <w:rFonts w:ascii="Times New Roman" w:hAnsi="Times New Roman" w:cs="Times New Roman"/>
          <w:sz w:val="24"/>
          <w:szCs w:val="24"/>
        </w:rPr>
        <w:t xml:space="preserve"> and junior staff. The sample included both retirees and non-retirees to provide a comprehensive view of the effects of mandatory retirement</w:t>
      </w:r>
    </w:p>
    <w:p w14:paraId="16FF2826" w14:textId="77777777" w:rsidR="00213BB8" w:rsidRPr="00BD3CC9" w:rsidRDefault="00213BB8" w:rsidP="00213BB8">
      <w:pPr>
        <w:spacing w:line="360" w:lineRule="auto"/>
        <w:jc w:val="both"/>
        <w:rPr>
          <w:rFonts w:ascii="Times New Roman" w:hAnsi="Times New Roman" w:cs="Times New Roman"/>
          <w:b/>
          <w:bCs/>
          <w:sz w:val="24"/>
          <w:szCs w:val="24"/>
        </w:rPr>
      </w:pPr>
      <w:r w:rsidRPr="00BD3CC9">
        <w:rPr>
          <w:rFonts w:ascii="Times New Roman" w:hAnsi="Times New Roman" w:cs="Times New Roman"/>
          <w:b/>
          <w:bCs/>
          <w:sz w:val="24"/>
          <w:szCs w:val="24"/>
        </w:rPr>
        <w:t>3.</w:t>
      </w:r>
      <w:r w:rsidRPr="00213BB8">
        <w:rPr>
          <w:rFonts w:ascii="Times New Roman" w:hAnsi="Times New Roman" w:cs="Times New Roman"/>
          <w:b/>
          <w:bCs/>
          <w:sz w:val="24"/>
          <w:szCs w:val="24"/>
        </w:rPr>
        <w:t>5</w:t>
      </w:r>
      <w:r w:rsidRPr="00BD3CC9">
        <w:rPr>
          <w:rFonts w:ascii="Times New Roman" w:hAnsi="Times New Roman" w:cs="Times New Roman"/>
          <w:b/>
          <w:bCs/>
          <w:sz w:val="24"/>
          <w:szCs w:val="24"/>
        </w:rPr>
        <w:t xml:space="preserve"> Pilot Study</w:t>
      </w:r>
    </w:p>
    <w:p w14:paraId="55B3ECD4" w14:textId="77777777" w:rsidR="00213BB8" w:rsidRPr="00BD3CC9" w:rsidRDefault="00213BB8" w:rsidP="00213BB8">
      <w:pPr>
        <w:spacing w:line="360" w:lineRule="auto"/>
        <w:jc w:val="both"/>
        <w:rPr>
          <w:rFonts w:ascii="Times New Roman" w:hAnsi="Times New Roman" w:cs="Times New Roman"/>
          <w:sz w:val="24"/>
          <w:szCs w:val="24"/>
        </w:rPr>
      </w:pPr>
      <w:r w:rsidRPr="00BD3CC9">
        <w:rPr>
          <w:rFonts w:ascii="Times New Roman" w:hAnsi="Times New Roman" w:cs="Times New Roman"/>
          <w:sz w:val="24"/>
          <w:szCs w:val="24"/>
        </w:rPr>
        <w:t>A pilot study was conducted with 25 employees from different sectors to assess the clarity and suitability of the questionnaire items. Feedback from pilot participants resulted in minor adjustments to wording and sequencing to enhance clarity and comprehension before distributing the final instrument.</w:t>
      </w:r>
    </w:p>
    <w:p w14:paraId="7291759A" w14:textId="77777777" w:rsidR="00213BB8" w:rsidRPr="00BD3CC9" w:rsidRDefault="00213BB8" w:rsidP="00213BB8">
      <w:pPr>
        <w:spacing w:line="360" w:lineRule="auto"/>
        <w:jc w:val="both"/>
        <w:rPr>
          <w:rFonts w:ascii="Times New Roman" w:hAnsi="Times New Roman" w:cs="Times New Roman"/>
          <w:b/>
          <w:bCs/>
          <w:sz w:val="24"/>
          <w:szCs w:val="24"/>
        </w:rPr>
      </w:pPr>
      <w:r w:rsidRPr="00BD3CC9">
        <w:rPr>
          <w:rFonts w:ascii="Times New Roman" w:hAnsi="Times New Roman" w:cs="Times New Roman"/>
          <w:b/>
          <w:bCs/>
          <w:sz w:val="24"/>
          <w:szCs w:val="24"/>
        </w:rPr>
        <w:t>3.</w:t>
      </w:r>
      <w:r w:rsidRPr="00213BB8">
        <w:rPr>
          <w:rFonts w:ascii="Times New Roman" w:hAnsi="Times New Roman" w:cs="Times New Roman"/>
          <w:b/>
          <w:bCs/>
          <w:sz w:val="24"/>
          <w:szCs w:val="24"/>
        </w:rPr>
        <w:t>6</w:t>
      </w:r>
      <w:r w:rsidRPr="00BD3CC9">
        <w:rPr>
          <w:rFonts w:ascii="Times New Roman" w:hAnsi="Times New Roman" w:cs="Times New Roman"/>
          <w:b/>
          <w:bCs/>
          <w:sz w:val="24"/>
          <w:szCs w:val="24"/>
        </w:rPr>
        <w:t xml:space="preserve"> Validity and Reliability of the Instrument</w:t>
      </w:r>
    </w:p>
    <w:p w14:paraId="5159870F" w14:textId="77777777" w:rsidR="00213BB8" w:rsidRPr="00BD3CC9" w:rsidRDefault="00213BB8" w:rsidP="00213BB8">
      <w:pPr>
        <w:spacing w:line="360" w:lineRule="auto"/>
        <w:jc w:val="both"/>
        <w:rPr>
          <w:rFonts w:ascii="Times New Roman" w:hAnsi="Times New Roman" w:cs="Times New Roman"/>
          <w:sz w:val="24"/>
          <w:szCs w:val="24"/>
        </w:rPr>
      </w:pPr>
      <w:r w:rsidRPr="00BD3CC9">
        <w:rPr>
          <w:rFonts w:ascii="Times New Roman" w:hAnsi="Times New Roman" w:cs="Times New Roman"/>
          <w:sz w:val="24"/>
          <w:szCs w:val="24"/>
        </w:rPr>
        <w:t>Content validity was ensured by submitting the questionnaire to three subject-matter experts in Human Resource Management and Organizational Behaviour, who assessed the items for relevance and clarity. Reliability was evaluated using Cronbach’s Alpha, and all constructs recorded values above the acceptable threshold of 0.70, confirming satisfactory internal consistency.</w:t>
      </w:r>
    </w:p>
    <w:p w14:paraId="729F3CDD" w14:textId="77777777" w:rsidR="00213BB8" w:rsidRPr="00BD3CC9" w:rsidRDefault="00213BB8" w:rsidP="00213BB8">
      <w:pPr>
        <w:spacing w:line="360" w:lineRule="auto"/>
        <w:jc w:val="both"/>
        <w:rPr>
          <w:rFonts w:ascii="Times New Roman" w:hAnsi="Times New Roman" w:cs="Times New Roman"/>
          <w:b/>
          <w:bCs/>
          <w:sz w:val="24"/>
          <w:szCs w:val="24"/>
        </w:rPr>
      </w:pPr>
      <w:r w:rsidRPr="00BD3CC9">
        <w:rPr>
          <w:rFonts w:ascii="Times New Roman" w:hAnsi="Times New Roman" w:cs="Times New Roman"/>
          <w:b/>
          <w:bCs/>
          <w:sz w:val="24"/>
          <w:szCs w:val="24"/>
        </w:rPr>
        <w:t>3.</w:t>
      </w:r>
      <w:r w:rsidRPr="00213BB8">
        <w:rPr>
          <w:rFonts w:ascii="Times New Roman" w:hAnsi="Times New Roman" w:cs="Times New Roman"/>
          <w:b/>
          <w:bCs/>
          <w:sz w:val="24"/>
          <w:szCs w:val="24"/>
        </w:rPr>
        <w:t>7</w:t>
      </w:r>
      <w:r w:rsidRPr="00BD3CC9">
        <w:rPr>
          <w:rFonts w:ascii="Times New Roman" w:hAnsi="Times New Roman" w:cs="Times New Roman"/>
          <w:b/>
          <w:bCs/>
          <w:sz w:val="24"/>
          <w:szCs w:val="24"/>
        </w:rPr>
        <w:t xml:space="preserve"> Ethical Considerations</w:t>
      </w:r>
    </w:p>
    <w:p w14:paraId="61EED222" w14:textId="77777777" w:rsidR="00213BB8" w:rsidRPr="00BD3CC9" w:rsidRDefault="00213BB8" w:rsidP="00213BB8">
      <w:pPr>
        <w:spacing w:line="360" w:lineRule="auto"/>
        <w:jc w:val="both"/>
        <w:rPr>
          <w:rFonts w:ascii="Times New Roman" w:hAnsi="Times New Roman" w:cs="Times New Roman"/>
          <w:sz w:val="24"/>
          <w:szCs w:val="24"/>
        </w:rPr>
      </w:pPr>
      <w:r w:rsidRPr="00BD3CC9">
        <w:rPr>
          <w:rFonts w:ascii="Times New Roman" w:hAnsi="Times New Roman" w:cs="Times New Roman"/>
          <w:sz w:val="24"/>
          <w:szCs w:val="24"/>
        </w:rPr>
        <w:t>Participants were informed about the objective of the study and assured that their responses would remain anonymous and confidential. Participation was voluntary, and respondents retained the right to withdraw at any time without penalty.</w:t>
      </w:r>
    </w:p>
    <w:p w14:paraId="22005944" w14:textId="77777777" w:rsidR="00213BB8" w:rsidRPr="00BD3CC9" w:rsidRDefault="00213BB8" w:rsidP="00213BB8">
      <w:pPr>
        <w:spacing w:line="360" w:lineRule="auto"/>
        <w:jc w:val="both"/>
        <w:rPr>
          <w:rFonts w:ascii="Times New Roman" w:hAnsi="Times New Roman" w:cs="Times New Roman"/>
          <w:b/>
          <w:bCs/>
          <w:sz w:val="24"/>
          <w:szCs w:val="24"/>
        </w:rPr>
      </w:pPr>
      <w:r w:rsidRPr="00BD3CC9">
        <w:rPr>
          <w:rFonts w:ascii="Times New Roman" w:hAnsi="Times New Roman" w:cs="Times New Roman"/>
          <w:b/>
          <w:bCs/>
          <w:sz w:val="24"/>
          <w:szCs w:val="24"/>
        </w:rPr>
        <w:t>3.</w:t>
      </w:r>
      <w:r w:rsidRPr="00213BB8">
        <w:rPr>
          <w:rFonts w:ascii="Times New Roman" w:hAnsi="Times New Roman" w:cs="Times New Roman"/>
          <w:b/>
          <w:bCs/>
          <w:sz w:val="24"/>
          <w:szCs w:val="24"/>
        </w:rPr>
        <w:t>8</w:t>
      </w:r>
      <w:r w:rsidRPr="00BD3CC9">
        <w:rPr>
          <w:rFonts w:ascii="Times New Roman" w:hAnsi="Times New Roman" w:cs="Times New Roman"/>
          <w:b/>
          <w:bCs/>
          <w:sz w:val="24"/>
          <w:szCs w:val="24"/>
        </w:rPr>
        <w:t xml:space="preserve"> Data Analysis and Interpretation</w:t>
      </w:r>
    </w:p>
    <w:p w14:paraId="026D434C" w14:textId="77777777" w:rsidR="00213BB8" w:rsidRPr="00BD3CC9" w:rsidRDefault="00213BB8" w:rsidP="00213BB8">
      <w:pPr>
        <w:spacing w:line="360" w:lineRule="auto"/>
        <w:jc w:val="both"/>
        <w:rPr>
          <w:rFonts w:ascii="Times New Roman" w:hAnsi="Times New Roman" w:cs="Times New Roman"/>
          <w:sz w:val="24"/>
          <w:szCs w:val="24"/>
        </w:rPr>
      </w:pPr>
      <w:r w:rsidRPr="00BD3CC9">
        <w:rPr>
          <w:rFonts w:ascii="Times New Roman" w:hAnsi="Times New Roman" w:cs="Times New Roman"/>
          <w:sz w:val="24"/>
          <w:szCs w:val="24"/>
        </w:rPr>
        <w:t>The data were analyzed using the Statistical Package for Social Sciences (SPSS). Descriptive statistics (frequency, percentage</w:t>
      </w:r>
      <w:r w:rsidRPr="00213BB8">
        <w:rPr>
          <w:rFonts w:ascii="Times New Roman" w:hAnsi="Times New Roman" w:cs="Times New Roman"/>
          <w:sz w:val="24"/>
          <w:szCs w:val="24"/>
        </w:rPr>
        <w:t>,</w:t>
      </w:r>
      <w:r w:rsidRPr="00BD3CC9">
        <w:rPr>
          <w:rFonts w:ascii="Times New Roman" w:hAnsi="Times New Roman" w:cs="Times New Roman"/>
          <w:sz w:val="24"/>
          <w:szCs w:val="24"/>
        </w:rPr>
        <w:t xml:space="preserve"> and mean scores) were used to summarize respondents’ characteristics and perceptions. Pearson’s correlation analysis was employed to determine the </w:t>
      </w:r>
      <w:r w:rsidRPr="00BD3CC9">
        <w:rPr>
          <w:rFonts w:ascii="Times New Roman" w:hAnsi="Times New Roman" w:cs="Times New Roman"/>
          <w:sz w:val="24"/>
          <w:szCs w:val="24"/>
        </w:rPr>
        <w:lastRenderedPageBreak/>
        <w:t>strength and direction of the relationship between mandatory retirement and organizational sustainability indicators such as productivity, morale, knowledge retention</w:t>
      </w:r>
      <w:r w:rsidRPr="00213BB8">
        <w:rPr>
          <w:rFonts w:ascii="Times New Roman" w:hAnsi="Times New Roman" w:cs="Times New Roman"/>
          <w:sz w:val="24"/>
          <w:szCs w:val="24"/>
        </w:rPr>
        <w:t>,</w:t>
      </w:r>
      <w:r w:rsidRPr="00BD3CC9">
        <w:rPr>
          <w:rFonts w:ascii="Times New Roman" w:hAnsi="Times New Roman" w:cs="Times New Roman"/>
          <w:sz w:val="24"/>
          <w:szCs w:val="24"/>
        </w:rPr>
        <w:t xml:space="preserve"> and innovation.</w:t>
      </w:r>
    </w:p>
    <w:p w14:paraId="09878193" w14:textId="50BBE9C3" w:rsidR="00BE7920" w:rsidRDefault="00803F08">
      <w:pPr>
        <w:pStyle w:val="Standard"/>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4.0 Results and </w:t>
      </w:r>
      <w:r w:rsidR="00613B7A" w:rsidRPr="00613B7A">
        <w:rPr>
          <w:rFonts w:ascii="Times New Roman" w:eastAsia="Calibri" w:hAnsi="Times New Roman" w:cs="Times New Roman"/>
          <w:b/>
          <w:sz w:val="24"/>
          <w:szCs w:val="24"/>
        </w:rPr>
        <w:t>Discussion</w:t>
      </w:r>
    </w:p>
    <w:p w14:paraId="1F224232" w14:textId="1ED47669" w:rsidR="00613B7A" w:rsidRDefault="00613B7A">
      <w:pPr>
        <w:pStyle w:val="Standard"/>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Result</w:t>
      </w:r>
    </w:p>
    <w:p w14:paraId="2E82A5BE" w14:textId="3A5BF801" w:rsidR="00BE7920" w:rsidRPr="002B29A9" w:rsidRDefault="00803F08" w:rsidP="002B29A9">
      <w:pPr>
        <w:pStyle w:val="NoSpacing"/>
        <w:rPr>
          <w:rFonts w:ascii="Times New Roman" w:hAnsi="Times New Roman" w:cs="Times New Roman"/>
          <w:b/>
          <w:bCs/>
          <w:sz w:val="24"/>
          <w:szCs w:val="24"/>
        </w:rPr>
      </w:pPr>
      <w:r>
        <w:rPr>
          <w:rFonts w:ascii="Times New Roman" w:eastAsia="Calibri" w:hAnsi="Times New Roman" w:cs="Times New Roman"/>
          <w:color w:val="000000"/>
          <w:sz w:val="24"/>
          <w:szCs w:val="24"/>
        </w:rPr>
        <w:t xml:space="preserve">The focus of this study is to examine </w:t>
      </w:r>
      <w:r w:rsidR="002B29A9">
        <w:rPr>
          <w:rFonts w:ascii="Times New Roman" w:eastAsia="Calibri" w:hAnsi="Times New Roman" w:cs="Times New Roman"/>
          <w:color w:val="000000"/>
          <w:sz w:val="24"/>
          <w:szCs w:val="24"/>
        </w:rPr>
        <w:t>M</w:t>
      </w:r>
      <w:r w:rsidR="002B29A9" w:rsidRPr="002B29A9">
        <w:rPr>
          <w:rFonts w:ascii="Times New Roman" w:hAnsi="Times New Roman" w:cs="Times New Roman"/>
          <w:sz w:val="24"/>
          <w:szCs w:val="24"/>
        </w:rPr>
        <w:t>andatory Retirement of High-Performing Staff and Organizational Sustainability</w:t>
      </w:r>
      <w:r w:rsidR="002B29A9">
        <w:rPr>
          <w:rFonts w:ascii="Times New Roman" w:hAnsi="Times New Roman" w:cs="Times New Roman"/>
          <w:sz w:val="24"/>
          <w:szCs w:val="24"/>
        </w:rPr>
        <w:t xml:space="preserve">. </w:t>
      </w:r>
      <w:r>
        <w:rPr>
          <w:rFonts w:ascii="Times New Roman" w:eastAsia="Calibri" w:hAnsi="Times New Roman" w:cs="Times New Roman"/>
          <w:color w:val="000000"/>
          <w:sz w:val="24"/>
          <w:szCs w:val="24"/>
        </w:rPr>
        <w:t>The data w</w:t>
      </w:r>
      <w:r w:rsidR="002B29A9">
        <w:rPr>
          <w:rFonts w:ascii="Times New Roman" w:eastAsia="Calibri" w:hAnsi="Times New Roman" w:cs="Times New Roman"/>
          <w:color w:val="000000"/>
          <w:sz w:val="24"/>
          <w:szCs w:val="24"/>
        </w:rPr>
        <w:t>ere</w:t>
      </w:r>
      <w:r>
        <w:rPr>
          <w:rFonts w:ascii="Times New Roman" w:eastAsia="Calibri" w:hAnsi="Times New Roman" w:cs="Times New Roman"/>
          <w:color w:val="000000"/>
          <w:sz w:val="24"/>
          <w:szCs w:val="24"/>
        </w:rPr>
        <w:t xml:space="preserve"> gathered using a structured questionnaire and analyzed using descriptive statistics and correlation.</w:t>
      </w:r>
    </w:p>
    <w:p w14:paraId="651D2C7C" w14:textId="77777777" w:rsidR="00BE7920" w:rsidRDefault="00803F08">
      <w:pPr>
        <w:pStyle w:val="Standard"/>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1: Demographic Patterns of Respondents</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01A02600"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406F4F" w14:textId="77777777" w:rsidR="00BE7920" w:rsidRDefault="00803F08">
            <w:pPr>
              <w:pStyle w:val="Standard"/>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FAF081" w14:textId="77777777" w:rsidR="00BE7920" w:rsidRDefault="00803F08">
            <w:pPr>
              <w:pStyle w:val="Standard"/>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977A7" w14:textId="77777777" w:rsidR="00BE7920" w:rsidRDefault="00803F08">
            <w:pPr>
              <w:pStyle w:val="Standard"/>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BE7920" w14:paraId="79F18A36"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E89DD" w14:textId="77777777" w:rsidR="00BE7920" w:rsidRDefault="00803F08">
            <w:pPr>
              <w:pStyle w:val="Standard"/>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Gender</w:t>
            </w:r>
          </w:p>
          <w:p w14:paraId="2F5BE883" w14:textId="77777777" w:rsidR="00BE7920" w:rsidRDefault="00803F08">
            <w:pPr>
              <w:pStyle w:val="Standard"/>
              <w:numPr>
                <w:ilvl w:val="1"/>
                <w:numId w:val="3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Male</w:t>
            </w:r>
          </w:p>
          <w:p w14:paraId="73F3A6F4" w14:textId="77777777" w:rsidR="00BE7920" w:rsidRDefault="00803F08">
            <w:pPr>
              <w:pStyle w:val="Standard"/>
              <w:numPr>
                <w:ilvl w:val="1"/>
                <w:numId w:val="3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Female</w:t>
            </w:r>
          </w:p>
          <w:p w14:paraId="6558D5C6" w14:textId="77777777" w:rsidR="00BE7920" w:rsidRDefault="00803F08">
            <w:pPr>
              <w:pStyle w:val="Standard"/>
              <w:numPr>
                <w:ilvl w:val="1"/>
                <w:numId w:val="3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0E05F1" w14:textId="77777777" w:rsidR="00BE7920" w:rsidRDefault="00BE7920">
            <w:pPr>
              <w:pStyle w:val="Standard"/>
              <w:spacing w:after="0" w:line="240" w:lineRule="auto"/>
              <w:jc w:val="center"/>
              <w:rPr>
                <w:rFonts w:ascii="Times New Roman" w:eastAsia="Calibri" w:hAnsi="Times New Roman" w:cs="Times New Roman"/>
                <w:sz w:val="24"/>
                <w:szCs w:val="24"/>
              </w:rPr>
            </w:pPr>
          </w:p>
          <w:p w14:paraId="6106AF70"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311</w:t>
            </w:r>
          </w:p>
          <w:p w14:paraId="58854110"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140</w:t>
            </w:r>
          </w:p>
          <w:p w14:paraId="0B1DF9CD"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4F209" w14:textId="77777777" w:rsidR="00BE7920" w:rsidRDefault="00BE7920">
            <w:pPr>
              <w:pStyle w:val="Standard"/>
              <w:spacing w:after="0" w:line="240" w:lineRule="auto"/>
              <w:jc w:val="center"/>
              <w:rPr>
                <w:rFonts w:ascii="Times New Roman" w:eastAsia="Calibri" w:hAnsi="Times New Roman" w:cs="Times New Roman"/>
                <w:sz w:val="24"/>
                <w:szCs w:val="24"/>
              </w:rPr>
            </w:pPr>
          </w:p>
          <w:p w14:paraId="10C5FE77"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w:t>
            </w:r>
          </w:p>
          <w:p w14:paraId="16BFE1BE"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p w14:paraId="5A43E693"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BE7920" w14:paraId="1BB75053"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040A3" w14:textId="77777777" w:rsidR="00BE7920" w:rsidRDefault="00803F08">
            <w:pPr>
              <w:pStyle w:val="Standard"/>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Age Range</w:t>
            </w:r>
          </w:p>
          <w:p w14:paraId="1BCC9358"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18-25</w:t>
            </w:r>
          </w:p>
          <w:p w14:paraId="123D608D"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26-35</w:t>
            </w:r>
          </w:p>
          <w:p w14:paraId="57ADC2EF"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36-45</w:t>
            </w:r>
          </w:p>
          <w:p w14:paraId="401C3021"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46-55</w:t>
            </w:r>
          </w:p>
          <w:p w14:paraId="146F2BA5"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56 and above</w:t>
            </w:r>
          </w:p>
          <w:p w14:paraId="07EA21A0" w14:textId="77777777" w:rsidR="00BE7920" w:rsidRDefault="00803F08">
            <w:pPr>
              <w:pStyle w:val="Standard"/>
              <w:numPr>
                <w:ilvl w:val="1"/>
                <w:numId w:val="3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18B1F2" w14:textId="77777777" w:rsidR="00BE7920" w:rsidRDefault="00BE7920">
            <w:pPr>
              <w:pStyle w:val="Standard"/>
              <w:spacing w:after="0" w:line="240" w:lineRule="auto"/>
              <w:jc w:val="center"/>
              <w:rPr>
                <w:rFonts w:ascii="Times New Roman" w:eastAsia="Calibri" w:hAnsi="Times New Roman" w:cs="Times New Roman"/>
                <w:sz w:val="24"/>
                <w:szCs w:val="24"/>
              </w:rPr>
            </w:pPr>
          </w:p>
          <w:p w14:paraId="1A6F5AF2"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p w14:paraId="3D00BB13"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w:t>
            </w:r>
          </w:p>
          <w:p w14:paraId="6015947A"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w:t>
            </w:r>
          </w:p>
          <w:p w14:paraId="36EDFE96"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w:t>
            </w:r>
          </w:p>
          <w:p w14:paraId="634C9A68"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p w14:paraId="0CCC606D"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9BE481" w14:textId="77777777" w:rsidR="00BE7920" w:rsidRDefault="00BE7920">
            <w:pPr>
              <w:pStyle w:val="Standard"/>
              <w:spacing w:after="0" w:line="240" w:lineRule="auto"/>
              <w:jc w:val="center"/>
              <w:rPr>
                <w:rFonts w:ascii="Times New Roman" w:eastAsia="Calibri" w:hAnsi="Times New Roman" w:cs="Times New Roman"/>
                <w:sz w:val="24"/>
                <w:szCs w:val="24"/>
              </w:rPr>
            </w:pPr>
          </w:p>
          <w:p w14:paraId="5299F776"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8.2</w:t>
            </w:r>
          </w:p>
          <w:p w14:paraId="77B75875"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26.8</w:t>
            </w:r>
          </w:p>
          <w:p w14:paraId="4FC9849A"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p w14:paraId="00F0EAC8"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35.5</w:t>
            </w:r>
          </w:p>
          <w:p w14:paraId="356B9E2C"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p>
          <w:p w14:paraId="7C9FDB91"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BE7920" w14:paraId="2CD86451"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1435C" w14:textId="77777777" w:rsidR="00BE7920" w:rsidRDefault="00803F08">
            <w:pPr>
              <w:pStyle w:val="Standard"/>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Role</w:t>
            </w:r>
          </w:p>
          <w:p w14:paraId="79D21E00" w14:textId="77777777" w:rsidR="00BE7920" w:rsidRDefault="00803F08">
            <w:pPr>
              <w:pStyle w:val="ListParagraph"/>
              <w:numPr>
                <w:ilvl w:val="0"/>
                <w:numId w:val="4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Junior employee</w:t>
            </w:r>
          </w:p>
          <w:p w14:paraId="0CD5D054"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Mid-level employee</w:t>
            </w:r>
          </w:p>
          <w:p w14:paraId="01A5D068"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Senior level</w:t>
            </w:r>
          </w:p>
          <w:p w14:paraId="5138C780"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Manager/Executive</w:t>
            </w:r>
          </w:p>
          <w:p w14:paraId="0A4A494E"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Others</w:t>
            </w:r>
          </w:p>
          <w:p w14:paraId="5EEADF12" w14:textId="77777777" w:rsidR="00BE7920" w:rsidRDefault="00803F08">
            <w:pPr>
              <w:pStyle w:val="ListParagraph"/>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7C960B" w14:textId="77777777" w:rsidR="00BE7920" w:rsidRDefault="00BE7920">
            <w:pPr>
              <w:pStyle w:val="Standard"/>
              <w:spacing w:after="0" w:line="240" w:lineRule="auto"/>
              <w:jc w:val="center"/>
              <w:rPr>
                <w:rFonts w:ascii="Times New Roman" w:eastAsia="Calibri" w:hAnsi="Times New Roman" w:cs="Times New Roman"/>
                <w:sz w:val="24"/>
                <w:szCs w:val="24"/>
              </w:rPr>
            </w:pPr>
          </w:p>
          <w:p w14:paraId="0D952267"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p w14:paraId="2D558D61"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p w14:paraId="461D9269"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w:t>
            </w:r>
          </w:p>
          <w:p w14:paraId="7786AD9E"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158</w:t>
            </w:r>
          </w:p>
          <w:p w14:paraId="04BF80AF"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p w14:paraId="41B87DD6" w14:textId="07538D11"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49677D">
              <w:rPr>
                <w:rFonts w:ascii="Times New Roman" w:eastAsia="Calibri" w:hAnsi="Times New Roman" w:cs="Times New Roman"/>
                <w:sz w:val="24"/>
                <w:szCs w:val="24"/>
              </w:rPr>
              <w:t>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0406D" w14:textId="77777777" w:rsidR="00BE7920" w:rsidRDefault="00BE7920">
            <w:pPr>
              <w:pStyle w:val="Standard"/>
              <w:spacing w:after="0" w:line="240" w:lineRule="auto"/>
              <w:jc w:val="center"/>
              <w:rPr>
                <w:rFonts w:ascii="Times New Roman" w:eastAsia="Calibri" w:hAnsi="Times New Roman" w:cs="Times New Roman"/>
                <w:sz w:val="24"/>
                <w:szCs w:val="24"/>
              </w:rPr>
            </w:pPr>
          </w:p>
          <w:p w14:paraId="33746C97"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13.3</w:t>
            </w:r>
          </w:p>
          <w:p w14:paraId="1476B247"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13.7</w:t>
            </w:r>
          </w:p>
          <w:p w14:paraId="28A203F8"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26.8</w:t>
            </w:r>
          </w:p>
          <w:p w14:paraId="6A7F0115"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p w14:paraId="2559611E"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w:t>
            </w:r>
          </w:p>
          <w:p w14:paraId="70EF713F" w14:textId="77777777" w:rsidR="00BE7920" w:rsidRDefault="00803F08">
            <w:pPr>
              <w:pStyle w:val="Standard"/>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14:paraId="048D3698" w14:textId="77777777" w:rsidR="00BE7920" w:rsidRDefault="00803F08">
      <w:pPr>
        <w:pStyle w:val="Standard"/>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Sources: Research Survey 2025</w:t>
      </w:r>
    </w:p>
    <w:p w14:paraId="33D12111" w14:textId="77777777" w:rsidR="001A365D" w:rsidRDefault="001A365D">
      <w:pPr>
        <w:pStyle w:val="Standard"/>
        <w:spacing w:line="360" w:lineRule="auto"/>
        <w:jc w:val="both"/>
        <w:rPr>
          <w:rFonts w:ascii="Times New Roman" w:eastAsia="Calibri" w:hAnsi="Times New Roman" w:cs="Times New Roman"/>
          <w:bCs/>
          <w:sz w:val="24"/>
          <w:szCs w:val="24"/>
        </w:rPr>
      </w:pPr>
    </w:p>
    <w:p w14:paraId="38741D6A" w14:textId="4BD03377" w:rsidR="00BE7920" w:rsidRDefault="00803F08">
      <w:pPr>
        <w:pStyle w:val="Standard"/>
        <w:spacing w:line="360" w:lineRule="auto"/>
        <w:jc w:val="both"/>
      </w:pPr>
      <w:r>
        <w:rPr>
          <w:rFonts w:ascii="Times New Roman" w:eastAsia="Calibri" w:hAnsi="Times New Roman" w:cs="Times New Roman"/>
          <w:bCs/>
          <w:sz w:val="24"/>
          <w:szCs w:val="24"/>
        </w:rPr>
        <w:t>The table revealed the demographic characteristics of the respondents. It revealed more male respondents with 311(69%).</w:t>
      </w:r>
      <w:r>
        <w:rPr>
          <w:rFonts w:ascii="Times New Roman" w:eastAsia="Calibri" w:hAnsi="Times New Roman" w:cs="Times New Roman"/>
          <w:sz w:val="24"/>
          <w:szCs w:val="24"/>
        </w:rPr>
        <w:t xml:space="preserve"> According to the table above, a sizable number of respondents are between the ages of 46-55(35.5%). In </w:t>
      </w:r>
      <w:r w:rsidR="004C3139">
        <w:rPr>
          <w:rFonts w:ascii="Times New Roman" w:eastAsia="Calibri" w:hAnsi="Times New Roman" w:cs="Times New Roman"/>
          <w:sz w:val="24"/>
          <w:szCs w:val="24"/>
        </w:rPr>
        <w:t>terms</w:t>
      </w:r>
      <w:r>
        <w:rPr>
          <w:rFonts w:ascii="Times New Roman" w:eastAsia="Calibri" w:hAnsi="Times New Roman" w:cs="Times New Roman"/>
          <w:sz w:val="24"/>
          <w:szCs w:val="24"/>
        </w:rPr>
        <w:t xml:space="preserve"> of respondent position, </w:t>
      </w:r>
      <w:r w:rsidR="004C3139">
        <w:rPr>
          <w:rFonts w:ascii="Times New Roman" w:eastAsia="Calibri" w:hAnsi="Times New Roman" w:cs="Times New Roman"/>
          <w:sz w:val="24"/>
          <w:szCs w:val="24"/>
        </w:rPr>
        <w:t xml:space="preserve">the </w:t>
      </w:r>
      <w:r>
        <w:rPr>
          <w:rFonts w:ascii="Times New Roman" w:eastAsia="Calibri" w:hAnsi="Times New Roman" w:cs="Times New Roman"/>
          <w:sz w:val="24"/>
          <w:szCs w:val="24"/>
        </w:rPr>
        <w:t>majority of the respondents are managers/executives with 158(35%), while the least in other positions not classified.</w:t>
      </w:r>
    </w:p>
    <w:p w14:paraId="59994E30" w14:textId="77777777" w:rsidR="00BE7920" w:rsidRDefault="00803F08">
      <w:pPr>
        <w:pStyle w:val="Standard"/>
        <w:spacing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4.1 Descriptive Statistics</w:t>
      </w:r>
    </w:p>
    <w:p w14:paraId="695969BE" w14:textId="77777777" w:rsidR="00BE7920" w:rsidRDefault="00803F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Table 2: Mandatory Retirement of High-Performing Employees on Organizational Knowledge Retention and the Innovation Process.</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79CF5B5B"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3A83DA"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11644"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000E7"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BE7920" w14:paraId="64C22CA5"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F0B02A"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mandatory retirement of high-performing employees significantly affects the retention of critical knowledge within the organization.</w:t>
            </w:r>
          </w:p>
          <w:p w14:paraId="06A309B6"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37B8456A"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334BB31F"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7A238E44"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4115B705"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791B1F71"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923015" w14:textId="77777777" w:rsidR="00BE7920" w:rsidRDefault="00BE7920">
            <w:pPr>
              <w:pStyle w:val="Standard"/>
              <w:spacing w:after="0" w:line="240" w:lineRule="auto"/>
              <w:jc w:val="center"/>
              <w:rPr>
                <w:rFonts w:ascii="Times New Roman" w:hAnsi="Times New Roman" w:cs="Times New Roman"/>
                <w:sz w:val="24"/>
                <w:szCs w:val="24"/>
              </w:rPr>
            </w:pPr>
          </w:p>
          <w:p w14:paraId="234B5D30" w14:textId="77777777" w:rsidR="00BE7920" w:rsidRDefault="00BE7920">
            <w:pPr>
              <w:pStyle w:val="Standard"/>
              <w:spacing w:after="0" w:line="240" w:lineRule="auto"/>
              <w:jc w:val="center"/>
              <w:rPr>
                <w:rFonts w:ascii="Times New Roman" w:hAnsi="Times New Roman" w:cs="Times New Roman"/>
                <w:sz w:val="24"/>
                <w:szCs w:val="24"/>
              </w:rPr>
            </w:pPr>
          </w:p>
          <w:p w14:paraId="1D42BFD3" w14:textId="77777777" w:rsidR="00BE7920" w:rsidRDefault="00BE7920">
            <w:pPr>
              <w:pStyle w:val="Standard"/>
              <w:spacing w:after="0" w:line="240" w:lineRule="auto"/>
              <w:jc w:val="center"/>
              <w:rPr>
                <w:rFonts w:ascii="Times New Roman" w:hAnsi="Times New Roman" w:cs="Times New Roman"/>
                <w:sz w:val="24"/>
                <w:szCs w:val="24"/>
              </w:rPr>
            </w:pPr>
          </w:p>
          <w:p w14:paraId="24C5BCC6" w14:textId="77777777" w:rsidR="00BE7920" w:rsidRDefault="00BE7920">
            <w:pPr>
              <w:pStyle w:val="Standard"/>
              <w:spacing w:after="0" w:line="240" w:lineRule="auto"/>
              <w:jc w:val="center"/>
              <w:rPr>
                <w:rFonts w:ascii="Times New Roman" w:hAnsi="Times New Roman" w:cs="Times New Roman"/>
                <w:sz w:val="24"/>
                <w:szCs w:val="24"/>
              </w:rPr>
            </w:pPr>
          </w:p>
          <w:p w14:paraId="50E7B778" w14:textId="77777777" w:rsidR="00BE7920" w:rsidRDefault="00BE7920">
            <w:pPr>
              <w:pStyle w:val="Standard"/>
              <w:spacing w:after="0" w:line="240" w:lineRule="auto"/>
              <w:jc w:val="center"/>
              <w:rPr>
                <w:rFonts w:ascii="Times New Roman" w:hAnsi="Times New Roman" w:cs="Times New Roman"/>
                <w:sz w:val="24"/>
                <w:szCs w:val="24"/>
              </w:rPr>
            </w:pPr>
          </w:p>
          <w:p w14:paraId="647651A1" w14:textId="77777777" w:rsidR="00BE7920" w:rsidRDefault="00BE7920">
            <w:pPr>
              <w:pStyle w:val="Standard"/>
              <w:spacing w:after="0" w:line="240" w:lineRule="auto"/>
              <w:jc w:val="center"/>
              <w:rPr>
                <w:rFonts w:ascii="Times New Roman" w:hAnsi="Times New Roman" w:cs="Times New Roman"/>
                <w:sz w:val="24"/>
                <w:szCs w:val="24"/>
              </w:rPr>
            </w:pPr>
          </w:p>
          <w:p w14:paraId="2A2681E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p w14:paraId="2253454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p w14:paraId="6F95890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p w14:paraId="56B6183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22CC1E5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BB4F56E" w14:textId="77777777" w:rsidR="00BE7920" w:rsidRDefault="00BE7920">
            <w:pPr>
              <w:pStyle w:val="Standard"/>
              <w:spacing w:after="0" w:line="240" w:lineRule="auto"/>
              <w:jc w:val="center"/>
              <w:rPr>
                <w:rFonts w:ascii="Times New Roman" w:hAnsi="Times New Roman" w:cs="Times New Roman"/>
                <w:sz w:val="24"/>
                <w:szCs w:val="24"/>
              </w:rPr>
            </w:pPr>
          </w:p>
          <w:p w14:paraId="3838402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2AF33" w14:textId="77777777" w:rsidR="00BE7920" w:rsidRDefault="00BE7920">
            <w:pPr>
              <w:pStyle w:val="Standard"/>
              <w:spacing w:after="0" w:line="240" w:lineRule="auto"/>
              <w:jc w:val="center"/>
              <w:rPr>
                <w:rFonts w:ascii="Times New Roman" w:hAnsi="Times New Roman" w:cs="Times New Roman"/>
                <w:sz w:val="24"/>
                <w:szCs w:val="24"/>
              </w:rPr>
            </w:pPr>
          </w:p>
          <w:p w14:paraId="3F0821DA" w14:textId="77777777" w:rsidR="00BE7920" w:rsidRDefault="00BE7920">
            <w:pPr>
              <w:pStyle w:val="Standard"/>
              <w:spacing w:after="0" w:line="240" w:lineRule="auto"/>
              <w:jc w:val="center"/>
              <w:rPr>
                <w:rFonts w:ascii="Times New Roman" w:hAnsi="Times New Roman" w:cs="Times New Roman"/>
                <w:sz w:val="24"/>
                <w:szCs w:val="24"/>
              </w:rPr>
            </w:pPr>
          </w:p>
          <w:p w14:paraId="3607785F" w14:textId="77777777" w:rsidR="00BE7920" w:rsidRDefault="00BE7920">
            <w:pPr>
              <w:pStyle w:val="Standard"/>
              <w:spacing w:after="0" w:line="240" w:lineRule="auto"/>
              <w:jc w:val="center"/>
              <w:rPr>
                <w:rFonts w:ascii="Times New Roman" w:hAnsi="Times New Roman" w:cs="Times New Roman"/>
                <w:sz w:val="24"/>
                <w:szCs w:val="24"/>
              </w:rPr>
            </w:pPr>
          </w:p>
          <w:p w14:paraId="57A195A0" w14:textId="77777777" w:rsidR="00BE7920" w:rsidRDefault="00BE7920">
            <w:pPr>
              <w:pStyle w:val="Standard"/>
              <w:spacing w:after="0" w:line="240" w:lineRule="auto"/>
              <w:jc w:val="center"/>
              <w:rPr>
                <w:rFonts w:ascii="Times New Roman" w:hAnsi="Times New Roman" w:cs="Times New Roman"/>
                <w:sz w:val="24"/>
                <w:szCs w:val="24"/>
              </w:rPr>
            </w:pPr>
          </w:p>
          <w:p w14:paraId="6CF5EF0B" w14:textId="77777777" w:rsidR="00BE7920" w:rsidRDefault="00BE7920">
            <w:pPr>
              <w:pStyle w:val="Standard"/>
              <w:spacing w:after="0" w:line="240" w:lineRule="auto"/>
              <w:jc w:val="center"/>
              <w:rPr>
                <w:rFonts w:ascii="Times New Roman" w:hAnsi="Times New Roman" w:cs="Times New Roman"/>
                <w:sz w:val="24"/>
                <w:szCs w:val="24"/>
              </w:rPr>
            </w:pPr>
          </w:p>
          <w:p w14:paraId="31E0639F" w14:textId="77777777" w:rsidR="00BE7920" w:rsidRDefault="00BE7920">
            <w:pPr>
              <w:pStyle w:val="Standard"/>
              <w:spacing w:after="0" w:line="240" w:lineRule="auto"/>
              <w:jc w:val="center"/>
              <w:rPr>
                <w:rFonts w:ascii="Times New Roman" w:hAnsi="Times New Roman" w:cs="Times New Roman"/>
                <w:sz w:val="24"/>
                <w:szCs w:val="24"/>
              </w:rPr>
            </w:pPr>
          </w:p>
          <w:p w14:paraId="085A908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p w14:paraId="15671C4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61.2</w:t>
            </w:r>
          </w:p>
          <w:p w14:paraId="2FB4A11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p w14:paraId="3F94CC44"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5.1</w:t>
            </w:r>
          </w:p>
          <w:p w14:paraId="4A6D2F89"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9C564A6" w14:textId="77777777" w:rsidR="00BE7920" w:rsidRDefault="00BE7920">
            <w:pPr>
              <w:pStyle w:val="Standard"/>
              <w:spacing w:after="0" w:line="240" w:lineRule="auto"/>
              <w:jc w:val="center"/>
              <w:rPr>
                <w:rFonts w:ascii="Times New Roman" w:hAnsi="Times New Roman" w:cs="Times New Roman"/>
                <w:sz w:val="24"/>
                <w:szCs w:val="24"/>
              </w:rPr>
            </w:pPr>
          </w:p>
          <w:p w14:paraId="04B311E5"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w:t>
            </w:r>
          </w:p>
        </w:tc>
      </w:tr>
      <w:tr w:rsidR="00BE7920" w14:paraId="1CB822C4"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201476" w14:textId="407107BD"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mandatory retirement of high-performing employees negatively impacts the </w:t>
            </w:r>
            <w:r w:rsidR="004C3139">
              <w:rPr>
                <w:rFonts w:ascii="Times New Roman" w:hAnsi="Times New Roman" w:cs="Times New Roman"/>
                <w:sz w:val="24"/>
                <w:szCs w:val="24"/>
              </w:rPr>
              <w:t>organization's</w:t>
            </w:r>
            <w:r>
              <w:rPr>
                <w:rFonts w:ascii="Times New Roman" w:hAnsi="Times New Roman" w:cs="Times New Roman"/>
                <w:sz w:val="24"/>
                <w:szCs w:val="24"/>
              </w:rPr>
              <w:t xml:space="preserve"> innovation process.</w:t>
            </w:r>
          </w:p>
          <w:p w14:paraId="1BBDCE5B" w14:textId="77777777" w:rsidR="00BE7920" w:rsidRDefault="00803F08">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5BA24A94"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7C140194"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268D8799"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1E97C3BD"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3F3CE441" w14:textId="77777777" w:rsidR="00BE7920" w:rsidRDefault="00803F0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0D6D1A" w14:textId="77777777" w:rsidR="00BE7920" w:rsidRDefault="00BE7920">
            <w:pPr>
              <w:pStyle w:val="Standard"/>
              <w:spacing w:after="0" w:line="240" w:lineRule="auto"/>
              <w:jc w:val="center"/>
              <w:rPr>
                <w:rFonts w:ascii="Times New Roman" w:hAnsi="Times New Roman" w:cs="Times New Roman"/>
                <w:sz w:val="24"/>
                <w:szCs w:val="24"/>
              </w:rPr>
            </w:pPr>
          </w:p>
          <w:p w14:paraId="041F4FF9" w14:textId="77777777" w:rsidR="00BE7920" w:rsidRDefault="00BE7920">
            <w:pPr>
              <w:pStyle w:val="Standard"/>
              <w:spacing w:after="0" w:line="240" w:lineRule="auto"/>
              <w:jc w:val="center"/>
              <w:rPr>
                <w:rFonts w:ascii="Times New Roman" w:hAnsi="Times New Roman" w:cs="Times New Roman"/>
                <w:sz w:val="24"/>
                <w:szCs w:val="24"/>
              </w:rPr>
            </w:pPr>
          </w:p>
          <w:p w14:paraId="404BA88C" w14:textId="77777777" w:rsidR="00BE7920" w:rsidRDefault="00BE7920">
            <w:pPr>
              <w:pStyle w:val="Standard"/>
              <w:spacing w:after="0" w:line="240" w:lineRule="auto"/>
              <w:jc w:val="center"/>
              <w:rPr>
                <w:rFonts w:ascii="Times New Roman" w:hAnsi="Times New Roman" w:cs="Times New Roman"/>
                <w:sz w:val="24"/>
                <w:szCs w:val="24"/>
              </w:rPr>
            </w:pPr>
          </w:p>
          <w:p w14:paraId="318DD954" w14:textId="77777777" w:rsidR="00BE7920" w:rsidRDefault="00BE7920">
            <w:pPr>
              <w:pStyle w:val="Standard"/>
              <w:spacing w:after="0" w:line="240" w:lineRule="auto"/>
              <w:jc w:val="center"/>
              <w:rPr>
                <w:rFonts w:ascii="Times New Roman" w:hAnsi="Times New Roman" w:cs="Times New Roman"/>
                <w:sz w:val="24"/>
                <w:szCs w:val="24"/>
              </w:rPr>
            </w:pPr>
          </w:p>
          <w:p w14:paraId="29D73685" w14:textId="77777777" w:rsidR="00BE7920" w:rsidRDefault="00BE7920">
            <w:pPr>
              <w:pStyle w:val="Standard"/>
              <w:spacing w:after="0" w:line="240" w:lineRule="auto"/>
              <w:jc w:val="center"/>
              <w:rPr>
                <w:rFonts w:ascii="Times New Roman" w:hAnsi="Times New Roman" w:cs="Times New Roman"/>
                <w:sz w:val="24"/>
                <w:szCs w:val="24"/>
              </w:rPr>
            </w:pPr>
          </w:p>
          <w:p w14:paraId="368BA63B" w14:textId="5BD2F991" w:rsidR="00BE7920" w:rsidRDefault="000E0234" w:rsidP="000E023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03F08">
              <w:rPr>
                <w:rFonts w:ascii="Times New Roman" w:hAnsi="Times New Roman" w:cs="Times New Roman"/>
                <w:sz w:val="24"/>
                <w:szCs w:val="24"/>
              </w:rPr>
              <w:t>77</w:t>
            </w:r>
          </w:p>
          <w:p w14:paraId="2674F7E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p w14:paraId="70583EC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046D1F8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p w14:paraId="6960342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p w14:paraId="2ABE4E8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D87DDE" w14:textId="77777777" w:rsidR="00BE7920" w:rsidRDefault="00BE7920">
            <w:pPr>
              <w:pStyle w:val="Standard"/>
              <w:spacing w:after="0" w:line="240" w:lineRule="auto"/>
              <w:jc w:val="center"/>
              <w:rPr>
                <w:rFonts w:ascii="Times New Roman" w:hAnsi="Times New Roman" w:cs="Times New Roman"/>
                <w:sz w:val="24"/>
                <w:szCs w:val="24"/>
              </w:rPr>
            </w:pPr>
          </w:p>
          <w:p w14:paraId="49619726" w14:textId="77777777" w:rsidR="00BE7920" w:rsidRDefault="00BE7920">
            <w:pPr>
              <w:pStyle w:val="Standard"/>
              <w:spacing w:after="0" w:line="240" w:lineRule="auto"/>
              <w:jc w:val="center"/>
              <w:rPr>
                <w:rFonts w:ascii="Times New Roman" w:hAnsi="Times New Roman" w:cs="Times New Roman"/>
                <w:sz w:val="24"/>
                <w:szCs w:val="24"/>
              </w:rPr>
            </w:pPr>
          </w:p>
          <w:p w14:paraId="3FF05D0E" w14:textId="77777777" w:rsidR="00BE7920" w:rsidRDefault="00BE7920">
            <w:pPr>
              <w:pStyle w:val="Standard"/>
              <w:spacing w:after="0" w:line="240" w:lineRule="auto"/>
              <w:jc w:val="center"/>
              <w:rPr>
                <w:rFonts w:ascii="Times New Roman" w:hAnsi="Times New Roman" w:cs="Times New Roman"/>
                <w:sz w:val="24"/>
                <w:szCs w:val="24"/>
              </w:rPr>
            </w:pPr>
          </w:p>
          <w:p w14:paraId="032EAA2C" w14:textId="77777777" w:rsidR="00BE7920" w:rsidRDefault="00BE7920">
            <w:pPr>
              <w:pStyle w:val="Standard"/>
              <w:spacing w:after="0" w:line="240" w:lineRule="auto"/>
              <w:jc w:val="center"/>
              <w:rPr>
                <w:rFonts w:ascii="Times New Roman" w:hAnsi="Times New Roman" w:cs="Times New Roman"/>
                <w:sz w:val="24"/>
                <w:szCs w:val="24"/>
              </w:rPr>
            </w:pPr>
          </w:p>
          <w:p w14:paraId="3043036C" w14:textId="77777777" w:rsidR="00BE7920" w:rsidRDefault="00BE7920">
            <w:pPr>
              <w:pStyle w:val="Standard"/>
              <w:spacing w:after="0" w:line="240" w:lineRule="auto"/>
              <w:jc w:val="center"/>
              <w:rPr>
                <w:rFonts w:ascii="Times New Roman" w:hAnsi="Times New Roman" w:cs="Times New Roman"/>
                <w:sz w:val="24"/>
                <w:szCs w:val="24"/>
              </w:rPr>
            </w:pPr>
          </w:p>
          <w:p w14:paraId="13C32C09" w14:textId="2BFF5937" w:rsidR="00BE7920" w:rsidRDefault="000E0234" w:rsidP="000E023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03F08">
              <w:rPr>
                <w:rFonts w:ascii="Times New Roman" w:hAnsi="Times New Roman" w:cs="Times New Roman"/>
                <w:sz w:val="24"/>
                <w:szCs w:val="24"/>
              </w:rPr>
              <w:t>17</w:t>
            </w:r>
          </w:p>
          <w:p w14:paraId="417D070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p w14:paraId="74833C0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p w14:paraId="69A2EA5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2A056AD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p>
          <w:p w14:paraId="2CDFB1E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285BF7F6"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A6FC0"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organization has effective knowledge transfer strategies to address the knowledge gap left by the retirement of high-performing employees.</w:t>
            </w:r>
          </w:p>
          <w:p w14:paraId="143DFB95" w14:textId="77777777" w:rsidR="00BE7920" w:rsidRDefault="00803F08">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28E94D03"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193C2351"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332388E2"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75471140"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426DCB92" w14:textId="77777777" w:rsidR="00BE7920" w:rsidRDefault="00803F08">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277BAE" w14:textId="77777777" w:rsidR="00BE7920" w:rsidRDefault="00BE7920">
            <w:pPr>
              <w:pStyle w:val="Standard"/>
              <w:spacing w:after="0" w:line="240" w:lineRule="auto"/>
              <w:jc w:val="center"/>
              <w:rPr>
                <w:rFonts w:ascii="Times New Roman" w:hAnsi="Times New Roman" w:cs="Times New Roman"/>
                <w:sz w:val="24"/>
                <w:szCs w:val="24"/>
              </w:rPr>
            </w:pPr>
          </w:p>
          <w:p w14:paraId="4AC07B4E" w14:textId="77777777" w:rsidR="00BE7920" w:rsidRDefault="00BE7920">
            <w:pPr>
              <w:pStyle w:val="Standard"/>
              <w:spacing w:after="0" w:line="240" w:lineRule="auto"/>
              <w:jc w:val="center"/>
              <w:rPr>
                <w:rFonts w:ascii="Times New Roman" w:hAnsi="Times New Roman" w:cs="Times New Roman"/>
                <w:sz w:val="24"/>
                <w:szCs w:val="24"/>
              </w:rPr>
            </w:pPr>
          </w:p>
          <w:p w14:paraId="554748E9" w14:textId="77777777" w:rsidR="00BE7920" w:rsidRDefault="00BE7920">
            <w:pPr>
              <w:pStyle w:val="Standard"/>
              <w:spacing w:after="0" w:line="240" w:lineRule="auto"/>
              <w:jc w:val="center"/>
              <w:rPr>
                <w:rFonts w:ascii="Times New Roman" w:hAnsi="Times New Roman" w:cs="Times New Roman"/>
                <w:sz w:val="24"/>
                <w:szCs w:val="24"/>
              </w:rPr>
            </w:pPr>
          </w:p>
          <w:p w14:paraId="2AC4E9DD" w14:textId="77777777" w:rsidR="00BE7920" w:rsidRDefault="00BE7920">
            <w:pPr>
              <w:pStyle w:val="Standard"/>
              <w:spacing w:after="0" w:line="240" w:lineRule="auto"/>
              <w:jc w:val="center"/>
              <w:rPr>
                <w:rFonts w:ascii="Times New Roman" w:hAnsi="Times New Roman" w:cs="Times New Roman"/>
                <w:sz w:val="24"/>
                <w:szCs w:val="24"/>
              </w:rPr>
            </w:pPr>
          </w:p>
          <w:p w14:paraId="5F4C873E" w14:textId="77777777" w:rsidR="00BE7920" w:rsidRDefault="00BE7920">
            <w:pPr>
              <w:pStyle w:val="Standard"/>
              <w:spacing w:after="0" w:line="240" w:lineRule="auto"/>
              <w:jc w:val="center"/>
              <w:rPr>
                <w:rFonts w:ascii="Times New Roman" w:hAnsi="Times New Roman" w:cs="Times New Roman"/>
                <w:sz w:val="24"/>
                <w:szCs w:val="24"/>
              </w:rPr>
            </w:pPr>
          </w:p>
          <w:p w14:paraId="15ED4C10"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B8BC2ED"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31</w:t>
            </w:r>
          </w:p>
          <w:p w14:paraId="4BC1D20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215</w:t>
            </w:r>
          </w:p>
          <w:p w14:paraId="65A2CE1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p w14:paraId="31C89AF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p w14:paraId="77ED334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p w14:paraId="61D4B37C"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F67896" w14:textId="77777777" w:rsidR="00BE7920" w:rsidRDefault="00BE7920">
            <w:pPr>
              <w:pStyle w:val="Standard"/>
              <w:spacing w:after="0" w:line="240" w:lineRule="auto"/>
              <w:jc w:val="center"/>
              <w:rPr>
                <w:rFonts w:ascii="Times New Roman" w:hAnsi="Times New Roman" w:cs="Times New Roman"/>
                <w:sz w:val="24"/>
                <w:szCs w:val="24"/>
              </w:rPr>
            </w:pPr>
          </w:p>
          <w:p w14:paraId="057CD27C" w14:textId="77777777" w:rsidR="00BE7920" w:rsidRDefault="00BE7920">
            <w:pPr>
              <w:pStyle w:val="Standard"/>
              <w:spacing w:after="0" w:line="240" w:lineRule="auto"/>
              <w:jc w:val="center"/>
              <w:rPr>
                <w:rFonts w:ascii="Times New Roman" w:hAnsi="Times New Roman" w:cs="Times New Roman"/>
                <w:sz w:val="24"/>
                <w:szCs w:val="24"/>
              </w:rPr>
            </w:pPr>
          </w:p>
          <w:p w14:paraId="20A3972C" w14:textId="77777777" w:rsidR="00BE7920" w:rsidRDefault="00BE7920">
            <w:pPr>
              <w:pStyle w:val="Standard"/>
              <w:spacing w:after="0" w:line="240" w:lineRule="auto"/>
              <w:jc w:val="center"/>
              <w:rPr>
                <w:rFonts w:ascii="Times New Roman" w:hAnsi="Times New Roman" w:cs="Times New Roman"/>
                <w:sz w:val="24"/>
                <w:szCs w:val="24"/>
              </w:rPr>
            </w:pPr>
          </w:p>
          <w:p w14:paraId="3EEB2855" w14:textId="77777777" w:rsidR="00BE7920" w:rsidRDefault="00BE7920">
            <w:pPr>
              <w:pStyle w:val="Standard"/>
              <w:spacing w:after="0" w:line="240" w:lineRule="auto"/>
              <w:jc w:val="center"/>
              <w:rPr>
                <w:rFonts w:ascii="Times New Roman" w:hAnsi="Times New Roman" w:cs="Times New Roman"/>
                <w:sz w:val="24"/>
                <w:szCs w:val="24"/>
              </w:rPr>
            </w:pPr>
          </w:p>
          <w:p w14:paraId="5E772B4E" w14:textId="77777777" w:rsidR="00BE7920" w:rsidRDefault="00BE7920">
            <w:pPr>
              <w:pStyle w:val="Standard"/>
              <w:spacing w:after="0" w:line="240" w:lineRule="auto"/>
              <w:jc w:val="center"/>
              <w:rPr>
                <w:rFonts w:ascii="Times New Roman" w:hAnsi="Times New Roman" w:cs="Times New Roman"/>
                <w:sz w:val="24"/>
                <w:szCs w:val="24"/>
              </w:rPr>
            </w:pPr>
          </w:p>
          <w:p w14:paraId="1CC534CB" w14:textId="77777777" w:rsidR="00BE7920" w:rsidRDefault="00BE7920">
            <w:pPr>
              <w:pStyle w:val="Standard"/>
              <w:spacing w:after="0" w:line="240" w:lineRule="auto"/>
              <w:jc w:val="center"/>
              <w:rPr>
                <w:rFonts w:ascii="Times New Roman" w:hAnsi="Times New Roman" w:cs="Times New Roman"/>
                <w:sz w:val="24"/>
                <w:szCs w:val="24"/>
              </w:rPr>
            </w:pPr>
          </w:p>
          <w:p w14:paraId="548700F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p w14:paraId="5A3D374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47.7</w:t>
            </w:r>
          </w:p>
          <w:p w14:paraId="797DC0E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p w14:paraId="685E6DA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p w14:paraId="09A0A25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p w14:paraId="727FB552"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w:t>
            </w:r>
          </w:p>
        </w:tc>
      </w:tr>
    </w:tbl>
    <w:p w14:paraId="6B4464DE" w14:textId="77777777" w:rsidR="00BE7920" w:rsidRDefault="00803F08">
      <w:pPr>
        <w:pStyle w:val="Standard"/>
        <w:spacing w:line="240" w:lineRule="auto"/>
        <w:rPr>
          <w:rFonts w:ascii="Times New Roman" w:hAnsi="Times New Roman" w:cs="Times New Roman"/>
          <w:b/>
          <w:i/>
          <w:sz w:val="24"/>
          <w:szCs w:val="24"/>
        </w:rPr>
      </w:pPr>
      <w:r>
        <w:rPr>
          <w:rFonts w:ascii="Times New Roman" w:hAnsi="Times New Roman" w:cs="Times New Roman"/>
          <w:b/>
          <w:i/>
          <w:sz w:val="24"/>
          <w:szCs w:val="24"/>
        </w:rPr>
        <w:t>Research Survey 2025</w:t>
      </w:r>
    </w:p>
    <w:p w14:paraId="39DE83F2" w14:textId="77777777" w:rsidR="00BE7920" w:rsidRDefault="00803F08">
      <w:pPr>
        <w:pStyle w:val="Standard"/>
        <w:spacing w:line="360" w:lineRule="auto"/>
        <w:jc w:val="both"/>
      </w:pPr>
      <w:r>
        <w:rPr>
          <w:rFonts w:ascii="Times New Roman" w:eastAsia="Calibri" w:hAnsi="Times New Roman" w:cs="Times New Roman"/>
          <w:sz w:val="24"/>
          <w:szCs w:val="24"/>
          <w:lang w:eastAsia="zh-CN" w:bidi="hi-IN"/>
        </w:rPr>
        <w:t xml:space="preserve">The table 2 above illustrated the responses gotten from the field on </w:t>
      </w:r>
      <w:r>
        <w:rPr>
          <w:rFonts w:ascii="Times New Roman" w:eastAsia="Calibri" w:hAnsi="Times New Roman" w:cs="Times New Roman"/>
          <w:sz w:val="24"/>
          <w:szCs w:val="24"/>
        </w:rPr>
        <w:t xml:space="preserve">the role </w:t>
      </w:r>
      <w:r>
        <w:rPr>
          <w:rFonts w:ascii="Times New Roman" w:hAnsi="Times New Roman" w:cs="Times New Roman"/>
          <w:bCs/>
          <w:sz w:val="24"/>
          <w:szCs w:val="24"/>
        </w:rPr>
        <w:t>mandatory retirement of high-performing employees on organizational knowledge retention and the innovation process</w:t>
      </w:r>
      <w:r>
        <w:rPr>
          <w:rFonts w:ascii="Times New Roman" w:hAnsi="Times New Roman" w:cs="Times New Roman"/>
          <w:b/>
          <w:bCs/>
          <w:sz w:val="24"/>
          <w:szCs w:val="24"/>
        </w:rPr>
        <w:t>.</w:t>
      </w:r>
      <w:r>
        <w:rPr>
          <w:rFonts w:ascii="Times New Roman" w:eastAsia="Calibri" w:hAnsi="Times New Roman" w:cs="Times New Roman"/>
          <w:sz w:val="24"/>
          <w:szCs w:val="24"/>
          <w:lang w:eastAsia="zh-CN" w:bidi="hi-IN"/>
        </w:rPr>
        <w:t xml:space="preserve">119(26.2%) and 276(61.2%) of the respondents strongly agreed and agreed that </w:t>
      </w:r>
      <w:r>
        <w:rPr>
          <w:rFonts w:ascii="Times New Roman" w:hAnsi="Times New Roman" w:cs="Times New Roman"/>
          <w:sz w:val="24"/>
          <w:szCs w:val="24"/>
        </w:rPr>
        <w:t>the mandatory retirement of high-performing employees significantly affects the retention of critical knowledge within the organization</w:t>
      </w:r>
      <w:r>
        <w:rPr>
          <w:rFonts w:ascii="Times New Roman" w:eastAsia="Calibri" w:hAnsi="Times New Roman" w:cs="Times New Roman"/>
          <w:sz w:val="24"/>
          <w:szCs w:val="24"/>
        </w:rPr>
        <w:t xml:space="preserve"> while 22(7.5%) disagreed. Similarly, 77(17%) and 154(34.1%) of the respondents strongly agreed and agreed that</w:t>
      </w:r>
      <w:r>
        <w:rPr>
          <w:rFonts w:ascii="Times New Roman" w:hAnsi="Times New Roman" w:cs="Times New Roman"/>
          <w:sz w:val="24"/>
          <w:szCs w:val="24"/>
        </w:rPr>
        <w:t xml:space="preserve"> mandatory retirement of high-performing employees negatively impacts the organization's innovation process, </w:t>
      </w:r>
      <w:r>
        <w:rPr>
          <w:rFonts w:ascii="Times New Roman" w:eastAsia="Calibri" w:hAnsi="Times New Roman" w:cs="Times New Roman"/>
          <w:sz w:val="24"/>
          <w:szCs w:val="24"/>
        </w:rPr>
        <w:t xml:space="preserve">while 122(27.2%) disagreed </w:t>
      </w:r>
      <w:r>
        <w:rPr>
          <w:rFonts w:ascii="Times New Roman" w:eastAsia="Calibri" w:hAnsi="Times New Roman" w:cs="Times New Roman"/>
          <w:sz w:val="24"/>
          <w:szCs w:val="24"/>
        </w:rPr>
        <w:lastRenderedPageBreak/>
        <w:t>and 68(15%) are neutral.</w:t>
      </w:r>
      <w:r>
        <w:t xml:space="preserve"> </w:t>
      </w:r>
      <w:r>
        <w:rPr>
          <w:rFonts w:ascii="Times New Roman" w:eastAsia="Calibri" w:hAnsi="Times New Roman" w:cs="Times New Roman"/>
          <w:sz w:val="24"/>
          <w:szCs w:val="24"/>
        </w:rPr>
        <w:t xml:space="preserve">Moreover, 31(6.7%) and 215(47.7%) of the respondents strongly agreed and agreed that </w:t>
      </w:r>
      <w:r>
        <w:rPr>
          <w:rFonts w:ascii="Times New Roman" w:hAnsi="Times New Roman" w:cs="Times New Roman"/>
          <w:sz w:val="24"/>
          <w:szCs w:val="24"/>
        </w:rPr>
        <w:t>the organization has effective knowledge transfer strategies to address the knowledge gap left by the retirement of high-performing employees,</w:t>
      </w:r>
      <w:r>
        <w:rPr>
          <w:rFonts w:ascii="Times New Roman" w:eastAsia="Times New Roman" w:hAnsi="Times New Roman" w:cs="Times New Roman"/>
          <w:color w:val="0E101A"/>
          <w:sz w:val="24"/>
          <w:szCs w:val="24"/>
        </w:rPr>
        <w:t xml:space="preserve"> while 105(8.4%) disagreed. These responses revealed that </w:t>
      </w:r>
      <w:r>
        <w:rPr>
          <w:rFonts w:ascii="Times New Roman" w:hAnsi="Times New Roman" w:cs="Times New Roman"/>
          <w:bCs/>
          <w:sz w:val="24"/>
          <w:szCs w:val="24"/>
        </w:rPr>
        <w:t>mandatory retirement of high-performing employees has a significant impact on organizational knowledge retention and the innovation process</w:t>
      </w:r>
      <w:r>
        <w:rPr>
          <w:rFonts w:ascii="Times New Roman" w:hAnsi="Times New Roman" w:cs="Times New Roman"/>
          <w:b/>
          <w:bCs/>
          <w:sz w:val="24"/>
          <w:szCs w:val="24"/>
        </w:rPr>
        <w:t>.</w:t>
      </w:r>
    </w:p>
    <w:p w14:paraId="2878B8F3" w14:textId="77777777" w:rsidR="00BE7920" w:rsidRDefault="00803F08">
      <w:pPr>
        <w:pStyle w:val="Standard"/>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3: Mandatory Retirement of Experienced Employees Impacts Employee Morale, Motivation, and Overall Organizational Climate.</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3F68A3EE"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C1A8B"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31F48"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8416BA"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BE7920" w14:paraId="7CED10DB"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65AA71"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mandatory retirement of experienced employees significantly lowers the morale of remaining employees in the organization.</w:t>
            </w:r>
          </w:p>
          <w:p w14:paraId="534887BE"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208C63EF"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44E28E7B"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4280E98A"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668C1957"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27B50004"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CE5206" w14:textId="77777777" w:rsidR="00BE7920" w:rsidRDefault="00BE7920">
            <w:pPr>
              <w:pStyle w:val="Standard"/>
              <w:spacing w:after="0" w:line="240" w:lineRule="auto"/>
              <w:jc w:val="center"/>
              <w:rPr>
                <w:rFonts w:ascii="Times New Roman" w:hAnsi="Times New Roman" w:cs="Times New Roman"/>
                <w:sz w:val="24"/>
                <w:szCs w:val="24"/>
              </w:rPr>
            </w:pPr>
          </w:p>
          <w:p w14:paraId="372D8F57" w14:textId="77777777" w:rsidR="00BE7920" w:rsidRDefault="00BE7920">
            <w:pPr>
              <w:pStyle w:val="Standard"/>
              <w:spacing w:after="0" w:line="240" w:lineRule="auto"/>
              <w:jc w:val="center"/>
              <w:rPr>
                <w:rFonts w:ascii="Times New Roman" w:hAnsi="Times New Roman" w:cs="Times New Roman"/>
                <w:sz w:val="24"/>
                <w:szCs w:val="24"/>
              </w:rPr>
            </w:pPr>
          </w:p>
          <w:p w14:paraId="69E0CA4E" w14:textId="77777777" w:rsidR="00BE7920" w:rsidRDefault="00BE7920">
            <w:pPr>
              <w:pStyle w:val="Standard"/>
              <w:spacing w:after="0" w:line="240" w:lineRule="auto"/>
              <w:jc w:val="center"/>
              <w:rPr>
                <w:rFonts w:ascii="Times New Roman" w:hAnsi="Times New Roman" w:cs="Times New Roman"/>
                <w:sz w:val="24"/>
                <w:szCs w:val="24"/>
              </w:rPr>
            </w:pPr>
          </w:p>
          <w:p w14:paraId="6FBDFA09" w14:textId="77777777" w:rsidR="00BE7920" w:rsidRDefault="00BE7920">
            <w:pPr>
              <w:pStyle w:val="Standard"/>
              <w:spacing w:after="0" w:line="240" w:lineRule="auto"/>
              <w:jc w:val="center"/>
              <w:rPr>
                <w:rFonts w:ascii="Times New Roman" w:hAnsi="Times New Roman" w:cs="Times New Roman"/>
                <w:sz w:val="24"/>
                <w:szCs w:val="24"/>
              </w:rPr>
            </w:pPr>
          </w:p>
          <w:p w14:paraId="662E1418" w14:textId="77777777" w:rsidR="00BE7920" w:rsidRDefault="00BE7920">
            <w:pPr>
              <w:pStyle w:val="Standard"/>
              <w:spacing w:after="0" w:line="240" w:lineRule="auto"/>
              <w:jc w:val="center"/>
              <w:rPr>
                <w:rFonts w:ascii="Times New Roman" w:hAnsi="Times New Roman" w:cs="Times New Roman"/>
                <w:sz w:val="24"/>
                <w:szCs w:val="24"/>
              </w:rPr>
            </w:pPr>
          </w:p>
          <w:p w14:paraId="10C5BB0F" w14:textId="77777777" w:rsidR="00BE7920" w:rsidRDefault="00BE7920">
            <w:pPr>
              <w:pStyle w:val="Standard"/>
              <w:spacing w:after="0" w:line="240" w:lineRule="auto"/>
              <w:jc w:val="center"/>
              <w:rPr>
                <w:rFonts w:ascii="Times New Roman" w:hAnsi="Times New Roman" w:cs="Times New Roman"/>
                <w:sz w:val="24"/>
                <w:szCs w:val="24"/>
              </w:rPr>
            </w:pPr>
          </w:p>
          <w:p w14:paraId="0CA5D5DD" w14:textId="77777777" w:rsidR="00BE7920" w:rsidRDefault="00BE7920">
            <w:pPr>
              <w:pStyle w:val="Standard"/>
              <w:spacing w:after="0" w:line="240" w:lineRule="auto"/>
              <w:jc w:val="center"/>
              <w:rPr>
                <w:rFonts w:ascii="Times New Roman" w:hAnsi="Times New Roman" w:cs="Times New Roman"/>
                <w:sz w:val="24"/>
                <w:szCs w:val="24"/>
              </w:rPr>
            </w:pPr>
          </w:p>
          <w:p w14:paraId="510A479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p w14:paraId="1269509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228</w:t>
            </w:r>
          </w:p>
          <w:p w14:paraId="6D445C9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p w14:paraId="72A0A9C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p w14:paraId="189E15A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14:paraId="2777CBE2" w14:textId="7F5B9157" w:rsidR="00BE7920" w:rsidRDefault="000E0234" w:rsidP="000E023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03F08">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55752" w14:textId="77777777" w:rsidR="00BE7920" w:rsidRDefault="00BE7920">
            <w:pPr>
              <w:pStyle w:val="Standard"/>
              <w:spacing w:after="0" w:line="240" w:lineRule="auto"/>
              <w:jc w:val="center"/>
              <w:rPr>
                <w:rFonts w:ascii="Times New Roman" w:hAnsi="Times New Roman" w:cs="Times New Roman"/>
                <w:sz w:val="24"/>
                <w:szCs w:val="24"/>
              </w:rPr>
            </w:pPr>
          </w:p>
          <w:p w14:paraId="4883C3CC" w14:textId="77777777" w:rsidR="00BE7920" w:rsidRDefault="00BE7920">
            <w:pPr>
              <w:pStyle w:val="Standard"/>
              <w:spacing w:after="0" w:line="240" w:lineRule="auto"/>
              <w:jc w:val="center"/>
              <w:rPr>
                <w:rFonts w:ascii="Times New Roman" w:hAnsi="Times New Roman" w:cs="Times New Roman"/>
                <w:sz w:val="24"/>
                <w:szCs w:val="24"/>
              </w:rPr>
            </w:pPr>
          </w:p>
          <w:p w14:paraId="01FB4F3E" w14:textId="77777777" w:rsidR="00BE7920" w:rsidRDefault="00BE7920">
            <w:pPr>
              <w:pStyle w:val="Standard"/>
              <w:spacing w:after="0" w:line="240" w:lineRule="auto"/>
              <w:jc w:val="center"/>
              <w:rPr>
                <w:rFonts w:ascii="Times New Roman" w:hAnsi="Times New Roman" w:cs="Times New Roman"/>
                <w:sz w:val="24"/>
                <w:szCs w:val="24"/>
              </w:rPr>
            </w:pPr>
          </w:p>
          <w:p w14:paraId="211BA0BE" w14:textId="77777777" w:rsidR="00BE7920" w:rsidRDefault="00BE7920">
            <w:pPr>
              <w:pStyle w:val="Standard"/>
              <w:spacing w:after="0" w:line="240" w:lineRule="auto"/>
              <w:jc w:val="center"/>
              <w:rPr>
                <w:rFonts w:ascii="Times New Roman" w:hAnsi="Times New Roman" w:cs="Times New Roman"/>
                <w:sz w:val="24"/>
                <w:szCs w:val="24"/>
              </w:rPr>
            </w:pPr>
          </w:p>
          <w:p w14:paraId="3BF25ABD" w14:textId="77777777" w:rsidR="00BE7920" w:rsidRDefault="00BE7920">
            <w:pPr>
              <w:pStyle w:val="Standard"/>
              <w:spacing w:after="0" w:line="240" w:lineRule="auto"/>
              <w:jc w:val="center"/>
              <w:rPr>
                <w:rFonts w:ascii="Times New Roman" w:hAnsi="Times New Roman" w:cs="Times New Roman"/>
                <w:sz w:val="24"/>
                <w:szCs w:val="24"/>
              </w:rPr>
            </w:pPr>
          </w:p>
          <w:p w14:paraId="5B8FDA9A" w14:textId="77777777" w:rsidR="00BE7920" w:rsidRDefault="00BE7920">
            <w:pPr>
              <w:pStyle w:val="Standard"/>
              <w:spacing w:after="0" w:line="240" w:lineRule="auto"/>
              <w:jc w:val="center"/>
              <w:rPr>
                <w:rFonts w:ascii="Times New Roman" w:hAnsi="Times New Roman" w:cs="Times New Roman"/>
                <w:sz w:val="24"/>
                <w:szCs w:val="24"/>
              </w:rPr>
            </w:pPr>
          </w:p>
          <w:p w14:paraId="38C22CE6" w14:textId="77777777" w:rsidR="00BE7920" w:rsidRDefault="00BE7920">
            <w:pPr>
              <w:pStyle w:val="Standard"/>
              <w:spacing w:after="0" w:line="240" w:lineRule="auto"/>
              <w:jc w:val="center"/>
              <w:rPr>
                <w:rFonts w:ascii="Times New Roman" w:hAnsi="Times New Roman" w:cs="Times New Roman"/>
                <w:sz w:val="24"/>
                <w:szCs w:val="24"/>
              </w:rPr>
            </w:pPr>
          </w:p>
          <w:p w14:paraId="0C413D1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p w14:paraId="3DD0498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50.4</w:t>
            </w:r>
          </w:p>
          <w:p w14:paraId="7AA2B60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p w14:paraId="4F2D5A5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p w14:paraId="19F0BAD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p w14:paraId="2B6FD938" w14:textId="6D486380" w:rsidR="00BE7920" w:rsidRDefault="000E0234" w:rsidP="000E023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03F08">
              <w:rPr>
                <w:rFonts w:ascii="Times New Roman" w:hAnsi="Times New Roman" w:cs="Times New Roman"/>
                <w:sz w:val="24"/>
                <w:szCs w:val="24"/>
              </w:rPr>
              <w:t>100</w:t>
            </w:r>
          </w:p>
        </w:tc>
      </w:tr>
      <w:tr w:rsidR="00BE7920" w14:paraId="78529C81"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ACA7C2"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mandatory retirement of high-performing employees leads to a decrease in the motivation of younger employees.</w:t>
            </w:r>
          </w:p>
          <w:p w14:paraId="53AC7D3D"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1B4D7D1B"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06C53686"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56C9719E"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0918AA6B"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124E938E"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7F6967" w14:textId="77777777" w:rsidR="00BE7920" w:rsidRDefault="00BE7920">
            <w:pPr>
              <w:pStyle w:val="Standard"/>
              <w:spacing w:after="0" w:line="240" w:lineRule="auto"/>
              <w:jc w:val="center"/>
              <w:rPr>
                <w:rFonts w:ascii="Times New Roman" w:hAnsi="Times New Roman" w:cs="Times New Roman"/>
                <w:sz w:val="24"/>
                <w:szCs w:val="24"/>
              </w:rPr>
            </w:pPr>
          </w:p>
          <w:p w14:paraId="11FB84D0" w14:textId="77777777" w:rsidR="00BE7920" w:rsidRDefault="00BE7920">
            <w:pPr>
              <w:pStyle w:val="Standard"/>
              <w:spacing w:after="0" w:line="240" w:lineRule="auto"/>
              <w:jc w:val="center"/>
              <w:rPr>
                <w:rFonts w:ascii="Times New Roman" w:hAnsi="Times New Roman" w:cs="Times New Roman"/>
                <w:sz w:val="24"/>
                <w:szCs w:val="24"/>
              </w:rPr>
            </w:pPr>
          </w:p>
          <w:p w14:paraId="7922E4B8" w14:textId="77777777" w:rsidR="00BE7920" w:rsidRDefault="00BE7920">
            <w:pPr>
              <w:pStyle w:val="Standard"/>
              <w:spacing w:after="0" w:line="240" w:lineRule="auto"/>
              <w:jc w:val="center"/>
              <w:rPr>
                <w:rFonts w:ascii="Times New Roman" w:hAnsi="Times New Roman" w:cs="Times New Roman"/>
                <w:sz w:val="24"/>
                <w:szCs w:val="24"/>
              </w:rPr>
            </w:pPr>
          </w:p>
          <w:p w14:paraId="4AAD59C9" w14:textId="77777777" w:rsidR="00BE7920" w:rsidRDefault="00BE7920">
            <w:pPr>
              <w:pStyle w:val="Standard"/>
              <w:spacing w:after="0" w:line="240" w:lineRule="auto"/>
              <w:jc w:val="center"/>
              <w:rPr>
                <w:rFonts w:ascii="Times New Roman" w:hAnsi="Times New Roman" w:cs="Times New Roman"/>
                <w:sz w:val="24"/>
                <w:szCs w:val="24"/>
              </w:rPr>
            </w:pPr>
          </w:p>
          <w:p w14:paraId="775A4012" w14:textId="77777777" w:rsidR="00BE7920" w:rsidRDefault="00BE7920">
            <w:pPr>
              <w:pStyle w:val="Standard"/>
              <w:spacing w:after="0" w:line="240" w:lineRule="auto"/>
              <w:jc w:val="center"/>
              <w:rPr>
                <w:rFonts w:ascii="Times New Roman" w:hAnsi="Times New Roman" w:cs="Times New Roman"/>
                <w:sz w:val="24"/>
                <w:szCs w:val="24"/>
              </w:rPr>
            </w:pPr>
          </w:p>
          <w:p w14:paraId="5C58DA63" w14:textId="77777777" w:rsidR="00BE7920" w:rsidRDefault="00BE7920">
            <w:pPr>
              <w:pStyle w:val="Standard"/>
              <w:spacing w:after="0" w:line="240" w:lineRule="auto"/>
              <w:jc w:val="center"/>
              <w:rPr>
                <w:rFonts w:ascii="Times New Roman" w:hAnsi="Times New Roman" w:cs="Times New Roman"/>
                <w:sz w:val="24"/>
                <w:szCs w:val="24"/>
              </w:rPr>
            </w:pPr>
          </w:p>
          <w:p w14:paraId="57BEFEE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p w14:paraId="5544BB5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p w14:paraId="48D36B3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71C4234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p w14:paraId="0C8AF50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p w14:paraId="49E7B07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A9129" w14:textId="77777777" w:rsidR="00BE7920" w:rsidRDefault="00BE7920">
            <w:pPr>
              <w:pStyle w:val="Standard"/>
              <w:spacing w:after="0" w:line="240" w:lineRule="auto"/>
              <w:jc w:val="center"/>
              <w:rPr>
                <w:rFonts w:ascii="Times New Roman" w:hAnsi="Times New Roman" w:cs="Times New Roman"/>
                <w:sz w:val="24"/>
                <w:szCs w:val="24"/>
              </w:rPr>
            </w:pPr>
          </w:p>
          <w:p w14:paraId="0B4FC55D" w14:textId="77777777" w:rsidR="00BE7920" w:rsidRDefault="00BE7920">
            <w:pPr>
              <w:pStyle w:val="Standard"/>
              <w:spacing w:after="0" w:line="240" w:lineRule="auto"/>
              <w:jc w:val="center"/>
              <w:rPr>
                <w:rFonts w:ascii="Times New Roman" w:hAnsi="Times New Roman" w:cs="Times New Roman"/>
                <w:sz w:val="24"/>
                <w:szCs w:val="24"/>
              </w:rPr>
            </w:pPr>
          </w:p>
          <w:p w14:paraId="0E5330BE" w14:textId="77777777" w:rsidR="00BE7920" w:rsidRDefault="00BE7920">
            <w:pPr>
              <w:pStyle w:val="Standard"/>
              <w:spacing w:after="0" w:line="240" w:lineRule="auto"/>
              <w:jc w:val="center"/>
              <w:rPr>
                <w:rFonts w:ascii="Times New Roman" w:hAnsi="Times New Roman" w:cs="Times New Roman"/>
                <w:sz w:val="24"/>
                <w:szCs w:val="24"/>
              </w:rPr>
            </w:pPr>
          </w:p>
          <w:p w14:paraId="2881A617" w14:textId="77777777" w:rsidR="00BE7920" w:rsidRDefault="00BE7920">
            <w:pPr>
              <w:pStyle w:val="Standard"/>
              <w:spacing w:after="0" w:line="240" w:lineRule="auto"/>
              <w:jc w:val="center"/>
              <w:rPr>
                <w:rFonts w:ascii="Times New Roman" w:hAnsi="Times New Roman" w:cs="Times New Roman"/>
                <w:sz w:val="24"/>
                <w:szCs w:val="24"/>
              </w:rPr>
            </w:pPr>
          </w:p>
          <w:p w14:paraId="10CD9B9F" w14:textId="77777777" w:rsidR="00BE7920" w:rsidRDefault="00BE7920">
            <w:pPr>
              <w:pStyle w:val="Standard"/>
              <w:spacing w:after="0" w:line="240" w:lineRule="auto"/>
              <w:jc w:val="center"/>
              <w:rPr>
                <w:rFonts w:ascii="Times New Roman" w:hAnsi="Times New Roman" w:cs="Times New Roman"/>
                <w:sz w:val="24"/>
                <w:szCs w:val="24"/>
              </w:rPr>
            </w:pPr>
          </w:p>
          <w:p w14:paraId="3AD7DF61" w14:textId="77777777" w:rsidR="00BE7920" w:rsidRDefault="00BE7920">
            <w:pPr>
              <w:pStyle w:val="Standard"/>
              <w:spacing w:after="0" w:line="240" w:lineRule="auto"/>
              <w:jc w:val="center"/>
              <w:rPr>
                <w:rFonts w:ascii="Times New Roman" w:hAnsi="Times New Roman" w:cs="Times New Roman"/>
                <w:sz w:val="24"/>
                <w:szCs w:val="24"/>
              </w:rPr>
            </w:pPr>
          </w:p>
          <w:p w14:paraId="06A1640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p w14:paraId="7888426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59.2</w:t>
            </w:r>
          </w:p>
          <w:p w14:paraId="1E694B8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p w14:paraId="488364A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p w14:paraId="73B9B9C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p w14:paraId="3719EAD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2B81E1AF"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4B0ABC"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overall organizational climate improves after the retirement of high-performing employees.</w:t>
            </w:r>
          </w:p>
          <w:p w14:paraId="1DE78A2B"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56AC4C1E"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2AF0F317"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78AA8B2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41AA24A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374DC6E8"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485C0" w14:textId="77777777" w:rsidR="00BE7920" w:rsidRDefault="00BE7920">
            <w:pPr>
              <w:pStyle w:val="Standard"/>
              <w:spacing w:after="0" w:line="240" w:lineRule="auto"/>
              <w:jc w:val="center"/>
              <w:rPr>
                <w:rFonts w:ascii="Times New Roman" w:hAnsi="Times New Roman" w:cs="Times New Roman"/>
                <w:sz w:val="24"/>
                <w:szCs w:val="24"/>
              </w:rPr>
            </w:pPr>
          </w:p>
          <w:p w14:paraId="1D1BFDEE" w14:textId="77777777" w:rsidR="00BE7920" w:rsidRDefault="00BE7920">
            <w:pPr>
              <w:pStyle w:val="Standard"/>
              <w:spacing w:after="0" w:line="240" w:lineRule="auto"/>
              <w:jc w:val="center"/>
              <w:rPr>
                <w:rFonts w:ascii="Times New Roman" w:hAnsi="Times New Roman" w:cs="Times New Roman"/>
                <w:sz w:val="24"/>
                <w:szCs w:val="24"/>
              </w:rPr>
            </w:pPr>
          </w:p>
          <w:p w14:paraId="55E94B82" w14:textId="77777777" w:rsidR="00BE7920" w:rsidRDefault="00BE7920">
            <w:pPr>
              <w:pStyle w:val="Standard"/>
              <w:spacing w:after="0" w:line="240" w:lineRule="auto"/>
              <w:jc w:val="center"/>
              <w:rPr>
                <w:rFonts w:ascii="Times New Roman" w:hAnsi="Times New Roman" w:cs="Times New Roman"/>
                <w:sz w:val="24"/>
                <w:szCs w:val="24"/>
              </w:rPr>
            </w:pPr>
          </w:p>
          <w:p w14:paraId="72028EF8" w14:textId="77777777" w:rsidR="00BE7920" w:rsidRDefault="00BE7920">
            <w:pPr>
              <w:pStyle w:val="Standard"/>
              <w:spacing w:after="0" w:line="240" w:lineRule="auto"/>
              <w:jc w:val="center"/>
              <w:rPr>
                <w:rFonts w:ascii="Times New Roman" w:hAnsi="Times New Roman" w:cs="Times New Roman"/>
                <w:sz w:val="24"/>
                <w:szCs w:val="24"/>
              </w:rPr>
            </w:pPr>
          </w:p>
          <w:p w14:paraId="6733AAA4" w14:textId="77777777" w:rsidR="00BE7920" w:rsidRDefault="00BE7920">
            <w:pPr>
              <w:pStyle w:val="Standard"/>
              <w:spacing w:after="0" w:line="240" w:lineRule="auto"/>
              <w:jc w:val="center"/>
              <w:rPr>
                <w:rFonts w:ascii="Times New Roman" w:hAnsi="Times New Roman" w:cs="Times New Roman"/>
                <w:sz w:val="24"/>
                <w:szCs w:val="24"/>
              </w:rPr>
            </w:pPr>
          </w:p>
          <w:p w14:paraId="44263AC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09AAD9E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p w14:paraId="7A75A64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p w14:paraId="0E785F8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p w14:paraId="3AF4F22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p w14:paraId="61FA28D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FDB12C" w14:textId="77777777" w:rsidR="00BE7920" w:rsidRDefault="00BE7920">
            <w:pPr>
              <w:pStyle w:val="Standard"/>
              <w:spacing w:after="0" w:line="240" w:lineRule="auto"/>
              <w:jc w:val="center"/>
              <w:rPr>
                <w:rFonts w:ascii="Times New Roman" w:hAnsi="Times New Roman" w:cs="Times New Roman"/>
                <w:sz w:val="24"/>
                <w:szCs w:val="24"/>
              </w:rPr>
            </w:pPr>
          </w:p>
          <w:p w14:paraId="2382C27F" w14:textId="77777777" w:rsidR="00BE7920" w:rsidRDefault="00BE7920">
            <w:pPr>
              <w:pStyle w:val="Standard"/>
              <w:spacing w:after="0" w:line="240" w:lineRule="auto"/>
              <w:jc w:val="center"/>
              <w:rPr>
                <w:rFonts w:ascii="Times New Roman" w:hAnsi="Times New Roman" w:cs="Times New Roman"/>
                <w:sz w:val="24"/>
                <w:szCs w:val="24"/>
              </w:rPr>
            </w:pPr>
          </w:p>
          <w:p w14:paraId="6A6C4FFC" w14:textId="77777777" w:rsidR="00BE7920" w:rsidRDefault="00BE7920">
            <w:pPr>
              <w:pStyle w:val="Standard"/>
              <w:spacing w:after="0" w:line="240" w:lineRule="auto"/>
              <w:jc w:val="center"/>
              <w:rPr>
                <w:rFonts w:ascii="Times New Roman" w:hAnsi="Times New Roman" w:cs="Times New Roman"/>
                <w:sz w:val="24"/>
                <w:szCs w:val="24"/>
              </w:rPr>
            </w:pPr>
          </w:p>
          <w:p w14:paraId="58456C2F" w14:textId="77777777" w:rsidR="00BE7920" w:rsidRDefault="00BE7920">
            <w:pPr>
              <w:pStyle w:val="Standard"/>
              <w:spacing w:after="0" w:line="240" w:lineRule="auto"/>
              <w:jc w:val="center"/>
              <w:rPr>
                <w:rFonts w:ascii="Times New Roman" w:hAnsi="Times New Roman" w:cs="Times New Roman"/>
                <w:sz w:val="24"/>
                <w:szCs w:val="24"/>
              </w:rPr>
            </w:pPr>
          </w:p>
          <w:p w14:paraId="7A5427A7" w14:textId="77777777" w:rsidR="00BE7920" w:rsidRDefault="00BE7920">
            <w:pPr>
              <w:pStyle w:val="Standard"/>
              <w:spacing w:after="0" w:line="240" w:lineRule="auto"/>
              <w:jc w:val="center"/>
              <w:rPr>
                <w:rFonts w:ascii="Times New Roman" w:hAnsi="Times New Roman" w:cs="Times New Roman"/>
                <w:sz w:val="24"/>
                <w:szCs w:val="24"/>
              </w:rPr>
            </w:pPr>
          </w:p>
          <w:p w14:paraId="0982370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14:paraId="638660C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38.7</w:t>
            </w:r>
          </w:p>
          <w:p w14:paraId="353AE26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19.7</w:t>
            </w:r>
          </w:p>
          <w:p w14:paraId="2F0D0AF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24.8</w:t>
            </w:r>
          </w:p>
          <w:p w14:paraId="2269CB3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p w14:paraId="4FA5ECF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30BBB165" w14:textId="77777777" w:rsidR="00BE7920" w:rsidRDefault="00803F08">
      <w:pPr>
        <w:pStyle w:val="Standard"/>
        <w:spacing w:after="0" w:line="240" w:lineRule="auto"/>
        <w:rPr>
          <w:rFonts w:ascii="Times New Roman" w:hAnsi="Times New Roman" w:cs="Times New Roman"/>
          <w:b/>
          <w:i/>
          <w:sz w:val="24"/>
          <w:szCs w:val="24"/>
        </w:rPr>
      </w:pPr>
      <w:r>
        <w:rPr>
          <w:rFonts w:ascii="Times New Roman" w:hAnsi="Times New Roman" w:cs="Times New Roman"/>
          <w:b/>
          <w:i/>
          <w:sz w:val="24"/>
          <w:szCs w:val="24"/>
        </w:rPr>
        <w:t>Research Survey 2025</w:t>
      </w:r>
    </w:p>
    <w:p w14:paraId="77FCD252" w14:textId="77777777" w:rsidR="00992BA0" w:rsidRDefault="00992BA0">
      <w:pPr>
        <w:pStyle w:val="Standard"/>
        <w:spacing w:line="360" w:lineRule="auto"/>
        <w:jc w:val="both"/>
        <w:rPr>
          <w:rFonts w:ascii="Times New Roman" w:eastAsia="Calibri" w:hAnsi="Times New Roman" w:cs="Times New Roman"/>
          <w:sz w:val="24"/>
          <w:szCs w:val="24"/>
          <w:lang w:eastAsia="zh-CN" w:bidi="hi-IN"/>
        </w:rPr>
      </w:pPr>
    </w:p>
    <w:p w14:paraId="2B9139B9" w14:textId="4241F911" w:rsidR="00BE7920" w:rsidRDefault="00803F08">
      <w:pPr>
        <w:pStyle w:val="Standard"/>
        <w:spacing w:line="360" w:lineRule="auto"/>
        <w:jc w:val="both"/>
      </w:pPr>
      <w:r>
        <w:rPr>
          <w:rFonts w:ascii="Times New Roman" w:eastAsia="Calibri" w:hAnsi="Times New Roman" w:cs="Times New Roman"/>
          <w:sz w:val="24"/>
          <w:szCs w:val="24"/>
          <w:lang w:eastAsia="zh-CN" w:bidi="hi-IN"/>
        </w:rPr>
        <w:t xml:space="preserve">The table 3 above revealed the responses gotten from the field on </w:t>
      </w:r>
      <w:r>
        <w:rPr>
          <w:rFonts w:ascii="Times New Roman" w:hAnsi="Times New Roman" w:cs="Times New Roman"/>
          <w:bCs/>
          <w:sz w:val="24"/>
          <w:szCs w:val="24"/>
        </w:rPr>
        <w:t>mandatory retirement of experienced employees impacts employee morale, motivation, and overall organizational climate</w:t>
      </w:r>
      <w:r>
        <w:rPr>
          <w:rFonts w:ascii="Times New Roman" w:hAnsi="Times New Roman" w:cs="Times New Roman"/>
          <w:b/>
          <w:bCs/>
          <w:sz w:val="24"/>
          <w:szCs w:val="24"/>
        </w:rPr>
        <w:t>.</w:t>
      </w:r>
      <w:r>
        <w:rPr>
          <w:rFonts w:ascii="Times New Roman" w:eastAsia="Calibri" w:hAnsi="Times New Roman" w:cs="Times New Roman"/>
          <w:sz w:val="24"/>
          <w:szCs w:val="24"/>
          <w:lang w:eastAsia="zh-CN" w:bidi="hi-IN"/>
        </w:rPr>
        <w:t xml:space="preserve">75(16.6%) and 228(50.4%) of the respondents strongly agreed and agreed that </w:t>
      </w:r>
      <w:r>
        <w:rPr>
          <w:rFonts w:ascii="Times New Roman" w:hAnsi="Times New Roman" w:cs="Times New Roman"/>
          <w:sz w:val="24"/>
          <w:szCs w:val="24"/>
        </w:rPr>
        <w:t>the mandatory retirement of experienced employees significantly lowers the morale of remaining employees in the organization</w:t>
      </w:r>
      <w:r>
        <w:rPr>
          <w:rFonts w:ascii="Times New Roman" w:eastAsia="Calibri" w:hAnsi="Times New Roman" w:cs="Times New Roman"/>
          <w:sz w:val="24"/>
          <w:szCs w:val="24"/>
        </w:rPr>
        <w:t xml:space="preserve"> while 44(9.7%) disagreed. Similarly, 75(16.4%) and 267(59.2%) of the respondents strongly agreed and agreed that</w:t>
      </w:r>
      <w:r>
        <w:rPr>
          <w:rFonts w:ascii="Times New Roman" w:hAnsi="Times New Roman" w:cs="Times New Roman"/>
          <w:sz w:val="24"/>
          <w:szCs w:val="24"/>
        </w:rPr>
        <w:t xml:space="preserve"> the mandatory retirement of high-performing employees leads to a decrease in the motivation of younger employees, </w:t>
      </w:r>
      <w:r>
        <w:rPr>
          <w:rFonts w:ascii="Times New Roman" w:eastAsia="Calibri" w:hAnsi="Times New Roman" w:cs="Times New Roman"/>
          <w:sz w:val="24"/>
          <w:szCs w:val="24"/>
        </w:rPr>
        <w:t>while 44(9.8%) disagreed and 29(6.4%) are neutral.</w:t>
      </w:r>
      <w:r>
        <w:t xml:space="preserve"> </w:t>
      </w:r>
      <w:r>
        <w:rPr>
          <w:rFonts w:ascii="Times New Roman" w:eastAsia="Calibri" w:hAnsi="Times New Roman" w:cs="Times New Roman"/>
          <w:sz w:val="24"/>
          <w:szCs w:val="24"/>
        </w:rPr>
        <w:t xml:space="preserve">Moreover, 14(3.1%) and 175(38.7%) of the respondents strongly agreed and agreed that </w:t>
      </w:r>
      <w:r>
        <w:rPr>
          <w:rFonts w:ascii="Times New Roman" w:hAnsi="Times New Roman" w:cs="Times New Roman"/>
          <w:sz w:val="24"/>
          <w:szCs w:val="24"/>
        </w:rPr>
        <w:t>the overall organizational climate improves after the retirement of high-performing employees,</w:t>
      </w:r>
      <w:r>
        <w:rPr>
          <w:rFonts w:ascii="Times New Roman" w:eastAsia="Times New Roman" w:hAnsi="Times New Roman" w:cs="Times New Roman"/>
          <w:color w:val="0E101A"/>
          <w:sz w:val="24"/>
          <w:szCs w:val="24"/>
        </w:rPr>
        <w:t xml:space="preserve"> while 112(28.4%) disagreed. These responses revealed that </w:t>
      </w:r>
      <w:r>
        <w:rPr>
          <w:rFonts w:ascii="Times New Roman" w:hAnsi="Times New Roman" w:cs="Times New Roman"/>
          <w:bCs/>
          <w:sz w:val="24"/>
          <w:szCs w:val="24"/>
        </w:rPr>
        <w:t>mandatory retirement of experienced employees impacts employee morale, motivation, and overall organizational.</w:t>
      </w:r>
    </w:p>
    <w:p w14:paraId="7D60335D" w14:textId="77777777" w:rsidR="00BE7920" w:rsidRDefault="00803F08">
      <w:pPr>
        <w:pStyle w:val="Standard"/>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 Mandatory retirement and organizational performance, specifically focusing on productivity, profitability, and efficiency</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17937662"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9F69B9"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A7D09F"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FB4BAF"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BE7920" w14:paraId="055CFE2D"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31401B"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retirement of high-performing employees significantly decreases the productivity levels within the organization.</w:t>
            </w:r>
          </w:p>
          <w:p w14:paraId="6F750F9E"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78E508FF"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05970E5C"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0F0E8C4F"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3C295E9C"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1A1F4B16"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903840" w14:textId="77777777" w:rsidR="00BE7920" w:rsidRDefault="00BE7920">
            <w:pPr>
              <w:pStyle w:val="Standard"/>
              <w:spacing w:after="0" w:line="240" w:lineRule="auto"/>
              <w:jc w:val="center"/>
              <w:rPr>
                <w:rFonts w:ascii="Times New Roman" w:hAnsi="Times New Roman" w:cs="Times New Roman"/>
                <w:sz w:val="24"/>
                <w:szCs w:val="24"/>
              </w:rPr>
            </w:pPr>
          </w:p>
          <w:p w14:paraId="60CABDFF" w14:textId="77777777" w:rsidR="00BE7920" w:rsidRDefault="00BE7920">
            <w:pPr>
              <w:pStyle w:val="Standard"/>
              <w:spacing w:after="0" w:line="240" w:lineRule="auto"/>
              <w:jc w:val="center"/>
              <w:rPr>
                <w:rFonts w:ascii="Times New Roman" w:hAnsi="Times New Roman" w:cs="Times New Roman"/>
                <w:sz w:val="24"/>
                <w:szCs w:val="24"/>
              </w:rPr>
            </w:pPr>
          </w:p>
          <w:p w14:paraId="5CE7DC2B" w14:textId="77777777" w:rsidR="00BE7920" w:rsidRDefault="00BE7920">
            <w:pPr>
              <w:pStyle w:val="Standard"/>
              <w:spacing w:after="0" w:line="240" w:lineRule="auto"/>
              <w:jc w:val="center"/>
              <w:rPr>
                <w:rFonts w:ascii="Times New Roman" w:hAnsi="Times New Roman" w:cs="Times New Roman"/>
                <w:sz w:val="24"/>
                <w:szCs w:val="24"/>
              </w:rPr>
            </w:pPr>
          </w:p>
          <w:p w14:paraId="45F6331D" w14:textId="77777777" w:rsidR="00BE7920" w:rsidRDefault="00BE7920">
            <w:pPr>
              <w:pStyle w:val="Standard"/>
              <w:spacing w:after="0" w:line="240" w:lineRule="auto"/>
              <w:jc w:val="center"/>
              <w:rPr>
                <w:rFonts w:ascii="Times New Roman" w:hAnsi="Times New Roman" w:cs="Times New Roman"/>
                <w:sz w:val="24"/>
                <w:szCs w:val="24"/>
              </w:rPr>
            </w:pPr>
          </w:p>
          <w:p w14:paraId="1113C30B" w14:textId="77777777" w:rsidR="00BE7920" w:rsidRDefault="00BE7920">
            <w:pPr>
              <w:pStyle w:val="Standard"/>
              <w:spacing w:after="0" w:line="240" w:lineRule="auto"/>
              <w:jc w:val="center"/>
              <w:rPr>
                <w:rFonts w:ascii="Times New Roman" w:hAnsi="Times New Roman" w:cs="Times New Roman"/>
                <w:sz w:val="24"/>
                <w:szCs w:val="24"/>
              </w:rPr>
            </w:pPr>
          </w:p>
          <w:p w14:paraId="3E2E38D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p w14:paraId="0E485526"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p w14:paraId="07F744A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p w14:paraId="3410CCA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p w14:paraId="0388C9D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31B2F68C" w14:textId="77777777" w:rsidR="00BE7920" w:rsidRDefault="00BE7920">
            <w:pPr>
              <w:pStyle w:val="Standard"/>
              <w:spacing w:after="0" w:line="240" w:lineRule="auto"/>
              <w:jc w:val="center"/>
              <w:rPr>
                <w:rFonts w:ascii="Times New Roman" w:hAnsi="Times New Roman" w:cs="Times New Roman"/>
                <w:sz w:val="24"/>
                <w:szCs w:val="24"/>
              </w:rPr>
            </w:pPr>
          </w:p>
          <w:p w14:paraId="39A9255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0B25B9" w14:textId="77777777" w:rsidR="00BE7920" w:rsidRDefault="00BE7920">
            <w:pPr>
              <w:pStyle w:val="Standard"/>
              <w:spacing w:after="0" w:line="240" w:lineRule="auto"/>
              <w:jc w:val="center"/>
              <w:rPr>
                <w:rFonts w:ascii="Times New Roman" w:hAnsi="Times New Roman" w:cs="Times New Roman"/>
                <w:sz w:val="24"/>
                <w:szCs w:val="24"/>
              </w:rPr>
            </w:pPr>
          </w:p>
          <w:p w14:paraId="2BB2E1E1" w14:textId="77777777" w:rsidR="00BE7920" w:rsidRDefault="00BE7920">
            <w:pPr>
              <w:pStyle w:val="Standard"/>
              <w:spacing w:after="0" w:line="240" w:lineRule="auto"/>
              <w:jc w:val="center"/>
              <w:rPr>
                <w:rFonts w:ascii="Times New Roman" w:hAnsi="Times New Roman" w:cs="Times New Roman"/>
                <w:sz w:val="24"/>
                <w:szCs w:val="24"/>
              </w:rPr>
            </w:pPr>
          </w:p>
          <w:p w14:paraId="08904D02" w14:textId="77777777" w:rsidR="00BE7920" w:rsidRDefault="00BE7920">
            <w:pPr>
              <w:pStyle w:val="Standard"/>
              <w:spacing w:after="0" w:line="240" w:lineRule="auto"/>
              <w:jc w:val="center"/>
              <w:rPr>
                <w:rFonts w:ascii="Times New Roman" w:hAnsi="Times New Roman" w:cs="Times New Roman"/>
                <w:sz w:val="24"/>
                <w:szCs w:val="24"/>
              </w:rPr>
            </w:pPr>
          </w:p>
          <w:p w14:paraId="22E6F828" w14:textId="77777777" w:rsidR="00BE7920" w:rsidRDefault="00BE7920">
            <w:pPr>
              <w:pStyle w:val="Standard"/>
              <w:spacing w:after="0" w:line="240" w:lineRule="auto"/>
              <w:jc w:val="center"/>
              <w:rPr>
                <w:rFonts w:ascii="Times New Roman" w:hAnsi="Times New Roman" w:cs="Times New Roman"/>
                <w:sz w:val="24"/>
                <w:szCs w:val="24"/>
              </w:rPr>
            </w:pPr>
          </w:p>
          <w:p w14:paraId="11CAD360" w14:textId="77777777" w:rsidR="00BE7920" w:rsidRDefault="00BE7920">
            <w:pPr>
              <w:pStyle w:val="Standard"/>
              <w:spacing w:after="0" w:line="240" w:lineRule="auto"/>
              <w:jc w:val="center"/>
              <w:rPr>
                <w:rFonts w:ascii="Times New Roman" w:hAnsi="Times New Roman" w:cs="Times New Roman"/>
                <w:sz w:val="24"/>
                <w:szCs w:val="24"/>
              </w:rPr>
            </w:pPr>
          </w:p>
          <w:p w14:paraId="2D1BD03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p w14:paraId="1F1056C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63.5</w:t>
            </w:r>
          </w:p>
          <w:p w14:paraId="50DDE6F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p w14:paraId="6BF3317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p w14:paraId="6BBD1C2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p w14:paraId="50EE35D2" w14:textId="77777777" w:rsidR="00BE7920" w:rsidRDefault="00BE7920">
            <w:pPr>
              <w:pStyle w:val="Standard"/>
              <w:spacing w:after="0" w:line="240" w:lineRule="auto"/>
              <w:jc w:val="center"/>
              <w:rPr>
                <w:rFonts w:ascii="Times New Roman" w:hAnsi="Times New Roman" w:cs="Times New Roman"/>
                <w:sz w:val="24"/>
                <w:szCs w:val="24"/>
              </w:rPr>
            </w:pPr>
          </w:p>
          <w:p w14:paraId="5D93ACE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612528B7"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8FB92C"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mandatory retirement of high-performing employees negatively impacts the organization's profitability.</w:t>
            </w:r>
          </w:p>
          <w:p w14:paraId="33BFA8FF"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5AC31A93"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09DF4E60"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56CE6B9A"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4802CBA9"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2E4BEEA2"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0E8755" w14:textId="77777777" w:rsidR="00BE7920" w:rsidRDefault="00BE7920">
            <w:pPr>
              <w:pStyle w:val="Standard"/>
              <w:spacing w:after="0" w:line="240" w:lineRule="auto"/>
              <w:jc w:val="center"/>
              <w:rPr>
                <w:rFonts w:ascii="Times New Roman" w:hAnsi="Times New Roman" w:cs="Times New Roman"/>
                <w:sz w:val="24"/>
                <w:szCs w:val="24"/>
              </w:rPr>
            </w:pPr>
          </w:p>
          <w:p w14:paraId="726A907B" w14:textId="77777777" w:rsidR="00BE7920" w:rsidRDefault="00BE7920">
            <w:pPr>
              <w:pStyle w:val="Standard"/>
              <w:spacing w:after="0" w:line="240" w:lineRule="auto"/>
              <w:jc w:val="center"/>
              <w:rPr>
                <w:rFonts w:ascii="Times New Roman" w:hAnsi="Times New Roman" w:cs="Times New Roman"/>
                <w:sz w:val="24"/>
                <w:szCs w:val="24"/>
              </w:rPr>
            </w:pPr>
          </w:p>
          <w:p w14:paraId="7D35BF42" w14:textId="77777777" w:rsidR="00BE7920" w:rsidRDefault="00BE7920">
            <w:pPr>
              <w:pStyle w:val="Standard"/>
              <w:spacing w:after="0" w:line="240" w:lineRule="auto"/>
              <w:jc w:val="center"/>
              <w:rPr>
                <w:rFonts w:ascii="Times New Roman" w:hAnsi="Times New Roman" w:cs="Times New Roman"/>
                <w:sz w:val="24"/>
                <w:szCs w:val="24"/>
              </w:rPr>
            </w:pPr>
          </w:p>
          <w:p w14:paraId="11F73B7E" w14:textId="77777777" w:rsidR="00BE7920" w:rsidRDefault="00BE7920">
            <w:pPr>
              <w:pStyle w:val="Standard"/>
              <w:spacing w:after="0" w:line="240" w:lineRule="auto"/>
              <w:jc w:val="center"/>
              <w:rPr>
                <w:rFonts w:ascii="Times New Roman" w:hAnsi="Times New Roman" w:cs="Times New Roman"/>
                <w:sz w:val="24"/>
                <w:szCs w:val="24"/>
              </w:rPr>
            </w:pPr>
          </w:p>
          <w:p w14:paraId="54B215A2" w14:textId="77777777" w:rsidR="00BE7920" w:rsidRDefault="00BE7920">
            <w:pPr>
              <w:pStyle w:val="Standard"/>
              <w:spacing w:after="0" w:line="240" w:lineRule="auto"/>
              <w:jc w:val="center"/>
              <w:rPr>
                <w:rFonts w:ascii="Times New Roman" w:hAnsi="Times New Roman" w:cs="Times New Roman"/>
                <w:sz w:val="24"/>
                <w:szCs w:val="24"/>
              </w:rPr>
            </w:pPr>
          </w:p>
          <w:p w14:paraId="4EF4BEE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p w14:paraId="1E4D19C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p w14:paraId="0EE1FFE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p w14:paraId="0F22B48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p w14:paraId="4175868D"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54B7965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0EFCD1" w14:textId="77777777" w:rsidR="00BE7920" w:rsidRDefault="00BE7920">
            <w:pPr>
              <w:pStyle w:val="Standard"/>
              <w:spacing w:after="0" w:line="240" w:lineRule="auto"/>
              <w:jc w:val="center"/>
              <w:rPr>
                <w:rFonts w:ascii="Times New Roman" w:hAnsi="Times New Roman" w:cs="Times New Roman"/>
                <w:sz w:val="24"/>
                <w:szCs w:val="24"/>
              </w:rPr>
            </w:pPr>
          </w:p>
          <w:p w14:paraId="3405B1C6" w14:textId="77777777" w:rsidR="00BE7920" w:rsidRDefault="00BE7920">
            <w:pPr>
              <w:pStyle w:val="Standard"/>
              <w:spacing w:after="0" w:line="240" w:lineRule="auto"/>
              <w:jc w:val="center"/>
              <w:rPr>
                <w:rFonts w:ascii="Times New Roman" w:hAnsi="Times New Roman" w:cs="Times New Roman"/>
                <w:sz w:val="24"/>
                <w:szCs w:val="24"/>
              </w:rPr>
            </w:pPr>
          </w:p>
          <w:p w14:paraId="5981B638" w14:textId="77777777" w:rsidR="00BE7920" w:rsidRDefault="00BE7920">
            <w:pPr>
              <w:pStyle w:val="Standard"/>
              <w:spacing w:after="0" w:line="240" w:lineRule="auto"/>
              <w:jc w:val="center"/>
              <w:rPr>
                <w:rFonts w:ascii="Times New Roman" w:hAnsi="Times New Roman" w:cs="Times New Roman"/>
                <w:sz w:val="24"/>
                <w:szCs w:val="24"/>
              </w:rPr>
            </w:pPr>
          </w:p>
          <w:p w14:paraId="60387282" w14:textId="77777777" w:rsidR="00BE7920" w:rsidRDefault="00BE7920">
            <w:pPr>
              <w:pStyle w:val="Standard"/>
              <w:spacing w:after="0" w:line="240" w:lineRule="auto"/>
              <w:jc w:val="center"/>
              <w:rPr>
                <w:rFonts w:ascii="Times New Roman" w:hAnsi="Times New Roman" w:cs="Times New Roman"/>
                <w:sz w:val="24"/>
                <w:szCs w:val="24"/>
              </w:rPr>
            </w:pPr>
          </w:p>
          <w:p w14:paraId="708DE234" w14:textId="77777777" w:rsidR="00BE7920" w:rsidRDefault="00BE7920">
            <w:pPr>
              <w:pStyle w:val="Standard"/>
              <w:spacing w:after="0" w:line="240" w:lineRule="auto"/>
              <w:jc w:val="center"/>
              <w:rPr>
                <w:rFonts w:ascii="Times New Roman" w:hAnsi="Times New Roman" w:cs="Times New Roman"/>
                <w:sz w:val="24"/>
                <w:szCs w:val="24"/>
              </w:rPr>
            </w:pPr>
          </w:p>
          <w:p w14:paraId="0E2BE43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p w14:paraId="44DE1D0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63.5</w:t>
            </w:r>
          </w:p>
          <w:p w14:paraId="180C0DE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p w14:paraId="217E1C8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p w14:paraId="7E19371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p w14:paraId="286260B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1295C251"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7E552"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efficiency of the organization is significantly reduced after the mandatory </w:t>
            </w:r>
            <w:r>
              <w:rPr>
                <w:rFonts w:ascii="Times New Roman" w:hAnsi="Times New Roman" w:cs="Times New Roman"/>
                <w:sz w:val="24"/>
                <w:szCs w:val="24"/>
              </w:rPr>
              <w:lastRenderedPageBreak/>
              <w:t>retirement of experienced employees</w:t>
            </w:r>
          </w:p>
          <w:p w14:paraId="034569C3"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18F711B1"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596E8174"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7F691AE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7E3AE37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34363A1B"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5FF5DA" w14:textId="77777777" w:rsidR="00BE7920" w:rsidRDefault="00BE7920">
            <w:pPr>
              <w:pStyle w:val="Standard"/>
              <w:spacing w:after="0" w:line="240" w:lineRule="auto"/>
              <w:jc w:val="center"/>
              <w:rPr>
                <w:rFonts w:ascii="Times New Roman" w:hAnsi="Times New Roman" w:cs="Times New Roman"/>
                <w:sz w:val="24"/>
                <w:szCs w:val="24"/>
              </w:rPr>
            </w:pPr>
          </w:p>
          <w:p w14:paraId="3F677015" w14:textId="77777777" w:rsidR="00BE7920" w:rsidRDefault="00BE7920">
            <w:pPr>
              <w:pStyle w:val="Standard"/>
              <w:spacing w:after="0" w:line="240" w:lineRule="auto"/>
              <w:jc w:val="center"/>
              <w:rPr>
                <w:rFonts w:ascii="Times New Roman" w:hAnsi="Times New Roman" w:cs="Times New Roman"/>
                <w:sz w:val="24"/>
                <w:szCs w:val="24"/>
              </w:rPr>
            </w:pPr>
          </w:p>
          <w:p w14:paraId="7E439ED5" w14:textId="77777777" w:rsidR="00BE7920" w:rsidRDefault="00BE7920">
            <w:pPr>
              <w:pStyle w:val="Standard"/>
              <w:spacing w:after="0" w:line="240" w:lineRule="auto"/>
              <w:jc w:val="center"/>
              <w:rPr>
                <w:rFonts w:ascii="Times New Roman" w:hAnsi="Times New Roman" w:cs="Times New Roman"/>
                <w:sz w:val="24"/>
                <w:szCs w:val="24"/>
              </w:rPr>
            </w:pPr>
          </w:p>
          <w:p w14:paraId="03313CFB" w14:textId="77777777" w:rsidR="00BE7920" w:rsidRDefault="00BE7920">
            <w:pPr>
              <w:pStyle w:val="Standard"/>
              <w:spacing w:after="0" w:line="240" w:lineRule="auto"/>
              <w:jc w:val="center"/>
              <w:rPr>
                <w:rFonts w:ascii="Times New Roman" w:hAnsi="Times New Roman" w:cs="Times New Roman"/>
                <w:sz w:val="24"/>
                <w:szCs w:val="24"/>
              </w:rPr>
            </w:pPr>
          </w:p>
          <w:p w14:paraId="12FD165E" w14:textId="77777777" w:rsidR="00BE7920" w:rsidRDefault="00BE7920">
            <w:pPr>
              <w:pStyle w:val="Standard"/>
              <w:spacing w:after="0" w:line="240" w:lineRule="auto"/>
              <w:jc w:val="center"/>
              <w:rPr>
                <w:rFonts w:ascii="Times New Roman" w:hAnsi="Times New Roman" w:cs="Times New Roman"/>
                <w:sz w:val="24"/>
                <w:szCs w:val="24"/>
              </w:rPr>
            </w:pPr>
          </w:p>
          <w:p w14:paraId="124FDBEF" w14:textId="77777777" w:rsidR="00BE7920" w:rsidRDefault="00BE7920">
            <w:pPr>
              <w:pStyle w:val="Standard"/>
              <w:spacing w:after="0" w:line="240" w:lineRule="auto"/>
              <w:jc w:val="center"/>
              <w:rPr>
                <w:rFonts w:ascii="Times New Roman" w:hAnsi="Times New Roman" w:cs="Times New Roman"/>
                <w:sz w:val="24"/>
                <w:szCs w:val="24"/>
              </w:rPr>
            </w:pPr>
          </w:p>
          <w:p w14:paraId="1CB52AC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p w14:paraId="6D35FA2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p w14:paraId="4ACB051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p w14:paraId="698FD3B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p w14:paraId="4DBA1DC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781600C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90B83" w14:textId="77777777" w:rsidR="00BE7920" w:rsidRDefault="00BE7920">
            <w:pPr>
              <w:pStyle w:val="Standard"/>
              <w:spacing w:after="0" w:line="240" w:lineRule="auto"/>
              <w:jc w:val="center"/>
              <w:rPr>
                <w:rFonts w:ascii="Times New Roman" w:hAnsi="Times New Roman" w:cs="Times New Roman"/>
                <w:sz w:val="24"/>
                <w:szCs w:val="24"/>
              </w:rPr>
            </w:pPr>
          </w:p>
          <w:p w14:paraId="64ABA164" w14:textId="77777777" w:rsidR="00BE7920" w:rsidRDefault="00BE7920">
            <w:pPr>
              <w:pStyle w:val="Standard"/>
              <w:spacing w:after="0" w:line="240" w:lineRule="auto"/>
              <w:jc w:val="center"/>
              <w:rPr>
                <w:rFonts w:ascii="Times New Roman" w:hAnsi="Times New Roman" w:cs="Times New Roman"/>
                <w:sz w:val="24"/>
                <w:szCs w:val="24"/>
              </w:rPr>
            </w:pPr>
          </w:p>
          <w:p w14:paraId="275B5C76" w14:textId="77777777" w:rsidR="00BE7920" w:rsidRDefault="00BE7920">
            <w:pPr>
              <w:pStyle w:val="Standard"/>
              <w:spacing w:after="0" w:line="240" w:lineRule="auto"/>
              <w:jc w:val="center"/>
              <w:rPr>
                <w:rFonts w:ascii="Times New Roman" w:hAnsi="Times New Roman" w:cs="Times New Roman"/>
                <w:sz w:val="24"/>
                <w:szCs w:val="24"/>
              </w:rPr>
            </w:pPr>
          </w:p>
          <w:p w14:paraId="76F6DA41" w14:textId="77777777" w:rsidR="00BE7920" w:rsidRDefault="00BE7920">
            <w:pPr>
              <w:pStyle w:val="Standard"/>
              <w:spacing w:after="0" w:line="240" w:lineRule="auto"/>
              <w:jc w:val="center"/>
              <w:rPr>
                <w:rFonts w:ascii="Times New Roman" w:hAnsi="Times New Roman" w:cs="Times New Roman"/>
                <w:sz w:val="24"/>
                <w:szCs w:val="24"/>
              </w:rPr>
            </w:pPr>
          </w:p>
          <w:p w14:paraId="771FE313" w14:textId="77777777" w:rsidR="00BE7920" w:rsidRDefault="00BE7920">
            <w:pPr>
              <w:pStyle w:val="Standard"/>
              <w:spacing w:after="0" w:line="240" w:lineRule="auto"/>
              <w:jc w:val="center"/>
              <w:rPr>
                <w:rFonts w:ascii="Times New Roman" w:hAnsi="Times New Roman" w:cs="Times New Roman"/>
                <w:sz w:val="24"/>
                <w:szCs w:val="24"/>
              </w:rPr>
            </w:pPr>
          </w:p>
          <w:p w14:paraId="1D574CA9" w14:textId="77777777" w:rsidR="00BE7920" w:rsidRDefault="00BE7920">
            <w:pPr>
              <w:pStyle w:val="Standard"/>
              <w:spacing w:after="0" w:line="240" w:lineRule="auto"/>
              <w:jc w:val="center"/>
              <w:rPr>
                <w:rFonts w:ascii="Times New Roman" w:hAnsi="Times New Roman" w:cs="Times New Roman"/>
                <w:sz w:val="24"/>
                <w:szCs w:val="24"/>
              </w:rPr>
            </w:pPr>
          </w:p>
          <w:p w14:paraId="3924B38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p w14:paraId="500739F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58.4</w:t>
            </w:r>
          </w:p>
          <w:p w14:paraId="4047E4B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p w14:paraId="211D2EF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p w14:paraId="779FC3A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p w14:paraId="472286A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64C4FA1" w14:textId="77777777" w:rsidR="00BE7920" w:rsidRDefault="00803F08">
      <w:pPr>
        <w:pStyle w:val="Standard"/>
        <w:spacing w:after="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Research Survey 2025</w:t>
      </w:r>
    </w:p>
    <w:p w14:paraId="09B76C08" w14:textId="77777777" w:rsidR="004F0F30" w:rsidRDefault="004F0F30">
      <w:pPr>
        <w:pStyle w:val="Standard"/>
        <w:spacing w:line="360" w:lineRule="auto"/>
        <w:jc w:val="both"/>
        <w:rPr>
          <w:rFonts w:ascii="Times New Roman" w:eastAsia="Calibri" w:hAnsi="Times New Roman" w:cs="Times New Roman"/>
          <w:sz w:val="24"/>
          <w:szCs w:val="24"/>
          <w:lang w:eastAsia="zh-CN" w:bidi="hi-IN"/>
        </w:rPr>
      </w:pPr>
    </w:p>
    <w:p w14:paraId="0897A1CB" w14:textId="4AB12A7A" w:rsidR="00BE7920" w:rsidRDefault="00803F08">
      <w:pPr>
        <w:pStyle w:val="Standard"/>
        <w:spacing w:line="360" w:lineRule="auto"/>
        <w:jc w:val="both"/>
      </w:pPr>
      <w:r>
        <w:rPr>
          <w:rFonts w:ascii="Times New Roman" w:eastAsia="Calibri" w:hAnsi="Times New Roman" w:cs="Times New Roman"/>
          <w:sz w:val="24"/>
          <w:szCs w:val="24"/>
          <w:lang w:eastAsia="zh-CN" w:bidi="hi-IN"/>
        </w:rPr>
        <w:t xml:space="preserve">Table 4 above revealed the responses gotten from the field on </w:t>
      </w:r>
      <w:r>
        <w:rPr>
          <w:rFonts w:ascii="Times New Roman" w:hAnsi="Times New Roman" w:cs="Times New Roman"/>
          <w:bCs/>
          <w:sz w:val="24"/>
          <w:szCs w:val="24"/>
        </w:rPr>
        <w:t xml:space="preserve">mandatory retirement and organizational performance, specifically focusing on productivity, profitability, and efficiency, </w:t>
      </w:r>
      <w:r>
        <w:rPr>
          <w:rFonts w:ascii="Times New Roman" w:eastAsia="Calibri" w:hAnsi="Times New Roman" w:cs="Times New Roman"/>
          <w:sz w:val="24"/>
          <w:szCs w:val="24"/>
          <w:lang w:eastAsia="zh-CN" w:bidi="hi-IN"/>
        </w:rPr>
        <w:t xml:space="preserve">49(10.8%) and 228(63.5%) of the respondents strongly agreed and agreed that </w:t>
      </w:r>
      <w:r>
        <w:rPr>
          <w:rFonts w:ascii="Times New Roman" w:hAnsi="Times New Roman" w:cs="Times New Roman"/>
          <w:sz w:val="24"/>
          <w:szCs w:val="24"/>
        </w:rPr>
        <w:t>the retirement of high-performing employees significantly decreases the productivity levels within the organization,</w:t>
      </w:r>
      <w:r>
        <w:rPr>
          <w:rFonts w:ascii="Times New Roman" w:eastAsia="Calibri" w:hAnsi="Times New Roman" w:cs="Times New Roman"/>
          <w:sz w:val="24"/>
          <w:szCs w:val="24"/>
        </w:rPr>
        <w:t xml:space="preserve"> while 47(10.4%) disagreed. Similarly, 50(11.1%) and 286(63.5%) of the respondents strongly agreed and agreed that</w:t>
      </w:r>
      <w:r>
        <w:rPr>
          <w:rFonts w:ascii="Times New Roman" w:hAnsi="Times New Roman" w:cs="Times New Roman"/>
          <w:sz w:val="24"/>
          <w:szCs w:val="24"/>
        </w:rPr>
        <w:t xml:space="preserve"> the mandatory retirement of high-performing employees negatively impacts the organization's profitability, </w:t>
      </w:r>
      <w:r>
        <w:rPr>
          <w:rFonts w:ascii="Times New Roman" w:eastAsia="Calibri" w:hAnsi="Times New Roman" w:cs="Times New Roman"/>
          <w:sz w:val="24"/>
          <w:szCs w:val="24"/>
        </w:rPr>
        <w:t>while 46(9.8%) disagreed and 52(11.5%) are neutral.</w:t>
      </w:r>
      <w:r>
        <w:t xml:space="preserve"> </w:t>
      </w:r>
      <w:r>
        <w:rPr>
          <w:rFonts w:ascii="Times New Roman" w:eastAsia="Calibri" w:hAnsi="Times New Roman" w:cs="Times New Roman"/>
          <w:sz w:val="24"/>
          <w:szCs w:val="24"/>
        </w:rPr>
        <w:t xml:space="preserve">Moreover, 56(12.2%) and 265(38.7%) of the respondents strongly agreed and agreed that </w:t>
      </w:r>
      <w:r>
        <w:rPr>
          <w:rFonts w:ascii="Times New Roman" w:hAnsi="Times New Roman" w:cs="Times New Roman"/>
          <w:sz w:val="24"/>
          <w:szCs w:val="24"/>
        </w:rPr>
        <w:t xml:space="preserve">the efficiency of the organization is significantly reduced after the mandatory retirement of experienced employees, </w:t>
      </w:r>
      <w:r>
        <w:rPr>
          <w:rFonts w:ascii="Times New Roman" w:eastAsia="Times New Roman" w:hAnsi="Times New Roman" w:cs="Times New Roman"/>
          <w:color w:val="0E101A"/>
          <w:sz w:val="24"/>
          <w:szCs w:val="24"/>
        </w:rPr>
        <w:t xml:space="preserve">while 40(8.8%) disagreed and 75(16.6%) are neutral. These responses revealed that </w:t>
      </w:r>
      <w:r>
        <w:rPr>
          <w:rFonts w:ascii="Times New Roman" w:hAnsi="Times New Roman" w:cs="Times New Roman"/>
          <w:bCs/>
          <w:sz w:val="24"/>
          <w:szCs w:val="24"/>
        </w:rPr>
        <w:t>mandatory retirement affects organizational performance and productivity</w:t>
      </w:r>
      <w:r>
        <w:rPr>
          <w:rFonts w:ascii="Times New Roman" w:hAnsi="Times New Roman" w:cs="Times New Roman"/>
          <w:b/>
          <w:bCs/>
          <w:sz w:val="24"/>
          <w:szCs w:val="24"/>
        </w:rPr>
        <w:t>.</w:t>
      </w:r>
    </w:p>
    <w:p w14:paraId="3C26951B" w14:textId="77777777" w:rsidR="00BE7920" w:rsidRDefault="00803F08">
      <w:pPr>
        <w:pStyle w:val="Standard"/>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5: Mandatory retirement policies and their timing on the long-term competitiveness and sustainability of the organization</w:t>
      </w:r>
    </w:p>
    <w:tbl>
      <w:tblPr>
        <w:tblW w:w="9350" w:type="dxa"/>
        <w:tblInd w:w="-108" w:type="dxa"/>
        <w:tblLayout w:type="fixed"/>
        <w:tblCellMar>
          <w:left w:w="10" w:type="dxa"/>
          <w:right w:w="10" w:type="dxa"/>
        </w:tblCellMar>
        <w:tblLook w:val="0000" w:firstRow="0" w:lastRow="0" w:firstColumn="0" w:lastColumn="0" w:noHBand="0" w:noVBand="0"/>
      </w:tblPr>
      <w:tblGrid>
        <w:gridCol w:w="3116"/>
        <w:gridCol w:w="3115"/>
        <w:gridCol w:w="3119"/>
      </w:tblGrid>
      <w:tr w:rsidR="00BE7920" w14:paraId="4AA4DC2E"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32F4AB"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E0FF04"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40D73" w14:textId="77777777" w:rsidR="00BE7920" w:rsidRDefault="00803F08">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BE7920" w14:paraId="174BF29B"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9F9DAA"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The timing of mandatory retirement plays a crucial role in maintaining the long-term competitiveness of the organization.</w:t>
            </w:r>
          </w:p>
          <w:p w14:paraId="53704B23"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15FF6964"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027AD57B"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3D5C9358"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238D71A3"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044D3C75" w14:textId="77777777" w:rsidR="00BE7920" w:rsidRDefault="00803F08">
            <w:pPr>
              <w:pStyle w:val="Standard"/>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14F77F" w14:textId="77777777" w:rsidR="00BE7920" w:rsidRDefault="00BE7920">
            <w:pPr>
              <w:pStyle w:val="Standard"/>
              <w:spacing w:after="0" w:line="240" w:lineRule="auto"/>
              <w:jc w:val="center"/>
              <w:rPr>
                <w:rFonts w:ascii="Times New Roman" w:hAnsi="Times New Roman" w:cs="Times New Roman"/>
                <w:sz w:val="24"/>
                <w:szCs w:val="24"/>
              </w:rPr>
            </w:pPr>
          </w:p>
          <w:p w14:paraId="1967964F" w14:textId="77777777" w:rsidR="00BE7920" w:rsidRDefault="00BE7920">
            <w:pPr>
              <w:pStyle w:val="Standard"/>
              <w:spacing w:after="0" w:line="240" w:lineRule="auto"/>
              <w:jc w:val="center"/>
              <w:rPr>
                <w:rFonts w:ascii="Times New Roman" w:hAnsi="Times New Roman" w:cs="Times New Roman"/>
                <w:sz w:val="24"/>
                <w:szCs w:val="24"/>
              </w:rPr>
            </w:pPr>
          </w:p>
          <w:p w14:paraId="35FE2001" w14:textId="77777777" w:rsidR="00BE7920" w:rsidRDefault="00BE7920">
            <w:pPr>
              <w:pStyle w:val="Standard"/>
              <w:spacing w:after="0" w:line="240" w:lineRule="auto"/>
              <w:jc w:val="center"/>
              <w:rPr>
                <w:rFonts w:ascii="Times New Roman" w:hAnsi="Times New Roman" w:cs="Times New Roman"/>
                <w:sz w:val="24"/>
                <w:szCs w:val="24"/>
              </w:rPr>
            </w:pPr>
          </w:p>
          <w:p w14:paraId="711E8EE4" w14:textId="77777777" w:rsidR="00BE7920" w:rsidRDefault="00BE7920">
            <w:pPr>
              <w:pStyle w:val="Standard"/>
              <w:spacing w:after="0" w:line="240" w:lineRule="auto"/>
              <w:jc w:val="center"/>
              <w:rPr>
                <w:rFonts w:ascii="Times New Roman" w:hAnsi="Times New Roman" w:cs="Times New Roman"/>
                <w:sz w:val="24"/>
                <w:szCs w:val="24"/>
              </w:rPr>
            </w:pPr>
          </w:p>
          <w:p w14:paraId="3C5CBA70" w14:textId="77777777" w:rsidR="00BE7920" w:rsidRDefault="00BE7920">
            <w:pPr>
              <w:pStyle w:val="Standard"/>
              <w:spacing w:after="0" w:line="240" w:lineRule="auto"/>
              <w:jc w:val="center"/>
              <w:rPr>
                <w:rFonts w:ascii="Times New Roman" w:hAnsi="Times New Roman" w:cs="Times New Roman"/>
                <w:sz w:val="24"/>
                <w:szCs w:val="24"/>
              </w:rPr>
            </w:pPr>
          </w:p>
          <w:p w14:paraId="4C692D0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p w14:paraId="79F17DA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286</w:t>
            </w:r>
          </w:p>
          <w:p w14:paraId="406E18CE"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p w14:paraId="5ABA6609"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p w14:paraId="3BE940E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7E6B013A" w14:textId="77777777" w:rsidR="00BE7920" w:rsidRDefault="00BE7920">
            <w:pPr>
              <w:pStyle w:val="Standard"/>
              <w:spacing w:after="0" w:line="240" w:lineRule="auto"/>
              <w:jc w:val="center"/>
              <w:rPr>
                <w:rFonts w:ascii="Times New Roman" w:hAnsi="Times New Roman" w:cs="Times New Roman"/>
                <w:sz w:val="24"/>
                <w:szCs w:val="24"/>
              </w:rPr>
            </w:pPr>
          </w:p>
          <w:p w14:paraId="6A1B1A2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C870B1" w14:textId="77777777" w:rsidR="00BE7920" w:rsidRDefault="00BE7920">
            <w:pPr>
              <w:pStyle w:val="Standard"/>
              <w:spacing w:after="0" w:line="240" w:lineRule="auto"/>
              <w:jc w:val="center"/>
              <w:rPr>
                <w:rFonts w:ascii="Times New Roman" w:hAnsi="Times New Roman" w:cs="Times New Roman"/>
                <w:sz w:val="24"/>
                <w:szCs w:val="24"/>
              </w:rPr>
            </w:pPr>
          </w:p>
          <w:p w14:paraId="2097F432" w14:textId="77777777" w:rsidR="00BE7920" w:rsidRDefault="00BE7920">
            <w:pPr>
              <w:pStyle w:val="Standard"/>
              <w:spacing w:after="0" w:line="240" w:lineRule="auto"/>
              <w:jc w:val="center"/>
              <w:rPr>
                <w:rFonts w:ascii="Times New Roman" w:hAnsi="Times New Roman" w:cs="Times New Roman"/>
                <w:sz w:val="24"/>
                <w:szCs w:val="24"/>
              </w:rPr>
            </w:pPr>
          </w:p>
          <w:p w14:paraId="007FD6FE" w14:textId="77777777" w:rsidR="00BE7920" w:rsidRDefault="00BE7920">
            <w:pPr>
              <w:pStyle w:val="Standard"/>
              <w:spacing w:after="0" w:line="240" w:lineRule="auto"/>
              <w:jc w:val="center"/>
              <w:rPr>
                <w:rFonts w:ascii="Times New Roman" w:hAnsi="Times New Roman" w:cs="Times New Roman"/>
                <w:sz w:val="24"/>
                <w:szCs w:val="24"/>
              </w:rPr>
            </w:pPr>
          </w:p>
          <w:p w14:paraId="436783EC" w14:textId="77777777" w:rsidR="00BE7920" w:rsidRDefault="00BE7920">
            <w:pPr>
              <w:pStyle w:val="Standard"/>
              <w:spacing w:after="0" w:line="240" w:lineRule="auto"/>
              <w:jc w:val="center"/>
              <w:rPr>
                <w:rFonts w:ascii="Times New Roman" w:hAnsi="Times New Roman" w:cs="Times New Roman"/>
                <w:sz w:val="24"/>
                <w:szCs w:val="24"/>
              </w:rPr>
            </w:pPr>
          </w:p>
          <w:p w14:paraId="753CD0AB" w14:textId="77777777" w:rsidR="00BE7920" w:rsidRDefault="00BE7920">
            <w:pPr>
              <w:pStyle w:val="Standard"/>
              <w:spacing w:after="0" w:line="240" w:lineRule="auto"/>
              <w:jc w:val="center"/>
              <w:rPr>
                <w:rFonts w:ascii="Times New Roman" w:hAnsi="Times New Roman" w:cs="Times New Roman"/>
                <w:sz w:val="24"/>
                <w:szCs w:val="24"/>
              </w:rPr>
            </w:pPr>
          </w:p>
          <w:p w14:paraId="391E36E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p w14:paraId="572DA68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63.3</w:t>
            </w:r>
          </w:p>
          <w:p w14:paraId="0D5A0B4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p w14:paraId="527000F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p w14:paraId="2DE1802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p w14:paraId="3EFD7CFB" w14:textId="77777777" w:rsidR="00BE7920" w:rsidRDefault="00BE7920">
            <w:pPr>
              <w:pStyle w:val="Standard"/>
              <w:spacing w:after="0" w:line="240" w:lineRule="auto"/>
              <w:jc w:val="center"/>
              <w:rPr>
                <w:rFonts w:ascii="Times New Roman" w:hAnsi="Times New Roman" w:cs="Times New Roman"/>
                <w:sz w:val="24"/>
                <w:szCs w:val="24"/>
              </w:rPr>
            </w:pPr>
          </w:p>
          <w:p w14:paraId="1DB080D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5CD0F45C"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A6DBC1"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satisfied with the current retirement policies regarding the long-term sustainability </w:t>
            </w:r>
            <w:r>
              <w:rPr>
                <w:rFonts w:ascii="Times New Roman" w:hAnsi="Times New Roman" w:cs="Times New Roman"/>
                <w:sz w:val="24"/>
                <w:szCs w:val="24"/>
              </w:rPr>
              <w:lastRenderedPageBreak/>
              <w:t>and success of the organization.</w:t>
            </w:r>
          </w:p>
          <w:p w14:paraId="374964D7"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15AE4AE6"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5A7C1545"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6548EF5A"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3A133021"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0D2A3310" w14:textId="77777777" w:rsidR="00BE7920" w:rsidRDefault="00803F08">
            <w:pPr>
              <w:pStyle w:val="Standard"/>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F5B4D2" w14:textId="77777777" w:rsidR="00BE7920" w:rsidRDefault="00BE7920">
            <w:pPr>
              <w:pStyle w:val="Standard"/>
              <w:spacing w:after="0" w:line="240" w:lineRule="auto"/>
              <w:jc w:val="center"/>
              <w:rPr>
                <w:rFonts w:ascii="Times New Roman" w:hAnsi="Times New Roman" w:cs="Times New Roman"/>
                <w:sz w:val="24"/>
                <w:szCs w:val="24"/>
              </w:rPr>
            </w:pPr>
          </w:p>
          <w:p w14:paraId="3B26A51F" w14:textId="77777777" w:rsidR="00BE7920" w:rsidRDefault="00BE7920">
            <w:pPr>
              <w:pStyle w:val="Standard"/>
              <w:spacing w:after="0" w:line="240" w:lineRule="auto"/>
              <w:jc w:val="center"/>
              <w:rPr>
                <w:rFonts w:ascii="Times New Roman" w:hAnsi="Times New Roman" w:cs="Times New Roman"/>
                <w:sz w:val="24"/>
                <w:szCs w:val="24"/>
              </w:rPr>
            </w:pPr>
          </w:p>
          <w:p w14:paraId="54995F04" w14:textId="77777777" w:rsidR="00BE7920" w:rsidRDefault="00BE7920">
            <w:pPr>
              <w:pStyle w:val="Standard"/>
              <w:spacing w:after="0" w:line="240" w:lineRule="auto"/>
              <w:jc w:val="center"/>
              <w:rPr>
                <w:rFonts w:ascii="Times New Roman" w:hAnsi="Times New Roman" w:cs="Times New Roman"/>
                <w:sz w:val="24"/>
                <w:szCs w:val="24"/>
              </w:rPr>
            </w:pPr>
          </w:p>
          <w:p w14:paraId="1ADF049B" w14:textId="77777777" w:rsidR="00BE7920" w:rsidRDefault="00BE7920">
            <w:pPr>
              <w:pStyle w:val="Standard"/>
              <w:spacing w:after="0" w:line="240" w:lineRule="auto"/>
              <w:jc w:val="center"/>
              <w:rPr>
                <w:rFonts w:ascii="Times New Roman" w:hAnsi="Times New Roman" w:cs="Times New Roman"/>
                <w:sz w:val="24"/>
                <w:szCs w:val="24"/>
              </w:rPr>
            </w:pPr>
          </w:p>
          <w:p w14:paraId="78C07437" w14:textId="77777777" w:rsidR="00BE7920" w:rsidRDefault="00BE7920">
            <w:pPr>
              <w:pStyle w:val="Standard"/>
              <w:spacing w:after="0" w:line="240" w:lineRule="auto"/>
              <w:jc w:val="center"/>
              <w:rPr>
                <w:rFonts w:ascii="Times New Roman" w:hAnsi="Times New Roman" w:cs="Times New Roman"/>
                <w:sz w:val="24"/>
                <w:szCs w:val="24"/>
              </w:rPr>
            </w:pPr>
          </w:p>
          <w:p w14:paraId="0A374DE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06B379C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p w14:paraId="2E543E6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p w14:paraId="70EAF79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p w14:paraId="0128631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056D8AE0" w14:textId="77777777" w:rsidR="00BE7920" w:rsidRDefault="00BE7920">
            <w:pPr>
              <w:pStyle w:val="Standard"/>
              <w:spacing w:after="0" w:line="240" w:lineRule="auto"/>
              <w:jc w:val="center"/>
              <w:rPr>
                <w:rFonts w:ascii="Times New Roman" w:hAnsi="Times New Roman" w:cs="Times New Roman"/>
                <w:sz w:val="24"/>
                <w:szCs w:val="24"/>
              </w:rPr>
            </w:pPr>
          </w:p>
          <w:p w14:paraId="567564FA"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AFB998" w14:textId="77777777" w:rsidR="00BE7920" w:rsidRDefault="00BE7920">
            <w:pPr>
              <w:pStyle w:val="Standard"/>
              <w:spacing w:after="0" w:line="240" w:lineRule="auto"/>
              <w:jc w:val="center"/>
              <w:rPr>
                <w:rFonts w:ascii="Times New Roman" w:hAnsi="Times New Roman" w:cs="Times New Roman"/>
                <w:sz w:val="24"/>
                <w:szCs w:val="24"/>
              </w:rPr>
            </w:pPr>
          </w:p>
          <w:p w14:paraId="206FF6F4" w14:textId="77777777" w:rsidR="00BE7920" w:rsidRDefault="00BE7920">
            <w:pPr>
              <w:pStyle w:val="Standard"/>
              <w:spacing w:after="0" w:line="240" w:lineRule="auto"/>
              <w:jc w:val="center"/>
              <w:rPr>
                <w:rFonts w:ascii="Times New Roman" w:hAnsi="Times New Roman" w:cs="Times New Roman"/>
                <w:sz w:val="24"/>
                <w:szCs w:val="24"/>
              </w:rPr>
            </w:pPr>
          </w:p>
          <w:p w14:paraId="0261B680" w14:textId="77777777" w:rsidR="00BE7920" w:rsidRDefault="00BE7920">
            <w:pPr>
              <w:pStyle w:val="Standard"/>
              <w:spacing w:after="0" w:line="240" w:lineRule="auto"/>
              <w:jc w:val="center"/>
              <w:rPr>
                <w:rFonts w:ascii="Times New Roman" w:hAnsi="Times New Roman" w:cs="Times New Roman"/>
                <w:sz w:val="24"/>
                <w:szCs w:val="24"/>
              </w:rPr>
            </w:pPr>
          </w:p>
          <w:p w14:paraId="79A30764" w14:textId="77777777" w:rsidR="00BE7920" w:rsidRDefault="00BE7920">
            <w:pPr>
              <w:pStyle w:val="Standard"/>
              <w:spacing w:after="0" w:line="240" w:lineRule="auto"/>
              <w:jc w:val="center"/>
              <w:rPr>
                <w:rFonts w:ascii="Times New Roman" w:hAnsi="Times New Roman" w:cs="Times New Roman"/>
                <w:sz w:val="24"/>
                <w:szCs w:val="24"/>
              </w:rPr>
            </w:pPr>
          </w:p>
          <w:p w14:paraId="7E5F7EB0" w14:textId="77777777" w:rsidR="00BE7920" w:rsidRDefault="00BE7920">
            <w:pPr>
              <w:pStyle w:val="Standard"/>
              <w:spacing w:after="0" w:line="240" w:lineRule="auto"/>
              <w:jc w:val="center"/>
              <w:rPr>
                <w:rFonts w:ascii="Times New Roman" w:hAnsi="Times New Roman" w:cs="Times New Roman"/>
                <w:sz w:val="24"/>
                <w:szCs w:val="24"/>
              </w:rPr>
            </w:pPr>
          </w:p>
          <w:p w14:paraId="308C2458"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p w14:paraId="0B5B07EF"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56.9</w:t>
            </w:r>
          </w:p>
          <w:p w14:paraId="3E4C05A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p w14:paraId="0580FF5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p w14:paraId="40D00D70"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p w14:paraId="08A045F3" w14:textId="77777777" w:rsidR="00BE7920" w:rsidRDefault="00BE7920">
            <w:pPr>
              <w:pStyle w:val="Standard"/>
              <w:spacing w:after="0" w:line="240" w:lineRule="auto"/>
              <w:jc w:val="center"/>
              <w:rPr>
                <w:rFonts w:ascii="Times New Roman" w:hAnsi="Times New Roman" w:cs="Times New Roman"/>
                <w:sz w:val="24"/>
                <w:szCs w:val="24"/>
              </w:rPr>
            </w:pPr>
          </w:p>
          <w:p w14:paraId="07A840F7"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E7920" w14:paraId="5A8CF82D" w14:textId="77777777">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3B42D7" w14:textId="77777777" w:rsidR="00BE7920" w:rsidRDefault="00803F0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mandatory retirement policies hinder the development of skilled workers and reduce the long-term competitiveness of the organization.</w:t>
            </w:r>
          </w:p>
          <w:p w14:paraId="17800EA5"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p w14:paraId="26BE8FEF"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14:paraId="77A47BF1"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Neutral</w:t>
            </w:r>
          </w:p>
          <w:p w14:paraId="7C33CE9F"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Disagree</w:t>
            </w:r>
          </w:p>
          <w:p w14:paraId="6A8AB68D"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w:t>
            </w:r>
          </w:p>
          <w:p w14:paraId="668A24C0" w14:textId="77777777" w:rsidR="00BE7920" w:rsidRDefault="00803F08">
            <w:pPr>
              <w:pStyle w:val="Standard"/>
              <w:numPr>
                <w:ilvl w:val="1"/>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0B84F" w14:textId="77777777" w:rsidR="00BE7920" w:rsidRDefault="00BE7920">
            <w:pPr>
              <w:pStyle w:val="Standard"/>
              <w:spacing w:after="0" w:line="240" w:lineRule="auto"/>
              <w:jc w:val="center"/>
              <w:rPr>
                <w:rFonts w:ascii="Times New Roman" w:hAnsi="Times New Roman" w:cs="Times New Roman"/>
                <w:sz w:val="24"/>
                <w:szCs w:val="24"/>
              </w:rPr>
            </w:pPr>
          </w:p>
          <w:p w14:paraId="029B9162" w14:textId="77777777" w:rsidR="00BE7920" w:rsidRDefault="00BE7920">
            <w:pPr>
              <w:pStyle w:val="Standard"/>
              <w:spacing w:after="0" w:line="240" w:lineRule="auto"/>
              <w:jc w:val="center"/>
              <w:rPr>
                <w:rFonts w:ascii="Times New Roman" w:hAnsi="Times New Roman" w:cs="Times New Roman"/>
                <w:sz w:val="24"/>
                <w:szCs w:val="24"/>
              </w:rPr>
            </w:pPr>
          </w:p>
          <w:p w14:paraId="2525188C" w14:textId="77777777" w:rsidR="00BE7920" w:rsidRDefault="00BE7920">
            <w:pPr>
              <w:pStyle w:val="Standard"/>
              <w:spacing w:after="0" w:line="240" w:lineRule="auto"/>
              <w:jc w:val="center"/>
              <w:rPr>
                <w:rFonts w:ascii="Times New Roman" w:hAnsi="Times New Roman" w:cs="Times New Roman"/>
                <w:sz w:val="24"/>
                <w:szCs w:val="24"/>
              </w:rPr>
            </w:pPr>
          </w:p>
          <w:p w14:paraId="1B2B7254" w14:textId="77777777" w:rsidR="00BE7920" w:rsidRDefault="00BE7920">
            <w:pPr>
              <w:pStyle w:val="Standard"/>
              <w:spacing w:after="0" w:line="240" w:lineRule="auto"/>
              <w:jc w:val="center"/>
              <w:rPr>
                <w:rFonts w:ascii="Times New Roman" w:hAnsi="Times New Roman" w:cs="Times New Roman"/>
                <w:sz w:val="24"/>
                <w:szCs w:val="24"/>
              </w:rPr>
            </w:pPr>
          </w:p>
          <w:p w14:paraId="6CCDC539" w14:textId="77777777" w:rsidR="00BE7920" w:rsidRDefault="00BE7920">
            <w:pPr>
              <w:pStyle w:val="Standard"/>
              <w:spacing w:after="0" w:line="240" w:lineRule="auto"/>
              <w:jc w:val="center"/>
              <w:rPr>
                <w:rFonts w:ascii="Times New Roman" w:hAnsi="Times New Roman" w:cs="Times New Roman"/>
                <w:sz w:val="24"/>
                <w:szCs w:val="24"/>
              </w:rPr>
            </w:pPr>
          </w:p>
          <w:p w14:paraId="2D140B34" w14:textId="77777777" w:rsidR="00BE7920" w:rsidRDefault="00BE7920">
            <w:pPr>
              <w:pStyle w:val="Standard"/>
              <w:spacing w:after="0" w:line="240" w:lineRule="auto"/>
              <w:jc w:val="center"/>
              <w:rPr>
                <w:rFonts w:ascii="Times New Roman" w:hAnsi="Times New Roman" w:cs="Times New Roman"/>
                <w:sz w:val="24"/>
                <w:szCs w:val="24"/>
              </w:rPr>
            </w:pPr>
          </w:p>
          <w:p w14:paraId="74FE8827" w14:textId="77777777" w:rsidR="00BE7920" w:rsidRDefault="00BE7920">
            <w:pPr>
              <w:pStyle w:val="Standard"/>
              <w:spacing w:after="0" w:line="240" w:lineRule="auto"/>
              <w:jc w:val="center"/>
              <w:rPr>
                <w:rFonts w:ascii="Times New Roman" w:hAnsi="Times New Roman" w:cs="Times New Roman"/>
                <w:sz w:val="24"/>
                <w:szCs w:val="24"/>
              </w:rPr>
            </w:pPr>
          </w:p>
          <w:p w14:paraId="63BA3E3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p w14:paraId="7AF0F21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p w14:paraId="0883FB6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p w14:paraId="4A4F7382"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p w14:paraId="650F0FB3"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0DDA3F3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451</w:t>
            </w: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B6E344" w14:textId="77777777" w:rsidR="00BE7920" w:rsidRDefault="00BE7920">
            <w:pPr>
              <w:pStyle w:val="Standard"/>
              <w:spacing w:after="0" w:line="240" w:lineRule="auto"/>
              <w:jc w:val="center"/>
              <w:rPr>
                <w:rFonts w:ascii="Times New Roman" w:hAnsi="Times New Roman" w:cs="Times New Roman"/>
                <w:sz w:val="24"/>
                <w:szCs w:val="24"/>
              </w:rPr>
            </w:pPr>
          </w:p>
          <w:p w14:paraId="6B395E79" w14:textId="77777777" w:rsidR="00BE7920" w:rsidRDefault="00BE7920">
            <w:pPr>
              <w:pStyle w:val="Standard"/>
              <w:spacing w:after="0" w:line="240" w:lineRule="auto"/>
              <w:jc w:val="center"/>
              <w:rPr>
                <w:rFonts w:ascii="Times New Roman" w:hAnsi="Times New Roman" w:cs="Times New Roman"/>
                <w:sz w:val="24"/>
                <w:szCs w:val="24"/>
              </w:rPr>
            </w:pPr>
          </w:p>
          <w:p w14:paraId="12EA3FB2" w14:textId="77777777" w:rsidR="00BE7920" w:rsidRDefault="00BE7920">
            <w:pPr>
              <w:pStyle w:val="Standard"/>
              <w:spacing w:after="0" w:line="240" w:lineRule="auto"/>
              <w:jc w:val="center"/>
              <w:rPr>
                <w:rFonts w:ascii="Times New Roman" w:hAnsi="Times New Roman" w:cs="Times New Roman"/>
                <w:sz w:val="24"/>
                <w:szCs w:val="24"/>
              </w:rPr>
            </w:pPr>
          </w:p>
          <w:p w14:paraId="3F9A4D55" w14:textId="77777777" w:rsidR="00BE7920" w:rsidRDefault="00BE7920">
            <w:pPr>
              <w:pStyle w:val="Standard"/>
              <w:spacing w:after="0" w:line="240" w:lineRule="auto"/>
              <w:jc w:val="center"/>
              <w:rPr>
                <w:rFonts w:ascii="Times New Roman" w:hAnsi="Times New Roman" w:cs="Times New Roman"/>
                <w:sz w:val="24"/>
                <w:szCs w:val="24"/>
              </w:rPr>
            </w:pPr>
          </w:p>
          <w:p w14:paraId="1D957C2A" w14:textId="77777777" w:rsidR="00BE7920" w:rsidRDefault="00BE7920">
            <w:pPr>
              <w:pStyle w:val="Standard"/>
              <w:spacing w:after="0" w:line="240" w:lineRule="auto"/>
              <w:jc w:val="center"/>
              <w:rPr>
                <w:rFonts w:ascii="Times New Roman" w:hAnsi="Times New Roman" w:cs="Times New Roman"/>
                <w:sz w:val="24"/>
                <w:szCs w:val="24"/>
              </w:rPr>
            </w:pPr>
          </w:p>
          <w:p w14:paraId="0AC91946" w14:textId="77777777" w:rsidR="00BE7920" w:rsidRDefault="00BE7920">
            <w:pPr>
              <w:pStyle w:val="Standard"/>
              <w:spacing w:after="0" w:line="240" w:lineRule="auto"/>
              <w:jc w:val="center"/>
              <w:rPr>
                <w:rFonts w:ascii="Times New Roman" w:hAnsi="Times New Roman" w:cs="Times New Roman"/>
                <w:sz w:val="24"/>
                <w:szCs w:val="24"/>
              </w:rPr>
            </w:pPr>
          </w:p>
          <w:p w14:paraId="5FDB46E1" w14:textId="77777777" w:rsidR="00BE7920" w:rsidRDefault="00BE7920">
            <w:pPr>
              <w:pStyle w:val="Standard"/>
              <w:spacing w:after="0" w:line="240" w:lineRule="auto"/>
              <w:jc w:val="center"/>
              <w:rPr>
                <w:rFonts w:ascii="Times New Roman" w:hAnsi="Times New Roman" w:cs="Times New Roman"/>
                <w:sz w:val="24"/>
                <w:szCs w:val="24"/>
              </w:rPr>
            </w:pPr>
          </w:p>
          <w:p w14:paraId="7A3B0545"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4546189C"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63.7</w:t>
            </w:r>
          </w:p>
          <w:p w14:paraId="2D2AEBE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p w14:paraId="62A968A4"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p w14:paraId="1820465B"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p w14:paraId="2937BE51" w14:textId="77777777" w:rsidR="00BE7920" w:rsidRDefault="00803F08">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D19AC83" w14:textId="77777777" w:rsidR="00BE7920" w:rsidRDefault="00803F08">
      <w:pPr>
        <w:pStyle w:val="Standard"/>
        <w:spacing w:after="0" w:line="240" w:lineRule="auto"/>
        <w:rPr>
          <w:rFonts w:ascii="Times New Roman" w:hAnsi="Times New Roman" w:cs="Times New Roman"/>
          <w:b/>
          <w:i/>
          <w:sz w:val="24"/>
          <w:szCs w:val="24"/>
        </w:rPr>
      </w:pPr>
      <w:r>
        <w:rPr>
          <w:rFonts w:ascii="Times New Roman" w:hAnsi="Times New Roman" w:cs="Times New Roman"/>
          <w:b/>
          <w:i/>
          <w:sz w:val="24"/>
          <w:szCs w:val="24"/>
        </w:rPr>
        <w:t>Research Survey 2025</w:t>
      </w:r>
    </w:p>
    <w:p w14:paraId="0CFC1973" w14:textId="77777777" w:rsidR="00BE7920" w:rsidRDefault="00803F08">
      <w:pPr>
        <w:pStyle w:val="Standard"/>
        <w:spacing w:line="360" w:lineRule="auto"/>
        <w:jc w:val="both"/>
      </w:pPr>
      <w:r>
        <w:rPr>
          <w:rFonts w:ascii="Times New Roman" w:eastAsia="Calibri" w:hAnsi="Times New Roman" w:cs="Times New Roman"/>
          <w:sz w:val="24"/>
          <w:szCs w:val="24"/>
          <w:lang w:eastAsia="zh-CN" w:bidi="hi-IN"/>
        </w:rPr>
        <w:t xml:space="preserve">The table 5 above revealed the responses gotten from the field on </w:t>
      </w:r>
      <w:r>
        <w:rPr>
          <w:rFonts w:ascii="Times New Roman" w:hAnsi="Times New Roman" w:cs="Times New Roman"/>
          <w:bCs/>
          <w:sz w:val="24"/>
          <w:szCs w:val="24"/>
        </w:rPr>
        <w:t>mandatory retirement policies and their timing on the long-term competitiveness and sustainability of the organization</w:t>
      </w:r>
      <w:r>
        <w:rPr>
          <w:rFonts w:ascii="Times New Roman" w:hAnsi="Times New Roman" w:cs="Times New Roman"/>
          <w:b/>
          <w:bCs/>
          <w:sz w:val="24"/>
          <w:szCs w:val="24"/>
        </w:rPr>
        <w:t>.</w:t>
      </w:r>
      <w:r>
        <w:rPr>
          <w:rFonts w:ascii="Times New Roman" w:eastAsia="Calibri" w:hAnsi="Times New Roman" w:cs="Times New Roman"/>
          <w:sz w:val="24"/>
          <w:szCs w:val="24"/>
          <w:lang w:eastAsia="zh-CN" w:bidi="hi-IN"/>
        </w:rPr>
        <w:t xml:space="preserve">65(14.4%) and 286(63.3%) of the respondents strongly agreed and agreed that </w:t>
      </w:r>
      <w:r>
        <w:rPr>
          <w:rFonts w:ascii="Times New Roman" w:hAnsi="Times New Roman" w:cs="Times New Roman"/>
          <w:sz w:val="24"/>
          <w:szCs w:val="24"/>
        </w:rPr>
        <w:t>the timing of mandatory retirement plays a crucial role in maintaining the long-term competitiveness of the organization</w:t>
      </w:r>
      <w:r>
        <w:rPr>
          <w:rFonts w:ascii="Times New Roman" w:eastAsia="Calibri" w:hAnsi="Times New Roman" w:cs="Times New Roman"/>
          <w:sz w:val="24"/>
          <w:szCs w:val="24"/>
        </w:rPr>
        <w:t xml:space="preserve"> while 36(10.4%) disagreed. Similarly, 30(6.6%) and 257(56.9%) of the respondent strongly agreed and agreed </w:t>
      </w:r>
      <w:r>
        <w:rPr>
          <w:rFonts w:ascii="Times New Roman" w:hAnsi="Times New Roman" w:cs="Times New Roman"/>
          <w:sz w:val="24"/>
          <w:szCs w:val="24"/>
        </w:rPr>
        <w:t>with the current retirement policies regarding the long-term sustainability and success of the organization</w:t>
      </w:r>
      <w:r>
        <w:rPr>
          <w:rFonts w:ascii="Times New Roman" w:eastAsia="Calibri" w:hAnsi="Times New Roman" w:cs="Times New Roman"/>
          <w:sz w:val="24"/>
          <w:szCs w:val="24"/>
        </w:rPr>
        <w:t xml:space="preserve"> while 67(14.8%) disagreed and 79(17.5%) are neutral.</w:t>
      </w:r>
      <w:r>
        <w:t xml:space="preserve"> </w:t>
      </w:r>
      <w:r>
        <w:rPr>
          <w:rFonts w:ascii="Times New Roman" w:eastAsia="Calibri" w:hAnsi="Times New Roman" w:cs="Times New Roman"/>
          <w:sz w:val="24"/>
          <w:szCs w:val="24"/>
        </w:rPr>
        <w:t xml:space="preserve">Moreover, 50(11%) and 288(63.7%) of the respondents strongly agreed and agreed that </w:t>
      </w:r>
      <w:r>
        <w:rPr>
          <w:rFonts w:ascii="Times New Roman" w:hAnsi="Times New Roman" w:cs="Times New Roman"/>
          <w:sz w:val="24"/>
          <w:szCs w:val="24"/>
        </w:rPr>
        <w:t>the mandatory retirement policies hinder the development of skilled workers and reduce the long-term competitiveness of the organization,</w:t>
      </w:r>
      <w:r>
        <w:rPr>
          <w:rFonts w:ascii="Times New Roman" w:eastAsia="Times New Roman" w:hAnsi="Times New Roman" w:cs="Times New Roman"/>
          <w:color w:val="0E101A"/>
          <w:sz w:val="24"/>
          <w:szCs w:val="24"/>
        </w:rPr>
        <w:t xml:space="preserve"> while 51(11.3%) disagreed and 44(9.7%) are neutral.</w:t>
      </w:r>
    </w:p>
    <w:p w14:paraId="3E690DFF" w14:textId="77777777" w:rsidR="00BE7920" w:rsidRDefault="00803F08">
      <w:pPr>
        <w:pStyle w:val="Standard"/>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4.1.2 Correlation Analysis</w:t>
      </w:r>
    </w:p>
    <w:p w14:paraId="5F4AB279" w14:textId="77777777" w:rsidR="00BE7920" w:rsidRDefault="00803F08">
      <w:pPr>
        <w:pStyle w:val="Standard"/>
        <w:spacing w:line="240" w:lineRule="auto"/>
        <w:jc w:val="both"/>
      </w:pPr>
      <w:r>
        <w:rPr>
          <w:rFonts w:ascii="Times New Roman" w:hAnsi="Times New Roman" w:cs="Times New Roman"/>
          <w:b/>
          <w:bCs/>
          <w:sz w:val="24"/>
          <w:szCs w:val="24"/>
        </w:rPr>
        <w:t xml:space="preserve">Table 6: </w:t>
      </w:r>
      <w:r>
        <w:rPr>
          <w:rFonts w:ascii="Times New Roman" w:hAnsi="Times New Roman" w:cs="Times New Roman"/>
          <w:b/>
          <w:sz w:val="24"/>
          <w:szCs w:val="24"/>
        </w:rPr>
        <w:t>Mandatory retirement and Organization retention and Innovation</w:t>
      </w:r>
    </w:p>
    <w:tbl>
      <w:tblPr>
        <w:tblW w:w="8399" w:type="dxa"/>
        <w:tblInd w:w="-108" w:type="dxa"/>
        <w:tblLayout w:type="fixed"/>
        <w:tblCellMar>
          <w:left w:w="10" w:type="dxa"/>
          <w:right w:w="10" w:type="dxa"/>
        </w:tblCellMar>
        <w:tblLook w:val="0000" w:firstRow="0" w:lastRow="0" w:firstColumn="0" w:lastColumn="0" w:noHBand="0" w:noVBand="0"/>
      </w:tblPr>
      <w:tblGrid>
        <w:gridCol w:w="1645"/>
        <w:gridCol w:w="1027"/>
        <w:gridCol w:w="3431"/>
        <w:gridCol w:w="2296"/>
      </w:tblGrid>
      <w:tr w:rsidR="00BE7920" w14:paraId="73144CBB" w14:textId="77777777">
        <w:trPr>
          <w:trHeight w:val="332"/>
        </w:trPr>
        <w:tc>
          <w:tcPr>
            <w:tcW w:w="2672"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ADA6B2" w14:textId="77777777" w:rsidR="00BE7920" w:rsidRDefault="00803F08">
            <w:pPr>
              <w:pStyle w:val="Standard"/>
              <w:spacing w:after="0" w:line="240" w:lineRule="auto"/>
              <w:ind w:left="60" w:right="60"/>
              <w:jc w:val="center"/>
              <w:rPr>
                <w:rFonts w:ascii="Times New Roman" w:hAnsi="Times New Roman" w:cs="Times New Roman"/>
                <w:b/>
                <w:bCs/>
                <w:color w:val="010205"/>
                <w:sz w:val="24"/>
                <w:szCs w:val="24"/>
              </w:rPr>
            </w:pPr>
            <w:r>
              <w:rPr>
                <w:rFonts w:ascii="Times New Roman" w:hAnsi="Times New Roman" w:cs="Times New Roman"/>
                <w:b/>
                <w:bCs/>
                <w:color w:val="010205"/>
                <w:sz w:val="24"/>
                <w:szCs w:val="24"/>
              </w:rPr>
              <w:t>Correlations</w:t>
            </w:r>
          </w:p>
        </w:tc>
        <w:tc>
          <w:tcPr>
            <w:tcW w:w="5727" w:type="dxa"/>
            <w:gridSpan w:val="2"/>
            <w:tcMar>
              <w:top w:w="0" w:type="dxa"/>
              <w:left w:w="10" w:type="dxa"/>
              <w:bottom w:w="0" w:type="dxa"/>
              <w:right w:w="10" w:type="dxa"/>
            </w:tcMar>
          </w:tcPr>
          <w:p w14:paraId="53E0D33A" w14:textId="77777777" w:rsidR="00BE7920" w:rsidRDefault="00BE7920">
            <w:pPr>
              <w:pStyle w:val="Standard"/>
              <w:spacing w:line="240" w:lineRule="auto"/>
            </w:pPr>
          </w:p>
        </w:tc>
      </w:tr>
      <w:tr w:rsidR="00BE7920" w14:paraId="085365D2" w14:textId="77777777">
        <w:trPr>
          <w:trHeight w:val="348"/>
        </w:trPr>
        <w:tc>
          <w:tcPr>
            <w:tcW w:w="6103" w:type="dxa"/>
            <w:gridSpan w:val="3"/>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CD09B04" w14:textId="77777777" w:rsidR="00BE7920" w:rsidRDefault="00BE7920">
            <w:pPr>
              <w:pStyle w:val="Standard"/>
              <w:spacing w:after="0" w:line="240" w:lineRule="auto"/>
              <w:rPr>
                <w:rFonts w:ascii="Times New Roman" w:hAnsi="Times New Roman" w:cs="Times New Roman"/>
                <w:sz w:val="24"/>
                <w:szCs w:val="24"/>
              </w:rPr>
            </w:pPr>
          </w:p>
        </w:tc>
        <w:tc>
          <w:tcPr>
            <w:tcW w:w="229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D7D6AD" w14:textId="77777777" w:rsidR="00BE7920" w:rsidRDefault="00803F08">
            <w:pPr>
              <w:pStyle w:val="Standard"/>
              <w:spacing w:after="0" w:line="240" w:lineRule="auto"/>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CR</w:t>
            </w:r>
          </w:p>
        </w:tc>
      </w:tr>
      <w:tr w:rsidR="00BE7920" w14:paraId="4A0BED70" w14:textId="77777777">
        <w:trPr>
          <w:trHeight w:val="332"/>
        </w:trPr>
        <w:tc>
          <w:tcPr>
            <w:tcW w:w="164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275DAE5"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CR</w:t>
            </w:r>
          </w:p>
        </w:tc>
        <w:tc>
          <w:tcPr>
            <w:tcW w:w="4458"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5B401B"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DB73F81"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w:t>
            </w:r>
          </w:p>
        </w:tc>
      </w:tr>
      <w:tr w:rsidR="00BE7920" w14:paraId="57B7000E" w14:textId="77777777">
        <w:trPr>
          <w:trHeight w:val="363"/>
        </w:trPr>
        <w:tc>
          <w:tcPr>
            <w:tcW w:w="16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A0B6A8" w14:textId="77777777" w:rsidR="00BE7920" w:rsidRDefault="00BE7920">
            <w:pPr>
              <w:suppressAutoHyphens w:val="0"/>
            </w:pPr>
          </w:p>
        </w:tc>
        <w:tc>
          <w:tcPr>
            <w:tcW w:w="4458"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8C2420"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5291FB" w14:textId="77777777" w:rsidR="00BE7920" w:rsidRDefault="00BE7920">
            <w:pPr>
              <w:pStyle w:val="Standard"/>
              <w:spacing w:after="0" w:line="240" w:lineRule="auto"/>
              <w:rPr>
                <w:rFonts w:ascii="Times New Roman" w:hAnsi="Times New Roman" w:cs="Times New Roman"/>
                <w:sz w:val="24"/>
                <w:szCs w:val="24"/>
              </w:rPr>
            </w:pPr>
          </w:p>
        </w:tc>
      </w:tr>
      <w:tr w:rsidR="00BE7920" w14:paraId="7A9899BF" w14:textId="77777777">
        <w:trPr>
          <w:trHeight w:val="363"/>
        </w:trPr>
        <w:tc>
          <w:tcPr>
            <w:tcW w:w="16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28A09EE" w14:textId="77777777" w:rsidR="00BE7920" w:rsidRDefault="00BE7920">
            <w:pPr>
              <w:suppressAutoHyphens w:val="0"/>
            </w:pPr>
          </w:p>
        </w:tc>
        <w:tc>
          <w:tcPr>
            <w:tcW w:w="4458"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ABC388"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C790A9A"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2E31DEC4" w14:textId="77777777">
        <w:trPr>
          <w:trHeight w:val="332"/>
        </w:trPr>
        <w:tc>
          <w:tcPr>
            <w:tcW w:w="164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B4F327E"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ORI</w:t>
            </w:r>
          </w:p>
        </w:tc>
        <w:tc>
          <w:tcPr>
            <w:tcW w:w="4458"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50DA39"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D09D5E" w14:textId="77777777" w:rsidR="00BE7920" w:rsidRDefault="00803F08">
            <w:pPr>
              <w:pStyle w:val="Standard"/>
              <w:spacing w:after="0" w:line="240" w:lineRule="auto"/>
              <w:ind w:left="60" w:right="60"/>
              <w:jc w:val="right"/>
            </w:pPr>
            <w:r>
              <w:rPr>
                <w:rFonts w:ascii="Times New Roman" w:hAnsi="Times New Roman" w:cs="Times New Roman"/>
                <w:color w:val="010205"/>
                <w:sz w:val="24"/>
                <w:szCs w:val="24"/>
              </w:rPr>
              <w:t>-.656</w:t>
            </w:r>
            <w:r>
              <w:rPr>
                <w:rFonts w:ascii="Times New Roman" w:hAnsi="Times New Roman" w:cs="Times New Roman"/>
                <w:color w:val="010205"/>
                <w:sz w:val="24"/>
                <w:szCs w:val="24"/>
                <w:vertAlign w:val="superscript"/>
              </w:rPr>
              <w:t>**</w:t>
            </w:r>
          </w:p>
        </w:tc>
      </w:tr>
      <w:tr w:rsidR="00BE7920" w14:paraId="3887ED40" w14:textId="77777777">
        <w:trPr>
          <w:trHeight w:val="363"/>
        </w:trPr>
        <w:tc>
          <w:tcPr>
            <w:tcW w:w="16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A3BC0D9" w14:textId="77777777" w:rsidR="00BE7920" w:rsidRDefault="00BE7920">
            <w:pPr>
              <w:suppressAutoHyphens w:val="0"/>
            </w:pPr>
          </w:p>
        </w:tc>
        <w:tc>
          <w:tcPr>
            <w:tcW w:w="4458"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1620EC9"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9DE1992"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BE7920" w14:paraId="16C2550A" w14:textId="77777777">
        <w:trPr>
          <w:trHeight w:val="363"/>
        </w:trPr>
        <w:tc>
          <w:tcPr>
            <w:tcW w:w="16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A589B7" w14:textId="77777777" w:rsidR="00BE7920" w:rsidRDefault="00BE7920">
            <w:pPr>
              <w:suppressAutoHyphens w:val="0"/>
            </w:pPr>
          </w:p>
        </w:tc>
        <w:tc>
          <w:tcPr>
            <w:tcW w:w="4458"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A106AC"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2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A89E27A"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3E01DD9C" w14:textId="77777777">
        <w:trPr>
          <w:trHeight w:val="332"/>
        </w:trPr>
        <w:tc>
          <w:tcPr>
            <w:tcW w:w="2672"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4517B5" w14:textId="77777777" w:rsidR="00BE7920" w:rsidRDefault="00803F08">
            <w:pPr>
              <w:pStyle w:val="Standard"/>
              <w:spacing w:after="0"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Correlation is significant at the 0.01 level (2-tailed).</w:t>
            </w:r>
          </w:p>
        </w:tc>
        <w:tc>
          <w:tcPr>
            <w:tcW w:w="5727" w:type="dxa"/>
            <w:gridSpan w:val="2"/>
            <w:tcMar>
              <w:top w:w="0" w:type="dxa"/>
              <w:left w:w="10" w:type="dxa"/>
              <w:bottom w:w="0" w:type="dxa"/>
              <w:right w:w="10" w:type="dxa"/>
            </w:tcMar>
          </w:tcPr>
          <w:p w14:paraId="4DAB41A3" w14:textId="77777777" w:rsidR="00BE7920" w:rsidRDefault="00BE7920">
            <w:pPr>
              <w:pStyle w:val="Standard"/>
              <w:spacing w:line="240" w:lineRule="auto"/>
            </w:pPr>
          </w:p>
        </w:tc>
      </w:tr>
    </w:tbl>
    <w:p w14:paraId="689F89E1" w14:textId="77777777" w:rsidR="00BE7920" w:rsidRDefault="00BE7920">
      <w:pPr>
        <w:pStyle w:val="Standard"/>
        <w:spacing w:after="0" w:line="360" w:lineRule="auto"/>
        <w:rPr>
          <w:rFonts w:ascii="Times New Roman" w:hAnsi="Times New Roman" w:cs="Times New Roman"/>
          <w:sz w:val="24"/>
          <w:szCs w:val="24"/>
        </w:rPr>
      </w:pPr>
    </w:p>
    <w:p w14:paraId="4B795F45" w14:textId="3EB04836" w:rsidR="00BE7920" w:rsidRDefault="00803F0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6 shows the degree of relationship between mandatory retirement and </w:t>
      </w:r>
      <w:r w:rsidR="00D95935">
        <w:rPr>
          <w:rFonts w:ascii="Times New Roman" w:hAnsi="Times New Roman" w:cs="Times New Roman"/>
          <w:sz w:val="24"/>
          <w:szCs w:val="24"/>
        </w:rPr>
        <w:t>organizational</w:t>
      </w:r>
      <w:r>
        <w:rPr>
          <w:rFonts w:ascii="Times New Roman" w:hAnsi="Times New Roman" w:cs="Times New Roman"/>
          <w:sz w:val="24"/>
          <w:szCs w:val="24"/>
        </w:rPr>
        <w:t xml:space="preserve"> retention and innovation. The table </w:t>
      </w:r>
      <w:r w:rsidR="00D95935">
        <w:rPr>
          <w:rFonts w:ascii="Times New Roman" w:hAnsi="Times New Roman" w:cs="Times New Roman"/>
          <w:sz w:val="24"/>
          <w:szCs w:val="24"/>
        </w:rPr>
        <w:t>suggests</w:t>
      </w:r>
      <w:r>
        <w:rPr>
          <w:rFonts w:ascii="Times New Roman" w:hAnsi="Times New Roman" w:cs="Times New Roman"/>
          <w:sz w:val="24"/>
          <w:szCs w:val="24"/>
        </w:rPr>
        <w:t xml:space="preserve"> a negative and strong relationship between mandatory retirement of </w:t>
      </w:r>
      <w:r w:rsidR="00D95935">
        <w:rPr>
          <w:rFonts w:ascii="Times New Roman" w:hAnsi="Times New Roman" w:cs="Times New Roman"/>
          <w:sz w:val="24"/>
          <w:szCs w:val="24"/>
        </w:rPr>
        <w:t>high-performing</w:t>
      </w:r>
      <w:r>
        <w:rPr>
          <w:rFonts w:ascii="Times New Roman" w:hAnsi="Times New Roman" w:cs="Times New Roman"/>
          <w:sz w:val="24"/>
          <w:szCs w:val="24"/>
        </w:rPr>
        <w:t xml:space="preserve"> </w:t>
      </w:r>
      <w:r w:rsidR="00D95935">
        <w:rPr>
          <w:rFonts w:ascii="Times New Roman" w:hAnsi="Times New Roman" w:cs="Times New Roman"/>
          <w:sz w:val="24"/>
          <w:szCs w:val="24"/>
        </w:rPr>
        <w:t>employees</w:t>
      </w:r>
      <w:r>
        <w:rPr>
          <w:rFonts w:ascii="Times New Roman" w:hAnsi="Times New Roman" w:cs="Times New Roman"/>
          <w:sz w:val="24"/>
          <w:szCs w:val="24"/>
        </w:rPr>
        <w:t xml:space="preserve"> and </w:t>
      </w:r>
      <w:r w:rsidR="00D95935">
        <w:rPr>
          <w:rFonts w:ascii="Times New Roman" w:hAnsi="Times New Roman" w:cs="Times New Roman"/>
          <w:sz w:val="24"/>
          <w:szCs w:val="24"/>
        </w:rPr>
        <w:t>organizational</w:t>
      </w:r>
      <w:r>
        <w:rPr>
          <w:rFonts w:ascii="Times New Roman" w:hAnsi="Times New Roman" w:cs="Times New Roman"/>
          <w:sz w:val="24"/>
          <w:szCs w:val="24"/>
        </w:rPr>
        <w:t xml:space="preserve"> retention and innovation. The P</w:t>
      </w:r>
      <w:r w:rsidR="00523D1A">
        <w:rPr>
          <w:rFonts w:ascii="Times New Roman" w:hAnsi="Times New Roman" w:cs="Times New Roman"/>
          <w:sz w:val="24"/>
          <w:szCs w:val="24"/>
        </w:rPr>
        <w:t>-</w:t>
      </w:r>
      <w:r>
        <w:rPr>
          <w:rFonts w:ascii="Times New Roman" w:hAnsi="Times New Roman" w:cs="Times New Roman"/>
          <w:sz w:val="24"/>
          <w:szCs w:val="24"/>
        </w:rPr>
        <w:t xml:space="preserve">value (0.000) revealed that mandatory retirement of high-performing employees is negative and significantly influences </w:t>
      </w:r>
      <w:r w:rsidR="00D95935">
        <w:rPr>
          <w:rFonts w:ascii="Times New Roman" w:hAnsi="Times New Roman" w:cs="Times New Roman"/>
          <w:sz w:val="24"/>
          <w:szCs w:val="24"/>
        </w:rPr>
        <w:t>organizational</w:t>
      </w:r>
      <w:r>
        <w:rPr>
          <w:rFonts w:ascii="Times New Roman" w:hAnsi="Times New Roman" w:cs="Times New Roman"/>
          <w:sz w:val="24"/>
          <w:szCs w:val="24"/>
        </w:rPr>
        <w:t xml:space="preserve"> retention and innovation of the firms under the period of study.</w:t>
      </w:r>
    </w:p>
    <w:p w14:paraId="0A48AE70" w14:textId="77777777" w:rsidR="00BE7920" w:rsidRDefault="00BE7920">
      <w:pPr>
        <w:pStyle w:val="Standard"/>
        <w:spacing w:after="0" w:line="360" w:lineRule="auto"/>
        <w:jc w:val="both"/>
        <w:rPr>
          <w:rFonts w:ascii="Times New Roman" w:hAnsi="Times New Roman" w:cs="Times New Roman"/>
          <w:sz w:val="24"/>
          <w:szCs w:val="24"/>
        </w:rPr>
      </w:pPr>
    </w:p>
    <w:p w14:paraId="2158C665" w14:textId="77777777" w:rsidR="00BE7920" w:rsidRDefault="00803F08">
      <w:pPr>
        <w:pStyle w:val="Standard"/>
        <w:spacing w:line="360" w:lineRule="auto"/>
        <w:rPr>
          <w:rFonts w:ascii="Times New Roman" w:hAnsi="Times New Roman" w:cs="Times New Roman"/>
          <w:b/>
          <w:sz w:val="24"/>
          <w:szCs w:val="24"/>
        </w:rPr>
      </w:pPr>
      <w:r>
        <w:rPr>
          <w:rFonts w:ascii="Times New Roman" w:hAnsi="Times New Roman" w:cs="Times New Roman"/>
          <w:b/>
          <w:sz w:val="24"/>
          <w:szCs w:val="24"/>
        </w:rPr>
        <w:t>Table 7: Mandatory Retirement and Employee Morale and Motivation</w:t>
      </w:r>
    </w:p>
    <w:tbl>
      <w:tblPr>
        <w:tblW w:w="9046" w:type="dxa"/>
        <w:tblInd w:w="-108" w:type="dxa"/>
        <w:tblLayout w:type="fixed"/>
        <w:tblCellMar>
          <w:left w:w="10" w:type="dxa"/>
          <w:right w:w="10" w:type="dxa"/>
        </w:tblCellMar>
        <w:tblLook w:val="0000" w:firstRow="0" w:lastRow="0" w:firstColumn="0" w:lastColumn="0" w:noHBand="0" w:noVBand="0"/>
      </w:tblPr>
      <w:tblGrid>
        <w:gridCol w:w="1773"/>
        <w:gridCol w:w="1106"/>
        <w:gridCol w:w="3695"/>
        <w:gridCol w:w="2472"/>
      </w:tblGrid>
      <w:tr w:rsidR="00BE7920" w14:paraId="13341D2C" w14:textId="77777777">
        <w:trPr>
          <w:trHeight w:val="376"/>
        </w:trPr>
        <w:tc>
          <w:tcPr>
            <w:tcW w:w="287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5BFE402" w14:textId="77777777" w:rsidR="00BE7920" w:rsidRDefault="00803F08">
            <w:pPr>
              <w:pStyle w:val="Standard"/>
              <w:spacing w:after="0" w:line="240" w:lineRule="auto"/>
              <w:ind w:left="60" w:right="60"/>
              <w:jc w:val="center"/>
              <w:rPr>
                <w:rFonts w:ascii="Times New Roman" w:hAnsi="Times New Roman" w:cs="Times New Roman"/>
                <w:b/>
                <w:bCs/>
                <w:color w:val="010205"/>
                <w:sz w:val="24"/>
                <w:szCs w:val="24"/>
              </w:rPr>
            </w:pPr>
            <w:r>
              <w:rPr>
                <w:rFonts w:ascii="Times New Roman" w:hAnsi="Times New Roman" w:cs="Times New Roman"/>
                <w:b/>
                <w:bCs/>
                <w:color w:val="010205"/>
                <w:sz w:val="24"/>
                <w:szCs w:val="24"/>
              </w:rPr>
              <w:t>Correlations</w:t>
            </w:r>
          </w:p>
        </w:tc>
        <w:tc>
          <w:tcPr>
            <w:tcW w:w="6167" w:type="dxa"/>
            <w:gridSpan w:val="2"/>
            <w:tcMar>
              <w:top w:w="0" w:type="dxa"/>
              <w:left w:w="10" w:type="dxa"/>
              <w:bottom w:w="0" w:type="dxa"/>
              <w:right w:w="10" w:type="dxa"/>
            </w:tcMar>
          </w:tcPr>
          <w:p w14:paraId="0D9B2055" w14:textId="77777777" w:rsidR="00BE7920" w:rsidRDefault="00BE7920">
            <w:pPr>
              <w:pStyle w:val="Standard"/>
              <w:spacing w:line="240" w:lineRule="auto"/>
            </w:pPr>
          </w:p>
        </w:tc>
      </w:tr>
      <w:tr w:rsidR="00BE7920" w14:paraId="55F3380D" w14:textId="77777777">
        <w:trPr>
          <w:trHeight w:val="394"/>
        </w:trPr>
        <w:tc>
          <w:tcPr>
            <w:tcW w:w="6574" w:type="dxa"/>
            <w:gridSpan w:val="3"/>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4FCE9D" w14:textId="77777777" w:rsidR="00BE7920" w:rsidRDefault="00BE7920">
            <w:pPr>
              <w:pStyle w:val="Standard"/>
              <w:spacing w:after="0" w:line="240" w:lineRule="auto"/>
              <w:rPr>
                <w:rFonts w:ascii="Times New Roman" w:hAnsi="Times New Roman" w:cs="Times New Roman"/>
                <w:sz w:val="24"/>
                <w:szCs w:val="24"/>
              </w:rPr>
            </w:pPr>
          </w:p>
        </w:tc>
        <w:tc>
          <w:tcPr>
            <w:tcW w:w="247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B64E9F" w14:textId="77777777" w:rsidR="00BE7920" w:rsidRDefault="00803F08">
            <w:pPr>
              <w:pStyle w:val="Standard"/>
              <w:spacing w:after="0" w:line="240" w:lineRule="auto"/>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CR</w:t>
            </w:r>
          </w:p>
        </w:tc>
      </w:tr>
      <w:tr w:rsidR="00BE7920" w14:paraId="658C2BBD" w14:textId="77777777">
        <w:trPr>
          <w:trHeight w:val="376"/>
        </w:trPr>
        <w:tc>
          <w:tcPr>
            <w:tcW w:w="177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EBA2229"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CR</w:t>
            </w:r>
          </w:p>
        </w:tc>
        <w:tc>
          <w:tcPr>
            <w:tcW w:w="4801"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5BD7E1F"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9C5597"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w:t>
            </w:r>
          </w:p>
        </w:tc>
      </w:tr>
      <w:tr w:rsidR="00BE7920" w14:paraId="560AA622" w14:textId="77777777">
        <w:trPr>
          <w:trHeight w:val="412"/>
        </w:trPr>
        <w:tc>
          <w:tcPr>
            <w:tcW w:w="177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D76E01B" w14:textId="77777777" w:rsidR="00BE7920" w:rsidRDefault="00BE7920">
            <w:pPr>
              <w:suppressAutoHyphens w:val="0"/>
            </w:pPr>
          </w:p>
        </w:tc>
        <w:tc>
          <w:tcPr>
            <w:tcW w:w="4801"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804712"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8336085" w14:textId="77777777" w:rsidR="00BE7920" w:rsidRDefault="00BE7920">
            <w:pPr>
              <w:pStyle w:val="Standard"/>
              <w:spacing w:after="0" w:line="240" w:lineRule="auto"/>
              <w:rPr>
                <w:rFonts w:ascii="Times New Roman" w:hAnsi="Times New Roman" w:cs="Times New Roman"/>
                <w:sz w:val="24"/>
                <w:szCs w:val="24"/>
              </w:rPr>
            </w:pPr>
          </w:p>
        </w:tc>
      </w:tr>
      <w:tr w:rsidR="00BE7920" w14:paraId="4EBEB822" w14:textId="77777777">
        <w:trPr>
          <w:trHeight w:val="412"/>
        </w:trPr>
        <w:tc>
          <w:tcPr>
            <w:tcW w:w="177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1943BB1" w14:textId="77777777" w:rsidR="00BE7920" w:rsidRDefault="00BE7920">
            <w:pPr>
              <w:suppressAutoHyphens w:val="0"/>
            </w:pPr>
          </w:p>
        </w:tc>
        <w:tc>
          <w:tcPr>
            <w:tcW w:w="4801"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EC2F13B"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AD4F0E"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5C212F42" w14:textId="77777777">
        <w:trPr>
          <w:trHeight w:val="376"/>
        </w:trPr>
        <w:tc>
          <w:tcPr>
            <w:tcW w:w="177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5AAC77F"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EMM</w:t>
            </w:r>
          </w:p>
        </w:tc>
        <w:tc>
          <w:tcPr>
            <w:tcW w:w="4801"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B41022"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DDB9649" w14:textId="77777777" w:rsidR="00BE7920" w:rsidRDefault="00803F08">
            <w:pPr>
              <w:pStyle w:val="Standard"/>
              <w:spacing w:after="0" w:line="240" w:lineRule="auto"/>
              <w:ind w:left="60" w:right="60"/>
              <w:jc w:val="right"/>
            </w:pPr>
            <w:r>
              <w:rPr>
                <w:rFonts w:ascii="Times New Roman" w:hAnsi="Times New Roman" w:cs="Times New Roman"/>
                <w:color w:val="010205"/>
                <w:sz w:val="24"/>
                <w:szCs w:val="24"/>
              </w:rPr>
              <w:t>-.694</w:t>
            </w:r>
            <w:r>
              <w:rPr>
                <w:rFonts w:ascii="Times New Roman" w:hAnsi="Times New Roman" w:cs="Times New Roman"/>
                <w:color w:val="010205"/>
                <w:sz w:val="24"/>
                <w:szCs w:val="24"/>
                <w:vertAlign w:val="superscript"/>
              </w:rPr>
              <w:t>**</w:t>
            </w:r>
          </w:p>
        </w:tc>
      </w:tr>
      <w:tr w:rsidR="00BE7920" w14:paraId="68A39F94" w14:textId="77777777">
        <w:trPr>
          <w:trHeight w:val="412"/>
        </w:trPr>
        <w:tc>
          <w:tcPr>
            <w:tcW w:w="177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01ECE6C" w14:textId="77777777" w:rsidR="00BE7920" w:rsidRDefault="00BE7920">
            <w:pPr>
              <w:suppressAutoHyphens w:val="0"/>
            </w:pPr>
          </w:p>
        </w:tc>
        <w:tc>
          <w:tcPr>
            <w:tcW w:w="4801"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8E1B7BD"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6529179"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BE7920" w14:paraId="5713B6DB" w14:textId="77777777">
        <w:trPr>
          <w:trHeight w:val="412"/>
        </w:trPr>
        <w:tc>
          <w:tcPr>
            <w:tcW w:w="177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2DDBB0" w14:textId="77777777" w:rsidR="00BE7920" w:rsidRDefault="00BE7920">
            <w:pPr>
              <w:suppressAutoHyphens w:val="0"/>
            </w:pPr>
          </w:p>
        </w:tc>
        <w:tc>
          <w:tcPr>
            <w:tcW w:w="4801"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51D07F"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47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7B85EA5"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71EBE499" w14:textId="77777777">
        <w:trPr>
          <w:trHeight w:val="376"/>
        </w:trPr>
        <w:tc>
          <w:tcPr>
            <w:tcW w:w="287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A5AE460" w14:textId="77777777" w:rsidR="00BE7920" w:rsidRDefault="00803F08">
            <w:pPr>
              <w:pStyle w:val="Standard"/>
              <w:spacing w:after="0"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Correlation is significant at the 0.01 level (2-tailed).</w:t>
            </w:r>
          </w:p>
        </w:tc>
        <w:tc>
          <w:tcPr>
            <w:tcW w:w="6167" w:type="dxa"/>
            <w:gridSpan w:val="2"/>
            <w:tcMar>
              <w:top w:w="0" w:type="dxa"/>
              <w:left w:w="10" w:type="dxa"/>
              <w:bottom w:w="0" w:type="dxa"/>
              <w:right w:w="10" w:type="dxa"/>
            </w:tcMar>
          </w:tcPr>
          <w:p w14:paraId="7BF7F12A" w14:textId="77777777" w:rsidR="00BE7920" w:rsidRDefault="00BE7920">
            <w:pPr>
              <w:pStyle w:val="Standard"/>
              <w:spacing w:line="240" w:lineRule="auto"/>
            </w:pPr>
          </w:p>
        </w:tc>
      </w:tr>
    </w:tbl>
    <w:p w14:paraId="01ADA3AB" w14:textId="77777777" w:rsidR="00BE7920" w:rsidRDefault="00803F0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7 revealed the degree of relationship between mandatory retirement/mandatory retirement and employee morale and motivation. The table suggests a negative and strong relationship between mandatory retirement/mandatory retirement and employee morale and motivation. The p-value (0.000) revealed that mandatory retirement of high-performing employees is negative and significantly influences employee morale and motivation of the firms under the period of study.</w:t>
      </w:r>
    </w:p>
    <w:p w14:paraId="7D6C81C0" w14:textId="77777777" w:rsidR="00BE7920" w:rsidRDefault="00BE7920">
      <w:pPr>
        <w:pStyle w:val="Standard"/>
        <w:spacing w:after="0" w:line="240" w:lineRule="auto"/>
        <w:rPr>
          <w:rFonts w:ascii="Times New Roman" w:hAnsi="Times New Roman" w:cs="Times New Roman"/>
          <w:b/>
          <w:sz w:val="24"/>
          <w:szCs w:val="24"/>
        </w:rPr>
      </w:pPr>
    </w:p>
    <w:p w14:paraId="46BAB084" w14:textId="77777777" w:rsidR="00BE7920" w:rsidRDefault="00803F08">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t>Table 8: Mandatory Retirement and Organization Performance</w:t>
      </w:r>
    </w:p>
    <w:tbl>
      <w:tblPr>
        <w:tblW w:w="8986" w:type="dxa"/>
        <w:tblInd w:w="-108" w:type="dxa"/>
        <w:tblLayout w:type="fixed"/>
        <w:tblCellMar>
          <w:left w:w="10" w:type="dxa"/>
          <w:right w:w="10" w:type="dxa"/>
        </w:tblCellMar>
        <w:tblLook w:val="0000" w:firstRow="0" w:lastRow="0" w:firstColumn="0" w:lastColumn="0" w:noHBand="0" w:noVBand="0"/>
      </w:tblPr>
      <w:tblGrid>
        <w:gridCol w:w="1761"/>
        <w:gridCol w:w="1099"/>
        <w:gridCol w:w="3670"/>
        <w:gridCol w:w="2456"/>
      </w:tblGrid>
      <w:tr w:rsidR="00BE7920" w14:paraId="47E92565" w14:textId="77777777">
        <w:trPr>
          <w:trHeight w:val="346"/>
        </w:trPr>
        <w:tc>
          <w:tcPr>
            <w:tcW w:w="2860"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3129BFD" w14:textId="77777777" w:rsidR="00BE7920" w:rsidRDefault="00803F08">
            <w:pPr>
              <w:pStyle w:val="Standard"/>
              <w:spacing w:after="0" w:line="240" w:lineRule="auto"/>
              <w:ind w:left="60" w:right="60"/>
              <w:jc w:val="center"/>
              <w:rPr>
                <w:rFonts w:ascii="Times New Roman" w:hAnsi="Times New Roman" w:cs="Times New Roman"/>
                <w:b/>
                <w:bCs/>
                <w:color w:val="010205"/>
                <w:sz w:val="24"/>
                <w:szCs w:val="24"/>
              </w:rPr>
            </w:pPr>
            <w:r>
              <w:rPr>
                <w:rFonts w:ascii="Times New Roman" w:hAnsi="Times New Roman" w:cs="Times New Roman"/>
                <w:b/>
                <w:bCs/>
                <w:color w:val="010205"/>
                <w:sz w:val="24"/>
                <w:szCs w:val="24"/>
              </w:rPr>
              <w:t>Correlations</w:t>
            </w:r>
          </w:p>
        </w:tc>
        <w:tc>
          <w:tcPr>
            <w:tcW w:w="6126" w:type="dxa"/>
            <w:gridSpan w:val="2"/>
            <w:tcMar>
              <w:top w:w="0" w:type="dxa"/>
              <w:left w:w="10" w:type="dxa"/>
              <w:bottom w:w="0" w:type="dxa"/>
              <w:right w:w="10" w:type="dxa"/>
            </w:tcMar>
          </w:tcPr>
          <w:p w14:paraId="7BF6D8D4" w14:textId="77777777" w:rsidR="00BE7920" w:rsidRDefault="00BE7920">
            <w:pPr>
              <w:pStyle w:val="Standard"/>
              <w:spacing w:after="0" w:line="240" w:lineRule="auto"/>
            </w:pPr>
          </w:p>
        </w:tc>
      </w:tr>
      <w:tr w:rsidR="00BE7920" w14:paraId="305C89A6" w14:textId="77777777">
        <w:trPr>
          <w:trHeight w:val="362"/>
        </w:trPr>
        <w:tc>
          <w:tcPr>
            <w:tcW w:w="6530" w:type="dxa"/>
            <w:gridSpan w:val="3"/>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64C5F25" w14:textId="77777777" w:rsidR="00BE7920" w:rsidRDefault="00BE7920">
            <w:pPr>
              <w:pStyle w:val="Standard"/>
              <w:spacing w:after="0" w:line="240" w:lineRule="auto"/>
              <w:rPr>
                <w:rFonts w:ascii="Times New Roman" w:hAnsi="Times New Roman" w:cs="Times New Roman"/>
                <w:sz w:val="24"/>
                <w:szCs w:val="24"/>
              </w:rPr>
            </w:pPr>
          </w:p>
        </w:tc>
        <w:tc>
          <w:tcPr>
            <w:tcW w:w="24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EAE4E9" w14:textId="77777777" w:rsidR="00BE7920" w:rsidRDefault="00803F08">
            <w:pPr>
              <w:pStyle w:val="Standard"/>
              <w:spacing w:after="0" w:line="240" w:lineRule="auto"/>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CR</w:t>
            </w:r>
          </w:p>
        </w:tc>
      </w:tr>
      <w:tr w:rsidR="00BE7920" w14:paraId="2A601CDF" w14:textId="77777777">
        <w:trPr>
          <w:trHeight w:val="346"/>
        </w:trPr>
        <w:tc>
          <w:tcPr>
            <w:tcW w:w="1761"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9197853"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CR</w:t>
            </w:r>
          </w:p>
        </w:tc>
        <w:tc>
          <w:tcPr>
            <w:tcW w:w="476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129EBE3"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4B0DE1"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w:t>
            </w:r>
          </w:p>
        </w:tc>
      </w:tr>
      <w:tr w:rsidR="00BE7920" w14:paraId="28318E97" w14:textId="77777777">
        <w:trPr>
          <w:trHeight w:val="379"/>
        </w:trPr>
        <w:tc>
          <w:tcPr>
            <w:tcW w:w="1761"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407054" w14:textId="77777777" w:rsidR="00BE7920" w:rsidRDefault="00BE7920">
            <w:pPr>
              <w:suppressAutoHyphens w:val="0"/>
            </w:pPr>
          </w:p>
        </w:tc>
        <w:tc>
          <w:tcPr>
            <w:tcW w:w="4769"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220DC5"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7734CD" w14:textId="77777777" w:rsidR="00BE7920" w:rsidRDefault="00BE7920">
            <w:pPr>
              <w:pStyle w:val="Standard"/>
              <w:spacing w:after="0" w:line="240" w:lineRule="auto"/>
              <w:rPr>
                <w:rFonts w:ascii="Times New Roman" w:hAnsi="Times New Roman" w:cs="Times New Roman"/>
                <w:sz w:val="24"/>
                <w:szCs w:val="24"/>
              </w:rPr>
            </w:pPr>
          </w:p>
        </w:tc>
      </w:tr>
      <w:tr w:rsidR="00BE7920" w14:paraId="302CF9C5" w14:textId="77777777">
        <w:trPr>
          <w:trHeight w:val="379"/>
        </w:trPr>
        <w:tc>
          <w:tcPr>
            <w:tcW w:w="1761"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3802E9" w14:textId="77777777" w:rsidR="00BE7920" w:rsidRDefault="00BE7920">
            <w:pPr>
              <w:suppressAutoHyphens w:val="0"/>
            </w:pPr>
          </w:p>
        </w:tc>
        <w:tc>
          <w:tcPr>
            <w:tcW w:w="476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D46622"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25EF6C0"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636C3028" w14:textId="77777777">
        <w:trPr>
          <w:trHeight w:val="346"/>
        </w:trPr>
        <w:tc>
          <w:tcPr>
            <w:tcW w:w="1761"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76C21F"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OP</w:t>
            </w:r>
          </w:p>
        </w:tc>
        <w:tc>
          <w:tcPr>
            <w:tcW w:w="4769"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020B03"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Pearson Correlation</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C6D2D35" w14:textId="77777777" w:rsidR="00BE7920" w:rsidRDefault="00803F08">
            <w:pPr>
              <w:pStyle w:val="Standard"/>
              <w:spacing w:after="0" w:line="240" w:lineRule="auto"/>
              <w:ind w:left="60" w:right="60"/>
              <w:jc w:val="right"/>
            </w:pPr>
            <w:r>
              <w:rPr>
                <w:rFonts w:ascii="Times New Roman" w:hAnsi="Times New Roman" w:cs="Times New Roman"/>
                <w:color w:val="010205"/>
                <w:sz w:val="24"/>
                <w:szCs w:val="24"/>
              </w:rPr>
              <w:t>-.419</w:t>
            </w:r>
            <w:r>
              <w:rPr>
                <w:rFonts w:ascii="Times New Roman" w:hAnsi="Times New Roman" w:cs="Times New Roman"/>
                <w:color w:val="010205"/>
                <w:sz w:val="24"/>
                <w:szCs w:val="24"/>
                <w:vertAlign w:val="superscript"/>
              </w:rPr>
              <w:t>**</w:t>
            </w:r>
          </w:p>
        </w:tc>
      </w:tr>
      <w:tr w:rsidR="00BE7920" w14:paraId="484AE0C6" w14:textId="77777777">
        <w:trPr>
          <w:trHeight w:val="379"/>
        </w:trPr>
        <w:tc>
          <w:tcPr>
            <w:tcW w:w="1761"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804992" w14:textId="77777777" w:rsidR="00BE7920" w:rsidRDefault="00BE7920">
            <w:pPr>
              <w:suppressAutoHyphens w:val="0"/>
            </w:pPr>
          </w:p>
        </w:tc>
        <w:tc>
          <w:tcPr>
            <w:tcW w:w="4769"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93341C"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64320B7"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BE7920" w14:paraId="00E9F44A" w14:textId="77777777">
        <w:trPr>
          <w:trHeight w:val="379"/>
        </w:trPr>
        <w:tc>
          <w:tcPr>
            <w:tcW w:w="1761"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B9DF307" w14:textId="77777777" w:rsidR="00BE7920" w:rsidRDefault="00BE7920">
            <w:pPr>
              <w:suppressAutoHyphens w:val="0"/>
            </w:pPr>
          </w:p>
        </w:tc>
        <w:tc>
          <w:tcPr>
            <w:tcW w:w="4769"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815158" w14:textId="77777777" w:rsidR="00BE7920" w:rsidRDefault="00803F08">
            <w:pPr>
              <w:pStyle w:val="Standard"/>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245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D1A9C45" w14:textId="77777777" w:rsidR="00BE7920" w:rsidRDefault="00803F08">
            <w:pPr>
              <w:pStyle w:val="Standard"/>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451</w:t>
            </w:r>
          </w:p>
        </w:tc>
      </w:tr>
      <w:tr w:rsidR="00BE7920" w14:paraId="75D400C9" w14:textId="77777777">
        <w:trPr>
          <w:trHeight w:val="346"/>
        </w:trPr>
        <w:tc>
          <w:tcPr>
            <w:tcW w:w="2860" w:type="dxa"/>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A4D59AE" w14:textId="77777777" w:rsidR="00BE7920" w:rsidRDefault="00803F08">
            <w:pPr>
              <w:pStyle w:val="Standard"/>
              <w:spacing w:after="0"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Correlation is significant at the 0.01 level (2-tailed).</w:t>
            </w:r>
          </w:p>
        </w:tc>
        <w:tc>
          <w:tcPr>
            <w:tcW w:w="6126" w:type="dxa"/>
            <w:gridSpan w:val="2"/>
            <w:tcMar>
              <w:top w:w="0" w:type="dxa"/>
              <w:left w:w="10" w:type="dxa"/>
              <w:bottom w:w="0" w:type="dxa"/>
              <w:right w:w="10" w:type="dxa"/>
            </w:tcMar>
          </w:tcPr>
          <w:p w14:paraId="747634C9" w14:textId="77777777" w:rsidR="00BE7920" w:rsidRDefault="00BE7920">
            <w:pPr>
              <w:pStyle w:val="Standard"/>
              <w:spacing w:after="0" w:line="240" w:lineRule="auto"/>
            </w:pPr>
          </w:p>
        </w:tc>
      </w:tr>
    </w:tbl>
    <w:p w14:paraId="2DCEE054" w14:textId="77777777" w:rsidR="000E0234" w:rsidRDefault="000E0234" w:rsidP="000E0234">
      <w:pPr>
        <w:spacing w:line="360" w:lineRule="auto"/>
        <w:jc w:val="both"/>
        <w:rPr>
          <w:rFonts w:ascii="Times New Roman" w:hAnsi="Times New Roman" w:cs="Times New Roman"/>
          <w:sz w:val="24"/>
          <w:szCs w:val="24"/>
        </w:rPr>
      </w:pPr>
    </w:p>
    <w:p w14:paraId="6447080F" w14:textId="2B8A1DCB" w:rsidR="00BE7920" w:rsidRDefault="000E0234" w:rsidP="000E0234">
      <w:pPr>
        <w:spacing w:line="360" w:lineRule="auto"/>
        <w:jc w:val="both"/>
        <w:rPr>
          <w:rFonts w:ascii="Times New Roman" w:hAnsi="Times New Roman" w:cs="Times New Roman"/>
          <w:sz w:val="24"/>
          <w:szCs w:val="24"/>
        </w:rPr>
      </w:pPr>
      <w:r w:rsidRPr="00AF6E0E">
        <w:rPr>
          <w:rFonts w:ascii="Times New Roman" w:hAnsi="Times New Roman" w:cs="Times New Roman"/>
          <w:sz w:val="24"/>
          <w:szCs w:val="24"/>
        </w:rPr>
        <w:t>Table 8 presents the relationship between mandatory retirement (CR) and organizational performance (OP). The Pearson correlation coefficient (r = -0.419, p &lt; 0.01) indicates a moderate negative relationship between mandatory retirement of high-performing employees and organizational performance. This suggests that as the extent of mandatory retirement increases, organizational performance tends to decrease.</w:t>
      </w:r>
      <w:r w:rsidRPr="000E0234">
        <w:rPr>
          <w:rFonts w:ascii="Times New Roman" w:hAnsi="Times New Roman" w:cs="Times New Roman"/>
          <w:sz w:val="24"/>
          <w:szCs w:val="24"/>
        </w:rPr>
        <w:t xml:space="preserve"> </w:t>
      </w:r>
      <w:r w:rsidRPr="00AF6E0E">
        <w:rPr>
          <w:rFonts w:ascii="Times New Roman" w:hAnsi="Times New Roman" w:cs="Times New Roman"/>
          <w:sz w:val="24"/>
          <w:szCs w:val="24"/>
        </w:rPr>
        <w:t>The p-value (0.000) confirms that this relationship is statistically significant at the 1% level, indicating that mandatory retirement has a significant adverse effect on the performance of firms during the study period.</w:t>
      </w:r>
      <w:r w:rsidRPr="000E0234">
        <w:rPr>
          <w:rFonts w:ascii="Times New Roman" w:hAnsi="Times New Roman" w:cs="Times New Roman"/>
          <w:sz w:val="24"/>
          <w:szCs w:val="24"/>
        </w:rPr>
        <w:t xml:space="preserve"> </w:t>
      </w:r>
      <w:r w:rsidRPr="00AF6E0E">
        <w:rPr>
          <w:rFonts w:ascii="Times New Roman" w:hAnsi="Times New Roman" w:cs="Times New Roman"/>
          <w:sz w:val="24"/>
          <w:szCs w:val="24"/>
        </w:rPr>
        <w:t>In summary, mandatory retirement moderately and significantly reduces organizational performance, highlighting the need for effective knowledge transfer and succession planning to mitigate performance losses.</w:t>
      </w:r>
    </w:p>
    <w:p w14:paraId="140D23D5" w14:textId="77777777" w:rsidR="00BE7920" w:rsidRDefault="00803F08">
      <w:pPr>
        <w:pStyle w:val="Standard"/>
        <w:spacing w:line="360" w:lineRule="auto"/>
        <w:rPr>
          <w:rFonts w:ascii="Times New Roman" w:hAnsi="Times New Roman" w:cs="Times New Roman"/>
          <w:b/>
          <w:sz w:val="24"/>
          <w:szCs w:val="24"/>
        </w:rPr>
      </w:pPr>
      <w:r>
        <w:rPr>
          <w:rFonts w:ascii="Times New Roman" w:hAnsi="Times New Roman" w:cs="Times New Roman"/>
          <w:b/>
          <w:sz w:val="24"/>
          <w:szCs w:val="24"/>
        </w:rPr>
        <w:t>Table 9: Mandatory Retirement Policies and Organization Competitiveness and Sustainability.</w:t>
      </w:r>
    </w:p>
    <w:tbl>
      <w:tblPr>
        <w:tblW w:w="8534" w:type="dxa"/>
        <w:tblLayout w:type="fixed"/>
        <w:tblCellMar>
          <w:left w:w="10" w:type="dxa"/>
          <w:right w:w="10" w:type="dxa"/>
        </w:tblCellMar>
        <w:tblLook w:val="0000" w:firstRow="0" w:lastRow="0" w:firstColumn="0" w:lastColumn="0" w:noHBand="0" w:noVBand="0"/>
      </w:tblPr>
      <w:tblGrid>
        <w:gridCol w:w="1672"/>
        <w:gridCol w:w="1044"/>
        <w:gridCol w:w="3486"/>
        <w:gridCol w:w="2332"/>
      </w:tblGrid>
      <w:tr w:rsidR="00BE7920" w14:paraId="5BDA7F85" w14:textId="77777777">
        <w:trPr>
          <w:cantSplit/>
          <w:trHeight w:val="330"/>
        </w:trPr>
        <w:tc>
          <w:tcPr>
            <w:tcW w:w="2716" w:type="dxa"/>
            <w:gridSpan w:val="2"/>
            <w:shd w:val="clear" w:color="auto" w:fill="FFFFFF"/>
            <w:tcMar>
              <w:top w:w="0" w:type="dxa"/>
              <w:left w:w="0" w:type="dxa"/>
              <w:bottom w:w="0" w:type="dxa"/>
              <w:right w:w="0" w:type="dxa"/>
            </w:tcMar>
            <w:vAlign w:val="center"/>
          </w:tcPr>
          <w:p w14:paraId="572469EF" w14:textId="77777777" w:rsidR="00BE7920" w:rsidRDefault="00803F08">
            <w:pPr>
              <w:pStyle w:val="Standard"/>
              <w:spacing w:after="0" w:line="240" w:lineRule="auto"/>
              <w:ind w:left="60" w:right="60"/>
              <w:jc w:val="center"/>
              <w:rPr>
                <w:rFonts w:ascii="Arial" w:hAnsi="Arial" w:cs="Arial"/>
                <w:b/>
                <w:bCs/>
                <w:color w:val="010205"/>
              </w:rPr>
            </w:pPr>
            <w:r>
              <w:rPr>
                <w:rFonts w:ascii="Arial" w:hAnsi="Arial" w:cs="Arial"/>
                <w:b/>
                <w:bCs/>
                <w:color w:val="010205"/>
              </w:rPr>
              <w:t>Correlations</w:t>
            </w:r>
          </w:p>
        </w:tc>
        <w:tc>
          <w:tcPr>
            <w:tcW w:w="5818" w:type="dxa"/>
            <w:gridSpan w:val="2"/>
            <w:tcMar>
              <w:top w:w="0" w:type="dxa"/>
              <w:left w:w="10" w:type="dxa"/>
              <w:bottom w:w="0" w:type="dxa"/>
              <w:right w:w="10" w:type="dxa"/>
            </w:tcMar>
          </w:tcPr>
          <w:p w14:paraId="2B00E193" w14:textId="77777777" w:rsidR="00BE7920" w:rsidRDefault="00BE7920">
            <w:pPr>
              <w:pStyle w:val="Standard"/>
              <w:spacing w:line="240" w:lineRule="auto"/>
            </w:pPr>
          </w:p>
        </w:tc>
      </w:tr>
      <w:tr w:rsidR="00BE7920" w14:paraId="79F44FAC" w14:textId="77777777">
        <w:trPr>
          <w:cantSplit/>
          <w:trHeight w:val="346"/>
        </w:trPr>
        <w:tc>
          <w:tcPr>
            <w:tcW w:w="6202" w:type="dxa"/>
            <w:gridSpan w:val="3"/>
            <w:tcBorders>
              <w:bottom w:val="single" w:sz="8" w:space="0" w:color="152935"/>
            </w:tcBorders>
            <w:shd w:val="clear" w:color="auto" w:fill="FFFFFF"/>
            <w:tcMar>
              <w:top w:w="0" w:type="dxa"/>
              <w:left w:w="0" w:type="dxa"/>
              <w:bottom w:w="0" w:type="dxa"/>
              <w:right w:w="0" w:type="dxa"/>
            </w:tcMar>
            <w:vAlign w:val="bottom"/>
          </w:tcPr>
          <w:p w14:paraId="685AF737" w14:textId="77777777" w:rsidR="00BE7920" w:rsidRDefault="00BE7920">
            <w:pPr>
              <w:pStyle w:val="Standard"/>
              <w:spacing w:after="0" w:line="240" w:lineRule="auto"/>
              <w:rPr>
                <w:rFonts w:ascii="Times New Roman" w:hAnsi="Times New Roman" w:cs="Times New Roman"/>
                <w:sz w:val="24"/>
                <w:szCs w:val="24"/>
              </w:rPr>
            </w:pPr>
          </w:p>
        </w:tc>
        <w:tc>
          <w:tcPr>
            <w:tcW w:w="2332" w:type="dxa"/>
            <w:tcBorders>
              <w:bottom w:val="single" w:sz="8" w:space="0" w:color="152935"/>
              <w:right w:val="single" w:sz="8" w:space="0" w:color="E0E0E0"/>
            </w:tcBorders>
            <w:shd w:val="clear" w:color="auto" w:fill="FFFFFF"/>
            <w:tcMar>
              <w:top w:w="0" w:type="dxa"/>
              <w:left w:w="0" w:type="dxa"/>
              <w:bottom w:w="0" w:type="dxa"/>
              <w:right w:w="0" w:type="dxa"/>
            </w:tcMar>
            <w:vAlign w:val="bottom"/>
          </w:tcPr>
          <w:p w14:paraId="04CAFA63" w14:textId="77777777" w:rsidR="00BE7920" w:rsidRDefault="00803F08">
            <w:pPr>
              <w:pStyle w:val="Standard"/>
              <w:spacing w:after="0" w:line="240" w:lineRule="auto"/>
              <w:ind w:left="60" w:right="60"/>
              <w:jc w:val="center"/>
              <w:rPr>
                <w:rFonts w:ascii="Arial" w:hAnsi="Arial" w:cs="Arial"/>
                <w:color w:val="264A60"/>
                <w:sz w:val="18"/>
                <w:szCs w:val="18"/>
              </w:rPr>
            </w:pPr>
            <w:r>
              <w:rPr>
                <w:rFonts w:ascii="Arial" w:hAnsi="Arial" w:cs="Arial"/>
                <w:color w:val="264A60"/>
                <w:sz w:val="18"/>
                <w:szCs w:val="18"/>
              </w:rPr>
              <w:t>CR</w:t>
            </w:r>
          </w:p>
        </w:tc>
      </w:tr>
      <w:tr w:rsidR="00BE7920" w14:paraId="1DDFC1EA" w14:textId="77777777">
        <w:trPr>
          <w:cantSplit/>
          <w:trHeight w:val="330"/>
        </w:trPr>
        <w:tc>
          <w:tcPr>
            <w:tcW w:w="1672" w:type="dxa"/>
            <w:vMerge w:val="restart"/>
            <w:tcBorders>
              <w:top w:val="single" w:sz="8" w:space="0" w:color="152935"/>
            </w:tcBorders>
            <w:shd w:val="clear" w:color="auto" w:fill="E0E0E0"/>
            <w:tcMar>
              <w:top w:w="0" w:type="dxa"/>
              <w:left w:w="0" w:type="dxa"/>
              <w:bottom w:w="0" w:type="dxa"/>
              <w:right w:w="0" w:type="dxa"/>
            </w:tcMar>
          </w:tcPr>
          <w:p w14:paraId="2CA18407"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CR</w:t>
            </w:r>
          </w:p>
        </w:tc>
        <w:tc>
          <w:tcPr>
            <w:tcW w:w="4530" w:type="dxa"/>
            <w:gridSpan w:val="2"/>
            <w:tcBorders>
              <w:top w:val="single" w:sz="8" w:space="0" w:color="152935"/>
              <w:bottom w:val="single" w:sz="8" w:space="0" w:color="AEAEAE"/>
            </w:tcBorders>
            <w:shd w:val="clear" w:color="auto" w:fill="E0E0E0"/>
            <w:tcMar>
              <w:top w:w="0" w:type="dxa"/>
              <w:left w:w="0" w:type="dxa"/>
              <w:bottom w:w="0" w:type="dxa"/>
              <w:right w:w="0" w:type="dxa"/>
            </w:tcMar>
          </w:tcPr>
          <w:p w14:paraId="4B52D4D6"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Pearson Correlation</w:t>
            </w:r>
          </w:p>
        </w:tc>
        <w:tc>
          <w:tcPr>
            <w:tcW w:w="2332" w:type="dxa"/>
            <w:tcBorders>
              <w:top w:val="single" w:sz="8" w:space="0" w:color="152935"/>
              <w:bottom w:val="single" w:sz="8" w:space="0" w:color="AEAEAE"/>
              <w:right w:val="single" w:sz="8" w:space="0" w:color="E0E0E0"/>
            </w:tcBorders>
            <w:shd w:val="clear" w:color="auto" w:fill="F9F9FB"/>
            <w:tcMar>
              <w:top w:w="0" w:type="dxa"/>
              <w:left w:w="0" w:type="dxa"/>
              <w:bottom w:w="0" w:type="dxa"/>
              <w:right w:w="0" w:type="dxa"/>
            </w:tcMar>
          </w:tcPr>
          <w:p w14:paraId="43BBFCD8" w14:textId="77777777" w:rsidR="00BE7920" w:rsidRDefault="00803F08">
            <w:pPr>
              <w:pStyle w:val="Standard"/>
              <w:spacing w:after="0" w:line="240" w:lineRule="auto"/>
              <w:ind w:left="60" w:right="60"/>
              <w:jc w:val="right"/>
              <w:rPr>
                <w:rFonts w:ascii="Arial" w:hAnsi="Arial" w:cs="Arial"/>
                <w:color w:val="010205"/>
                <w:sz w:val="18"/>
                <w:szCs w:val="18"/>
              </w:rPr>
            </w:pPr>
            <w:r>
              <w:rPr>
                <w:rFonts w:ascii="Arial" w:hAnsi="Arial" w:cs="Arial"/>
                <w:color w:val="010205"/>
                <w:sz w:val="18"/>
                <w:szCs w:val="18"/>
              </w:rPr>
              <w:t>1</w:t>
            </w:r>
          </w:p>
        </w:tc>
      </w:tr>
      <w:tr w:rsidR="00BE7920" w14:paraId="51447063" w14:textId="77777777">
        <w:trPr>
          <w:cantSplit/>
          <w:trHeight w:val="362"/>
        </w:trPr>
        <w:tc>
          <w:tcPr>
            <w:tcW w:w="1672" w:type="dxa"/>
            <w:vMerge/>
            <w:tcBorders>
              <w:top w:val="single" w:sz="8" w:space="0" w:color="152935"/>
            </w:tcBorders>
            <w:shd w:val="clear" w:color="auto" w:fill="E0E0E0"/>
            <w:tcMar>
              <w:top w:w="0" w:type="dxa"/>
              <w:left w:w="0" w:type="dxa"/>
              <w:bottom w:w="0" w:type="dxa"/>
              <w:right w:w="0" w:type="dxa"/>
            </w:tcMar>
          </w:tcPr>
          <w:p w14:paraId="2C1EE083" w14:textId="77777777" w:rsidR="00BE7920" w:rsidRDefault="00BE7920">
            <w:pPr>
              <w:suppressAutoHyphens w:val="0"/>
            </w:pPr>
          </w:p>
        </w:tc>
        <w:tc>
          <w:tcPr>
            <w:tcW w:w="4530" w:type="dxa"/>
            <w:gridSpan w:val="2"/>
            <w:tcBorders>
              <w:top w:val="single" w:sz="8" w:space="0" w:color="AEAEAE"/>
              <w:bottom w:val="single" w:sz="8" w:space="0" w:color="AEAEAE"/>
            </w:tcBorders>
            <w:shd w:val="clear" w:color="auto" w:fill="E0E0E0"/>
            <w:tcMar>
              <w:top w:w="0" w:type="dxa"/>
              <w:left w:w="0" w:type="dxa"/>
              <w:bottom w:w="0" w:type="dxa"/>
              <w:right w:w="0" w:type="dxa"/>
            </w:tcMar>
          </w:tcPr>
          <w:p w14:paraId="3797C567"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Sig. (2-tailed)</w:t>
            </w:r>
          </w:p>
        </w:tc>
        <w:tc>
          <w:tcPr>
            <w:tcW w:w="2332" w:type="dxa"/>
            <w:tcBorders>
              <w:top w:val="single" w:sz="8" w:space="0" w:color="AEAEAE"/>
              <w:bottom w:val="single" w:sz="8" w:space="0" w:color="AEAEAE"/>
              <w:right w:val="single" w:sz="8" w:space="0" w:color="E0E0E0"/>
            </w:tcBorders>
            <w:shd w:val="clear" w:color="auto" w:fill="F9F9FB"/>
            <w:tcMar>
              <w:top w:w="0" w:type="dxa"/>
              <w:left w:w="0" w:type="dxa"/>
              <w:bottom w:w="0" w:type="dxa"/>
              <w:right w:w="0" w:type="dxa"/>
            </w:tcMar>
            <w:vAlign w:val="center"/>
          </w:tcPr>
          <w:p w14:paraId="547CC2A7" w14:textId="77777777" w:rsidR="00BE7920" w:rsidRDefault="00BE7920">
            <w:pPr>
              <w:pStyle w:val="Standard"/>
              <w:spacing w:after="0" w:line="240" w:lineRule="auto"/>
              <w:rPr>
                <w:rFonts w:ascii="Times New Roman" w:hAnsi="Times New Roman" w:cs="Times New Roman"/>
                <w:sz w:val="24"/>
                <w:szCs w:val="24"/>
              </w:rPr>
            </w:pPr>
          </w:p>
        </w:tc>
      </w:tr>
      <w:tr w:rsidR="00BE7920" w14:paraId="4A422894" w14:textId="77777777">
        <w:trPr>
          <w:cantSplit/>
          <w:trHeight w:val="362"/>
        </w:trPr>
        <w:tc>
          <w:tcPr>
            <w:tcW w:w="1672" w:type="dxa"/>
            <w:vMerge/>
            <w:tcBorders>
              <w:top w:val="single" w:sz="8" w:space="0" w:color="152935"/>
            </w:tcBorders>
            <w:shd w:val="clear" w:color="auto" w:fill="E0E0E0"/>
            <w:tcMar>
              <w:top w:w="0" w:type="dxa"/>
              <w:left w:w="0" w:type="dxa"/>
              <w:bottom w:w="0" w:type="dxa"/>
              <w:right w:w="0" w:type="dxa"/>
            </w:tcMar>
          </w:tcPr>
          <w:p w14:paraId="49985923" w14:textId="77777777" w:rsidR="00BE7920" w:rsidRDefault="00BE7920">
            <w:pPr>
              <w:suppressAutoHyphens w:val="0"/>
            </w:pPr>
          </w:p>
        </w:tc>
        <w:tc>
          <w:tcPr>
            <w:tcW w:w="4530" w:type="dxa"/>
            <w:gridSpan w:val="2"/>
            <w:tcBorders>
              <w:top w:val="single" w:sz="8" w:space="0" w:color="AEAEAE"/>
            </w:tcBorders>
            <w:shd w:val="clear" w:color="auto" w:fill="E0E0E0"/>
            <w:tcMar>
              <w:top w:w="0" w:type="dxa"/>
              <w:left w:w="0" w:type="dxa"/>
              <w:bottom w:w="0" w:type="dxa"/>
              <w:right w:w="0" w:type="dxa"/>
            </w:tcMar>
          </w:tcPr>
          <w:p w14:paraId="74A05F04"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N</w:t>
            </w:r>
          </w:p>
        </w:tc>
        <w:tc>
          <w:tcPr>
            <w:tcW w:w="2332" w:type="dxa"/>
            <w:tcBorders>
              <w:top w:val="single" w:sz="8" w:space="0" w:color="AEAEAE"/>
              <w:right w:val="single" w:sz="8" w:space="0" w:color="E0E0E0"/>
            </w:tcBorders>
            <w:shd w:val="clear" w:color="auto" w:fill="F9F9FB"/>
            <w:tcMar>
              <w:top w:w="0" w:type="dxa"/>
              <w:left w:w="0" w:type="dxa"/>
              <w:bottom w:w="0" w:type="dxa"/>
              <w:right w:w="0" w:type="dxa"/>
            </w:tcMar>
          </w:tcPr>
          <w:p w14:paraId="476A0B59" w14:textId="77777777" w:rsidR="00BE7920" w:rsidRDefault="00803F08">
            <w:pPr>
              <w:pStyle w:val="Standard"/>
              <w:spacing w:after="0" w:line="240" w:lineRule="auto"/>
              <w:ind w:left="60" w:right="60"/>
              <w:jc w:val="right"/>
              <w:rPr>
                <w:rFonts w:ascii="Arial" w:hAnsi="Arial" w:cs="Arial"/>
                <w:color w:val="010205"/>
                <w:sz w:val="18"/>
                <w:szCs w:val="18"/>
              </w:rPr>
            </w:pPr>
            <w:r>
              <w:rPr>
                <w:rFonts w:ascii="Arial" w:hAnsi="Arial" w:cs="Arial"/>
                <w:color w:val="010205"/>
                <w:sz w:val="18"/>
                <w:szCs w:val="18"/>
              </w:rPr>
              <w:t>451</w:t>
            </w:r>
          </w:p>
        </w:tc>
      </w:tr>
      <w:tr w:rsidR="00BE7920" w14:paraId="358D7D26" w14:textId="77777777">
        <w:trPr>
          <w:cantSplit/>
          <w:trHeight w:val="330"/>
        </w:trPr>
        <w:tc>
          <w:tcPr>
            <w:tcW w:w="1672" w:type="dxa"/>
            <w:vMerge w:val="restart"/>
            <w:tcBorders>
              <w:top w:val="single" w:sz="8" w:space="0" w:color="AEAEAE"/>
              <w:bottom w:val="single" w:sz="8" w:space="0" w:color="152935"/>
            </w:tcBorders>
            <w:shd w:val="clear" w:color="auto" w:fill="E0E0E0"/>
            <w:tcMar>
              <w:top w:w="0" w:type="dxa"/>
              <w:left w:w="0" w:type="dxa"/>
              <w:bottom w:w="0" w:type="dxa"/>
              <w:right w:w="0" w:type="dxa"/>
            </w:tcMar>
          </w:tcPr>
          <w:p w14:paraId="671B8809"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OCS</w:t>
            </w:r>
          </w:p>
        </w:tc>
        <w:tc>
          <w:tcPr>
            <w:tcW w:w="4530" w:type="dxa"/>
            <w:gridSpan w:val="2"/>
            <w:tcBorders>
              <w:top w:val="single" w:sz="8" w:space="0" w:color="AEAEAE"/>
              <w:bottom w:val="single" w:sz="8" w:space="0" w:color="AEAEAE"/>
            </w:tcBorders>
            <w:shd w:val="clear" w:color="auto" w:fill="E0E0E0"/>
            <w:tcMar>
              <w:top w:w="0" w:type="dxa"/>
              <w:left w:w="0" w:type="dxa"/>
              <w:bottom w:w="0" w:type="dxa"/>
              <w:right w:w="0" w:type="dxa"/>
            </w:tcMar>
          </w:tcPr>
          <w:p w14:paraId="263EAC0B"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Pearson Correlation</w:t>
            </w:r>
          </w:p>
        </w:tc>
        <w:tc>
          <w:tcPr>
            <w:tcW w:w="2332" w:type="dxa"/>
            <w:tcBorders>
              <w:top w:val="single" w:sz="8" w:space="0" w:color="AEAEAE"/>
              <w:bottom w:val="single" w:sz="8" w:space="0" w:color="AEAEAE"/>
              <w:right w:val="single" w:sz="8" w:space="0" w:color="E0E0E0"/>
            </w:tcBorders>
            <w:shd w:val="clear" w:color="auto" w:fill="F9F9FB"/>
            <w:tcMar>
              <w:top w:w="0" w:type="dxa"/>
              <w:left w:w="0" w:type="dxa"/>
              <w:bottom w:w="0" w:type="dxa"/>
              <w:right w:w="0" w:type="dxa"/>
            </w:tcMar>
          </w:tcPr>
          <w:p w14:paraId="4D5AF59E" w14:textId="77777777" w:rsidR="00BE7920" w:rsidRDefault="00803F08">
            <w:pPr>
              <w:pStyle w:val="Standard"/>
              <w:spacing w:after="0" w:line="240" w:lineRule="auto"/>
              <w:ind w:left="60" w:right="60"/>
              <w:jc w:val="right"/>
            </w:pPr>
            <w:r>
              <w:rPr>
                <w:rFonts w:ascii="Arial" w:hAnsi="Arial" w:cs="Arial"/>
                <w:color w:val="010205"/>
                <w:sz w:val="18"/>
                <w:szCs w:val="18"/>
              </w:rPr>
              <w:t>-.098</w:t>
            </w:r>
            <w:r>
              <w:rPr>
                <w:rFonts w:ascii="Arial" w:hAnsi="Arial" w:cs="Arial"/>
                <w:color w:val="010205"/>
                <w:sz w:val="18"/>
                <w:szCs w:val="18"/>
                <w:vertAlign w:val="superscript"/>
              </w:rPr>
              <w:t>*</w:t>
            </w:r>
          </w:p>
        </w:tc>
      </w:tr>
      <w:tr w:rsidR="00BE7920" w14:paraId="53D490E3" w14:textId="77777777">
        <w:trPr>
          <w:cantSplit/>
          <w:trHeight w:val="362"/>
        </w:trPr>
        <w:tc>
          <w:tcPr>
            <w:tcW w:w="1672" w:type="dxa"/>
            <w:vMerge/>
            <w:tcBorders>
              <w:top w:val="single" w:sz="8" w:space="0" w:color="AEAEAE"/>
              <w:bottom w:val="single" w:sz="8" w:space="0" w:color="152935"/>
            </w:tcBorders>
            <w:shd w:val="clear" w:color="auto" w:fill="E0E0E0"/>
            <w:tcMar>
              <w:top w:w="0" w:type="dxa"/>
              <w:left w:w="0" w:type="dxa"/>
              <w:bottom w:w="0" w:type="dxa"/>
              <w:right w:w="0" w:type="dxa"/>
            </w:tcMar>
          </w:tcPr>
          <w:p w14:paraId="1006F0FA" w14:textId="77777777" w:rsidR="00BE7920" w:rsidRDefault="00BE7920">
            <w:pPr>
              <w:suppressAutoHyphens w:val="0"/>
            </w:pPr>
          </w:p>
        </w:tc>
        <w:tc>
          <w:tcPr>
            <w:tcW w:w="4530" w:type="dxa"/>
            <w:gridSpan w:val="2"/>
            <w:tcBorders>
              <w:top w:val="single" w:sz="8" w:space="0" w:color="AEAEAE"/>
              <w:bottom w:val="single" w:sz="8" w:space="0" w:color="AEAEAE"/>
            </w:tcBorders>
            <w:shd w:val="clear" w:color="auto" w:fill="E0E0E0"/>
            <w:tcMar>
              <w:top w:w="0" w:type="dxa"/>
              <w:left w:w="0" w:type="dxa"/>
              <w:bottom w:w="0" w:type="dxa"/>
              <w:right w:w="0" w:type="dxa"/>
            </w:tcMar>
          </w:tcPr>
          <w:p w14:paraId="755755F3"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Sig. (2-tailed)</w:t>
            </w:r>
          </w:p>
        </w:tc>
        <w:tc>
          <w:tcPr>
            <w:tcW w:w="2332" w:type="dxa"/>
            <w:tcBorders>
              <w:top w:val="single" w:sz="8" w:space="0" w:color="AEAEAE"/>
              <w:bottom w:val="single" w:sz="8" w:space="0" w:color="AEAEAE"/>
              <w:right w:val="single" w:sz="8" w:space="0" w:color="E0E0E0"/>
            </w:tcBorders>
            <w:shd w:val="clear" w:color="auto" w:fill="F9F9FB"/>
            <w:tcMar>
              <w:top w:w="0" w:type="dxa"/>
              <w:left w:w="0" w:type="dxa"/>
              <w:bottom w:w="0" w:type="dxa"/>
              <w:right w:w="0" w:type="dxa"/>
            </w:tcMar>
          </w:tcPr>
          <w:p w14:paraId="32892EC9" w14:textId="77777777" w:rsidR="00BE7920" w:rsidRDefault="00803F08">
            <w:pPr>
              <w:pStyle w:val="Standard"/>
              <w:spacing w:after="0" w:line="240" w:lineRule="auto"/>
              <w:ind w:left="60" w:right="60"/>
              <w:jc w:val="right"/>
              <w:rPr>
                <w:rFonts w:ascii="Arial" w:hAnsi="Arial" w:cs="Arial"/>
                <w:color w:val="010205"/>
                <w:sz w:val="18"/>
                <w:szCs w:val="18"/>
              </w:rPr>
            </w:pPr>
            <w:r>
              <w:rPr>
                <w:rFonts w:ascii="Arial" w:hAnsi="Arial" w:cs="Arial"/>
                <w:color w:val="010205"/>
                <w:sz w:val="18"/>
                <w:szCs w:val="18"/>
              </w:rPr>
              <w:t>.037</w:t>
            </w:r>
          </w:p>
        </w:tc>
      </w:tr>
      <w:tr w:rsidR="00BE7920" w14:paraId="318110B6" w14:textId="77777777">
        <w:trPr>
          <w:cantSplit/>
          <w:trHeight w:val="362"/>
        </w:trPr>
        <w:tc>
          <w:tcPr>
            <w:tcW w:w="1672" w:type="dxa"/>
            <w:vMerge/>
            <w:tcBorders>
              <w:top w:val="single" w:sz="8" w:space="0" w:color="AEAEAE"/>
              <w:bottom w:val="single" w:sz="8" w:space="0" w:color="152935"/>
            </w:tcBorders>
            <w:shd w:val="clear" w:color="auto" w:fill="E0E0E0"/>
            <w:tcMar>
              <w:top w:w="0" w:type="dxa"/>
              <w:left w:w="0" w:type="dxa"/>
              <w:bottom w:w="0" w:type="dxa"/>
              <w:right w:w="0" w:type="dxa"/>
            </w:tcMar>
          </w:tcPr>
          <w:p w14:paraId="1CC73354" w14:textId="77777777" w:rsidR="00BE7920" w:rsidRDefault="00BE7920">
            <w:pPr>
              <w:suppressAutoHyphens w:val="0"/>
            </w:pPr>
          </w:p>
        </w:tc>
        <w:tc>
          <w:tcPr>
            <w:tcW w:w="4530" w:type="dxa"/>
            <w:gridSpan w:val="2"/>
            <w:tcBorders>
              <w:top w:val="single" w:sz="8" w:space="0" w:color="AEAEAE"/>
              <w:bottom w:val="single" w:sz="8" w:space="0" w:color="152935"/>
            </w:tcBorders>
            <w:shd w:val="clear" w:color="auto" w:fill="E0E0E0"/>
            <w:tcMar>
              <w:top w:w="0" w:type="dxa"/>
              <w:left w:w="0" w:type="dxa"/>
              <w:bottom w:w="0" w:type="dxa"/>
              <w:right w:w="0" w:type="dxa"/>
            </w:tcMar>
          </w:tcPr>
          <w:p w14:paraId="2108CF58" w14:textId="77777777" w:rsidR="00BE7920" w:rsidRDefault="00803F08">
            <w:pPr>
              <w:pStyle w:val="Standard"/>
              <w:spacing w:after="0" w:line="240" w:lineRule="auto"/>
              <w:ind w:left="60" w:right="60"/>
              <w:rPr>
                <w:rFonts w:ascii="Arial" w:hAnsi="Arial" w:cs="Arial"/>
                <w:color w:val="264A60"/>
                <w:sz w:val="18"/>
                <w:szCs w:val="18"/>
              </w:rPr>
            </w:pPr>
            <w:r>
              <w:rPr>
                <w:rFonts w:ascii="Arial" w:hAnsi="Arial" w:cs="Arial"/>
                <w:color w:val="264A60"/>
                <w:sz w:val="18"/>
                <w:szCs w:val="18"/>
              </w:rPr>
              <w:t>N</w:t>
            </w:r>
          </w:p>
        </w:tc>
        <w:tc>
          <w:tcPr>
            <w:tcW w:w="2332" w:type="dxa"/>
            <w:tcBorders>
              <w:top w:val="single" w:sz="8" w:space="0" w:color="AEAEAE"/>
              <w:bottom w:val="single" w:sz="8" w:space="0" w:color="152935"/>
              <w:right w:val="single" w:sz="8" w:space="0" w:color="E0E0E0"/>
            </w:tcBorders>
            <w:shd w:val="clear" w:color="auto" w:fill="F9F9FB"/>
            <w:tcMar>
              <w:top w:w="0" w:type="dxa"/>
              <w:left w:w="0" w:type="dxa"/>
              <w:bottom w:w="0" w:type="dxa"/>
              <w:right w:w="0" w:type="dxa"/>
            </w:tcMar>
          </w:tcPr>
          <w:p w14:paraId="6A0734CA" w14:textId="77777777" w:rsidR="00BE7920" w:rsidRDefault="00803F08">
            <w:pPr>
              <w:pStyle w:val="Standard"/>
              <w:spacing w:after="0" w:line="240" w:lineRule="auto"/>
              <w:ind w:left="60" w:right="60"/>
              <w:jc w:val="right"/>
              <w:rPr>
                <w:rFonts w:ascii="Arial" w:hAnsi="Arial" w:cs="Arial"/>
                <w:color w:val="010205"/>
                <w:sz w:val="18"/>
                <w:szCs w:val="18"/>
              </w:rPr>
            </w:pPr>
            <w:r>
              <w:rPr>
                <w:rFonts w:ascii="Arial" w:hAnsi="Arial" w:cs="Arial"/>
                <w:color w:val="010205"/>
                <w:sz w:val="18"/>
                <w:szCs w:val="18"/>
              </w:rPr>
              <w:t>451</w:t>
            </w:r>
          </w:p>
        </w:tc>
      </w:tr>
      <w:tr w:rsidR="00BE7920" w14:paraId="3DDA3836" w14:textId="77777777">
        <w:trPr>
          <w:cantSplit/>
          <w:trHeight w:val="330"/>
        </w:trPr>
        <w:tc>
          <w:tcPr>
            <w:tcW w:w="2716" w:type="dxa"/>
            <w:gridSpan w:val="2"/>
            <w:shd w:val="clear" w:color="auto" w:fill="FFFFFF"/>
            <w:tcMar>
              <w:top w:w="0" w:type="dxa"/>
              <w:left w:w="0" w:type="dxa"/>
              <w:bottom w:w="0" w:type="dxa"/>
              <w:right w:w="0" w:type="dxa"/>
            </w:tcMar>
          </w:tcPr>
          <w:p w14:paraId="3F6ADC1A" w14:textId="77777777" w:rsidR="00BE7920" w:rsidRDefault="00803F08">
            <w:pPr>
              <w:pStyle w:val="Standard"/>
              <w:spacing w:after="0" w:line="240" w:lineRule="auto"/>
              <w:ind w:left="60" w:right="60"/>
              <w:rPr>
                <w:rFonts w:ascii="Arial" w:hAnsi="Arial" w:cs="Arial"/>
                <w:color w:val="010205"/>
                <w:sz w:val="18"/>
                <w:szCs w:val="18"/>
              </w:rPr>
            </w:pPr>
            <w:r>
              <w:rPr>
                <w:rFonts w:ascii="Arial" w:hAnsi="Arial" w:cs="Arial"/>
                <w:color w:val="010205"/>
                <w:sz w:val="18"/>
                <w:szCs w:val="18"/>
              </w:rPr>
              <w:t>*. Correlation is significant at the 0.05 level (2-tailed).</w:t>
            </w:r>
          </w:p>
        </w:tc>
        <w:tc>
          <w:tcPr>
            <w:tcW w:w="5818" w:type="dxa"/>
            <w:gridSpan w:val="2"/>
            <w:tcMar>
              <w:top w:w="0" w:type="dxa"/>
              <w:left w:w="10" w:type="dxa"/>
              <w:bottom w:w="0" w:type="dxa"/>
              <w:right w:w="10" w:type="dxa"/>
            </w:tcMar>
          </w:tcPr>
          <w:p w14:paraId="018A9DF4" w14:textId="77777777" w:rsidR="00BE7920" w:rsidRDefault="00BE7920">
            <w:pPr>
              <w:pStyle w:val="Standard"/>
              <w:spacing w:line="240" w:lineRule="auto"/>
            </w:pPr>
          </w:p>
        </w:tc>
      </w:tr>
    </w:tbl>
    <w:p w14:paraId="77AB4DA6" w14:textId="77777777" w:rsidR="00BE7920" w:rsidRDefault="00BE7920">
      <w:pPr>
        <w:pStyle w:val="Standard"/>
        <w:spacing w:after="0" w:line="360" w:lineRule="auto"/>
        <w:rPr>
          <w:rFonts w:ascii="Times New Roman" w:hAnsi="Times New Roman" w:cs="Times New Roman"/>
          <w:sz w:val="24"/>
          <w:szCs w:val="24"/>
        </w:rPr>
      </w:pPr>
    </w:p>
    <w:p w14:paraId="6F6F547C" w14:textId="047AAF57" w:rsidR="00CD6B78" w:rsidRPr="003037E8" w:rsidRDefault="003037E8" w:rsidP="00CD6B78">
      <w:pPr>
        <w:spacing w:line="360" w:lineRule="auto"/>
        <w:jc w:val="both"/>
        <w:rPr>
          <w:rFonts w:ascii="Times New Roman" w:hAnsi="Times New Roman" w:cs="Times New Roman"/>
        </w:rPr>
      </w:pPr>
      <w:r w:rsidRPr="00A10219">
        <w:rPr>
          <w:rFonts w:ascii="Times New Roman" w:hAnsi="Times New Roman" w:cs="Times New Roman"/>
        </w:rPr>
        <w:t xml:space="preserve">Table 9 presents the relationship between mandatory retirement policies (CR) and organizational </w:t>
      </w:r>
      <w:r w:rsidRPr="00A10219">
        <w:rPr>
          <w:rFonts w:ascii="Times New Roman" w:hAnsi="Times New Roman" w:cs="Times New Roman"/>
        </w:rPr>
        <w:lastRenderedPageBreak/>
        <w:t>competitiveness and sustainability (OCS). The Pearson correlation coefficient (r = -0.098, p = 0.037) indicates a very weak negative relationship between mandatory retirement policies and organizational competitiveness and sustainability.</w:t>
      </w:r>
      <w:r>
        <w:rPr>
          <w:rFonts w:ascii="Times New Roman" w:hAnsi="Times New Roman" w:cs="Times New Roman"/>
        </w:rPr>
        <w:t xml:space="preserve"> </w:t>
      </w:r>
      <w:r w:rsidRPr="00A10219">
        <w:rPr>
          <w:rFonts w:ascii="Times New Roman" w:hAnsi="Times New Roman" w:cs="Times New Roman"/>
        </w:rPr>
        <w:t>Although the correlation is weak, the relationship is statistically significant at the 5% level, suggesting that mandatory retirement policies and their timing may have a measurable, albeit small, impact on the long-term competitiveness and sustainability of organizations during the study period.</w:t>
      </w:r>
      <w:r>
        <w:rPr>
          <w:rFonts w:ascii="Times New Roman" w:hAnsi="Times New Roman" w:cs="Times New Roman"/>
        </w:rPr>
        <w:t xml:space="preserve"> </w:t>
      </w:r>
      <w:r w:rsidRPr="00A10219">
        <w:rPr>
          <w:rFonts w:ascii="Times New Roman" w:hAnsi="Times New Roman" w:cs="Times New Roman"/>
        </w:rPr>
        <w:t>This result implies that while mandatory retirement policies do influence competitiveness and sustainability, their effect is limited, highlighting the need for complementary strategies, such as succession planning and knowledge management, to support organizational resilience.</w:t>
      </w:r>
    </w:p>
    <w:p w14:paraId="5A1E3CFF" w14:textId="1FF80245" w:rsidR="00CD6B78" w:rsidRPr="00C91C63" w:rsidRDefault="00CD6B78" w:rsidP="00CD6B78">
      <w:pPr>
        <w:spacing w:line="360" w:lineRule="auto"/>
        <w:jc w:val="both"/>
        <w:rPr>
          <w:rFonts w:ascii="Times New Roman" w:hAnsi="Times New Roman" w:cs="Times New Roman"/>
          <w:b/>
          <w:bCs/>
          <w:sz w:val="24"/>
          <w:szCs w:val="24"/>
        </w:rPr>
      </w:pPr>
      <w:r w:rsidRPr="00C91C63">
        <w:rPr>
          <w:rFonts w:ascii="Times New Roman" w:hAnsi="Times New Roman" w:cs="Times New Roman"/>
          <w:b/>
          <w:bCs/>
          <w:sz w:val="24"/>
          <w:szCs w:val="24"/>
        </w:rPr>
        <w:t xml:space="preserve">Discussion of Findings </w:t>
      </w:r>
    </w:p>
    <w:p w14:paraId="5516F820"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sz w:val="24"/>
          <w:szCs w:val="24"/>
        </w:rPr>
        <w:t>This study examined the consequences of mandatory retirement of high-performing employees on organizational sustainability by assessing its effects on knowledge retention, innovation, employee morale, productivity, and long-term competitiveness. The correlation results revealed significant negative relationships between mandatory retirement and all dimensions measured, providing strong evidence for the tested hypotheses.</w:t>
      </w:r>
    </w:p>
    <w:p w14:paraId="6D39B645" w14:textId="77777777" w:rsidR="00CD6B78" w:rsidRPr="00C91C63" w:rsidRDefault="00CD6B78" w:rsidP="00CD6B78">
      <w:pPr>
        <w:spacing w:line="360" w:lineRule="auto"/>
        <w:jc w:val="both"/>
        <w:rPr>
          <w:rFonts w:ascii="Times New Roman" w:hAnsi="Times New Roman" w:cs="Times New Roman"/>
          <w:b/>
          <w:bCs/>
          <w:sz w:val="24"/>
          <w:szCs w:val="24"/>
        </w:rPr>
      </w:pPr>
      <w:r w:rsidRPr="00C91C63">
        <w:rPr>
          <w:rFonts w:ascii="Times New Roman" w:hAnsi="Times New Roman" w:cs="Times New Roman"/>
          <w:b/>
          <w:bCs/>
          <w:sz w:val="24"/>
          <w:szCs w:val="24"/>
        </w:rPr>
        <w:t>4.2.1 Mandatory Retirement, Knowledge Retention, and Innovation (H1)</w:t>
      </w:r>
    </w:p>
    <w:p w14:paraId="5A125C51"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b/>
          <w:bCs/>
          <w:sz w:val="24"/>
          <w:szCs w:val="24"/>
        </w:rPr>
        <w:t xml:space="preserve">H1 </w:t>
      </w:r>
      <w:r w:rsidRPr="00C91C63">
        <w:rPr>
          <w:rFonts w:ascii="Times New Roman" w:hAnsi="Times New Roman" w:cs="Times New Roman"/>
          <w:sz w:val="24"/>
          <w:szCs w:val="24"/>
        </w:rPr>
        <w:t>predicted that mandatory retirement of high-performing staff would negatively influence organizational knowledge retention and innovation.</w:t>
      </w:r>
      <w:r>
        <w:rPr>
          <w:rFonts w:ascii="Times New Roman" w:hAnsi="Times New Roman" w:cs="Times New Roman"/>
        </w:rPr>
        <w:t xml:space="preserve"> </w:t>
      </w:r>
      <w:r w:rsidRPr="00C91C63">
        <w:rPr>
          <w:rFonts w:ascii="Times New Roman" w:hAnsi="Times New Roman" w:cs="Times New Roman"/>
          <w:sz w:val="24"/>
          <w:szCs w:val="24"/>
        </w:rPr>
        <w:t>The findings strongly supported this hypothesis (r = –0.656, p &lt; 0.01).</w:t>
      </w:r>
      <w:r>
        <w:rPr>
          <w:rFonts w:ascii="Times New Roman" w:hAnsi="Times New Roman" w:cs="Times New Roman"/>
        </w:rPr>
        <w:t xml:space="preserve"> </w:t>
      </w:r>
      <w:r w:rsidRPr="00C91C63">
        <w:rPr>
          <w:rFonts w:ascii="Times New Roman" w:hAnsi="Times New Roman" w:cs="Times New Roman"/>
          <w:sz w:val="24"/>
          <w:szCs w:val="24"/>
        </w:rPr>
        <w:t xml:space="preserve">These results align with Human Capital Theory, which views </w:t>
      </w:r>
      <w:r>
        <w:rPr>
          <w:rFonts w:ascii="Times New Roman" w:hAnsi="Times New Roman" w:cs="Times New Roman"/>
        </w:rPr>
        <w:t>employees'</w:t>
      </w:r>
      <w:r w:rsidRPr="00C91C63">
        <w:rPr>
          <w:rFonts w:ascii="Times New Roman" w:hAnsi="Times New Roman" w:cs="Times New Roman"/>
          <w:sz w:val="24"/>
          <w:szCs w:val="24"/>
        </w:rPr>
        <w:t xml:space="preserve"> accumulated knowledge, skills, and experience as critical organizational assets. When high performers</w:t>
      </w:r>
      <w:r>
        <w:rPr>
          <w:rFonts w:ascii="Times New Roman" w:hAnsi="Times New Roman" w:cs="Times New Roman"/>
        </w:rPr>
        <w:t xml:space="preserve">, </w:t>
      </w:r>
      <w:r w:rsidRPr="00C91C63">
        <w:rPr>
          <w:rFonts w:ascii="Times New Roman" w:hAnsi="Times New Roman" w:cs="Times New Roman"/>
          <w:sz w:val="24"/>
          <w:szCs w:val="24"/>
        </w:rPr>
        <w:t>who hold substantial tacit knowledge</w:t>
      </w:r>
      <w:r>
        <w:rPr>
          <w:rFonts w:ascii="Times New Roman" w:hAnsi="Times New Roman" w:cs="Times New Roman"/>
        </w:rPr>
        <w:t xml:space="preserve">, </w:t>
      </w:r>
      <w:r w:rsidRPr="00C91C63">
        <w:rPr>
          <w:rFonts w:ascii="Times New Roman" w:hAnsi="Times New Roman" w:cs="Times New Roman"/>
          <w:sz w:val="24"/>
          <w:szCs w:val="24"/>
        </w:rPr>
        <w:t>retire, organizations lose human capital that is costly and time-consuming to replace. This outcome is consistent with Adeniyi et al. (2022), who found that succession planning and mentoring significantly enhance organizational performance by retaining knowledge and developing talent. The absence of structured succession and knowledge-transfer mechanisms, therefore, magnifies the adverse effects observed in this study.</w:t>
      </w:r>
    </w:p>
    <w:p w14:paraId="0D6C74F5"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sz w:val="24"/>
          <w:szCs w:val="24"/>
        </w:rPr>
        <w:t>Additionally, the reduction in innovation linked to mandatory retirement echoes findings by Deepalakshmi et al. (2024), who showed that employee engagement and experience enhance creativity and organizational effectiveness. High-performing staff often drive innovation through expertise, collaboration, and problem-solving. Thus, their removal diminishes organizational capacity for innovation, supporting both empirical literature and the theoretical expectations of Human Capital Theory.</w:t>
      </w:r>
    </w:p>
    <w:p w14:paraId="14CF9334" w14:textId="77777777" w:rsidR="00CD6B78" w:rsidRPr="00C91C63" w:rsidRDefault="00CD6B78" w:rsidP="00CD6B78">
      <w:pPr>
        <w:spacing w:line="360" w:lineRule="auto"/>
        <w:jc w:val="both"/>
        <w:rPr>
          <w:rFonts w:ascii="Times New Roman" w:hAnsi="Times New Roman" w:cs="Times New Roman"/>
          <w:b/>
          <w:bCs/>
          <w:sz w:val="24"/>
          <w:szCs w:val="24"/>
        </w:rPr>
      </w:pPr>
      <w:r w:rsidRPr="00C91C63">
        <w:rPr>
          <w:rFonts w:ascii="Times New Roman" w:hAnsi="Times New Roman" w:cs="Times New Roman"/>
          <w:b/>
          <w:bCs/>
          <w:sz w:val="24"/>
          <w:szCs w:val="24"/>
        </w:rPr>
        <w:lastRenderedPageBreak/>
        <w:t>4.2.2 Mandatory Retirement and Employee Morale (H2)</w:t>
      </w:r>
    </w:p>
    <w:p w14:paraId="7A4EEE34"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b/>
          <w:bCs/>
          <w:sz w:val="24"/>
          <w:szCs w:val="24"/>
        </w:rPr>
        <w:t xml:space="preserve">H2 </w:t>
      </w:r>
      <w:r w:rsidRPr="00C91C63">
        <w:rPr>
          <w:rFonts w:ascii="Times New Roman" w:hAnsi="Times New Roman" w:cs="Times New Roman"/>
          <w:sz w:val="24"/>
          <w:szCs w:val="24"/>
        </w:rPr>
        <w:t>predicted that mandatory retirement negatively affects employee morale and motivation.</w:t>
      </w:r>
      <w:r w:rsidRPr="00C91C63">
        <w:rPr>
          <w:rFonts w:ascii="Times New Roman" w:hAnsi="Times New Roman" w:cs="Times New Roman"/>
          <w:sz w:val="24"/>
          <w:szCs w:val="24"/>
        </w:rPr>
        <w:br/>
        <w:t>The correlation result (r = –0.694, p &lt; 0.01) provided strong support for this hypothesis.</w:t>
      </w:r>
      <w:r>
        <w:rPr>
          <w:rFonts w:ascii="Times New Roman" w:hAnsi="Times New Roman" w:cs="Times New Roman"/>
        </w:rPr>
        <w:t xml:space="preserve"> </w:t>
      </w:r>
      <w:r w:rsidRPr="00C91C63">
        <w:rPr>
          <w:rFonts w:ascii="Times New Roman" w:hAnsi="Times New Roman" w:cs="Times New Roman"/>
          <w:sz w:val="24"/>
          <w:szCs w:val="24"/>
        </w:rPr>
        <w:t>This outcome is deeply rooted in Social Exchange Theory (SET), which emphasizes reciprocity, fairness, and perceived organizational support. Forced retirement of highly dedicated and accomplished employees may be perceived as a violation of the psychological contract, reducing trust in leadership and weakening the social exchange relationship. This is consistent with Deepalakshmi et al. (2024), who highlighted that reduced engagement and perceptions of unfair treatment lower morale and productivity.</w:t>
      </w:r>
    </w:p>
    <w:p w14:paraId="4115498F"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sz w:val="24"/>
          <w:szCs w:val="24"/>
        </w:rPr>
        <w:t xml:space="preserve">Furthermore, </w:t>
      </w:r>
      <w:proofErr w:type="spellStart"/>
      <w:r w:rsidRPr="00C91C63">
        <w:rPr>
          <w:rFonts w:ascii="Times New Roman" w:hAnsi="Times New Roman" w:cs="Times New Roman"/>
          <w:sz w:val="24"/>
          <w:szCs w:val="24"/>
        </w:rPr>
        <w:t>Sajjadiani</w:t>
      </w:r>
      <w:proofErr w:type="spellEnd"/>
      <w:r w:rsidRPr="00C91C63">
        <w:rPr>
          <w:rFonts w:ascii="Times New Roman" w:hAnsi="Times New Roman" w:cs="Times New Roman"/>
          <w:sz w:val="24"/>
          <w:szCs w:val="24"/>
        </w:rPr>
        <w:t xml:space="preserve"> et al. (2023) found that the exit of high-performing employees creates a “turnover multiplier effect,” where other high performers are more likely to leave. This supports the present finding that mandatory retirement not only affects morale but also creates anxiety, job insecurity, and disengagement among remaining employees.</w:t>
      </w:r>
    </w:p>
    <w:p w14:paraId="68B3D8C6" w14:textId="77777777" w:rsidR="00CD6B78" w:rsidRPr="00C91C63" w:rsidRDefault="00CD6B78" w:rsidP="00CD6B78">
      <w:pPr>
        <w:spacing w:line="360" w:lineRule="auto"/>
        <w:jc w:val="both"/>
        <w:rPr>
          <w:rFonts w:ascii="Times New Roman" w:hAnsi="Times New Roman" w:cs="Times New Roman"/>
          <w:b/>
          <w:bCs/>
          <w:sz w:val="24"/>
          <w:szCs w:val="24"/>
        </w:rPr>
      </w:pPr>
      <w:r w:rsidRPr="00C91C63">
        <w:rPr>
          <w:rFonts w:ascii="Times New Roman" w:hAnsi="Times New Roman" w:cs="Times New Roman"/>
          <w:b/>
          <w:bCs/>
          <w:sz w:val="24"/>
          <w:szCs w:val="24"/>
        </w:rPr>
        <w:t>4.2.3 Mandatory Retirement, Productivity, and Profitability (H3)</w:t>
      </w:r>
    </w:p>
    <w:p w14:paraId="56901E5D"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b/>
          <w:bCs/>
          <w:sz w:val="24"/>
          <w:szCs w:val="24"/>
        </w:rPr>
        <w:t xml:space="preserve">H3 </w:t>
      </w:r>
      <w:r w:rsidRPr="00C91C63">
        <w:rPr>
          <w:rFonts w:ascii="Times New Roman" w:hAnsi="Times New Roman" w:cs="Times New Roman"/>
          <w:sz w:val="24"/>
          <w:szCs w:val="24"/>
        </w:rPr>
        <w:t>proposed that mandatory retirement negatively impacts organizational productivity and profitability.</w:t>
      </w:r>
      <w:r>
        <w:rPr>
          <w:rFonts w:ascii="Times New Roman" w:hAnsi="Times New Roman" w:cs="Times New Roman"/>
        </w:rPr>
        <w:t xml:space="preserve"> </w:t>
      </w:r>
      <w:r w:rsidRPr="00C91C63">
        <w:rPr>
          <w:rFonts w:ascii="Times New Roman" w:hAnsi="Times New Roman" w:cs="Times New Roman"/>
          <w:sz w:val="24"/>
          <w:szCs w:val="24"/>
        </w:rPr>
        <w:t>The results confirmed this relationship (r = –0.419, p &lt; 0.01).</w:t>
      </w:r>
      <w:r>
        <w:rPr>
          <w:rFonts w:ascii="Times New Roman" w:hAnsi="Times New Roman" w:cs="Times New Roman"/>
        </w:rPr>
        <w:t xml:space="preserve"> </w:t>
      </w:r>
      <w:r w:rsidRPr="00C91C63">
        <w:rPr>
          <w:rFonts w:ascii="Times New Roman" w:hAnsi="Times New Roman" w:cs="Times New Roman"/>
          <w:sz w:val="24"/>
          <w:szCs w:val="24"/>
        </w:rPr>
        <w:t>These findings align with Khan (2021), who emphasized that the exit of talented employees increases operational costs, reduces efficiency, and disrupts workflow continuity. Productivity declines when experienced employees exit suddenly, requiring time and financial investment in training newcomers.</w:t>
      </w:r>
    </w:p>
    <w:p w14:paraId="71E9A7FB"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sz w:val="24"/>
          <w:szCs w:val="24"/>
        </w:rPr>
        <w:t>Similarly, Boehm et al. (2021) highlighted that age-related HR practices shape long-term productivity and employability. Mandatory retirement</w:t>
      </w:r>
      <w:r>
        <w:rPr>
          <w:rFonts w:ascii="Times New Roman" w:hAnsi="Times New Roman" w:cs="Times New Roman"/>
        </w:rPr>
        <w:t xml:space="preserve">, </w:t>
      </w:r>
      <w:r w:rsidRPr="00C91C63">
        <w:rPr>
          <w:rFonts w:ascii="Times New Roman" w:hAnsi="Times New Roman" w:cs="Times New Roman"/>
          <w:sz w:val="24"/>
          <w:szCs w:val="24"/>
        </w:rPr>
        <w:t>without phased transitions or supportive HR structures</w:t>
      </w:r>
      <w:r>
        <w:rPr>
          <w:rFonts w:ascii="Times New Roman" w:hAnsi="Times New Roman" w:cs="Times New Roman"/>
        </w:rPr>
        <w:t xml:space="preserve">, </w:t>
      </w:r>
      <w:r w:rsidRPr="00C91C63">
        <w:rPr>
          <w:rFonts w:ascii="Times New Roman" w:hAnsi="Times New Roman" w:cs="Times New Roman"/>
          <w:sz w:val="24"/>
          <w:szCs w:val="24"/>
        </w:rPr>
        <w:t>therefore destabilizes operations and increases costs, consistent with both empirical literature and theoretical expectations from Human Capital Theory.</w:t>
      </w:r>
    </w:p>
    <w:p w14:paraId="2BDE2BFD" w14:textId="77777777" w:rsidR="00CD6B78" w:rsidRPr="00C91C63" w:rsidRDefault="00CD6B78" w:rsidP="00CD6B78">
      <w:pPr>
        <w:spacing w:line="360" w:lineRule="auto"/>
        <w:jc w:val="both"/>
        <w:rPr>
          <w:rFonts w:ascii="Times New Roman" w:hAnsi="Times New Roman" w:cs="Times New Roman"/>
          <w:b/>
          <w:bCs/>
          <w:sz w:val="24"/>
          <w:szCs w:val="24"/>
        </w:rPr>
      </w:pPr>
      <w:r w:rsidRPr="00C91C63">
        <w:rPr>
          <w:rFonts w:ascii="Times New Roman" w:hAnsi="Times New Roman" w:cs="Times New Roman"/>
          <w:b/>
          <w:bCs/>
          <w:sz w:val="24"/>
          <w:szCs w:val="24"/>
        </w:rPr>
        <w:t>4.2.4 Mandatory Retirement and Organizational Competitiveness/Sustainability (H4)</w:t>
      </w:r>
    </w:p>
    <w:p w14:paraId="054A60A8"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b/>
          <w:bCs/>
          <w:sz w:val="24"/>
          <w:szCs w:val="24"/>
        </w:rPr>
        <w:t xml:space="preserve">H4 </w:t>
      </w:r>
      <w:r w:rsidRPr="00C91C63">
        <w:rPr>
          <w:rFonts w:ascii="Times New Roman" w:hAnsi="Times New Roman" w:cs="Times New Roman"/>
          <w:sz w:val="24"/>
          <w:szCs w:val="24"/>
        </w:rPr>
        <w:t>stated that mandatory retirement would adversely affect long-term competitiveness and sustainability.</w:t>
      </w:r>
      <w:r>
        <w:rPr>
          <w:rFonts w:ascii="Times New Roman" w:hAnsi="Times New Roman" w:cs="Times New Roman"/>
        </w:rPr>
        <w:t xml:space="preserve"> </w:t>
      </w:r>
      <w:r w:rsidRPr="00C91C63">
        <w:rPr>
          <w:rFonts w:ascii="Times New Roman" w:hAnsi="Times New Roman" w:cs="Times New Roman"/>
          <w:sz w:val="24"/>
          <w:szCs w:val="24"/>
        </w:rPr>
        <w:t>The results offered modest but significant support (r = –0.098, p &lt; 0.05).</w:t>
      </w:r>
      <w:r>
        <w:rPr>
          <w:rFonts w:ascii="Times New Roman" w:hAnsi="Times New Roman" w:cs="Times New Roman"/>
        </w:rPr>
        <w:t xml:space="preserve"> </w:t>
      </w:r>
      <w:r w:rsidRPr="00C91C63">
        <w:rPr>
          <w:rFonts w:ascii="Times New Roman" w:hAnsi="Times New Roman" w:cs="Times New Roman"/>
          <w:sz w:val="24"/>
          <w:szCs w:val="24"/>
        </w:rPr>
        <w:t xml:space="preserve">This finding mirrors Opatha (2022), who noted that retirement policies influence national and organizational workforce dynamics, potentially threatening sustainability when not adapted to demographic realities. Similarly, studies such as </w:t>
      </w:r>
      <w:proofErr w:type="spellStart"/>
      <w:r w:rsidRPr="00C91C63">
        <w:rPr>
          <w:rFonts w:ascii="Times New Roman" w:hAnsi="Times New Roman" w:cs="Times New Roman"/>
          <w:sz w:val="24"/>
          <w:szCs w:val="24"/>
        </w:rPr>
        <w:t>Sajjadiani</w:t>
      </w:r>
      <w:proofErr w:type="spellEnd"/>
      <w:r w:rsidRPr="00C91C63">
        <w:rPr>
          <w:rFonts w:ascii="Times New Roman" w:hAnsi="Times New Roman" w:cs="Times New Roman"/>
          <w:sz w:val="24"/>
          <w:szCs w:val="24"/>
        </w:rPr>
        <w:t xml:space="preserve"> et al. (2023) show that the loss of high-performing employees creates ripple effects that weaken long-term stability and competitiveness.</w:t>
      </w:r>
    </w:p>
    <w:p w14:paraId="116AB50C"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sz w:val="24"/>
          <w:szCs w:val="24"/>
        </w:rPr>
        <w:lastRenderedPageBreak/>
        <w:t xml:space="preserve">From a theoretical standpoint, Human Capital Theory suggests that sustainability is compromised when valuable human capital exits without proper succession planning. Social Exchange Theory further explains that perceived unfairness may increase voluntary turnover, </w:t>
      </w:r>
      <w:r w:rsidRPr="00C91C63">
        <w:rPr>
          <w:rFonts w:ascii="Times New Roman" w:hAnsi="Times New Roman" w:cs="Times New Roman"/>
        </w:rPr>
        <w:t>exacerbate</w:t>
      </w:r>
      <w:r w:rsidRPr="00C91C63">
        <w:rPr>
          <w:rFonts w:ascii="Times New Roman" w:hAnsi="Times New Roman" w:cs="Times New Roman"/>
          <w:sz w:val="24"/>
          <w:szCs w:val="24"/>
        </w:rPr>
        <w:t xml:space="preserve"> long-term instability</w:t>
      </w:r>
      <w:r>
        <w:rPr>
          <w:rFonts w:ascii="Times New Roman" w:hAnsi="Times New Roman" w:cs="Times New Roman"/>
        </w:rPr>
        <w:t>,</w:t>
      </w:r>
      <w:r w:rsidRPr="00C91C63">
        <w:rPr>
          <w:rFonts w:ascii="Times New Roman" w:hAnsi="Times New Roman" w:cs="Times New Roman"/>
          <w:sz w:val="24"/>
          <w:szCs w:val="24"/>
        </w:rPr>
        <w:t xml:space="preserve"> and </w:t>
      </w:r>
      <w:r w:rsidRPr="00C91C63">
        <w:rPr>
          <w:rFonts w:ascii="Times New Roman" w:hAnsi="Times New Roman" w:cs="Times New Roman"/>
        </w:rPr>
        <w:t>weaken</w:t>
      </w:r>
      <w:r w:rsidRPr="00C91C63">
        <w:rPr>
          <w:rFonts w:ascii="Times New Roman" w:hAnsi="Times New Roman" w:cs="Times New Roman"/>
          <w:sz w:val="24"/>
          <w:szCs w:val="24"/>
        </w:rPr>
        <w:t xml:space="preserve"> competitive advantage.</w:t>
      </w:r>
    </w:p>
    <w:p w14:paraId="45B040AF" w14:textId="77777777" w:rsidR="00CD6B78" w:rsidRPr="00C91C63" w:rsidRDefault="00CD6B78" w:rsidP="00CD6B78">
      <w:pPr>
        <w:spacing w:line="360" w:lineRule="auto"/>
        <w:jc w:val="both"/>
        <w:rPr>
          <w:rFonts w:ascii="Times New Roman" w:hAnsi="Times New Roman" w:cs="Times New Roman"/>
          <w:b/>
          <w:bCs/>
          <w:sz w:val="24"/>
          <w:szCs w:val="24"/>
        </w:rPr>
      </w:pPr>
      <w:r w:rsidRPr="00C91C63">
        <w:rPr>
          <w:rFonts w:ascii="Times New Roman" w:hAnsi="Times New Roman" w:cs="Times New Roman"/>
          <w:b/>
          <w:bCs/>
          <w:sz w:val="24"/>
          <w:szCs w:val="24"/>
        </w:rPr>
        <w:t>4.2.5 Integration with Theoretical Frameworks</w:t>
      </w:r>
    </w:p>
    <w:p w14:paraId="15AE63AD"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sz w:val="24"/>
          <w:szCs w:val="24"/>
        </w:rPr>
        <w:t>Overall, the findings support both applied theories:</w:t>
      </w:r>
    </w:p>
    <w:p w14:paraId="5E329F1D" w14:textId="77777777" w:rsidR="00CD6B78" w:rsidRPr="00C91C63" w:rsidRDefault="00CD6B78" w:rsidP="00CD6B78">
      <w:pPr>
        <w:spacing w:line="360" w:lineRule="auto"/>
        <w:jc w:val="both"/>
        <w:rPr>
          <w:rFonts w:ascii="Times New Roman" w:hAnsi="Times New Roman" w:cs="Times New Roman"/>
          <w:b/>
          <w:bCs/>
          <w:sz w:val="24"/>
          <w:szCs w:val="24"/>
        </w:rPr>
      </w:pPr>
      <w:r w:rsidRPr="00C91C63">
        <w:rPr>
          <w:rFonts w:ascii="Times New Roman" w:hAnsi="Times New Roman" w:cs="Times New Roman"/>
          <w:b/>
          <w:bCs/>
          <w:sz w:val="24"/>
          <w:szCs w:val="24"/>
        </w:rPr>
        <w:t>Human Capital Theory:</w:t>
      </w:r>
    </w:p>
    <w:p w14:paraId="570F0F60" w14:textId="77777777" w:rsidR="00CD6B78" w:rsidRPr="00C91C63" w:rsidRDefault="00CD6B78" w:rsidP="00CD6B78">
      <w:pPr>
        <w:widowControl/>
        <w:numPr>
          <w:ilvl w:val="0"/>
          <w:numId w:val="48"/>
        </w:numPr>
        <w:suppressAutoHyphens w:val="0"/>
        <w:autoSpaceDN/>
        <w:spacing w:line="360" w:lineRule="auto"/>
        <w:jc w:val="both"/>
        <w:textAlignment w:val="auto"/>
        <w:rPr>
          <w:rFonts w:ascii="Times New Roman" w:hAnsi="Times New Roman" w:cs="Times New Roman"/>
          <w:sz w:val="24"/>
          <w:szCs w:val="24"/>
        </w:rPr>
      </w:pPr>
      <w:r w:rsidRPr="00C91C63">
        <w:rPr>
          <w:rFonts w:ascii="Times New Roman" w:hAnsi="Times New Roman" w:cs="Times New Roman"/>
          <w:sz w:val="24"/>
          <w:szCs w:val="24"/>
        </w:rPr>
        <w:t>Demonstrates that losing high-performing staff reduces knowledge assets, innovation capacity, productivity, and long-term competitiveness.</w:t>
      </w:r>
    </w:p>
    <w:p w14:paraId="77CDA8AB" w14:textId="77777777" w:rsidR="00CD6B78" w:rsidRPr="00C91C63" w:rsidRDefault="00CD6B78" w:rsidP="00CD6B78">
      <w:pPr>
        <w:widowControl/>
        <w:numPr>
          <w:ilvl w:val="0"/>
          <w:numId w:val="48"/>
        </w:numPr>
        <w:suppressAutoHyphens w:val="0"/>
        <w:autoSpaceDN/>
        <w:spacing w:line="360" w:lineRule="auto"/>
        <w:jc w:val="both"/>
        <w:textAlignment w:val="auto"/>
        <w:rPr>
          <w:rFonts w:ascii="Times New Roman" w:hAnsi="Times New Roman" w:cs="Times New Roman"/>
          <w:sz w:val="24"/>
          <w:szCs w:val="24"/>
        </w:rPr>
      </w:pPr>
      <w:r w:rsidRPr="00C91C63">
        <w:rPr>
          <w:rFonts w:ascii="Times New Roman" w:hAnsi="Times New Roman" w:cs="Times New Roman"/>
          <w:sz w:val="24"/>
          <w:szCs w:val="24"/>
        </w:rPr>
        <w:t>Reinforces the need for continuous investment in training, mentoring, and knowledge-transfer systems.</w:t>
      </w:r>
    </w:p>
    <w:p w14:paraId="27CC9D50" w14:textId="77777777" w:rsidR="00CD6B78" w:rsidRPr="00C91C63" w:rsidRDefault="00CD6B78" w:rsidP="00CD6B78">
      <w:pPr>
        <w:spacing w:line="360" w:lineRule="auto"/>
        <w:jc w:val="both"/>
        <w:rPr>
          <w:rFonts w:ascii="Times New Roman" w:hAnsi="Times New Roman" w:cs="Times New Roman"/>
          <w:b/>
          <w:bCs/>
          <w:sz w:val="24"/>
          <w:szCs w:val="24"/>
        </w:rPr>
      </w:pPr>
      <w:r w:rsidRPr="00C91C63">
        <w:rPr>
          <w:rFonts w:ascii="Times New Roman" w:hAnsi="Times New Roman" w:cs="Times New Roman"/>
          <w:b/>
          <w:bCs/>
          <w:sz w:val="24"/>
          <w:szCs w:val="24"/>
        </w:rPr>
        <w:t>Social Exchange Theory:</w:t>
      </w:r>
    </w:p>
    <w:p w14:paraId="6FBBBCD5" w14:textId="77777777" w:rsidR="00CD6B78" w:rsidRPr="00C91C63" w:rsidRDefault="00CD6B78" w:rsidP="00CD6B78">
      <w:pPr>
        <w:widowControl/>
        <w:numPr>
          <w:ilvl w:val="0"/>
          <w:numId w:val="49"/>
        </w:numPr>
        <w:suppressAutoHyphens w:val="0"/>
        <w:autoSpaceDN/>
        <w:spacing w:line="360" w:lineRule="auto"/>
        <w:jc w:val="both"/>
        <w:textAlignment w:val="auto"/>
        <w:rPr>
          <w:rFonts w:ascii="Times New Roman" w:hAnsi="Times New Roman" w:cs="Times New Roman"/>
          <w:sz w:val="24"/>
          <w:szCs w:val="24"/>
        </w:rPr>
      </w:pPr>
      <w:r w:rsidRPr="00C91C63">
        <w:rPr>
          <w:rFonts w:ascii="Times New Roman" w:hAnsi="Times New Roman" w:cs="Times New Roman"/>
          <w:sz w:val="24"/>
          <w:szCs w:val="24"/>
        </w:rPr>
        <w:t>Explains the decline in morale, motivation, and engagement when employees perceive mandatory retirement as inequitable or poorly managed.</w:t>
      </w:r>
    </w:p>
    <w:p w14:paraId="10482F1E" w14:textId="77777777" w:rsidR="00CD6B78" w:rsidRPr="00C91C63" w:rsidRDefault="00CD6B78" w:rsidP="00CD6B78">
      <w:pPr>
        <w:widowControl/>
        <w:numPr>
          <w:ilvl w:val="0"/>
          <w:numId w:val="49"/>
        </w:numPr>
        <w:suppressAutoHyphens w:val="0"/>
        <w:autoSpaceDN/>
        <w:spacing w:line="360" w:lineRule="auto"/>
        <w:jc w:val="both"/>
        <w:textAlignment w:val="auto"/>
        <w:rPr>
          <w:rFonts w:ascii="Times New Roman" w:hAnsi="Times New Roman" w:cs="Times New Roman"/>
          <w:sz w:val="24"/>
          <w:szCs w:val="24"/>
        </w:rPr>
      </w:pPr>
      <w:r w:rsidRPr="00C91C63">
        <w:rPr>
          <w:rFonts w:ascii="Times New Roman" w:hAnsi="Times New Roman" w:cs="Times New Roman"/>
          <w:sz w:val="24"/>
          <w:szCs w:val="24"/>
        </w:rPr>
        <w:t>Clarifies how disruptions in reciprocity and trust can erode the organizational climate.</w:t>
      </w:r>
    </w:p>
    <w:p w14:paraId="3C444F91"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b/>
          <w:bCs/>
          <w:sz w:val="24"/>
          <w:szCs w:val="24"/>
        </w:rPr>
        <w:t>4.2.6 Limitations of the Study</w:t>
      </w:r>
    </w:p>
    <w:p w14:paraId="23AD33F6"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sz w:val="24"/>
          <w:szCs w:val="24"/>
        </w:rPr>
        <w:t>An important limitation relates to the use of self-reported data, which may be influenced by:</w:t>
      </w:r>
    </w:p>
    <w:p w14:paraId="46AF2661" w14:textId="77777777" w:rsidR="00CD6B78" w:rsidRPr="00C91C63" w:rsidRDefault="00CD6B78" w:rsidP="00CD6B78">
      <w:pPr>
        <w:widowControl/>
        <w:numPr>
          <w:ilvl w:val="0"/>
          <w:numId w:val="50"/>
        </w:numPr>
        <w:suppressAutoHyphens w:val="0"/>
        <w:autoSpaceDN/>
        <w:spacing w:line="360" w:lineRule="auto"/>
        <w:jc w:val="both"/>
        <w:textAlignment w:val="auto"/>
        <w:rPr>
          <w:rFonts w:ascii="Times New Roman" w:hAnsi="Times New Roman" w:cs="Times New Roman"/>
          <w:sz w:val="24"/>
          <w:szCs w:val="24"/>
        </w:rPr>
      </w:pPr>
      <w:r w:rsidRPr="00C91C63">
        <w:rPr>
          <w:rFonts w:ascii="Times New Roman" w:hAnsi="Times New Roman" w:cs="Times New Roman"/>
          <w:sz w:val="24"/>
          <w:szCs w:val="24"/>
        </w:rPr>
        <w:t>social desirability bias,</w:t>
      </w:r>
    </w:p>
    <w:p w14:paraId="4860320D" w14:textId="77777777" w:rsidR="00CD6B78" w:rsidRPr="00C91C63" w:rsidRDefault="00CD6B78" w:rsidP="00CD6B78">
      <w:pPr>
        <w:widowControl/>
        <w:numPr>
          <w:ilvl w:val="0"/>
          <w:numId w:val="50"/>
        </w:numPr>
        <w:suppressAutoHyphens w:val="0"/>
        <w:autoSpaceDN/>
        <w:spacing w:line="360" w:lineRule="auto"/>
        <w:jc w:val="both"/>
        <w:textAlignment w:val="auto"/>
        <w:rPr>
          <w:rFonts w:ascii="Times New Roman" w:hAnsi="Times New Roman" w:cs="Times New Roman"/>
          <w:sz w:val="24"/>
          <w:szCs w:val="24"/>
        </w:rPr>
      </w:pPr>
      <w:r w:rsidRPr="00C91C63">
        <w:rPr>
          <w:rFonts w:ascii="Times New Roman" w:hAnsi="Times New Roman" w:cs="Times New Roman"/>
          <w:sz w:val="24"/>
          <w:szCs w:val="24"/>
        </w:rPr>
        <w:t>subjective perceptions of organizational policies,</w:t>
      </w:r>
    </w:p>
    <w:p w14:paraId="2D6CFC42" w14:textId="77777777" w:rsidR="00CD6B78" w:rsidRPr="00C91C63" w:rsidRDefault="00CD6B78" w:rsidP="00CD6B78">
      <w:pPr>
        <w:widowControl/>
        <w:numPr>
          <w:ilvl w:val="0"/>
          <w:numId w:val="50"/>
        </w:numPr>
        <w:suppressAutoHyphens w:val="0"/>
        <w:autoSpaceDN/>
        <w:spacing w:line="360" w:lineRule="auto"/>
        <w:jc w:val="both"/>
        <w:textAlignment w:val="auto"/>
        <w:rPr>
          <w:rFonts w:ascii="Times New Roman" w:hAnsi="Times New Roman" w:cs="Times New Roman"/>
          <w:sz w:val="24"/>
          <w:szCs w:val="24"/>
        </w:rPr>
      </w:pPr>
      <w:r w:rsidRPr="00C91C63">
        <w:rPr>
          <w:rFonts w:ascii="Times New Roman" w:hAnsi="Times New Roman" w:cs="Times New Roman"/>
          <w:sz w:val="24"/>
          <w:szCs w:val="24"/>
        </w:rPr>
        <w:t>recall inaccuracies, and</w:t>
      </w:r>
    </w:p>
    <w:p w14:paraId="49163A28" w14:textId="77777777" w:rsidR="00CD6B78" w:rsidRPr="00C91C63" w:rsidRDefault="00CD6B78" w:rsidP="00CD6B78">
      <w:pPr>
        <w:widowControl/>
        <w:numPr>
          <w:ilvl w:val="0"/>
          <w:numId w:val="50"/>
        </w:numPr>
        <w:suppressAutoHyphens w:val="0"/>
        <w:autoSpaceDN/>
        <w:spacing w:line="360" w:lineRule="auto"/>
        <w:jc w:val="both"/>
        <w:textAlignment w:val="auto"/>
        <w:rPr>
          <w:rFonts w:ascii="Times New Roman" w:hAnsi="Times New Roman" w:cs="Times New Roman"/>
          <w:sz w:val="24"/>
          <w:szCs w:val="24"/>
        </w:rPr>
      </w:pPr>
      <w:r w:rsidRPr="00C91C63">
        <w:rPr>
          <w:rFonts w:ascii="Times New Roman" w:hAnsi="Times New Roman" w:cs="Times New Roman"/>
          <w:sz w:val="24"/>
          <w:szCs w:val="24"/>
        </w:rPr>
        <w:t>variability in understanding retirement practices across sectors.</w:t>
      </w:r>
    </w:p>
    <w:p w14:paraId="74C1E3A0" w14:textId="77777777" w:rsidR="00CD6B78" w:rsidRPr="00C91C63" w:rsidRDefault="00CD6B78" w:rsidP="00CD6B78">
      <w:pPr>
        <w:spacing w:line="360" w:lineRule="auto"/>
        <w:jc w:val="both"/>
        <w:rPr>
          <w:rFonts w:ascii="Times New Roman" w:hAnsi="Times New Roman" w:cs="Times New Roman"/>
          <w:sz w:val="24"/>
          <w:szCs w:val="24"/>
        </w:rPr>
      </w:pPr>
      <w:r w:rsidRPr="00C91C63">
        <w:rPr>
          <w:rFonts w:ascii="Times New Roman" w:hAnsi="Times New Roman" w:cs="Times New Roman"/>
          <w:sz w:val="24"/>
          <w:szCs w:val="24"/>
        </w:rPr>
        <w:t>Although the large and diverse sample enhances reliability, future studies could reduce these limitations by incorporating mixed methods, longitudinal data, and objective performance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47"/>
        <w:gridCol w:w="66"/>
        <w:gridCol w:w="66"/>
        <w:gridCol w:w="81"/>
      </w:tblGrid>
      <w:tr w:rsidR="00CD6B78" w:rsidRPr="00C91C63" w14:paraId="549E2D60" w14:textId="77777777" w:rsidTr="004C5632">
        <w:trPr>
          <w:tblHeader/>
          <w:tblCellSpacing w:w="15" w:type="dxa"/>
        </w:trPr>
        <w:tc>
          <w:tcPr>
            <w:tcW w:w="0" w:type="auto"/>
            <w:vAlign w:val="center"/>
          </w:tcPr>
          <w:p w14:paraId="68F17EE0" w14:textId="77777777" w:rsidR="00613B7A" w:rsidRDefault="00613B7A" w:rsidP="004C5632">
            <w:pPr>
              <w:spacing w:line="360" w:lineRule="auto"/>
              <w:jc w:val="both"/>
              <w:rPr>
                <w:rFonts w:ascii="Times New Roman" w:hAnsi="Times New Roman" w:cs="Times New Roman"/>
                <w:b/>
                <w:bCs/>
                <w:sz w:val="24"/>
                <w:szCs w:val="24"/>
              </w:rPr>
            </w:pPr>
          </w:p>
          <w:p w14:paraId="4D465BD3" w14:textId="0D6C9FAF" w:rsidR="00613B7A" w:rsidRPr="00C91C63" w:rsidRDefault="00613B7A" w:rsidP="004C5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10: </w:t>
            </w:r>
            <w:r w:rsidRPr="00613B7A">
              <w:rPr>
                <w:rFonts w:ascii="Times New Roman" w:hAnsi="Times New Roman" w:cs="Times New Roman"/>
                <w:b/>
                <w:bCs/>
                <w:sz w:val="24"/>
                <w:szCs w:val="24"/>
              </w:rPr>
              <w:t>Summary of Hypotheses Testing</w:t>
            </w:r>
          </w:p>
        </w:tc>
        <w:tc>
          <w:tcPr>
            <w:tcW w:w="0" w:type="auto"/>
            <w:vAlign w:val="center"/>
          </w:tcPr>
          <w:p w14:paraId="1F3D7A4E" w14:textId="77777777" w:rsidR="00CD6B78" w:rsidRPr="00C91C63" w:rsidRDefault="00CD6B78" w:rsidP="004C5632">
            <w:pPr>
              <w:spacing w:line="360" w:lineRule="auto"/>
              <w:jc w:val="both"/>
              <w:rPr>
                <w:rFonts w:ascii="Times New Roman" w:hAnsi="Times New Roman" w:cs="Times New Roman"/>
                <w:b/>
                <w:bCs/>
                <w:sz w:val="24"/>
                <w:szCs w:val="24"/>
              </w:rPr>
            </w:pPr>
          </w:p>
        </w:tc>
        <w:tc>
          <w:tcPr>
            <w:tcW w:w="0" w:type="auto"/>
            <w:vAlign w:val="center"/>
          </w:tcPr>
          <w:p w14:paraId="1489D536" w14:textId="77777777" w:rsidR="00CD6B78" w:rsidRPr="00C91C63" w:rsidRDefault="00CD6B78" w:rsidP="004C5632">
            <w:pPr>
              <w:spacing w:line="360" w:lineRule="auto"/>
              <w:jc w:val="both"/>
              <w:rPr>
                <w:rFonts w:ascii="Times New Roman" w:hAnsi="Times New Roman" w:cs="Times New Roman"/>
                <w:b/>
                <w:bCs/>
                <w:sz w:val="24"/>
                <w:szCs w:val="24"/>
              </w:rPr>
            </w:pPr>
          </w:p>
        </w:tc>
        <w:tc>
          <w:tcPr>
            <w:tcW w:w="0" w:type="auto"/>
            <w:vAlign w:val="center"/>
          </w:tcPr>
          <w:p w14:paraId="06C5280D" w14:textId="77777777" w:rsidR="00CD6B78" w:rsidRPr="00C91C63" w:rsidRDefault="00CD6B78" w:rsidP="004C5632">
            <w:pPr>
              <w:spacing w:line="360" w:lineRule="auto"/>
              <w:jc w:val="both"/>
              <w:rPr>
                <w:rFonts w:ascii="Times New Roman" w:hAnsi="Times New Roman" w:cs="Times New Roman"/>
                <w:b/>
                <w:bCs/>
                <w:sz w:val="24"/>
                <w:szCs w:val="24"/>
              </w:rPr>
            </w:pPr>
          </w:p>
        </w:tc>
      </w:tr>
      <w:tr w:rsidR="00CD6B78" w:rsidRPr="00C91C63" w14:paraId="3369C660" w14:textId="77777777" w:rsidTr="004C5632">
        <w:trPr>
          <w:tblHeader/>
          <w:tblCellSpacing w:w="15" w:type="dxa"/>
        </w:trPr>
        <w:tc>
          <w:tcPr>
            <w:tcW w:w="0" w:type="auto"/>
            <w:vAlign w:val="center"/>
          </w:tcPr>
          <w:tbl>
            <w:tblPr>
              <w:tblStyle w:val="TableGrid"/>
              <w:tblW w:w="0" w:type="auto"/>
              <w:tblLook w:val="04A0" w:firstRow="1" w:lastRow="0" w:firstColumn="1" w:lastColumn="0" w:noHBand="0" w:noVBand="1"/>
            </w:tblPr>
            <w:tblGrid>
              <w:gridCol w:w="1350"/>
              <w:gridCol w:w="4122"/>
              <w:gridCol w:w="2156"/>
              <w:gridCol w:w="1434"/>
            </w:tblGrid>
            <w:tr w:rsidR="00CD6B78" w14:paraId="1AFF4E40" w14:textId="77777777" w:rsidTr="004C5632">
              <w:tc>
                <w:tcPr>
                  <w:tcW w:w="1350" w:type="dxa"/>
                  <w:vAlign w:val="center"/>
                </w:tcPr>
                <w:p w14:paraId="533F8D9F" w14:textId="77777777" w:rsidR="00CD6B78" w:rsidRDefault="00CD6B78" w:rsidP="004C5632">
                  <w:pPr>
                    <w:jc w:val="both"/>
                    <w:rPr>
                      <w:rFonts w:ascii="Times New Roman" w:hAnsi="Times New Roman" w:cs="Times New Roman"/>
                    </w:rPr>
                  </w:pPr>
                  <w:r w:rsidRPr="00C91C63">
                    <w:rPr>
                      <w:rFonts w:ascii="Times New Roman" w:hAnsi="Times New Roman" w:cs="Times New Roman"/>
                      <w:b/>
                      <w:bCs/>
                    </w:rPr>
                    <w:t>Hypothesis</w:t>
                  </w:r>
                </w:p>
              </w:tc>
              <w:tc>
                <w:tcPr>
                  <w:tcW w:w="4315" w:type="dxa"/>
                  <w:vAlign w:val="center"/>
                </w:tcPr>
                <w:p w14:paraId="4828ED1F" w14:textId="77777777" w:rsidR="00CD6B78" w:rsidRDefault="00CD6B78" w:rsidP="004C5632">
                  <w:pPr>
                    <w:jc w:val="both"/>
                    <w:rPr>
                      <w:rFonts w:ascii="Times New Roman" w:hAnsi="Times New Roman" w:cs="Times New Roman"/>
                    </w:rPr>
                  </w:pPr>
                  <w:r w:rsidRPr="00C91C63">
                    <w:rPr>
                      <w:rFonts w:ascii="Times New Roman" w:hAnsi="Times New Roman" w:cs="Times New Roman"/>
                      <w:b/>
                      <w:bCs/>
                    </w:rPr>
                    <w:t>Statement</w:t>
                  </w:r>
                </w:p>
              </w:tc>
              <w:tc>
                <w:tcPr>
                  <w:tcW w:w="2250" w:type="dxa"/>
                  <w:vAlign w:val="center"/>
                </w:tcPr>
                <w:p w14:paraId="651D885D" w14:textId="77777777" w:rsidR="00CD6B78" w:rsidRDefault="00CD6B78" w:rsidP="004C5632">
                  <w:pPr>
                    <w:jc w:val="both"/>
                    <w:rPr>
                      <w:rFonts w:ascii="Times New Roman" w:hAnsi="Times New Roman" w:cs="Times New Roman"/>
                    </w:rPr>
                  </w:pPr>
                  <w:r w:rsidRPr="00C91C63">
                    <w:rPr>
                      <w:rFonts w:ascii="Times New Roman" w:hAnsi="Times New Roman" w:cs="Times New Roman"/>
                      <w:b/>
                      <w:bCs/>
                    </w:rPr>
                    <w:t>Result</w:t>
                  </w:r>
                </w:p>
              </w:tc>
              <w:tc>
                <w:tcPr>
                  <w:tcW w:w="1435" w:type="dxa"/>
                  <w:vAlign w:val="center"/>
                </w:tcPr>
                <w:p w14:paraId="39054A47" w14:textId="77777777" w:rsidR="00CD6B78" w:rsidRDefault="00CD6B78" w:rsidP="004C5632">
                  <w:pPr>
                    <w:jc w:val="both"/>
                    <w:rPr>
                      <w:rFonts w:ascii="Times New Roman" w:hAnsi="Times New Roman" w:cs="Times New Roman"/>
                    </w:rPr>
                  </w:pPr>
                  <w:r w:rsidRPr="00C91C63">
                    <w:rPr>
                      <w:rFonts w:ascii="Times New Roman" w:hAnsi="Times New Roman" w:cs="Times New Roman"/>
                      <w:b/>
                      <w:bCs/>
                    </w:rPr>
                    <w:t>Supported?</w:t>
                  </w:r>
                </w:p>
              </w:tc>
            </w:tr>
            <w:tr w:rsidR="00CD6B78" w14:paraId="6B71D3AF" w14:textId="77777777" w:rsidTr="004C5632">
              <w:tc>
                <w:tcPr>
                  <w:tcW w:w="1350" w:type="dxa"/>
                  <w:vAlign w:val="center"/>
                </w:tcPr>
                <w:p w14:paraId="4F69B987" w14:textId="77777777" w:rsidR="00CD6B78" w:rsidRDefault="00CD6B78" w:rsidP="004C5632">
                  <w:pPr>
                    <w:jc w:val="both"/>
                    <w:rPr>
                      <w:rFonts w:ascii="Times New Roman" w:hAnsi="Times New Roman" w:cs="Times New Roman"/>
                    </w:rPr>
                  </w:pPr>
                  <w:r w:rsidRPr="00C91C63">
                    <w:rPr>
                      <w:rFonts w:ascii="Times New Roman" w:hAnsi="Times New Roman" w:cs="Times New Roman"/>
                    </w:rPr>
                    <w:t>H1</w:t>
                  </w:r>
                </w:p>
              </w:tc>
              <w:tc>
                <w:tcPr>
                  <w:tcW w:w="4315" w:type="dxa"/>
                  <w:vAlign w:val="center"/>
                </w:tcPr>
                <w:p w14:paraId="25FF4670" w14:textId="77777777" w:rsidR="00CD6B78" w:rsidRDefault="00CD6B78" w:rsidP="004C5632">
                  <w:pPr>
                    <w:jc w:val="both"/>
                    <w:rPr>
                      <w:rFonts w:ascii="Times New Roman" w:hAnsi="Times New Roman" w:cs="Times New Roman"/>
                    </w:rPr>
                  </w:pPr>
                  <w:r w:rsidRPr="00C91C63">
                    <w:rPr>
                      <w:rFonts w:ascii="Times New Roman" w:hAnsi="Times New Roman" w:cs="Times New Roman"/>
                    </w:rPr>
                    <w:t>Mandatory retirement negatively affects knowledge retention and innovation</w:t>
                  </w:r>
                </w:p>
              </w:tc>
              <w:tc>
                <w:tcPr>
                  <w:tcW w:w="2250" w:type="dxa"/>
                  <w:vAlign w:val="center"/>
                </w:tcPr>
                <w:p w14:paraId="4D3DFAB9" w14:textId="77777777" w:rsidR="00CD6B78" w:rsidRDefault="00CD6B78" w:rsidP="004C5632">
                  <w:pPr>
                    <w:jc w:val="both"/>
                    <w:rPr>
                      <w:rFonts w:ascii="Times New Roman" w:hAnsi="Times New Roman" w:cs="Times New Roman"/>
                    </w:rPr>
                  </w:pPr>
                  <w:r w:rsidRPr="00C91C63">
                    <w:rPr>
                      <w:rFonts w:ascii="Times New Roman" w:hAnsi="Times New Roman" w:cs="Times New Roman"/>
                    </w:rPr>
                    <w:t>r = –0.656, p &lt; 0.01</w:t>
                  </w:r>
                </w:p>
              </w:tc>
              <w:tc>
                <w:tcPr>
                  <w:tcW w:w="1435" w:type="dxa"/>
                  <w:vAlign w:val="center"/>
                </w:tcPr>
                <w:p w14:paraId="5DC86259" w14:textId="77777777" w:rsidR="00CD6B78" w:rsidRDefault="00CD6B78" w:rsidP="004C5632">
                  <w:pPr>
                    <w:jc w:val="both"/>
                    <w:rPr>
                      <w:rFonts w:ascii="Times New Roman" w:hAnsi="Times New Roman" w:cs="Times New Roman"/>
                    </w:rPr>
                  </w:pPr>
                  <w:r w:rsidRPr="00C91C63">
                    <w:rPr>
                      <w:rFonts w:ascii="Segoe UI Symbol" w:hAnsi="Segoe UI Symbol" w:cs="Segoe UI Symbol"/>
                    </w:rPr>
                    <w:t>✔</w:t>
                  </w:r>
                  <w:r w:rsidRPr="00C91C63">
                    <w:rPr>
                      <w:rFonts w:ascii="Times New Roman" w:hAnsi="Times New Roman" w:cs="Times New Roman"/>
                    </w:rPr>
                    <w:t xml:space="preserve"> Yes</w:t>
                  </w:r>
                </w:p>
              </w:tc>
            </w:tr>
            <w:tr w:rsidR="00CD6B78" w14:paraId="6A1BF10F" w14:textId="77777777" w:rsidTr="004C5632">
              <w:tc>
                <w:tcPr>
                  <w:tcW w:w="1350" w:type="dxa"/>
                  <w:vAlign w:val="center"/>
                </w:tcPr>
                <w:p w14:paraId="08D2DB3C" w14:textId="77777777" w:rsidR="00CD6B78" w:rsidRDefault="00CD6B78" w:rsidP="004C5632">
                  <w:pPr>
                    <w:jc w:val="both"/>
                    <w:rPr>
                      <w:rFonts w:ascii="Times New Roman" w:hAnsi="Times New Roman" w:cs="Times New Roman"/>
                    </w:rPr>
                  </w:pPr>
                  <w:r w:rsidRPr="00C91C63">
                    <w:rPr>
                      <w:rFonts w:ascii="Times New Roman" w:hAnsi="Times New Roman" w:cs="Times New Roman"/>
                    </w:rPr>
                    <w:t>H2</w:t>
                  </w:r>
                </w:p>
              </w:tc>
              <w:tc>
                <w:tcPr>
                  <w:tcW w:w="4315" w:type="dxa"/>
                  <w:vAlign w:val="center"/>
                </w:tcPr>
                <w:p w14:paraId="1C314D9D" w14:textId="77777777" w:rsidR="00CD6B78" w:rsidRDefault="00CD6B78" w:rsidP="004C5632">
                  <w:pPr>
                    <w:jc w:val="both"/>
                    <w:rPr>
                      <w:rFonts w:ascii="Times New Roman" w:hAnsi="Times New Roman" w:cs="Times New Roman"/>
                    </w:rPr>
                  </w:pPr>
                  <w:r w:rsidRPr="00C91C63">
                    <w:rPr>
                      <w:rFonts w:ascii="Times New Roman" w:hAnsi="Times New Roman" w:cs="Times New Roman"/>
                    </w:rPr>
                    <w:t>Mandatory retirement negatively affects employee morale</w:t>
                  </w:r>
                </w:p>
              </w:tc>
              <w:tc>
                <w:tcPr>
                  <w:tcW w:w="2250" w:type="dxa"/>
                  <w:vAlign w:val="center"/>
                </w:tcPr>
                <w:p w14:paraId="2A7B3815" w14:textId="77777777" w:rsidR="00CD6B78" w:rsidRDefault="00CD6B78" w:rsidP="004C5632">
                  <w:pPr>
                    <w:jc w:val="both"/>
                    <w:rPr>
                      <w:rFonts w:ascii="Times New Roman" w:hAnsi="Times New Roman" w:cs="Times New Roman"/>
                    </w:rPr>
                  </w:pPr>
                  <w:r w:rsidRPr="00C91C63">
                    <w:rPr>
                      <w:rFonts w:ascii="Times New Roman" w:hAnsi="Times New Roman" w:cs="Times New Roman"/>
                    </w:rPr>
                    <w:t>r = –0.694, p &lt; 0.01</w:t>
                  </w:r>
                </w:p>
              </w:tc>
              <w:tc>
                <w:tcPr>
                  <w:tcW w:w="1435" w:type="dxa"/>
                  <w:vAlign w:val="center"/>
                </w:tcPr>
                <w:p w14:paraId="5423525F" w14:textId="77777777" w:rsidR="00CD6B78" w:rsidRDefault="00CD6B78" w:rsidP="004C5632">
                  <w:pPr>
                    <w:jc w:val="both"/>
                    <w:rPr>
                      <w:rFonts w:ascii="Times New Roman" w:hAnsi="Times New Roman" w:cs="Times New Roman"/>
                    </w:rPr>
                  </w:pPr>
                  <w:r w:rsidRPr="00C91C63">
                    <w:rPr>
                      <w:rFonts w:ascii="Segoe UI Symbol" w:hAnsi="Segoe UI Symbol" w:cs="Segoe UI Symbol"/>
                    </w:rPr>
                    <w:t>✔</w:t>
                  </w:r>
                  <w:r w:rsidRPr="00C91C63">
                    <w:rPr>
                      <w:rFonts w:ascii="Times New Roman" w:hAnsi="Times New Roman" w:cs="Times New Roman"/>
                    </w:rPr>
                    <w:t xml:space="preserve"> Yes</w:t>
                  </w:r>
                </w:p>
              </w:tc>
            </w:tr>
            <w:tr w:rsidR="00CD6B78" w14:paraId="7A2FE854" w14:textId="77777777" w:rsidTr="004C5632">
              <w:tc>
                <w:tcPr>
                  <w:tcW w:w="1350" w:type="dxa"/>
                  <w:vAlign w:val="center"/>
                </w:tcPr>
                <w:p w14:paraId="4CFBB187" w14:textId="77777777" w:rsidR="00CD6B78" w:rsidRDefault="00CD6B78" w:rsidP="004C5632">
                  <w:pPr>
                    <w:jc w:val="both"/>
                    <w:rPr>
                      <w:rFonts w:ascii="Times New Roman" w:hAnsi="Times New Roman" w:cs="Times New Roman"/>
                    </w:rPr>
                  </w:pPr>
                  <w:r w:rsidRPr="00C91C63">
                    <w:rPr>
                      <w:rFonts w:ascii="Times New Roman" w:hAnsi="Times New Roman" w:cs="Times New Roman"/>
                    </w:rPr>
                    <w:t>H3</w:t>
                  </w:r>
                </w:p>
              </w:tc>
              <w:tc>
                <w:tcPr>
                  <w:tcW w:w="4315" w:type="dxa"/>
                  <w:vAlign w:val="center"/>
                </w:tcPr>
                <w:p w14:paraId="6ED66327" w14:textId="77777777" w:rsidR="00CD6B78" w:rsidRDefault="00CD6B78" w:rsidP="004C5632">
                  <w:pPr>
                    <w:jc w:val="both"/>
                    <w:rPr>
                      <w:rFonts w:ascii="Times New Roman" w:hAnsi="Times New Roman" w:cs="Times New Roman"/>
                    </w:rPr>
                  </w:pPr>
                  <w:r w:rsidRPr="00C91C63">
                    <w:rPr>
                      <w:rFonts w:ascii="Times New Roman" w:hAnsi="Times New Roman" w:cs="Times New Roman"/>
                    </w:rPr>
                    <w:t>Mandatory retirement negatively affects productivity and profitability</w:t>
                  </w:r>
                </w:p>
              </w:tc>
              <w:tc>
                <w:tcPr>
                  <w:tcW w:w="2250" w:type="dxa"/>
                  <w:vAlign w:val="center"/>
                </w:tcPr>
                <w:p w14:paraId="31A6CA93" w14:textId="77777777" w:rsidR="00CD6B78" w:rsidRDefault="00CD6B78" w:rsidP="004C5632">
                  <w:pPr>
                    <w:jc w:val="both"/>
                    <w:rPr>
                      <w:rFonts w:ascii="Times New Roman" w:hAnsi="Times New Roman" w:cs="Times New Roman"/>
                    </w:rPr>
                  </w:pPr>
                  <w:r w:rsidRPr="00C91C63">
                    <w:rPr>
                      <w:rFonts w:ascii="Times New Roman" w:hAnsi="Times New Roman" w:cs="Times New Roman"/>
                    </w:rPr>
                    <w:t>r = –0.419, p &lt; 0.01</w:t>
                  </w:r>
                </w:p>
              </w:tc>
              <w:tc>
                <w:tcPr>
                  <w:tcW w:w="1435" w:type="dxa"/>
                  <w:vAlign w:val="center"/>
                </w:tcPr>
                <w:p w14:paraId="66B64989" w14:textId="77777777" w:rsidR="00CD6B78" w:rsidRDefault="00CD6B78" w:rsidP="004C5632">
                  <w:pPr>
                    <w:jc w:val="both"/>
                    <w:rPr>
                      <w:rFonts w:ascii="Times New Roman" w:hAnsi="Times New Roman" w:cs="Times New Roman"/>
                    </w:rPr>
                  </w:pPr>
                  <w:r w:rsidRPr="00C91C63">
                    <w:rPr>
                      <w:rFonts w:ascii="Segoe UI Symbol" w:hAnsi="Segoe UI Symbol" w:cs="Segoe UI Symbol"/>
                    </w:rPr>
                    <w:t>✔</w:t>
                  </w:r>
                  <w:r w:rsidRPr="00C91C63">
                    <w:rPr>
                      <w:rFonts w:ascii="Times New Roman" w:hAnsi="Times New Roman" w:cs="Times New Roman"/>
                    </w:rPr>
                    <w:t xml:space="preserve"> Yes</w:t>
                  </w:r>
                </w:p>
              </w:tc>
            </w:tr>
            <w:tr w:rsidR="00CD6B78" w14:paraId="0793567B" w14:textId="77777777" w:rsidTr="004C5632">
              <w:tc>
                <w:tcPr>
                  <w:tcW w:w="1350" w:type="dxa"/>
                  <w:vAlign w:val="center"/>
                </w:tcPr>
                <w:p w14:paraId="1AF0DD5F" w14:textId="77777777" w:rsidR="00CD6B78" w:rsidRDefault="00CD6B78" w:rsidP="004C5632">
                  <w:pPr>
                    <w:jc w:val="both"/>
                    <w:rPr>
                      <w:rFonts w:ascii="Times New Roman" w:hAnsi="Times New Roman" w:cs="Times New Roman"/>
                    </w:rPr>
                  </w:pPr>
                  <w:r w:rsidRPr="00C91C63">
                    <w:rPr>
                      <w:rFonts w:ascii="Times New Roman" w:hAnsi="Times New Roman" w:cs="Times New Roman"/>
                    </w:rPr>
                    <w:t>H4</w:t>
                  </w:r>
                </w:p>
              </w:tc>
              <w:tc>
                <w:tcPr>
                  <w:tcW w:w="4315" w:type="dxa"/>
                  <w:vAlign w:val="center"/>
                </w:tcPr>
                <w:p w14:paraId="25694CEC" w14:textId="77777777" w:rsidR="00CD6B78" w:rsidRDefault="00CD6B78" w:rsidP="004C5632">
                  <w:pPr>
                    <w:jc w:val="both"/>
                    <w:rPr>
                      <w:rFonts w:ascii="Times New Roman" w:hAnsi="Times New Roman" w:cs="Times New Roman"/>
                    </w:rPr>
                  </w:pPr>
                  <w:r w:rsidRPr="00C91C63">
                    <w:rPr>
                      <w:rFonts w:ascii="Times New Roman" w:hAnsi="Times New Roman" w:cs="Times New Roman"/>
                    </w:rPr>
                    <w:t>Mandatory retirement negatively affects sustainability</w:t>
                  </w:r>
                </w:p>
              </w:tc>
              <w:tc>
                <w:tcPr>
                  <w:tcW w:w="2250" w:type="dxa"/>
                  <w:vAlign w:val="center"/>
                </w:tcPr>
                <w:p w14:paraId="53B8B12E" w14:textId="77777777" w:rsidR="00CD6B78" w:rsidRDefault="00CD6B78" w:rsidP="004C5632">
                  <w:pPr>
                    <w:jc w:val="both"/>
                    <w:rPr>
                      <w:rFonts w:ascii="Times New Roman" w:hAnsi="Times New Roman" w:cs="Times New Roman"/>
                    </w:rPr>
                  </w:pPr>
                  <w:r w:rsidRPr="00C91C63">
                    <w:rPr>
                      <w:rFonts w:ascii="Times New Roman" w:hAnsi="Times New Roman" w:cs="Times New Roman"/>
                    </w:rPr>
                    <w:t>r = –0.098, p &lt; 0.05</w:t>
                  </w:r>
                </w:p>
              </w:tc>
              <w:tc>
                <w:tcPr>
                  <w:tcW w:w="1435" w:type="dxa"/>
                  <w:vAlign w:val="center"/>
                </w:tcPr>
                <w:p w14:paraId="6F721B6F" w14:textId="77777777" w:rsidR="00CD6B78" w:rsidRDefault="00CD6B78" w:rsidP="004C5632">
                  <w:pPr>
                    <w:jc w:val="both"/>
                    <w:rPr>
                      <w:rFonts w:ascii="Times New Roman" w:hAnsi="Times New Roman" w:cs="Times New Roman"/>
                    </w:rPr>
                  </w:pPr>
                  <w:r w:rsidRPr="00C91C63">
                    <w:rPr>
                      <w:rFonts w:ascii="Segoe UI Symbol" w:hAnsi="Segoe UI Symbol" w:cs="Segoe UI Symbol"/>
                    </w:rPr>
                    <w:t>✔</w:t>
                  </w:r>
                  <w:r w:rsidRPr="00C91C63">
                    <w:rPr>
                      <w:rFonts w:ascii="Times New Roman" w:hAnsi="Times New Roman" w:cs="Times New Roman"/>
                    </w:rPr>
                    <w:t xml:space="preserve"> Yes</w:t>
                  </w:r>
                </w:p>
              </w:tc>
            </w:tr>
          </w:tbl>
          <w:p w14:paraId="3A69688D" w14:textId="77777777" w:rsidR="00CD6B78" w:rsidRPr="00C91C63" w:rsidRDefault="00CD6B78" w:rsidP="004C5632">
            <w:pPr>
              <w:spacing w:line="360" w:lineRule="auto"/>
              <w:jc w:val="both"/>
              <w:rPr>
                <w:rFonts w:ascii="Times New Roman" w:hAnsi="Times New Roman" w:cs="Times New Roman"/>
                <w:sz w:val="24"/>
                <w:szCs w:val="24"/>
              </w:rPr>
            </w:pPr>
          </w:p>
          <w:p w14:paraId="78DCC814" w14:textId="77777777" w:rsidR="00CD6B78" w:rsidRPr="00C91C63" w:rsidRDefault="00CD6B78" w:rsidP="004C5632">
            <w:pPr>
              <w:spacing w:line="360" w:lineRule="auto"/>
              <w:jc w:val="both"/>
              <w:rPr>
                <w:rFonts w:ascii="Times New Roman" w:hAnsi="Times New Roman" w:cs="Times New Roman"/>
                <w:b/>
                <w:bCs/>
              </w:rPr>
            </w:pPr>
          </w:p>
        </w:tc>
        <w:tc>
          <w:tcPr>
            <w:tcW w:w="0" w:type="auto"/>
            <w:vAlign w:val="center"/>
          </w:tcPr>
          <w:p w14:paraId="48F4A5D2" w14:textId="77777777" w:rsidR="00CD6B78" w:rsidRPr="00C91C63" w:rsidRDefault="00CD6B78" w:rsidP="004C5632">
            <w:pPr>
              <w:spacing w:line="360" w:lineRule="auto"/>
              <w:jc w:val="both"/>
              <w:rPr>
                <w:rFonts w:ascii="Times New Roman" w:hAnsi="Times New Roman" w:cs="Times New Roman"/>
                <w:b/>
                <w:bCs/>
              </w:rPr>
            </w:pPr>
          </w:p>
        </w:tc>
        <w:tc>
          <w:tcPr>
            <w:tcW w:w="0" w:type="auto"/>
            <w:vAlign w:val="center"/>
          </w:tcPr>
          <w:p w14:paraId="6C8A3B2F" w14:textId="77777777" w:rsidR="00CD6B78" w:rsidRPr="00C91C63" w:rsidRDefault="00CD6B78" w:rsidP="004C5632">
            <w:pPr>
              <w:spacing w:line="360" w:lineRule="auto"/>
              <w:jc w:val="both"/>
              <w:rPr>
                <w:rFonts w:ascii="Times New Roman" w:hAnsi="Times New Roman" w:cs="Times New Roman"/>
                <w:b/>
                <w:bCs/>
              </w:rPr>
            </w:pPr>
          </w:p>
        </w:tc>
        <w:tc>
          <w:tcPr>
            <w:tcW w:w="0" w:type="auto"/>
            <w:vAlign w:val="center"/>
          </w:tcPr>
          <w:p w14:paraId="0E0D685F" w14:textId="77777777" w:rsidR="00CD6B78" w:rsidRPr="00C91C63" w:rsidRDefault="00CD6B78" w:rsidP="004C5632">
            <w:pPr>
              <w:spacing w:line="360" w:lineRule="auto"/>
              <w:jc w:val="both"/>
              <w:rPr>
                <w:rFonts w:ascii="Times New Roman" w:hAnsi="Times New Roman" w:cs="Times New Roman"/>
                <w:b/>
                <w:bCs/>
              </w:rPr>
            </w:pPr>
          </w:p>
        </w:tc>
      </w:tr>
      <w:tr w:rsidR="00CD6B78" w:rsidRPr="00C91C63" w14:paraId="1F47AE28" w14:textId="77777777" w:rsidTr="004C5632">
        <w:trPr>
          <w:tblCellSpacing w:w="15" w:type="dxa"/>
        </w:trPr>
        <w:tc>
          <w:tcPr>
            <w:tcW w:w="0" w:type="auto"/>
            <w:vAlign w:val="center"/>
          </w:tcPr>
          <w:p w14:paraId="7BEC1DC0" w14:textId="77777777" w:rsidR="00CD6B78" w:rsidRPr="00C91C63" w:rsidRDefault="00CD6B78" w:rsidP="00D12892"/>
        </w:tc>
        <w:tc>
          <w:tcPr>
            <w:tcW w:w="0" w:type="auto"/>
            <w:vAlign w:val="center"/>
          </w:tcPr>
          <w:p w14:paraId="2C3E3687" w14:textId="77777777" w:rsidR="00CD6B78" w:rsidRPr="00C91C63" w:rsidRDefault="00CD6B78" w:rsidP="004C5632">
            <w:pPr>
              <w:spacing w:line="360" w:lineRule="auto"/>
              <w:jc w:val="both"/>
              <w:rPr>
                <w:rFonts w:ascii="Times New Roman" w:hAnsi="Times New Roman" w:cs="Times New Roman"/>
                <w:sz w:val="24"/>
                <w:szCs w:val="24"/>
              </w:rPr>
            </w:pPr>
          </w:p>
        </w:tc>
        <w:tc>
          <w:tcPr>
            <w:tcW w:w="0" w:type="auto"/>
            <w:vAlign w:val="center"/>
          </w:tcPr>
          <w:p w14:paraId="69BEA28C" w14:textId="77777777" w:rsidR="00CD6B78" w:rsidRPr="00C91C63" w:rsidRDefault="00CD6B78" w:rsidP="004C5632">
            <w:pPr>
              <w:spacing w:line="360" w:lineRule="auto"/>
              <w:jc w:val="both"/>
              <w:rPr>
                <w:rFonts w:ascii="Times New Roman" w:hAnsi="Times New Roman" w:cs="Times New Roman"/>
                <w:sz w:val="24"/>
                <w:szCs w:val="24"/>
              </w:rPr>
            </w:pPr>
          </w:p>
        </w:tc>
        <w:tc>
          <w:tcPr>
            <w:tcW w:w="0" w:type="auto"/>
            <w:vAlign w:val="center"/>
          </w:tcPr>
          <w:p w14:paraId="516EB5F7" w14:textId="77777777" w:rsidR="00CD6B78" w:rsidRPr="00C91C63" w:rsidRDefault="00CD6B78" w:rsidP="004C5632">
            <w:pPr>
              <w:spacing w:line="360" w:lineRule="auto"/>
              <w:jc w:val="both"/>
              <w:rPr>
                <w:rFonts w:ascii="Times New Roman" w:hAnsi="Times New Roman" w:cs="Times New Roman"/>
                <w:sz w:val="24"/>
                <w:szCs w:val="24"/>
              </w:rPr>
            </w:pPr>
          </w:p>
        </w:tc>
      </w:tr>
      <w:tr w:rsidR="00CD6B78" w:rsidRPr="00C91C63" w14:paraId="176F56B6" w14:textId="77777777" w:rsidTr="004C5632">
        <w:trPr>
          <w:tblCellSpacing w:w="15" w:type="dxa"/>
        </w:trPr>
        <w:tc>
          <w:tcPr>
            <w:tcW w:w="0" w:type="auto"/>
            <w:vAlign w:val="center"/>
          </w:tcPr>
          <w:p w14:paraId="1BF0FDD0" w14:textId="77777777" w:rsidR="00CD6B78" w:rsidRPr="00C91C63" w:rsidRDefault="00CD6B78" w:rsidP="00D12892"/>
        </w:tc>
        <w:tc>
          <w:tcPr>
            <w:tcW w:w="0" w:type="auto"/>
            <w:vAlign w:val="center"/>
          </w:tcPr>
          <w:p w14:paraId="0745E0C5" w14:textId="77777777" w:rsidR="00CD6B78" w:rsidRPr="00C91C63" w:rsidRDefault="00CD6B78" w:rsidP="004C5632">
            <w:pPr>
              <w:spacing w:line="360" w:lineRule="auto"/>
              <w:jc w:val="both"/>
              <w:rPr>
                <w:rFonts w:ascii="Times New Roman" w:hAnsi="Times New Roman" w:cs="Times New Roman"/>
                <w:sz w:val="24"/>
                <w:szCs w:val="24"/>
              </w:rPr>
            </w:pPr>
          </w:p>
        </w:tc>
        <w:tc>
          <w:tcPr>
            <w:tcW w:w="0" w:type="auto"/>
            <w:vAlign w:val="center"/>
          </w:tcPr>
          <w:p w14:paraId="1ECC8EA1" w14:textId="77777777" w:rsidR="00CD6B78" w:rsidRPr="00C91C63" w:rsidRDefault="00CD6B78" w:rsidP="004C5632">
            <w:pPr>
              <w:spacing w:line="360" w:lineRule="auto"/>
              <w:jc w:val="both"/>
              <w:rPr>
                <w:rFonts w:ascii="Times New Roman" w:hAnsi="Times New Roman" w:cs="Times New Roman"/>
                <w:sz w:val="24"/>
                <w:szCs w:val="24"/>
              </w:rPr>
            </w:pPr>
          </w:p>
        </w:tc>
        <w:tc>
          <w:tcPr>
            <w:tcW w:w="0" w:type="auto"/>
            <w:vAlign w:val="center"/>
          </w:tcPr>
          <w:p w14:paraId="28887EA5" w14:textId="77777777" w:rsidR="00CD6B78" w:rsidRPr="00C91C63" w:rsidRDefault="00CD6B78" w:rsidP="004C5632">
            <w:pPr>
              <w:spacing w:line="360" w:lineRule="auto"/>
              <w:jc w:val="both"/>
              <w:rPr>
                <w:rFonts w:ascii="Times New Roman" w:hAnsi="Times New Roman" w:cs="Times New Roman"/>
                <w:sz w:val="24"/>
                <w:szCs w:val="24"/>
              </w:rPr>
            </w:pPr>
          </w:p>
        </w:tc>
      </w:tr>
      <w:tr w:rsidR="00CD6B78" w:rsidRPr="00C91C63" w14:paraId="0AF03C00" w14:textId="77777777" w:rsidTr="004C5632">
        <w:trPr>
          <w:tblCellSpacing w:w="15" w:type="dxa"/>
        </w:trPr>
        <w:tc>
          <w:tcPr>
            <w:tcW w:w="0" w:type="auto"/>
            <w:vAlign w:val="center"/>
          </w:tcPr>
          <w:p w14:paraId="255E44A2" w14:textId="77777777" w:rsidR="00CD6B78" w:rsidRPr="00C91C63" w:rsidRDefault="00CD6B78" w:rsidP="00D12892"/>
        </w:tc>
        <w:tc>
          <w:tcPr>
            <w:tcW w:w="0" w:type="auto"/>
            <w:vAlign w:val="center"/>
          </w:tcPr>
          <w:p w14:paraId="2C7BBD64" w14:textId="77777777" w:rsidR="00CD6B78" w:rsidRPr="00C91C63" w:rsidRDefault="00CD6B78" w:rsidP="004C5632">
            <w:pPr>
              <w:spacing w:line="360" w:lineRule="auto"/>
              <w:jc w:val="both"/>
              <w:rPr>
                <w:rFonts w:ascii="Times New Roman" w:hAnsi="Times New Roman" w:cs="Times New Roman"/>
                <w:sz w:val="24"/>
                <w:szCs w:val="24"/>
              </w:rPr>
            </w:pPr>
          </w:p>
        </w:tc>
        <w:tc>
          <w:tcPr>
            <w:tcW w:w="0" w:type="auto"/>
            <w:vAlign w:val="center"/>
          </w:tcPr>
          <w:p w14:paraId="221D6432" w14:textId="77777777" w:rsidR="00CD6B78" w:rsidRPr="00C91C63" w:rsidRDefault="00CD6B78" w:rsidP="004C5632">
            <w:pPr>
              <w:spacing w:line="360" w:lineRule="auto"/>
              <w:jc w:val="both"/>
              <w:rPr>
                <w:rFonts w:ascii="Times New Roman" w:hAnsi="Times New Roman" w:cs="Times New Roman"/>
                <w:sz w:val="24"/>
                <w:szCs w:val="24"/>
              </w:rPr>
            </w:pPr>
          </w:p>
        </w:tc>
        <w:tc>
          <w:tcPr>
            <w:tcW w:w="0" w:type="auto"/>
            <w:vAlign w:val="center"/>
          </w:tcPr>
          <w:p w14:paraId="5C9994D9" w14:textId="77777777" w:rsidR="00CD6B78" w:rsidRPr="00C91C63" w:rsidRDefault="00CD6B78" w:rsidP="004C5632">
            <w:pPr>
              <w:spacing w:line="360" w:lineRule="auto"/>
              <w:jc w:val="both"/>
              <w:rPr>
                <w:rFonts w:ascii="Times New Roman" w:hAnsi="Times New Roman" w:cs="Times New Roman"/>
                <w:sz w:val="24"/>
                <w:szCs w:val="24"/>
              </w:rPr>
            </w:pPr>
          </w:p>
        </w:tc>
      </w:tr>
      <w:tr w:rsidR="00CD6B78" w:rsidRPr="00C91C63" w14:paraId="2B0EB49E" w14:textId="77777777" w:rsidTr="004C5632">
        <w:trPr>
          <w:tblCellSpacing w:w="15" w:type="dxa"/>
        </w:trPr>
        <w:tc>
          <w:tcPr>
            <w:tcW w:w="0" w:type="auto"/>
            <w:vAlign w:val="center"/>
          </w:tcPr>
          <w:p w14:paraId="3D3A8672" w14:textId="77777777" w:rsidR="00CD6B78" w:rsidRPr="00C91C63" w:rsidRDefault="00CD6B78" w:rsidP="00D12892"/>
        </w:tc>
        <w:tc>
          <w:tcPr>
            <w:tcW w:w="0" w:type="auto"/>
            <w:vAlign w:val="center"/>
          </w:tcPr>
          <w:p w14:paraId="094490F8" w14:textId="77777777" w:rsidR="00CD6B78" w:rsidRPr="00C91C63" w:rsidRDefault="00CD6B78" w:rsidP="004C5632">
            <w:pPr>
              <w:spacing w:line="360" w:lineRule="auto"/>
              <w:jc w:val="both"/>
              <w:rPr>
                <w:rFonts w:ascii="Times New Roman" w:hAnsi="Times New Roman" w:cs="Times New Roman"/>
                <w:sz w:val="24"/>
                <w:szCs w:val="24"/>
              </w:rPr>
            </w:pPr>
          </w:p>
        </w:tc>
        <w:tc>
          <w:tcPr>
            <w:tcW w:w="0" w:type="auto"/>
            <w:vAlign w:val="center"/>
          </w:tcPr>
          <w:p w14:paraId="267A2D7F" w14:textId="77777777" w:rsidR="00CD6B78" w:rsidRPr="00C91C63" w:rsidRDefault="00CD6B78" w:rsidP="004C5632">
            <w:pPr>
              <w:spacing w:line="360" w:lineRule="auto"/>
              <w:jc w:val="both"/>
              <w:rPr>
                <w:rFonts w:ascii="Times New Roman" w:hAnsi="Times New Roman" w:cs="Times New Roman"/>
                <w:sz w:val="24"/>
                <w:szCs w:val="24"/>
              </w:rPr>
            </w:pPr>
          </w:p>
        </w:tc>
        <w:tc>
          <w:tcPr>
            <w:tcW w:w="0" w:type="auto"/>
            <w:vAlign w:val="center"/>
          </w:tcPr>
          <w:p w14:paraId="38302BD7" w14:textId="77777777" w:rsidR="00CD6B78" w:rsidRPr="00C91C63" w:rsidRDefault="00CD6B78" w:rsidP="004C5632">
            <w:pPr>
              <w:spacing w:line="360" w:lineRule="auto"/>
              <w:jc w:val="both"/>
              <w:rPr>
                <w:rFonts w:ascii="Times New Roman" w:hAnsi="Times New Roman" w:cs="Times New Roman"/>
                <w:sz w:val="24"/>
                <w:szCs w:val="24"/>
              </w:rPr>
            </w:pPr>
          </w:p>
        </w:tc>
      </w:tr>
    </w:tbl>
    <w:p w14:paraId="2F52A4D6" w14:textId="77777777" w:rsidR="00BE7920" w:rsidRDefault="00803F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 Conclusion, Recommendations, and Suggestions for Further Studies</w:t>
      </w:r>
    </w:p>
    <w:p w14:paraId="108A69B5" w14:textId="77777777" w:rsidR="00BE7920" w:rsidRDefault="00803F08">
      <w:pPr>
        <w:pStyle w:val="Standard"/>
        <w:spacing w:line="360" w:lineRule="auto"/>
        <w:jc w:val="both"/>
      </w:pPr>
      <w:r>
        <w:rPr>
          <w:rFonts w:ascii="Times New Roman" w:hAnsi="Times New Roman" w:cs="Times New Roman"/>
          <w:b/>
          <w:color w:val="000000"/>
          <w:sz w:val="24"/>
          <w:szCs w:val="24"/>
        </w:rPr>
        <w:t>5.1 Conclusion</w:t>
      </w:r>
    </w:p>
    <w:p w14:paraId="2905EE91" w14:textId="77777777" w:rsidR="00BE7920" w:rsidRDefault="00803F08">
      <w:pPr>
        <w:pStyle w:val="NormalWeb"/>
        <w:spacing w:before="0" w:after="0" w:line="360" w:lineRule="auto"/>
        <w:jc w:val="both"/>
      </w:pPr>
      <w:r>
        <w:rPr>
          <w:color w:val="000000"/>
        </w:rPr>
        <w:t>Organizations around the world have moved away from mandatory retirement policies, recognizing the value of retaining experienced professionals to maintain their competitive edge and ensure knowledge continuity.</w:t>
      </w:r>
      <w:r>
        <w:t xml:space="preserve"> </w:t>
      </w:r>
      <w:r>
        <w:rPr>
          <w:color w:val="000000"/>
        </w:rPr>
        <w:t>The mandatory retirement of high-performing employees can have far-reaching consequences for organizational success. While it may provide opportunities for younger employees to advance, the potential negative impacts on knowledge retention, innovation, morale, performance, and long-term competitiveness suggest that such policies should be carefully considered and implemented with caution.</w:t>
      </w:r>
    </w:p>
    <w:p w14:paraId="639DF1C9" w14:textId="77777777" w:rsidR="00BE7920" w:rsidRDefault="00803F08">
      <w:pPr>
        <w:pStyle w:val="Heading2"/>
        <w:spacing w:before="360" w:after="16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5.2 Recommendations</w:t>
      </w:r>
    </w:p>
    <w:p w14:paraId="3D51A64E" w14:textId="77777777" w:rsidR="00BE7920" w:rsidRDefault="00803F08">
      <w:pPr>
        <w:pStyle w:val="Standard"/>
        <w:spacing w:line="360" w:lineRule="auto"/>
        <w:jc w:val="both"/>
      </w:pPr>
      <w:r>
        <w:rPr>
          <w:rFonts w:ascii="Times New Roman" w:hAnsi="Times New Roman" w:cs="Times New Roman"/>
          <w:sz w:val="24"/>
          <w:szCs w:val="24"/>
        </w:rPr>
        <w:t xml:space="preserve">1. This study discovered negative relationship between mandatory retirement and organization knowledge retention and innovation therefore, organization should </w:t>
      </w:r>
      <w:r>
        <w:rPr>
          <w:rFonts w:ascii="Times New Roman" w:hAnsi="Times New Roman" w:cs="Times New Roman"/>
          <w:color w:val="000000"/>
          <w:sz w:val="24"/>
          <w:szCs w:val="24"/>
        </w:rPr>
        <w:t>implement phased retirement programs to allow gradual knowledge transfer</w:t>
      </w:r>
    </w:p>
    <w:p w14:paraId="0065C29A" w14:textId="77777777" w:rsidR="00BE7920" w:rsidRDefault="00803F08">
      <w:pPr>
        <w:pStyle w:val="Standard"/>
        <w:spacing w:line="360" w:lineRule="auto"/>
        <w:jc w:val="both"/>
      </w:pPr>
      <w:r>
        <w:rPr>
          <w:rFonts w:ascii="Times New Roman" w:hAnsi="Times New Roman" w:cs="Times New Roman"/>
          <w:sz w:val="24"/>
          <w:szCs w:val="24"/>
        </w:rPr>
        <w:t xml:space="preserve">2. This study found out a negative relationship between organizational performance, specifically on productivity, profitability, and efficiency. Therefore, organization should </w:t>
      </w:r>
      <w:r>
        <w:rPr>
          <w:rFonts w:ascii="Times New Roman" w:hAnsi="Times New Roman" w:cs="Times New Roman"/>
          <w:color w:val="000000"/>
          <w:sz w:val="24"/>
          <w:szCs w:val="24"/>
        </w:rPr>
        <w:t>develop robust knowledge management systems to capture tacit knowledge</w:t>
      </w:r>
    </w:p>
    <w:p w14:paraId="5AE72D44" w14:textId="77777777" w:rsidR="00BE7920" w:rsidRDefault="00803F08">
      <w:pPr>
        <w:pStyle w:val="NormalWeb"/>
        <w:spacing w:before="0" w:after="0" w:line="360" w:lineRule="auto"/>
        <w:jc w:val="both"/>
        <w:rPr>
          <w:color w:val="000000"/>
        </w:rPr>
      </w:pPr>
      <w:r>
        <w:rPr>
          <w:color w:val="000000"/>
        </w:rPr>
        <w:t>3. The organization and manager should create mentorship programs pairing experienced employees with younger staff to reduce the brain drain of high-performing employees.</w:t>
      </w:r>
    </w:p>
    <w:p w14:paraId="71C060B2" w14:textId="77777777" w:rsidR="00BE7920" w:rsidRDefault="00803F08">
      <w:pPr>
        <w:pStyle w:val="NormalWeb"/>
        <w:spacing w:before="0" w:after="0" w:line="360" w:lineRule="auto"/>
        <w:jc w:val="both"/>
        <w:rPr>
          <w:color w:val="000000"/>
        </w:rPr>
      </w:pPr>
      <w:r>
        <w:rPr>
          <w:color w:val="000000"/>
        </w:rPr>
        <w:t>4. Offer flexible work arrangements to retain high-performing older employees</w:t>
      </w:r>
    </w:p>
    <w:p w14:paraId="7C4A7077" w14:textId="77777777" w:rsidR="00BE7920" w:rsidRDefault="00803F08">
      <w:pPr>
        <w:pStyle w:val="NormalWeb"/>
        <w:spacing w:before="0" w:after="0" w:line="360" w:lineRule="auto"/>
        <w:jc w:val="both"/>
        <w:rPr>
          <w:color w:val="000000"/>
        </w:rPr>
      </w:pPr>
      <w:r>
        <w:rPr>
          <w:color w:val="000000"/>
        </w:rPr>
        <w:t>5. Regularly assess the skills and contributions of all employees, regardless of age</w:t>
      </w:r>
    </w:p>
    <w:p w14:paraId="4EC98356" w14:textId="77777777" w:rsidR="00BE7920" w:rsidRDefault="00803F08">
      <w:pPr>
        <w:pStyle w:val="NormalWeb"/>
        <w:spacing w:before="0" w:after="0" w:line="360" w:lineRule="auto"/>
        <w:jc w:val="both"/>
        <w:rPr>
          <w:color w:val="000000"/>
        </w:rPr>
      </w:pPr>
      <w:r>
        <w:rPr>
          <w:color w:val="000000"/>
        </w:rPr>
        <w:t>6. Develop a company culture that values experience and promotes lifelong learning</w:t>
      </w:r>
    </w:p>
    <w:p w14:paraId="23C048B2" w14:textId="77777777" w:rsidR="00BE7920" w:rsidRDefault="00803F08">
      <w:pPr>
        <w:pStyle w:val="Heading2"/>
        <w:spacing w:before="360" w:after="16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5.3 Suggestions for Further Studies</w:t>
      </w:r>
    </w:p>
    <w:p w14:paraId="22B18EF6" w14:textId="77777777" w:rsidR="00BE7920" w:rsidRDefault="00803F08">
      <w:pPr>
        <w:pStyle w:val="NormalWeb"/>
        <w:spacing w:before="0" w:after="0" w:line="360" w:lineRule="auto"/>
        <w:jc w:val="both"/>
      </w:pPr>
      <w:r>
        <w:rPr>
          <w:color w:val="000000"/>
        </w:rPr>
        <w:t>Further research is needed to explore a Comparative analysis of organizations with and without mandatory retirement policies.</w:t>
      </w:r>
      <w:r>
        <w:t xml:space="preserve"> Also, future studies could </w:t>
      </w:r>
      <w:r>
        <w:rPr>
          <w:color w:val="000000"/>
        </w:rPr>
        <w:t>investigate the effectiveness of phased retirement programs in maintaining organizational performance.</w:t>
      </w:r>
    </w:p>
    <w:p w14:paraId="6857F5C0" w14:textId="77777777" w:rsidR="000F0A09" w:rsidRDefault="000F0A09">
      <w:pPr>
        <w:pStyle w:val="Standard"/>
        <w:spacing w:after="0" w:line="240" w:lineRule="auto"/>
        <w:ind w:left="720" w:hanging="720"/>
        <w:jc w:val="both"/>
        <w:rPr>
          <w:rFonts w:ascii="Times New Roman" w:hAnsi="Times New Roman" w:cs="Times New Roman"/>
          <w:b/>
          <w:bCs/>
          <w:sz w:val="24"/>
          <w:szCs w:val="24"/>
        </w:rPr>
      </w:pPr>
      <w:bookmarkStart w:id="5" w:name="Bookmark2"/>
    </w:p>
    <w:p w14:paraId="1F41E4D9" w14:textId="77777777" w:rsidR="00613B7A" w:rsidRPr="00613B7A" w:rsidRDefault="00613B7A" w:rsidP="00613B7A">
      <w:pPr>
        <w:widowControl/>
        <w:suppressAutoHyphens w:val="0"/>
        <w:autoSpaceDN/>
        <w:spacing w:after="200" w:line="276" w:lineRule="auto"/>
        <w:textAlignment w:val="auto"/>
        <w:rPr>
          <w:rFonts w:eastAsia="Calibri" w:cs="Times New Roman"/>
          <w:b/>
          <w:kern w:val="2"/>
          <w14:ligatures w14:val="standardContextual"/>
        </w:rPr>
      </w:pPr>
      <w:r w:rsidRPr="00613B7A">
        <w:rPr>
          <w:rFonts w:eastAsia="Calibri" w:cs="Times New Roman"/>
          <w:b/>
          <w:kern w:val="2"/>
          <w14:ligatures w14:val="standardContextual"/>
        </w:rPr>
        <w:t xml:space="preserve">Consent </w:t>
      </w:r>
    </w:p>
    <w:p w14:paraId="45B954F0" w14:textId="3DF50F3B" w:rsidR="00613B7A" w:rsidRPr="00613B7A" w:rsidRDefault="00613B7A" w:rsidP="00613B7A">
      <w:pPr>
        <w:widowControl/>
        <w:suppressAutoHyphens w:val="0"/>
        <w:autoSpaceDN/>
        <w:spacing w:after="200" w:line="276" w:lineRule="auto"/>
        <w:textAlignment w:val="auto"/>
        <w:rPr>
          <w:rFonts w:eastAsia="Calibri" w:cs="Times New Roman"/>
          <w:kern w:val="2"/>
          <w14:ligatures w14:val="standardContextual"/>
        </w:rPr>
      </w:pPr>
      <w:r w:rsidRPr="00613B7A">
        <w:rPr>
          <w:rFonts w:eastAsia="Calibri" w:cs="Times New Roman"/>
          <w:kern w:val="2"/>
          <w14:ligatures w14:val="standardContextual"/>
        </w:rPr>
        <w:t>As per international standards or university standards, Participants’ written consent has been collected and preserved by the author(s).</w:t>
      </w:r>
    </w:p>
    <w:p w14:paraId="760699DA" w14:textId="77777777" w:rsidR="00613B7A" w:rsidRDefault="00613B7A" w:rsidP="00613B7A">
      <w:pPr>
        <w:widowControl/>
        <w:suppressAutoHyphens w:val="0"/>
        <w:autoSpaceDN/>
        <w:spacing w:after="200" w:line="276" w:lineRule="auto"/>
        <w:textAlignment w:val="auto"/>
        <w:rPr>
          <w:rFonts w:eastAsia="Calibri" w:cs="Times New Roman"/>
          <w:b/>
          <w:kern w:val="2"/>
          <w14:ligatures w14:val="standardContextual"/>
        </w:rPr>
      </w:pPr>
    </w:p>
    <w:p w14:paraId="007CE31A" w14:textId="71FC4597" w:rsidR="00613B7A" w:rsidRPr="00613B7A" w:rsidRDefault="00613B7A" w:rsidP="00613B7A">
      <w:pPr>
        <w:widowControl/>
        <w:suppressAutoHyphens w:val="0"/>
        <w:autoSpaceDN/>
        <w:spacing w:after="200" w:line="276" w:lineRule="auto"/>
        <w:textAlignment w:val="auto"/>
        <w:rPr>
          <w:rFonts w:eastAsia="Calibri" w:cs="Times New Roman"/>
          <w:b/>
          <w:kern w:val="2"/>
          <w14:ligatures w14:val="standardContextual"/>
        </w:rPr>
      </w:pPr>
      <w:r w:rsidRPr="00613B7A">
        <w:rPr>
          <w:rFonts w:eastAsia="Calibri" w:cs="Times New Roman"/>
          <w:b/>
          <w:kern w:val="2"/>
          <w14:ligatures w14:val="standardContextual"/>
        </w:rPr>
        <w:t>Disclaimer (Artificial intelligence)</w:t>
      </w:r>
    </w:p>
    <w:p w14:paraId="52210B33" w14:textId="77777777" w:rsidR="00613B7A" w:rsidRPr="00613B7A" w:rsidRDefault="00613B7A" w:rsidP="00613B7A">
      <w:pPr>
        <w:widowControl/>
        <w:suppressAutoHyphens w:val="0"/>
        <w:autoSpaceDN/>
        <w:spacing w:after="200" w:line="276" w:lineRule="auto"/>
        <w:textAlignment w:val="auto"/>
        <w:rPr>
          <w:rFonts w:eastAsia="Calibri" w:cs="Times New Roman"/>
          <w:kern w:val="2"/>
          <w14:ligatures w14:val="standardContextual"/>
        </w:rPr>
      </w:pPr>
      <w:r w:rsidRPr="00613B7A">
        <w:rPr>
          <w:rFonts w:eastAsia="Calibri" w:cs="Times New Roman"/>
          <w:kern w:val="2"/>
          <w14:ligatures w14:val="standardContextual"/>
        </w:rPr>
        <w:t xml:space="preserve">Option 1: </w:t>
      </w:r>
    </w:p>
    <w:p w14:paraId="58B78A8E" w14:textId="77777777" w:rsidR="00613B7A" w:rsidRPr="00613B7A" w:rsidRDefault="00613B7A" w:rsidP="00613B7A">
      <w:pPr>
        <w:widowControl/>
        <w:suppressAutoHyphens w:val="0"/>
        <w:autoSpaceDN/>
        <w:spacing w:after="200" w:line="276" w:lineRule="auto"/>
        <w:textAlignment w:val="auto"/>
        <w:rPr>
          <w:rFonts w:eastAsia="Calibri" w:cs="Times New Roman"/>
          <w:kern w:val="2"/>
          <w14:ligatures w14:val="standardContextual"/>
        </w:rPr>
      </w:pPr>
      <w:r w:rsidRPr="00613B7A">
        <w:rPr>
          <w:rFonts w:eastAsia="Calibri" w:cs="Times New Roman"/>
          <w:kern w:val="2"/>
          <w14:ligatures w14:val="standardContextual"/>
        </w:rPr>
        <w:t>Author(s) hereby declare that NO generative AI technologies such as Large Language Models (</w:t>
      </w:r>
      <w:proofErr w:type="spellStart"/>
      <w:r w:rsidRPr="00613B7A">
        <w:rPr>
          <w:rFonts w:eastAsia="Calibri" w:cs="Times New Roman"/>
          <w:kern w:val="2"/>
          <w14:ligatures w14:val="standardContextual"/>
        </w:rPr>
        <w:t>ChatGPT</w:t>
      </w:r>
      <w:proofErr w:type="spellEnd"/>
      <w:r w:rsidRPr="00613B7A">
        <w:rPr>
          <w:rFonts w:eastAsia="Calibri" w:cs="Times New Roman"/>
          <w:kern w:val="2"/>
          <w14:ligatures w14:val="standardContextual"/>
        </w:rPr>
        <w:t xml:space="preserve">, COPILOT, etc.) and text-to-image generators have been used during the writing or editing of this manuscript. </w:t>
      </w:r>
    </w:p>
    <w:p w14:paraId="144B4587" w14:textId="77777777" w:rsidR="00613B7A" w:rsidRPr="00613B7A" w:rsidRDefault="00613B7A" w:rsidP="00613B7A">
      <w:pPr>
        <w:widowControl/>
        <w:suppressAutoHyphens w:val="0"/>
        <w:autoSpaceDN/>
        <w:spacing w:after="200" w:line="276" w:lineRule="auto"/>
        <w:textAlignment w:val="auto"/>
        <w:rPr>
          <w:rFonts w:eastAsia="Calibri" w:cs="Times New Roman"/>
          <w:kern w:val="2"/>
          <w14:ligatures w14:val="standardContextual"/>
        </w:rPr>
      </w:pPr>
      <w:r w:rsidRPr="00613B7A">
        <w:rPr>
          <w:rFonts w:eastAsia="Calibri" w:cs="Times New Roman"/>
          <w:kern w:val="2"/>
          <w14:ligatures w14:val="standardContextual"/>
        </w:rPr>
        <w:t xml:space="preserve">Option 2: </w:t>
      </w:r>
    </w:p>
    <w:p w14:paraId="26B6FAA6" w14:textId="77777777" w:rsidR="00613B7A" w:rsidRPr="00613B7A" w:rsidRDefault="00613B7A" w:rsidP="00613B7A">
      <w:pPr>
        <w:widowControl/>
        <w:suppressAutoHyphens w:val="0"/>
        <w:autoSpaceDN/>
        <w:spacing w:after="200" w:line="276" w:lineRule="auto"/>
        <w:textAlignment w:val="auto"/>
        <w:rPr>
          <w:rFonts w:eastAsia="Calibri" w:cs="Times New Roman"/>
          <w:kern w:val="2"/>
          <w14:ligatures w14:val="standardContextual"/>
        </w:rPr>
      </w:pPr>
      <w:r w:rsidRPr="00613B7A">
        <w:rPr>
          <w:rFonts w:eastAsia="Calibri" w:cs="Times New Roman"/>
          <w:kern w:val="2"/>
          <w14:ligatures w14:val="standardContextual"/>
        </w:rPr>
        <w:t xml:space="preserve">Author(s) hereby declare that generative AI technologies such as Large Language Models, etc. have been used during the writing or editing of manuscripts. This explanation will include the name, version, </w:t>
      </w:r>
      <w:r w:rsidRPr="00613B7A">
        <w:rPr>
          <w:rFonts w:eastAsia="Calibri" w:cs="Times New Roman"/>
          <w:kern w:val="2"/>
          <w14:ligatures w14:val="standardContextual"/>
        </w:rPr>
        <w:lastRenderedPageBreak/>
        <w:t>model, and source of the generative AI technology and as well as all input prompts provided to the generative AI technology</w:t>
      </w:r>
    </w:p>
    <w:p w14:paraId="54BA8B65" w14:textId="77777777" w:rsidR="00613B7A" w:rsidRPr="00613B7A" w:rsidRDefault="00613B7A" w:rsidP="00613B7A">
      <w:pPr>
        <w:widowControl/>
        <w:suppressAutoHyphens w:val="0"/>
        <w:autoSpaceDN/>
        <w:spacing w:after="200" w:line="276" w:lineRule="auto"/>
        <w:textAlignment w:val="auto"/>
        <w:rPr>
          <w:rFonts w:eastAsia="Calibri" w:cs="Times New Roman"/>
          <w:kern w:val="2"/>
          <w14:ligatures w14:val="standardContextual"/>
        </w:rPr>
      </w:pPr>
      <w:r w:rsidRPr="00613B7A">
        <w:rPr>
          <w:rFonts w:eastAsia="Calibri" w:cs="Times New Roman"/>
          <w:kern w:val="2"/>
          <w14:ligatures w14:val="standardContextual"/>
        </w:rPr>
        <w:t>Details of the AI usage are given below:</w:t>
      </w:r>
    </w:p>
    <w:p w14:paraId="13827A69" w14:textId="77777777" w:rsidR="00613B7A" w:rsidRPr="00613B7A" w:rsidRDefault="00613B7A" w:rsidP="00613B7A">
      <w:pPr>
        <w:widowControl/>
        <w:suppressAutoHyphens w:val="0"/>
        <w:autoSpaceDN/>
        <w:spacing w:after="200" w:line="276" w:lineRule="auto"/>
        <w:textAlignment w:val="auto"/>
        <w:rPr>
          <w:rFonts w:eastAsia="Calibri" w:cs="Times New Roman"/>
          <w:kern w:val="2"/>
          <w14:ligatures w14:val="standardContextual"/>
        </w:rPr>
      </w:pPr>
      <w:r w:rsidRPr="00613B7A">
        <w:rPr>
          <w:rFonts w:eastAsia="Calibri" w:cs="Times New Roman"/>
          <w:kern w:val="2"/>
          <w14:ligatures w14:val="standardContextual"/>
        </w:rPr>
        <w:t>1.</w:t>
      </w:r>
    </w:p>
    <w:p w14:paraId="0F9EC405" w14:textId="77777777" w:rsidR="00613B7A" w:rsidRPr="00613B7A" w:rsidRDefault="00613B7A" w:rsidP="00613B7A">
      <w:pPr>
        <w:widowControl/>
        <w:suppressAutoHyphens w:val="0"/>
        <w:autoSpaceDN/>
        <w:spacing w:after="200" w:line="276" w:lineRule="auto"/>
        <w:textAlignment w:val="auto"/>
        <w:rPr>
          <w:rFonts w:eastAsia="Calibri" w:cs="Times New Roman"/>
          <w:kern w:val="2"/>
          <w14:ligatures w14:val="standardContextual"/>
        </w:rPr>
      </w:pPr>
      <w:r w:rsidRPr="00613B7A">
        <w:rPr>
          <w:rFonts w:eastAsia="Calibri" w:cs="Times New Roman"/>
          <w:kern w:val="2"/>
          <w14:ligatures w14:val="standardContextual"/>
        </w:rPr>
        <w:t>2.</w:t>
      </w:r>
    </w:p>
    <w:p w14:paraId="58D2BE4B" w14:textId="77777777" w:rsidR="00613B7A" w:rsidRPr="00613B7A" w:rsidRDefault="00613B7A" w:rsidP="00613B7A">
      <w:pPr>
        <w:widowControl/>
        <w:suppressAutoHyphens w:val="0"/>
        <w:autoSpaceDN/>
        <w:spacing w:after="200" w:line="276" w:lineRule="auto"/>
        <w:textAlignment w:val="auto"/>
        <w:rPr>
          <w:rFonts w:eastAsia="Calibri" w:cs="Times New Roman"/>
          <w:kern w:val="2"/>
          <w14:ligatures w14:val="standardContextual"/>
        </w:rPr>
      </w:pPr>
      <w:r w:rsidRPr="00613B7A">
        <w:rPr>
          <w:rFonts w:eastAsia="Calibri" w:cs="Times New Roman"/>
          <w:kern w:val="2"/>
          <w14:ligatures w14:val="standardContextual"/>
        </w:rPr>
        <w:t>3.</w:t>
      </w:r>
    </w:p>
    <w:p w14:paraId="3F6DEB52" w14:textId="77777777" w:rsidR="00613B7A" w:rsidRDefault="00613B7A">
      <w:pPr>
        <w:pStyle w:val="Standard"/>
        <w:spacing w:after="0" w:line="240" w:lineRule="auto"/>
        <w:ind w:left="720" w:hanging="720"/>
        <w:jc w:val="both"/>
        <w:rPr>
          <w:rFonts w:ascii="Times New Roman" w:hAnsi="Times New Roman" w:cs="Times New Roman"/>
          <w:b/>
          <w:bCs/>
          <w:sz w:val="24"/>
          <w:szCs w:val="24"/>
        </w:rPr>
      </w:pPr>
    </w:p>
    <w:p w14:paraId="75C6DD5C" w14:textId="77777777" w:rsidR="00613B7A" w:rsidRDefault="00613B7A">
      <w:pPr>
        <w:pStyle w:val="Standard"/>
        <w:spacing w:after="0" w:line="240" w:lineRule="auto"/>
        <w:ind w:left="720" w:hanging="720"/>
        <w:jc w:val="both"/>
        <w:rPr>
          <w:rFonts w:ascii="Times New Roman" w:hAnsi="Times New Roman" w:cs="Times New Roman"/>
          <w:b/>
          <w:bCs/>
          <w:sz w:val="24"/>
          <w:szCs w:val="24"/>
        </w:rPr>
      </w:pPr>
    </w:p>
    <w:p w14:paraId="10C632FC" w14:textId="76E978A9" w:rsidR="00BE7920" w:rsidRDefault="00803F08">
      <w:pPr>
        <w:pStyle w:val="Standard"/>
        <w:spacing w:after="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References</w:t>
      </w:r>
    </w:p>
    <w:bookmarkEnd w:id="5"/>
    <w:p w14:paraId="1E9EA93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Adeniyi, A. O., Sholesi, O. Y., Akanniadewale, O. R., &amp; Adeniyi, A. O. (2022). Succession planning and organizational performance: Evidence from a manufacturing organization in Nigeria. </w:t>
      </w:r>
      <w:r>
        <w:rPr>
          <w:rFonts w:ascii="Times New Roman" w:hAnsi="Times New Roman" w:cs="Times New Roman"/>
          <w:i/>
          <w:iCs/>
          <w:sz w:val="24"/>
          <w:szCs w:val="24"/>
        </w:rPr>
        <w:t>International Journal of Social Science Research and Review, 5</w:t>
      </w:r>
      <w:r>
        <w:rPr>
          <w:rFonts w:ascii="Times New Roman" w:hAnsi="Times New Roman" w:cs="Times New Roman"/>
          <w:sz w:val="24"/>
          <w:szCs w:val="24"/>
        </w:rPr>
        <w:t xml:space="preserve">(11), 90–104. </w:t>
      </w:r>
      <w:hyperlink r:id="rId7" w:history="1">
        <w:r>
          <w:rPr>
            <w:rFonts w:ascii="Times New Roman" w:hAnsi="Times New Roman" w:cs="Times New Roman"/>
            <w:sz w:val="24"/>
            <w:szCs w:val="24"/>
          </w:rPr>
          <w:t>https://doi.org/10.47814/ijssrr.v6i11.631</w:t>
        </w:r>
      </w:hyperlink>
    </w:p>
    <w:p w14:paraId="47CD86C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Al-suraihi, W. A., Samikon, S. A., Al-Suraihi, A., Ibrahim, I., &amp; Al-Suraihi, A. A. (2021). Employee turnover: Causes, importance, and retention strategies. </w:t>
      </w:r>
      <w:r>
        <w:rPr>
          <w:rFonts w:ascii="Times New Roman" w:hAnsi="Times New Roman" w:cs="Times New Roman"/>
          <w:i/>
          <w:iCs/>
          <w:sz w:val="24"/>
          <w:szCs w:val="24"/>
        </w:rPr>
        <w:t>European Journal of Business Management and Research, 6</w:t>
      </w:r>
      <w:r>
        <w:rPr>
          <w:rFonts w:ascii="Times New Roman" w:hAnsi="Times New Roman" w:cs="Times New Roman"/>
          <w:sz w:val="24"/>
          <w:szCs w:val="24"/>
        </w:rPr>
        <w:t>(3), 10. https://doi.org/10.24018/ejbmr.2021.6.3.893</w:t>
      </w:r>
    </w:p>
    <w:p w14:paraId="32B77EAB"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Anwar, K., &amp; Abdullah, N. N. (2021). The impact of human resource management practice on organizational performance. </w:t>
      </w:r>
      <w:r>
        <w:rPr>
          <w:rFonts w:ascii="Times New Roman" w:hAnsi="Times New Roman" w:cs="Times New Roman"/>
          <w:i/>
          <w:iCs/>
          <w:sz w:val="24"/>
          <w:szCs w:val="24"/>
        </w:rPr>
        <w:t>International Journal of Engineering Business and Management, 5</w:t>
      </w:r>
      <w:r>
        <w:rPr>
          <w:rFonts w:ascii="Times New Roman" w:hAnsi="Times New Roman" w:cs="Times New Roman"/>
          <w:sz w:val="24"/>
          <w:szCs w:val="24"/>
        </w:rPr>
        <w:t>(1), 35-47. https://doi.org/10.22161/ijebm.5.1.4</w:t>
      </w:r>
    </w:p>
    <w:p w14:paraId="448336D2"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Armstrong, M., &amp; Taylor, S. (2020). </w:t>
      </w:r>
      <w:r>
        <w:rPr>
          <w:rFonts w:ascii="Times New Roman" w:hAnsi="Times New Roman" w:cs="Times New Roman"/>
          <w:i/>
          <w:iCs/>
          <w:sz w:val="24"/>
          <w:szCs w:val="24"/>
        </w:rPr>
        <w:t>Armstrong's Handbook of Human Resource Management Practice</w:t>
      </w:r>
      <w:r>
        <w:rPr>
          <w:rFonts w:ascii="Times New Roman" w:hAnsi="Times New Roman" w:cs="Times New Roman"/>
          <w:sz w:val="24"/>
          <w:szCs w:val="24"/>
        </w:rPr>
        <w:t xml:space="preserve"> (15th ed.). Kogan Page.</w:t>
      </w:r>
    </w:p>
    <w:p w14:paraId="78DAE1D0"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Barney, J. B., &amp; Clark, D. N. (2023). </w:t>
      </w:r>
      <w:r>
        <w:rPr>
          <w:rFonts w:ascii="Times New Roman" w:hAnsi="Times New Roman" w:cs="Times New Roman"/>
          <w:i/>
          <w:iCs/>
          <w:sz w:val="24"/>
          <w:szCs w:val="24"/>
        </w:rPr>
        <w:t>Resource-Based Theory: Creating and Sustaining Competitive Advantage</w:t>
      </w:r>
      <w:r>
        <w:rPr>
          <w:rFonts w:ascii="Times New Roman" w:hAnsi="Times New Roman" w:cs="Times New Roman"/>
          <w:sz w:val="24"/>
          <w:szCs w:val="24"/>
        </w:rPr>
        <w:t>. Oxford University Press. https://doi.org/10.1093/oso/9780199277681.001.0001</w:t>
      </w:r>
    </w:p>
    <w:p w14:paraId="0015EC5E" w14:textId="77777777" w:rsidR="00BE7920" w:rsidRDefault="00803F08">
      <w:pPr>
        <w:pStyle w:val="Standard"/>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Barajas, A. (2024). The Role of Organizational Culture in Enhancing Workplace Performance and Employee Engagement. Journal of Organizational Culture Communications and Conflict, 28(4), 1-3.</w:t>
      </w:r>
    </w:p>
    <w:p w14:paraId="641972BE"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Becker, G. S. (1993). </w:t>
      </w:r>
      <w:r>
        <w:rPr>
          <w:rFonts w:ascii="Times New Roman" w:hAnsi="Times New Roman" w:cs="Times New Roman"/>
          <w:i/>
          <w:iCs/>
          <w:sz w:val="24"/>
          <w:szCs w:val="24"/>
        </w:rPr>
        <w:t>Human Capital: A Theoretical and Empirical Analysis, with Special Reference to Education</w:t>
      </w:r>
      <w:r>
        <w:rPr>
          <w:rFonts w:ascii="Times New Roman" w:hAnsi="Times New Roman" w:cs="Times New Roman"/>
          <w:sz w:val="24"/>
          <w:szCs w:val="24"/>
        </w:rPr>
        <w:t>. University of Chicago Press.</w:t>
      </w:r>
    </w:p>
    <w:p w14:paraId="3F53BD64"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Blau, P. M. (1964). </w:t>
      </w:r>
      <w:r>
        <w:rPr>
          <w:rFonts w:ascii="Times New Roman" w:hAnsi="Times New Roman" w:cs="Times New Roman"/>
          <w:i/>
          <w:iCs/>
          <w:sz w:val="24"/>
          <w:szCs w:val="24"/>
        </w:rPr>
        <w:t>Exchange and Power in Social Life</w:t>
      </w:r>
      <w:r>
        <w:rPr>
          <w:rFonts w:ascii="Times New Roman" w:hAnsi="Times New Roman" w:cs="Times New Roman"/>
          <w:sz w:val="24"/>
          <w:szCs w:val="24"/>
        </w:rPr>
        <w:t>. Wiley.</w:t>
      </w:r>
    </w:p>
    <w:p w14:paraId="0A9568B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Blöndal, S., &amp; Scarpetta, S. (1999). The retirement decision in OECD countries. </w:t>
      </w:r>
      <w:r>
        <w:rPr>
          <w:rFonts w:ascii="Times New Roman" w:hAnsi="Times New Roman" w:cs="Times New Roman"/>
          <w:i/>
          <w:iCs/>
          <w:sz w:val="24"/>
          <w:szCs w:val="24"/>
        </w:rPr>
        <w:t>OECD Economic Studies, 1999</w:t>
      </w:r>
      <w:r>
        <w:rPr>
          <w:rFonts w:ascii="Times New Roman" w:hAnsi="Times New Roman" w:cs="Times New Roman"/>
          <w:sz w:val="24"/>
          <w:szCs w:val="24"/>
        </w:rPr>
        <w:t>(1). https://doi.org/10.1787/565174210530</w:t>
      </w:r>
    </w:p>
    <w:p w14:paraId="20DE0D18"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Boehm, S., Schroder, H., &amp; Bal, P. M. (2021). Age-related human resource management policies and practices: Antecedents, outcomes, and conceptualizations. </w:t>
      </w:r>
      <w:r>
        <w:rPr>
          <w:rFonts w:ascii="Times New Roman" w:hAnsi="Times New Roman" w:cs="Times New Roman"/>
          <w:i/>
          <w:iCs/>
          <w:sz w:val="24"/>
          <w:szCs w:val="24"/>
        </w:rPr>
        <w:t>Work, Aging and Retirement, 7</w:t>
      </w:r>
      <w:r>
        <w:rPr>
          <w:rFonts w:ascii="Times New Roman" w:hAnsi="Times New Roman" w:cs="Times New Roman"/>
          <w:sz w:val="24"/>
          <w:szCs w:val="24"/>
        </w:rPr>
        <w:t>(4), 257-272. https://doi.org/10.1093/workar/waab024</w:t>
      </w:r>
    </w:p>
    <w:p w14:paraId="01A90D71" w14:textId="77777777" w:rsidR="00BE7920" w:rsidRPr="00E671A2" w:rsidRDefault="00803F08">
      <w:pPr>
        <w:pStyle w:val="Standard"/>
        <w:spacing w:after="0" w:line="240" w:lineRule="auto"/>
        <w:ind w:left="720" w:hanging="720"/>
        <w:jc w:val="both"/>
        <w:rPr>
          <w:lang w:val="fr-FR"/>
        </w:rPr>
      </w:pPr>
      <w:r>
        <w:rPr>
          <w:rFonts w:ascii="Times New Roman" w:hAnsi="Times New Roman" w:cs="Times New Roman"/>
          <w:sz w:val="24"/>
          <w:szCs w:val="24"/>
        </w:rPr>
        <w:t xml:space="preserve">Boitnott, J. (2023). </w:t>
      </w:r>
      <w:r>
        <w:rPr>
          <w:rFonts w:ascii="Times New Roman" w:hAnsi="Times New Roman" w:cs="Times New Roman"/>
          <w:i/>
          <w:iCs/>
          <w:sz w:val="24"/>
          <w:szCs w:val="24"/>
        </w:rPr>
        <w:t>Rethinking retirement: The case for embracing lifelong work</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Entrepreneur. </w:t>
      </w:r>
      <w:hyperlink r:id="rId8" w:history="1">
        <w:r w:rsidRPr="00390921">
          <w:t>https://www.entrepreneur.com/finance/rethinking-retirement-the-case-for-embracing-lifelong-work/463882</w:t>
        </w:r>
      </w:hyperlink>
    </w:p>
    <w:p w14:paraId="4D75529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Božić, V., &amp; Poola, I. (2023). </w:t>
      </w:r>
      <w:r>
        <w:rPr>
          <w:rFonts w:ascii="Times New Roman" w:hAnsi="Times New Roman" w:cs="Times New Roman"/>
          <w:i/>
          <w:iCs/>
          <w:sz w:val="24"/>
          <w:szCs w:val="24"/>
        </w:rPr>
        <w:t>Measuring organizational performance</w:t>
      </w:r>
      <w:r>
        <w:rPr>
          <w:rFonts w:ascii="Times New Roman" w:hAnsi="Times New Roman" w:cs="Times New Roman"/>
          <w:sz w:val="24"/>
          <w:szCs w:val="24"/>
        </w:rPr>
        <w:t>. Retrieved from https://doi.org/10.13140/RG.2.2.20225.12642</w:t>
      </w:r>
    </w:p>
    <w:p w14:paraId="28EF0B1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Burmeister, A., &amp; Deller, J. (2016). Knowledge retention from older and retiring workers: What do we know, and where do we go from here? </w:t>
      </w:r>
      <w:r>
        <w:rPr>
          <w:rFonts w:ascii="Times New Roman" w:hAnsi="Times New Roman" w:cs="Times New Roman"/>
          <w:i/>
          <w:iCs/>
          <w:sz w:val="24"/>
          <w:szCs w:val="24"/>
        </w:rPr>
        <w:t>Work, Aging and Retirement, 2</w:t>
      </w:r>
      <w:r>
        <w:rPr>
          <w:rFonts w:ascii="Times New Roman" w:hAnsi="Times New Roman" w:cs="Times New Roman"/>
          <w:sz w:val="24"/>
          <w:szCs w:val="24"/>
        </w:rPr>
        <w:t xml:space="preserve">(2), 87-104. </w:t>
      </w:r>
      <w:hyperlink r:id="rId9" w:history="1">
        <w:r>
          <w:rPr>
            <w:rFonts w:ascii="Times New Roman" w:hAnsi="Times New Roman" w:cs="Times New Roman"/>
            <w:sz w:val="24"/>
            <w:szCs w:val="24"/>
          </w:rPr>
          <w:t>https://doi.org/10.1093/workar/waw002</w:t>
        </w:r>
      </w:hyperlink>
    </w:p>
    <w:p w14:paraId="7589E758" w14:textId="77777777" w:rsidR="00BE7920" w:rsidRDefault="00803F08">
      <w:pPr>
        <w:pStyle w:val="Standard"/>
        <w:spacing w:after="0" w:line="240" w:lineRule="auto"/>
        <w:ind w:left="720" w:hanging="720"/>
        <w:jc w:val="both"/>
      </w:pPr>
      <w:r>
        <w:rPr>
          <w:rFonts w:ascii="Times New Roman" w:hAnsi="Times New Roman" w:cs="Times New Roman"/>
          <w:sz w:val="24"/>
          <w:szCs w:val="24"/>
        </w:rPr>
        <w:lastRenderedPageBreak/>
        <w:t xml:space="preserve">Caines, V., Ertug, G., &amp; Schleicher, D. J. (2024). Retirement and organizations: Advocating organizational responsibility for retirement in practice and scholarship. </w:t>
      </w:r>
      <w:r>
        <w:rPr>
          <w:rFonts w:ascii="Times New Roman" w:hAnsi="Times New Roman" w:cs="Times New Roman"/>
          <w:i/>
          <w:iCs/>
          <w:sz w:val="24"/>
          <w:szCs w:val="24"/>
        </w:rPr>
        <w:t>Journal of Management, 51</w:t>
      </w:r>
      <w:r>
        <w:rPr>
          <w:rFonts w:ascii="Times New Roman" w:hAnsi="Times New Roman" w:cs="Times New Roman"/>
          <w:sz w:val="24"/>
          <w:szCs w:val="24"/>
        </w:rPr>
        <w:t xml:space="preserve">(2). </w:t>
      </w:r>
      <w:hyperlink r:id="rId10" w:history="1">
        <w:r>
          <w:rPr>
            <w:rFonts w:ascii="Times New Roman" w:hAnsi="Times New Roman" w:cs="Times New Roman"/>
            <w:sz w:val="24"/>
            <w:szCs w:val="24"/>
          </w:rPr>
          <w:t>https://doi.org/10.1177/01492063241303064</w:t>
        </w:r>
      </w:hyperlink>
    </w:p>
    <w:p w14:paraId="467D0152"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Cascio, W. F., &amp; Boudreau, J. W. (2015). </w:t>
      </w:r>
      <w:r>
        <w:rPr>
          <w:rFonts w:ascii="Times New Roman" w:hAnsi="Times New Roman" w:cs="Times New Roman"/>
          <w:i/>
          <w:iCs/>
          <w:sz w:val="24"/>
          <w:szCs w:val="24"/>
        </w:rPr>
        <w:t>Investing in people: Financial impact of human resource initiatives</w:t>
      </w:r>
      <w:r>
        <w:rPr>
          <w:rFonts w:ascii="Times New Roman" w:hAnsi="Times New Roman" w:cs="Times New Roman"/>
          <w:sz w:val="24"/>
          <w:szCs w:val="24"/>
        </w:rPr>
        <w:t xml:space="preserve"> (2nd ed.). Pearson Education.</w:t>
      </w:r>
    </w:p>
    <w:p w14:paraId="44A8856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Denison, D. R., &amp; Mishra, A. K. (2017). Organizational culture and organizational effectiveness: A theory and some preliminary empirical evidence. </w:t>
      </w:r>
      <w:r>
        <w:rPr>
          <w:rFonts w:ascii="Times New Roman" w:hAnsi="Times New Roman" w:cs="Times New Roman"/>
          <w:i/>
          <w:iCs/>
          <w:sz w:val="24"/>
          <w:szCs w:val="24"/>
        </w:rPr>
        <w:t>Academy of Management Annual Meeting Proceedings</w:t>
      </w:r>
      <w:r>
        <w:rPr>
          <w:rFonts w:ascii="Times New Roman" w:hAnsi="Times New Roman" w:cs="Times New Roman"/>
          <w:sz w:val="24"/>
          <w:szCs w:val="24"/>
        </w:rPr>
        <w:t xml:space="preserve">, 13 Dec. </w:t>
      </w:r>
      <w:hyperlink r:id="rId11" w:history="1">
        <w:r>
          <w:rPr>
            <w:rFonts w:ascii="Times New Roman" w:hAnsi="Times New Roman" w:cs="Times New Roman"/>
            <w:color w:val="00000A"/>
            <w:sz w:val="24"/>
            <w:szCs w:val="24"/>
          </w:rPr>
          <w:t>https://doi.org/10.5465/ambpp.1989.4980714</w:t>
        </w:r>
      </w:hyperlink>
    </w:p>
    <w:p w14:paraId="101369E3"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Deepalakshmi, N., Tiwari, D., Baruah, R., Seth, A., &amp; Bisht, R. (2024). Employee engagement and organizational performance: A human resource perspective. </w:t>
      </w:r>
      <w:r>
        <w:rPr>
          <w:rFonts w:ascii="Times New Roman" w:hAnsi="Times New Roman" w:cs="Times New Roman"/>
          <w:i/>
          <w:iCs/>
          <w:sz w:val="24"/>
          <w:szCs w:val="24"/>
        </w:rPr>
        <w:t>Educational Administration Theory and Practice, 30</w:t>
      </w:r>
      <w:r>
        <w:rPr>
          <w:rFonts w:ascii="Times New Roman" w:hAnsi="Times New Roman" w:cs="Times New Roman"/>
          <w:sz w:val="24"/>
          <w:szCs w:val="24"/>
        </w:rPr>
        <w:t>(4), 5941-5948. https://doi.org/10.53555/kuey.v30i4.2323</w:t>
      </w:r>
    </w:p>
    <w:p w14:paraId="53D1E149"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Dessler, G. (2020). </w:t>
      </w:r>
      <w:r>
        <w:rPr>
          <w:rFonts w:ascii="Times New Roman" w:hAnsi="Times New Roman" w:cs="Times New Roman"/>
          <w:i/>
          <w:iCs/>
          <w:sz w:val="24"/>
          <w:szCs w:val="24"/>
        </w:rPr>
        <w:t>Human resource management</w:t>
      </w:r>
      <w:r>
        <w:rPr>
          <w:rFonts w:ascii="Times New Roman" w:hAnsi="Times New Roman" w:cs="Times New Roman"/>
          <w:sz w:val="24"/>
          <w:szCs w:val="24"/>
        </w:rPr>
        <w:t xml:space="preserve"> (16th ed.). Pearson.</w:t>
      </w:r>
    </w:p>
    <w:p w14:paraId="35BC93B9"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Eisenbeiss, S. A., van Knippenberg, D., &amp; Boerner, S. (2008). Transformational leadership and team innovation: Integrating team climate principles. </w:t>
      </w:r>
      <w:r>
        <w:rPr>
          <w:rFonts w:ascii="Times New Roman" w:hAnsi="Times New Roman" w:cs="Times New Roman"/>
          <w:i/>
          <w:iCs/>
          <w:sz w:val="24"/>
          <w:szCs w:val="24"/>
        </w:rPr>
        <w:t>Journal of Applied Psychology, 93</w:t>
      </w:r>
      <w:r>
        <w:rPr>
          <w:rFonts w:ascii="Times New Roman" w:hAnsi="Times New Roman" w:cs="Times New Roman"/>
          <w:sz w:val="24"/>
          <w:szCs w:val="24"/>
        </w:rPr>
        <w:t>(6), 1438-1446. https://doi.org/10.1037/a0012716</w:t>
      </w:r>
    </w:p>
    <w:p w14:paraId="1E7BF0C2" w14:textId="77777777" w:rsidR="00BE7920" w:rsidRDefault="00803F08">
      <w:pPr>
        <w:pStyle w:val="Standard"/>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Errida A, Lotfi B. (2021). The determinants of organizational change management success: Literature review and case study. International Journal of Engineering Business Management. 13. doi:10.1177/18479790211016273</w:t>
      </w:r>
    </w:p>
    <w:p w14:paraId="13D00012" w14:textId="77777777" w:rsidR="00BE7920" w:rsidRPr="00E671A2" w:rsidRDefault="00803F08">
      <w:pPr>
        <w:pStyle w:val="Standard"/>
        <w:spacing w:after="0" w:line="240" w:lineRule="auto"/>
        <w:ind w:left="720" w:hanging="720"/>
        <w:jc w:val="both"/>
        <w:rPr>
          <w:lang w:val="fr-FR"/>
        </w:rPr>
      </w:pPr>
      <w:r>
        <w:rPr>
          <w:rFonts w:ascii="Times New Roman" w:hAnsi="Times New Roman" w:cs="Times New Roman"/>
          <w:sz w:val="24"/>
          <w:szCs w:val="24"/>
        </w:rPr>
        <w:t xml:space="preserve">Fernandez, J. (2022). Three innovative strategies to thrive in a fast-changing world. </w:t>
      </w:r>
      <w:r>
        <w:rPr>
          <w:rFonts w:ascii="Times New Roman" w:hAnsi="Times New Roman" w:cs="Times New Roman"/>
          <w:i/>
          <w:iCs/>
          <w:sz w:val="24"/>
          <w:szCs w:val="24"/>
          <w:lang w:val="pt-BR"/>
        </w:rPr>
        <w:t>Forbes</w:t>
      </w:r>
      <w:r>
        <w:rPr>
          <w:rFonts w:ascii="Times New Roman" w:hAnsi="Times New Roman" w:cs="Times New Roman"/>
          <w:sz w:val="24"/>
          <w:szCs w:val="24"/>
          <w:lang w:val="pt-BR"/>
        </w:rPr>
        <w:t>. https://www.forbes.com/sites/columbiabusinessschool/2022/10/20/three-innovative-strategies-to-thrive-in-a-fast-changing-world/</w:t>
      </w:r>
    </w:p>
    <w:p w14:paraId="2D9F71DB" w14:textId="77777777" w:rsidR="00BE7920" w:rsidRDefault="00803F08">
      <w:pPr>
        <w:pStyle w:val="Standard"/>
        <w:spacing w:after="0" w:line="240" w:lineRule="auto"/>
        <w:ind w:left="720" w:hanging="720"/>
        <w:jc w:val="both"/>
      </w:pPr>
      <w:r>
        <w:rPr>
          <w:rFonts w:ascii="Times New Roman" w:hAnsi="Times New Roman" w:cs="Times New Roman"/>
          <w:sz w:val="24"/>
          <w:szCs w:val="24"/>
          <w:lang w:val="pt-BR"/>
        </w:rPr>
        <w:t xml:space="preserve">Gagné, M., &amp; Deci, E. L. (2005). </w:t>
      </w:r>
      <w:r>
        <w:rPr>
          <w:rFonts w:ascii="Times New Roman" w:hAnsi="Times New Roman" w:cs="Times New Roman"/>
          <w:sz w:val="24"/>
          <w:szCs w:val="24"/>
        </w:rPr>
        <w:t xml:space="preserve">Self-determination theory and work motivation. </w:t>
      </w:r>
      <w:r>
        <w:rPr>
          <w:rFonts w:ascii="Times New Roman" w:hAnsi="Times New Roman" w:cs="Times New Roman"/>
          <w:i/>
          <w:iCs/>
          <w:sz w:val="24"/>
          <w:szCs w:val="24"/>
        </w:rPr>
        <w:t>Journal of Organizational Behavior, 26</w:t>
      </w:r>
      <w:r>
        <w:rPr>
          <w:rFonts w:ascii="Times New Roman" w:hAnsi="Times New Roman" w:cs="Times New Roman"/>
          <w:sz w:val="24"/>
          <w:szCs w:val="24"/>
        </w:rPr>
        <w:t xml:space="preserve">, 331–362. </w:t>
      </w:r>
      <w:hyperlink r:id="rId12" w:history="1">
        <w:r>
          <w:rPr>
            <w:rFonts w:ascii="Times New Roman" w:hAnsi="Times New Roman" w:cs="Times New Roman"/>
            <w:color w:val="00000A"/>
            <w:sz w:val="24"/>
            <w:szCs w:val="24"/>
          </w:rPr>
          <w:t>https://doi.org/10.1002/job.322</w:t>
        </w:r>
      </w:hyperlink>
    </w:p>
    <w:p w14:paraId="58DFA4B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Galan, N. (2023). Knowledge loss induced by organizational member turnover: A review of empirical literature, synthesis, and future research directions (Part I). </w:t>
      </w:r>
      <w:r>
        <w:rPr>
          <w:rFonts w:ascii="Times New Roman" w:hAnsi="Times New Roman" w:cs="Times New Roman"/>
          <w:i/>
          <w:iCs/>
          <w:sz w:val="24"/>
          <w:szCs w:val="24"/>
        </w:rPr>
        <w:t>The Learning Organization, 30</w:t>
      </w:r>
      <w:r>
        <w:rPr>
          <w:rFonts w:ascii="Times New Roman" w:hAnsi="Times New Roman" w:cs="Times New Roman"/>
          <w:sz w:val="24"/>
          <w:szCs w:val="24"/>
        </w:rPr>
        <w:t>(2). https://doi.org/10.1108/TLO-09-2022-0107</w:t>
      </w:r>
    </w:p>
    <w:p w14:paraId="16BDF4BE"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Guzzo, R. A., Nalbantian, H. R., &amp; Anderson, N. L. (2022). Age, experience, and business performance: A meta-analysis of work unit-level effects. </w:t>
      </w:r>
      <w:r>
        <w:rPr>
          <w:rFonts w:ascii="Times New Roman" w:hAnsi="Times New Roman" w:cs="Times New Roman"/>
          <w:i/>
          <w:iCs/>
          <w:sz w:val="24"/>
          <w:szCs w:val="24"/>
        </w:rPr>
        <w:t>Work Aging and Retirement, 8</w:t>
      </w:r>
      <w:r>
        <w:rPr>
          <w:rFonts w:ascii="Times New Roman" w:hAnsi="Times New Roman" w:cs="Times New Roman"/>
          <w:sz w:val="24"/>
          <w:szCs w:val="24"/>
        </w:rPr>
        <w:t>(2), 208-223. https://doi.org/10.1093/workar/waab039</w:t>
      </w:r>
    </w:p>
    <w:p w14:paraId="1062D9B8" w14:textId="77777777" w:rsidR="00BE7920" w:rsidRDefault="00803F08">
      <w:pPr>
        <w:pStyle w:val="Standard"/>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Han, J. (2020). The effects of delayed mandatory retirement on elderly and youth employment, KDI Policy Forum, No. 277, Korea Development Institute (KDI), Sejong, https://doi.org/10.22740/kdi.forum.e.2020.277</w:t>
      </w:r>
    </w:p>
    <w:p w14:paraId="3B472044" w14:textId="77777777" w:rsidR="00BE7920" w:rsidRDefault="00803F08">
      <w:pPr>
        <w:pStyle w:val="Standard"/>
        <w:spacing w:after="0" w:line="240" w:lineRule="auto"/>
        <w:ind w:left="720" w:hanging="720"/>
        <w:jc w:val="both"/>
      </w:pPr>
      <w:r>
        <w:rPr>
          <w:rFonts w:ascii="Times New Roman" w:hAnsi="Times New Roman" w:cs="Times New Roman"/>
          <w:sz w:val="24"/>
          <w:szCs w:val="24"/>
        </w:rPr>
        <w:t>Henkens, K. (2022). Forge Healthy Pathways to Retirement with Employer Practices: A Multilevel Perspective, </w:t>
      </w:r>
      <w:r>
        <w:rPr>
          <w:rFonts w:ascii="Times New Roman" w:hAnsi="Times New Roman" w:cs="Times New Roman"/>
          <w:i/>
          <w:iCs/>
          <w:sz w:val="24"/>
          <w:szCs w:val="24"/>
        </w:rPr>
        <w:t>Work, Aging and Retirement</w:t>
      </w:r>
      <w:r>
        <w:rPr>
          <w:rFonts w:ascii="Times New Roman" w:hAnsi="Times New Roman" w:cs="Times New Roman"/>
          <w:sz w:val="24"/>
          <w:szCs w:val="24"/>
        </w:rPr>
        <w:t>, 8, (1), 1–6, </w:t>
      </w:r>
      <w:hyperlink r:id="rId13" w:history="1">
        <w:r>
          <w:rPr>
            <w:rFonts w:ascii="Times New Roman" w:hAnsi="Times New Roman" w:cs="Times New Roman"/>
            <w:sz w:val="24"/>
            <w:szCs w:val="24"/>
          </w:rPr>
          <w:t>https://doi.org/10.1093/workar/waab016</w:t>
        </w:r>
      </w:hyperlink>
    </w:p>
    <w:p w14:paraId="32ADA1ED" w14:textId="77777777" w:rsidR="00BE7920" w:rsidRDefault="00803F08">
      <w:pPr>
        <w:pStyle w:val="Standard"/>
        <w:spacing w:after="0" w:line="240" w:lineRule="auto"/>
        <w:ind w:left="720" w:hanging="720"/>
        <w:jc w:val="both"/>
      </w:pPr>
      <w:r>
        <w:rPr>
          <w:rFonts w:ascii="Times New Roman" w:hAnsi="Times New Roman" w:cs="Times New Roman"/>
          <w:sz w:val="24"/>
          <w:szCs w:val="24"/>
          <w:lang w:val="pt-BR"/>
        </w:rPr>
        <w:t xml:space="preserve">Henz, J. L., &amp; Oliveira, M. (2024). </w:t>
      </w:r>
      <w:r>
        <w:rPr>
          <w:rFonts w:ascii="Times New Roman" w:hAnsi="Times New Roman" w:cs="Times New Roman"/>
          <w:sz w:val="24"/>
          <w:szCs w:val="24"/>
        </w:rPr>
        <w:t xml:space="preserve">Knowledge management implementation: A systematic literature review. </w:t>
      </w:r>
      <w:r>
        <w:rPr>
          <w:rFonts w:ascii="Times New Roman" w:hAnsi="Times New Roman" w:cs="Times New Roman"/>
          <w:i/>
          <w:iCs/>
          <w:sz w:val="24"/>
          <w:szCs w:val="24"/>
        </w:rPr>
        <w:t>Knowledge and Process Management</w:t>
      </w:r>
      <w:r>
        <w:rPr>
          <w:rFonts w:ascii="Times New Roman" w:hAnsi="Times New Roman" w:cs="Times New Roman"/>
          <w:sz w:val="24"/>
          <w:szCs w:val="24"/>
        </w:rPr>
        <w:t xml:space="preserve">. </w:t>
      </w:r>
      <w:hyperlink r:id="rId14" w:history="1">
        <w:r>
          <w:rPr>
            <w:rFonts w:ascii="Times New Roman" w:hAnsi="Times New Roman" w:cs="Times New Roman"/>
            <w:sz w:val="24"/>
            <w:szCs w:val="24"/>
          </w:rPr>
          <w:t>https://doi.org/10.1002/kpm.1780</w:t>
        </w:r>
      </w:hyperlink>
    </w:p>
    <w:p w14:paraId="4A29D70A"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Hillmann, J., &amp; Guenther, E. (2020). Organizational resilience: A valuable construct for management research? </w:t>
      </w:r>
      <w:r>
        <w:rPr>
          <w:rFonts w:ascii="Times New Roman" w:hAnsi="Times New Roman" w:cs="Times New Roman"/>
          <w:i/>
          <w:iCs/>
          <w:sz w:val="24"/>
          <w:szCs w:val="24"/>
        </w:rPr>
        <w:t>International Journal of Management Reviews</w:t>
      </w:r>
      <w:r>
        <w:rPr>
          <w:rFonts w:ascii="Times New Roman" w:hAnsi="Times New Roman" w:cs="Times New Roman"/>
          <w:sz w:val="24"/>
          <w:szCs w:val="24"/>
        </w:rPr>
        <w:t>. https://doi.org/10.1111/ijmr.12239</w:t>
      </w:r>
    </w:p>
    <w:p w14:paraId="422B8196"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Ivancevich, J. M. (2007). </w:t>
      </w:r>
      <w:r>
        <w:rPr>
          <w:rFonts w:ascii="Times New Roman" w:hAnsi="Times New Roman" w:cs="Times New Roman"/>
          <w:i/>
          <w:iCs/>
          <w:sz w:val="24"/>
          <w:szCs w:val="24"/>
        </w:rPr>
        <w:t>Human resource management</w:t>
      </w:r>
      <w:r>
        <w:rPr>
          <w:rFonts w:ascii="Times New Roman" w:hAnsi="Times New Roman" w:cs="Times New Roman"/>
          <w:sz w:val="24"/>
          <w:szCs w:val="24"/>
        </w:rPr>
        <w:t>. McGraw-Hill Irwin.</w:t>
      </w:r>
    </w:p>
    <w:p w14:paraId="1A172100"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Jacobsen, J. P. (2004). </w:t>
      </w:r>
      <w:r>
        <w:rPr>
          <w:rFonts w:ascii="Times New Roman" w:hAnsi="Times New Roman" w:cs="Times New Roman"/>
          <w:i/>
          <w:iCs/>
          <w:sz w:val="24"/>
          <w:szCs w:val="24"/>
        </w:rPr>
        <w:t>Labor markets and employment relationships: A comprehensive approach</w:t>
      </w:r>
      <w:r>
        <w:rPr>
          <w:rFonts w:ascii="Times New Roman" w:hAnsi="Times New Roman" w:cs="Times New Roman"/>
          <w:sz w:val="24"/>
          <w:szCs w:val="24"/>
        </w:rPr>
        <w:t>. Blackwell Publishing.</w:t>
      </w:r>
    </w:p>
    <w:p w14:paraId="0459B7BF"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Jiang, K., Lepak, D. P., Hu, J., &amp; Baer, J. C. (2012). How does human resource management influence organizational outcomes? A meta-analytic investigation of mediating mechanisms. </w:t>
      </w:r>
      <w:r>
        <w:rPr>
          <w:rFonts w:ascii="Times New Roman" w:hAnsi="Times New Roman" w:cs="Times New Roman"/>
          <w:i/>
          <w:iCs/>
          <w:sz w:val="24"/>
          <w:szCs w:val="24"/>
        </w:rPr>
        <w:t>Academy of Management Journal, 55</w:t>
      </w:r>
      <w:r>
        <w:rPr>
          <w:rFonts w:ascii="Times New Roman" w:hAnsi="Times New Roman" w:cs="Times New Roman"/>
          <w:sz w:val="24"/>
          <w:szCs w:val="24"/>
        </w:rPr>
        <w:t>(6), 1264-1294. https://doi.org/10.5465/amj.2011.0088</w:t>
      </w:r>
    </w:p>
    <w:p w14:paraId="00EADD74" w14:textId="77777777" w:rsidR="00BE7920" w:rsidRDefault="00803F08">
      <w:pPr>
        <w:pStyle w:val="Standard"/>
        <w:spacing w:after="0" w:line="240" w:lineRule="auto"/>
        <w:ind w:left="720" w:hanging="720"/>
        <w:jc w:val="both"/>
      </w:pPr>
      <w:r>
        <w:rPr>
          <w:rFonts w:ascii="Times New Roman" w:hAnsi="Times New Roman" w:cs="Times New Roman"/>
          <w:sz w:val="24"/>
          <w:szCs w:val="24"/>
        </w:rPr>
        <w:lastRenderedPageBreak/>
        <w:t xml:space="preserve">Khan, U. (2021). Effect of employee retention on organizational performance. </w:t>
      </w:r>
      <w:r>
        <w:rPr>
          <w:rFonts w:ascii="Times New Roman" w:hAnsi="Times New Roman" w:cs="Times New Roman"/>
          <w:i/>
          <w:iCs/>
          <w:sz w:val="24"/>
          <w:szCs w:val="24"/>
        </w:rPr>
        <w:t>Journal of Entrepreneurship Management and Innovation, 2</w:t>
      </w:r>
      <w:r>
        <w:rPr>
          <w:rFonts w:ascii="Times New Roman" w:hAnsi="Times New Roman" w:cs="Times New Roman"/>
          <w:sz w:val="24"/>
          <w:szCs w:val="24"/>
        </w:rPr>
        <w:t>(1), 52-66. https://doi.org/10.52633/jemi.v2i1.47</w:t>
      </w:r>
    </w:p>
    <w:p w14:paraId="4D3E4E0F"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Kanter, R. M. (2015). </w:t>
      </w:r>
      <w:r>
        <w:rPr>
          <w:rFonts w:ascii="Times New Roman" w:hAnsi="Times New Roman" w:cs="Times New Roman"/>
          <w:i/>
          <w:iCs/>
          <w:sz w:val="24"/>
          <w:szCs w:val="24"/>
        </w:rPr>
        <w:t>More: Putting America's infrastructure back in the lead</w:t>
      </w:r>
      <w:r>
        <w:rPr>
          <w:rFonts w:ascii="Times New Roman" w:hAnsi="Times New Roman" w:cs="Times New Roman"/>
          <w:sz w:val="24"/>
          <w:szCs w:val="24"/>
        </w:rPr>
        <w:t>. W. W. Norton &amp; Company.Harvard Business School Faculty Page. https://www.hbs.edu/faculty/Pages/profile.aspx?facId=6537.</w:t>
      </w:r>
    </w:p>
    <w:p w14:paraId="6A4561A6"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Kaplan, R. S., &amp; Norton, D. P. (1996). </w:t>
      </w:r>
      <w:r>
        <w:rPr>
          <w:rFonts w:ascii="Times New Roman" w:hAnsi="Times New Roman" w:cs="Times New Roman"/>
          <w:i/>
          <w:iCs/>
          <w:sz w:val="24"/>
          <w:szCs w:val="24"/>
        </w:rPr>
        <w:t>The balanced scorecard: Translating strategy into action</w:t>
      </w:r>
      <w:r>
        <w:rPr>
          <w:rFonts w:ascii="Times New Roman" w:hAnsi="Times New Roman" w:cs="Times New Roman"/>
          <w:sz w:val="24"/>
          <w:szCs w:val="24"/>
        </w:rPr>
        <w:t xml:space="preserve">. Harvard Business School Press. </w:t>
      </w:r>
      <w:hyperlink r:id="rId15" w:history="1">
        <w:r>
          <w:rPr>
            <w:rFonts w:ascii="Times New Roman" w:hAnsi="Times New Roman" w:cs="Times New Roman"/>
            <w:sz w:val="24"/>
            <w:szCs w:val="24"/>
          </w:rPr>
          <w:t>https://www.hbs.edu/faculty/Pages/item.aspx?num=8831</w:t>
        </w:r>
      </w:hyperlink>
    </w:p>
    <w:p w14:paraId="02C01E8F"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Kehinde, S., Simon-Ilogho, B., Kehinde, K., Ilogho, S., &amp; Kehinde, T. B. (2025). Analyzing the relationship between retirement benefits, worker safety, and their combined impact on sales volume and profitability in the manufacturing sector. </w:t>
      </w:r>
      <w:r>
        <w:rPr>
          <w:rFonts w:ascii="Times New Roman" w:hAnsi="Times New Roman" w:cs="Times New Roman"/>
          <w:i/>
          <w:iCs/>
          <w:sz w:val="24"/>
          <w:szCs w:val="24"/>
        </w:rPr>
        <w:t>Asian Journal of Management Entrepreneurship and Social Science, 5</w:t>
      </w:r>
      <w:r>
        <w:rPr>
          <w:rFonts w:ascii="Times New Roman" w:hAnsi="Times New Roman" w:cs="Times New Roman"/>
          <w:sz w:val="24"/>
          <w:szCs w:val="24"/>
        </w:rPr>
        <w:t>(1). https://ajmesc.com/index.php/ajmesc/article/view/123</w:t>
      </w:r>
    </w:p>
    <w:p w14:paraId="1F611417"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Kolyasnikov, M. S., &amp; Kelchevskaya, N. R. (2020). Knowledge management strategies in companies: Trends and the impact of Industry 4.0. </w:t>
      </w:r>
      <w:r>
        <w:rPr>
          <w:rFonts w:ascii="Times New Roman" w:hAnsi="Times New Roman" w:cs="Times New Roman"/>
          <w:i/>
          <w:iCs/>
          <w:sz w:val="24"/>
          <w:szCs w:val="24"/>
        </w:rPr>
        <w:t>Upravlenets, 11</w:t>
      </w:r>
      <w:r>
        <w:rPr>
          <w:rFonts w:ascii="Times New Roman" w:hAnsi="Times New Roman" w:cs="Times New Roman"/>
          <w:sz w:val="24"/>
          <w:szCs w:val="24"/>
        </w:rPr>
        <w:t xml:space="preserve">(4), 82–96. </w:t>
      </w:r>
      <w:hyperlink r:id="rId16" w:history="1">
        <w:r>
          <w:rPr>
            <w:rFonts w:ascii="Times New Roman" w:hAnsi="Times New Roman" w:cs="Times New Roman"/>
            <w:sz w:val="24"/>
            <w:szCs w:val="24"/>
          </w:rPr>
          <w:t>https://doi.org/10.29141/2218-5003-2020-11-4-7</w:t>
        </w:r>
      </w:hyperlink>
    </w:p>
    <w:p w14:paraId="6A4C7C6A"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Ko, Y. J., &amp; Choi, J. N. (2023). Collective turnover and firm innovation: Knowledge-sharing system as a contingency. </w:t>
      </w:r>
      <w:r>
        <w:rPr>
          <w:rFonts w:ascii="Times New Roman" w:hAnsi="Times New Roman" w:cs="Times New Roman"/>
          <w:i/>
          <w:iCs/>
          <w:sz w:val="24"/>
          <w:szCs w:val="24"/>
        </w:rPr>
        <w:t>Journal of Product Innovation Management</w:t>
      </w:r>
      <w:r>
        <w:rPr>
          <w:rFonts w:ascii="Times New Roman" w:hAnsi="Times New Roman" w:cs="Times New Roman"/>
          <w:sz w:val="24"/>
          <w:szCs w:val="24"/>
        </w:rPr>
        <w:t xml:space="preserve">. </w:t>
      </w:r>
      <w:hyperlink r:id="rId17" w:history="1">
        <w:r>
          <w:rPr>
            <w:rFonts w:ascii="Times New Roman" w:hAnsi="Times New Roman" w:cs="Times New Roman"/>
            <w:sz w:val="24"/>
            <w:szCs w:val="24"/>
          </w:rPr>
          <w:t>https://doi.org/10.1111/jpim.12684</w:t>
        </w:r>
      </w:hyperlink>
    </w:p>
    <w:p w14:paraId="134DD8F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Kotter, J. P. (2012). </w:t>
      </w:r>
      <w:r>
        <w:rPr>
          <w:rFonts w:ascii="Times New Roman" w:hAnsi="Times New Roman" w:cs="Times New Roman"/>
          <w:i/>
          <w:iCs/>
          <w:sz w:val="24"/>
          <w:szCs w:val="24"/>
        </w:rPr>
        <w:t>Leading Change</w:t>
      </w:r>
      <w:r>
        <w:rPr>
          <w:rFonts w:ascii="Times New Roman" w:hAnsi="Times New Roman" w:cs="Times New Roman"/>
          <w:sz w:val="24"/>
          <w:szCs w:val="24"/>
        </w:rPr>
        <w:t>. Harvard Business Review Press.</w:t>
      </w:r>
    </w:p>
    <w:p w14:paraId="2C89F34C" w14:textId="77777777" w:rsidR="00BE7920" w:rsidRDefault="00803F08">
      <w:pPr>
        <w:pStyle w:val="Standard"/>
        <w:spacing w:after="0" w:line="240" w:lineRule="auto"/>
        <w:ind w:left="720" w:hanging="720"/>
        <w:jc w:val="both"/>
      </w:pPr>
      <w:r>
        <w:rPr>
          <w:rFonts w:ascii="Times New Roman" w:hAnsi="Times New Roman" w:cs="Times New Roman"/>
          <w:sz w:val="24"/>
          <w:szCs w:val="24"/>
          <w:lang w:val="pt-BR"/>
        </w:rPr>
        <w:t xml:space="preserve">Li, W., Bhutto, T. A., Nasiri, A. R., Ali, F., &amp; Ahmed, T. A. (2017). </w:t>
      </w:r>
      <w:r>
        <w:rPr>
          <w:rFonts w:ascii="Times New Roman" w:hAnsi="Times New Roman" w:cs="Times New Roman"/>
          <w:sz w:val="24"/>
          <w:szCs w:val="24"/>
        </w:rPr>
        <w:t xml:space="preserve">Organizational innovation: The role of leadership and organizational culture. </w:t>
      </w:r>
      <w:r>
        <w:rPr>
          <w:rFonts w:ascii="Times New Roman" w:hAnsi="Times New Roman" w:cs="Times New Roman"/>
          <w:i/>
          <w:iCs/>
          <w:sz w:val="24"/>
          <w:szCs w:val="24"/>
        </w:rPr>
        <w:t>International Journal of Public Leadership, 14</w:t>
      </w:r>
      <w:r>
        <w:rPr>
          <w:rFonts w:ascii="Times New Roman" w:hAnsi="Times New Roman" w:cs="Times New Roman"/>
          <w:sz w:val="24"/>
          <w:szCs w:val="24"/>
        </w:rPr>
        <w:t xml:space="preserve">(4). </w:t>
      </w:r>
      <w:hyperlink r:id="rId18" w:history="1">
        <w:r>
          <w:rPr>
            <w:rFonts w:ascii="Times New Roman" w:hAnsi="Times New Roman" w:cs="Times New Roman"/>
            <w:sz w:val="24"/>
            <w:szCs w:val="24"/>
          </w:rPr>
          <w:t>https://doi.org/10.1108/IJPL-06-2017-0026</w:t>
        </w:r>
      </w:hyperlink>
    </w:p>
    <w:p w14:paraId="4347637B"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Mallik, A., Mallik, L., &amp; Ds, K. (2019). Impact of employee morale on organizational success. </w:t>
      </w:r>
      <w:r>
        <w:rPr>
          <w:rFonts w:ascii="Times New Roman" w:hAnsi="Times New Roman" w:cs="Times New Roman"/>
          <w:i/>
          <w:iCs/>
          <w:sz w:val="24"/>
          <w:szCs w:val="24"/>
        </w:rPr>
        <w:t>International Journal of Recent Technology and Engineering (IJRTE), 8</w:t>
      </w:r>
      <w:r>
        <w:rPr>
          <w:rFonts w:ascii="Times New Roman" w:hAnsi="Times New Roman" w:cs="Times New Roman"/>
          <w:sz w:val="24"/>
          <w:szCs w:val="24"/>
        </w:rPr>
        <w:t>(4), 3289–3293. https://doi.org/10.35940/ijrte.D8070.118419</w:t>
      </w:r>
    </w:p>
    <w:p w14:paraId="24C03A5B" w14:textId="77777777" w:rsidR="00BE7920" w:rsidRDefault="00803F08">
      <w:pPr>
        <w:pStyle w:val="Standard"/>
        <w:spacing w:after="0" w:line="240" w:lineRule="auto"/>
        <w:ind w:left="720" w:hanging="720"/>
        <w:jc w:val="both"/>
      </w:pPr>
      <w:proofErr w:type="spellStart"/>
      <w:r w:rsidRPr="00E671A2">
        <w:rPr>
          <w:rFonts w:ascii="Times New Roman" w:hAnsi="Times New Roman" w:cs="Times New Roman"/>
          <w:sz w:val="24"/>
          <w:szCs w:val="24"/>
          <w:lang w:val="fr-FR"/>
        </w:rPr>
        <w:t>Mazzetti</w:t>
      </w:r>
      <w:proofErr w:type="spellEnd"/>
      <w:r w:rsidRPr="00E671A2">
        <w:rPr>
          <w:rFonts w:ascii="Times New Roman" w:hAnsi="Times New Roman" w:cs="Times New Roman"/>
          <w:sz w:val="24"/>
          <w:szCs w:val="24"/>
          <w:lang w:val="fr-FR"/>
        </w:rPr>
        <w:t xml:space="preserve">, G., &amp; </w:t>
      </w:r>
      <w:proofErr w:type="spellStart"/>
      <w:r w:rsidRPr="00E671A2">
        <w:rPr>
          <w:rFonts w:ascii="Times New Roman" w:hAnsi="Times New Roman" w:cs="Times New Roman"/>
          <w:sz w:val="24"/>
          <w:szCs w:val="24"/>
          <w:lang w:val="fr-FR"/>
        </w:rPr>
        <w:t>Schaufeli</w:t>
      </w:r>
      <w:proofErr w:type="spellEnd"/>
      <w:r w:rsidRPr="00E671A2">
        <w:rPr>
          <w:rFonts w:ascii="Times New Roman" w:hAnsi="Times New Roman" w:cs="Times New Roman"/>
          <w:sz w:val="24"/>
          <w:szCs w:val="24"/>
          <w:lang w:val="fr-FR"/>
        </w:rPr>
        <w:t xml:space="preserve">, W. B. (2022). </w:t>
      </w:r>
      <w:r>
        <w:rPr>
          <w:rFonts w:ascii="Times New Roman" w:hAnsi="Times New Roman" w:cs="Times New Roman"/>
          <w:i/>
          <w:iCs/>
          <w:sz w:val="24"/>
          <w:szCs w:val="24"/>
        </w:rPr>
        <w:t>The impact of engaging leadership on employee engagement and team effectiveness: A longitudinal, multi-level study on the mediating role of personal- and team resources</w:t>
      </w:r>
      <w:r>
        <w:rPr>
          <w:rFonts w:ascii="Times New Roman" w:hAnsi="Times New Roman" w:cs="Times New Roman"/>
          <w:sz w:val="24"/>
          <w:szCs w:val="24"/>
        </w:rPr>
        <w:t xml:space="preserve">. PLOS ONE. </w:t>
      </w:r>
      <w:hyperlink r:id="rId19" w:history="1">
        <w:r>
          <w:rPr>
            <w:rFonts w:ascii="Times New Roman" w:hAnsi="Times New Roman" w:cs="Times New Roman"/>
            <w:sz w:val="24"/>
            <w:szCs w:val="24"/>
          </w:rPr>
          <w:t>https://doi.org/10.1371/journal.pone.0269433</w:t>
        </w:r>
      </w:hyperlink>
    </w:p>
    <w:p w14:paraId="7D8B7246"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Mohd Talib, N. F., &amp; Abdul Manaf, H. (2017). Attitude towards retirement planning behaviour among employees. </w:t>
      </w:r>
      <w:r>
        <w:rPr>
          <w:rFonts w:ascii="Times New Roman" w:hAnsi="Times New Roman" w:cs="Times New Roman"/>
          <w:i/>
          <w:iCs/>
          <w:sz w:val="24"/>
          <w:szCs w:val="24"/>
        </w:rPr>
        <w:t>Journal of Business and Management, 1</w:t>
      </w:r>
      <w:r>
        <w:rPr>
          <w:rFonts w:ascii="Times New Roman" w:hAnsi="Times New Roman" w:cs="Times New Roman"/>
          <w:sz w:val="24"/>
          <w:szCs w:val="24"/>
        </w:rPr>
        <w:t xml:space="preserve">(1), 15-21. </w:t>
      </w:r>
      <w:hyperlink r:id="rId20" w:history="1">
        <w:r>
          <w:rPr>
            <w:rFonts w:ascii="Times New Roman" w:hAnsi="Times New Roman" w:cs="Times New Roman"/>
            <w:sz w:val="24"/>
            <w:szCs w:val="24"/>
          </w:rPr>
          <w:t>http://www.ijbmjournal.com/uploads/2/6/8/1/26810285/nurul__15-21_.pdf</w:t>
        </w:r>
      </w:hyperlink>
    </w:p>
    <w:p w14:paraId="69ABD0A0"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Mubarak, M. F., Jucevicius, G., Shabbir, M., Petraite, M., Ghobakhloo, M., &amp; Evans, R. (2025). Strategic foresight, knowledge management, and open innovation: Drivers of new product development success. </w:t>
      </w:r>
      <w:r>
        <w:rPr>
          <w:rFonts w:ascii="Times New Roman" w:hAnsi="Times New Roman" w:cs="Times New Roman"/>
          <w:i/>
          <w:iCs/>
          <w:sz w:val="24"/>
          <w:szCs w:val="24"/>
        </w:rPr>
        <w:t>Journal of Innovation &amp; Knowledge, 10</w:t>
      </w:r>
      <w:r>
        <w:rPr>
          <w:rFonts w:ascii="Times New Roman" w:hAnsi="Times New Roman" w:cs="Times New Roman"/>
          <w:sz w:val="24"/>
          <w:szCs w:val="24"/>
        </w:rPr>
        <w:t xml:space="preserve">(2), 100654. </w:t>
      </w:r>
      <w:hyperlink r:id="rId21" w:history="1">
        <w:r>
          <w:rPr>
            <w:rFonts w:ascii="Times New Roman" w:hAnsi="Times New Roman" w:cs="Times New Roman"/>
            <w:color w:val="00000A"/>
            <w:sz w:val="24"/>
            <w:szCs w:val="24"/>
          </w:rPr>
          <w:t>https://doi.org/10.1016/j.jik.2025.100654</w:t>
        </w:r>
      </w:hyperlink>
    </w:p>
    <w:p w14:paraId="7F6F8B39"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Mustafa </w:t>
      </w:r>
      <w:proofErr w:type="spellStart"/>
      <w:r>
        <w:rPr>
          <w:rFonts w:ascii="Times New Roman" w:hAnsi="Times New Roman" w:cs="Times New Roman"/>
          <w:sz w:val="24"/>
          <w:szCs w:val="24"/>
        </w:rPr>
        <w:t>Sadiku</w:t>
      </w:r>
      <w:proofErr w:type="spellEnd"/>
      <w:r>
        <w:rPr>
          <w:rFonts w:ascii="Times New Roman" w:hAnsi="Times New Roman" w:cs="Times New Roman"/>
          <w:sz w:val="24"/>
          <w:szCs w:val="24"/>
        </w:rPr>
        <w:t xml:space="preserve">, K. (2022). External factors and their impact on enterprise strategic management – A literature review. </w:t>
      </w:r>
      <w:r>
        <w:rPr>
          <w:rFonts w:ascii="Times New Roman" w:hAnsi="Times New Roman" w:cs="Times New Roman"/>
          <w:i/>
          <w:iCs/>
          <w:sz w:val="24"/>
          <w:szCs w:val="24"/>
        </w:rPr>
        <w:t>European Journal of Human Resource Management Studies, 6</w:t>
      </w:r>
      <w:r>
        <w:rPr>
          <w:rFonts w:ascii="Times New Roman" w:hAnsi="Times New Roman" w:cs="Times New Roman"/>
          <w:sz w:val="24"/>
          <w:szCs w:val="24"/>
        </w:rPr>
        <w:t>(1). https://doi.org/10.46827/ejhrms.v6i1.1291</w:t>
      </w:r>
    </w:p>
    <w:p w14:paraId="753D08A2"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Nagaprakash, T., Kishore, P., &amp; Kayathiri, M. (2023). Effect of financial literacy on retirement planning. </w:t>
      </w:r>
      <w:r>
        <w:rPr>
          <w:rFonts w:ascii="Times New Roman" w:hAnsi="Times New Roman" w:cs="Times New Roman"/>
          <w:i/>
          <w:iCs/>
          <w:sz w:val="24"/>
          <w:szCs w:val="24"/>
        </w:rPr>
        <w:t>Rabindra Bharati Journal of Philosophy, 31</w:t>
      </w:r>
      <w:r>
        <w:rPr>
          <w:rFonts w:ascii="Times New Roman" w:hAnsi="Times New Roman" w:cs="Times New Roman"/>
          <w:sz w:val="24"/>
          <w:szCs w:val="24"/>
        </w:rPr>
        <w:t xml:space="preserve">(15), 39. </w:t>
      </w:r>
      <w:hyperlink r:id="rId22" w:history="1">
        <w:r>
          <w:rPr>
            <w:rFonts w:ascii="Times New Roman" w:hAnsi="Times New Roman" w:cs="Times New Roman"/>
            <w:sz w:val="24"/>
            <w:szCs w:val="24"/>
          </w:rPr>
          <w:t>https://www.researchgate.net/publication/372956992_EFFECT_OF_FINANCIAL_LITERACY_ON_RETIREMENT_PLANNING</w:t>
        </w:r>
      </w:hyperlink>
    </w:p>
    <w:p w14:paraId="418123AA"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Nonaka, I., &amp; Takeuchi, H. (1995). </w:t>
      </w:r>
      <w:r>
        <w:rPr>
          <w:rFonts w:ascii="Times New Roman" w:hAnsi="Times New Roman" w:cs="Times New Roman"/>
          <w:i/>
          <w:iCs/>
          <w:sz w:val="24"/>
          <w:szCs w:val="24"/>
        </w:rPr>
        <w:t>The knowledge-creating company: How Japanese companies create the dynamics of innovation</w:t>
      </w:r>
      <w:r>
        <w:rPr>
          <w:rFonts w:ascii="Times New Roman" w:hAnsi="Times New Roman" w:cs="Times New Roman"/>
          <w:sz w:val="24"/>
          <w:szCs w:val="24"/>
        </w:rPr>
        <w:t xml:space="preserve"> (online ed.). Oxford Academic. </w:t>
      </w:r>
      <w:hyperlink r:id="rId23" w:history="1">
        <w:r>
          <w:rPr>
            <w:rFonts w:ascii="Times New Roman" w:hAnsi="Times New Roman" w:cs="Times New Roman"/>
            <w:color w:val="00000A"/>
            <w:sz w:val="24"/>
            <w:szCs w:val="24"/>
          </w:rPr>
          <w:t>https://doi.org/10.1093/oso/9780195092691.001.0001</w:t>
        </w:r>
      </w:hyperlink>
    </w:p>
    <w:p w14:paraId="1242117E" w14:textId="77777777" w:rsidR="00BE7920" w:rsidRDefault="00803F08">
      <w:pPr>
        <w:pStyle w:val="Standard"/>
        <w:spacing w:after="0" w:line="240" w:lineRule="auto"/>
        <w:ind w:left="720" w:hanging="720"/>
        <w:jc w:val="both"/>
      </w:pPr>
      <w:r>
        <w:rPr>
          <w:rFonts w:ascii="Times New Roman" w:hAnsi="Times New Roman" w:cs="Times New Roman"/>
          <w:sz w:val="24"/>
          <w:szCs w:val="24"/>
        </w:rPr>
        <w:lastRenderedPageBreak/>
        <w:t xml:space="preserve">Nyaberi, D. N., &amp; Kiriago, A. N. (2013). Effects of retrenchment on the morale and job security of surviving employees of Telkom Kenya Limited. </w:t>
      </w:r>
      <w:r>
        <w:rPr>
          <w:rFonts w:ascii="Times New Roman" w:hAnsi="Times New Roman" w:cs="Times New Roman"/>
          <w:i/>
          <w:iCs/>
          <w:sz w:val="24"/>
          <w:szCs w:val="24"/>
        </w:rPr>
        <w:t>International Journal of Academic Research in Business and Social Sciences, 3</w:t>
      </w:r>
      <w:r>
        <w:rPr>
          <w:rFonts w:ascii="Times New Roman" w:hAnsi="Times New Roman" w:cs="Times New Roman"/>
          <w:sz w:val="24"/>
          <w:szCs w:val="24"/>
        </w:rPr>
        <w:t>(9), 16. https://doi.org/10.6007/IJARBSS/v3-i9/186</w:t>
      </w:r>
    </w:p>
    <w:p w14:paraId="0BA5D55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Opatha, H. H. D. N. P. (2022). </w:t>
      </w:r>
      <w:r>
        <w:rPr>
          <w:rFonts w:ascii="Times New Roman" w:hAnsi="Times New Roman" w:cs="Times New Roman"/>
          <w:i/>
          <w:iCs/>
          <w:sz w:val="24"/>
          <w:szCs w:val="24"/>
        </w:rPr>
        <w:t>The retirement age: An informative analysis</w:t>
      </w:r>
      <w:r>
        <w:rPr>
          <w:rFonts w:ascii="Times New Roman" w:hAnsi="Times New Roman" w:cs="Times New Roman"/>
          <w:sz w:val="24"/>
          <w:szCs w:val="24"/>
        </w:rPr>
        <w:t xml:space="preserve">. </w:t>
      </w:r>
      <w:r>
        <w:rPr>
          <w:rFonts w:ascii="Times New Roman" w:hAnsi="Times New Roman" w:cs="Times New Roman"/>
          <w:i/>
          <w:iCs/>
          <w:sz w:val="24"/>
          <w:szCs w:val="24"/>
        </w:rPr>
        <w:t>Sri Lankan Journal of Human Resource Management, 12</w:t>
      </w:r>
      <w:r>
        <w:rPr>
          <w:rFonts w:ascii="Times New Roman" w:hAnsi="Times New Roman" w:cs="Times New Roman"/>
          <w:sz w:val="24"/>
          <w:szCs w:val="24"/>
        </w:rPr>
        <w:t xml:space="preserve">(1), 39-53. </w:t>
      </w:r>
      <w:hyperlink r:id="rId24" w:history="1">
        <w:r>
          <w:rPr>
            <w:rFonts w:ascii="Times New Roman" w:hAnsi="Times New Roman" w:cs="Times New Roman"/>
            <w:sz w:val="24"/>
            <w:szCs w:val="24"/>
          </w:rPr>
          <w:t>https://doi.org/10.4038/sljhrm.v12i1.5679</w:t>
        </w:r>
      </w:hyperlink>
    </w:p>
    <w:p w14:paraId="73F6E1F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Oranga, J. (2023). Tacit knowledge transfer and sharing: Characteristics and benefits of tacit &amp; explicit knowledge. </w:t>
      </w:r>
      <w:r>
        <w:rPr>
          <w:rFonts w:ascii="Times New Roman" w:hAnsi="Times New Roman" w:cs="Times New Roman"/>
          <w:i/>
          <w:iCs/>
          <w:sz w:val="24"/>
          <w:szCs w:val="24"/>
        </w:rPr>
        <w:t>Journal of Accounting Research, Utility Finance and Digital Assets, 2</w:t>
      </w:r>
      <w:r>
        <w:rPr>
          <w:rFonts w:ascii="Times New Roman" w:hAnsi="Times New Roman" w:cs="Times New Roman"/>
          <w:sz w:val="24"/>
          <w:szCs w:val="24"/>
        </w:rPr>
        <w:t>(2), 736–740. https://doi.org/10.54443/jaruda.v2i2.103</w:t>
      </w:r>
    </w:p>
    <w:p w14:paraId="6146CB3E"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Ratnasari, A., Kahpi, H. S., &amp; Wulandari, S. S. (2023). The role of knowledge management: Organizational culture and leadership in shaping competitive advantage. </w:t>
      </w:r>
      <w:r>
        <w:rPr>
          <w:rFonts w:ascii="Times New Roman" w:hAnsi="Times New Roman" w:cs="Times New Roman"/>
          <w:i/>
          <w:iCs/>
          <w:sz w:val="24"/>
          <w:szCs w:val="24"/>
        </w:rPr>
        <w:t>Journal of Economics, Finance and Management Studies, 6</w:t>
      </w:r>
      <w:r>
        <w:rPr>
          <w:rFonts w:ascii="Times New Roman" w:hAnsi="Times New Roman" w:cs="Times New Roman"/>
          <w:sz w:val="24"/>
          <w:szCs w:val="24"/>
        </w:rPr>
        <w:t xml:space="preserve">(7). </w:t>
      </w:r>
      <w:hyperlink r:id="rId25" w:history="1">
        <w:r>
          <w:rPr>
            <w:rFonts w:ascii="Times New Roman" w:hAnsi="Times New Roman" w:cs="Times New Roman"/>
            <w:sz w:val="24"/>
            <w:szCs w:val="24"/>
          </w:rPr>
          <w:t>https://doi.org/10.47191/jefms/v6-i7-46</w:t>
        </w:r>
      </w:hyperlink>
    </w:p>
    <w:p w14:paraId="73EFEA8D"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Satata, D. B. M. (2021). Employee engagement as an effort to improve work performance: Literature review. </w:t>
      </w:r>
      <w:r>
        <w:rPr>
          <w:rFonts w:ascii="Times New Roman" w:hAnsi="Times New Roman" w:cs="Times New Roman"/>
          <w:i/>
          <w:iCs/>
          <w:sz w:val="24"/>
          <w:szCs w:val="24"/>
        </w:rPr>
        <w:t>International Journal of Social Sciences, 2</w:t>
      </w:r>
      <w:r>
        <w:rPr>
          <w:rFonts w:ascii="Times New Roman" w:hAnsi="Times New Roman" w:cs="Times New Roman"/>
          <w:sz w:val="24"/>
          <w:szCs w:val="24"/>
        </w:rPr>
        <w:t>(1), 41-49. https://doi.org/10.52728/ijss.v2i1.152</w:t>
      </w:r>
    </w:p>
    <w:p w14:paraId="56062C0A"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Saks, A. M., &amp; Gruman, J. A. (2014). What do we really know about employee engagement? </w:t>
      </w:r>
      <w:r>
        <w:rPr>
          <w:rFonts w:ascii="Times New Roman" w:hAnsi="Times New Roman" w:cs="Times New Roman"/>
          <w:i/>
          <w:iCs/>
          <w:sz w:val="24"/>
          <w:szCs w:val="24"/>
        </w:rPr>
        <w:t>Human Resource Development Quarterly</w:t>
      </w:r>
      <w:r>
        <w:rPr>
          <w:rFonts w:ascii="Times New Roman" w:hAnsi="Times New Roman" w:cs="Times New Roman"/>
          <w:sz w:val="24"/>
          <w:szCs w:val="24"/>
        </w:rPr>
        <w:t>, 25(2), 155–182. https://doi.org/10.1002/hrdq.21187</w:t>
      </w:r>
    </w:p>
    <w:p w14:paraId="45D46F8C"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Sajjadiani, S., Kammeyer-Mueller, J. D., &amp; Benson, A. (2023). Who is leaving and why? The dynamics of high-quality human capital outflows. </w:t>
      </w:r>
      <w:r>
        <w:rPr>
          <w:rFonts w:ascii="Times New Roman" w:hAnsi="Times New Roman" w:cs="Times New Roman"/>
          <w:i/>
          <w:iCs/>
          <w:sz w:val="24"/>
          <w:szCs w:val="24"/>
        </w:rPr>
        <w:t>Academy of Management Journal, 66</w:t>
      </w:r>
      <w:r>
        <w:rPr>
          <w:rFonts w:ascii="Times New Roman" w:hAnsi="Times New Roman" w:cs="Times New Roman"/>
          <w:sz w:val="24"/>
          <w:szCs w:val="24"/>
        </w:rPr>
        <w:t>(6). https://doi.org/10.5465/amj.2021.1327</w:t>
      </w:r>
    </w:p>
    <w:p w14:paraId="01C827A1"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Schein, E. H., &amp; Schein, P. A. (2016). </w:t>
      </w:r>
      <w:r>
        <w:rPr>
          <w:rFonts w:ascii="Times New Roman" w:hAnsi="Times New Roman" w:cs="Times New Roman"/>
          <w:i/>
          <w:iCs/>
          <w:sz w:val="24"/>
          <w:szCs w:val="24"/>
        </w:rPr>
        <w:t>Organizational culture and leadership</w:t>
      </w:r>
      <w:r>
        <w:rPr>
          <w:rFonts w:ascii="Times New Roman" w:hAnsi="Times New Roman" w:cs="Times New Roman"/>
          <w:sz w:val="24"/>
          <w:szCs w:val="24"/>
        </w:rPr>
        <w:t xml:space="preserve"> (5th ed.). Wiley. ISBN: 978-1-119-21204-1.</w:t>
      </w:r>
    </w:p>
    <w:p w14:paraId="76A4EFD3"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Schein, E. H. (2010). </w:t>
      </w:r>
      <w:r>
        <w:rPr>
          <w:rFonts w:ascii="Times New Roman" w:hAnsi="Times New Roman" w:cs="Times New Roman"/>
          <w:i/>
          <w:iCs/>
          <w:sz w:val="24"/>
          <w:szCs w:val="24"/>
        </w:rPr>
        <w:t>Organizational Culture and Leadership</w:t>
      </w:r>
      <w:r>
        <w:rPr>
          <w:rFonts w:ascii="Times New Roman" w:hAnsi="Times New Roman" w:cs="Times New Roman"/>
          <w:sz w:val="24"/>
          <w:szCs w:val="24"/>
        </w:rPr>
        <w:t xml:space="preserve"> (4th ed.). Jossey-Bass.</w:t>
      </w:r>
    </w:p>
    <w:p w14:paraId="30917588"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Schultz, T. W. (1961). Investment in Human Capital. </w:t>
      </w:r>
      <w:r>
        <w:rPr>
          <w:rFonts w:ascii="Times New Roman" w:hAnsi="Times New Roman" w:cs="Times New Roman"/>
          <w:i/>
          <w:iCs/>
          <w:sz w:val="24"/>
          <w:szCs w:val="24"/>
        </w:rPr>
        <w:t>American Economic Review</w:t>
      </w:r>
      <w:r>
        <w:rPr>
          <w:rFonts w:ascii="Times New Roman" w:hAnsi="Times New Roman" w:cs="Times New Roman"/>
          <w:sz w:val="24"/>
          <w:szCs w:val="24"/>
        </w:rPr>
        <w:t>, 51(1), 1–17.</w:t>
      </w:r>
    </w:p>
    <w:p w14:paraId="5756A0F8"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Taye, D. (2021). The impact of employee turnover on organizational performance: A case study of Mada Walabu University, Bale Robe, Ethiopia. </w:t>
      </w:r>
      <w:r>
        <w:rPr>
          <w:rFonts w:ascii="Times New Roman" w:hAnsi="Times New Roman" w:cs="Times New Roman"/>
          <w:i/>
          <w:iCs/>
          <w:sz w:val="24"/>
          <w:szCs w:val="24"/>
        </w:rPr>
        <w:t>American Journal of Pure and Applied Biosciences</w:t>
      </w:r>
      <w:r>
        <w:rPr>
          <w:rFonts w:ascii="Times New Roman" w:hAnsi="Times New Roman" w:cs="Times New Roman"/>
          <w:sz w:val="24"/>
          <w:szCs w:val="24"/>
        </w:rPr>
        <w:t xml:space="preserve">, 2(1), 51-63. </w:t>
      </w:r>
      <w:hyperlink r:id="rId26" w:history="1">
        <w:r>
          <w:rPr>
            <w:rFonts w:ascii="Times New Roman" w:hAnsi="Times New Roman" w:cs="Times New Roman"/>
            <w:sz w:val="24"/>
            <w:szCs w:val="24"/>
          </w:rPr>
          <w:t>https://doi.org/10.34104/ajpab.020.051063</w:t>
        </w:r>
      </w:hyperlink>
      <w:r>
        <w:rPr>
          <w:rFonts w:ascii="Times New Roman" w:hAnsi="Times New Roman" w:cs="Times New Roman"/>
          <w:vanish/>
          <w:sz w:val="24"/>
          <w:szCs w:val="24"/>
        </w:rPr>
        <w:t>Top of FormBottom of Form</w:t>
      </w:r>
    </w:p>
    <w:p w14:paraId="316A3DA2"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Tushman, M., &amp; O'Reilly, C. A. (1997). </w:t>
      </w:r>
      <w:r>
        <w:rPr>
          <w:rFonts w:ascii="Times New Roman" w:hAnsi="Times New Roman" w:cs="Times New Roman"/>
          <w:i/>
          <w:iCs/>
          <w:sz w:val="24"/>
          <w:szCs w:val="24"/>
        </w:rPr>
        <w:t>Winning through innovation: A practical guide to leading organizational change and renewal</w:t>
      </w:r>
      <w:r>
        <w:rPr>
          <w:rFonts w:ascii="Times New Roman" w:hAnsi="Times New Roman" w:cs="Times New Roman"/>
          <w:sz w:val="24"/>
          <w:szCs w:val="24"/>
        </w:rPr>
        <w:t>. Harvard Business School Press.</w:t>
      </w:r>
    </w:p>
    <w:p w14:paraId="53CB4D23"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Wang, S., &amp; Noe, R. A. (2010). Knowledge sharing: A review and directions for future research. </w:t>
      </w:r>
      <w:r>
        <w:rPr>
          <w:rFonts w:ascii="Times New Roman" w:hAnsi="Times New Roman" w:cs="Times New Roman"/>
          <w:i/>
          <w:iCs/>
          <w:sz w:val="24"/>
          <w:szCs w:val="24"/>
        </w:rPr>
        <w:t>Human Resource Management Review, 20</w:t>
      </w:r>
      <w:r>
        <w:rPr>
          <w:rFonts w:ascii="Times New Roman" w:hAnsi="Times New Roman" w:cs="Times New Roman"/>
          <w:sz w:val="24"/>
          <w:szCs w:val="24"/>
        </w:rPr>
        <w:t xml:space="preserve">(2), 115-131. </w:t>
      </w:r>
      <w:hyperlink r:id="rId27" w:history="1">
        <w:r>
          <w:rPr>
            <w:rFonts w:ascii="Times New Roman" w:hAnsi="Times New Roman" w:cs="Times New Roman"/>
            <w:sz w:val="24"/>
            <w:szCs w:val="24"/>
          </w:rPr>
          <w:t>https://doi.org/10.1016/j.hrmr.2009.10.001</w:t>
        </w:r>
      </w:hyperlink>
    </w:p>
    <w:p w14:paraId="395B1706" w14:textId="77777777" w:rsidR="00BE7920" w:rsidRDefault="00803F08">
      <w:pPr>
        <w:pStyle w:val="Standard"/>
        <w:spacing w:after="0" w:line="240" w:lineRule="auto"/>
        <w:ind w:left="720" w:hanging="720"/>
        <w:jc w:val="both"/>
      </w:pPr>
      <w:r>
        <w:rPr>
          <w:rFonts w:ascii="Times New Roman" w:hAnsi="Times New Roman" w:cs="Times New Roman"/>
          <w:sz w:val="24"/>
          <w:szCs w:val="24"/>
        </w:rPr>
        <w:t xml:space="preserve">Wang, M., &amp; Huang, Z. (2024). A contemporary review of employee retirement. </w:t>
      </w:r>
      <w:r>
        <w:rPr>
          <w:rFonts w:ascii="Times New Roman" w:hAnsi="Times New Roman" w:cs="Times New Roman"/>
          <w:i/>
          <w:iCs/>
          <w:sz w:val="24"/>
          <w:szCs w:val="24"/>
        </w:rPr>
        <w:t>Current Opinion in Psychology, 55</w:t>
      </w:r>
      <w:r>
        <w:rPr>
          <w:rFonts w:ascii="Times New Roman" w:hAnsi="Times New Roman" w:cs="Times New Roman"/>
          <w:sz w:val="24"/>
          <w:szCs w:val="24"/>
        </w:rPr>
        <w:t xml:space="preserve">, 101749. </w:t>
      </w:r>
      <w:hyperlink r:id="rId28" w:history="1">
        <w:r>
          <w:rPr>
            <w:rFonts w:ascii="Times New Roman" w:hAnsi="Times New Roman" w:cs="Times New Roman"/>
            <w:sz w:val="24"/>
            <w:szCs w:val="24"/>
          </w:rPr>
          <w:t>https://doi.org/10.1016/j.copsyc.2023.101749</w:t>
        </w:r>
      </w:hyperlink>
    </w:p>
    <w:p w14:paraId="768F1CD0" w14:textId="77777777" w:rsidR="00BE7920" w:rsidRPr="00E671A2" w:rsidRDefault="00803F08">
      <w:pPr>
        <w:pStyle w:val="Standard"/>
        <w:spacing w:after="0" w:line="240" w:lineRule="auto"/>
        <w:ind w:left="720" w:hanging="720"/>
        <w:jc w:val="both"/>
        <w:rPr>
          <w:lang w:val="fr-FR"/>
        </w:rPr>
      </w:pPr>
      <w:r>
        <w:rPr>
          <w:rFonts w:ascii="Times New Roman" w:hAnsi="Times New Roman" w:cs="Times New Roman"/>
          <w:sz w:val="24"/>
          <w:szCs w:val="24"/>
        </w:rPr>
        <w:t>Yadav, R., Sinha, M. &amp; Srivastava, A. (2024). Employee relations: a comprehensive theory-based literature review and future research agenda. </w:t>
      </w:r>
      <w:proofErr w:type="spellStart"/>
      <w:r w:rsidRPr="00E671A2">
        <w:rPr>
          <w:rFonts w:ascii="Times New Roman" w:hAnsi="Times New Roman" w:cs="Times New Roman"/>
          <w:i/>
          <w:iCs/>
          <w:sz w:val="24"/>
          <w:szCs w:val="24"/>
          <w:lang w:val="fr-FR"/>
        </w:rPr>
        <w:t>Manag</w:t>
      </w:r>
      <w:proofErr w:type="spellEnd"/>
      <w:r w:rsidRPr="00E671A2">
        <w:rPr>
          <w:rFonts w:ascii="Times New Roman" w:hAnsi="Times New Roman" w:cs="Times New Roman"/>
          <w:i/>
          <w:iCs/>
          <w:sz w:val="24"/>
          <w:szCs w:val="24"/>
          <w:lang w:val="fr-FR"/>
        </w:rPr>
        <w:t xml:space="preserve"> </w:t>
      </w:r>
      <w:proofErr w:type="spellStart"/>
      <w:r w:rsidRPr="00E671A2">
        <w:rPr>
          <w:rFonts w:ascii="Times New Roman" w:hAnsi="Times New Roman" w:cs="Times New Roman"/>
          <w:i/>
          <w:iCs/>
          <w:sz w:val="24"/>
          <w:szCs w:val="24"/>
          <w:lang w:val="fr-FR"/>
        </w:rPr>
        <w:t>Rev</w:t>
      </w:r>
      <w:proofErr w:type="spellEnd"/>
      <w:r w:rsidRPr="00E671A2">
        <w:rPr>
          <w:rFonts w:ascii="Times New Roman" w:hAnsi="Times New Roman" w:cs="Times New Roman"/>
          <w:i/>
          <w:iCs/>
          <w:sz w:val="24"/>
          <w:szCs w:val="24"/>
          <w:lang w:val="fr-FR"/>
        </w:rPr>
        <w:t xml:space="preserve"> Q</w:t>
      </w:r>
      <w:r w:rsidRPr="00E671A2">
        <w:rPr>
          <w:rFonts w:ascii="Times New Roman" w:hAnsi="Times New Roman" w:cs="Times New Roman"/>
          <w:sz w:val="24"/>
          <w:szCs w:val="24"/>
          <w:lang w:val="fr-FR"/>
        </w:rPr>
        <w:t>. https://doi.org/10.1007/s11301-024-00473-6</w:t>
      </w:r>
    </w:p>
    <w:p w14:paraId="6B515D62" w14:textId="77777777" w:rsidR="00BE7920" w:rsidRDefault="00803F08">
      <w:pPr>
        <w:pStyle w:val="Standard"/>
        <w:spacing w:after="0" w:line="240" w:lineRule="auto"/>
        <w:ind w:left="720" w:hanging="720"/>
        <w:jc w:val="both"/>
      </w:pPr>
      <w:proofErr w:type="spellStart"/>
      <w:r w:rsidRPr="00E671A2">
        <w:rPr>
          <w:rFonts w:ascii="Times New Roman" w:hAnsi="Times New Roman" w:cs="Times New Roman"/>
          <w:sz w:val="24"/>
          <w:szCs w:val="24"/>
          <w:lang w:val="fr-FR"/>
        </w:rPr>
        <w:t>Zhan</w:t>
      </w:r>
      <w:proofErr w:type="spellEnd"/>
      <w:r w:rsidRPr="00E671A2">
        <w:rPr>
          <w:rFonts w:ascii="Times New Roman" w:hAnsi="Times New Roman" w:cs="Times New Roman"/>
          <w:sz w:val="24"/>
          <w:szCs w:val="24"/>
          <w:lang w:val="fr-FR"/>
        </w:rPr>
        <w:t xml:space="preserve">, Y., Froidevaux, A., Li, Y., Wang, M., &amp; Shi, J. (2022). </w:t>
      </w:r>
      <w:r>
        <w:rPr>
          <w:rFonts w:ascii="Times New Roman" w:hAnsi="Times New Roman" w:cs="Times New Roman"/>
          <w:sz w:val="24"/>
          <w:szCs w:val="24"/>
        </w:rPr>
        <w:t xml:space="preserve">Preretirement resources and postretirement life satisfaction change trajectory: Examining the mediating role of retiree experience during the retirement transition phase. </w:t>
      </w:r>
      <w:r>
        <w:rPr>
          <w:rFonts w:ascii="Times New Roman" w:hAnsi="Times New Roman" w:cs="Times New Roman"/>
          <w:i/>
          <w:iCs/>
          <w:sz w:val="24"/>
          <w:szCs w:val="24"/>
        </w:rPr>
        <w:t>Journal of Applied Psychology, 108</w:t>
      </w:r>
      <w:r>
        <w:rPr>
          <w:rFonts w:ascii="Times New Roman" w:hAnsi="Times New Roman" w:cs="Times New Roman"/>
          <w:sz w:val="24"/>
          <w:szCs w:val="24"/>
        </w:rPr>
        <w:t>(5), 871-888. https://doi.org/10.1037/apl0001043</w:t>
      </w:r>
    </w:p>
    <w:p w14:paraId="2B786254" w14:textId="77777777" w:rsidR="00BE7920" w:rsidRDefault="00BE7920">
      <w:pPr>
        <w:pStyle w:val="Standard"/>
        <w:spacing w:after="0" w:line="360" w:lineRule="auto"/>
        <w:ind w:left="720" w:hanging="720"/>
        <w:jc w:val="both"/>
        <w:rPr>
          <w:rFonts w:ascii="Times New Roman" w:hAnsi="Times New Roman" w:cs="Times New Roman"/>
          <w:sz w:val="24"/>
          <w:szCs w:val="24"/>
        </w:rPr>
      </w:pPr>
    </w:p>
    <w:p w14:paraId="4460EF61" w14:textId="77777777" w:rsidR="00BE7920" w:rsidRDefault="00BE7920">
      <w:pPr>
        <w:pStyle w:val="Standard"/>
        <w:spacing w:line="360" w:lineRule="auto"/>
        <w:jc w:val="both"/>
        <w:rPr>
          <w:rFonts w:ascii="Times New Roman" w:hAnsi="Times New Roman" w:cs="Times New Roman"/>
          <w:sz w:val="24"/>
          <w:szCs w:val="24"/>
        </w:rPr>
      </w:pPr>
    </w:p>
    <w:p w14:paraId="55CC4549" w14:textId="77777777" w:rsidR="00BE7920" w:rsidRDefault="00BE7920">
      <w:pPr>
        <w:pStyle w:val="Standard"/>
        <w:spacing w:line="360" w:lineRule="auto"/>
        <w:jc w:val="both"/>
        <w:rPr>
          <w:rFonts w:ascii="Times New Roman" w:hAnsi="Times New Roman" w:cs="Times New Roman"/>
          <w:b/>
          <w:bCs/>
          <w:sz w:val="24"/>
          <w:szCs w:val="24"/>
        </w:rPr>
      </w:pPr>
    </w:p>
    <w:p w14:paraId="188AF4B0" w14:textId="77777777" w:rsidR="00BE7920" w:rsidRDefault="00BE7920">
      <w:pPr>
        <w:pStyle w:val="Standard"/>
        <w:spacing w:line="360" w:lineRule="auto"/>
        <w:jc w:val="both"/>
        <w:rPr>
          <w:rFonts w:ascii="Times New Roman" w:hAnsi="Times New Roman" w:cs="Times New Roman"/>
          <w:b/>
          <w:bCs/>
          <w:sz w:val="24"/>
          <w:szCs w:val="24"/>
        </w:rPr>
      </w:pPr>
    </w:p>
    <w:p w14:paraId="25D9BE62" w14:textId="77777777" w:rsidR="00BE7920" w:rsidRDefault="00BE7920">
      <w:pPr>
        <w:pStyle w:val="Standard"/>
        <w:spacing w:line="360" w:lineRule="auto"/>
        <w:jc w:val="both"/>
        <w:rPr>
          <w:rFonts w:ascii="Times New Roman" w:hAnsi="Times New Roman" w:cs="Times New Roman"/>
          <w:b/>
          <w:bCs/>
          <w:sz w:val="24"/>
          <w:szCs w:val="24"/>
        </w:rPr>
      </w:pPr>
    </w:p>
    <w:p w14:paraId="2D698327" w14:textId="77777777" w:rsidR="00BE7920" w:rsidRDefault="00BE7920">
      <w:pPr>
        <w:pStyle w:val="Standard"/>
        <w:spacing w:line="360" w:lineRule="auto"/>
        <w:jc w:val="both"/>
        <w:rPr>
          <w:rFonts w:ascii="Times New Roman" w:hAnsi="Times New Roman" w:cs="Times New Roman"/>
          <w:b/>
          <w:bCs/>
          <w:sz w:val="24"/>
          <w:szCs w:val="24"/>
        </w:rPr>
      </w:pPr>
    </w:p>
    <w:p w14:paraId="43D948EF" w14:textId="77777777" w:rsidR="00BE7920" w:rsidRDefault="00BE7920">
      <w:pPr>
        <w:pStyle w:val="Standard"/>
        <w:spacing w:line="360" w:lineRule="auto"/>
        <w:jc w:val="both"/>
        <w:rPr>
          <w:rFonts w:ascii="Times New Roman" w:hAnsi="Times New Roman" w:cs="Times New Roman"/>
          <w:b/>
          <w:bCs/>
          <w:sz w:val="24"/>
          <w:szCs w:val="24"/>
        </w:rPr>
      </w:pPr>
    </w:p>
    <w:p w14:paraId="01CFC388" w14:textId="77777777" w:rsidR="00BE7920" w:rsidRDefault="00BE7920">
      <w:pPr>
        <w:pStyle w:val="Standard"/>
        <w:spacing w:line="360" w:lineRule="auto"/>
        <w:jc w:val="both"/>
        <w:rPr>
          <w:rFonts w:ascii="Times New Roman" w:hAnsi="Times New Roman" w:cs="Times New Roman"/>
          <w:b/>
          <w:bCs/>
          <w:sz w:val="24"/>
          <w:szCs w:val="24"/>
        </w:rPr>
      </w:pPr>
    </w:p>
    <w:p w14:paraId="1A8CEF8E" w14:textId="77777777" w:rsidR="00BE7920" w:rsidRDefault="00BE7920">
      <w:pPr>
        <w:pStyle w:val="Standard"/>
        <w:spacing w:line="360" w:lineRule="auto"/>
        <w:jc w:val="both"/>
        <w:rPr>
          <w:rFonts w:ascii="Times New Roman" w:hAnsi="Times New Roman" w:cs="Times New Roman"/>
          <w:b/>
          <w:bCs/>
          <w:sz w:val="24"/>
          <w:szCs w:val="24"/>
        </w:rPr>
      </w:pPr>
    </w:p>
    <w:p w14:paraId="2BCEE871" w14:textId="77777777" w:rsidR="00BE7920" w:rsidRDefault="00BE7920">
      <w:pPr>
        <w:pStyle w:val="Standard"/>
        <w:spacing w:line="360" w:lineRule="auto"/>
        <w:jc w:val="both"/>
        <w:rPr>
          <w:rFonts w:ascii="Times New Roman" w:hAnsi="Times New Roman" w:cs="Times New Roman"/>
          <w:b/>
          <w:bCs/>
          <w:sz w:val="24"/>
          <w:szCs w:val="24"/>
        </w:rPr>
      </w:pPr>
    </w:p>
    <w:p w14:paraId="3BB7F6F7" w14:textId="77777777" w:rsidR="00BE7920" w:rsidRDefault="00BE7920">
      <w:pPr>
        <w:pStyle w:val="Standard"/>
        <w:spacing w:line="360" w:lineRule="auto"/>
        <w:jc w:val="both"/>
        <w:rPr>
          <w:rFonts w:ascii="Times New Roman" w:hAnsi="Times New Roman" w:cs="Times New Roman"/>
          <w:b/>
          <w:bCs/>
          <w:sz w:val="24"/>
          <w:szCs w:val="24"/>
        </w:rPr>
      </w:pPr>
    </w:p>
    <w:sectPr w:rsidR="00BE7920">
      <w:headerReference w:type="default" r:id="rId29"/>
      <w:footerReference w:type="default" r:id="rId30"/>
      <w:pgSz w:w="12240" w:h="15840"/>
      <w:pgMar w:top="72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F52C6" w16cex:dateUtc="2025-11-11T18:37:00Z"/>
  <w16cex:commentExtensible w16cex:durableId="4781593D" w16cex:dateUtc="2025-11-11T18:56:00Z"/>
  <w16cex:commentExtensible w16cex:durableId="087B164E" w16cex:dateUtc="2025-11-11T19:05:00Z"/>
  <w16cex:commentExtensible w16cex:durableId="75D171D4" w16cex:dateUtc="2025-11-11T19:12:00Z"/>
  <w16cex:commentExtensible w16cex:durableId="6ABD63E1" w16cex:dateUtc="2025-11-11T19:21:00Z"/>
  <w16cex:commentExtensible w16cex:durableId="000B417F" w16cex:dateUtc="2025-11-11T19:59:00Z"/>
  <w16cex:commentExtensible w16cex:durableId="433CC4AE" w16cex:dateUtc="2025-11-11T20:00:00Z"/>
  <w16cex:commentExtensible w16cex:durableId="1F31218C" w16cex:dateUtc="2025-11-11T20:17:00Z"/>
  <w16cex:commentExtensible w16cex:durableId="6B85D3C8" w16cex:dateUtc="2025-11-11T20:28:00Z"/>
  <w16cex:commentExtensible w16cex:durableId="043F823E" w16cex:dateUtc="2025-11-11T20:40:00Z"/>
  <w16cex:commentExtensible w16cex:durableId="6EA29745" w16cex:dateUtc="2025-11-11T2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84B2A" w14:textId="77777777" w:rsidR="00DE06BF" w:rsidRDefault="00DE06BF">
      <w:pPr>
        <w:spacing w:after="0" w:line="240" w:lineRule="auto"/>
      </w:pPr>
      <w:r>
        <w:separator/>
      </w:r>
    </w:p>
  </w:endnote>
  <w:endnote w:type="continuationSeparator" w:id="0">
    <w:p w14:paraId="56C9F85B" w14:textId="77777777" w:rsidR="00DE06BF" w:rsidRDefault="00DE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variable"/>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D9F2" w14:textId="77777777" w:rsidR="00803F08" w:rsidRDefault="00803F08">
    <w:pPr>
      <w:pStyle w:val="Footer"/>
      <w:jc w:val="center"/>
    </w:pPr>
    <w:r>
      <w:fldChar w:fldCharType="begin"/>
    </w:r>
    <w:r>
      <w:instrText xml:space="preserve"> PAGE </w:instrText>
    </w:r>
    <w:r>
      <w:fldChar w:fldCharType="separate"/>
    </w:r>
    <w:r>
      <w:t>30</w:t>
    </w:r>
    <w:r>
      <w:fldChar w:fldCharType="end"/>
    </w:r>
  </w:p>
  <w:p w14:paraId="1AD8F527" w14:textId="77777777" w:rsidR="00803F08" w:rsidRDefault="0080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49E42" w14:textId="77777777" w:rsidR="00DE06BF" w:rsidRDefault="00DE06BF">
      <w:pPr>
        <w:spacing w:after="0" w:line="240" w:lineRule="auto"/>
      </w:pPr>
      <w:r>
        <w:rPr>
          <w:color w:val="000000"/>
        </w:rPr>
        <w:separator/>
      </w:r>
    </w:p>
  </w:footnote>
  <w:footnote w:type="continuationSeparator" w:id="0">
    <w:p w14:paraId="308A9642" w14:textId="77777777" w:rsidR="00DE06BF" w:rsidRDefault="00DE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5AE0" w14:textId="77777777" w:rsidR="00803F08" w:rsidRDefault="00DE06BF">
    <w:pPr>
      <w:pStyle w:val="Header"/>
    </w:pPr>
    <w:r>
      <w:pict w14:anchorId="64ADC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69798" o:spid="_x0000_s2049" type="#_x0000_t136" style="position:absolute;margin-left:0;margin-top:0;width:555.05pt;height:104.65pt;rotation:-2949109fd;z-index:251659264;visibility:visible;mso-wrap-style:none;mso-position-horizontal:center;mso-position-horizontal-relative:margin;mso-position-vertical:center;mso-position-vertical-relative:margin;v-text-anchor:top-center" fillcolor="silver" stroked="f">
          <v:fill opacity="32896f"/>
          <v:textpath style="font-family:&quot;Calibri&quot;;font-size:18pt;v-text-align:lef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120"/>
    <w:multiLevelType w:val="multilevel"/>
    <w:tmpl w:val="F612BBFC"/>
    <w:styleLink w:val="WWNum35"/>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06DF59D9"/>
    <w:multiLevelType w:val="multilevel"/>
    <w:tmpl w:val="612C6150"/>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C3F790C"/>
    <w:multiLevelType w:val="multilevel"/>
    <w:tmpl w:val="412ECFA8"/>
    <w:styleLink w:val="WWNum15"/>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0C4D245C"/>
    <w:multiLevelType w:val="multilevel"/>
    <w:tmpl w:val="197E8108"/>
    <w:styleLink w:val="WWNum40"/>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 w15:restartNumberingAfterBreak="0">
    <w:nsid w:val="0CA5589A"/>
    <w:multiLevelType w:val="multilevel"/>
    <w:tmpl w:val="CAB06870"/>
    <w:styleLink w:val="WWNum1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0DF17D66"/>
    <w:multiLevelType w:val="multilevel"/>
    <w:tmpl w:val="2DA6AC08"/>
    <w:styleLink w:val="WWNum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0FC813B5"/>
    <w:multiLevelType w:val="multilevel"/>
    <w:tmpl w:val="5B10F58A"/>
    <w:styleLink w:val="WWNum4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A4660A"/>
    <w:multiLevelType w:val="multilevel"/>
    <w:tmpl w:val="B11629C6"/>
    <w:styleLink w:val="WWNum33"/>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1605613D"/>
    <w:multiLevelType w:val="multilevel"/>
    <w:tmpl w:val="7A8E1C98"/>
    <w:styleLink w:val="WWNum17"/>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189C5F49"/>
    <w:multiLevelType w:val="multilevel"/>
    <w:tmpl w:val="7B722F92"/>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487ABC"/>
    <w:multiLevelType w:val="multilevel"/>
    <w:tmpl w:val="ADB20BD0"/>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1CAF0BA8"/>
    <w:multiLevelType w:val="multilevel"/>
    <w:tmpl w:val="D012E586"/>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1EB825DF"/>
    <w:multiLevelType w:val="multilevel"/>
    <w:tmpl w:val="2DC2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05BCD"/>
    <w:multiLevelType w:val="multilevel"/>
    <w:tmpl w:val="28049BF6"/>
    <w:styleLink w:val="WWNum2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0A22BEB"/>
    <w:multiLevelType w:val="multilevel"/>
    <w:tmpl w:val="2906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329DA"/>
    <w:multiLevelType w:val="multilevel"/>
    <w:tmpl w:val="B7A2721C"/>
    <w:styleLink w:val="WWNum3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68F0783"/>
    <w:multiLevelType w:val="multilevel"/>
    <w:tmpl w:val="D8BAF34C"/>
    <w:styleLink w:val="WWNum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2B546C51"/>
    <w:multiLevelType w:val="multilevel"/>
    <w:tmpl w:val="42F62B2E"/>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2FCA11BB"/>
    <w:multiLevelType w:val="multilevel"/>
    <w:tmpl w:val="B616F2FC"/>
    <w:styleLink w:val="WWNum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36453104"/>
    <w:multiLevelType w:val="multilevel"/>
    <w:tmpl w:val="48624E80"/>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37736538"/>
    <w:multiLevelType w:val="multilevel"/>
    <w:tmpl w:val="CB64779A"/>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AF219E3"/>
    <w:multiLevelType w:val="multilevel"/>
    <w:tmpl w:val="7D7EC40A"/>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DAD5DA3"/>
    <w:multiLevelType w:val="multilevel"/>
    <w:tmpl w:val="0B9A69A4"/>
    <w:styleLink w:val="WWNum2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3F1C5BD6"/>
    <w:multiLevelType w:val="multilevel"/>
    <w:tmpl w:val="F91A00AC"/>
    <w:styleLink w:val="WWNum3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6B42CE4"/>
    <w:multiLevelType w:val="multilevel"/>
    <w:tmpl w:val="E9969D04"/>
    <w:styleLink w:val="WWNum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4B8D232A"/>
    <w:multiLevelType w:val="multilevel"/>
    <w:tmpl w:val="578886C0"/>
    <w:styleLink w:val="WWNum1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4EF41B74"/>
    <w:multiLevelType w:val="multilevel"/>
    <w:tmpl w:val="EBA01966"/>
    <w:styleLink w:val="WWNum1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514B70AF"/>
    <w:multiLevelType w:val="multilevel"/>
    <w:tmpl w:val="75D03280"/>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52AD0D8F"/>
    <w:multiLevelType w:val="multilevel"/>
    <w:tmpl w:val="AE5C7B36"/>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535071D9"/>
    <w:multiLevelType w:val="multilevel"/>
    <w:tmpl w:val="E9E47A6A"/>
    <w:styleLink w:val="WWNum3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5CC3C1E"/>
    <w:multiLevelType w:val="multilevel"/>
    <w:tmpl w:val="0194F634"/>
    <w:styleLink w:val="WWNum1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591E178B"/>
    <w:multiLevelType w:val="multilevel"/>
    <w:tmpl w:val="DCF2AF22"/>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59986136"/>
    <w:multiLevelType w:val="multilevel"/>
    <w:tmpl w:val="59B0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9E062F"/>
    <w:multiLevelType w:val="multilevel"/>
    <w:tmpl w:val="B262F7A0"/>
    <w:styleLink w:val="WW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692F780B"/>
    <w:multiLevelType w:val="multilevel"/>
    <w:tmpl w:val="3AF8B09C"/>
    <w:styleLink w:val="WWNum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69361A81"/>
    <w:multiLevelType w:val="multilevel"/>
    <w:tmpl w:val="FC62C312"/>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6E0F753A"/>
    <w:multiLevelType w:val="multilevel"/>
    <w:tmpl w:val="1A721210"/>
    <w:styleLink w:val="WWNum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738B6476"/>
    <w:multiLevelType w:val="multilevel"/>
    <w:tmpl w:val="B01CD6BC"/>
    <w:styleLink w:val="WWNum2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8" w15:restartNumberingAfterBreak="0">
    <w:nsid w:val="74ED0C2D"/>
    <w:multiLevelType w:val="multilevel"/>
    <w:tmpl w:val="AC98B4D6"/>
    <w:styleLink w:val="WWNum1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76457C83"/>
    <w:multiLevelType w:val="multilevel"/>
    <w:tmpl w:val="09FA1EEC"/>
    <w:styleLink w:val="WWNum2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15:restartNumberingAfterBreak="0">
    <w:nsid w:val="774C62DE"/>
    <w:multiLevelType w:val="multilevel"/>
    <w:tmpl w:val="6D6EB354"/>
    <w:styleLink w:val="WWNum3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15:restartNumberingAfterBreak="0">
    <w:nsid w:val="78577720"/>
    <w:multiLevelType w:val="multilevel"/>
    <w:tmpl w:val="CD54996A"/>
    <w:styleLink w:val="WWNum3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78617C55"/>
    <w:multiLevelType w:val="multilevel"/>
    <w:tmpl w:val="2482189E"/>
    <w:styleLink w:val="WWNum3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3" w15:restartNumberingAfterBreak="0">
    <w:nsid w:val="7D0E50F3"/>
    <w:multiLevelType w:val="multilevel"/>
    <w:tmpl w:val="97BCA1B2"/>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4" w15:restartNumberingAfterBreak="0">
    <w:nsid w:val="7DEE5F91"/>
    <w:multiLevelType w:val="multilevel"/>
    <w:tmpl w:val="077219FC"/>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7"/>
  </w:num>
  <w:num w:numId="2">
    <w:abstractNumId w:val="33"/>
  </w:num>
  <w:num w:numId="3">
    <w:abstractNumId w:val="27"/>
  </w:num>
  <w:num w:numId="4">
    <w:abstractNumId w:val="11"/>
  </w:num>
  <w:num w:numId="5">
    <w:abstractNumId w:val="28"/>
  </w:num>
  <w:num w:numId="6">
    <w:abstractNumId w:val="31"/>
  </w:num>
  <w:num w:numId="7">
    <w:abstractNumId w:val="10"/>
  </w:num>
  <w:num w:numId="8">
    <w:abstractNumId w:val="44"/>
  </w:num>
  <w:num w:numId="9">
    <w:abstractNumId w:val="43"/>
  </w:num>
  <w:num w:numId="10">
    <w:abstractNumId w:val="20"/>
  </w:num>
  <w:num w:numId="11">
    <w:abstractNumId w:val="30"/>
  </w:num>
  <w:num w:numId="12">
    <w:abstractNumId w:val="18"/>
  </w:num>
  <w:num w:numId="13">
    <w:abstractNumId w:val="25"/>
  </w:num>
  <w:num w:numId="14">
    <w:abstractNumId w:val="26"/>
  </w:num>
  <w:num w:numId="15">
    <w:abstractNumId w:val="2"/>
  </w:num>
  <w:num w:numId="16">
    <w:abstractNumId w:val="38"/>
  </w:num>
  <w:num w:numId="17">
    <w:abstractNumId w:val="8"/>
  </w:num>
  <w:num w:numId="18">
    <w:abstractNumId w:val="4"/>
  </w:num>
  <w:num w:numId="19">
    <w:abstractNumId w:val="35"/>
  </w:num>
  <w:num w:numId="20">
    <w:abstractNumId w:val="36"/>
  </w:num>
  <w:num w:numId="21">
    <w:abstractNumId w:val="13"/>
  </w:num>
  <w:num w:numId="22">
    <w:abstractNumId w:val="9"/>
  </w:num>
  <w:num w:numId="23">
    <w:abstractNumId w:val="1"/>
  </w:num>
  <w:num w:numId="24">
    <w:abstractNumId w:val="5"/>
  </w:num>
  <w:num w:numId="25">
    <w:abstractNumId w:val="22"/>
  </w:num>
  <w:num w:numId="26">
    <w:abstractNumId w:val="24"/>
  </w:num>
  <w:num w:numId="27">
    <w:abstractNumId w:val="39"/>
  </w:num>
  <w:num w:numId="28">
    <w:abstractNumId w:val="16"/>
  </w:num>
  <w:num w:numId="29">
    <w:abstractNumId w:val="37"/>
  </w:num>
  <w:num w:numId="30">
    <w:abstractNumId w:val="34"/>
  </w:num>
  <w:num w:numId="31">
    <w:abstractNumId w:val="23"/>
  </w:num>
  <w:num w:numId="32">
    <w:abstractNumId w:val="41"/>
  </w:num>
  <w:num w:numId="33">
    <w:abstractNumId w:val="7"/>
  </w:num>
  <w:num w:numId="34">
    <w:abstractNumId w:val="40"/>
  </w:num>
  <w:num w:numId="35">
    <w:abstractNumId w:val="0"/>
  </w:num>
  <w:num w:numId="36">
    <w:abstractNumId w:val="42"/>
  </w:num>
  <w:num w:numId="37">
    <w:abstractNumId w:val="19"/>
  </w:num>
  <w:num w:numId="38">
    <w:abstractNumId w:val="15"/>
  </w:num>
  <w:num w:numId="39">
    <w:abstractNumId w:val="29"/>
  </w:num>
  <w:num w:numId="40">
    <w:abstractNumId w:val="3"/>
  </w:num>
  <w:num w:numId="41">
    <w:abstractNumId w:val="6"/>
  </w:num>
  <w:num w:numId="42">
    <w:abstractNumId w:val="21"/>
  </w:num>
  <w:num w:numId="43">
    <w:abstractNumId w:val="28"/>
    <w:lvlOverride w:ilvl="0">
      <w:startOverride w:val="1"/>
    </w:lvlOverride>
  </w:num>
  <w:num w:numId="44">
    <w:abstractNumId w:val="31"/>
    <w:lvlOverride w:ilvl="0">
      <w:startOverride w:val="1"/>
    </w:lvlOverride>
  </w:num>
  <w:num w:numId="45">
    <w:abstractNumId w:val="15"/>
  </w:num>
  <w:num w:numId="46">
    <w:abstractNumId w:val="29"/>
  </w:num>
  <w:num w:numId="47">
    <w:abstractNumId w:val="6"/>
  </w:num>
  <w:num w:numId="48">
    <w:abstractNumId w:val="14"/>
  </w:num>
  <w:num w:numId="49">
    <w:abstractNumId w:val="3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20"/>
    <w:rsid w:val="00037535"/>
    <w:rsid w:val="000456B9"/>
    <w:rsid w:val="000A574D"/>
    <w:rsid w:val="000B517B"/>
    <w:rsid w:val="000E0234"/>
    <w:rsid w:val="000F0A09"/>
    <w:rsid w:val="001359E0"/>
    <w:rsid w:val="00145FCD"/>
    <w:rsid w:val="001859D0"/>
    <w:rsid w:val="0019213A"/>
    <w:rsid w:val="001A365D"/>
    <w:rsid w:val="00201C11"/>
    <w:rsid w:val="00212704"/>
    <w:rsid w:val="00213BB8"/>
    <w:rsid w:val="00235595"/>
    <w:rsid w:val="00266DD8"/>
    <w:rsid w:val="00294746"/>
    <w:rsid w:val="002A6BD6"/>
    <w:rsid w:val="002B18A5"/>
    <w:rsid w:val="002B29A9"/>
    <w:rsid w:val="003037E8"/>
    <w:rsid w:val="00335295"/>
    <w:rsid w:val="003850DE"/>
    <w:rsid w:val="00385141"/>
    <w:rsid w:val="00390921"/>
    <w:rsid w:val="003A1A1C"/>
    <w:rsid w:val="003C673B"/>
    <w:rsid w:val="00430120"/>
    <w:rsid w:val="004820A0"/>
    <w:rsid w:val="00487053"/>
    <w:rsid w:val="00493061"/>
    <w:rsid w:val="0049677D"/>
    <w:rsid w:val="004A5C98"/>
    <w:rsid w:val="004C3139"/>
    <w:rsid w:val="004E2E06"/>
    <w:rsid w:val="004F0F30"/>
    <w:rsid w:val="00523D1A"/>
    <w:rsid w:val="00551401"/>
    <w:rsid w:val="00556360"/>
    <w:rsid w:val="00592CDA"/>
    <w:rsid w:val="00613B7A"/>
    <w:rsid w:val="00615DF7"/>
    <w:rsid w:val="00661F77"/>
    <w:rsid w:val="0073124D"/>
    <w:rsid w:val="00734914"/>
    <w:rsid w:val="007B32AC"/>
    <w:rsid w:val="007C1697"/>
    <w:rsid w:val="007F316F"/>
    <w:rsid w:val="00803F08"/>
    <w:rsid w:val="00891D30"/>
    <w:rsid w:val="00896879"/>
    <w:rsid w:val="008D2ED8"/>
    <w:rsid w:val="00921EA7"/>
    <w:rsid w:val="00932AEA"/>
    <w:rsid w:val="00992BA0"/>
    <w:rsid w:val="009C66A9"/>
    <w:rsid w:val="00A56B8D"/>
    <w:rsid w:val="00B02356"/>
    <w:rsid w:val="00B167B4"/>
    <w:rsid w:val="00B90DC0"/>
    <w:rsid w:val="00BB4B96"/>
    <w:rsid w:val="00BE7920"/>
    <w:rsid w:val="00C106F6"/>
    <w:rsid w:val="00C845F2"/>
    <w:rsid w:val="00C968EA"/>
    <w:rsid w:val="00CB6269"/>
    <w:rsid w:val="00CC2149"/>
    <w:rsid w:val="00CD6B78"/>
    <w:rsid w:val="00CF08D4"/>
    <w:rsid w:val="00D12892"/>
    <w:rsid w:val="00D95935"/>
    <w:rsid w:val="00DE06BF"/>
    <w:rsid w:val="00E40E86"/>
    <w:rsid w:val="00E671A2"/>
    <w:rsid w:val="00EF7783"/>
    <w:rsid w:val="00F8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70CAB0"/>
  <w15:docId w15:val="{A77B45C2-CE94-4A4F-A2D5-B1CFEA92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kern w:val="3"/>
        <w:sz w:val="22"/>
        <w:szCs w:val="22"/>
        <w:lang w:val="en-US"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Standard"/>
    <w:next w:val="Textbody"/>
    <w:uiPriority w:val="9"/>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Heading4">
    <w:name w:val="heading 4"/>
    <w:basedOn w:val="Standard"/>
    <w:next w:val="Textbody"/>
    <w:uiPriority w:val="9"/>
    <w:semiHidden/>
    <w:unhideWhenUsed/>
    <w:qFormat/>
    <w:pPr>
      <w:keepNext/>
      <w:keepLines/>
      <w:spacing w:before="80" w:after="40"/>
      <w:outlineLvl w:val="3"/>
    </w:pPr>
    <w:rPr>
      <w:i/>
      <w:iCs/>
      <w:color w:val="2F5496"/>
    </w:rPr>
  </w:style>
  <w:style w:type="paragraph" w:styleId="Heading5">
    <w:name w:val="heading 5"/>
    <w:basedOn w:val="Standard"/>
    <w:next w:val="Textbody"/>
    <w:uiPriority w:val="9"/>
    <w:semiHidden/>
    <w:unhideWhenUsed/>
    <w:qFormat/>
    <w:pPr>
      <w:keepNext/>
      <w:keepLines/>
      <w:spacing w:before="80" w:after="40"/>
      <w:outlineLvl w:val="4"/>
    </w:pPr>
    <w:rPr>
      <w:color w:val="2F5496"/>
    </w:rPr>
  </w:style>
  <w:style w:type="paragraph" w:styleId="Heading6">
    <w:name w:val="heading 6"/>
    <w:basedOn w:val="Standard"/>
    <w:next w:val="Textbody"/>
    <w:uiPriority w:val="9"/>
    <w:semiHidden/>
    <w:unhideWhenUsed/>
    <w:qFormat/>
    <w:pPr>
      <w:keepNext/>
      <w:keepLines/>
      <w:spacing w:before="40" w:after="0"/>
      <w:outlineLvl w:val="5"/>
    </w:pPr>
    <w:rPr>
      <w:i/>
      <w:iCs/>
      <w:color w:val="595959"/>
    </w:rPr>
  </w:style>
  <w:style w:type="paragraph" w:styleId="Heading7">
    <w:name w:val="heading 7"/>
    <w:basedOn w:val="Standard"/>
    <w:next w:val="Textbody"/>
    <w:pPr>
      <w:keepNext/>
      <w:keepLines/>
      <w:spacing w:before="40" w:after="0"/>
      <w:outlineLvl w:val="6"/>
    </w:pPr>
    <w:rPr>
      <w:color w:val="595959"/>
    </w:rPr>
  </w:style>
  <w:style w:type="paragraph" w:styleId="Heading8">
    <w:name w:val="heading 8"/>
    <w:basedOn w:val="Standard"/>
    <w:next w:val="Textbody"/>
    <w:pPr>
      <w:keepNext/>
      <w:keepLines/>
      <w:spacing w:after="0"/>
      <w:outlineLvl w:val="7"/>
    </w:pPr>
    <w:rPr>
      <w:i/>
      <w:iCs/>
      <w:color w:val="272727"/>
    </w:rPr>
  </w:style>
  <w:style w:type="paragraph" w:styleId="Heading9">
    <w:name w:val="heading 9"/>
    <w:basedOn w:val="Standard"/>
    <w:next w:val="Textbody"/>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List">
    <w:name w:val="List"/>
    <w:basedOn w:val="Textbody"/>
    <w:rPr>
      <w:rFonts w:cs="Arial Unicode MS"/>
    </w:rPr>
  </w:style>
  <w:style w:type="paragraph" w:styleId="Captio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styleId="Title">
    <w:name w:val="Title"/>
    <w:basedOn w:val="Standard"/>
    <w:next w:val="Subtitle"/>
    <w:uiPriority w:val="10"/>
    <w:qFormat/>
    <w:pPr>
      <w:spacing w:after="80" w:line="240" w:lineRule="auto"/>
    </w:pPr>
    <w:rPr>
      <w:rFonts w:ascii="Calibri Light" w:hAnsi="Calibri Light"/>
      <w:b/>
      <w:bCs/>
      <w:spacing w:val="-10"/>
      <w:sz w:val="56"/>
      <w:szCs w:val="56"/>
    </w:rPr>
  </w:style>
  <w:style w:type="paragraph" w:styleId="Subtitle">
    <w:name w:val="Subtitle"/>
    <w:basedOn w:val="Standard"/>
    <w:next w:val="Textbody"/>
    <w:uiPriority w:val="11"/>
    <w:qFormat/>
    <w:rPr>
      <w:i/>
      <w:iCs/>
      <w:color w:val="595959"/>
      <w:spacing w:val="15"/>
      <w:sz w:val="28"/>
      <w:szCs w:val="28"/>
    </w:rPr>
  </w:style>
  <w:style w:type="paragraph" w:styleId="Quote">
    <w:name w:val="Quote"/>
    <w:basedOn w:val="Standard"/>
    <w:pPr>
      <w:spacing w:before="160"/>
      <w:jc w:val="center"/>
    </w:pPr>
    <w:rPr>
      <w:i/>
      <w:iCs/>
      <w:color w:val="404040"/>
    </w:rPr>
  </w:style>
  <w:style w:type="paragraph" w:styleId="ListParagraph">
    <w:name w:val="List Paragraph"/>
    <w:basedOn w:val="Standard"/>
    <w:pPr>
      <w:ind w:left="720"/>
    </w:pPr>
  </w:style>
  <w:style w:type="paragraph" w:styleId="IntenseQuote">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rPr>
  </w:style>
  <w:style w:type="paragraph" w:customStyle="1" w:styleId="TableContents">
    <w:name w:val="Table Contents"/>
    <w:basedOn w:val="Standard"/>
    <w:pPr>
      <w:suppressLineNumbers/>
    </w:pPr>
  </w:style>
  <w:style w:type="paragraph" w:styleId="NoSpacing">
    <w:name w:val="No Spacing"/>
    <w:pPr>
      <w:widowControl/>
      <w:suppressAutoHyphens/>
      <w:spacing w:after="0" w:line="240" w:lineRule="auto"/>
    </w:pPr>
  </w:style>
  <w:style w:type="character" w:customStyle="1" w:styleId="Heading1Char">
    <w:name w:val="Heading 1 Char"/>
    <w:basedOn w:val="DefaultParagraphFont"/>
    <w:rPr>
      <w:rFonts w:ascii="Calibri Light" w:hAnsi="Calibri Light"/>
      <w:color w:val="2F5496"/>
      <w:sz w:val="40"/>
      <w:szCs w:val="40"/>
    </w:rPr>
  </w:style>
  <w:style w:type="character" w:customStyle="1" w:styleId="Heading2Char">
    <w:name w:val="Heading 2 Char"/>
    <w:basedOn w:val="DefaultParagraphFont"/>
    <w:rPr>
      <w:rFonts w:ascii="Calibri Light" w:hAnsi="Calibri Light"/>
      <w:color w:val="2F5496"/>
      <w:sz w:val="32"/>
      <w:szCs w:val="32"/>
    </w:rPr>
  </w:style>
  <w:style w:type="character" w:customStyle="1" w:styleId="Heading3Char">
    <w:name w:val="Heading 3 Char"/>
    <w:basedOn w:val="DefaultParagraphFont"/>
    <w:rPr>
      <w:color w:val="2F5496"/>
      <w:sz w:val="28"/>
      <w:szCs w:val="28"/>
    </w:rPr>
  </w:style>
  <w:style w:type="character" w:customStyle="1" w:styleId="Heading4Char">
    <w:name w:val="Heading 4 Char"/>
    <w:basedOn w:val="DefaultParagraphFont"/>
    <w:rPr>
      <w:i/>
      <w:iCs/>
      <w:color w:val="2F5496"/>
    </w:rPr>
  </w:style>
  <w:style w:type="character" w:customStyle="1" w:styleId="Heading5Char">
    <w:name w:val="Heading 5 Char"/>
    <w:basedOn w:val="DefaultParagraphFont"/>
    <w:rPr>
      <w:color w:val="2F5496"/>
    </w:rPr>
  </w:style>
  <w:style w:type="character" w:customStyle="1" w:styleId="Heading6Char">
    <w:name w:val="Heading 6 Char"/>
    <w:basedOn w:val="DefaultParagraphFont"/>
    <w:rPr>
      <w:i/>
      <w:iCs/>
      <w:color w:val="595959"/>
    </w:rPr>
  </w:style>
  <w:style w:type="character" w:customStyle="1" w:styleId="Heading7Char">
    <w:name w:val="Heading 7 Char"/>
    <w:basedOn w:val="DefaultParagraphFont"/>
    <w:rPr>
      <w:color w:val="595959"/>
    </w:rPr>
  </w:style>
  <w:style w:type="character" w:customStyle="1" w:styleId="Heading8Char">
    <w:name w:val="Heading 8 Char"/>
    <w:basedOn w:val="DefaultParagraphFont"/>
    <w:rPr>
      <w:i/>
      <w:iCs/>
      <w:color w:val="272727"/>
    </w:rPr>
  </w:style>
  <w:style w:type="character" w:customStyle="1" w:styleId="Heading9Char">
    <w:name w:val="Heading 9 Char"/>
    <w:basedOn w:val="DefaultParagraphFont"/>
    <w:rPr>
      <w:color w:val="272727"/>
    </w:rPr>
  </w:style>
  <w:style w:type="character" w:customStyle="1" w:styleId="TitleChar">
    <w:name w:val="Title Char"/>
    <w:basedOn w:val="DefaultParagraphFont"/>
    <w:rPr>
      <w:rFonts w:ascii="Calibri Light" w:hAnsi="Calibri Light"/>
      <w:spacing w:val="-10"/>
      <w:kern w:val="3"/>
      <w:sz w:val="56"/>
      <w:szCs w:val="56"/>
    </w:rPr>
  </w:style>
  <w:style w:type="character" w:customStyle="1" w:styleId="SubtitleChar">
    <w:name w:val="Subtitle Char"/>
    <w:basedOn w:val="DefaultParagraphFont"/>
    <w:rPr>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563C1"/>
      <w:u w:val="single"/>
    </w:rPr>
  </w:style>
  <w:style w:type="character" w:customStyle="1" w:styleId="ListLabel1">
    <w:name w:val="ListLabel 1"/>
    <w:rPr>
      <w:sz w:val="20"/>
    </w:rPr>
  </w:style>
  <w:style w:type="character" w:customStyle="1" w:styleId="ListLabel2">
    <w:name w:val="ListLabel 2"/>
    <w:rPr>
      <w:rFonts w:cs="Courier New"/>
    </w:rPr>
  </w:style>
  <w:style w:type="character" w:customStyle="1" w:styleId="NumberingSymbols">
    <w:name w:val="Numbering Symbols"/>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5">
    <w:name w:val="WWNum45"/>
    <w:basedOn w:val="NoList"/>
    <w:pPr>
      <w:numPr>
        <w:numId w:val="42"/>
      </w:numPr>
    </w:pPr>
  </w:style>
  <w:style w:type="character" w:styleId="CommentReference">
    <w:name w:val="annotation reference"/>
    <w:basedOn w:val="DefaultParagraphFont"/>
    <w:uiPriority w:val="99"/>
    <w:semiHidden/>
    <w:unhideWhenUsed/>
    <w:rsid w:val="00A56B8D"/>
    <w:rPr>
      <w:sz w:val="16"/>
      <w:szCs w:val="16"/>
    </w:rPr>
  </w:style>
  <w:style w:type="paragraph" w:styleId="CommentText">
    <w:name w:val="annotation text"/>
    <w:basedOn w:val="Normal"/>
    <w:link w:val="CommentTextChar"/>
    <w:uiPriority w:val="99"/>
    <w:unhideWhenUsed/>
    <w:rsid w:val="00A56B8D"/>
    <w:pPr>
      <w:spacing w:line="240" w:lineRule="auto"/>
    </w:pPr>
    <w:rPr>
      <w:sz w:val="20"/>
      <w:szCs w:val="20"/>
    </w:rPr>
  </w:style>
  <w:style w:type="character" w:customStyle="1" w:styleId="CommentTextChar">
    <w:name w:val="Comment Text Char"/>
    <w:basedOn w:val="DefaultParagraphFont"/>
    <w:link w:val="CommentText"/>
    <w:uiPriority w:val="99"/>
    <w:rsid w:val="00A56B8D"/>
    <w:rPr>
      <w:sz w:val="20"/>
      <w:szCs w:val="20"/>
    </w:rPr>
  </w:style>
  <w:style w:type="paragraph" w:styleId="CommentSubject">
    <w:name w:val="annotation subject"/>
    <w:basedOn w:val="CommentText"/>
    <w:next w:val="CommentText"/>
    <w:link w:val="CommentSubjectChar"/>
    <w:uiPriority w:val="99"/>
    <w:semiHidden/>
    <w:unhideWhenUsed/>
    <w:rsid w:val="00A56B8D"/>
    <w:rPr>
      <w:b/>
      <w:bCs/>
    </w:rPr>
  </w:style>
  <w:style w:type="character" w:customStyle="1" w:styleId="CommentSubjectChar">
    <w:name w:val="Comment Subject Char"/>
    <w:basedOn w:val="CommentTextChar"/>
    <w:link w:val="CommentSubject"/>
    <w:uiPriority w:val="99"/>
    <w:semiHidden/>
    <w:rsid w:val="00A56B8D"/>
    <w:rPr>
      <w:b/>
      <w:bCs/>
      <w:sz w:val="20"/>
      <w:szCs w:val="20"/>
    </w:rPr>
  </w:style>
  <w:style w:type="table" w:styleId="TableGrid">
    <w:name w:val="Table Grid"/>
    <w:basedOn w:val="TableNormal"/>
    <w:uiPriority w:val="39"/>
    <w:rsid w:val="00CD6B78"/>
    <w:pPr>
      <w:widowControl/>
      <w:autoSpaceDN/>
      <w:spacing w:after="0" w:line="240" w:lineRule="auto"/>
      <w:textAlignment w:val="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93/workar/waab016" TargetMode="External"/><Relationship Id="rId18" Type="http://schemas.openxmlformats.org/officeDocument/2006/relationships/hyperlink" Target="https://doi.org/10.1108/IJPL-06-2017-0026" TargetMode="External"/><Relationship Id="rId26" Type="http://schemas.openxmlformats.org/officeDocument/2006/relationships/hyperlink" Target="https://doi.org/10.34104/ajpab.020.051063" TargetMode="External"/><Relationship Id="rId3" Type="http://schemas.openxmlformats.org/officeDocument/2006/relationships/settings" Target="settings.xml"/><Relationship Id="rId21" Type="http://schemas.openxmlformats.org/officeDocument/2006/relationships/hyperlink" Target="https://doi.org/10.1016/j.jik.2025.100654" TargetMode="External"/><Relationship Id="rId7" Type="http://schemas.openxmlformats.org/officeDocument/2006/relationships/hyperlink" Target="https://doi.org/10.47814/ijssrr.v6i11.631" TargetMode="External"/><Relationship Id="rId12" Type="http://schemas.openxmlformats.org/officeDocument/2006/relationships/hyperlink" Target="https://doi.org/10.1002/job.322" TargetMode="External"/><Relationship Id="rId17" Type="http://schemas.openxmlformats.org/officeDocument/2006/relationships/hyperlink" Target="https://doi.org/10.1111/jpim.12684" TargetMode="External"/><Relationship Id="rId25" Type="http://schemas.openxmlformats.org/officeDocument/2006/relationships/hyperlink" Target="https://doi.org/10.47191/jefms/v6-i7-46" TargetMode="External"/><Relationship Id="rId33"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oi.org/10.29141/2218-5003-2020-11-4-7" TargetMode="External"/><Relationship Id="rId20" Type="http://schemas.openxmlformats.org/officeDocument/2006/relationships/hyperlink" Target="http://www.ijbmjournal.com/uploads/2/6/8/1/26810285/nurul__15-21_.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65/ambpp.1989.4980714" TargetMode="External"/><Relationship Id="rId24" Type="http://schemas.openxmlformats.org/officeDocument/2006/relationships/hyperlink" Target="https://doi.org/10.4038/sljhrm.v12i1.567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bs.edu/faculty/Pages/item.aspx?num=8831" TargetMode="External"/><Relationship Id="rId23" Type="http://schemas.openxmlformats.org/officeDocument/2006/relationships/hyperlink" Target="https://doi.org/10.1093/oso/9780195092691.001.0001" TargetMode="External"/><Relationship Id="rId28" Type="http://schemas.openxmlformats.org/officeDocument/2006/relationships/hyperlink" Target="https://doi.org/10.1016/j.copsyc.2023.101749" TargetMode="External"/><Relationship Id="rId10" Type="http://schemas.openxmlformats.org/officeDocument/2006/relationships/hyperlink" Target="https://doi.org/10.1177/01492063241303064" TargetMode="External"/><Relationship Id="rId19" Type="http://schemas.openxmlformats.org/officeDocument/2006/relationships/hyperlink" Target="https://doi.org/10.1371/journal.pone.026943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workar/waw002" TargetMode="External"/><Relationship Id="rId14" Type="http://schemas.openxmlformats.org/officeDocument/2006/relationships/hyperlink" Target="https://doi.org/10.1002/kpm.1780" TargetMode="External"/><Relationship Id="rId22" Type="http://schemas.openxmlformats.org/officeDocument/2006/relationships/hyperlink" Target="https://www.researchgate.net/publication/372956992_EFFECT_OF_FINANCIAL_LITERACY_ON_RETIREMENT_PLANNING" TargetMode="External"/><Relationship Id="rId27" Type="http://schemas.openxmlformats.org/officeDocument/2006/relationships/hyperlink" Target="https://doi.org/10.1016/j.hrmr.2009.10.001" TargetMode="External"/><Relationship Id="rId30" Type="http://schemas.openxmlformats.org/officeDocument/2006/relationships/footer" Target="footer1.xml"/><Relationship Id="rId8" Type="http://schemas.openxmlformats.org/officeDocument/2006/relationships/hyperlink" Target="https://www.entrepreneur.com/finance/rethinking-retirement-the-case-for-embracing-lifelong-work/463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34</Pages>
  <Words>11369</Words>
  <Characters>64809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Sunday Bello</dc:creator>
  <cp:lastModifiedBy>Editor-1183</cp:lastModifiedBy>
  <cp:revision>20</cp:revision>
  <dcterms:created xsi:type="dcterms:W3CDTF">2025-11-12T23:57:00Z</dcterms:created>
  <dcterms:modified xsi:type="dcterms:W3CDTF">2025-11-24T09:59:00Z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GrammarlyDocumentId">
    <vt:lpwstr>73627e0c-cd11-4e61-bc56-54174e2d223b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