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D3665D" w14:textId="5ACCC457" w:rsidR="00754C9A" w:rsidRDefault="00307345" w:rsidP="00441B6F">
      <w:pPr>
        <w:pStyle w:val="Title"/>
        <w:spacing w:after="0"/>
        <w:jc w:val="both"/>
        <w:rPr>
          <w:rFonts w:ascii="Arial" w:hAnsi="Arial" w:cs="Arial"/>
        </w:rPr>
      </w:pPr>
      <w:bookmarkStart w:id="0" w:name="_Hlk213683515"/>
      <w:r w:rsidRPr="00307345">
        <w:rPr>
          <w:rFonts w:ascii="Arial" w:hAnsi="Arial" w:cs="Arial"/>
        </w:rPr>
        <w:t xml:space="preserve">From Fields to Futures: The Economic and Occupational Impact of the Rice </w:t>
      </w:r>
      <w:proofErr w:type="spellStart"/>
      <w:r w:rsidRPr="00307345">
        <w:rPr>
          <w:rFonts w:ascii="Arial" w:hAnsi="Arial" w:cs="Arial"/>
        </w:rPr>
        <w:t>Tariffication</w:t>
      </w:r>
      <w:proofErr w:type="spellEnd"/>
      <w:r w:rsidRPr="00307345">
        <w:rPr>
          <w:rFonts w:ascii="Arial" w:hAnsi="Arial" w:cs="Arial"/>
        </w:rPr>
        <w:t xml:space="preserve"> Law</w:t>
      </w:r>
    </w:p>
    <w:bookmarkEnd w:id="0"/>
    <w:p w14:paraId="0DD8C420" w14:textId="77777777" w:rsidR="003B26A3" w:rsidRDefault="003B26A3" w:rsidP="00D408E2">
      <w:pPr>
        <w:pStyle w:val="Author"/>
        <w:spacing w:line="240" w:lineRule="auto"/>
        <w:rPr>
          <w:rFonts w:ascii="Arial" w:hAnsi="Arial" w:cs="Arial"/>
          <w:bCs/>
          <w:iCs/>
          <w:kern w:val="28"/>
          <w:sz w:val="36"/>
        </w:rPr>
      </w:pPr>
    </w:p>
    <w:p w14:paraId="6EF3BAB9" w14:textId="77777777" w:rsidR="007D389B" w:rsidRPr="00FB3A86" w:rsidRDefault="007D389B" w:rsidP="0090708B">
      <w:pPr>
        <w:pStyle w:val="Affiliation"/>
        <w:spacing w:after="0" w:line="240" w:lineRule="auto"/>
        <w:rPr>
          <w:rFonts w:ascii="Arial" w:hAnsi="Arial" w:cs="Arial"/>
        </w:rPr>
      </w:pPr>
    </w:p>
    <w:p w14:paraId="5D9BF0D3" w14:textId="4CB600C4" w:rsidR="00B01FCD" w:rsidRPr="00FB3A86" w:rsidRDefault="00A1723F" w:rsidP="00441B6F">
      <w:pPr>
        <w:pStyle w:val="Copyright"/>
        <w:spacing w:after="0" w:line="240" w:lineRule="auto"/>
        <w:jc w:val="both"/>
        <w:rPr>
          <w:rFonts w:ascii="Arial" w:hAnsi="Arial" w:cs="Arial"/>
        </w:rPr>
        <w:sectPr w:rsidR="00B01FCD" w:rsidRPr="00FB3A86" w:rsidSect="00A55CDB">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1980" w:left="2016" w:header="720" w:footer="1296" w:gutter="0"/>
          <w:cols w:space="720"/>
          <w:docGrid w:linePitch="272"/>
        </w:sectPr>
      </w:pPr>
      <w:r>
        <w:rPr>
          <w:rFonts w:ascii="Arial" w:hAnsi="Arial" w:cs="Arial"/>
          <w:noProof/>
        </w:rPr>
        <mc:AlternateContent>
          <mc:Choice Requires="wps">
            <w:drawing>
              <wp:inline distT="0" distB="0" distL="0" distR="0" wp14:anchorId="08DCADF3" wp14:editId="75B222D8">
                <wp:extent cx="5303520" cy="635"/>
                <wp:effectExtent l="13335" t="13335" r="17145" b="15240"/>
                <wp:docPr id="184395029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1E38B218"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p>
    <w:p w14:paraId="4634DEBC" w14:textId="4F77517B" w:rsidR="00790ADA" w:rsidRPr="00FB3A86" w:rsidRDefault="007D389B" w:rsidP="00441B6F">
      <w:pPr>
        <w:pStyle w:val="AbstHead"/>
        <w:spacing w:after="0"/>
        <w:jc w:val="both"/>
        <w:rPr>
          <w:rFonts w:ascii="Arial" w:hAnsi="Arial" w:cs="Arial"/>
        </w:rPr>
      </w:pPr>
      <w:r>
        <w:rPr>
          <w:rFonts w:ascii="Arial" w:hAnsi="Arial" w:cs="Arial"/>
        </w:rPr>
        <w:t>Abstract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350"/>
      </w:tblGrid>
      <w:tr w:rsidR="00296529" w:rsidRPr="001E44FE" w14:paraId="6BCC572F" w14:textId="77777777" w:rsidTr="001E44FE">
        <w:tc>
          <w:tcPr>
            <w:tcW w:w="9576" w:type="dxa"/>
            <w:shd w:val="clear" w:color="auto" w:fill="F2F2F2"/>
          </w:tcPr>
          <w:p w14:paraId="3060C8F5" w14:textId="77777777" w:rsidR="0096112D" w:rsidRDefault="003B26A3" w:rsidP="003B26A3">
            <w:pPr>
              <w:pStyle w:val="Body"/>
              <w:spacing w:after="0"/>
              <w:rPr>
                <w:rFonts w:ascii="Arial" w:eastAsia="Calibri" w:hAnsi="Arial" w:cs="Arial"/>
                <w:szCs w:val="22"/>
              </w:rPr>
            </w:pPr>
            <w:r w:rsidRPr="003B26A3">
              <w:rPr>
                <w:rFonts w:ascii="Arial" w:eastAsia="Calibri" w:hAnsi="Arial" w:cs="Arial"/>
                <w:b/>
                <w:bCs/>
                <w:szCs w:val="22"/>
              </w:rPr>
              <w:t>Aims</w:t>
            </w:r>
            <w:r w:rsidRPr="003B26A3">
              <w:rPr>
                <w:rFonts w:ascii="Arial" w:eastAsia="Calibri" w:hAnsi="Arial" w:cs="Arial"/>
                <w:szCs w:val="22"/>
              </w:rPr>
              <w:t>:</w:t>
            </w:r>
            <w:r w:rsidR="0096112D">
              <w:rPr>
                <w:rFonts w:ascii="Arial" w:eastAsia="Calibri" w:hAnsi="Arial" w:cs="Arial"/>
                <w:szCs w:val="22"/>
              </w:rPr>
              <w:t xml:space="preserve"> </w:t>
            </w:r>
            <w:r w:rsidR="0096112D" w:rsidRPr="0096112D">
              <w:rPr>
                <w:rFonts w:ascii="Arial" w:eastAsia="Calibri" w:hAnsi="Arial" w:cs="Arial"/>
                <w:szCs w:val="22"/>
              </w:rPr>
              <w:t xml:space="preserve">This study examines the economic and occupational effects of the Rice </w:t>
            </w:r>
            <w:proofErr w:type="spellStart"/>
            <w:r w:rsidR="0096112D" w:rsidRPr="0096112D">
              <w:rPr>
                <w:rFonts w:ascii="Arial" w:eastAsia="Calibri" w:hAnsi="Arial" w:cs="Arial"/>
                <w:szCs w:val="22"/>
              </w:rPr>
              <w:t>Tariffication</w:t>
            </w:r>
            <w:proofErr w:type="spellEnd"/>
            <w:r w:rsidR="0096112D" w:rsidRPr="0096112D">
              <w:rPr>
                <w:rFonts w:ascii="Arial" w:eastAsia="Calibri" w:hAnsi="Arial" w:cs="Arial"/>
                <w:szCs w:val="22"/>
              </w:rPr>
              <w:t xml:space="preserve"> Law (RTL) on rice farmers in the Philippines, estimating its impact on income, occupational mobility, and income distribution between beneficiaries and non-beneficiaries using microsimulation and logistic regression.</w:t>
            </w:r>
          </w:p>
          <w:p w14:paraId="7F6D058D" w14:textId="77777777" w:rsidR="0096112D" w:rsidRDefault="0096112D" w:rsidP="003B26A3">
            <w:pPr>
              <w:pStyle w:val="Body"/>
              <w:spacing w:after="0"/>
              <w:rPr>
                <w:rFonts w:ascii="Arial" w:eastAsia="Calibri" w:hAnsi="Arial" w:cs="Arial"/>
                <w:b/>
                <w:bCs/>
                <w:szCs w:val="22"/>
              </w:rPr>
            </w:pPr>
          </w:p>
          <w:p w14:paraId="485B89FB" w14:textId="13EB41AD" w:rsidR="003B26A3" w:rsidRDefault="003B26A3" w:rsidP="003B26A3">
            <w:pPr>
              <w:pStyle w:val="Body"/>
              <w:spacing w:after="0"/>
              <w:rPr>
                <w:rFonts w:ascii="Arial" w:eastAsia="Calibri" w:hAnsi="Arial" w:cs="Arial"/>
                <w:szCs w:val="22"/>
              </w:rPr>
            </w:pPr>
            <w:r w:rsidRPr="003B26A3">
              <w:rPr>
                <w:rFonts w:ascii="Arial" w:eastAsia="Calibri" w:hAnsi="Arial" w:cs="Arial"/>
                <w:b/>
                <w:bCs/>
                <w:szCs w:val="22"/>
              </w:rPr>
              <w:t>Study Design</w:t>
            </w:r>
            <w:r w:rsidRPr="003B26A3">
              <w:rPr>
                <w:rFonts w:ascii="Arial" w:eastAsia="Calibri" w:hAnsi="Arial" w:cs="Arial"/>
                <w:szCs w:val="22"/>
              </w:rPr>
              <w:t>:</w:t>
            </w:r>
            <w:r w:rsidR="0096112D">
              <w:t xml:space="preserve"> </w:t>
            </w:r>
            <w:r w:rsidR="0096112D" w:rsidRPr="0096112D">
              <w:rPr>
                <w:rFonts w:ascii="Arial" w:eastAsia="Calibri" w:hAnsi="Arial" w:cs="Arial"/>
                <w:szCs w:val="22"/>
              </w:rPr>
              <w:t>A quantitative econometric analysis employing microsimulation modeling and multinomial logistic regression to assess the ex-ante effects of RTL on farmers’ income, expenditures, and occupational decisions.</w:t>
            </w:r>
          </w:p>
          <w:p w14:paraId="5B597099" w14:textId="77777777" w:rsidR="0096112D" w:rsidRPr="003B26A3" w:rsidRDefault="0096112D" w:rsidP="003B26A3">
            <w:pPr>
              <w:pStyle w:val="Body"/>
              <w:spacing w:after="0"/>
              <w:rPr>
                <w:rFonts w:ascii="Arial" w:eastAsia="Calibri" w:hAnsi="Arial" w:cs="Arial"/>
                <w:szCs w:val="22"/>
              </w:rPr>
            </w:pPr>
          </w:p>
          <w:p w14:paraId="4552B0AC" w14:textId="1200214B" w:rsidR="003B26A3" w:rsidRDefault="003B26A3" w:rsidP="003B26A3">
            <w:pPr>
              <w:pStyle w:val="Body"/>
              <w:spacing w:after="0"/>
              <w:rPr>
                <w:rFonts w:ascii="Arial" w:eastAsia="Calibri" w:hAnsi="Arial" w:cs="Arial"/>
                <w:szCs w:val="22"/>
              </w:rPr>
            </w:pPr>
            <w:r w:rsidRPr="003B26A3">
              <w:rPr>
                <w:rFonts w:ascii="Arial" w:eastAsia="Calibri" w:hAnsi="Arial" w:cs="Arial"/>
                <w:b/>
                <w:bCs/>
                <w:szCs w:val="22"/>
              </w:rPr>
              <w:t>Place and Duration of Study</w:t>
            </w:r>
            <w:r w:rsidRPr="003B26A3">
              <w:rPr>
                <w:rFonts w:ascii="Arial" w:eastAsia="Calibri" w:hAnsi="Arial" w:cs="Arial"/>
                <w:szCs w:val="22"/>
              </w:rPr>
              <w:t>:</w:t>
            </w:r>
            <w:r w:rsidR="0096112D">
              <w:t xml:space="preserve"> </w:t>
            </w:r>
            <w:r w:rsidR="0096112D" w:rsidRPr="0096112D">
              <w:rPr>
                <w:rFonts w:ascii="Arial" w:eastAsia="Calibri" w:hAnsi="Arial" w:cs="Arial"/>
                <w:szCs w:val="22"/>
              </w:rPr>
              <w:t>The analysis uses nationally representative data from the 2018 Family Income and Expenditure Survey (FIES) and simulates income and occupational changes from 2018 to 2021.</w:t>
            </w:r>
          </w:p>
          <w:p w14:paraId="6EC7121F" w14:textId="77777777" w:rsidR="0096112D" w:rsidRPr="003B26A3" w:rsidRDefault="0096112D" w:rsidP="003B26A3">
            <w:pPr>
              <w:pStyle w:val="Body"/>
              <w:spacing w:after="0"/>
              <w:rPr>
                <w:rFonts w:ascii="Arial" w:eastAsia="Calibri" w:hAnsi="Arial" w:cs="Arial"/>
                <w:szCs w:val="22"/>
              </w:rPr>
            </w:pPr>
          </w:p>
          <w:p w14:paraId="0713CDE6" w14:textId="77777777" w:rsidR="0096112D" w:rsidRDefault="003B26A3" w:rsidP="003B26A3">
            <w:pPr>
              <w:pStyle w:val="Body"/>
              <w:spacing w:after="0"/>
              <w:rPr>
                <w:rFonts w:ascii="Arial" w:eastAsia="Calibri" w:hAnsi="Arial" w:cs="Arial"/>
                <w:szCs w:val="22"/>
              </w:rPr>
            </w:pPr>
            <w:r w:rsidRPr="003B26A3">
              <w:rPr>
                <w:rFonts w:ascii="Arial" w:eastAsia="Calibri" w:hAnsi="Arial" w:cs="Arial"/>
                <w:b/>
                <w:bCs/>
                <w:szCs w:val="22"/>
              </w:rPr>
              <w:t>Methodology</w:t>
            </w:r>
            <w:r w:rsidRPr="003B26A3">
              <w:rPr>
                <w:rFonts w:ascii="Arial" w:eastAsia="Calibri" w:hAnsi="Arial" w:cs="Arial"/>
                <w:szCs w:val="22"/>
              </w:rPr>
              <w:t>:</w:t>
            </w:r>
            <w:r w:rsidR="0096112D">
              <w:t xml:space="preserve"> </w:t>
            </w:r>
            <w:r w:rsidR="0096112D" w:rsidRPr="0096112D">
              <w:rPr>
                <w:rFonts w:ascii="Arial" w:eastAsia="Calibri" w:hAnsi="Arial" w:cs="Arial"/>
                <w:szCs w:val="22"/>
              </w:rPr>
              <w:t>The study applies microsimulation techniques and logistic regression models to estimate RTL’s impact on household income and occupational shifts among wage workers, rice farmers, non-rice farmers, and the unemployed. A Heckman two-step model addresses selection bias. The simulation incorporates Rice Competitiveness Enhancement Fund (RCEF) provisions on mechanization, seed distribution, and credit support.</w:t>
            </w:r>
          </w:p>
          <w:p w14:paraId="1C3B0FC9" w14:textId="77777777" w:rsidR="0096112D" w:rsidRDefault="0096112D" w:rsidP="003B26A3">
            <w:pPr>
              <w:pStyle w:val="Body"/>
              <w:spacing w:after="0"/>
              <w:rPr>
                <w:rFonts w:ascii="Arial" w:eastAsia="Calibri" w:hAnsi="Arial" w:cs="Arial"/>
                <w:b/>
                <w:bCs/>
                <w:szCs w:val="22"/>
              </w:rPr>
            </w:pPr>
          </w:p>
          <w:p w14:paraId="29A736D9" w14:textId="016B84C0" w:rsidR="003B26A3" w:rsidRDefault="003B26A3" w:rsidP="003B26A3">
            <w:pPr>
              <w:pStyle w:val="Body"/>
              <w:spacing w:after="0"/>
              <w:rPr>
                <w:rFonts w:ascii="Arial" w:eastAsia="Calibri" w:hAnsi="Arial" w:cs="Arial"/>
                <w:szCs w:val="22"/>
              </w:rPr>
            </w:pPr>
            <w:r w:rsidRPr="003B26A3">
              <w:rPr>
                <w:rFonts w:ascii="Arial" w:eastAsia="Calibri" w:hAnsi="Arial" w:cs="Arial"/>
                <w:b/>
                <w:bCs/>
                <w:szCs w:val="22"/>
              </w:rPr>
              <w:t>Results</w:t>
            </w:r>
            <w:r w:rsidRPr="003B26A3">
              <w:rPr>
                <w:rFonts w:ascii="Arial" w:eastAsia="Calibri" w:hAnsi="Arial" w:cs="Arial"/>
                <w:szCs w:val="22"/>
              </w:rPr>
              <w:t>:</w:t>
            </w:r>
            <w:r w:rsidR="0096112D">
              <w:t xml:space="preserve"> </w:t>
            </w:r>
            <w:r w:rsidR="0096112D" w:rsidRPr="0096112D">
              <w:rPr>
                <w:rFonts w:ascii="Arial" w:eastAsia="Calibri" w:hAnsi="Arial" w:cs="Arial"/>
                <w:szCs w:val="22"/>
              </w:rPr>
              <w:t>Beneficiary rice farmers experienced an estimated 52% increase in income, while non-recipients saw a 19% decline. Regions II, VI, CARAGA, III, and IV-B recorded the highest gains (16%–60%). Occupational analysis shows that about 3,000 non-rice farmers shifted into rice farming after RTL implementation. Income, education, marital status, and number of children were significant predictors of occupational choice.</w:t>
            </w:r>
          </w:p>
          <w:p w14:paraId="23A07FB1" w14:textId="77777777" w:rsidR="0096112D" w:rsidRPr="003B26A3" w:rsidRDefault="0096112D" w:rsidP="003B26A3">
            <w:pPr>
              <w:pStyle w:val="Body"/>
              <w:spacing w:after="0"/>
              <w:rPr>
                <w:rFonts w:ascii="Arial" w:eastAsia="Calibri" w:hAnsi="Arial" w:cs="Arial"/>
                <w:szCs w:val="22"/>
              </w:rPr>
            </w:pPr>
          </w:p>
          <w:p w14:paraId="784435AE" w14:textId="34C2BEF6" w:rsidR="00505F06" w:rsidRPr="003B26A3" w:rsidRDefault="003B26A3" w:rsidP="003B26A3">
            <w:pPr>
              <w:pStyle w:val="Body"/>
              <w:spacing w:after="0"/>
              <w:rPr>
                <w:rFonts w:ascii="Arial" w:eastAsia="Calibri" w:hAnsi="Arial" w:cs="Arial"/>
                <w:b/>
                <w:bCs/>
                <w:szCs w:val="22"/>
              </w:rPr>
            </w:pPr>
            <w:r w:rsidRPr="003B26A3">
              <w:rPr>
                <w:rFonts w:ascii="Arial" w:eastAsia="Calibri" w:hAnsi="Arial" w:cs="Arial"/>
                <w:b/>
                <w:bCs/>
                <w:szCs w:val="22"/>
              </w:rPr>
              <w:t>Conclusion</w:t>
            </w:r>
            <w:r w:rsidRPr="003B26A3">
              <w:rPr>
                <w:rFonts w:ascii="Arial" w:eastAsia="Calibri" w:hAnsi="Arial" w:cs="Arial"/>
                <w:szCs w:val="22"/>
              </w:rPr>
              <w:t>:</w:t>
            </w:r>
            <w:r w:rsidR="0096112D">
              <w:t xml:space="preserve"> </w:t>
            </w:r>
            <w:r w:rsidR="0096112D" w:rsidRPr="0096112D">
              <w:rPr>
                <w:rFonts w:ascii="Arial" w:eastAsia="Calibri" w:hAnsi="Arial" w:cs="Arial"/>
                <w:szCs w:val="22"/>
              </w:rPr>
              <w:t>RTL substantially improved the income of beneficiary rice farmers but negatively affected non-recipients. Strengthening and localizing RCEF implementation, alongside expanding microfinancing programs through LBP and DBP, is recommended to ensure equitable support. Continued policy refinement and broader rural investment are essential for sustaining farmer welfare and promoting inclusive agricultural growth.</w:t>
            </w:r>
          </w:p>
        </w:tc>
      </w:tr>
    </w:tbl>
    <w:p w14:paraId="19399366" w14:textId="77777777" w:rsidR="00636EB2" w:rsidRDefault="00636EB2" w:rsidP="00441B6F">
      <w:pPr>
        <w:pStyle w:val="Body"/>
        <w:spacing w:after="0"/>
        <w:rPr>
          <w:rFonts w:ascii="Arial" w:hAnsi="Arial" w:cs="Arial"/>
          <w:i/>
        </w:rPr>
      </w:pPr>
    </w:p>
    <w:p w14:paraId="106A113E" w14:textId="5C27E142" w:rsidR="003B26A3" w:rsidRDefault="00A24E7E" w:rsidP="00441B6F">
      <w:pPr>
        <w:pStyle w:val="Body"/>
        <w:spacing w:after="0"/>
        <w:rPr>
          <w:rFonts w:ascii="Arial" w:hAnsi="Arial" w:cs="Arial"/>
          <w:i/>
        </w:rPr>
      </w:pPr>
      <w:r w:rsidRPr="0090708B">
        <w:rPr>
          <w:rFonts w:ascii="Arial" w:hAnsi="Arial" w:cs="Arial"/>
          <w:b/>
          <w:bCs/>
          <w:i/>
        </w:rPr>
        <w:t>Keywords</w:t>
      </w:r>
      <w:r>
        <w:rPr>
          <w:rFonts w:ascii="Arial" w:hAnsi="Arial" w:cs="Arial"/>
          <w:i/>
        </w:rPr>
        <w:t xml:space="preserve">: </w:t>
      </w:r>
      <w:r w:rsidR="003B26A3" w:rsidRPr="003B26A3">
        <w:rPr>
          <w:rFonts w:ascii="Arial" w:hAnsi="Arial" w:cs="Arial"/>
          <w:i/>
        </w:rPr>
        <w:t xml:space="preserve">microsimulation, </w:t>
      </w:r>
      <w:proofErr w:type="spellStart"/>
      <w:r w:rsidR="003B26A3" w:rsidRPr="003B26A3">
        <w:rPr>
          <w:rFonts w:ascii="Arial" w:hAnsi="Arial" w:cs="Arial"/>
          <w:i/>
        </w:rPr>
        <w:t>tariffication</w:t>
      </w:r>
      <w:proofErr w:type="spellEnd"/>
      <w:r w:rsidR="003B26A3" w:rsidRPr="003B26A3">
        <w:rPr>
          <w:rFonts w:ascii="Arial" w:hAnsi="Arial" w:cs="Arial"/>
          <w:i/>
        </w:rPr>
        <w:t xml:space="preserve"> law, occupational choice, logistic regression, FIES</w:t>
      </w:r>
    </w:p>
    <w:p w14:paraId="00F995CB" w14:textId="77777777" w:rsidR="003B26A3" w:rsidRDefault="003B26A3">
      <w:pPr>
        <w:rPr>
          <w:rFonts w:ascii="Arial" w:hAnsi="Arial" w:cs="Arial"/>
          <w:i/>
        </w:rPr>
      </w:pPr>
      <w:r>
        <w:rPr>
          <w:rFonts w:ascii="Arial" w:hAnsi="Arial" w:cs="Arial"/>
          <w:i/>
        </w:rPr>
        <w:br w:type="page"/>
      </w:r>
    </w:p>
    <w:p w14:paraId="4626DE38" w14:textId="77777777" w:rsidR="0024282C" w:rsidRDefault="0024282C" w:rsidP="00441B6F">
      <w:pPr>
        <w:pStyle w:val="Body"/>
        <w:spacing w:after="0"/>
        <w:rPr>
          <w:rFonts w:ascii="Arial" w:hAnsi="Arial" w:cs="Arial"/>
          <w:i/>
          <w:sz w:val="18"/>
        </w:rPr>
      </w:pPr>
    </w:p>
    <w:p w14:paraId="502421A2" w14:textId="77777777" w:rsidR="00505F06" w:rsidRPr="00A24E7E" w:rsidRDefault="00505F06" w:rsidP="00441B6F">
      <w:pPr>
        <w:pStyle w:val="Body"/>
        <w:spacing w:after="0"/>
        <w:rPr>
          <w:rFonts w:ascii="Arial" w:hAnsi="Arial" w:cs="Arial"/>
          <w:i/>
        </w:rPr>
      </w:pPr>
    </w:p>
    <w:p w14:paraId="152B20D7" w14:textId="4E6F000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32979B8B" w14:textId="77777777" w:rsidR="00790ADA" w:rsidRPr="00FB3A86" w:rsidRDefault="00790ADA" w:rsidP="00441B6F">
      <w:pPr>
        <w:pStyle w:val="AbstHead"/>
        <w:spacing w:after="0"/>
        <w:jc w:val="both"/>
        <w:rPr>
          <w:rFonts w:ascii="Arial" w:hAnsi="Arial" w:cs="Arial"/>
        </w:rPr>
      </w:pPr>
    </w:p>
    <w:p w14:paraId="5B1AAEE8" w14:textId="77777777" w:rsidR="00752794" w:rsidRDefault="00752794" w:rsidP="00752794">
      <w:pPr>
        <w:jc w:val="both"/>
        <w:rPr>
          <w:rFonts w:ascii="Arial" w:hAnsi="Arial" w:cs="Arial"/>
        </w:rPr>
      </w:pPr>
      <w:r w:rsidRPr="00752794">
        <w:rPr>
          <w:rFonts w:ascii="Arial" w:hAnsi="Arial" w:cs="Arial"/>
        </w:rPr>
        <w:t>Rice remains a vital global staple, accounting for 20 percent of total daily consumption worldwide (Durand-</w:t>
      </w:r>
      <w:proofErr w:type="spellStart"/>
      <w:r w:rsidRPr="00752794">
        <w:rPr>
          <w:rFonts w:ascii="Arial" w:hAnsi="Arial" w:cs="Arial"/>
        </w:rPr>
        <w:t>Morat</w:t>
      </w:r>
      <w:proofErr w:type="spellEnd"/>
      <w:r w:rsidRPr="00752794">
        <w:rPr>
          <w:rFonts w:ascii="Arial" w:hAnsi="Arial" w:cs="Arial"/>
        </w:rPr>
        <w:t xml:space="preserve"> et al., 2020). In Southeast Asia, 65 percent of the region’s 1.7 billion people live in rural areas and depend on agriculture for their livelihood (IRRI, 2017). Globally, annual paddy rice production exceeds 715 million tons, yielding about 480 million tons of milled rice. Despite this high volume, the international rice market remains vulnerable because most countries rely heavily on their domestic supply. This dependence contributes to significant price volatility, prompting many Asian nations to impose strict rice importation policies to protect local producers and safeguard food security (Sugimoto et al., 2014).</w:t>
      </w:r>
    </w:p>
    <w:p w14:paraId="21CBA71A" w14:textId="77777777" w:rsidR="0056770E" w:rsidRDefault="0056770E" w:rsidP="00752794">
      <w:pPr>
        <w:jc w:val="both"/>
        <w:rPr>
          <w:rFonts w:ascii="Arial" w:hAnsi="Arial" w:cs="Arial"/>
        </w:rPr>
      </w:pPr>
    </w:p>
    <w:p w14:paraId="66961CC3" w14:textId="4F3DF866" w:rsidR="0056770E" w:rsidRPr="00752794" w:rsidRDefault="0056770E" w:rsidP="00752794">
      <w:pPr>
        <w:jc w:val="both"/>
        <w:rPr>
          <w:rFonts w:ascii="Arial" w:hAnsi="Arial" w:cs="Arial"/>
        </w:rPr>
      </w:pPr>
      <w:r w:rsidRPr="0056770E">
        <w:rPr>
          <w:rFonts w:ascii="Arial" w:hAnsi="Arial" w:cs="Arial"/>
        </w:rPr>
        <w:t>At the same time, the broader landscape of global trade has undergone significant structural changes. Recent literature highlights how shifting geopolitical dynamics, evolving supply chains, and increased economic interdependence reshape national trade policies (</w:t>
      </w:r>
      <w:proofErr w:type="spellStart"/>
      <w:r w:rsidRPr="0056770E">
        <w:rPr>
          <w:rFonts w:ascii="Arial" w:hAnsi="Arial" w:cs="Arial"/>
        </w:rPr>
        <w:t>Puślecki</w:t>
      </w:r>
      <w:proofErr w:type="spellEnd"/>
      <w:r w:rsidRPr="0056770E">
        <w:rPr>
          <w:rFonts w:ascii="Arial" w:hAnsi="Arial" w:cs="Arial"/>
        </w:rPr>
        <w:t xml:space="preserve">, 2019; </w:t>
      </w:r>
      <w:proofErr w:type="spellStart"/>
      <w:r w:rsidRPr="0056770E">
        <w:rPr>
          <w:rFonts w:ascii="Arial" w:hAnsi="Arial" w:cs="Arial"/>
        </w:rPr>
        <w:t>Puślecki</w:t>
      </w:r>
      <w:proofErr w:type="spellEnd"/>
      <w:r w:rsidRPr="0056770E">
        <w:rPr>
          <w:rFonts w:ascii="Arial" w:hAnsi="Arial" w:cs="Arial"/>
        </w:rPr>
        <w:t>, 2022a). The COVID-19 pandemic further exposed fragilities in global food and agricultural markets, accelerating discussions on international business policy and food security resilience (</w:t>
      </w:r>
      <w:proofErr w:type="spellStart"/>
      <w:r w:rsidRPr="0056770E">
        <w:rPr>
          <w:rFonts w:ascii="Arial" w:hAnsi="Arial" w:cs="Arial"/>
        </w:rPr>
        <w:t>Puślecki</w:t>
      </w:r>
      <w:proofErr w:type="spellEnd"/>
      <w:r w:rsidRPr="0056770E">
        <w:rPr>
          <w:rFonts w:ascii="Arial" w:hAnsi="Arial" w:cs="Arial"/>
        </w:rPr>
        <w:t xml:space="preserve">, 2020; </w:t>
      </w:r>
      <w:proofErr w:type="spellStart"/>
      <w:r w:rsidRPr="0056770E">
        <w:rPr>
          <w:rFonts w:ascii="Arial" w:hAnsi="Arial" w:cs="Arial"/>
        </w:rPr>
        <w:t>Puślecki</w:t>
      </w:r>
      <w:proofErr w:type="spellEnd"/>
      <w:r w:rsidRPr="0056770E">
        <w:rPr>
          <w:rFonts w:ascii="Arial" w:hAnsi="Arial" w:cs="Arial"/>
        </w:rPr>
        <w:t>, 2022b). These global trends underscore the importance of adaptive domestic reforms, such as rice sector liberalization, to ensure long-term stability and competitiveness within increasingly interconnected markets.</w:t>
      </w:r>
    </w:p>
    <w:p w14:paraId="29B4D8B1" w14:textId="77777777" w:rsidR="00752794" w:rsidRPr="00752794" w:rsidRDefault="00752794" w:rsidP="00752794">
      <w:pPr>
        <w:jc w:val="both"/>
        <w:rPr>
          <w:rFonts w:ascii="Arial" w:hAnsi="Arial" w:cs="Arial"/>
        </w:rPr>
      </w:pPr>
    </w:p>
    <w:p w14:paraId="19E9D30C" w14:textId="77777777" w:rsidR="00752794" w:rsidRPr="00752794" w:rsidRDefault="00752794" w:rsidP="00752794">
      <w:pPr>
        <w:jc w:val="both"/>
        <w:rPr>
          <w:rFonts w:ascii="Arial" w:hAnsi="Arial" w:cs="Arial"/>
        </w:rPr>
      </w:pPr>
      <w:r w:rsidRPr="00752794">
        <w:rPr>
          <w:rFonts w:ascii="Arial" w:hAnsi="Arial" w:cs="Arial"/>
        </w:rPr>
        <w:t xml:space="preserve">In the Philippines, the rice sector plays a central political and economic role. Studies by </w:t>
      </w:r>
      <w:proofErr w:type="spellStart"/>
      <w:r w:rsidRPr="00752794">
        <w:rPr>
          <w:rFonts w:ascii="Arial" w:hAnsi="Arial" w:cs="Arial"/>
        </w:rPr>
        <w:t>Intal</w:t>
      </w:r>
      <w:proofErr w:type="spellEnd"/>
      <w:r w:rsidRPr="00752794">
        <w:rPr>
          <w:rFonts w:ascii="Arial" w:hAnsi="Arial" w:cs="Arial"/>
        </w:rPr>
        <w:t xml:space="preserve"> et al. (2005), Briones et al. (2015), and </w:t>
      </w:r>
      <w:proofErr w:type="spellStart"/>
      <w:r w:rsidRPr="00752794">
        <w:rPr>
          <w:rFonts w:ascii="Arial" w:hAnsi="Arial" w:cs="Arial"/>
        </w:rPr>
        <w:t>Balisacan</w:t>
      </w:r>
      <w:proofErr w:type="spellEnd"/>
      <w:r w:rsidRPr="00752794">
        <w:rPr>
          <w:rFonts w:ascii="Arial" w:hAnsi="Arial" w:cs="Arial"/>
        </w:rPr>
        <w:t xml:space="preserve"> (1995) consistently emphasize its importance as the country’s primary commodity, staple food, and principal calorie source. However, longstanding productivity challenges persist. </w:t>
      </w:r>
      <w:proofErr w:type="spellStart"/>
      <w:r w:rsidRPr="00752794">
        <w:rPr>
          <w:rFonts w:ascii="Arial" w:hAnsi="Arial" w:cs="Arial"/>
        </w:rPr>
        <w:t>Papademetriou</w:t>
      </w:r>
      <w:proofErr w:type="spellEnd"/>
      <w:r w:rsidRPr="00752794">
        <w:rPr>
          <w:rFonts w:ascii="Arial" w:hAnsi="Arial" w:cs="Arial"/>
        </w:rPr>
        <w:t xml:space="preserve"> et al. (2000) attribute declining rice yields to stagnant fertilizer application and the increasing need for higher fertilizer levels to maintain output. </w:t>
      </w:r>
      <w:proofErr w:type="spellStart"/>
      <w:r w:rsidRPr="00752794">
        <w:rPr>
          <w:rFonts w:ascii="Arial" w:hAnsi="Arial" w:cs="Arial"/>
        </w:rPr>
        <w:t>Cassman</w:t>
      </w:r>
      <w:proofErr w:type="spellEnd"/>
      <w:r w:rsidRPr="00752794">
        <w:rPr>
          <w:rFonts w:ascii="Arial" w:hAnsi="Arial" w:cs="Arial"/>
        </w:rPr>
        <w:t xml:space="preserve"> et al. (1995) further link this decline to the degradation of the paddy resource base. Coupled with a rapidly growing population and unstable domestic production, these issues have caused the Philippines to rely increasingly on rice imports to meet domestic demand (Asian Journal, 2020).</w:t>
      </w:r>
    </w:p>
    <w:p w14:paraId="3A52378B" w14:textId="77777777" w:rsidR="00752794" w:rsidRPr="00752794" w:rsidRDefault="00752794" w:rsidP="00752794">
      <w:pPr>
        <w:jc w:val="both"/>
        <w:rPr>
          <w:rFonts w:ascii="Arial" w:hAnsi="Arial" w:cs="Arial"/>
        </w:rPr>
      </w:pPr>
    </w:p>
    <w:p w14:paraId="481E1512" w14:textId="7F29B492" w:rsidR="00D816CE" w:rsidRDefault="00752794" w:rsidP="00752794">
      <w:pPr>
        <w:jc w:val="both"/>
        <w:rPr>
          <w:rFonts w:ascii="Arial" w:hAnsi="Arial" w:cs="Arial"/>
        </w:rPr>
      </w:pPr>
      <w:r w:rsidRPr="00752794">
        <w:rPr>
          <w:rFonts w:ascii="Arial" w:hAnsi="Arial" w:cs="Arial"/>
        </w:rPr>
        <w:t xml:space="preserve">To confront supply instability and recurring rice shortages, the Philippine government enacted Republic Act No. 11203, more commonly known as the Rice </w:t>
      </w:r>
      <w:proofErr w:type="spellStart"/>
      <w:r w:rsidRPr="00752794">
        <w:rPr>
          <w:rFonts w:ascii="Arial" w:hAnsi="Arial" w:cs="Arial"/>
        </w:rPr>
        <w:t>Tariffication</w:t>
      </w:r>
      <w:proofErr w:type="spellEnd"/>
      <w:r w:rsidRPr="00752794">
        <w:rPr>
          <w:rFonts w:ascii="Arial" w:hAnsi="Arial" w:cs="Arial"/>
        </w:rPr>
        <w:t xml:space="preserve"> Law (RTL), in 2019. The RTL replaced the long-standing quantitative restrictions (QRs) on rice imports with a tariff system, allowing private traders to import rice more freely as long as they pay the required tariff rates. A key component of the law is the creation of the Rice Competitiveness Enhancement Fund (RCEF), which allocates tariff revenues to farm mechanization, high-quality seed distribution, credit access, and extension services. The overarching goal of RTL is to stabilize rice prices, increase market supply, and make rice more affordable for consumers. However, the liberalization of rice importation has also intensified competitive pressures on local farmers, who now face lower-priced imported rice in the market. According to Tobias (2019), the surge in imports after RTL implementation may negatively affect farmers’ income, underscoring the importance of strong support programs to ensure their long-term viability.</w:t>
      </w:r>
    </w:p>
    <w:p w14:paraId="34176216" w14:textId="77777777" w:rsidR="00752794" w:rsidRPr="00D816CE" w:rsidRDefault="00752794" w:rsidP="00752794">
      <w:pPr>
        <w:jc w:val="both"/>
        <w:rPr>
          <w:rFonts w:ascii="Arial" w:hAnsi="Arial" w:cs="Arial"/>
        </w:rPr>
      </w:pPr>
    </w:p>
    <w:p w14:paraId="451B39F7" w14:textId="77777777" w:rsidR="00D816CE" w:rsidRPr="00D816CE" w:rsidRDefault="00D816CE" w:rsidP="00D816CE">
      <w:pPr>
        <w:jc w:val="both"/>
        <w:rPr>
          <w:rFonts w:ascii="Arial" w:hAnsi="Arial" w:cs="Arial"/>
        </w:rPr>
      </w:pPr>
      <w:r w:rsidRPr="00D816CE">
        <w:rPr>
          <w:rFonts w:ascii="Arial" w:hAnsi="Arial" w:cs="Arial"/>
        </w:rPr>
        <w:t xml:space="preserve">Existing studies reflect a mix of outcomes. </w:t>
      </w:r>
      <w:proofErr w:type="spellStart"/>
      <w:r w:rsidRPr="00D816CE">
        <w:rPr>
          <w:rFonts w:ascii="Arial" w:hAnsi="Arial" w:cs="Arial"/>
        </w:rPr>
        <w:t>Balie</w:t>
      </w:r>
      <w:proofErr w:type="spellEnd"/>
      <w:r w:rsidRPr="00D816CE">
        <w:rPr>
          <w:rFonts w:ascii="Arial" w:hAnsi="Arial" w:cs="Arial"/>
        </w:rPr>
        <w:t xml:space="preserve"> et al. (2020) and Briones (2020) found that RTL improved consumer purchasing power but negatively impacted producer welfare. </w:t>
      </w:r>
      <w:proofErr w:type="spellStart"/>
      <w:r w:rsidRPr="00D816CE">
        <w:rPr>
          <w:rFonts w:ascii="Arial" w:hAnsi="Arial" w:cs="Arial"/>
        </w:rPr>
        <w:t>Estadilla</w:t>
      </w:r>
      <w:proofErr w:type="spellEnd"/>
      <w:r w:rsidRPr="00D816CE">
        <w:rPr>
          <w:rFonts w:ascii="Arial" w:hAnsi="Arial" w:cs="Arial"/>
        </w:rPr>
        <w:t xml:space="preserve"> (2022) proposed that tariff revenues under the Rice Competitiveness Enhancement Fund (RCEF) could mitigate these losses by supporting farmers through mechanization, seed distribution, and credit programs. While most literature agrees that trade liberalization increases supply and reduces rice prices, findings diverge on the extent of its impact on rice growers.</w:t>
      </w:r>
    </w:p>
    <w:p w14:paraId="408B9E2F" w14:textId="77777777" w:rsidR="00D816CE" w:rsidRPr="00D816CE" w:rsidRDefault="00D816CE" w:rsidP="00D816CE">
      <w:pPr>
        <w:jc w:val="both"/>
        <w:rPr>
          <w:rFonts w:ascii="Arial" w:hAnsi="Arial" w:cs="Arial"/>
        </w:rPr>
      </w:pPr>
    </w:p>
    <w:p w14:paraId="712FFEDC" w14:textId="474048AA" w:rsidR="003B26A3" w:rsidRDefault="00D816CE" w:rsidP="00D816CE">
      <w:pPr>
        <w:jc w:val="both"/>
        <w:rPr>
          <w:rFonts w:ascii="Arial" w:hAnsi="Arial" w:cs="Arial"/>
        </w:rPr>
      </w:pPr>
      <w:r w:rsidRPr="00D816CE">
        <w:rPr>
          <w:rFonts w:ascii="Arial" w:hAnsi="Arial" w:cs="Arial"/>
        </w:rPr>
        <w:t>Despite these insights, there remains a need for a more comprehensive assessment of RTL’s ex-ante effects, particularly on rice farmers’ income at the consumer level. This study seeks to fill this gap by analyzing both the positive and negative implications of the law, providing evidence-based inputs for policy review and offering well-founded recommendations for improving farmer welfare.</w:t>
      </w:r>
    </w:p>
    <w:p w14:paraId="469006E0" w14:textId="77777777" w:rsidR="00D816CE" w:rsidRDefault="00D816CE" w:rsidP="00D816CE">
      <w:pPr>
        <w:jc w:val="both"/>
        <w:rPr>
          <w:rFonts w:ascii="Arial" w:hAnsi="Arial" w:cs="Arial"/>
        </w:rPr>
      </w:pPr>
    </w:p>
    <w:p w14:paraId="6D28AF03" w14:textId="52921EE8" w:rsidR="00FD63DC" w:rsidRPr="00FD63DC" w:rsidRDefault="00FD63DC" w:rsidP="00FD63DC">
      <w:pPr>
        <w:pStyle w:val="Body"/>
        <w:rPr>
          <w:rFonts w:ascii="Arial" w:hAnsi="Arial" w:cs="Arial"/>
        </w:rPr>
      </w:pPr>
      <w:r w:rsidRPr="00FD63DC">
        <w:rPr>
          <w:rFonts w:ascii="Arial" w:hAnsi="Arial" w:cs="Arial"/>
        </w:rPr>
        <w:t xml:space="preserve">Existing studies on the Rice </w:t>
      </w:r>
      <w:proofErr w:type="spellStart"/>
      <w:r w:rsidRPr="00FD63DC">
        <w:rPr>
          <w:rFonts w:ascii="Arial" w:hAnsi="Arial" w:cs="Arial"/>
        </w:rPr>
        <w:t>Tariffication</w:t>
      </w:r>
      <w:proofErr w:type="spellEnd"/>
      <w:r w:rsidRPr="00FD63DC">
        <w:rPr>
          <w:rFonts w:ascii="Arial" w:hAnsi="Arial" w:cs="Arial"/>
        </w:rPr>
        <w:t xml:space="preserve"> Law (RTL) present a wide range of outcomes affecting both producers and consumers. </w:t>
      </w:r>
      <w:proofErr w:type="spellStart"/>
      <w:r w:rsidRPr="00FD63DC">
        <w:rPr>
          <w:rFonts w:ascii="Arial" w:hAnsi="Arial" w:cs="Arial"/>
        </w:rPr>
        <w:t>Balie</w:t>
      </w:r>
      <w:proofErr w:type="spellEnd"/>
      <w:r w:rsidRPr="00FD63DC">
        <w:rPr>
          <w:rFonts w:ascii="Arial" w:hAnsi="Arial" w:cs="Arial"/>
        </w:rPr>
        <w:t xml:space="preserve"> et al. (2020) highlight the welfare disparity created by RTL, showing that non-rice farmers benefit from lower rice prices while rice growers experience a 7.7 percent decline in </w:t>
      </w:r>
      <w:r w:rsidRPr="00FD63DC">
        <w:rPr>
          <w:rFonts w:ascii="Arial" w:hAnsi="Arial" w:cs="Arial"/>
        </w:rPr>
        <w:lastRenderedPageBreak/>
        <w:t>welfare. Briones (2020) similarly reports differentiated impacts across labor groups: agricultural workers faced accelerated income decline in 2019, although this slowdown eased after 2021, whereas industry workers experienced an initial drop but later saw stronger income growth. These findings underscore RTL’s uneven sectoral effects.</w:t>
      </w:r>
    </w:p>
    <w:p w14:paraId="1F07258D" w14:textId="30DF29A2" w:rsidR="0056770E" w:rsidRPr="0056770E" w:rsidRDefault="0056770E" w:rsidP="0056770E">
      <w:pPr>
        <w:pStyle w:val="AbstHead"/>
        <w:jc w:val="both"/>
        <w:rPr>
          <w:rFonts w:ascii="Arial" w:hAnsi="Arial" w:cs="Arial"/>
          <w:b w:val="0"/>
          <w:caps w:val="0"/>
          <w:sz w:val="20"/>
        </w:rPr>
      </w:pPr>
      <w:r w:rsidRPr="0056770E">
        <w:rPr>
          <w:rFonts w:ascii="Arial" w:hAnsi="Arial" w:cs="Arial"/>
          <w:b w:val="0"/>
          <w:caps w:val="0"/>
          <w:sz w:val="20"/>
        </w:rPr>
        <w:t xml:space="preserve">A number of studies emphasize the adverse consequences of RTL for rice farmers. Tobias (2019) finds that the influx of inexpensive imported rice harmed local rice growers, consistent with the view of </w:t>
      </w:r>
      <w:proofErr w:type="spellStart"/>
      <w:r w:rsidRPr="0056770E">
        <w:rPr>
          <w:rFonts w:ascii="Arial" w:hAnsi="Arial" w:cs="Arial"/>
          <w:b w:val="0"/>
          <w:caps w:val="0"/>
          <w:sz w:val="20"/>
        </w:rPr>
        <w:t>Estadilla</w:t>
      </w:r>
      <w:proofErr w:type="spellEnd"/>
      <w:r w:rsidRPr="0056770E">
        <w:rPr>
          <w:rFonts w:ascii="Arial" w:hAnsi="Arial" w:cs="Arial"/>
          <w:b w:val="0"/>
          <w:caps w:val="0"/>
          <w:sz w:val="20"/>
        </w:rPr>
        <w:t xml:space="preserve"> (2022), who notes that despite negative impacts, tariff revenues under the Rice Competitiveness Enhancement Fund (RCEF) offer a potential compensatory mechanism through support for mechanization, seeds, and credit programs. Microsimulation analyses such as </w:t>
      </w:r>
      <w:proofErr w:type="spellStart"/>
      <w:r w:rsidRPr="0056770E">
        <w:rPr>
          <w:rFonts w:ascii="Arial" w:hAnsi="Arial" w:cs="Arial"/>
          <w:b w:val="0"/>
          <w:caps w:val="0"/>
          <w:sz w:val="20"/>
        </w:rPr>
        <w:t>Cororaton</w:t>
      </w:r>
      <w:proofErr w:type="spellEnd"/>
      <w:r w:rsidRPr="0056770E">
        <w:rPr>
          <w:rFonts w:ascii="Arial" w:hAnsi="Arial" w:cs="Arial"/>
          <w:b w:val="0"/>
          <w:caps w:val="0"/>
          <w:sz w:val="20"/>
        </w:rPr>
        <w:t xml:space="preserve"> et al. (2020) show increases in paddy and rice production, while </w:t>
      </w:r>
      <w:proofErr w:type="spellStart"/>
      <w:r w:rsidRPr="0056770E">
        <w:rPr>
          <w:rFonts w:ascii="Arial" w:hAnsi="Arial" w:cs="Arial"/>
          <w:b w:val="0"/>
          <w:caps w:val="0"/>
          <w:sz w:val="20"/>
        </w:rPr>
        <w:t>Balie</w:t>
      </w:r>
      <w:proofErr w:type="spellEnd"/>
      <w:r w:rsidRPr="0056770E">
        <w:rPr>
          <w:rFonts w:ascii="Arial" w:hAnsi="Arial" w:cs="Arial"/>
          <w:b w:val="0"/>
          <w:caps w:val="0"/>
          <w:sz w:val="20"/>
        </w:rPr>
        <w:t xml:space="preserve"> et al. (2020), using 2015 FIES data, find large reductions in consumer prices (17.4 percent) coupled with substantial drops in producer prices across regions. Briones (2019), using CGE and microsimulation models, further demonstrates that these market shocks increased income poverty among farmers even as lower retail prices benefited poor consumers.</w:t>
      </w:r>
    </w:p>
    <w:p w14:paraId="3A2A11F3" w14:textId="7C4D00F7" w:rsidR="0056770E" w:rsidRPr="0056770E" w:rsidRDefault="0056770E" w:rsidP="0056770E">
      <w:pPr>
        <w:pStyle w:val="AbstHead"/>
        <w:jc w:val="both"/>
        <w:rPr>
          <w:rFonts w:ascii="Arial" w:hAnsi="Arial" w:cs="Arial"/>
          <w:b w:val="0"/>
          <w:caps w:val="0"/>
          <w:sz w:val="20"/>
        </w:rPr>
      </w:pPr>
      <w:r w:rsidRPr="0056770E">
        <w:rPr>
          <w:rFonts w:ascii="Arial" w:hAnsi="Arial" w:cs="Arial"/>
          <w:b w:val="0"/>
          <w:caps w:val="0"/>
          <w:sz w:val="20"/>
        </w:rPr>
        <w:t xml:space="preserve">Beyond price and welfare outcomes, other studies investigate the socioeconomic characteristics that influence farmers’ vulnerability to RTL. </w:t>
      </w:r>
      <w:proofErr w:type="spellStart"/>
      <w:r w:rsidRPr="0056770E">
        <w:rPr>
          <w:rFonts w:ascii="Arial" w:hAnsi="Arial" w:cs="Arial"/>
          <w:b w:val="0"/>
          <w:caps w:val="0"/>
          <w:sz w:val="20"/>
        </w:rPr>
        <w:t>Casinillo</w:t>
      </w:r>
      <w:proofErr w:type="spellEnd"/>
      <w:r w:rsidRPr="0056770E">
        <w:rPr>
          <w:rFonts w:ascii="Arial" w:hAnsi="Arial" w:cs="Arial"/>
          <w:b w:val="0"/>
          <w:caps w:val="0"/>
          <w:sz w:val="20"/>
        </w:rPr>
        <w:t xml:space="preserve"> (2019) identifies household size, education, farm area, marital status, and expenses as key determinants of farmers’ income levels. These factors magnify the adverse effects of import surges, as reduced farmgate prices combined with high input costs leave farmers unable to meet basic household needs.</w:t>
      </w:r>
    </w:p>
    <w:p w14:paraId="33EB65D9" w14:textId="312B111F" w:rsidR="0056770E" w:rsidRPr="0056770E" w:rsidRDefault="0056770E" w:rsidP="0056770E">
      <w:pPr>
        <w:pStyle w:val="AbstHead"/>
        <w:jc w:val="both"/>
        <w:rPr>
          <w:rFonts w:ascii="Arial" w:hAnsi="Arial" w:cs="Arial"/>
          <w:b w:val="0"/>
          <w:caps w:val="0"/>
          <w:sz w:val="20"/>
        </w:rPr>
      </w:pPr>
      <w:r w:rsidRPr="0056770E">
        <w:rPr>
          <w:rFonts w:ascii="Arial" w:hAnsi="Arial" w:cs="Arial"/>
          <w:b w:val="0"/>
          <w:caps w:val="0"/>
          <w:sz w:val="20"/>
        </w:rPr>
        <w:t xml:space="preserve">Production trends following RTL further complicate the picture. Although the Department of Agriculture reports yield increases from 2019 to 2021, Matai et al. (2019) argue that while supply grew and prices declined, producers did not benefit proportionately. Several studies (Briones, 2020; Valera, 2020; </w:t>
      </w:r>
      <w:proofErr w:type="spellStart"/>
      <w:r w:rsidRPr="0056770E">
        <w:rPr>
          <w:rFonts w:ascii="Arial" w:hAnsi="Arial" w:cs="Arial"/>
          <w:b w:val="0"/>
          <w:caps w:val="0"/>
          <w:sz w:val="20"/>
        </w:rPr>
        <w:t>Cororaton</w:t>
      </w:r>
      <w:proofErr w:type="spellEnd"/>
      <w:r w:rsidRPr="0056770E">
        <w:rPr>
          <w:rFonts w:ascii="Arial" w:hAnsi="Arial" w:cs="Arial"/>
          <w:b w:val="0"/>
          <w:caps w:val="0"/>
          <w:sz w:val="20"/>
        </w:rPr>
        <w:t xml:space="preserve"> &amp; Yu, 2019) similarly conclude that although the policy creates net gains at the national level, these gains accrue primarily to consumers, importers, and traders rather than to farmers. Earlier work by Cabling (2006), </w:t>
      </w:r>
      <w:proofErr w:type="spellStart"/>
      <w:r w:rsidRPr="0056770E">
        <w:rPr>
          <w:rFonts w:ascii="Arial" w:hAnsi="Arial" w:cs="Arial"/>
          <w:b w:val="0"/>
          <w:caps w:val="0"/>
          <w:sz w:val="20"/>
        </w:rPr>
        <w:t>Dalwe</w:t>
      </w:r>
      <w:proofErr w:type="spellEnd"/>
      <w:r w:rsidRPr="0056770E">
        <w:rPr>
          <w:rFonts w:ascii="Arial" w:hAnsi="Arial" w:cs="Arial"/>
          <w:b w:val="0"/>
          <w:caps w:val="0"/>
          <w:sz w:val="20"/>
        </w:rPr>
        <w:t xml:space="preserve"> (2006), and Moya et al. (2016) also highlights persistent structural constraints—high production costs, limited paddy supply, and chronic rural poverty—which push farmers toward low-wage urban employment (</w:t>
      </w:r>
      <w:proofErr w:type="spellStart"/>
      <w:r w:rsidRPr="0056770E">
        <w:rPr>
          <w:rFonts w:ascii="Arial" w:hAnsi="Arial" w:cs="Arial"/>
          <w:b w:val="0"/>
          <w:caps w:val="0"/>
          <w:sz w:val="20"/>
        </w:rPr>
        <w:t>Palis</w:t>
      </w:r>
      <w:proofErr w:type="spellEnd"/>
      <w:r w:rsidRPr="0056770E">
        <w:rPr>
          <w:rFonts w:ascii="Arial" w:hAnsi="Arial" w:cs="Arial"/>
          <w:b w:val="0"/>
          <w:caps w:val="0"/>
          <w:sz w:val="20"/>
        </w:rPr>
        <w:t>, 2020) and contribute to abandoned farmland.</w:t>
      </w:r>
    </w:p>
    <w:p w14:paraId="1E3593F4" w14:textId="5C3CA2CF" w:rsidR="0056770E" w:rsidRPr="0056770E" w:rsidRDefault="0056770E" w:rsidP="0056770E">
      <w:pPr>
        <w:pStyle w:val="AbstHead"/>
        <w:jc w:val="both"/>
        <w:rPr>
          <w:rFonts w:ascii="Arial" w:hAnsi="Arial" w:cs="Arial"/>
          <w:b w:val="0"/>
          <w:caps w:val="0"/>
          <w:sz w:val="20"/>
        </w:rPr>
      </w:pPr>
      <w:r w:rsidRPr="0056770E">
        <w:rPr>
          <w:rFonts w:ascii="Arial" w:hAnsi="Arial" w:cs="Arial"/>
          <w:b w:val="0"/>
          <w:caps w:val="0"/>
          <w:sz w:val="20"/>
        </w:rPr>
        <w:t xml:space="preserve">Recent international literature provides a broader context for understanding RTL within global trade dynamics. </w:t>
      </w:r>
      <w:proofErr w:type="spellStart"/>
      <w:r w:rsidRPr="0056770E">
        <w:rPr>
          <w:rFonts w:ascii="Arial" w:hAnsi="Arial" w:cs="Arial"/>
          <w:b w:val="0"/>
          <w:caps w:val="0"/>
          <w:sz w:val="20"/>
        </w:rPr>
        <w:t>Puślecki</w:t>
      </w:r>
      <w:proofErr w:type="spellEnd"/>
      <w:r w:rsidRPr="0056770E">
        <w:rPr>
          <w:rFonts w:ascii="Arial" w:hAnsi="Arial" w:cs="Arial"/>
          <w:b w:val="0"/>
          <w:caps w:val="0"/>
          <w:sz w:val="20"/>
        </w:rPr>
        <w:t xml:space="preserve"> (2019) argues that shifts in international business structures and global economic integration influence how domestic agricultural sectors respond to trade liberalization. These global shifts, particularly the rise of complex supply chains and bilateral trade agreements, play a critical role in determining which actors benefit from liberalized markets (</w:t>
      </w:r>
      <w:proofErr w:type="spellStart"/>
      <w:r w:rsidRPr="0056770E">
        <w:rPr>
          <w:rFonts w:ascii="Arial" w:hAnsi="Arial" w:cs="Arial"/>
          <w:b w:val="0"/>
          <w:caps w:val="0"/>
          <w:sz w:val="20"/>
        </w:rPr>
        <w:t>Puślecki</w:t>
      </w:r>
      <w:proofErr w:type="spellEnd"/>
      <w:r w:rsidRPr="0056770E">
        <w:rPr>
          <w:rFonts w:ascii="Arial" w:hAnsi="Arial" w:cs="Arial"/>
          <w:b w:val="0"/>
          <w:caps w:val="0"/>
          <w:sz w:val="20"/>
        </w:rPr>
        <w:t>, 2022c). The COVID-19 pandemic further intensified vulnerabilities in global agricultural supply chains, demonstrating that countries with high import dependence—such as the Philippines—face greater risks during global disruptions (</w:t>
      </w:r>
      <w:proofErr w:type="spellStart"/>
      <w:r w:rsidRPr="0056770E">
        <w:rPr>
          <w:rFonts w:ascii="Arial" w:hAnsi="Arial" w:cs="Arial"/>
          <w:b w:val="0"/>
          <w:caps w:val="0"/>
          <w:sz w:val="20"/>
        </w:rPr>
        <w:t>Puślecki</w:t>
      </w:r>
      <w:proofErr w:type="spellEnd"/>
      <w:r w:rsidRPr="0056770E">
        <w:rPr>
          <w:rFonts w:ascii="Arial" w:hAnsi="Arial" w:cs="Arial"/>
          <w:b w:val="0"/>
          <w:caps w:val="0"/>
          <w:sz w:val="20"/>
        </w:rPr>
        <w:t xml:space="preserve">, 2020; </w:t>
      </w:r>
      <w:proofErr w:type="spellStart"/>
      <w:r w:rsidRPr="0056770E">
        <w:rPr>
          <w:rFonts w:ascii="Arial" w:hAnsi="Arial" w:cs="Arial"/>
          <w:b w:val="0"/>
          <w:caps w:val="0"/>
          <w:sz w:val="20"/>
        </w:rPr>
        <w:t>Puślecki</w:t>
      </w:r>
      <w:proofErr w:type="spellEnd"/>
      <w:r w:rsidRPr="0056770E">
        <w:rPr>
          <w:rFonts w:ascii="Arial" w:hAnsi="Arial" w:cs="Arial"/>
          <w:b w:val="0"/>
          <w:caps w:val="0"/>
          <w:sz w:val="20"/>
        </w:rPr>
        <w:t>, 2022b). These studies underscore the importance of aligning domestic policy reforms, such as RTL, with broader global economic trends to ensure long-term resilience and competitiveness.</w:t>
      </w:r>
    </w:p>
    <w:p w14:paraId="40559C2C" w14:textId="34A124EE" w:rsidR="0056770E" w:rsidRPr="0056770E" w:rsidRDefault="0056770E" w:rsidP="0056770E">
      <w:pPr>
        <w:pStyle w:val="AbstHead"/>
        <w:jc w:val="both"/>
        <w:rPr>
          <w:rFonts w:ascii="Arial" w:hAnsi="Arial" w:cs="Arial"/>
          <w:b w:val="0"/>
          <w:caps w:val="0"/>
          <w:sz w:val="20"/>
        </w:rPr>
      </w:pPr>
      <w:r w:rsidRPr="0056770E">
        <w:rPr>
          <w:rFonts w:ascii="Arial" w:hAnsi="Arial" w:cs="Arial"/>
          <w:b w:val="0"/>
          <w:caps w:val="0"/>
          <w:sz w:val="20"/>
        </w:rPr>
        <w:t>The combined literature suggests a common pattern: RTL produces differential impacts across sectors, households, and regions—benefiting consumers through lower prices while placing rice farmers at a disadvantage due to heightened import competition. However, most existing research remains largely descriptive, focusing on price shifts, welfare outcomes, or production trends. There is limited empirical work examining RTL’s ex-ante effects on farmers’ income and occupational mobility using nationally representative microdata. Moreover, no existing study integrates microsimulation with multinomial logistic regression to quantify how economic changes brought by RTL influence farmers’ decisions to remain in agriculture or transition to other occupations.</w:t>
      </w:r>
    </w:p>
    <w:p w14:paraId="2F860E3C" w14:textId="77777777" w:rsidR="0056770E" w:rsidRDefault="0056770E" w:rsidP="0056770E">
      <w:pPr>
        <w:pStyle w:val="AbstHead"/>
        <w:spacing w:after="0"/>
        <w:jc w:val="both"/>
        <w:rPr>
          <w:rFonts w:ascii="Arial" w:hAnsi="Arial" w:cs="Arial"/>
          <w:b w:val="0"/>
          <w:caps w:val="0"/>
          <w:sz w:val="20"/>
        </w:rPr>
      </w:pPr>
      <w:r w:rsidRPr="0056770E">
        <w:rPr>
          <w:rFonts w:ascii="Arial" w:hAnsi="Arial" w:cs="Arial"/>
          <w:b w:val="0"/>
          <w:caps w:val="0"/>
          <w:sz w:val="20"/>
        </w:rPr>
        <w:t xml:space="preserve">This study addresses these conceptual and methodological gaps by combining microsimulation and multinomial logistic regression to assess RTL’s ex-ante impacts on income distribution and occupational </w:t>
      </w:r>
      <w:r w:rsidRPr="0056770E">
        <w:rPr>
          <w:rFonts w:ascii="Arial" w:hAnsi="Arial" w:cs="Arial"/>
          <w:b w:val="0"/>
          <w:caps w:val="0"/>
          <w:sz w:val="20"/>
        </w:rPr>
        <w:lastRenderedPageBreak/>
        <w:t>shifts among rice farmers, providing a more comprehensive and data-driven understanding of the policy’s implications within both domestic and global economic contexts.</w:t>
      </w:r>
    </w:p>
    <w:p w14:paraId="6A19BD72" w14:textId="77777777" w:rsidR="0056770E" w:rsidRDefault="0056770E" w:rsidP="0056770E">
      <w:pPr>
        <w:pStyle w:val="AbstHead"/>
        <w:spacing w:after="0"/>
        <w:jc w:val="both"/>
        <w:rPr>
          <w:rFonts w:ascii="Arial" w:hAnsi="Arial" w:cs="Arial"/>
          <w:b w:val="0"/>
          <w:caps w:val="0"/>
          <w:sz w:val="20"/>
        </w:rPr>
      </w:pPr>
    </w:p>
    <w:p w14:paraId="4C1218F3" w14:textId="44DCEA6A" w:rsidR="007F7B32" w:rsidRDefault="00902823" w:rsidP="0056770E">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6D53FAD7" w14:textId="77777777" w:rsidR="00790ADA" w:rsidRPr="00FB3A86" w:rsidRDefault="00790ADA" w:rsidP="00441B6F">
      <w:pPr>
        <w:pStyle w:val="AbstHead"/>
        <w:spacing w:after="0"/>
        <w:jc w:val="both"/>
        <w:rPr>
          <w:rFonts w:ascii="Arial" w:hAnsi="Arial" w:cs="Arial"/>
        </w:rPr>
      </w:pPr>
    </w:p>
    <w:p w14:paraId="480471B3" w14:textId="50214952" w:rsidR="00FD63DC" w:rsidRPr="00FD63DC" w:rsidRDefault="00FD63DC" w:rsidP="00FD63DC">
      <w:pPr>
        <w:pStyle w:val="Body"/>
        <w:rPr>
          <w:rFonts w:ascii="Arial" w:hAnsi="Arial" w:cs="Arial"/>
        </w:rPr>
      </w:pPr>
      <w:r w:rsidRPr="00FD63DC">
        <w:rPr>
          <w:rFonts w:ascii="Arial" w:hAnsi="Arial" w:cs="Arial"/>
        </w:rPr>
        <w:t xml:space="preserve">This study employed a microsimulation model to estimate the ex-ante effects of the Rice </w:t>
      </w:r>
      <w:proofErr w:type="spellStart"/>
      <w:r w:rsidRPr="00FD63DC">
        <w:rPr>
          <w:rFonts w:ascii="Arial" w:hAnsi="Arial" w:cs="Arial"/>
        </w:rPr>
        <w:t>Tariffication</w:t>
      </w:r>
      <w:proofErr w:type="spellEnd"/>
      <w:r w:rsidRPr="00FD63DC">
        <w:rPr>
          <w:rFonts w:ascii="Arial" w:hAnsi="Arial" w:cs="Arial"/>
        </w:rPr>
        <w:t xml:space="preserve"> Law (RTL) on the income and occupational decisions of rice farmers. Microsimulation was selected because it allows for a detailed and household-specific assessment of how policy reforms alter welfare outcomes, particularly when policy features—such as subsidies, machinery distribution, and credit programs—can be directly embedded in the estimation process. Guided by the principles of new trade theory, the model examined how changes in tariffs and market conditions under RTL translated into income adjustments for farming households. The methodological process followed three major stages. First, the specifications of RTL were identified based on the provisions of the Rice Competitiveness Enhancement Fund (RCEF), which outlines several forms of support intended to improve productivity. These include the distribution of various farm machineries by </w:t>
      </w:r>
      <w:proofErr w:type="spellStart"/>
      <w:r w:rsidRPr="00FD63DC">
        <w:rPr>
          <w:rFonts w:ascii="Arial" w:hAnsi="Arial" w:cs="Arial"/>
        </w:rPr>
        <w:t>PhilMech</w:t>
      </w:r>
      <w:proofErr w:type="spellEnd"/>
      <w:r w:rsidRPr="00FD63DC">
        <w:rPr>
          <w:rFonts w:ascii="Arial" w:hAnsi="Arial" w:cs="Arial"/>
        </w:rPr>
        <w:t>, the provision of inbred rice seeds through PhilRice, and financial assistance delivered by the Land Bank of the Philippines (LBP) and the Development Bank of the Philippines (DBP). The model assumed that these interventions would reduce production costs and increase efficiency for farmer-beneficiaries.</w:t>
      </w:r>
    </w:p>
    <w:p w14:paraId="7CC19A0F" w14:textId="1C4B7071" w:rsidR="00FD63DC" w:rsidRPr="00FD63DC" w:rsidRDefault="00FD63DC" w:rsidP="00FD63DC">
      <w:pPr>
        <w:pStyle w:val="Body"/>
        <w:rPr>
          <w:rFonts w:ascii="Arial" w:hAnsi="Arial" w:cs="Arial"/>
        </w:rPr>
      </w:pPr>
      <w:r w:rsidRPr="00FD63DC">
        <w:rPr>
          <w:rFonts w:ascii="Arial" w:hAnsi="Arial" w:cs="Arial"/>
        </w:rPr>
        <w:t xml:space="preserve">The second stage involved integrating these RTL provisions into the microsimulation framework adapted from </w:t>
      </w:r>
      <w:proofErr w:type="spellStart"/>
      <w:r w:rsidRPr="00FD63DC">
        <w:rPr>
          <w:rFonts w:ascii="Arial" w:hAnsi="Arial" w:cs="Arial"/>
        </w:rPr>
        <w:t>Dizon</w:t>
      </w:r>
      <w:proofErr w:type="spellEnd"/>
      <w:r w:rsidRPr="00FD63DC">
        <w:rPr>
          <w:rFonts w:ascii="Arial" w:hAnsi="Arial" w:cs="Arial"/>
        </w:rPr>
        <w:t xml:space="preserve"> (2019), which was originally applied to study the TRAIN Law. Households were grouped based on RTL recipient status, work classification of the household head, specific agricultural industry codes related to rice production, and geographic region. Baseline net income was computed by subtracting total household expenditures from total income prior to RTL adjustments. To address potential sample selection bias in income reporting, the Heckman two-step model was applied to estimate wage and non-wage income components more accurately. Once the baseline income was established, RTL specifications were introduced into the model to simulate changes in overall income during the policy period. In the final stage, the estimated post-RTL income was used in a multinomial logistic regression to predict occupational transitions across four categories: wage work, entrepreneurial rice farming, entrepreneurial non-rice farming, and unemployment. This allowed the study to assess how income variations influenced farmers’ decisions to remain in or exit rice farming.</w:t>
      </w:r>
    </w:p>
    <w:p w14:paraId="7D1695E4" w14:textId="32E87E8B" w:rsidR="00FD63DC" w:rsidRPr="00FD63DC" w:rsidRDefault="00FD63DC" w:rsidP="00FD63DC">
      <w:pPr>
        <w:pStyle w:val="Body"/>
        <w:rPr>
          <w:rFonts w:ascii="Arial" w:hAnsi="Arial" w:cs="Arial"/>
        </w:rPr>
      </w:pPr>
      <w:r w:rsidRPr="00FD63DC">
        <w:rPr>
          <w:rFonts w:ascii="Arial" w:hAnsi="Arial" w:cs="Arial"/>
        </w:rPr>
        <w:t xml:space="preserve">To ensure the reliability of the microsimulation estimates, several validation procedures were carried out. Internal validation involved comparing baseline simulated incomes with actual reported incomes from the 2018 Family Income and Expenditure Survey (FIES), which showed close alignment and indicated that the model accurately reflected pre-RTL economic conditions. Sensitivity checks were also performed by adjusting key assumptions—such as tariff pass-through rates and productivity gains—ensuring that the results remained consistent even under varying parameter scenarios. Moreover, the direction of simulated price and income effects was cross-checked against empirical findings from studies such as </w:t>
      </w:r>
      <w:proofErr w:type="spellStart"/>
      <w:r w:rsidRPr="00FD63DC">
        <w:rPr>
          <w:rFonts w:ascii="Arial" w:hAnsi="Arial" w:cs="Arial"/>
        </w:rPr>
        <w:t>Balie</w:t>
      </w:r>
      <w:proofErr w:type="spellEnd"/>
      <w:r w:rsidRPr="00FD63DC">
        <w:rPr>
          <w:rFonts w:ascii="Arial" w:hAnsi="Arial" w:cs="Arial"/>
        </w:rPr>
        <w:t xml:space="preserve"> et al. (2020) and Briones (2020), strengthening the credibility of the model.</w:t>
      </w:r>
    </w:p>
    <w:p w14:paraId="099DD151" w14:textId="09F6B1B8" w:rsidR="000929F8" w:rsidRDefault="00FD63DC" w:rsidP="00FD63DC">
      <w:pPr>
        <w:pStyle w:val="Body"/>
        <w:spacing w:after="0"/>
        <w:rPr>
          <w:rFonts w:ascii="Arial" w:hAnsi="Arial" w:cs="Arial"/>
        </w:rPr>
      </w:pPr>
      <w:r w:rsidRPr="00FD63DC">
        <w:rPr>
          <w:rFonts w:ascii="Arial" w:hAnsi="Arial" w:cs="Arial"/>
        </w:rPr>
        <w:t xml:space="preserve">Despite the robustness of the methodological design, some limitations must be acknowledged. Since the 2018 FIES predates RTL implementation, the study relies on ex-ante simulations rather than actual post-policy data, which may not fully capture real-world behavioral responses. Productivity gains from RCEF interventions were based on documented averages and may not reflect significant regional variation. Additionally, predicted occupational changes represent estimated probabilities and may not account for unmeasured factors such as land access, migration constraints, climate risks, and local market conditions. Finally, the reliance on aggregated household-level income data may underestimate informal earnings among farming households. Nevertheless, the combined use of microsimulation and multinomial logistic regression provides a systematic and transparent approach to evaluating RTL’s expected effects on income distribution and occupational </w:t>
      </w:r>
      <w:proofErr w:type="spellStart"/>
      <w:proofErr w:type="gramStart"/>
      <w:r w:rsidRPr="00FD63DC">
        <w:rPr>
          <w:rFonts w:ascii="Arial" w:hAnsi="Arial" w:cs="Arial"/>
        </w:rPr>
        <w:t>mobility.</w:t>
      </w:r>
      <w:r w:rsidR="003B26A3" w:rsidRPr="003B26A3">
        <w:rPr>
          <w:rFonts w:ascii="Arial" w:hAnsi="Arial" w:cs="Arial"/>
        </w:rPr>
        <w:t>After</w:t>
      </w:r>
      <w:proofErr w:type="spellEnd"/>
      <w:proofErr w:type="gramEnd"/>
      <w:r w:rsidR="003B26A3" w:rsidRPr="003B26A3">
        <w:rPr>
          <w:rFonts w:ascii="Arial" w:hAnsi="Arial" w:cs="Arial"/>
        </w:rPr>
        <w:t xml:space="preserve"> applying the filtration process, the next step involves estimating the employment status as either rice farmers or non-rice farmers using </w:t>
      </w:r>
      <w:proofErr w:type="spellStart"/>
      <w:r w:rsidR="003B26A3" w:rsidRPr="003B26A3">
        <w:rPr>
          <w:rFonts w:ascii="Arial" w:hAnsi="Arial" w:cs="Arial"/>
        </w:rPr>
        <w:t>probit</w:t>
      </w:r>
      <w:proofErr w:type="spellEnd"/>
      <w:r w:rsidR="003B26A3" w:rsidRPr="003B26A3">
        <w:rPr>
          <w:rFonts w:ascii="Arial" w:hAnsi="Arial" w:cs="Arial"/>
        </w:rPr>
        <w:t xml:space="preserve"> logistic regression for the selection equation.</w:t>
      </w:r>
    </w:p>
    <w:p w14:paraId="580C932B" w14:textId="77777777" w:rsidR="000929F8" w:rsidRDefault="000929F8">
      <w:pPr>
        <w:rPr>
          <w:rFonts w:ascii="Arial" w:hAnsi="Arial" w:cs="Arial"/>
        </w:rPr>
      </w:pPr>
      <w:r>
        <w:rPr>
          <w:rFonts w:ascii="Arial" w:hAnsi="Arial" w:cs="Arial"/>
        </w:rPr>
        <w:br w:type="page"/>
      </w:r>
    </w:p>
    <w:p w14:paraId="138FAD43" w14:textId="77777777" w:rsidR="003B26A3" w:rsidRPr="003B26A3" w:rsidRDefault="003B26A3" w:rsidP="00FD63DC">
      <w:pPr>
        <w:pStyle w:val="Body"/>
        <w:spacing w:after="0"/>
        <w:rPr>
          <w:rFonts w:ascii="Arial" w:hAnsi="Arial" w:cs="Arial"/>
        </w:rPr>
      </w:pPr>
    </w:p>
    <w:p w14:paraId="7E9A4E2A" w14:textId="77777777" w:rsidR="003B26A3" w:rsidRPr="003B26A3" w:rsidRDefault="003B26A3" w:rsidP="003B26A3">
      <w:pPr>
        <w:pStyle w:val="Body"/>
        <w:spacing w:after="0"/>
        <w:rPr>
          <w:rFonts w:ascii="Arial" w:hAnsi="Arial" w:cs="Arial"/>
        </w:rPr>
      </w:pPr>
    </w:p>
    <w:p w14:paraId="76AD0698" w14:textId="77777777" w:rsidR="003B26A3" w:rsidRPr="00540A02" w:rsidRDefault="003B26A3" w:rsidP="003B26A3">
      <w:pPr>
        <w:pStyle w:val="Body"/>
        <w:spacing w:after="0"/>
        <w:rPr>
          <w:rFonts w:ascii="Arial" w:hAnsi="Arial" w:cs="Arial"/>
        </w:rPr>
      </w:pPr>
    </w:p>
    <w:p w14:paraId="0FADAEA5" w14:textId="77777777" w:rsidR="003B26A3" w:rsidRPr="00540A02" w:rsidRDefault="00F14F82" w:rsidP="003B26A3">
      <w:pPr>
        <w:jc w:val="both"/>
        <w:rPr>
          <w:rFonts w:ascii="Arial" w:hAnsi="Arial" w:cs="Arial"/>
          <w:b/>
          <w:bCs/>
        </w:rPr>
      </w:pPr>
      <m:oMathPara>
        <m:oMath>
          <m:eqArr>
            <m:eqArrPr>
              <m:maxDist m:val="1"/>
              <m:ctrlPr>
                <w:rPr>
                  <w:rFonts w:ascii="Cambria Math" w:hAnsi="Cambria Math" w:cs="Arial"/>
                  <w:i/>
                </w:rPr>
              </m:ctrlPr>
            </m:eqArrPr>
            <m:e>
              <m:sSubSup>
                <m:sSubSupPr>
                  <m:ctrlPr>
                    <w:rPr>
                      <w:rFonts w:ascii="Cambria Math" w:hAnsi="Cambria Math" w:cs="Arial"/>
                      <w:i/>
                    </w:rPr>
                  </m:ctrlPr>
                </m:sSubSupPr>
                <m:e>
                  <m:r>
                    <w:rPr>
                      <w:rFonts w:ascii="Cambria Math" w:hAnsi="Cambria Math" w:cs="Arial"/>
                    </w:rPr>
                    <m:t>s</m:t>
                  </m:r>
                </m:e>
                <m:sub>
                  <m:r>
                    <w:rPr>
                      <w:rFonts w:ascii="Cambria Math" w:hAnsi="Cambria Math" w:cs="Arial"/>
                    </w:rPr>
                    <m:t>i</m:t>
                  </m:r>
                </m:sub>
                <m:sup>
                  <m:r>
                    <w:rPr>
                      <w:rFonts w:ascii="Cambria Math" w:hAnsi="Cambria Math" w:cs="Arial"/>
                    </w:rPr>
                    <m:t>*</m:t>
                  </m:r>
                </m:sup>
              </m:sSubSup>
              <m:r>
                <w:rPr>
                  <w:rFonts w:ascii="Cambria Math" w:hAnsi="Cambria Math" w:cs="Arial"/>
                </w:rPr>
                <m:t>=γ</m:t>
              </m:r>
              <m:sSub>
                <m:sSubPr>
                  <m:ctrlPr>
                    <w:rPr>
                      <w:rFonts w:ascii="Cambria Math" w:hAnsi="Cambria Math" w:cs="Arial"/>
                      <w:i/>
                    </w:rPr>
                  </m:ctrlPr>
                </m:sSubPr>
                <m:e>
                  <m:r>
                    <w:rPr>
                      <w:rFonts w:ascii="Cambria Math" w:hAnsi="Cambria Math" w:cs="Arial"/>
                    </w:rPr>
                    <m:t>Ζ</m:t>
                  </m:r>
                </m:e>
                <m:sub>
                  <m:r>
                    <w:rPr>
                      <w:rFonts w:ascii="Cambria Math" w:hAnsi="Cambria Math" w:cs="Arial"/>
                    </w:rPr>
                    <m:t>i</m:t>
                  </m:r>
                </m:sub>
              </m:sSub>
              <m:r>
                <w:rPr>
                  <w:rFonts w:ascii="Cambria Math" w:hAnsi="Cambria Math" w:cs="Arial"/>
                </w:rPr>
                <m:t>+</m:t>
              </m:r>
              <m:sSub>
                <m:sSubPr>
                  <m:ctrlPr>
                    <w:rPr>
                      <w:rFonts w:ascii="Cambria Math" w:hAnsi="Cambria Math" w:cs="Arial"/>
                      <w:i/>
                    </w:rPr>
                  </m:ctrlPr>
                </m:sSubPr>
                <m:e>
                  <m:r>
                    <w:rPr>
                      <w:rFonts w:ascii="Cambria Math" w:hAnsi="Cambria Math" w:cs="Arial"/>
                    </w:rPr>
                    <m:t>u</m:t>
                  </m:r>
                </m:e>
                <m:sub>
                  <m:r>
                    <w:rPr>
                      <w:rFonts w:ascii="Cambria Math" w:hAnsi="Cambria Math" w:cs="Arial"/>
                    </w:rPr>
                    <m:t>i</m:t>
                  </m:r>
                </m:sub>
              </m:sSub>
              <m:r>
                <w:rPr>
                  <w:rFonts w:ascii="Cambria Math" w:hAnsi="Cambria Math" w:cs="Arial"/>
                </w:rPr>
                <m:t>#</m:t>
              </m:r>
              <m:d>
                <m:dPr>
                  <m:ctrlPr>
                    <w:rPr>
                      <w:rFonts w:ascii="Cambria Math" w:hAnsi="Cambria Math" w:cs="Arial"/>
                      <w:i/>
                    </w:rPr>
                  </m:ctrlPr>
                </m:dPr>
                <m:e>
                  <m:r>
                    <w:rPr>
                      <w:rFonts w:ascii="Cambria Math" w:hAnsi="Cambria Math" w:cs="Arial"/>
                    </w:rPr>
                    <m:t>1</m:t>
                  </m:r>
                </m:e>
              </m:d>
            </m:e>
          </m:eqArr>
        </m:oMath>
      </m:oMathPara>
    </w:p>
    <w:p w14:paraId="119BE92D" w14:textId="1511AFC9" w:rsidR="003B26A3" w:rsidRPr="003B26A3" w:rsidRDefault="00F14F82" w:rsidP="003B26A3">
      <w:pPr>
        <w:pStyle w:val="Body"/>
        <w:spacing w:after="0"/>
        <w:rPr>
          <w:rFonts w:ascii="Arial" w:hAnsi="Arial" w:cs="Arial"/>
        </w:rPr>
      </w:pPr>
      <m:oMathPara>
        <m:oMath>
          <m:eqArr>
            <m:eqArrPr>
              <m:maxDist m:val="1"/>
              <m:ctrlPr>
                <w:rPr>
                  <w:rFonts w:ascii="Cambria Math" w:hAnsi="Cambria Math" w:cs="Arial"/>
                  <w:i/>
                </w:rPr>
              </m:ctrlPr>
            </m:eqArrPr>
            <m:e>
              <m:sSub>
                <m:sSubPr>
                  <m:ctrlPr>
                    <w:rPr>
                      <w:rFonts w:ascii="Cambria Math" w:hAnsi="Cambria Math" w:cs="Arial"/>
                      <w:i/>
                    </w:rPr>
                  </m:ctrlPr>
                </m:sSubPr>
                <m:e>
                  <m:r>
                    <w:rPr>
                      <w:rFonts w:ascii="Cambria Math" w:hAnsi="Cambria Math" w:cs="Arial"/>
                    </w:rPr>
                    <m:t>s</m:t>
                  </m:r>
                </m:e>
                <m:sub>
                  <m:r>
                    <w:rPr>
                      <w:rFonts w:ascii="Cambria Math" w:hAnsi="Cambria Math" w:cs="Arial"/>
                    </w:rPr>
                    <m:t>i</m:t>
                  </m:r>
                </m:sub>
              </m:sSub>
              <m:d>
                <m:dPr>
                  <m:begChr m:val="{"/>
                  <m:endChr m:val=""/>
                  <m:ctrlPr>
                    <w:rPr>
                      <w:rFonts w:ascii="Cambria Math" w:hAnsi="Cambria Math" w:cs="Arial"/>
                      <w:i/>
                    </w:rPr>
                  </m:ctrlPr>
                </m:dPr>
                <m:e>
                  <m:eqArr>
                    <m:eqArrPr>
                      <m:ctrlPr>
                        <w:rPr>
                          <w:rFonts w:ascii="Cambria Math" w:hAnsi="Cambria Math" w:cs="Arial"/>
                          <w:i/>
                        </w:rPr>
                      </m:ctrlPr>
                    </m:eqArrPr>
                    <m:e>
                      <m:r>
                        <w:rPr>
                          <w:rFonts w:ascii="Cambria Math" w:hAnsi="Cambria Math" w:cs="Arial"/>
                        </w:rPr>
                        <m:t>1           if           &amp;</m:t>
                      </m:r>
                      <m:sSubSup>
                        <m:sSubSupPr>
                          <m:ctrlPr>
                            <w:rPr>
                              <w:rFonts w:ascii="Cambria Math" w:hAnsi="Cambria Math" w:cs="Arial"/>
                              <w:i/>
                            </w:rPr>
                          </m:ctrlPr>
                        </m:sSubSupPr>
                        <m:e>
                          <m:r>
                            <w:rPr>
                              <w:rFonts w:ascii="Cambria Math" w:hAnsi="Cambria Math" w:cs="Arial"/>
                            </w:rPr>
                            <m:t>s</m:t>
                          </m:r>
                        </m:e>
                        <m:sub>
                          <m:r>
                            <w:rPr>
                              <w:rFonts w:ascii="Cambria Math" w:hAnsi="Cambria Math" w:cs="Arial"/>
                            </w:rPr>
                            <m:t>i</m:t>
                          </m:r>
                        </m:sub>
                        <m:sup>
                          <m:r>
                            <w:rPr>
                              <w:rFonts w:ascii="Cambria Math" w:hAnsi="Cambria Math" w:cs="Arial"/>
                            </w:rPr>
                            <m:t>*</m:t>
                          </m:r>
                        </m:sup>
                      </m:sSubSup>
                      <m:r>
                        <w:rPr>
                          <w:rFonts w:ascii="Cambria Math" w:hAnsi="Cambria Math" w:cs="Arial"/>
                        </w:rPr>
                        <m:t>&gt;0</m:t>
                      </m:r>
                    </m:e>
                    <m:e>
                      <m:r>
                        <w:rPr>
                          <w:rFonts w:ascii="Cambria Math" w:hAnsi="Cambria Math" w:cs="Arial"/>
                        </w:rPr>
                        <m:t xml:space="preserve">0           if           </m:t>
                      </m:r>
                      <m:sSubSup>
                        <m:sSubSupPr>
                          <m:ctrlPr>
                            <w:rPr>
                              <w:rFonts w:ascii="Cambria Math" w:hAnsi="Cambria Math" w:cs="Arial"/>
                              <w:i/>
                            </w:rPr>
                          </m:ctrlPr>
                        </m:sSubSupPr>
                        <m:e>
                          <m:r>
                            <w:rPr>
                              <w:rFonts w:ascii="Cambria Math" w:hAnsi="Cambria Math" w:cs="Arial"/>
                            </w:rPr>
                            <m:t>s</m:t>
                          </m:r>
                        </m:e>
                        <m:sub>
                          <m:r>
                            <w:rPr>
                              <w:rFonts w:ascii="Cambria Math" w:hAnsi="Cambria Math" w:cs="Arial"/>
                            </w:rPr>
                            <m:t>i</m:t>
                          </m:r>
                        </m:sub>
                        <m:sup>
                          <m:r>
                            <w:rPr>
                              <w:rFonts w:ascii="Cambria Math" w:hAnsi="Cambria Math" w:cs="Arial"/>
                            </w:rPr>
                            <m:t>*</m:t>
                          </m:r>
                        </m:sup>
                      </m:sSubSup>
                      <m:r>
                        <w:rPr>
                          <w:rFonts w:ascii="Cambria Math" w:hAnsi="Cambria Math" w:cs="Arial"/>
                        </w:rPr>
                        <m:t>&gt;0</m:t>
                      </m:r>
                    </m:e>
                  </m:eqArr>
                </m:e>
              </m:d>
              <m:r>
                <w:rPr>
                  <w:rFonts w:ascii="Cambria Math" w:hAnsi="Cambria Math" w:cs="Arial"/>
                </w:rPr>
                <m:t>#</m:t>
              </m:r>
              <m:d>
                <m:dPr>
                  <m:ctrlPr>
                    <w:rPr>
                      <w:rFonts w:ascii="Cambria Math" w:hAnsi="Cambria Math" w:cs="Arial"/>
                      <w:i/>
                    </w:rPr>
                  </m:ctrlPr>
                </m:dPr>
                <m:e>
                  <m:r>
                    <w:rPr>
                      <w:rFonts w:ascii="Cambria Math" w:hAnsi="Cambria Math" w:cs="Arial"/>
                    </w:rPr>
                    <m:t>2</m:t>
                  </m:r>
                </m:e>
              </m:d>
            </m:e>
          </m:eqArr>
        </m:oMath>
      </m:oMathPara>
    </w:p>
    <w:p w14:paraId="1D92775D" w14:textId="77777777" w:rsidR="003B26A3" w:rsidRPr="003B26A3" w:rsidRDefault="003B26A3" w:rsidP="003B26A3">
      <w:pPr>
        <w:pStyle w:val="Body"/>
        <w:spacing w:after="0"/>
        <w:rPr>
          <w:rFonts w:ascii="Arial" w:hAnsi="Arial" w:cs="Arial"/>
        </w:rPr>
      </w:pPr>
    </w:p>
    <w:p w14:paraId="53175D78" w14:textId="77777777" w:rsidR="003B26A3" w:rsidRPr="003B26A3" w:rsidRDefault="003B26A3" w:rsidP="003B26A3">
      <w:pPr>
        <w:pStyle w:val="Body"/>
        <w:spacing w:after="0"/>
        <w:rPr>
          <w:rFonts w:ascii="Arial" w:hAnsi="Arial" w:cs="Arial"/>
        </w:rPr>
      </w:pPr>
    </w:p>
    <w:p w14:paraId="1F1690C6" w14:textId="021B74F2" w:rsidR="003B26A3" w:rsidRPr="003B26A3" w:rsidRDefault="003B26A3" w:rsidP="003B26A3">
      <w:pPr>
        <w:pStyle w:val="Body"/>
        <w:rPr>
          <w:rFonts w:ascii="Arial" w:hAnsi="Arial" w:cs="Arial"/>
        </w:rPr>
      </w:pPr>
      <w:r w:rsidRPr="003B26A3">
        <w:rPr>
          <w:rFonts w:ascii="Arial" w:hAnsi="Arial" w:cs="Arial"/>
        </w:rPr>
        <w:t xml:space="preserve">Where, </w:t>
      </w:r>
      <w:proofErr w:type="spellStart"/>
      <w:r w:rsidRPr="003B26A3">
        <w:rPr>
          <w:rFonts w:ascii="Arial" w:hAnsi="Arial" w:cs="Arial"/>
        </w:rPr>
        <w:t>s_i</w:t>
      </w:r>
      <w:proofErr w:type="spellEnd"/>
      <w:r w:rsidRPr="003B26A3">
        <w:rPr>
          <w:rFonts w:ascii="Arial" w:hAnsi="Arial" w:cs="Arial"/>
        </w:rPr>
        <w:t xml:space="preserve">^* refers to the selection of an individual to be rice farmers (1) or </w:t>
      </w:r>
      <w:proofErr w:type="spellStart"/>
      <w:proofErr w:type="gramStart"/>
      <w:r w:rsidRPr="003B26A3">
        <w:rPr>
          <w:rFonts w:ascii="Arial" w:hAnsi="Arial" w:cs="Arial"/>
        </w:rPr>
        <w:t>non rice</w:t>
      </w:r>
      <w:proofErr w:type="spellEnd"/>
      <w:proofErr w:type="gramEnd"/>
      <w:r w:rsidRPr="003B26A3">
        <w:rPr>
          <w:rFonts w:ascii="Arial" w:hAnsi="Arial" w:cs="Arial"/>
        </w:rPr>
        <w:t xml:space="preserve"> farmers (0) given a suitable selection based from filtration applied.</w:t>
      </w:r>
    </w:p>
    <w:p w14:paraId="536CCD02" w14:textId="3FBCCFB3" w:rsidR="003B26A3" w:rsidRDefault="003B26A3" w:rsidP="003B26A3">
      <w:pPr>
        <w:pStyle w:val="Body"/>
        <w:spacing w:after="0"/>
        <w:rPr>
          <w:rFonts w:ascii="Arial" w:hAnsi="Arial" w:cs="Arial"/>
        </w:rPr>
      </w:pPr>
      <w:r w:rsidRPr="003B26A3">
        <w:rPr>
          <w:rFonts w:ascii="Arial" w:hAnsi="Arial" w:cs="Arial"/>
        </w:rPr>
        <w:t>The second step was the prediction of the natural logarithm of net income incorporating the estimated employment status. Moreover, this study used an Inverse Mill Ratio (</w:t>
      </w:r>
      <w:proofErr w:type="spellStart"/>
      <w:r w:rsidRPr="003B26A3">
        <w:rPr>
          <w:rFonts w:ascii="Arial" w:hAnsi="Arial" w:cs="Arial"/>
        </w:rPr>
        <w:t>Dizon</w:t>
      </w:r>
      <w:proofErr w:type="spellEnd"/>
      <w:r w:rsidRPr="003B26A3">
        <w:rPr>
          <w:rFonts w:ascii="Arial" w:hAnsi="Arial" w:cs="Arial"/>
        </w:rPr>
        <w:t>, 2020) to account for the selection bias in the model. This is given by the equation:</w:t>
      </w:r>
    </w:p>
    <w:p w14:paraId="0AA1AC73" w14:textId="77777777" w:rsidR="00540A02" w:rsidRDefault="00540A02" w:rsidP="003B26A3">
      <w:pPr>
        <w:pStyle w:val="Body"/>
        <w:spacing w:after="0"/>
        <w:rPr>
          <w:rFonts w:ascii="Arial" w:hAnsi="Arial" w:cs="Arial"/>
        </w:rPr>
      </w:pPr>
    </w:p>
    <w:p w14:paraId="72943889" w14:textId="77777777" w:rsidR="00540A02" w:rsidRPr="00540A02" w:rsidRDefault="00F14F82" w:rsidP="00540A02">
      <w:pPr>
        <w:jc w:val="both"/>
        <w:rPr>
          <w:rFonts w:ascii="Arial" w:eastAsiaTheme="minorEastAsia" w:hAnsi="Arial" w:cs="Arial"/>
        </w:rPr>
      </w:pPr>
      <m:oMathPara>
        <m:oMath>
          <m:eqArr>
            <m:eqArrPr>
              <m:maxDist m:val="1"/>
              <m:ctrlPr>
                <w:rPr>
                  <w:rFonts w:ascii="Cambria Math" w:hAnsi="Cambria Math" w:cs="Arial"/>
                  <w:i/>
                </w:rPr>
              </m:ctrlPr>
            </m:eqArrPr>
            <m:e>
              <m:sSub>
                <m:sSubPr>
                  <m:ctrlPr>
                    <w:rPr>
                      <w:rFonts w:ascii="Cambria Math" w:hAnsi="Cambria Math" w:cs="Arial"/>
                      <w:i/>
                    </w:rPr>
                  </m:ctrlPr>
                </m:sSubPr>
                <m:e>
                  <m:r>
                    <w:rPr>
                      <w:rFonts w:ascii="Cambria Math" w:hAnsi="Cambria Math" w:cs="Arial"/>
                    </w:rPr>
                    <m:t>log w</m:t>
                  </m:r>
                </m:e>
                <m:sub>
                  <m:r>
                    <w:rPr>
                      <w:rFonts w:ascii="Cambria Math" w:hAnsi="Cambria Math" w:cs="Arial"/>
                    </w:rPr>
                    <m:t>mi</m:t>
                  </m:r>
                </m:sub>
              </m:sSub>
              <m:r>
                <w:rPr>
                  <w:rFonts w:ascii="Cambria Math" w:hAnsi="Cambria Math" w:cs="Arial"/>
                </w:rPr>
                <m:t>=</m:t>
              </m:r>
              <m:sSub>
                <m:sSubPr>
                  <m:ctrlPr>
                    <w:rPr>
                      <w:rFonts w:ascii="Cambria Math" w:hAnsi="Cambria Math" w:cs="Arial"/>
                      <w:i/>
                    </w:rPr>
                  </m:ctrlPr>
                </m:sSubPr>
                <m:e>
                  <m:r>
                    <w:rPr>
                      <w:rFonts w:ascii="Cambria Math" w:hAnsi="Cambria Math" w:cs="Arial"/>
                    </w:rPr>
                    <m:t>a</m:t>
                  </m:r>
                </m:e>
                <m:sub>
                  <m:r>
                    <w:rPr>
                      <w:rFonts w:ascii="Cambria Math" w:hAnsi="Cambria Math" w:cs="Arial"/>
                    </w:rPr>
                    <m:t>g</m:t>
                  </m:r>
                  <m:d>
                    <m:dPr>
                      <m:ctrlPr>
                        <w:rPr>
                          <w:rFonts w:ascii="Cambria Math" w:hAnsi="Cambria Math" w:cs="Arial"/>
                          <w:i/>
                        </w:rPr>
                      </m:ctrlPr>
                    </m:dPr>
                    <m:e>
                      <m:r>
                        <w:rPr>
                          <w:rFonts w:ascii="Cambria Math" w:hAnsi="Cambria Math" w:cs="Arial"/>
                        </w:rPr>
                        <m:t>mi</m:t>
                      </m:r>
                    </m:e>
                  </m:d>
                </m:sub>
              </m:sSub>
              <m:r>
                <w:rPr>
                  <w:rFonts w:ascii="Cambria Math" w:hAnsi="Cambria Math" w:cs="Arial"/>
                </w:rPr>
                <m:t>+</m:t>
              </m:r>
              <m:sSub>
                <m:sSubPr>
                  <m:ctrlPr>
                    <w:rPr>
                      <w:rFonts w:ascii="Cambria Math" w:hAnsi="Cambria Math" w:cs="Arial"/>
                      <w:i/>
                    </w:rPr>
                  </m:ctrlPr>
                </m:sSubPr>
                <m:e>
                  <m:r>
                    <w:rPr>
                      <w:rFonts w:ascii="Cambria Math" w:hAnsi="Cambria Math" w:cs="Arial"/>
                    </w:rPr>
                    <m:t>x</m:t>
                  </m:r>
                </m:e>
                <m:sub>
                  <m:r>
                    <w:rPr>
                      <w:rFonts w:ascii="Cambria Math" w:hAnsi="Cambria Math" w:cs="Arial"/>
                    </w:rPr>
                    <m:t>mi</m:t>
                  </m:r>
                </m:sub>
              </m:sSub>
              <m:sSub>
                <m:sSubPr>
                  <m:ctrlPr>
                    <w:rPr>
                      <w:rFonts w:ascii="Cambria Math" w:hAnsi="Cambria Math" w:cs="Arial"/>
                      <w:i/>
                    </w:rPr>
                  </m:ctrlPr>
                </m:sSubPr>
                <m:e>
                  <m:r>
                    <w:rPr>
                      <w:rFonts w:ascii="Cambria Math" w:hAnsi="Cambria Math" w:cs="Arial"/>
                    </w:rPr>
                    <m:t>β</m:t>
                  </m:r>
                </m:e>
                <m:sub>
                  <m:r>
                    <w:rPr>
                      <w:rFonts w:ascii="Cambria Math" w:hAnsi="Cambria Math" w:cs="Arial"/>
                    </w:rPr>
                    <m:t>g</m:t>
                  </m:r>
                  <m:d>
                    <m:dPr>
                      <m:ctrlPr>
                        <w:rPr>
                          <w:rFonts w:ascii="Cambria Math" w:hAnsi="Cambria Math" w:cs="Arial"/>
                          <w:i/>
                        </w:rPr>
                      </m:ctrlPr>
                    </m:dPr>
                    <m:e>
                      <m:r>
                        <w:rPr>
                          <w:rFonts w:ascii="Cambria Math" w:hAnsi="Cambria Math" w:cs="Arial"/>
                        </w:rPr>
                        <m:t>mi</m:t>
                      </m:r>
                    </m:e>
                  </m:d>
                </m:sub>
              </m:sSub>
              <m:r>
                <w:rPr>
                  <w:rFonts w:ascii="Cambria Math" w:hAnsi="Cambria Math" w:cs="Arial"/>
                </w:rPr>
                <m:t>+</m:t>
              </m:r>
              <m:sSub>
                <m:sSubPr>
                  <m:ctrlPr>
                    <w:rPr>
                      <w:rFonts w:ascii="Cambria Math" w:hAnsi="Cambria Math" w:cs="Arial"/>
                      <w:i/>
                    </w:rPr>
                  </m:ctrlPr>
                </m:sSubPr>
                <m:e>
                  <m:r>
                    <w:rPr>
                      <w:rFonts w:ascii="Cambria Math" w:hAnsi="Cambria Math" w:cs="Arial"/>
                    </w:rPr>
                    <m:t>v</m:t>
                  </m:r>
                </m:e>
                <m:sub>
                  <m:r>
                    <w:rPr>
                      <w:rFonts w:ascii="Cambria Math" w:hAnsi="Cambria Math" w:cs="Arial"/>
                    </w:rPr>
                    <m:t>mi</m:t>
                  </m:r>
                </m:sub>
              </m:sSub>
              <m:r>
                <w:rPr>
                  <w:rFonts w:ascii="Cambria Math" w:hAnsi="Cambria Math" w:cs="Arial"/>
                </w:rPr>
                <m:t>#</m:t>
              </m:r>
              <m:d>
                <m:dPr>
                  <m:ctrlPr>
                    <w:rPr>
                      <w:rFonts w:ascii="Cambria Math" w:hAnsi="Cambria Math" w:cs="Arial"/>
                      <w:i/>
                    </w:rPr>
                  </m:ctrlPr>
                </m:dPr>
                <m:e>
                  <m:r>
                    <w:rPr>
                      <w:rFonts w:ascii="Cambria Math" w:hAnsi="Cambria Math" w:cs="Arial"/>
                    </w:rPr>
                    <m:t>3</m:t>
                  </m:r>
                </m:e>
              </m:d>
            </m:e>
          </m:eqArr>
        </m:oMath>
      </m:oMathPara>
    </w:p>
    <w:p w14:paraId="4ABCE7B0" w14:textId="77777777" w:rsidR="00540A02" w:rsidRDefault="00540A02" w:rsidP="00540A02">
      <w:pPr>
        <w:jc w:val="both"/>
        <w:rPr>
          <w:rFonts w:ascii="Arial" w:eastAsiaTheme="minorEastAsia" w:hAnsi="Arial" w:cs="Arial"/>
        </w:rPr>
      </w:pPr>
    </w:p>
    <w:p w14:paraId="394949C8" w14:textId="36936615" w:rsidR="00540A02" w:rsidRDefault="00540A02" w:rsidP="00540A02">
      <w:pPr>
        <w:jc w:val="both"/>
        <w:rPr>
          <w:rFonts w:ascii="Arial" w:eastAsiaTheme="minorEastAsia" w:hAnsi="Arial" w:cs="Arial"/>
        </w:rPr>
      </w:pPr>
      <w:r w:rsidRPr="00540A02">
        <w:rPr>
          <w:rFonts w:ascii="Arial" w:eastAsiaTheme="minorEastAsia" w:hAnsi="Arial" w:cs="Arial"/>
        </w:rPr>
        <w:t xml:space="preserve">The log of wage, </w:t>
      </w:r>
      <w:r w:rsidRPr="00540A02">
        <w:rPr>
          <w:rFonts w:ascii="Arial" w:eastAsiaTheme="minorEastAsia" w:hAnsi="Arial" w:cs="Arial" w:hint="eastAsia"/>
        </w:rPr>
        <w:t>〖</w:t>
      </w:r>
      <w:r w:rsidRPr="00540A02">
        <w:rPr>
          <w:rFonts w:ascii="Arial" w:eastAsiaTheme="minorEastAsia" w:hAnsi="Arial" w:cs="Arial"/>
        </w:rPr>
        <w:t xml:space="preserve">log </w:t>
      </w:r>
      <w:proofErr w:type="spellStart"/>
      <w:r w:rsidRPr="00540A02">
        <w:rPr>
          <w:rFonts w:ascii="Arial" w:eastAsiaTheme="minorEastAsia" w:hAnsi="Arial" w:cs="Arial"/>
        </w:rPr>
        <w:t>w</w:t>
      </w:r>
      <w:r w:rsidRPr="00540A02">
        <w:rPr>
          <w:rFonts w:ascii="Arial" w:eastAsiaTheme="minorEastAsia" w:hAnsi="Arial" w:cs="Arial" w:hint="eastAsia"/>
        </w:rPr>
        <w:t>〗</w:t>
      </w:r>
      <w:r w:rsidRPr="00540A02">
        <w:rPr>
          <w:rFonts w:ascii="Arial" w:eastAsiaTheme="minorEastAsia" w:hAnsi="Arial" w:cs="Arial"/>
        </w:rPr>
        <w:t>_</w:t>
      </w:r>
      <w:proofErr w:type="gramStart"/>
      <w:r w:rsidRPr="00540A02">
        <w:rPr>
          <w:rFonts w:ascii="Arial" w:eastAsiaTheme="minorEastAsia" w:hAnsi="Arial" w:cs="Arial"/>
        </w:rPr>
        <w:t>mi</w:t>
      </w:r>
      <w:proofErr w:type="spellEnd"/>
      <w:r w:rsidRPr="00540A02">
        <w:rPr>
          <w:rFonts w:ascii="Arial" w:eastAsiaTheme="minorEastAsia" w:hAnsi="Arial" w:cs="Arial"/>
        </w:rPr>
        <w:t xml:space="preserve">  of</w:t>
      </w:r>
      <w:proofErr w:type="gramEnd"/>
      <w:r w:rsidRPr="00540A02">
        <w:rPr>
          <w:rFonts w:ascii="Arial" w:eastAsiaTheme="minorEastAsia" w:hAnsi="Arial" w:cs="Arial"/>
        </w:rPr>
        <w:t xml:space="preserve"> member </w:t>
      </w:r>
      <w:proofErr w:type="spellStart"/>
      <w:r w:rsidRPr="00540A02">
        <w:rPr>
          <w:rFonts w:ascii="Arial" w:eastAsiaTheme="minorEastAsia" w:hAnsi="Arial" w:cs="Arial"/>
        </w:rPr>
        <w:t>i</w:t>
      </w:r>
      <w:proofErr w:type="spellEnd"/>
      <w:r w:rsidRPr="00540A02">
        <w:rPr>
          <w:rFonts w:ascii="Arial" w:eastAsiaTheme="minorEastAsia" w:hAnsi="Arial" w:cs="Arial"/>
        </w:rPr>
        <w:t xml:space="preserve"> of household m is a function of personal characteristics x i.e. age, sex, marital status, region, urban classification, and number of </w:t>
      </w:r>
      <w:proofErr w:type="spellStart"/>
      <w:r w:rsidRPr="00540A02">
        <w:rPr>
          <w:rFonts w:ascii="Arial" w:eastAsiaTheme="minorEastAsia" w:hAnsi="Arial" w:cs="Arial"/>
        </w:rPr>
        <w:t>children.The</w:t>
      </w:r>
      <w:proofErr w:type="spellEnd"/>
      <w:r w:rsidRPr="00540A02">
        <w:rPr>
          <w:rFonts w:ascii="Arial" w:eastAsiaTheme="minorEastAsia" w:hAnsi="Arial" w:cs="Arial"/>
        </w:rPr>
        <w:t xml:space="preserve"> occupational determination of the farmers was composed of four categories such as: (1) Wage (2) Entrepreneurial Rice Farming; (3) Entrepreneurial Non Rice Farming; and (4) Unemployed. The individual farmers household labor supply was estimated using the multinomial logistic regression model which represents the discreet-utility maximizing framework. The estimated equation is shown below</w:t>
      </w:r>
      <w:r>
        <w:rPr>
          <w:rFonts w:ascii="Arial" w:eastAsiaTheme="minorEastAsia" w:hAnsi="Arial" w:cs="Arial"/>
        </w:rPr>
        <w:t>:</w:t>
      </w:r>
    </w:p>
    <w:p w14:paraId="1F476AF8" w14:textId="0DB58AAC" w:rsidR="00540A02" w:rsidRDefault="00540A02" w:rsidP="00540A02">
      <w:pPr>
        <w:jc w:val="both"/>
        <w:rPr>
          <w:rFonts w:ascii="Arial" w:eastAsiaTheme="minorEastAsia" w:hAnsi="Arial" w:cs="Arial"/>
        </w:rPr>
      </w:pPr>
      <w:r w:rsidRPr="00CB0CD6">
        <w:rPr>
          <w:rFonts w:ascii="Times New Roman" w:hAnsi="Times New Roman"/>
          <w:noProof/>
        </w:rPr>
        <mc:AlternateContent>
          <mc:Choice Requires="wps">
            <w:drawing>
              <wp:anchor distT="0" distB="0" distL="114300" distR="114300" simplePos="0" relativeHeight="251661312" behindDoc="0" locked="0" layoutInCell="1" allowOverlap="1" wp14:anchorId="16C4E178" wp14:editId="6BB3C3F3">
                <wp:simplePos x="0" y="0"/>
                <wp:positionH relativeFrom="column">
                  <wp:posOffset>5678805</wp:posOffset>
                </wp:positionH>
                <wp:positionV relativeFrom="paragraph">
                  <wp:posOffset>215900</wp:posOffset>
                </wp:positionV>
                <wp:extent cx="278295" cy="318052"/>
                <wp:effectExtent l="0" t="0" r="0" b="6350"/>
                <wp:wrapNone/>
                <wp:docPr id="70030845" name="Rectangle 1"/>
                <wp:cNvGraphicFramePr/>
                <a:graphic xmlns:a="http://schemas.openxmlformats.org/drawingml/2006/main">
                  <a:graphicData uri="http://schemas.microsoft.com/office/word/2010/wordprocessingShape">
                    <wps:wsp>
                      <wps:cNvSpPr/>
                      <wps:spPr>
                        <a:xfrm>
                          <a:off x="0" y="0"/>
                          <a:ext cx="278295" cy="318052"/>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65297018" w14:textId="1F8BCD79" w:rsidR="00F14F82" w:rsidRPr="001E07DC" w:rsidRDefault="00F14F82" w:rsidP="00540A02">
                            <w:pPr>
                              <w:jc w:val="center"/>
                              <w:rPr>
                                <w:color w:val="000000" w:themeColor="text1"/>
                              </w:rPr>
                            </w:pPr>
                            <m:oMathPara>
                              <m:oMath>
                                <m:d>
                                  <m:dPr>
                                    <m:ctrlPr>
                                      <w:rPr>
                                        <w:rFonts w:ascii="Cambria Math" w:hAnsi="Cambria Math" w:cs="Arial"/>
                                        <w:i/>
                                        <w:color w:val="000000" w:themeColor="text1"/>
                                      </w:rPr>
                                    </m:ctrlPr>
                                  </m:dPr>
                                  <m:e>
                                    <m:r>
                                      <w:rPr>
                                        <w:rFonts w:ascii="Cambria Math" w:hAnsi="Cambria Math" w:cs="Arial"/>
                                        <w:color w:val="000000" w:themeColor="text1"/>
                                      </w:rPr>
                                      <m:t>4</m:t>
                                    </m:r>
                                  </m:e>
                                </m:d>
                              </m:oMath>
                            </m:oMathPara>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C4E178" id="Rectangle 1" o:spid="_x0000_s1026" style="position:absolute;left:0;text-align:left;margin-left:447.15pt;margin-top:17pt;width:21.9pt;height:25.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" filled="f" stroked="f">
                <v:textbox>
                  <w:txbxContent>
                    <w:p w14:paraId="65297018" w14:textId="1F8BCD79" w:rsidR="00F14F82" w:rsidRPr="001E07DC" w:rsidRDefault="00F14F82" w:rsidP="00540A02">
                      <w:pPr>
                        <w:jc w:val="center"/>
                        <w:rPr>
                          <w:color w:val="000000" w:themeColor="text1"/>
                        </w:rPr>
                      </w:pPr>
                      <m:oMathPara>
                        <m:oMath>
                          <m:d>
                            <m:dPr>
                              <m:ctrlPr>
                                <w:rPr>
                                  <w:rFonts w:ascii="Cambria Math" w:hAnsi="Cambria Math" w:cs="Arial"/>
                                  <w:i/>
                                  <w:color w:val="000000" w:themeColor="text1"/>
                                </w:rPr>
                              </m:ctrlPr>
                            </m:dPr>
                            <m:e>
                              <m:r>
                                <w:rPr>
                                  <w:rFonts w:ascii="Cambria Math" w:hAnsi="Cambria Math" w:cs="Arial"/>
                                  <w:color w:val="000000" w:themeColor="text1"/>
                                </w:rPr>
                                <m:t>4</m:t>
                              </m:r>
                            </m:e>
                          </m:d>
                        </m:oMath>
                      </m:oMathPara>
                    </w:p>
                  </w:txbxContent>
                </v:textbox>
              </v:rect>
            </w:pict>
          </mc:Fallback>
        </mc:AlternateContent>
      </w:r>
    </w:p>
    <w:p w14:paraId="601295E4" w14:textId="77777777" w:rsidR="00540A02" w:rsidRPr="00CB0CD6" w:rsidRDefault="00F14F82" w:rsidP="00540A02">
      <w:pPr>
        <w:jc w:val="both"/>
        <w:rPr>
          <w:rFonts w:ascii="Times New Roman" w:eastAsiaTheme="minorEastAsia" w:hAnsi="Times New Roman"/>
        </w:rPr>
      </w:pPr>
      <m:oMathPara>
        <m:oMath>
          <m:func>
            <m:funcPr>
              <m:ctrlPr>
                <w:rPr>
                  <w:rFonts w:ascii="Cambria Math" w:hAnsi="Cambria Math"/>
                  <w:i/>
                </w:rPr>
              </m:ctrlPr>
            </m:funcPr>
            <m:fName>
              <m:r>
                <w:rPr>
                  <w:rFonts w:ascii="Cambria Math" w:hAnsi="Cambria Math"/>
                </w:rPr>
                <m:t>ln</m:t>
              </m:r>
            </m:fName>
            <m:e>
              <m:f>
                <m:fPr>
                  <m:ctrlPr>
                    <w:rPr>
                      <w:rFonts w:ascii="Cambria Math" w:hAnsi="Cambria Math"/>
                      <w:i/>
                    </w:rPr>
                  </m:ctrlPr>
                </m:fPr>
                <m:num>
                  <m:r>
                    <w:rPr>
                      <w:rFonts w:ascii="Cambria Math" w:hAnsi="Cambria Math"/>
                    </w:rPr>
                    <m:t>P(</m:t>
                  </m:r>
                  <m:sSub>
                    <m:sSubPr>
                      <m:ctrlPr>
                        <w:rPr>
                          <w:rFonts w:ascii="Cambria Math" w:hAnsi="Cambria Math"/>
                          <w:i/>
                        </w:rPr>
                      </m:ctrlPr>
                    </m:sSubPr>
                    <m:e>
                      <m:r>
                        <w:rPr>
                          <w:rFonts w:ascii="Cambria Math" w:hAnsi="Cambria Math"/>
                        </w:rPr>
                        <m:t>E</m:t>
                      </m:r>
                    </m:e>
                    <m:sub>
                      <m:r>
                        <w:rPr>
                          <w:rFonts w:ascii="Cambria Math" w:hAnsi="Cambria Math"/>
                        </w:rPr>
                        <m:t>i</m:t>
                      </m:r>
                    </m:sub>
                  </m:sSub>
                  <m:r>
                    <w:rPr>
                      <w:rFonts w:ascii="Cambria Math" w:hAnsi="Cambria Math"/>
                    </w:rPr>
                    <m:t>=m)</m:t>
                  </m:r>
                </m:num>
                <m:den>
                  <m:r>
                    <w:rPr>
                      <w:rFonts w:ascii="Cambria Math" w:hAnsi="Cambria Math"/>
                    </w:rPr>
                    <m:t>P(</m:t>
                  </m:r>
                  <m:sSub>
                    <m:sSubPr>
                      <m:ctrlPr>
                        <w:rPr>
                          <w:rFonts w:ascii="Cambria Math" w:hAnsi="Cambria Math"/>
                          <w:i/>
                        </w:rPr>
                      </m:ctrlPr>
                    </m:sSubPr>
                    <m:e>
                      <m:r>
                        <w:rPr>
                          <w:rFonts w:ascii="Cambria Math" w:hAnsi="Cambria Math"/>
                        </w:rPr>
                        <m:t>E</m:t>
                      </m:r>
                    </m:e>
                    <m:sub>
                      <m:r>
                        <w:rPr>
                          <w:rFonts w:ascii="Cambria Math" w:hAnsi="Cambria Math"/>
                        </w:rPr>
                        <m:t>i</m:t>
                      </m:r>
                    </m:sub>
                  </m:sSub>
                  <m:r>
                    <w:rPr>
                      <w:rFonts w:ascii="Cambria Math" w:hAnsi="Cambria Math"/>
                    </w:rPr>
                    <m:t>=3)</m:t>
                  </m:r>
                </m:den>
              </m:f>
            </m:e>
          </m:func>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m</m:t>
              </m:r>
            </m:sub>
          </m:sSub>
          <m:r>
            <w:rPr>
              <w:rFonts w:ascii="Cambria Math" w:hAnsi="Cambria Math"/>
            </w:rPr>
            <m:t>+</m:t>
          </m:r>
          <m:nary>
            <m:naryPr>
              <m:chr m:val="∑"/>
              <m:ctrlPr>
                <w:rPr>
                  <w:rFonts w:ascii="Cambria Math" w:hAnsi="Cambria Math"/>
                  <w:i/>
                </w:rPr>
              </m:ctrlPr>
            </m:naryPr>
            <m:sub>
              <m:r>
                <w:rPr>
                  <w:rFonts w:ascii="Cambria Math" w:hAnsi="Cambria Math"/>
                </w:rPr>
                <m:t>j=1</m:t>
              </m:r>
            </m:sub>
            <m:sup>
              <m:r>
                <w:rPr>
                  <w:rFonts w:ascii="Cambria Math" w:hAnsi="Cambria Math"/>
                </w:rPr>
                <m:t>J</m:t>
              </m:r>
            </m:sup>
            <m:e>
              <m:sSub>
                <m:sSubPr>
                  <m:ctrlPr>
                    <w:rPr>
                      <w:rFonts w:ascii="Cambria Math" w:hAnsi="Cambria Math"/>
                      <w:i/>
                    </w:rPr>
                  </m:ctrlPr>
                </m:sSubPr>
                <m:e>
                  <m:r>
                    <w:rPr>
                      <w:rFonts w:ascii="Cambria Math" w:hAnsi="Cambria Math"/>
                    </w:rPr>
                    <m:t>β</m:t>
                  </m:r>
                </m:e>
                <m:sub>
                  <m:r>
                    <w:rPr>
                      <w:rFonts w:ascii="Cambria Math" w:hAnsi="Cambria Math"/>
                    </w:rPr>
                    <m:t>mj</m:t>
                  </m:r>
                </m:sub>
              </m:sSub>
              <m:sSub>
                <m:sSubPr>
                  <m:ctrlPr>
                    <w:rPr>
                      <w:rFonts w:ascii="Cambria Math" w:hAnsi="Cambria Math"/>
                      <w:i/>
                    </w:rPr>
                  </m:ctrlPr>
                </m:sSubPr>
                <m:e>
                  <m:r>
                    <w:rPr>
                      <w:rFonts w:ascii="Cambria Math" w:hAnsi="Cambria Math"/>
                    </w:rPr>
                    <m:t>X</m:t>
                  </m:r>
                </m:e>
                <m:sub>
                  <m:r>
                    <w:rPr>
                      <w:rFonts w:ascii="Cambria Math" w:hAnsi="Cambria Math"/>
                    </w:rPr>
                    <m:t>ij</m:t>
                  </m:r>
                </m:sub>
              </m:sSub>
              <m:r>
                <w:rPr>
                  <w:rFonts w:ascii="Cambria Math" w:hAnsi="Cambria Math"/>
                </w:rPr>
                <m:t>+</m:t>
              </m:r>
              <m:sSub>
                <m:sSubPr>
                  <m:ctrlPr>
                    <w:rPr>
                      <w:rFonts w:ascii="Cambria Math" w:hAnsi="Cambria Math"/>
                      <w:i/>
                    </w:rPr>
                  </m:ctrlPr>
                </m:sSubPr>
                <m:e>
                  <m:r>
                    <w:rPr>
                      <w:rFonts w:ascii="Cambria Math" w:hAnsi="Cambria Math"/>
                    </w:rPr>
                    <m:t>u</m:t>
                  </m:r>
                </m:e>
                <m:sub>
                  <m:r>
                    <w:rPr>
                      <w:rFonts w:ascii="Cambria Math" w:hAnsi="Cambria Math"/>
                    </w:rPr>
                    <m:t>ij</m:t>
                  </m:r>
                </m:sub>
              </m:sSub>
              <m:r>
                <w:rPr>
                  <w:rFonts w:ascii="Cambria Math" w:hAnsi="Cambria Math"/>
                </w:rPr>
                <m:t>=</m:t>
              </m:r>
              <m:sSub>
                <m:sSubPr>
                  <m:ctrlPr>
                    <w:rPr>
                      <w:rFonts w:ascii="Cambria Math" w:hAnsi="Cambria Math"/>
                      <w:i/>
                    </w:rPr>
                  </m:ctrlPr>
                </m:sSubPr>
                <m:e>
                  <m:r>
                    <w:rPr>
                      <w:rFonts w:ascii="Cambria Math" w:hAnsi="Cambria Math"/>
                    </w:rPr>
                    <m:t>Z</m:t>
                  </m:r>
                </m:e>
                <m:sub>
                  <m:r>
                    <w:rPr>
                      <w:rFonts w:ascii="Cambria Math" w:hAnsi="Cambria Math"/>
                    </w:rPr>
                    <m:t>mi</m:t>
                  </m:r>
                </m:sub>
              </m:sSub>
            </m:e>
          </m:nary>
          <m:r>
            <w:rPr>
              <w:rFonts w:ascii="Cambria Math" w:hAnsi="Cambria Math"/>
            </w:rPr>
            <m:t xml:space="preserve">     </m:t>
          </m:r>
        </m:oMath>
      </m:oMathPara>
    </w:p>
    <w:p w14:paraId="70DC6268" w14:textId="31B6FA11" w:rsidR="00540A02" w:rsidRDefault="00540A02" w:rsidP="00540A02">
      <w:pPr>
        <w:jc w:val="both"/>
        <w:rPr>
          <w:rFonts w:ascii="Arial" w:eastAsiaTheme="minorEastAsia" w:hAnsi="Arial" w:cs="Arial"/>
        </w:rPr>
      </w:pPr>
      <w:r w:rsidRPr="00540A02">
        <w:rPr>
          <w:rFonts w:ascii="Arial" w:eastAsiaTheme="minorEastAsia" w:hAnsi="Arial" w:cs="Arial"/>
        </w:rPr>
        <w:t xml:space="preserve">The  </w:t>
      </w:r>
      <w:r w:rsidRPr="00CB0CD6">
        <w:rPr>
          <w:rFonts w:ascii="Times New Roman" w:hAnsi="Times New Roman"/>
          <w:position w:val="-12"/>
        </w:rPr>
        <w:object w:dxaOrig="380" w:dyaOrig="360" w14:anchorId="11DD2E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5pt;height:21.75pt" o:ole="">
            <v:imagedata r:id="rId14" o:title=""/>
          </v:shape>
          <o:OLEObject Type="Embed" ProgID="Equation.DSMT4" ShapeID="_x0000_i1025" DrawAspect="Content" ObjectID="_1825506449" r:id="rId15"/>
        </w:object>
      </w:r>
      <w:r w:rsidRPr="00540A02">
        <w:rPr>
          <w:rFonts w:ascii="Arial" w:eastAsiaTheme="minorEastAsia" w:hAnsi="Arial" w:cs="Arial"/>
        </w:rPr>
        <w:t xml:space="preserve"> represents the actual individual utility function associated with each occupational choice. The notation   represents the individual’s characteristics such as area of classification (urban/rural), number of children, marital status, gender, education, and estimated income.</w:t>
      </w:r>
    </w:p>
    <w:p w14:paraId="44D774C5" w14:textId="6370E556" w:rsidR="00540A02" w:rsidRPr="00540A02" w:rsidRDefault="00540A02" w:rsidP="00540A02">
      <w:pPr>
        <w:jc w:val="both"/>
        <w:rPr>
          <w:rFonts w:ascii="Arial" w:eastAsiaTheme="minorEastAsia" w:hAnsi="Arial" w:cs="Arial"/>
        </w:rPr>
      </w:pPr>
    </w:p>
    <w:p w14:paraId="06832838" w14:textId="040AAEF3" w:rsidR="00540A02" w:rsidRDefault="00540A02" w:rsidP="00540A02">
      <w:pPr>
        <w:jc w:val="both"/>
        <w:rPr>
          <w:rFonts w:ascii="Arial" w:eastAsiaTheme="minorEastAsia" w:hAnsi="Arial" w:cs="Arial"/>
        </w:rPr>
      </w:pPr>
      <w:r w:rsidRPr="00540A02">
        <w:rPr>
          <w:rFonts w:ascii="Arial" w:eastAsiaTheme="minorEastAsia" w:hAnsi="Arial" w:cs="Arial"/>
        </w:rPr>
        <w:t>After estimating the individual actual utility associated with each occupational choice, the probabilities associated with each occupational choice are estimated which is represented by the equation:</w:t>
      </w:r>
    </w:p>
    <w:p w14:paraId="5FC297E5" w14:textId="0895AAF3" w:rsidR="00540A02" w:rsidRDefault="00540A02" w:rsidP="00540A02">
      <w:pPr>
        <w:jc w:val="both"/>
        <w:rPr>
          <w:rFonts w:ascii="Arial" w:eastAsiaTheme="minorEastAsia" w:hAnsi="Arial" w:cs="Arial"/>
        </w:rPr>
      </w:pPr>
      <w:r w:rsidRPr="00CB0CD6">
        <w:rPr>
          <w:rFonts w:ascii="Times New Roman" w:hAnsi="Times New Roman"/>
          <w:noProof/>
        </w:rPr>
        <mc:AlternateContent>
          <mc:Choice Requires="wps">
            <w:drawing>
              <wp:anchor distT="0" distB="0" distL="114300" distR="114300" simplePos="0" relativeHeight="251663360" behindDoc="0" locked="0" layoutInCell="1" allowOverlap="1" wp14:anchorId="704AEF60" wp14:editId="601145A5">
                <wp:simplePos x="0" y="0"/>
                <wp:positionH relativeFrom="column">
                  <wp:posOffset>5676900</wp:posOffset>
                </wp:positionH>
                <wp:positionV relativeFrom="paragraph">
                  <wp:posOffset>271780</wp:posOffset>
                </wp:positionV>
                <wp:extent cx="278295" cy="318052"/>
                <wp:effectExtent l="0" t="0" r="0" b="6350"/>
                <wp:wrapNone/>
                <wp:docPr id="1462552878" name="Rectangle 1"/>
                <wp:cNvGraphicFramePr/>
                <a:graphic xmlns:a="http://schemas.openxmlformats.org/drawingml/2006/main">
                  <a:graphicData uri="http://schemas.microsoft.com/office/word/2010/wordprocessingShape">
                    <wps:wsp>
                      <wps:cNvSpPr/>
                      <wps:spPr>
                        <a:xfrm>
                          <a:off x="0" y="0"/>
                          <a:ext cx="278295" cy="318052"/>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0F6080FF" w14:textId="77777777" w:rsidR="00F14F82" w:rsidRPr="001E07DC" w:rsidRDefault="00F14F82" w:rsidP="00540A02">
                            <w:pPr>
                              <w:jc w:val="center"/>
                              <w:rPr>
                                <w:color w:val="000000" w:themeColor="text1"/>
                              </w:rPr>
                            </w:pPr>
                            <m:oMathPara>
                              <m:oMath>
                                <m:d>
                                  <m:dPr>
                                    <m:ctrlPr>
                                      <w:rPr>
                                        <w:rFonts w:ascii="Cambria Math" w:hAnsi="Cambria Math" w:cs="Arial"/>
                                        <w:i/>
                                        <w:color w:val="000000" w:themeColor="text1"/>
                                      </w:rPr>
                                    </m:ctrlPr>
                                  </m:dPr>
                                  <m:e>
                                    <m:r>
                                      <w:rPr>
                                        <w:rFonts w:ascii="Cambria Math" w:hAnsi="Cambria Math" w:cs="Arial"/>
                                        <w:color w:val="000000" w:themeColor="text1"/>
                                      </w:rPr>
                                      <m:t>5</m:t>
                                    </m:r>
                                  </m:e>
                                </m:d>
                              </m:oMath>
                            </m:oMathPara>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4AEF60" id="_x0000_s1027" style="position:absolute;left:0;text-align:left;margin-left:447pt;margin-top:21.4pt;width:21.9pt;height:25.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" filled="f" stroked="f">
                <v:textbox>
                  <w:txbxContent>
                    <w:p w14:paraId="0F6080FF" w14:textId="77777777" w:rsidR="00F14F82" w:rsidRPr="001E07DC" w:rsidRDefault="00F14F82" w:rsidP="00540A02">
                      <w:pPr>
                        <w:jc w:val="center"/>
                        <w:rPr>
                          <w:color w:val="000000" w:themeColor="text1"/>
                        </w:rPr>
                      </w:pPr>
                      <m:oMathPara>
                        <m:oMath>
                          <m:d>
                            <m:dPr>
                              <m:ctrlPr>
                                <w:rPr>
                                  <w:rFonts w:ascii="Cambria Math" w:hAnsi="Cambria Math" w:cs="Arial"/>
                                  <w:i/>
                                  <w:color w:val="000000" w:themeColor="text1"/>
                                </w:rPr>
                              </m:ctrlPr>
                            </m:dPr>
                            <m:e>
                              <m:r>
                                <w:rPr>
                                  <w:rFonts w:ascii="Cambria Math" w:hAnsi="Cambria Math" w:cs="Arial"/>
                                  <w:color w:val="000000" w:themeColor="text1"/>
                                </w:rPr>
                                <m:t>5</m:t>
                              </m:r>
                            </m:e>
                          </m:d>
                        </m:oMath>
                      </m:oMathPara>
                    </w:p>
                  </w:txbxContent>
                </v:textbox>
              </v:rect>
            </w:pict>
          </mc:Fallback>
        </mc:AlternateContent>
      </w:r>
    </w:p>
    <w:p w14:paraId="6AABE7D4" w14:textId="77777777" w:rsidR="00540A02" w:rsidRPr="00CB0CD6" w:rsidRDefault="00540A02" w:rsidP="00540A02">
      <w:pPr>
        <w:jc w:val="both"/>
        <w:rPr>
          <w:rFonts w:ascii="Times New Roman" w:eastAsiaTheme="minorEastAsia" w:hAnsi="Times New Roman"/>
        </w:rPr>
      </w:pPr>
      <m:oMathPara>
        <m:oMath>
          <m:r>
            <w:rPr>
              <w:rFonts w:ascii="Cambria Math" w:hAnsi="Cambria Math"/>
            </w:rPr>
            <m:t>P</m:t>
          </m:r>
          <m:d>
            <m:dPr>
              <m:ctrlPr>
                <w:rPr>
                  <w:rFonts w:ascii="Cambria Math" w:hAnsi="Cambria Math"/>
                  <w:i/>
                </w:rPr>
              </m:ctrlPr>
            </m:dPr>
            <m:e>
              <m:sSub>
                <m:sSubPr>
                  <m:ctrlPr>
                    <w:rPr>
                      <w:rFonts w:ascii="Cambria Math" w:hAnsi="Cambria Math"/>
                      <w:i/>
                    </w:rPr>
                  </m:ctrlPr>
                </m:sSubPr>
                <m:e>
                  <m:r>
                    <w:rPr>
                      <w:rFonts w:ascii="Cambria Math" w:hAnsi="Cambria Math"/>
                    </w:rPr>
                    <m:t>E</m:t>
                  </m:r>
                </m:e>
                <m:sub>
                  <m:r>
                    <w:rPr>
                      <w:rFonts w:ascii="Cambria Math" w:hAnsi="Cambria Math"/>
                    </w:rPr>
                    <m:t>i</m:t>
                  </m:r>
                </m:sub>
              </m:sSub>
              <m:r>
                <w:rPr>
                  <w:rFonts w:ascii="Cambria Math" w:hAnsi="Cambria Math"/>
                </w:rPr>
                <m:t>=3</m:t>
              </m:r>
            </m:e>
          </m:d>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1+</m:t>
              </m:r>
              <m:nary>
                <m:naryPr>
                  <m:chr m:val="∑"/>
                  <m:ctrlPr>
                    <w:rPr>
                      <w:rFonts w:ascii="Cambria Math" w:hAnsi="Cambria Math"/>
                      <w:i/>
                    </w:rPr>
                  </m:ctrlPr>
                </m:naryPr>
                <m:sub>
                  <m:r>
                    <w:rPr>
                      <w:rFonts w:ascii="Cambria Math" w:hAnsi="Cambria Math"/>
                    </w:rPr>
                    <m:t>m=1</m:t>
                  </m:r>
                </m:sub>
                <m:sup>
                  <m:r>
                    <w:rPr>
                      <w:rFonts w:ascii="Cambria Math" w:hAnsi="Cambria Math"/>
                    </w:rPr>
                    <m:t>m=3</m:t>
                  </m:r>
                </m:sup>
                <m:e>
                  <m:func>
                    <m:funcPr>
                      <m:ctrlPr>
                        <w:rPr>
                          <w:rFonts w:ascii="Cambria Math" w:hAnsi="Cambria Math"/>
                          <w:i/>
                        </w:rPr>
                      </m:ctrlPr>
                    </m:funcPr>
                    <m:fName>
                      <m:r>
                        <w:rPr>
                          <w:rFonts w:ascii="Cambria Math" w:hAnsi="Cambria Math"/>
                        </w:rPr>
                        <m:t>exp</m:t>
                      </m:r>
                    </m:fName>
                    <m:e>
                      <m:sSub>
                        <m:sSubPr>
                          <m:ctrlPr>
                            <w:rPr>
                              <w:rFonts w:ascii="Cambria Math" w:hAnsi="Cambria Math"/>
                              <w:i/>
                            </w:rPr>
                          </m:ctrlPr>
                        </m:sSubPr>
                        <m:e>
                          <m:r>
                            <w:rPr>
                              <w:rFonts w:ascii="Cambria Math" w:hAnsi="Cambria Math"/>
                            </w:rPr>
                            <m:t>Z</m:t>
                          </m:r>
                        </m:e>
                        <m:sub>
                          <m:r>
                            <w:rPr>
                              <w:rFonts w:ascii="Cambria Math" w:hAnsi="Cambria Math"/>
                            </w:rPr>
                            <m:t>mi</m:t>
                          </m:r>
                        </m:sub>
                      </m:sSub>
                    </m:e>
                  </m:func>
                </m:e>
              </m:nary>
            </m:den>
          </m:f>
        </m:oMath>
      </m:oMathPara>
    </w:p>
    <w:p w14:paraId="5FE9A2CE" w14:textId="3F4984C8" w:rsidR="00540A02" w:rsidRPr="00CB0CD6" w:rsidRDefault="00540A02" w:rsidP="00540A02">
      <w:pPr>
        <w:jc w:val="both"/>
        <w:rPr>
          <w:rFonts w:ascii="Times New Roman" w:eastAsiaTheme="minorEastAsia" w:hAnsi="Times New Roman"/>
        </w:rPr>
      </w:pPr>
      <w:r w:rsidRPr="00CB0CD6">
        <w:rPr>
          <w:rFonts w:ascii="Times New Roman" w:hAnsi="Times New Roman"/>
          <w:noProof/>
        </w:rPr>
        <mc:AlternateContent>
          <mc:Choice Requires="wps">
            <w:drawing>
              <wp:anchor distT="0" distB="0" distL="114300" distR="114300" simplePos="0" relativeHeight="251659264" behindDoc="0" locked="0" layoutInCell="1" allowOverlap="1" wp14:anchorId="21F5366B" wp14:editId="57355866">
                <wp:simplePos x="0" y="0"/>
                <wp:positionH relativeFrom="column">
                  <wp:posOffset>5685183</wp:posOffset>
                </wp:positionH>
                <wp:positionV relativeFrom="paragraph">
                  <wp:posOffset>174929</wp:posOffset>
                </wp:positionV>
                <wp:extent cx="278295" cy="318052"/>
                <wp:effectExtent l="0" t="0" r="0" b="6350"/>
                <wp:wrapNone/>
                <wp:docPr id="49675817" name="Rectangle 1"/>
                <wp:cNvGraphicFramePr/>
                <a:graphic xmlns:a="http://schemas.openxmlformats.org/drawingml/2006/main">
                  <a:graphicData uri="http://schemas.microsoft.com/office/word/2010/wordprocessingShape">
                    <wps:wsp>
                      <wps:cNvSpPr/>
                      <wps:spPr>
                        <a:xfrm>
                          <a:off x="0" y="0"/>
                          <a:ext cx="278295" cy="318052"/>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1CE4A821" w14:textId="77777777" w:rsidR="00F14F82" w:rsidRPr="001E07DC" w:rsidRDefault="00F14F82" w:rsidP="00540A02">
                            <w:pPr>
                              <w:jc w:val="center"/>
                              <w:rPr>
                                <w:color w:val="000000" w:themeColor="text1"/>
                              </w:rPr>
                            </w:pPr>
                            <m:oMathPara>
                              <m:oMath>
                                <m:d>
                                  <m:dPr>
                                    <m:ctrlPr>
                                      <w:rPr>
                                        <w:rFonts w:ascii="Cambria Math" w:hAnsi="Cambria Math" w:cs="Arial"/>
                                        <w:i/>
                                        <w:color w:val="000000" w:themeColor="text1"/>
                                      </w:rPr>
                                    </m:ctrlPr>
                                  </m:dPr>
                                  <m:e>
                                    <m:r>
                                      <w:rPr>
                                        <w:rFonts w:ascii="Cambria Math" w:hAnsi="Cambria Math" w:cs="Arial"/>
                                        <w:color w:val="000000" w:themeColor="text1"/>
                                      </w:rPr>
                                      <m:t>6</m:t>
                                    </m:r>
                                  </m:e>
                                </m:d>
                              </m:oMath>
                            </m:oMathPara>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1F5366B" id="_x0000_s1028" style="position:absolute;left:0;text-align:left;margin-left:447.65pt;margin-top:13.75pt;width:21.9pt;height:25.0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" filled="f" stroked="f">
                <v:textbox>
                  <w:txbxContent>
                    <w:p w14:paraId="1CE4A821" w14:textId="77777777" w:rsidR="00F14F82" w:rsidRPr="001E07DC" w:rsidRDefault="00F14F82" w:rsidP="00540A02">
                      <w:pPr>
                        <w:jc w:val="center"/>
                        <w:rPr>
                          <w:color w:val="000000" w:themeColor="text1"/>
                        </w:rPr>
                      </w:pPr>
                      <m:oMathPara>
                        <m:oMath>
                          <m:d>
                            <m:dPr>
                              <m:ctrlPr>
                                <w:rPr>
                                  <w:rFonts w:ascii="Cambria Math" w:hAnsi="Cambria Math" w:cs="Arial"/>
                                  <w:i/>
                                  <w:color w:val="000000" w:themeColor="text1"/>
                                </w:rPr>
                              </m:ctrlPr>
                            </m:dPr>
                            <m:e>
                              <m:r>
                                <w:rPr>
                                  <w:rFonts w:ascii="Cambria Math" w:hAnsi="Cambria Math" w:cs="Arial"/>
                                  <w:color w:val="000000" w:themeColor="text1"/>
                                </w:rPr>
                                <m:t>6</m:t>
                              </m:r>
                            </m:e>
                          </m:d>
                        </m:oMath>
                      </m:oMathPara>
                    </w:p>
                  </w:txbxContent>
                </v:textbox>
              </v:rect>
            </w:pict>
          </mc:Fallback>
        </mc:AlternateContent>
      </w:r>
    </w:p>
    <w:p w14:paraId="21179D2B" w14:textId="6839A8C1" w:rsidR="00540A02" w:rsidRPr="00CB0CD6" w:rsidRDefault="00540A02" w:rsidP="00540A02">
      <w:pPr>
        <w:jc w:val="center"/>
        <w:rPr>
          <w:rFonts w:ascii="Times New Roman" w:hAnsi="Times New Roman"/>
        </w:rPr>
      </w:pPr>
      <w:r w:rsidRPr="00CB0CD6">
        <w:rPr>
          <w:rFonts w:ascii="Times New Roman" w:hAnsi="Times New Roman"/>
          <w:position w:val="-60"/>
        </w:rPr>
        <w:object w:dxaOrig="2600" w:dyaOrig="980" w14:anchorId="02449A6B">
          <v:shape id="_x0000_i1026" type="#_x0000_t75" style="width:108.7pt;height:42.8pt" o:ole="">
            <v:imagedata r:id="rId16" o:title=""/>
          </v:shape>
          <o:OLEObject Type="Embed" ProgID="Equation.DSMT4" ShapeID="_x0000_i1026" DrawAspect="Content" ObjectID="_1825506450" r:id="rId17"/>
        </w:object>
      </w:r>
    </w:p>
    <w:p w14:paraId="52675302" w14:textId="77777777" w:rsidR="00540A02" w:rsidRPr="00540A02" w:rsidRDefault="00540A02" w:rsidP="00540A02">
      <w:pPr>
        <w:jc w:val="both"/>
        <w:rPr>
          <w:rFonts w:ascii="Arial" w:eastAsiaTheme="minorEastAsia" w:hAnsi="Arial" w:cs="Arial"/>
        </w:rPr>
      </w:pPr>
    </w:p>
    <w:p w14:paraId="5AA13EBC" w14:textId="45073224" w:rsidR="00540A02" w:rsidRDefault="00540A02" w:rsidP="003B26A3">
      <w:pPr>
        <w:pStyle w:val="Body"/>
        <w:spacing w:after="0"/>
        <w:rPr>
          <w:rFonts w:ascii="Arial" w:hAnsi="Arial" w:cs="Arial"/>
        </w:rPr>
      </w:pPr>
      <w:r w:rsidRPr="00540A02">
        <w:rPr>
          <w:rFonts w:ascii="Arial" w:hAnsi="Arial" w:cs="Arial"/>
        </w:rPr>
        <w:t>Equations 5 and Equation 6 show the individual probabilities of being in one of the four categories for the reference category (4 = unemployed), and for other reference categories, respectively. The individual changes his occupational status according to his probability, where the individual prefers to work if the utility associated with wage worker is higher than the utility associated with the other activities.</w:t>
      </w:r>
    </w:p>
    <w:p w14:paraId="1EC0B07F" w14:textId="77777777" w:rsidR="00540A02" w:rsidRPr="003B26A3" w:rsidRDefault="00540A02" w:rsidP="003B26A3">
      <w:pPr>
        <w:pStyle w:val="Body"/>
        <w:spacing w:after="0"/>
        <w:rPr>
          <w:rFonts w:ascii="Arial" w:hAnsi="Arial" w:cs="Arial"/>
        </w:rPr>
      </w:pPr>
    </w:p>
    <w:p w14:paraId="666084A6"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1FCDB51D" w14:textId="77777777" w:rsidR="00790ADA" w:rsidRPr="00FB3A86" w:rsidRDefault="00790ADA" w:rsidP="00441B6F">
      <w:pPr>
        <w:pStyle w:val="Head1"/>
        <w:spacing w:after="0"/>
        <w:jc w:val="both"/>
        <w:rPr>
          <w:rFonts w:ascii="Arial" w:hAnsi="Arial" w:cs="Arial"/>
        </w:rPr>
      </w:pPr>
    </w:p>
    <w:p w14:paraId="6B248B27" w14:textId="7454AC76" w:rsidR="00FD63DC" w:rsidRDefault="00F042EF" w:rsidP="00FD63DC">
      <w:pPr>
        <w:pStyle w:val="Body"/>
        <w:spacing w:after="0"/>
        <w:rPr>
          <w:rFonts w:ascii="Arial" w:hAnsi="Arial" w:cs="Arial"/>
          <w:b/>
          <w:bCs/>
        </w:rPr>
      </w:pPr>
      <w:r w:rsidRPr="00F042EF">
        <w:rPr>
          <w:rFonts w:ascii="Arial" w:hAnsi="Arial" w:cs="Arial"/>
        </w:rPr>
        <w:t xml:space="preserve">The income estimation results in Table 1 show that region, urbanization, and marital status have statistically significant effects on farmers’ net income at the 5% level, while sex and educational attainment do not demonstrate strong significance. Region and education positively influence the logarithm of net income, whereas urbanization, sex, and marital status show negative effects. These findings indicate that farmers located in more productive agricultural regions and those with higher education levels tend to earn more. </w:t>
      </w:r>
      <w:r w:rsidRPr="00F042EF">
        <w:rPr>
          <w:rFonts w:ascii="Arial" w:hAnsi="Arial" w:cs="Arial"/>
        </w:rPr>
        <w:lastRenderedPageBreak/>
        <w:t>Meanwhile, rice farmers in highly urbanized areas earn significantly less, likely due to limited access to farmland, higher production costs, and stronger competition for labor.</w:t>
      </w:r>
    </w:p>
    <w:p w14:paraId="29358329" w14:textId="77777777" w:rsidR="00F042EF" w:rsidRDefault="00F042EF" w:rsidP="00F042EF">
      <w:pPr>
        <w:rPr>
          <w:rFonts w:ascii="Arial" w:hAnsi="Arial" w:cs="Arial"/>
          <w:b/>
          <w:bCs/>
        </w:rPr>
      </w:pPr>
    </w:p>
    <w:p w14:paraId="0CD83A00" w14:textId="0CA7A814" w:rsidR="00540A02" w:rsidRDefault="00F042EF" w:rsidP="00F042EF">
      <w:pPr>
        <w:rPr>
          <w:rFonts w:ascii="Arial" w:hAnsi="Arial" w:cs="Arial"/>
          <w:b/>
          <w:bCs/>
        </w:rPr>
      </w:pPr>
      <w:r>
        <w:rPr>
          <w:rFonts w:ascii="Arial" w:hAnsi="Arial" w:cs="Arial"/>
          <w:b/>
          <w:bCs/>
        </w:rPr>
        <w:t xml:space="preserve">      </w:t>
      </w:r>
      <w:r w:rsidR="00752794" w:rsidRPr="00752794">
        <w:rPr>
          <w:rFonts w:ascii="Arial" w:hAnsi="Arial" w:cs="Arial"/>
          <w:b/>
          <w:bCs/>
        </w:rPr>
        <w:t>Table 1. Heckman Two-Step Estimation Results for Rice Farmers’ Net Income</w:t>
      </w:r>
    </w:p>
    <w:tbl>
      <w:tblPr>
        <w:tblW w:w="4519" w:type="pct"/>
        <w:tblInd w:w="360" w:type="dxa"/>
        <w:tblLayout w:type="fixed"/>
        <w:tblLook w:val="04A0" w:firstRow="1" w:lastRow="0" w:firstColumn="1" w:lastColumn="0" w:noHBand="0" w:noVBand="1"/>
      </w:tblPr>
      <w:tblGrid>
        <w:gridCol w:w="3691"/>
        <w:gridCol w:w="2351"/>
        <w:gridCol w:w="2418"/>
      </w:tblGrid>
      <w:tr w:rsidR="00540A02" w:rsidRPr="00CB0CD6" w14:paraId="70153F6A" w14:textId="77777777" w:rsidTr="00F14F82">
        <w:trPr>
          <w:trHeight w:val="300"/>
        </w:trPr>
        <w:tc>
          <w:tcPr>
            <w:tcW w:w="2181" w:type="pct"/>
            <w:tcBorders>
              <w:top w:val="single" w:sz="4" w:space="0" w:color="auto"/>
              <w:bottom w:val="single" w:sz="4" w:space="0" w:color="auto"/>
            </w:tcBorders>
            <w:noWrap/>
            <w:vAlign w:val="bottom"/>
            <w:hideMark/>
          </w:tcPr>
          <w:p w14:paraId="2E52ACD3" w14:textId="77777777" w:rsidR="00540A02" w:rsidRPr="00540A02" w:rsidRDefault="00540A02" w:rsidP="00F14F82">
            <w:pPr>
              <w:contextualSpacing/>
              <w:rPr>
                <w:rFonts w:ascii="Arial" w:hAnsi="Arial" w:cs="Arial"/>
                <w:color w:val="000000"/>
                <w:lang w:eastAsia="en-PH"/>
              </w:rPr>
            </w:pPr>
            <w:bookmarkStart w:id="1" w:name="_Hlk143132724"/>
            <w:r w:rsidRPr="00540A02">
              <w:rPr>
                <w:rFonts w:ascii="Arial" w:hAnsi="Arial" w:cs="Arial"/>
                <w:color w:val="000000"/>
                <w:lang w:eastAsia="en-PH"/>
              </w:rPr>
              <w:t> </w:t>
            </w:r>
          </w:p>
        </w:tc>
        <w:tc>
          <w:tcPr>
            <w:tcW w:w="1389" w:type="pct"/>
            <w:tcBorders>
              <w:top w:val="single" w:sz="4" w:space="0" w:color="auto"/>
              <w:bottom w:val="single" w:sz="4" w:space="0" w:color="auto"/>
            </w:tcBorders>
            <w:noWrap/>
            <w:vAlign w:val="bottom"/>
            <w:hideMark/>
          </w:tcPr>
          <w:p w14:paraId="34BCDAB8" w14:textId="77777777" w:rsidR="00540A02" w:rsidRPr="00540A02" w:rsidRDefault="00540A02" w:rsidP="00F14F82">
            <w:pPr>
              <w:contextualSpacing/>
              <w:jc w:val="center"/>
              <w:rPr>
                <w:rFonts w:ascii="Arial" w:hAnsi="Arial" w:cs="Arial"/>
                <w:b/>
                <w:bCs/>
                <w:color w:val="000000"/>
                <w:lang w:eastAsia="en-PH"/>
              </w:rPr>
            </w:pPr>
            <w:r w:rsidRPr="00540A02">
              <w:rPr>
                <w:rFonts w:ascii="Arial" w:hAnsi="Arial" w:cs="Arial"/>
                <w:b/>
                <w:bCs/>
                <w:color w:val="000000"/>
                <w:lang w:eastAsia="en-PH"/>
              </w:rPr>
              <w:t>Coefficient</w:t>
            </w:r>
          </w:p>
        </w:tc>
        <w:tc>
          <w:tcPr>
            <w:tcW w:w="1429" w:type="pct"/>
            <w:tcBorders>
              <w:top w:val="single" w:sz="4" w:space="0" w:color="auto"/>
              <w:bottom w:val="single" w:sz="4" w:space="0" w:color="auto"/>
            </w:tcBorders>
            <w:noWrap/>
            <w:vAlign w:val="bottom"/>
            <w:hideMark/>
          </w:tcPr>
          <w:p w14:paraId="4C1F83EF" w14:textId="77777777" w:rsidR="00540A02" w:rsidRPr="00540A02" w:rsidRDefault="00540A02" w:rsidP="00F14F82">
            <w:pPr>
              <w:contextualSpacing/>
              <w:jc w:val="center"/>
              <w:rPr>
                <w:rFonts w:ascii="Arial" w:hAnsi="Arial" w:cs="Arial"/>
                <w:b/>
                <w:bCs/>
                <w:color w:val="000000"/>
                <w:lang w:eastAsia="en-PH"/>
              </w:rPr>
            </w:pPr>
            <w:r w:rsidRPr="00540A02">
              <w:rPr>
                <w:rFonts w:ascii="Arial" w:hAnsi="Arial" w:cs="Arial"/>
                <w:b/>
                <w:bCs/>
                <w:color w:val="000000"/>
                <w:lang w:eastAsia="en-PH"/>
              </w:rPr>
              <w:t>Standard error</w:t>
            </w:r>
          </w:p>
        </w:tc>
      </w:tr>
      <w:tr w:rsidR="00540A02" w:rsidRPr="00CB0CD6" w14:paraId="6283F35C" w14:textId="77777777" w:rsidTr="00F14F82">
        <w:trPr>
          <w:trHeight w:val="300"/>
        </w:trPr>
        <w:tc>
          <w:tcPr>
            <w:tcW w:w="2181" w:type="pct"/>
            <w:tcBorders>
              <w:top w:val="single" w:sz="4" w:space="0" w:color="auto"/>
            </w:tcBorders>
            <w:noWrap/>
            <w:vAlign w:val="bottom"/>
            <w:hideMark/>
          </w:tcPr>
          <w:p w14:paraId="7A2EAC4E" w14:textId="77777777" w:rsidR="00540A02" w:rsidRPr="00540A02" w:rsidRDefault="00540A02" w:rsidP="00F14F82">
            <w:pPr>
              <w:contextualSpacing/>
              <w:rPr>
                <w:rFonts w:ascii="Arial" w:hAnsi="Arial" w:cs="Arial"/>
                <w:b/>
                <w:bCs/>
                <w:color w:val="000000"/>
                <w:lang w:eastAsia="en-PH"/>
              </w:rPr>
            </w:pPr>
            <w:r w:rsidRPr="00540A02">
              <w:rPr>
                <w:rFonts w:ascii="Arial" w:hAnsi="Arial" w:cs="Arial"/>
                <w:b/>
                <w:bCs/>
                <w:color w:val="000000"/>
                <w:lang w:eastAsia="en-PH"/>
              </w:rPr>
              <w:t>Dependent Variable: Logarithm of Net Income</w:t>
            </w:r>
          </w:p>
        </w:tc>
        <w:tc>
          <w:tcPr>
            <w:tcW w:w="1389" w:type="pct"/>
            <w:tcBorders>
              <w:top w:val="single" w:sz="4" w:space="0" w:color="auto"/>
            </w:tcBorders>
            <w:noWrap/>
            <w:vAlign w:val="bottom"/>
            <w:hideMark/>
          </w:tcPr>
          <w:p w14:paraId="6B9534A1" w14:textId="77777777" w:rsidR="00540A02" w:rsidRPr="00540A02" w:rsidRDefault="00540A02" w:rsidP="00F14F82">
            <w:pPr>
              <w:contextualSpacing/>
              <w:rPr>
                <w:rFonts w:ascii="Arial" w:hAnsi="Arial" w:cs="Arial"/>
                <w:color w:val="000000"/>
                <w:lang w:eastAsia="en-PH"/>
              </w:rPr>
            </w:pPr>
            <w:r w:rsidRPr="00540A02">
              <w:rPr>
                <w:rFonts w:ascii="Arial" w:hAnsi="Arial" w:cs="Arial"/>
                <w:color w:val="000000"/>
                <w:lang w:eastAsia="en-PH"/>
              </w:rPr>
              <w:t> </w:t>
            </w:r>
          </w:p>
        </w:tc>
        <w:tc>
          <w:tcPr>
            <w:tcW w:w="1429" w:type="pct"/>
            <w:tcBorders>
              <w:top w:val="single" w:sz="4" w:space="0" w:color="auto"/>
            </w:tcBorders>
            <w:noWrap/>
            <w:vAlign w:val="bottom"/>
            <w:hideMark/>
          </w:tcPr>
          <w:p w14:paraId="5610EDE9" w14:textId="77777777" w:rsidR="00540A02" w:rsidRPr="00540A02" w:rsidRDefault="00540A02" w:rsidP="00F14F82">
            <w:pPr>
              <w:contextualSpacing/>
              <w:rPr>
                <w:rFonts w:ascii="Arial" w:hAnsi="Arial" w:cs="Arial"/>
                <w:color w:val="000000"/>
                <w:lang w:eastAsia="en-PH"/>
              </w:rPr>
            </w:pPr>
            <w:r w:rsidRPr="00540A02">
              <w:rPr>
                <w:rFonts w:ascii="Arial" w:hAnsi="Arial" w:cs="Arial"/>
                <w:color w:val="000000"/>
                <w:lang w:eastAsia="en-PH"/>
              </w:rPr>
              <w:t> </w:t>
            </w:r>
          </w:p>
        </w:tc>
      </w:tr>
      <w:tr w:rsidR="00540A02" w:rsidRPr="00CB0CD6" w14:paraId="39118CA0" w14:textId="77777777" w:rsidTr="00F14F82">
        <w:trPr>
          <w:trHeight w:val="300"/>
        </w:trPr>
        <w:tc>
          <w:tcPr>
            <w:tcW w:w="2181" w:type="pct"/>
            <w:noWrap/>
            <w:vAlign w:val="bottom"/>
            <w:hideMark/>
          </w:tcPr>
          <w:p w14:paraId="7B1C09F4" w14:textId="77777777" w:rsidR="00540A02" w:rsidRPr="00540A02" w:rsidRDefault="00540A02" w:rsidP="00F14F82">
            <w:pPr>
              <w:contextualSpacing/>
              <w:rPr>
                <w:rFonts w:ascii="Arial" w:hAnsi="Arial" w:cs="Arial"/>
                <w:b/>
                <w:bCs/>
                <w:color w:val="000000"/>
                <w:lang w:eastAsia="en-PH"/>
              </w:rPr>
            </w:pPr>
            <w:r w:rsidRPr="00540A02">
              <w:rPr>
                <w:rFonts w:ascii="Arial" w:hAnsi="Arial" w:cs="Arial"/>
                <w:b/>
                <w:bCs/>
                <w:color w:val="000000"/>
                <w:lang w:eastAsia="en-PH"/>
              </w:rPr>
              <w:t>Region</w:t>
            </w:r>
          </w:p>
        </w:tc>
        <w:tc>
          <w:tcPr>
            <w:tcW w:w="1389" w:type="pct"/>
            <w:noWrap/>
            <w:vAlign w:val="bottom"/>
            <w:hideMark/>
          </w:tcPr>
          <w:p w14:paraId="7DB6C74E" w14:textId="77777777" w:rsidR="00540A02" w:rsidRPr="00540A02" w:rsidRDefault="00540A02" w:rsidP="00F14F82">
            <w:pPr>
              <w:contextualSpacing/>
              <w:jc w:val="center"/>
              <w:rPr>
                <w:rFonts w:ascii="Arial" w:hAnsi="Arial" w:cs="Arial"/>
                <w:color w:val="000000"/>
                <w:lang w:eastAsia="en-PH"/>
              </w:rPr>
            </w:pPr>
            <w:r w:rsidRPr="00540A02">
              <w:rPr>
                <w:rFonts w:ascii="Arial" w:hAnsi="Arial" w:cs="Arial"/>
                <w:color w:val="000000"/>
                <w:lang w:eastAsia="en-PH"/>
              </w:rPr>
              <w:t>4900.244</w:t>
            </w:r>
            <w:r w:rsidRPr="00540A02">
              <w:rPr>
                <w:rFonts w:ascii="Arial" w:hAnsi="Arial" w:cs="Arial"/>
              </w:rPr>
              <w:t>***</w:t>
            </w:r>
          </w:p>
        </w:tc>
        <w:tc>
          <w:tcPr>
            <w:tcW w:w="1429" w:type="pct"/>
            <w:noWrap/>
            <w:vAlign w:val="bottom"/>
            <w:hideMark/>
          </w:tcPr>
          <w:p w14:paraId="6808EA4D" w14:textId="77777777" w:rsidR="00540A02" w:rsidRPr="00540A02" w:rsidRDefault="00540A02" w:rsidP="00F14F82">
            <w:pPr>
              <w:contextualSpacing/>
              <w:jc w:val="center"/>
              <w:rPr>
                <w:rFonts w:ascii="Arial" w:hAnsi="Arial" w:cs="Arial"/>
                <w:color w:val="000000"/>
                <w:lang w:eastAsia="en-PH"/>
              </w:rPr>
            </w:pPr>
            <w:r w:rsidRPr="00540A02">
              <w:rPr>
                <w:rFonts w:ascii="Arial" w:hAnsi="Arial" w:cs="Arial"/>
                <w:color w:val="000000"/>
                <w:lang w:eastAsia="en-PH"/>
              </w:rPr>
              <w:t>945.2352</w:t>
            </w:r>
          </w:p>
        </w:tc>
      </w:tr>
      <w:tr w:rsidR="00540A02" w:rsidRPr="00CB0CD6" w14:paraId="42F5C685" w14:textId="77777777" w:rsidTr="00F14F82">
        <w:trPr>
          <w:trHeight w:val="300"/>
        </w:trPr>
        <w:tc>
          <w:tcPr>
            <w:tcW w:w="2181" w:type="pct"/>
            <w:noWrap/>
            <w:vAlign w:val="bottom"/>
            <w:hideMark/>
          </w:tcPr>
          <w:p w14:paraId="714CAB3E" w14:textId="77777777" w:rsidR="00540A02" w:rsidRPr="00540A02" w:rsidRDefault="00540A02" w:rsidP="00F14F82">
            <w:pPr>
              <w:contextualSpacing/>
              <w:rPr>
                <w:rFonts w:ascii="Arial" w:hAnsi="Arial" w:cs="Arial"/>
                <w:b/>
                <w:bCs/>
                <w:color w:val="000000"/>
                <w:lang w:eastAsia="en-PH"/>
              </w:rPr>
            </w:pPr>
            <w:r w:rsidRPr="00540A02">
              <w:rPr>
                <w:rFonts w:ascii="Arial" w:hAnsi="Arial" w:cs="Arial"/>
                <w:b/>
                <w:bCs/>
                <w:color w:val="000000"/>
                <w:lang w:eastAsia="en-PH"/>
              </w:rPr>
              <w:t>Urbanization</w:t>
            </w:r>
          </w:p>
        </w:tc>
        <w:tc>
          <w:tcPr>
            <w:tcW w:w="1389" w:type="pct"/>
            <w:noWrap/>
            <w:vAlign w:val="bottom"/>
            <w:hideMark/>
          </w:tcPr>
          <w:p w14:paraId="2552508D" w14:textId="77777777" w:rsidR="00540A02" w:rsidRPr="00540A02" w:rsidRDefault="00540A02" w:rsidP="00F14F82">
            <w:pPr>
              <w:contextualSpacing/>
              <w:jc w:val="center"/>
              <w:rPr>
                <w:rFonts w:ascii="Arial" w:hAnsi="Arial" w:cs="Arial"/>
                <w:color w:val="000000"/>
                <w:lang w:eastAsia="en-PH"/>
              </w:rPr>
            </w:pPr>
            <w:r w:rsidRPr="00540A02">
              <w:rPr>
                <w:rFonts w:ascii="Arial" w:hAnsi="Arial" w:cs="Arial"/>
                <w:color w:val="000000"/>
                <w:lang w:eastAsia="en-PH"/>
              </w:rPr>
              <w:t>-64245.54</w:t>
            </w:r>
            <w:r w:rsidRPr="00540A02">
              <w:rPr>
                <w:rFonts w:ascii="Arial" w:hAnsi="Arial" w:cs="Arial"/>
              </w:rPr>
              <w:t>***</w:t>
            </w:r>
          </w:p>
        </w:tc>
        <w:tc>
          <w:tcPr>
            <w:tcW w:w="1429" w:type="pct"/>
            <w:noWrap/>
            <w:vAlign w:val="bottom"/>
            <w:hideMark/>
          </w:tcPr>
          <w:p w14:paraId="61E901C5" w14:textId="77777777" w:rsidR="00540A02" w:rsidRPr="00540A02" w:rsidRDefault="00540A02" w:rsidP="00F14F82">
            <w:pPr>
              <w:ind w:hanging="102"/>
              <w:contextualSpacing/>
              <w:jc w:val="center"/>
              <w:rPr>
                <w:rFonts w:ascii="Arial" w:hAnsi="Arial" w:cs="Arial"/>
                <w:color w:val="000000"/>
                <w:lang w:eastAsia="en-PH"/>
              </w:rPr>
            </w:pPr>
            <w:r w:rsidRPr="00540A02">
              <w:rPr>
                <w:rFonts w:ascii="Arial" w:hAnsi="Arial" w:cs="Arial"/>
                <w:color w:val="000000"/>
                <w:lang w:eastAsia="en-PH"/>
              </w:rPr>
              <w:t>15519.39</w:t>
            </w:r>
          </w:p>
        </w:tc>
      </w:tr>
      <w:tr w:rsidR="00540A02" w:rsidRPr="00CB0CD6" w14:paraId="29928A6C" w14:textId="77777777" w:rsidTr="00F14F82">
        <w:trPr>
          <w:trHeight w:val="300"/>
        </w:trPr>
        <w:tc>
          <w:tcPr>
            <w:tcW w:w="2181" w:type="pct"/>
            <w:noWrap/>
            <w:vAlign w:val="bottom"/>
            <w:hideMark/>
          </w:tcPr>
          <w:p w14:paraId="69CDC1FE" w14:textId="77777777" w:rsidR="00540A02" w:rsidRPr="00540A02" w:rsidRDefault="00540A02" w:rsidP="00F14F82">
            <w:pPr>
              <w:contextualSpacing/>
              <w:rPr>
                <w:rFonts w:ascii="Arial" w:hAnsi="Arial" w:cs="Arial"/>
                <w:b/>
                <w:bCs/>
                <w:color w:val="000000"/>
                <w:lang w:eastAsia="en-PH"/>
              </w:rPr>
            </w:pPr>
            <w:r w:rsidRPr="00540A02">
              <w:rPr>
                <w:rFonts w:ascii="Arial" w:hAnsi="Arial" w:cs="Arial"/>
                <w:b/>
                <w:bCs/>
                <w:color w:val="000000"/>
                <w:lang w:eastAsia="en-PH"/>
              </w:rPr>
              <w:t>Sex HH Head</w:t>
            </w:r>
          </w:p>
        </w:tc>
        <w:tc>
          <w:tcPr>
            <w:tcW w:w="1389" w:type="pct"/>
            <w:noWrap/>
            <w:vAlign w:val="bottom"/>
            <w:hideMark/>
          </w:tcPr>
          <w:p w14:paraId="159819C6" w14:textId="77777777" w:rsidR="00540A02" w:rsidRPr="00540A02" w:rsidRDefault="00540A02" w:rsidP="00F14F82">
            <w:pPr>
              <w:contextualSpacing/>
              <w:jc w:val="center"/>
              <w:rPr>
                <w:rFonts w:ascii="Arial" w:hAnsi="Arial" w:cs="Arial"/>
                <w:color w:val="000000"/>
                <w:lang w:eastAsia="en-PH"/>
              </w:rPr>
            </w:pPr>
            <w:r w:rsidRPr="00540A02">
              <w:rPr>
                <w:rFonts w:ascii="Arial" w:hAnsi="Arial" w:cs="Arial"/>
                <w:color w:val="000000"/>
                <w:lang w:eastAsia="en-PH"/>
              </w:rPr>
              <w:t>-25869.24</w:t>
            </w:r>
            <w:r w:rsidRPr="00540A02">
              <w:rPr>
                <w:rFonts w:ascii="Arial" w:hAnsi="Arial" w:cs="Arial"/>
              </w:rPr>
              <w:t>*</w:t>
            </w:r>
          </w:p>
        </w:tc>
        <w:tc>
          <w:tcPr>
            <w:tcW w:w="1429" w:type="pct"/>
            <w:noWrap/>
            <w:vAlign w:val="bottom"/>
            <w:hideMark/>
          </w:tcPr>
          <w:p w14:paraId="07217502" w14:textId="77777777" w:rsidR="00540A02" w:rsidRPr="00540A02" w:rsidRDefault="00540A02" w:rsidP="00F14F82">
            <w:pPr>
              <w:contextualSpacing/>
              <w:jc w:val="center"/>
              <w:rPr>
                <w:rFonts w:ascii="Arial" w:hAnsi="Arial" w:cs="Arial"/>
                <w:color w:val="000000"/>
                <w:lang w:eastAsia="en-PH"/>
              </w:rPr>
            </w:pPr>
            <w:r w:rsidRPr="00540A02">
              <w:rPr>
                <w:rFonts w:ascii="Arial" w:hAnsi="Arial" w:cs="Arial"/>
                <w:color w:val="000000"/>
                <w:lang w:eastAsia="en-PH"/>
              </w:rPr>
              <w:t>19428.74</w:t>
            </w:r>
          </w:p>
        </w:tc>
      </w:tr>
      <w:tr w:rsidR="00540A02" w:rsidRPr="00CB0CD6" w14:paraId="52B33089" w14:textId="77777777" w:rsidTr="00F14F82">
        <w:trPr>
          <w:trHeight w:val="300"/>
        </w:trPr>
        <w:tc>
          <w:tcPr>
            <w:tcW w:w="2181" w:type="pct"/>
            <w:noWrap/>
            <w:vAlign w:val="bottom"/>
            <w:hideMark/>
          </w:tcPr>
          <w:p w14:paraId="75D509A7" w14:textId="77777777" w:rsidR="00540A02" w:rsidRPr="00540A02" w:rsidRDefault="00540A02" w:rsidP="00F14F82">
            <w:pPr>
              <w:contextualSpacing/>
              <w:rPr>
                <w:rFonts w:ascii="Arial" w:hAnsi="Arial" w:cs="Arial"/>
                <w:b/>
                <w:bCs/>
                <w:color w:val="000000"/>
                <w:lang w:eastAsia="en-PH"/>
              </w:rPr>
            </w:pPr>
            <w:r w:rsidRPr="00540A02">
              <w:rPr>
                <w:rFonts w:ascii="Arial" w:hAnsi="Arial" w:cs="Arial"/>
                <w:b/>
                <w:bCs/>
                <w:color w:val="000000"/>
                <w:lang w:eastAsia="en-PH"/>
              </w:rPr>
              <w:t>Marital Status</w:t>
            </w:r>
          </w:p>
        </w:tc>
        <w:tc>
          <w:tcPr>
            <w:tcW w:w="1389" w:type="pct"/>
            <w:noWrap/>
            <w:vAlign w:val="bottom"/>
            <w:hideMark/>
          </w:tcPr>
          <w:p w14:paraId="08E04342" w14:textId="77777777" w:rsidR="00540A02" w:rsidRPr="00540A02" w:rsidRDefault="00540A02" w:rsidP="00F14F82">
            <w:pPr>
              <w:contextualSpacing/>
              <w:jc w:val="center"/>
              <w:rPr>
                <w:rFonts w:ascii="Arial" w:hAnsi="Arial" w:cs="Arial"/>
                <w:color w:val="000000"/>
                <w:lang w:eastAsia="en-PH"/>
              </w:rPr>
            </w:pPr>
            <w:r w:rsidRPr="00540A02">
              <w:rPr>
                <w:rFonts w:ascii="Arial" w:hAnsi="Arial" w:cs="Arial"/>
                <w:color w:val="000000"/>
                <w:lang w:eastAsia="en-PH"/>
              </w:rPr>
              <w:t>-25588.27</w:t>
            </w:r>
            <w:r w:rsidRPr="00540A02">
              <w:rPr>
                <w:rFonts w:ascii="Arial" w:hAnsi="Arial" w:cs="Arial"/>
              </w:rPr>
              <w:t>**</w:t>
            </w:r>
          </w:p>
        </w:tc>
        <w:tc>
          <w:tcPr>
            <w:tcW w:w="1429" w:type="pct"/>
            <w:noWrap/>
            <w:vAlign w:val="bottom"/>
            <w:hideMark/>
          </w:tcPr>
          <w:p w14:paraId="1E80EA8F" w14:textId="77777777" w:rsidR="00540A02" w:rsidRPr="00540A02" w:rsidRDefault="00540A02" w:rsidP="00F14F82">
            <w:pPr>
              <w:contextualSpacing/>
              <w:jc w:val="center"/>
              <w:rPr>
                <w:rFonts w:ascii="Arial" w:hAnsi="Arial" w:cs="Arial"/>
                <w:color w:val="000000"/>
                <w:lang w:eastAsia="en-PH"/>
              </w:rPr>
            </w:pPr>
            <w:r w:rsidRPr="00540A02">
              <w:rPr>
                <w:rFonts w:ascii="Arial" w:hAnsi="Arial" w:cs="Arial"/>
                <w:color w:val="000000"/>
                <w:lang w:eastAsia="en-PH"/>
              </w:rPr>
              <w:t>12928.99</w:t>
            </w:r>
          </w:p>
        </w:tc>
      </w:tr>
      <w:tr w:rsidR="00540A02" w:rsidRPr="00CB0CD6" w14:paraId="1BE84F56" w14:textId="77777777" w:rsidTr="00F14F82">
        <w:trPr>
          <w:trHeight w:val="300"/>
        </w:trPr>
        <w:tc>
          <w:tcPr>
            <w:tcW w:w="2181" w:type="pct"/>
            <w:noWrap/>
            <w:vAlign w:val="bottom"/>
            <w:hideMark/>
          </w:tcPr>
          <w:p w14:paraId="3F59E7A3" w14:textId="77777777" w:rsidR="00540A02" w:rsidRPr="00540A02" w:rsidRDefault="00540A02" w:rsidP="00F14F82">
            <w:pPr>
              <w:contextualSpacing/>
              <w:rPr>
                <w:rFonts w:ascii="Arial" w:hAnsi="Arial" w:cs="Arial"/>
                <w:b/>
                <w:bCs/>
                <w:color w:val="000000"/>
                <w:lang w:eastAsia="en-PH"/>
              </w:rPr>
            </w:pPr>
            <w:r w:rsidRPr="00540A02">
              <w:rPr>
                <w:rFonts w:ascii="Arial" w:hAnsi="Arial" w:cs="Arial"/>
                <w:b/>
                <w:bCs/>
                <w:color w:val="000000"/>
                <w:lang w:eastAsia="en-PH"/>
              </w:rPr>
              <w:t>Highest Grade Completed</w:t>
            </w:r>
          </w:p>
        </w:tc>
        <w:tc>
          <w:tcPr>
            <w:tcW w:w="1389" w:type="pct"/>
            <w:noWrap/>
            <w:vAlign w:val="bottom"/>
            <w:hideMark/>
          </w:tcPr>
          <w:p w14:paraId="77183952" w14:textId="77777777" w:rsidR="00540A02" w:rsidRPr="00540A02" w:rsidRDefault="00540A02" w:rsidP="00F14F82">
            <w:pPr>
              <w:contextualSpacing/>
              <w:jc w:val="center"/>
              <w:rPr>
                <w:rFonts w:ascii="Arial" w:hAnsi="Arial" w:cs="Arial"/>
                <w:color w:val="000000"/>
                <w:lang w:eastAsia="en-PH"/>
              </w:rPr>
            </w:pPr>
            <w:r w:rsidRPr="00540A02">
              <w:rPr>
                <w:rFonts w:ascii="Arial" w:hAnsi="Arial" w:cs="Arial"/>
                <w:color w:val="000000"/>
                <w:lang w:eastAsia="en-PH"/>
              </w:rPr>
              <w:t>2394.966</w:t>
            </w:r>
            <w:r w:rsidRPr="00540A02">
              <w:rPr>
                <w:rFonts w:ascii="Arial" w:hAnsi="Arial" w:cs="Arial"/>
              </w:rPr>
              <w:t>*</w:t>
            </w:r>
          </w:p>
        </w:tc>
        <w:tc>
          <w:tcPr>
            <w:tcW w:w="1429" w:type="pct"/>
            <w:noWrap/>
            <w:vAlign w:val="bottom"/>
            <w:hideMark/>
          </w:tcPr>
          <w:p w14:paraId="775BE836" w14:textId="77777777" w:rsidR="00540A02" w:rsidRPr="00540A02" w:rsidRDefault="00540A02" w:rsidP="00F14F82">
            <w:pPr>
              <w:contextualSpacing/>
              <w:jc w:val="center"/>
              <w:rPr>
                <w:rFonts w:ascii="Arial" w:hAnsi="Arial" w:cs="Arial"/>
                <w:color w:val="000000"/>
                <w:lang w:eastAsia="en-PH"/>
              </w:rPr>
            </w:pPr>
            <w:r w:rsidRPr="00540A02">
              <w:rPr>
                <w:rFonts w:ascii="Arial" w:hAnsi="Arial" w:cs="Arial"/>
                <w:color w:val="000000"/>
                <w:lang w:eastAsia="en-PH"/>
              </w:rPr>
              <w:t>1770.898</w:t>
            </w:r>
          </w:p>
        </w:tc>
      </w:tr>
      <w:tr w:rsidR="00540A02" w:rsidRPr="00CB0CD6" w14:paraId="4BEB422B" w14:textId="77777777" w:rsidTr="00F14F82">
        <w:trPr>
          <w:trHeight w:val="300"/>
        </w:trPr>
        <w:tc>
          <w:tcPr>
            <w:tcW w:w="2181" w:type="pct"/>
            <w:tcBorders>
              <w:bottom w:val="single" w:sz="4" w:space="0" w:color="auto"/>
            </w:tcBorders>
            <w:noWrap/>
            <w:vAlign w:val="bottom"/>
            <w:hideMark/>
          </w:tcPr>
          <w:p w14:paraId="3A38697D" w14:textId="77777777" w:rsidR="00540A02" w:rsidRPr="00540A02" w:rsidRDefault="00540A02" w:rsidP="00F14F82">
            <w:pPr>
              <w:contextualSpacing/>
              <w:rPr>
                <w:rFonts w:ascii="Arial" w:hAnsi="Arial" w:cs="Arial"/>
                <w:b/>
                <w:bCs/>
                <w:color w:val="000000"/>
                <w:lang w:eastAsia="en-PH"/>
              </w:rPr>
            </w:pPr>
            <w:r w:rsidRPr="00540A02">
              <w:rPr>
                <w:rFonts w:ascii="Arial" w:hAnsi="Arial" w:cs="Arial"/>
                <w:b/>
                <w:bCs/>
                <w:color w:val="000000"/>
                <w:lang w:eastAsia="en-PH"/>
              </w:rPr>
              <w:t>Constant</w:t>
            </w:r>
          </w:p>
        </w:tc>
        <w:tc>
          <w:tcPr>
            <w:tcW w:w="1389" w:type="pct"/>
            <w:tcBorders>
              <w:bottom w:val="single" w:sz="4" w:space="0" w:color="auto"/>
            </w:tcBorders>
            <w:noWrap/>
            <w:vAlign w:val="bottom"/>
            <w:hideMark/>
          </w:tcPr>
          <w:p w14:paraId="2133B2AF" w14:textId="77777777" w:rsidR="00540A02" w:rsidRPr="00540A02" w:rsidRDefault="00540A02" w:rsidP="00F14F82">
            <w:pPr>
              <w:contextualSpacing/>
              <w:jc w:val="center"/>
              <w:rPr>
                <w:rFonts w:ascii="Arial" w:hAnsi="Arial" w:cs="Arial"/>
                <w:color w:val="000000"/>
                <w:lang w:eastAsia="en-PH"/>
              </w:rPr>
            </w:pPr>
            <w:r w:rsidRPr="00540A02">
              <w:rPr>
                <w:rFonts w:ascii="Arial" w:hAnsi="Arial" w:cs="Arial"/>
                <w:color w:val="000000"/>
                <w:lang w:eastAsia="en-PH"/>
              </w:rPr>
              <w:t>292800.5</w:t>
            </w:r>
          </w:p>
        </w:tc>
        <w:tc>
          <w:tcPr>
            <w:tcW w:w="1429" w:type="pct"/>
            <w:tcBorders>
              <w:bottom w:val="single" w:sz="4" w:space="0" w:color="auto"/>
            </w:tcBorders>
            <w:noWrap/>
            <w:vAlign w:val="bottom"/>
            <w:hideMark/>
          </w:tcPr>
          <w:p w14:paraId="575AA7FC" w14:textId="77777777" w:rsidR="00540A02" w:rsidRPr="00540A02" w:rsidRDefault="00540A02" w:rsidP="00F14F82">
            <w:pPr>
              <w:contextualSpacing/>
              <w:jc w:val="center"/>
              <w:rPr>
                <w:rFonts w:ascii="Arial" w:hAnsi="Arial" w:cs="Arial"/>
                <w:color w:val="000000"/>
                <w:lang w:eastAsia="en-PH"/>
              </w:rPr>
            </w:pPr>
            <w:r w:rsidRPr="00540A02">
              <w:rPr>
                <w:rFonts w:ascii="Arial" w:hAnsi="Arial" w:cs="Arial"/>
                <w:color w:val="000000"/>
                <w:lang w:eastAsia="en-PH"/>
              </w:rPr>
              <w:t>42228.67</w:t>
            </w:r>
          </w:p>
        </w:tc>
      </w:tr>
      <w:tr w:rsidR="00540A02" w:rsidRPr="00CB0CD6" w14:paraId="254468E6" w14:textId="77777777" w:rsidTr="00F14F82">
        <w:trPr>
          <w:trHeight w:val="300"/>
        </w:trPr>
        <w:tc>
          <w:tcPr>
            <w:tcW w:w="2181" w:type="pct"/>
            <w:tcBorders>
              <w:top w:val="single" w:sz="4" w:space="0" w:color="auto"/>
            </w:tcBorders>
            <w:noWrap/>
            <w:vAlign w:val="bottom"/>
            <w:hideMark/>
          </w:tcPr>
          <w:p w14:paraId="1B563A60" w14:textId="77777777" w:rsidR="00540A02" w:rsidRPr="00540A02" w:rsidRDefault="00540A02" w:rsidP="00F14F82">
            <w:pPr>
              <w:contextualSpacing/>
              <w:rPr>
                <w:rFonts w:ascii="Arial" w:hAnsi="Arial" w:cs="Arial"/>
                <w:b/>
                <w:bCs/>
                <w:color w:val="000000"/>
                <w:lang w:eastAsia="en-PH"/>
              </w:rPr>
            </w:pPr>
            <w:r w:rsidRPr="00540A02">
              <w:rPr>
                <w:rFonts w:ascii="Arial" w:hAnsi="Arial" w:cs="Arial"/>
                <w:b/>
                <w:bCs/>
                <w:color w:val="000000"/>
                <w:lang w:eastAsia="en-PH"/>
              </w:rPr>
              <w:t>Mill</w:t>
            </w:r>
          </w:p>
        </w:tc>
        <w:tc>
          <w:tcPr>
            <w:tcW w:w="1389" w:type="pct"/>
            <w:tcBorders>
              <w:top w:val="single" w:sz="4" w:space="0" w:color="auto"/>
            </w:tcBorders>
            <w:noWrap/>
            <w:vAlign w:val="bottom"/>
            <w:hideMark/>
          </w:tcPr>
          <w:p w14:paraId="560A24AE" w14:textId="77777777" w:rsidR="00540A02" w:rsidRPr="00540A02" w:rsidRDefault="00540A02" w:rsidP="00F14F82">
            <w:pPr>
              <w:contextualSpacing/>
              <w:jc w:val="center"/>
              <w:rPr>
                <w:rFonts w:ascii="Arial" w:hAnsi="Arial" w:cs="Arial"/>
                <w:color w:val="000000"/>
                <w:lang w:eastAsia="en-PH"/>
              </w:rPr>
            </w:pPr>
            <w:r w:rsidRPr="00540A02">
              <w:rPr>
                <w:rFonts w:ascii="Arial" w:hAnsi="Arial" w:cs="Arial"/>
                <w:color w:val="000000"/>
                <w:lang w:eastAsia="en-PH"/>
              </w:rPr>
              <w:t>0.000</w:t>
            </w:r>
          </w:p>
        </w:tc>
        <w:tc>
          <w:tcPr>
            <w:tcW w:w="1429" w:type="pct"/>
            <w:tcBorders>
              <w:top w:val="single" w:sz="4" w:space="0" w:color="auto"/>
            </w:tcBorders>
            <w:noWrap/>
            <w:vAlign w:val="bottom"/>
            <w:hideMark/>
          </w:tcPr>
          <w:p w14:paraId="5E2DFCB4" w14:textId="77777777" w:rsidR="00540A02" w:rsidRPr="00540A02" w:rsidRDefault="00540A02" w:rsidP="00F14F82">
            <w:pPr>
              <w:contextualSpacing/>
              <w:rPr>
                <w:rFonts w:ascii="Arial" w:hAnsi="Arial" w:cs="Arial"/>
                <w:b/>
                <w:bCs/>
                <w:color w:val="000000"/>
                <w:lang w:eastAsia="en-PH"/>
              </w:rPr>
            </w:pPr>
            <w:r w:rsidRPr="00540A02">
              <w:rPr>
                <w:rFonts w:ascii="Arial" w:hAnsi="Arial" w:cs="Arial"/>
                <w:b/>
                <w:bCs/>
                <w:color w:val="000000"/>
                <w:lang w:eastAsia="en-PH"/>
              </w:rPr>
              <w:t xml:space="preserve">Wald Chi-Square:  </w:t>
            </w:r>
            <w:r w:rsidRPr="00540A02">
              <w:rPr>
                <w:rFonts w:ascii="Arial" w:hAnsi="Arial" w:cs="Arial"/>
                <w:color w:val="000000"/>
                <w:lang w:eastAsia="en-PH"/>
              </w:rPr>
              <w:t>56.39</w:t>
            </w:r>
          </w:p>
        </w:tc>
      </w:tr>
      <w:tr w:rsidR="00540A02" w:rsidRPr="00CB0CD6" w14:paraId="73635177" w14:textId="77777777" w:rsidTr="00F14F82">
        <w:trPr>
          <w:trHeight w:val="300"/>
        </w:trPr>
        <w:tc>
          <w:tcPr>
            <w:tcW w:w="2181" w:type="pct"/>
            <w:noWrap/>
            <w:vAlign w:val="bottom"/>
            <w:hideMark/>
          </w:tcPr>
          <w:p w14:paraId="4C78FB6C" w14:textId="77777777" w:rsidR="00540A02" w:rsidRPr="00540A02" w:rsidRDefault="00540A02" w:rsidP="00F14F82">
            <w:pPr>
              <w:contextualSpacing/>
              <w:rPr>
                <w:rFonts w:ascii="Arial" w:hAnsi="Arial" w:cs="Arial"/>
                <w:b/>
                <w:bCs/>
                <w:color w:val="000000"/>
                <w:lang w:eastAsia="en-PH"/>
              </w:rPr>
            </w:pPr>
            <w:r w:rsidRPr="00540A02">
              <w:rPr>
                <w:rFonts w:ascii="Arial" w:hAnsi="Arial" w:cs="Arial"/>
                <w:b/>
                <w:bCs/>
                <w:color w:val="000000"/>
                <w:lang w:eastAsia="en-PH"/>
              </w:rPr>
              <w:t>rho</w:t>
            </w:r>
          </w:p>
        </w:tc>
        <w:tc>
          <w:tcPr>
            <w:tcW w:w="1389" w:type="pct"/>
            <w:noWrap/>
            <w:vAlign w:val="bottom"/>
            <w:hideMark/>
          </w:tcPr>
          <w:p w14:paraId="58523D18" w14:textId="77777777" w:rsidR="00540A02" w:rsidRPr="00540A02" w:rsidRDefault="00540A02" w:rsidP="00F14F82">
            <w:pPr>
              <w:contextualSpacing/>
              <w:jc w:val="center"/>
              <w:rPr>
                <w:rFonts w:ascii="Arial" w:hAnsi="Arial" w:cs="Arial"/>
                <w:color w:val="000000"/>
                <w:lang w:eastAsia="en-PH"/>
              </w:rPr>
            </w:pPr>
            <w:r w:rsidRPr="00540A02">
              <w:rPr>
                <w:rFonts w:ascii="Arial" w:hAnsi="Arial" w:cs="Arial"/>
                <w:color w:val="000000"/>
                <w:lang w:eastAsia="en-PH"/>
              </w:rPr>
              <w:t>0.000</w:t>
            </w:r>
          </w:p>
        </w:tc>
        <w:tc>
          <w:tcPr>
            <w:tcW w:w="1429" w:type="pct"/>
            <w:noWrap/>
            <w:vAlign w:val="bottom"/>
            <w:hideMark/>
          </w:tcPr>
          <w:p w14:paraId="65FE99E8" w14:textId="77777777" w:rsidR="00540A02" w:rsidRPr="00540A02" w:rsidRDefault="00540A02" w:rsidP="00F14F82">
            <w:pPr>
              <w:contextualSpacing/>
              <w:rPr>
                <w:rFonts w:ascii="Arial" w:hAnsi="Arial" w:cs="Arial"/>
                <w:b/>
                <w:bCs/>
                <w:color w:val="000000"/>
                <w:lang w:eastAsia="en-PH"/>
              </w:rPr>
            </w:pPr>
            <w:r w:rsidRPr="00540A02">
              <w:rPr>
                <w:rFonts w:ascii="Arial" w:hAnsi="Arial" w:cs="Arial"/>
                <w:b/>
                <w:bCs/>
                <w:color w:val="000000"/>
                <w:lang w:eastAsia="en-PH"/>
              </w:rPr>
              <w:t xml:space="preserve">Probability  :           </w:t>
            </w:r>
            <w:r w:rsidRPr="00540A02">
              <w:rPr>
                <w:rFonts w:ascii="Arial" w:hAnsi="Arial" w:cs="Arial"/>
                <w:color w:val="000000"/>
                <w:lang w:eastAsia="en-PH"/>
              </w:rPr>
              <w:t>0.000</w:t>
            </w:r>
          </w:p>
        </w:tc>
      </w:tr>
      <w:tr w:rsidR="00540A02" w:rsidRPr="00CB0CD6" w14:paraId="03FDA658" w14:textId="77777777" w:rsidTr="00F14F82">
        <w:trPr>
          <w:trHeight w:val="300"/>
        </w:trPr>
        <w:tc>
          <w:tcPr>
            <w:tcW w:w="2181" w:type="pct"/>
            <w:tcBorders>
              <w:bottom w:val="single" w:sz="4" w:space="0" w:color="auto"/>
            </w:tcBorders>
            <w:noWrap/>
            <w:vAlign w:val="bottom"/>
            <w:hideMark/>
          </w:tcPr>
          <w:p w14:paraId="4439298F" w14:textId="77777777" w:rsidR="00540A02" w:rsidRPr="00540A02" w:rsidRDefault="00540A02" w:rsidP="00F14F82">
            <w:pPr>
              <w:contextualSpacing/>
              <w:rPr>
                <w:rFonts w:ascii="Arial" w:hAnsi="Arial" w:cs="Arial"/>
                <w:b/>
                <w:bCs/>
                <w:color w:val="000000"/>
                <w:lang w:eastAsia="en-PH"/>
              </w:rPr>
            </w:pPr>
            <w:r w:rsidRPr="00540A02">
              <w:rPr>
                <w:rFonts w:ascii="Arial" w:hAnsi="Arial" w:cs="Arial"/>
                <w:b/>
                <w:bCs/>
                <w:color w:val="000000"/>
                <w:lang w:eastAsia="en-PH"/>
              </w:rPr>
              <w:t>Sigma</w:t>
            </w:r>
          </w:p>
        </w:tc>
        <w:tc>
          <w:tcPr>
            <w:tcW w:w="1389" w:type="pct"/>
            <w:tcBorders>
              <w:bottom w:val="single" w:sz="4" w:space="0" w:color="auto"/>
            </w:tcBorders>
            <w:noWrap/>
            <w:vAlign w:val="bottom"/>
            <w:hideMark/>
          </w:tcPr>
          <w:p w14:paraId="5FFC1901" w14:textId="77777777" w:rsidR="00540A02" w:rsidRPr="00540A02" w:rsidRDefault="00540A02" w:rsidP="00F14F82">
            <w:pPr>
              <w:contextualSpacing/>
              <w:jc w:val="center"/>
              <w:rPr>
                <w:rFonts w:ascii="Arial" w:hAnsi="Arial" w:cs="Arial"/>
                <w:color w:val="000000"/>
                <w:lang w:eastAsia="en-PH"/>
              </w:rPr>
            </w:pPr>
            <w:r w:rsidRPr="00540A02">
              <w:rPr>
                <w:rFonts w:ascii="Arial" w:hAnsi="Arial" w:cs="Arial"/>
                <w:color w:val="000000"/>
                <w:lang w:eastAsia="en-PH"/>
              </w:rPr>
              <w:t>240285.35</w:t>
            </w:r>
          </w:p>
        </w:tc>
        <w:tc>
          <w:tcPr>
            <w:tcW w:w="1429" w:type="pct"/>
            <w:tcBorders>
              <w:bottom w:val="single" w:sz="4" w:space="0" w:color="auto"/>
            </w:tcBorders>
            <w:noWrap/>
            <w:vAlign w:val="bottom"/>
            <w:hideMark/>
          </w:tcPr>
          <w:p w14:paraId="65583532" w14:textId="77777777" w:rsidR="00540A02" w:rsidRPr="00540A02" w:rsidRDefault="00540A02" w:rsidP="00F14F82">
            <w:pPr>
              <w:contextualSpacing/>
              <w:rPr>
                <w:rFonts w:ascii="Arial" w:hAnsi="Arial" w:cs="Arial"/>
                <w:color w:val="000000"/>
                <w:lang w:eastAsia="en-PH"/>
              </w:rPr>
            </w:pPr>
            <w:r w:rsidRPr="00540A02">
              <w:rPr>
                <w:rFonts w:ascii="Arial" w:hAnsi="Arial" w:cs="Arial"/>
                <w:color w:val="000000"/>
                <w:lang w:eastAsia="en-PH"/>
              </w:rPr>
              <w:t> </w:t>
            </w:r>
          </w:p>
        </w:tc>
      </w:tr>
    </w:tbl>
    <w:bookmarkEnd w:id="1"/>
    <w:p w14:paraId="4F922A7D" w14:textId="5CE8B5A3" w:rsidR="00FD63DC" w:rsidRDefault="00540A02" w:rsidP="00FD63DC">
      <w:pPr>
        <w:pStyle w:val="Body"/>
        <w:spacing w:after="0"/>
        <w:rPr>
          <w:rFonts w:ascii="Arial" w:hAnsi="Arial" w:cs="Arial"/>
          <w:b/>
          <w:bCs/>
          <w:sz w:val="18"/>
          <w:szCs w:val="18"/>
        </w:rPr>
      </w:pPr>
      <w:r>
        <w:rPr>
          <w:rFonts w:ascii="Arial" w:hAnsi="Arial" w:cs="Arial"/>
        </w:rPr>
        <w:t xml:space="preserve">       </w:t>
      </w:r>
      <w:r w:rsidRPr="00540A02">
        <w:rPr>
          <w:rFonts w:ascii="Arial" w:hAnsi="Arial" w:cs="Arial"/>
          <w:b/>
          <w:bCs/>
          <w:sz w:val="18"/>
          <w:szCs w:val="18"/>
        </w:rPr>
        <w:t>Note: *p&lt;0.1, **p&lt;0.05, ***p&lt;0.01</w:t>
      </w:r>
    </w:p>
    <w:p w14:paraId="4F888412" w14:textId="77777777" w:rsidR="00FD63DC" w:rsidRPr="00FD63DC" w:rsidRDefault="00FD63DC" w:rsidP="00FD63DC">
      <w:pPr>
        <w:pStyle w:val="Body"/>
        <w:spacing w:after="0"/>
        <w:rPr>
          <w:rFonts w:ascii="Arial" w:hAnsi="Arial" w:cs="Arial"/>
          <w:b/>
          <w:bCs/>
          <w:sz w:val="18"/>
          <w:szCs w:val="18"/>
        </w:rPr>
      </w:pPr>
    </w:p>
    <w:p w14:paraId="64C157E1" w14:textId="77777777" w:rsidR="00F042EF" w:rsidRPr="00F042EF" w:rsidRDefault="00F042EF" w:rsidP="00F042EF">
      <w:pPr>
        <w:jc w:val="both"/>
        <w:rPr>
          <w:rFonts w:ascii="Arial" w:hAnsi="Arial" w:cs="Arial"/>
        </w:rPr>
      </w:pPr>
      <w:r w:rsidRPr="00F042EF">
        <w:rPr>
          <w:rFonts w:ascii="Arial" w:hAnsi="Arial" w:cs="Arial"/>
        </w:rPr>
        <w:t>These results are consistent with earlier findings by Azam (2016) and Villejo et al. (2014), who noted that households in more developed agricultural regions possess greater opportunities for income advancement, while farmers in urbanized regions face structural barriers to agricultural productivity. The insignificant effect of sex also aligns with Capuno (2019) and Conchada (2019), who report a narrowing gender pay gap in agricultural labor markets.</w:t>
      </w:r>
    </w:p>
    <w:p w14:paraId="6855375D" w14:textId="77777777" w:rsidR="00F042EF" w:rsidRPr="00F042EF" w:rsidRDefault="00F042EF" w:rsidP="00F042EF">
      <w:pPr>
        <w:jc w:val="both"/>
        <w:rPr>
          <w:rFonts w:ascii="Arial" w:hAnsi="Arial" w:cs="Arial"/>
        </w:rPr>
      </w:pPr>
    </w:p>
    <w:p w14:paraId="671901F1" w14:textId="2839E8D1" w:rsidR="00FD63DC" w:rsidRDefault="00F042EF" w:rsidP="00F042EF">
      <w:pPr>
        <w:jc w:val="both"/>
        <w:rPr>
          <w:rFonts w:ascii="Arial" w:hAnsi="Arial" w:cs="Arial"/>
        </w:rPr>
      </w:pPr>
      <w:r w:rsidRPr="00F042EF">
        <w:rPr>
          <w:rFonts w:ascii="Arial" w:hAnsi="Arial" w:cs="Arial"/>
        </w:rPr>
        <w:t>Marital status has a negative and significant impact on income, suggesting that married individuals face greater household constraints and fewer opportunities for income-augmenting decisions. Monsura (2021) and Lerman (2002) support this finding, noting that married individuals often prioritize job stability over income-enhancing occupational shifts. Education, though statistically weak, exhibits a positive coefficient consistent with human capital theories by Mincer (1958), Becker (1962), and Schultz (1961).</w:t>
      </w:r>
    </w:p>
    <w:p w14:paraId="1863E7AD" w14:textId="77777777" w:rsidR="00F042EF" w:rsidRDefault="00F042EF" w:rsidP="00F042EF">
      <w:pPr>
        <w:jc w:val="both"/>
        <w:rPr>
          <w:rFonts w:ascii="Arial" w:hAnsi="Arial" w:cs="Arial"/>
        </w:rPr>
      </w:pPr>
    </w:p>
    <w:p w14:paraId="77D39EAE" w14:textId="3D4CC37B" w:rsidR="00F042EF" w:rsidRDefault="00F042EF" w:rsidP="00F042EF">
      <w:pPr>
        <w:jc w:val="both"/>
        <w:rPr>
          <w:rFonts w:ascii="Arial" w:hAnsi="Arial" w:cs="Arial"/>
        </w:rPr>
      </w:pPr>
      <w:r w:rsidRPr="00F042EF">
        <w:rPr>
          <w:rFonts w:ascii="Arial" w:hAnsi="Arial" w:cs="Arial"/>
        </w:rPr>
        <w:t>Table 2 presents the estimated household income before and after RTL implementation, showing substantial income gains in Regions II, VI, XIII, III, IVB, X, and I. These are predominantly rice-producing regions with irrigated systems and favorable agro-climatic conditions, which amplify the benefits of RCEF interventions. On the other hand, NCR, BARMM, VII, and XI experienced income declines, reflecting their lower dependence on rice farming and limited access to RTL benefits.</w:t>
      </w:r>
    </w:p>
    <w:p w14:paraId="6C5DBEEA" w14:textId="77777777" w:rsidR="00FD63DC" w:rsidRDefault="00FD63DC" w:rsidP="00FD63DC">
      <w:pPr>
        <w:rPr>
          <w:rFonts w:ascii="Arial" w:hAnsi="Arial" w:cs="Arial"/>
          <w:b/>
          <w:bCs/>
        </w:rPr>
      </w:pPr>
    </w:p>
    <w:p w14:paraId="63CBDE12" w14:textId="7549D09D" w:rsidR="00540A02" w:rsidRPr="00FD63DC" w:rsidRDefault="00FD63DC" w:rsidP="00FD63DC">
      <w:pPr>
        <w:rPr>
          <w:rFonts w:ascii="Arial" w:hAnsi="Arial" w:cs="Arial"/>
        </w:rPr>
      </w:pPr>
      <w:r>
        <w:rPr>
          <w:rFonts w:ascii="Arial" w:hAnsi="Arial" w:cs="Arial"/>
          <w:b/>
          <w:bCs/>
        </w:rPr>
        <w:t xml:space="preserve"> </w:t>
      </w:r>
      <w:r w:rsidR="00752794" w:rsidRPr="00752794">
        <w:rPr>
          <w:rFonts w:ascii="Arial" w:hAnsi="Arial" w:cs="Arial"/>
          <w:b/>
          <w:bCs/>
        </w:rPr>
        <w:t>Table 2. Microsimulation-Based Estimates of Household Income Before and After the Rice Tariffication Law</w:t>
      </w:r>
    </w:p>
    <w:tbl>
      <w:tblPr>
        <w:tblW w:w="4663" w:type="pct"/>
        <w:tblInd w:w="108" w:type="dxa"/>
        <w:tblLayout w:type="fixed"/>
        <w:tblLook w:val="04A0" w:firstRow="1" w:lastRow="0" w:firstColumn="1" w:lastColumn="0" w:noHBand="0" w:noVBand="1"/>
      </w:tblPr>
      <w:tblGrid>
        <w:gridCol w:w="3514"/>
        <w:gridCol w:w="1947"/>
        <w:gridCol w:w="2107"/>
        <w:gridCol w:w="1161"/>
      </w:tblGrid>
      <w:tr w:rsidR="00540A02" w:rsidRPr="00540A02" w14:paraId="316E3E94" w14:textId="77777777" w:rsidTr="00540A02">
        <w:trPr>
          <w:trHeight w:val="310"/>
        </w:trPr>
        <w:tc>
          <w:tcPr>
            <w:tcW w:w="2013" w:type="pct"/>
            <w:tcBorders>
              <w:top w:val="single" w:sz="12" w:space="0" w:color="000000"/>
              <w:bottom w:val="single" w:sz="12" w:space="0" w:color="000000"/>
            </w:tcBorders>
            <w:noWrap/>
            <w:vAlign w:val="bottom"/>
            <w:hideMark/>
          </w:tcPr>
          <w:p w14:paraId="68852BA6" w14:textId="77777777" w:rsidR="00540A02" w:rsidRPr="00540A02" w:rsidRDefault="00540A02" w:rsidP="00F14F82">
            <w:pPr>
              <w:contextualSpacing/>
              <w:jc w:val="center"/>
              <w:rPr>
                <w:rFonts w:ascii="Arial" w:hAnsi="Arial" w:cs="Arial"/>
                <w:b/>
                <w:bCs/>
                <w:color w:val="000000"/>
                <w:lang w:eastAsia="en-PH"/>
              </w:rPr>
            </w:pPr>
            <w:r w:rsidRPr="00540A02">
              <w:rPr>
                <w:rFonts w:ascii="Arial" w:hAnsi="Arial" w:cs="Arial"/>
                <w:b/>
                <w:bCs/>
                <w:color w:val="000000"/>
                <w:lang w:eastAsia="en-PH"/>
              </w:rPr>
              <w:t>Region</w:t>
            </w:r>
          </w:p>
        </w:tc>
        <w:tc>
          <w:tcPr>
            <w:tcW w:w="1115" w:type="pct"/>
            <w:tcBorders>
              <w:top w:val="single" w:sz="12" w:space="0" w:color="000000"/>
              <w:bottom w:val="single" w:sz="12" w:space="0" w:color="000000"/>
            </w:tcBorders>
            <w:noWrap/>
            <w:vAlign w:val="bottom"/>
            <w:hideMark/>
          </w:tcPr>
          <w:p w14:paraId="57E875B1" w14:textId="77777777" w:rsidR="00540A02" w:rsidRPr="00540A02" w:rsidRDefault="00540A02" w:rsidP="00F14F82">
            <w:pPr>
              <w:contextualSpacing/>
              <w:jc w:val="center"/>
              <w:rPr>
                <w:rFonts w:ascii="Arial" w:hAnsi="Arial" w:cs="Arial"/>
                <w:b/>
                <w:bCs/>
                <w:color w:val="000000"/>
                <w:lang w:eastAsia="en-PH"/>
              </w:rPr>
            </w:pPr>
            <w:r w:rsidRPr="00540A02">
              <w:rPr>
                <w:rFonts w:ascii="Arial" w:hAnsi="Arial" w:cs="Arial"/>
                <w:b/>
                <w:bCs/>
                <w:color w:val="000000"/>
                <w:lang w:eastAsia="en-PH"/>
              </w:rPr>
              <w:t>Based Period</w:t>
            </w:r>
          </w:p>
        </w:tc>
        <w:tc>
          <w:tcPr>
            <w:tcW w:w="1207" w:type="pct"/>
            <w:tcBorders>
              <w:top w:val="single" w:sz="12" w:space="0" w:color="000000"/>
              <w:bottom w:val="single" w:sz="12" w:space="0" w:color="000000"/>
            </w:tcBorders>
            <w:noWrap/>
            <w:vAlign w:val="bottom"/>
            <w:hideMark/>
          </w:tcPr>
          <w:p w14:paraId="0BF7E0D8" w14:textId="77777777" w:rsidR="00540A02" w:rsidRPr="00540A02" w:rsidRDefault="00540A02" w:rsidP="00F14F82">
            <w:pPr>
              <w:contextualSpacing/>
              <w:jc w:val="center"/>
              <w:rPr>
                <w:rFonts w:ascii="Arial" w:hAnsi="Arial" w:cs="Arial"/>
                <w:b/>
                <w:bCs/>
                <w:color w:val="000000"/>
                <w:lang w:eastAsia="en-PH"/>
              </w:rPr>
            </w:pPr>
            <w:r w:rsidRPr="00540A02">
              <w:rPr>
                <w:rFonts w:ascii="Arial" w:hAnsi="Arial" w:cs="Arial"/>
                <w:b/>
                <w:bCs/>
                <w:color w:val="000000"/>
                <w:lang w:eastAsia="en-PH"/>
              </w:rPr>
              <w:t>Estimated Period</w:t>
            </w:r>
          </w:p>
        </w:tc>
        <w:tc>
          <w:tcPr>
            <w:tcW w:w="665" w:type="pct"/>
            <w:tcBorders>
              <w:top w:val="single" w:sz="12" w:space="0" w:color="000000"/>
              <w:bottom w:val="single" w:sz="12" w:space="0" w:color="000000"/>
            </w:tcBorders>
            <w:noWrap/>
            <w:vAlign w:val="bottom"/>
            <w:hideMark/>
          </w:tcPr>
          <w:p w14:paraId="3F797445" w14:textId="77777777" w:rsidR="00540A02" w:rsidRPr="00540A02" w:rsidRDefault="00540A02" w:rsidP="00F14F82">
            <w:pPr>
              <w:contextualSpacing/>
              <w:jc w:val="center"/>
              <w:rPr>
                <w:rFonts w:ascii="Arial" w:hAnsi="Arial" w:cs="Arial"/>
                <w:b/>
                <w:bCs/>
                <w:color w:val="000000"/>
                <w:lang w:eastAsia="en-PH"/>
              </w:rPr>
            </w:pPr>
            <w:r w:rsidRPr="00540A02">
              <w:rPr>
                <w:rFonts w:ascii="Arial" w:hAnsi="Arial" w:cs="Arial"/>
                <w:b/>
                <w:bCs/>
                <w:color w:val="000000"/>
                <w:lang w:eastAsia="en-PH"/>
              </w:rPr>
              <w:t>Change</w:t>
            </w:r>
          </w:p>
        </w:tc>
      </w:tr>
      <w:tr w:rsidR="00540A02" w:rsidRPr="00540A02" w14:paraId="6BC7778E" w14:textId="77777777" w:rsidTr="00540A02">
        <w:trPr>
          <w:trHeight w:val="296"/>
        </w:trPr>
        <w:tc>
          <w:tcPr>
            <w:tcW w:w="2013" w:type="pct"/>
            <w:tcBorders>
              <w:top w:val="single" w:sz="12" w:space="0" w:color="000000"/>
            </w:tcBorders>
            <w:noWrap/>
            <w:vAlign w:val="bottom"/>
            <w:hideMark/>
          </w:tcPr>
          <w:p w14:paraId="6D63807D" w14:textId="77777777" w:rsidR="00540A02" w:rsidRPr="00540A02" w:rsidRDefault="00540A02" w:rsidP="00F14F82">
            <w:pPr>
              <w:contextualSpacing/>
              <w:rPr>
                <w:rFonts w:ascii="Arial" w:hAnsi="Arial" w:cs="Arial"/>
                <w:color w:val="000000"/>
                <w:lang w:eastAsia="en-PH"/>
              </w:rPr>
            </w:pPr>
            <w:r w:rsidRPr="00540A02">
              <w:rPr>
                <w:rFonts w:ascii="Arial" w:hAnsi="Arial" w:cs="Arial"/>
                <w:color w:val="000000"/>
                <w:lang w:eastAsia="en-PH"/>
              </w:rPr>
              <w:t>II (Cagayan Valley)</w:t>
            </w:r>
          </w:p>
        </w:tc>
        <w:tc>
          <w:tcPr>
            <w:tcW w:w="1115" w:type="pct"/>
            <w:tcBorders>
              <w:top w:val="single" w:sz="12" w:space="0" w:color="000000"/>
            </w:tcBorders>
            <w:noWrap/>
            <w:vAlign w:val="bottom"/>
            <w:hideMark/>
          </w:tcPr>
          <w:p w14:paraId="1D453B9D" w14:textId="77777777" w:rsidR="00540A02" w:rsidRPr="00540A02" w:rsidRDefault="00540A02" w:rsidP="00F14F82">
            <w:pPr>
              <w:contextualSpacing/>
              <w:rPr>
                <w:rFonts w:ascii="Arial" w:hAnsi="Arial" w:cs="Arial"/>
                <w:color w:val="000000"/>
                <w:lang w:eastAsia="en-PH"/>
              </w:rPr>
            </w:pPr>
            <w:r w:rsidRPr="00540A02">
              <w:rPr>
                <w:rFonts w:ascii="Arial" w:hAnsi="Arial" w:cs="Arial"/>
                <w:color w:val="000000"/>
                <w:lang w:eastAsia="en-PH"/>
              </w:rPr>
              <w:t>19,882,150.00</w:t>
            </w:r>
          </w:p>
        </w:tc>
        <w:tc>
          <w:tcPr>
            <w:tcW w:w="1207" w:type="pct"/>
            <w:tcBorders>
              <w:top w:val="single" w:sz="12" w:space="0" w:color="000000"/>
            </w:tcBorders>
            <w:noWrap/>
            <w:vAlign w:val="bottom"/>
            <w:hideMark/>
          </w:tcPr>
          <w:p w14:paraId="040CC7C9" w14:textId="77777777" w:rsidR="00540A02" w:rsidRPr="00540A02" w:rsidRDefault="00540A02" w:rsidP="00F14F82">
            <w:pPr>
              <w:contextualSpacing/>
              <w:rPr>
                <w:rFonts w:ascii="Arial" w:hAnsi="Arial" w:cs="Arial"/>
                <w:color w:val="000000"/>
                <w:lang w:eastAsia="en-PH"/>
              </w:rPr>
            </w:pPr>
            <w:r w:rsidRPr="00540A02">
              <w:rPr>
                <w:rFonts w:ascii="Arial" w:hAnsi="Arial" w:cs="Arial"/>
                <w:color w:val="000000"/>
                <w:lang w:eastAsia="en-PH"/>
              </w:rPr>
              <w:t>31,962,920.00</w:t>
            </w:r>
          </w:p>
        </w:tc>
        <w:tc>
          <w:tcPr>
            <w:tcW w:w="665" w:type="pct"/>
            <w:tcBorders>
              <w:top w:val="single" w:sz="12" w:space="0" w:color="000000"/>
            </w:tcBorders>
            <w:noWrap/>
            <w:vAlign w:val="bottom"/>
            <w:hideMark/>
          </w:tcPr>
          <w:p w14:paraId="79592403" w14:textId="77777777" w:rsidR="00540A02" w:rsidRPr="00540A02" w:rsidRDefault="00540A02" w:rsidP="00F14F82">
            <w:pPr>
              <w:contextualSpacing/>
              <w:jc w:val="center"/>
              <w:rPr>
                <w:rFonts w:ascii="Arial" w:hAnsi="Arial" w:cs="Arial"/>
                <w:color w:val="000000"/>
                <w:lang w:eastAsia="en-PH"/>
              </w:rPr>
            </w:pPr>
            <w:r w:rsidRPr="00540A02">
              <w:rPr>
                <w:rFonts w:ascii="Arial" w:hAnsi="Arial" w:cs="Arial"/>
                <w:color w:val="000000"/>
                <w:lang w:eastAsia="en-PH"/>
              </w:rPr>
              <w:t>60.76</w:t>
            </w:r>
          </w:p>
        </w:tc>
      </w:tr>
      <w:tr w:rsidR="00540A02" w:rsidRPr="00540A02" w14:paraId="52738EA8" w14:textId="77777777" w:rsidTr="00540A02">
        <w:trPr>
          <w:trHeight w:val="283"/>
        </w:trPr>
        <w:tc>
          <w:tcPr>
            <w:tcW w:w="2013" w:type="pct"/>
            <w:noWrap/>
            <w:vAlign w:val="bottom"/>
            <w:hideMark/>
          </w:tcPr>
          <w:p w14:paraId="5E427526" w14:textId="77777777" w:rsidR="00540A02" w:rsidRPr="00540A02" w:rsidRDefault="00540A02" w:rsidP="00F14F82">
            <w:pPr>
              <w:contextualSpacing/>
              <w:rPr>
                <w:rFonts w:ascii="Arial" w:hAnsi="Arial" w:cs="Arial"/>
                <w:color w:val="000000"/>
                <w:lang w:eastAsia="en-PH"/>
              </w:rPr>
            </w:pPr>
            <w:r w:rsidRPr="00540A02">
              <w:rPr>
                <w:rFonts w:ascii="Arial" w:hAnsi="Arial" w:cs="Arial"/>
                <w:color w:val="000000"/>
                <w:lang w:eastAsia="en-PH"/>
              </w:rPr>
              <w:t>VI (Western Visayas)</w:t>
            </w:r>
          </w:p>
        </w:tc>
        <w:tc>
          <w:tcPr>
            <w:tcW w:w="1115" w:type="pct"/>
            <w:noWrap/>
            <w:vAlign w:val="bottom"/>
            <w:hideMark/>
          </w:tcPr>
          <w:p w14:paraId="369528AB" w14:textId="77777777" w:rsidR="00540A02" w:rsidRPr="00540A02" w:rsidRDefault="00540A02" w:rsidP="00F14F82">
            <w:pPr>
              <w:contextualSpacing/>
              <w:rPr>
                <w:rFonts w:ascii="Arial" w:hAnsi="Arial" w:cs="Arial"/>
                <w:color w:val="000000"/>
                <w:lang w:eastAsia="en-PH"/>
              </w:rPr>
            </w:pPr>
            <w:r w:rsidRPr="00540A02">
              <w:rPr>
                <w:rFonts w:ascii="Arial" w:hAnsi="Arial" w:cs="Arial"/>
                <w:color w:val="000000"/>
                <w:lang w:eastAsia="en-PH"/>
              </w:rPr>
              <w:t>24,893,822.00</w:t>
            </w:r>
          </w:p>
        </w:tc>
        <w:tc>
          <w:tcPr>
            <w:tcW w:w="1207" w:type="pct"/>
            <w:noWrap/>
            <w:vAlign w:val="bottom"/>
            <w:hideMark/>
          </w:tcPr>
          <w:p w14:paraId="1345F740" w14:textId="77777777" w:rsidR="00540A02" w:rsidRPr="00540A02" w:rsidRDefault="00540A02" w:rsidP="00F14F82">
            <w:pPr>
              <w:contextualSpacing/>
              <w:rPr>
                <w:rFonts w:ascii="Arial" w:hAnsi="Arial" w:cs="Arial"/>
                <w:color w:val="000000"/>
                <w:lang w:eastAsia="en-PH"/>
              </w:rPr>
            </w:pPr>
            <w:r w:rsidRPr="00540A02">
              <w:rPr>
                <w:rFonts w:ascii="Arial" w:hAnsi="Arial" w:cs="Arial"/>
                <w:color w:val="000000"/>
                <w:lang w:eastAsia="en-PH"/>
              </w:rPr>
              <w:t>36,774,405.00</w:t>
            </w:r>
          </w:p>
        </w:tc>
        <w:tc>
          <w:tcPr>
            <w:tcW w:w="665" w:type="pct"/>
            <w:noWrap/>
            <w:vAlign w:val="bottom"/>
            <w:hideMark/>
          </w:tcPr>
          <w:p w14:paraId="7E2AFE87" w14:textId="77777777" w:rsidR="00540A02" w:rsidRPr="00540A02" w:rsidRDefault="00540A02" w:rsidP="00F14F82">
            <w:pPr>
              <w:contextualSpacing/>
              <w:jc w:val="center"/>
              <w:rPr>
                <w:rFonts w:ascii="Arial" w:hAnsi="Arial" w:cs="Arial"/>
                <w:color w:val="000000"/>
                <w:lang w:eastAsia="en-PH"/>
              </w:rPr>
            </w:pPr>
            <w:r w:rsidRPr="00540A02">
              <w:rPr>
                <w:rFonts w:ascii="Arial" w:hAnsi="Arial" w:cs="Arial"/>
                <w:color w:val="000000"/>
                <w:lang w:eastAsia="en-PH"/>
              </w:rPr>
              <w:t>47.73</w:t>
            </w:r>
          </w:p>
        </w:tc>
      </w:tr>
      <w:tr w:rsidR="00540A02" w:rsidRPr="00540A02" w14:paraId="09C95753" w14:textId="77777777" w:rsidTr="00540A02">
        <w:trPr>
          <w:trHeight w:val="283"/>
        </w:trPr>
        <w:tc>
          <w:tcPr>
            <w:tcW w:w="2013" w:type="pct"/>
            <w:noWrap/>
            <w:vAlign w:val="bottom"/>
            <w:hideMark/>
          </w:tcPr>
          <w:p w14:paraId="3634A88F" w14:textId="77777777" w:rsidR="00540A02" w:rsidRPr="00540A02" w:rsidRDefault="00540A02" w:rsidP="00F14F82">
            <w:pPr>
              <w:contextualSpacing/>
              <w:rPr>
                <w:rFonts w:ascii="Arial" w:hAnsi="Arial" w:cs="Arial"/>
                <w:color w:val="000000"/>
                <w:lang w:eastAsia="en-PH"/>
              </w:rPr>
            </w:pPr>
            <w:r w:rsidRPr="00540A02">
              <w:rPr>
                <w:rFonts w:ascii="Arial" w:hAnsi="Arial" w:cs="Arial"/>
                <w:color w:val="000000"/>
                <w:lang w:eastAsia="en-PH"/>
              </w:rPr>
              <w:t>XIII (CARAGA)</w:t>
            </w:r>
          </w:p>
        </w:tc>
        <w:tc>
          <w:tcPr>
            <w:tcW w:w="1115" w:type="pct"/>
            <w:noWrap/>
            <w:vAlign w:val="bottom"/>
            <w:hideMark/>
          </w:tcPr>
          <w:p w14:paraId="1D335483" w14:textId="77777777" w:rsidR="00540A02" w:rsidRPr="00540A02" w:rsidRDefault="00540A02" w:rsidP="00F14F82">
            <w:pPr>
              <w:contextualSpacing/>
              <w:rPr>
                <w:rFonts w:ascii="Arial" w:hAnsi="Arial" w:cs="Arial"/>
                <w:color w:val="000000"/>
                <w:lang w:eastAsia="en-PH"/>
              </w:rPr>
            </w:pPr>
            <w:r w:rsidRPr="00540A02">
              <w:rPr>
                <w:rFonts w:ascii="Arial" w:hAnsi="Arial" w:cs="Arial"/>
                <w:color w:val="000000"/>
                <w:lang w:eastAsia="en-PH"/>
              </w:rPr>
              <w:t>11,769,373.00</w:t>
            </w:r>
          </w:p>
        </w:tc>
        <w:tc>
          <w:tcPr>
            <w:tcW w:w="1207" w:type="pct"/>
            <w:noWrap/>
            <w:vAlign w:val="bottom"/>
            <w:hideMark/>
          </w:tcPr>
          <w:p w14:paraId="553DE1E8" w14:textId="77777777" w:rsidR="00540A02" w:rsidRPr="00540A02" w:rsidRDefault="00540A02" w:rsidP="00F14F82">
            <w:pPr>
              <w:contextualSpacing/>
              <w:rPr>
                <w:rFonts w:ascii="Arial" w:hAnsi="Arial" w:cs="Arial"/>
                <w:color w:val="000000"/>
                <w:lang w:eastAsia="en-PH"/>
              </w:rPr>
            </w:pPr>
            <w:r w:rsidRPr="00540A02">
              <w:rPr>
                <w:rFonts w:ascii="Arial" w:hAnsi="Arial" w:cs="Arial"/>
                <w:color w:val="000000"/>
                <w:lang w:eastAsia="en-PH"/>
              </w:rPr>
              <w:t>15,323,605.50</w:t>
            </w:r>
          </w:p>
        </w:tc>
        <w:tc>
          <w:tcPr>
            <w:tcW w:w="665" w:type="pct"/>
            <w:noWrap/>
            <w:vAlign w:val="bottom"/>
            <w:hideMark/>
          </w:tcPr>
          <w:p w14:paraId="42106396" w14:textId="77777777" w:rsidR="00540A02" w:rsidRPr="00540A02" w:rsidRDefault="00540A02" w:rsidP="00F14F82">
            <w:pPr>
              <w:contextualSpacing/>
              <w:jc w:val="center"/>
              <w:rPr>
                <w:rFonts w:ascii="Arial" w:hAnsi="Arial" w:cs="Arial"/>
                <w:color w:val="000000"/>
                <w:lang w:eastAsia="en-PH"/>
              </w:rPr>
            </w:pPr>
            <w:r w:rsidRPr="00540A02">
              <w:rPr>
                <w:rFonts w:ascii="Arial" w:hAnsi="Arial" w:cs="Arial"/>
                <w:color w:val="000000"/>
                <w:lang w:eastAsia="en-PH"/>
              </w:rPr>
              <w:t>30.20</w:t>
            </w:r>
          </w:p>
        </w:tc>
      </w:tr>
      <w:tr w:rsidR="00540A02" w:rsidRPr="00540A02" w14:paraId="48B8EFCD" w14:textId="77777777" w:rsidTr="00540A02">
        <w:trPr>
          <w:trHeight w:val="283"/>
        </w:trPr>
        <w:tc>
          <w:tcPr>
            <w:tcW w:w="2013" w:type="pct"/>
            <w:noWrap/>
            <w:vAlign w:val="bottom"/>
            <w:hideMark/>
          </w:tcPr>
          <w:p w14:paraId="0C27B8DD" w14:textId="77777777" w:rsidR="00540A02" w:rsidRPr="00540A02" w:rsidRDefault="00540A02" w:rsidP="00F14F82">
            <w:pPr>
              <w:contextualSpacing/>
              <w:rPr>
                <w:rFonts w:ascii="Arial" w:hAnsi="Arial" w:cs="Arial"/>
                <w:color w:val="000000"/>
                <w:lang w:eastAsia="en-PH"/>
              </w:rPr>
            </w:pPr>
            <w:r w:rsidRPr="00540A02">
              <w:rPr>
                <w:rFonts w:ascii="Arial" w:hAnsi="Arial" w:cs="Arial"/>
                <w:color w:val="000000"/>
                <w:lang w:eastAsia="en-PH"/>
              </w:rPr>
              <w:t>III (Central Luzon)</w:t>
            </w:r>
          </w:p>
        </w:tc>
        <w:tc>
          <w:tcPr>
            <w:tcW w:w="1115" w:type="pct"/>
            <w:noWrap/>
            <w:vAlign w:val="bottom"/>
            <w:hideMark/>
          </w:tcPr>
          <w:p w14:paraId="6AEBA21E" w14:textId="77777777" w:rsidR="00540A02" w:rsidRPr="00540A02" w:rsidRDefault="00540A02" w:rsidP="00F14F82">
            <w:pPr>
              <w:contextualSpacing/>
              <w:rPr>
                <w:rFonts w:ascii="Arial" w:hAnsi="Arial" w:cs="Arial"/>
                <w:color w:val="000000"/>
                <w:lang w:eastAsia="en-PH"/>
              </w:rPr>
            </w:pPr>
            <w:r w:rsidRPr="00540A02">
              <w:rPr>
                <w:rFonts w:ascii="Arial" w:hAnsi="Arial" w:cs="Arial"/>
                <w:color w:val="000000"/>
                <w:lang w:eastAsia="en-PH"/>
              </w:rPr>
              <w:t>43,161,264.00</w:t>
            </w:r>
          </w:p>
        </w:tc>
        <w:tc>
          <w:tcPr>
            <w:tcW w:w="1207" w:type="pct"/>
            <w:noWrap/>
            <w:vAlign w:val="bottom"/>
            <w:hideMark/>
          </w:tcPr>
          <w:p w14:paraId="6CB73CB3" w14:textId="77777777" w:rsidR="00540A02" w:rsidRPr="00540A02" w:rsidRDefault="00540A02" w:rsidP="00F14F82">
            <w:pPr>
              <w:contextualSpacing/>
              <w:rPr>
                <w:rFonts w:ascii="Arial" w:hAnsi="Arial" w:cs="Arial"/>
                <w:color w:val="000000"/>
                <w:lang w:eastAsia="en-PH"/>
              </w:rPr>
            </w:pPr>
            <w:r w:rsidRPr="00540A02">
              <w:rPr>
                <w:rFonts w:ascii="Arial" w:hAnsi="Arial" w:cs="Arial"/>
                <w:color w:val="000000"/>
                <w:lang w:eastAsia="en-PH"/>
              </w:rPr>
              <w:t>52,956,945.10</w:t>
            </w:r>
          </w:p>
        </w:tc>
        <w:tc>
          <w:tcPr>
            <w:tcW w:w="665" w:type="pct"/>
            <w:noWrap/>
            <w:vAlign w:val="bottom"/>
            <w:hideMark/>
          </w:tcPr>
          <w:p w14:paraId="4CA09D22" w14:textId="77777777" w:rsidR="00540A02" w:rsidRPr="00540A02" w:rsidRDefault="00540A02" w:rsidP="00F14F82">
            <w:pPr>
              <w:contextualSpacing/>
              <w:jc w:val="center"/>
              <w:rPr>
                <w:rFonts w:ascii="Arial" w:hAnsi="Arial" w:cs="Arial"/>
                <w:color w:val="000000"/>
                <w:lang w:eastAsia="en-PH"/>
              </w:rPr>
            </w:pPr>
            <w:r w:rsidRPr="00540A02">
              <w:rPr>
                <w:rFonts w:ascii="Arial" w:hAnsi="Arial" w:cs="Arial"/>
                <w:color w:val="000000"/>
                <w:lang w:eastAsia="en-PH"/>
              </w:rPr>
              <w:t>22.70</w:t>
            </w:r>
          </w:p>
        </w:tc>
      </w:tr>
      <w:tr w:rsidR="00540A02" w:rsidRPr="00540A02" w14:paraId="26F12D7B" w14:textId="77777777" w:rsidTr="00540A02">
        <w:trPr>
          <w:trHeight w:val="283"/>
        </w:trPr>
        <w:tc>
          <w:tcPr>
            <w:tcW w:w="2013" w:type="pct"/>
            <w:noWrap/>
            <w:vAlign w:val="bottom"/>
            <w:hideMark/>
          </w:tcPr>
          <w:p w14:paraId="79D46C20" w14:textId="77777777" w:rsidR="00540A02" w:rsidRPr="00540A02" w:rsidRDefault="00540A02" w:rsidP="00F14F82">
            <w:pPr>
              <w:contextualSpacing/>
              <w:rPr>
                <w:rFonts w:ascii="Arial" w:hAnsi="Arial" w:cs="Arial"/>
                <w:color w:val="000000"/>
                <w:lang w:eastAsia="en-PH"/>
              </w:rPr>
            </w:pPr>
            <w:r w:rsidRPr="00540A02">
              <w:rPr>
                <w:rFonts w:ascii="Arial" w:hAnsi="Arial" w:cs="Arial"/>
                <w:color w:val="000000"/>
                <w:lang w:eastAsia="en-PH"/>
              </w:rPr>
              <w:t>IVB (MIMAROPA)</w:t>
            </w:r>
          </w:p>
        </w:tc>
        <w:tc>
          <w:tcPr>
            <w:tcW w:w="1115" w:type="pct"/>
            <w:noWrap/>
            <w:vAlign w:val="bottom"/>
            <w:hideMark/>
          </w:tcPr>
          <w:p w14:paraId="654513F7" w14:textId="77777777" w:rsidR="00540A02" w:rsidRPr="00540A02" w:rsidRDefault="00540A02" w:rsidP="00F14F82">
            <w:pPr>
              <w:contextualSpacing/>
              <w:rPr>
                <w:rFonts w:ascii="Arial" w:hAnsi="Arial" w:cs="Arial"/>
                <w:color w:val="000000"/>
                <w:lang w:eastAsia="en-PH"/>
              </w:rPr>
            </w:pPr>
            <w:r w:rsidRPr="00540A02">
              <w:rPr>
                <w:rFonts w:ascii="Arial" w:hAnsi="Arial" w:cs="Arial"/>
                <w:color w:val="000000"/>
                <w:lang w:eastAsia="en-PH"/>
              </w:rPr>
              <w:t>28,684,372.00</w:t>
            </w:r>
          </w:p>
        </w:tc>
        <w:tc>
          <w:tcPr>
            <w:tcW w:w="1207" w:type="pct"/>
            <w:noWrap/>
            <w:vAlign w:val="bottom"/>
            <w:hideMark/>
          </w:tcPr>
          <w:p w14:paraId="261BCCD0" w14:textId="77777777" w:rsidR="00540A02" w:rsidRPr="00540A02" w:rsidRDefault="00540A02" w:rsidP="00F14F82">
            <w:pPr>
              <w:contextualSpacing/>
              <w:rPr>
                <w:rFonts w:ascii="Arial" w:hAnsi="Arial" w:cs="Arial"/>
                <w:color w:val="000000"/>
                <w:lang w:eastAsia="en-PH"/>
              </w:rPr>
            </w:pPr>
            <w:r w:rsidRPr="00540A02">
              <w:rPr>
                <w:rFonts w:ascii="Arial" w:hAnsi="Arial" w:cs="Arial"/>
                <w:color w:val="000000"/>
                <w:lang w:eastAsia="en-PH"/>
              </w:rPr>
              <w:t>33,874,984.30</w:t>
            </w:r>
          </w:p>
        </w:tc>
        <w:tc>
          <w:tcPr>
            <w:tcW w:w="665" w:type="pct"/>
            <w:noWrap/>
            <w:vAlign w:val="bottom"/>
            <w:hideMark/>
          </w:tcPr>
          <w:p w14:paraId="138D187D" w14:textId="77777777" w:rsidR="00540A02" w:rsidRPr="00540A02" w:rsidRDefault="00540A02" w:rsidP="00F14F82">
            <w:pPr>
              <w:contextualSpacing/>
              <w:jc w:val="center"/>
              <w:rPr>
                <w:rFonts w:ascii="Arial" w:hAnsi="Arial" w:cs="Arial"/>
                <w:color w:val="000000"/>
                <w:lang w:eastAsia="en-PH"/>
              </w:rPr>
            </w:pPr>
            <w:r w:rsidRPr="00540A02">
              <w:rPr>
                <w:rFonts w:ascii="Arial" w:hAnsi="Arial" w:cs="Arial"/>
                <w:color w:val="000000"/>
                <w:lang w:eastAsia="en-PH"/>
              </w:rPr>
              <w:t>18.10</w:t>
            </w:r>
          </w:p>
        </w:tc>
      </w:tr>
      <w:tr w:rsidR="00540A02" w:rsidRPr="00540A02" w14:paraId="779CA8EC" w14:textId="77777777" w:rsidTr="00540A02">
        <w:trPr>
          <w:trHeight w:val="283"/>
        </w:trPr>
        <w:tc>
          <w:tcPr>
            <w:tcW w:w="2013" w:type="pct"/>
            <w:noWrap/>
            <w:vAlign w:val="bottom"/>
            <w:hideMark/>
          </w:tcPr>
          <w:p w14:paraId="0D6A98C2" w14:textId="77777777" w:rsidR="00540A02" w:rsidRPr="00540A02" w:rsidRDefault="00540A02" w:rsidP="00F14F82">
            <w:pPr>
              <w:contextualSpacing/>
              <w:rPr>
                <w:rFonts w:ascii="Arial" w:hAnsi="Arial" w:cs="Arial"/>
                <w:color w:val="000000"/>
                <w:lang w:eastAsia="en-PH"/>
              </w:rPr>
            </w:pPr>
            <w:r w:rsidRPr="00540A02">
              <w:rPr>
                <w:rFonts w:ascii="Arial" w:hAnsi="Arial" w:cs="Arial"/>
                <w:color w:val="000000"/>
                <w:lang w:eastAsia="en-PH"/>
              </w:rPr>
              <w:t>X (Northern Mindanao)</w:t>
            </w:r>
          </w:p>
        </w:tc>
        <w:tc>
          <w:tcPr>
            <w:tcW w:w="1115" w:type="pct"/>
            <w:noWrap/>
            <w:vAlign w:val="bottom"/>
            <w:hideMark/>
          </w:tcPr>
          <w:p w14:paraId="4D73127B" w14:textId="77777777" w:rsidR="00540A02" w:rsidRPr="00540A02" w:rsidRDefault="00540A02" w:rsidP="00F14F82">
            <w:pPr>
              <w:contextualSpacing/>
              <w:rPr>
                <w:rFonts w:ascii="Arial" w:hAnsi="Arial" w:cs="Arial"/>
                <w:color w:val="000000"/>
                <w:lang w:eastAsia="en-PH"/>
              </w:rPr>
            </w:pPr>
            <w:r w:rsidRPr="00540A02">
              <w:rPr>
                <w:rFonts w:ascii="Arial" w:hAnsi="Arial" w:cs="Arial"/>
                <w:color w:val="000000"/>
                <w:lang w:eastAsia="en-PH"/>
              </w:rPr>
              <w:t>9,179,536.00</w:t>
            </w:r>
          </w:p>
        </w:tc>
        <w:tc>
          <w:tcPr>
            <w:tcW w:w="1207" w:type="pct"/>
            <w:noWrap/>
            <w:vAlign w:val="bottom"/>
            <w:hideMark/>
          </w:tcPr>
          <w:p w14:paraId="5298E7E0" w14:textId="77777777" w:rsidR="00540A02" w:rsidRPr="00540A02" w:rsidRDefault="00540A02" w:rsidP="00F14F82">
            <w:pPr>
              <w:contextualSpacing/>
              <w:rPr>
                <w:rFonts w:ascii="Arial" w:hAnsi="Arial" w:cs="Arial"/>
                <w:color w:val="000000"/>
                <w:lang w:eastAsia="en-PH"/>
              </w:rPr>
            </w:pPr>
            <w:r w:rsidRPr="00540A02">
              <w:rPr>
                <w:rFonts w:ascii="Arial" w:hAnsi="Arial" w:cs="Arial"/>
                <w:color w:val="000000"/>
                <w:lang w:eastAsia="en-PH"/>
              </w:rPr>
              <w:t>10,725,020.50</w:t>
            </w:r>
          </w:p>
        </w:tc>
        <w:tc>
          <w:tcPr>
            <w:tcW w:w="665" w:type="pct"/>
            <w:noWrap/>
            <w:vAlign w:val="bottom"/>
            <w:hideMark/>
          </w:tcPr>
          <w:p w14:paraId="4F046B7E" w14:textId="77777777" w:rsidR="00540A02" w:rsidRPr="00540A02" w:rsidRDefault="00540A02" w:rsidP="00F14F82">
            <w:pPr>
              <w:contextualSpacing/>
              <w:jc w:val="center"/>
              <w:rPr>
                <w:rFonts w:ascii="Arial" w:hAnsi="Arial" w:cs="Arial"/>
                <w:color w:val="000000"/>
                <w:lang w:eastAsia="en-PH"/>
              </w:rPr>
            </w:pPr>
            <w:r w:rsidRPr="00540A02">
              <w:rPr>
                <w:rFonts w:ascii="Arial" w:hAnsi="Arial" w:cs="Arial"/>
                <w:color w:val="000000"/>
                <w:lang w:eastAsia="en-PH"/>
              </w:rPr>
              <w:t>16.84</w:t>
            </w:r>
          </w:p>
        </w:tc>
      </w:tr>
      <w:tr w:rsidR="00540A02" w:rsidRPr="00540A02" w14:paraId="16309FB0" w14:textId="77777777" w:rsidTr="00540A02">
        <w:trPr>
          <w:trHeight w:val="283"/>
        </w:trPr>
        <w:tc>
          <w:tcPr>
            <w:tcW w:w="2013" w:type="pct"/>
            <w:noWrap/>
            <w:vAlign w:val="bottom"/>
            <w:hideMark/>
          </w:tcPr>
          <w:p w14:paraId="50095201" w14:textId="77777777" w:rsidR="00540A02" w:rsidRPr="00540A02" w:rsidRDefault="00540A02" w:rsidP="00F14F82">
            <w:pPr>
              <w:contextualSpacing/>
              <w:rPr>
                <w:rFonts w:ascii="Arial" w:hAnsi="Arial" w:cs="Arial"/>
                <w:color w:val="000000"/>
                <w:lang w:eastAsia="en-PH"/>
              </w:rPr>
            </w:pPr>
            <w:r w:rsidRPr="00540A02">
              <w:rPr>
                <w:rFonts w:ascii="Arial" w:hAnsi="Arial" w:cs="Arial"/>
                <w:color w:val="000000"/>
                <w:lang w:eastAsia="en-PH"/>
              </w:rPr>
              <w:t>I (Ilocos Region)</w:t>
            </w:r>
          </w:p>
        </w:tc>
        <w:tc>
          <w:tcPr>
            <w:tcW w:w="1115" w:type="pct"/>
            <w:noWrap/>
            <w:vAlign w:val="bottom"/>
            <w:hideMark/>
          </w:tcPr>
          <w:p w14:paraId="109BDC57" w14:textId="77777777" w:rsidR="00540A02" w:rsidRPr="00540A02" w:rsidRDefault="00540A02" w:rsidP="00F14F82">
            <w:pPr>
              <w:contextualSpacing/>
              <w:rPr>
                <w:rFonts w:ascii="Arial" w:hAnsi="Arial" w:cs="Arial"/>
                <w:color w:val="000000"/>
                <w:lang w:eastAsia="en-PH"/>
              </w:rPr>
            </w:pPr>
            <w:r w:rsidRPr="00540A02">
              <w:rPr>
                <w:rFonts w:ascii="Arial" w:hAnsi="Arial" w:cs="Arial"/>
                <w:color w:val="000000"/>
                <w:lang w:eastAsia="en-PH"/>
              </w:rPr>
              <w:t>30,734,909.00</w:t>
            </w:r>
          </w:p>
        </w:tc>
        <w:tc>
          <w:tcPr>
            <w:tcW w:w="1207" w:type="pct"/>
            <w:noWrap/>
            <w:vAlign w:val="bottom"/>
            <w:hideMark/>
          </w:tcPr>
          <w:p w14:paraId="46609F44" w14:textId="77777777" w:rsidR="00540A02" w:rsidRPr="00540A02" w:rsidRDefault="00540A02" w:rsidP="00F14F82">
            <w:pPr>
              <w:contextualSpacing/>
              <w:rPr>
                <w:rFonts w:ascii="Arial" w:hAnsi="Arial" w:cs="Arial"/>
                <w:color w:val="000000"/>
                <w:lang w:eastAsia="en-PH"/>
              </w:rPr>
            </w:pPr>
            <w:r w:rsidRPr="00540A02">
              <w:rPr>
                <w:rFonts w:ascii="Arial" w:hAnsi="Arial" w:cs="Arial"/>
                <w:color w:val="000000"/>
                <w:lang w:eastAsia="en-PH"/>
              </w:rPr>
              <w:t>35,601,184.40</w:t>
            </w:r>
          </w:p>
        </w:tc>
        <w:tc>
          <w:tcPr>
            <w:tcW w:w="665" w:type="pct"/>
            <w:noWrap/>
            <w:vAlign w:val="bottom"/>
            <w:hideMark/>
          </w:tcPr>
          <w:p w14:paraId="03CACD3F" w14:textId="77777777" w:rsidR="00540A02" w:rsidRPr="00540A02" w:rsidRDefault="00540A02" w:rsidP="00F14F82">
            <w:pPr>
              <w:contextualSpacing/>
              <w:jc w:val="center"/>
              <w:rPr>
                <w:rFonts w:ascii="Arial" w:hAnsi="Arial" w:cs="Arial"/>
                <w:color w:val="000000"/>
                <w:lang w:eastAsia="en-PH"/>
              </w:rPr>
            </w:pPr>
            <w:r w:rsidRPr="00540A02">
              <w:rPr>
                <w:rFonts w:ascii="Arial" w:hAnsi="Arial" w:cs="Arial"/>
                <w:color w:val="000000"/>
                <w:lang w:eastAsia="en-PH"/>
              </w:rPr>
              <w:t>15.83</w:t>
            </w:r>
          </w:p>
        </w:tc>
      </w:tr>
      <w:tr w:rsidR="00540A02" w:rsidRPr="00540A02" w14:paraId="72860A33" w14:textId="77777777" w:rsidTr="00540A02">
        <w:trPr>
          <w:trHeight w:val="283"/>
        </w:trPr>
        <w:tc>
          <w:tcPr>
            <w:tcW w:w="2013" w:type="pct"/>
            <w:noWrap/>
            <w:vAlign w:val="bottom"/>
            <w:hideMark/>
          </w:tcPr>
          <w:p w14:paraId="626AE672" w14:textId="77777777" w:rsidR="00540A02" w:rsidRPr="00540A02" w:rsidRDefault="00540A02" w:rsidP="00F14F82">
            <w:pPr>
              <w:contextualSpacing/>
              <w:rPr>
                <w:rFonts w:ascii="Arial" w:hAnsi="Arial" w:cs="Arial"/>
                <w:color w:val="000000"/>
                <w:lang w:eastAsia="en-PH"/>
              </w:rPr>
            </w:pPr>
            <w:r w:rsidRPr="00540A02">
              <w:rPr>
                <w:rFonts w:ascii="Arial" w:hAnsi="Arial" w:cs="Arial"/>
                <w:color w:val="000000"/>
                <w:lang w:eastAsia="en-PH"/>
              </w:rPr>
              <w:t>VIII (Eastern Visayas)</w:t>
            </w:r>
          </w:p>
        </w:tc>
        <w:tc>
          <w:tcPr>
            <w:tcW w:w="1115" w:type="pct"/>
            <w:noWrap/>
            <w:vAlign w:val="bottom"/>
            <w:hideMark/>
          </w:tcPr>
          <w:p w14:paraId="3A179681" w14:textId="77777777" w:rsidR="00540A02" w:rsidRPr="00540A02" w:rsidRDefault="00540A02" w:rsidP="00F14F82">
            <w:pPr>
              <w:contextualSpacing/>
              <w:rPr>
                <w:rFonts w:ascii="Arial" w:hAnsi="Arial" w:cs="Arial"/>
                <w:color w:val="000000"/>
                <w:lang w:eastAsia="en-PH"/>
              </w:rPr>
            </w:pPr>
            <w:r w:rsidRPr="00540A02">
              <w:rPr>
                <w:rFonts w:ascii="Arial" w:hAnsi="Arial" w:cs="Arial"/>
                <w:color w:val="000000"/>
                <w:lang w:eastAsia="en-PH"/>
              </w:rPr>
              <w:t>6,685,517.00</w:t>
            </w:r>
          </w:p>
        </w:tc>
        <w:tc>
          <w:tcPr>
            <w:tcW w:w="1207" w:type="pct"/>
            <w:noWrap/>
            <w:vAlign w:val="bottom"/>
            <w:hideMark/>
          </w:tcPr>
          <w:p w14:paraId="35F5ACB4" w14:textId="77777777" w:rsidR="00540A02" w:rsidRPr="00540A02" w:rsidRDefault="00540A02" w:rsidP="00F14F82">
            <w:pPr>
              <w:contextualSpacing/>
              <w:rPr>
                <w:rFonts w:ascii="Arial" w:hAnsi="Arial" w:cs="Arial"/>
                <w:color w:val="000000"/>
                <w:lang w:eastAsia="en-PH"/>
              </w:rPr>
            </w:pPr>
            <w:r w:rsidRPr="00540A02">
              <w:rPr>
                <w:rFonts w:ascii="Arial" w:hAnsi="Arial" w:cs="Arial"/>
                <w:color w:val="000000"/>
                <w:lang w:eastAsia="en-PH"/>
              </w:rPr>
              <w:t>7,473,130.40</w:t>
            </w:r>
          </w:p>
        </w:tc>
        <w:tc>
          <w:tcPr>
            <w:tcW w:w="665" w:type="pct"/>
            <w:noWrap/>
            <w:vAlign w:val="bottom"/>
            <w:hideMark/>
          </w:tcPr>
          <w:p w14:paraId="2CEF4710" w14:textId="77777777" w:rsidR="00540A02" w:rsidRPr="00540A02" w:rsidRDefault="00540A02" w:rsidP="00F14F82">
            <w:pPr>
              <w:contextualSpacing/>
              <w:jc w:val="center"/>
              <w:rPr>
                <w:rFonts w:ascii="Arial" w:hAnsi="Arial" w:cs="Arial"/>
                <w:color w:val="000000"/>
                <w:lang w:eastAsia="en-PH"/>
              </w:rPr>
            </w:pPr>
            <w:r w:rsidRPr="00540A02">
              <w:rPr>
                <w:rFonts w:ascii="Arial" w:hAnsi="Arial" w:cs="Arial"/>
                <w:color w:val="000000"/>
                <w:lang w:eastAsia="en-PH"/>
              </w:rPr>
              <w:t>11.78</w:t>
            </w:r>
          </w:p>
        </w:tc>
      </w:tr>
      <w:tr w:rsidR="00540A02" w:rsidRPr="00540A02" w14:paraId="4562E42C" w14:textId="77777777" w:rsidTr="00540A02">
        <w:trPr>
          <w:trHeight w:val="283"/>
        </w:trPr>
        <w:tc>
          <w:tcPr>
            <w:tcW w:w="2013" w:type="pct"/>
            <w:noWrap/>
            <w:vAlign w:val="bottom"/>
            <w:hideMark/>
          </w:tcPr>
          <w:p w14:paraId="1B423B1E" w14:textId="77777777" w:rsidR="00540A02" w:rsidRPr="00540A02" w:rsidRDefault="00540A02" w:rsidP="00F14F82">
            <w:pPr>
              <w:contextualSpacing/>
              <w:rPr>
                <w:rFonts w:ascii="Arial" w:hAnsi="Arial" w:cs="Arial"/>
                <w:color w:val="000000"/>
                <w:lang w:eastAsia="en-PH"/>
              </w:rPr>
            </w:pPr>
            <w:r w:rsidRPr="00540A02">
              <w:rPr>
                <w:rFonts w:ascii="Arial" w:hAnsi="Arial" w:cs="Arial"/>
                <w:color w:val="000000"/>
                <w:lang w:eastAsia="en-PH"/>
              </w:rPr>
              <w:t>XII (SOCCSKSARGEN)</w:t>
            </w:r>
          </w:p>
        </w:tc>
        <w:tc>
          <w:tcPr>
            <w:tcW w:w="1115" w:type="pct"/>
            <w:noWrap/>
            <w:vAlign w:val="bottom"/>
            <w:hideMark/>
          </w:tcPr>
          <w:p w14:paraId="56E2B9A6" w14:textId="77777777" w:rsidR="00540A02" w:rsidRPr="00540A02" w:rsidRDefault="00540A02" w:rsidP="00F14F82">
            <w:pPr>
              <w:contextualSpacing/>
              <w:rPr>
                <w:rFonts w:ascii="Arial" w:hAnsi="Arial" w:cs="Arial"/>
                <w:color w:val="000000"/>
                <w:lang w:eastAsia="en-PH"/>
              </w:rPr>
            </w:pPr>
            <w:r w:rsidRPr="00540A02">
              <w:rPr>
                <w:rFonts w:ascii="Arial" w:hAnsi="Arial" w:cs="Arial"/>
                <w:color w:val="000000"/>
                <w:lang w:eastAsia="en-PH"/>
              </w:rPr>
              <w:t>14,146,292.00</w:t>
            </w:r>
          </w:p>
        </w:tc>
        <w:tc>
          <w:tcPr>
            <w:tcW w:w="1207" w:type="pct"/>
            <w:noWrap/>
            <w:vAlign w:val="bottom"/>
            <w:hideMark/>
          </w:tcPr>
          <w:p w14:paraId="52F907A5" w14:textId="77777777" w:rsidR="00540A02" w:rsidRPr="00540A02" w:rsidRDefault="00540A02" w:rsidP="00F14F82">
            <w:pPr>
              <w:contextualSpacing/>
              <w:rPr>
                <w:rFonts w:ascii="Arial" w:hAnsi="Arial" w:cs="Arial"/>
                <w:color w:val="000000"/>
                <w:lang w:eastAsia="en-PH"/>
              </w:rPr>
            </w:pPr>
            <w:r w:rsidRPr="00540A02">
              <w:rPr>
                <w:rFonts w:ascii="Arial" w:hAnsi="Arial" w:cs="Arial"/>
                <w:color w:val="000000"/>
                <w:lang w:eastAsia="en-PH"/>
              </w:rPr>
              <w:t>15,699,444.50</w:t>
            </w:r>
          </w:p>
        </w:tc>
        <w:tc>
          <w:tcPr>
            <w:tcW w:w="665" w:type="pct"/>
            <w:noWrap/>
            <w:vAlign w:val="bottom"/>
            <w:hideMark/>
          </w:tcPr>
          <w:p w14:paraId="36A725D3" w14:textId="77777777" w:rsidR="00540A02" w:rsidRPr="00540A02" w:rsidRDefault="00540A02" w:rsidP="00F14F82">
            <w:pPr>
              <w:contextualSpacing/>
              <w:jc w:val="center"/>
              <w:rPr>
                <w:rFonts w:ascii="Arial" w:hAnsi="Arial" w:cs="Arial"/>
                <w:color w:val="000000"/>
                <w:lang w:eastAsia="en-PH"/>
              </w:rPr>
            </w:pPr>
            <w:r w:rsidRPr="00540A02">
              <w:rPr>
                <w:rFonts w:ascii="Arial" w:hAnsi="Arial" w:cs="Arial"/>
                <w:color w:val="000000"/>
                <w:lang w:eastAsia="en-PH"/>
              </w:rPr>
              <w:t>10.98</w:t>
            </w:r>
          </w:p>
        </w:tc>
      </w:tr>
      <w:tr w:rsidR="00540A02" w:rsidRPr="00540A02" w14:paraId="373DCBF3" w14:textId="77777777" w:rsidTr="00540A02">
        <w:trPr>
          <w:trHeight w:val="283"/>
        </w:trPr>
        <w:tc>
          <w:tcPr>
            <w:tcW w:w="2013" w:type="pct"/>
            <w:noWrap/>
            <w:vAlign w:val="bottom"/>
            <w:hideMark/>
          </w:tcPr>
          <w:p w14:paraId="7DD841A0" w14:textId="77777777" w:rsidR="00540A02" w:rsidRPr="00540A02" w:rsidRDefault="00540A02" w:rsidP="00F14F82">
            <w:pPr>
              <w:contextualSpacing/>
              <w:rPr>
                <w:rFonts w:ascii="Arial" w:hAnsi="Arial" w:cs="Arial"/>
                <w:color w:val="000000"/>
                <w:lang w:eastAsia="en-PH"/>
              </w:rPr>
            </w:pPr>
            <w:r w:rsidRPr="00540A02">
              <w:rPr>
                <w:rFonts w:ascii="Arial" w:hAnsi="Arial" w:cs="Arial"/>
                <w:color w:val="000000"/>
                <w:lang w:eastAsia="en-PH"/>
              </w:rPr>
              <w:lastRenderedPageBreak/>
              <w:t>IVA (CALABARZON)</w:t>
            </w:r>
          </w:p>
        </w:tc>
        <w:tc>
          <w:tcPr>
            <w:tcW w:w="1115" w:type="pct"/>
            <w:noWrap/>
            <w:vAlign w:val="bottom"/>
            <w:hideMark/>
          </w:tcPr>
          <w:p w14:paraId="6C5A8890" w14:textId="77777777" w:rsidR="00540A02" w:rsidRPr="00540A02" w:rsidRDefault="00540A02" w:rsidP="00F14F82">
            <w:pPr>
              <w:contextualSpacing/>
              <w:rPr>
                <w:rFonts w:ascii="Arial" w:hAnsi="Arial" w:cs="Arial"/>
                <w:color w:val="000000"/>
                <w:lang w:eastAsia="en-PH"/>
              </w:rPr>
            </w:pPr>
            <w:r w:rsidRPr="00540A02">
              <w:rPr>
                <w:rFonts w:ascii="Arial" w:hAnsi="Arial" w:cs="Arial"/>
                <w:color w:val="000000"/>
                <w:lang w:eastAsia="en-PH"/>
              </w:rPr>
              <w:t>3,627,442.00</w:t>
            </w:r>
          </w:p>
        </w:tc>
        <w:tc>
          <w:tcPr>
            <w:tcW w:w="1207" w:type="pct"/>
            <w:noWrap/>
            <w:vAlign w:val="bottom"/>
            <w:hideMark/>
          </w:tcPr>
          <w:p w14:paraId="6835FCD0" w14:textId="77777777" w:rsidR="00540A02" w:rsidRPr="00540A02" w:rsidRDefault="00540A02" w:rsidP="00F14F82">
            <w:pPr>
              <w:contextualSpacing/>
              <w:rPr>
                <w:rFonts w:ascii="Arial" w:hAnsi="Arial" w:cs="Arial"/>
                <w:color w:val="000000"/>
                <w:lang w:eastAsia="en-PH"/>
              </w:rPr>
            </w:pPr>
            <w:r w:rsidRPr="00540A02">
              <w:rPr>
                <w:rFonts w:ascii="Arial" w:hAnsi="Arial" w:cs="Arial"/>
                <w:color w:val="000000"/>
                <w:lang w:eastAsia="en-PH"/>
              </w:rPr>
              <w:t>3,780,716.45</w:t>
            </w:r>
          </w:p>
        </w:tc>
        <w:tc>
          <w:tcPr>
            <w:tcW w:w="665" w:type="pct"/>
            <w:noWrap/>
            <w:vAlign w:val="bottom"/>
            <w:hideMark/>
          </w:tcPr>
          <w:p w14:paraId="7A30A52E" w14:textId="77777777" w:rsidR="00540A02" w:rsidRPr="00540A02" w:rsidRDefault="00540A02" w:rsidP="00F14F82">
            <w:pPr>
              <w:contextualSpacing/>
              <w:jc w:val="center"/>
              <w:rPr>
                <w:rFonts w:ascii="Arial" w:hAnsi="Arial" w:cs="Arial"/>
                <w:color w:val="000000"/>
                <w:lang w:eastAsia="en-PH"/>
              </w:rPr>
            </w:pPr>
            <w:r w:rsidRPr="00540A02">
              <w:rPr>
                <w:rFonts w:ascii="Arial" w:hAnsi="Arial" w:cs="Arial"/>
                <w:color w:val="000000"/>
                <w:lang w:eastAsia="en-PH"/>
              </w:rPr>
              <w:t>4.23</w:t>
            </w:r>
          </w:p>
        </w:tc>
      </w:tr>
      <w:tr w:rsidR="00540A02" w:rsidRPr="00540A02" w14:paraId="29DFC2D2" w14:textId="77777777" w:rsidTr="00540A02">
        <w:trPr>
          <w:trHeight w:val="283"/>
        </w:trPr>
        <w:tc>
          <w:tcPr>
            <w:tcW w:w="2013" w:type="pct"/>
            <w:noWrap/>
            <w:vAlign w:val="bottom"/>
            <w:hideMark/>
          </w:tcPr>
          <w:p w14:paraId="58C5F507" w14:textId="77777777" w:rsidR="00540A02" w:rsidRPr="00540A02" w:rsidRDefault="00540A02" w:rsidP="00F14F82">
            <w:pPr>
              <w:contextualSpacing/>
              <w:rPr>
                <w:rFonts w:ascii="Arial" w:hAnsi="Arial" w:cs="Arial"/>
                <w:color w:val="000000"/>
                <w:lang w:eastAsia="en-PH"/>
              </w:rPr>
            </w:pPr>
            <w:r w:rsidRPr="00540A02">
              <w:rPr>
                <w:rFonts w:ascii="Arial" w:hAnsi="Arial" w:cs="Arial"/>
                <w:color w:val="000000"/>
                <w:lang w:eastAsia="en-PH"/>
              </w:rPr>
              <w:t>CAR</w:t>
            </w:r>
          </w:p>
        </w:tc>
        <w:tc>
          <w:tcPr>
            <w:tcW w:w="1115" w:type="pct"/>
            <w:noWrap/>
            <w:vAlign w:val="bottom"/>
            <w:hideMark/>
          </w:tcPr>
          <w:p w14:paraId="3D55FFE2" w14:textId="77777777" w:rsidR="00540A02" w:rsidRPr="00540A02" w:rsidRDefault="00540A02" w:rsidP="00F14F82">
            <w:pPr>
              <w:contextualSpacing/>
              <w:rPr>
                <w:rFonts w:ascii="Arial" w:hAnsi="Arial" w:cs="Arial"/>
                <w:color w:val="000000"/>
                <w:lang w:eastAsia="en-PH"/>
              </w:rPr>
            </w:pPr>
            <w:r w:rsidRPr="00540A02">
              <w:rPr>
                <w:rFonts w:ascii="Arial" w:hAnsi="Arial" w:cs="Arial"/>
                <w:color w:val="000000"/>
                <w:lang w:eastAsia="en-PH"/>
              </w:rPr>
              <w:t>52,674,480.00</w:t>
            </w:r>
          </w:p>
        </w:tc>
        <w:tc>
          <w:tcPr>
            <w:tcW w:w="1207" w:type="pct"/>
            <w:noWrap/>
            <w:vAlign w:val="bottom"/>
            <w:hideMark/>
          </w:tcPr>
          <w:p w14:paraId="274661FC" w14:textId="77777777" w:rsidR="00540A02" w:rsidRPr="00540A02" w:rsidRDefault="00540A02" w:rsidP="00F14F82">
            <w:pPr>
              <w:contextualSpacing/>
              <w:rPr>
                <w:rFonts w:ascii="Arial" w:hAnsi="Arial" w:cs="Arial"/>
                <w:color w:val="000000"/>
                <w:lang w:eastAsia="en-PH"/>
              </w:rPr>
            </w:pPr>
            <w:r w:rsidRPr="00540A02">
              <w:rPr>
                <w:rFonts w:ascii="Arial" w:hAnsi="Arial" w:cs="Arial"/>
                <w:color w:val="000000"/>
                <w:lang w:eastAsia="en-PH"/>
              </w:rPr>
              <w:t>54,437,492.04</w:t>
            </w:r>
          </w:p>
        </w:tc>
        <w:tc>
          <w:tcPr>
            <w:tcW w:w="665" w:type="pct"/>
            <w:noWrap/>
            <w:vAlign w:val="bottom"/>
            <w:hideMark/>
          </w:tcPr>
          <w:p w14:paraId="5229D511" w14:textId="77777777" w:rsidR="00540A02" w:rsidRPr="00540A02" w:rsidRDefault="00540A02" w:rsidP="00F14F82">
            <w:pPr>
              <w:contextualSpacing/>
              <w:jc w:val="center"/>
              <w:rPr>
                <w:rFonts w:ascii="Arial" w:hAnsi="Arial" w:cs="Arial"/>
                <w:color w:val="000000"/>
                <w:lang w:eastAsia="en-PH"/>
              </w:rPr>
            </w:pPr>
            <w:r w:rsidRPr="00540A02">
              <w:rPr>
                <w:rFonts w:ascii="Arial" w:hAnsi="Arial" w:cs="Arial"/>
                <w:color w:val="000000"/>
                <w:lang w:eastAsia="en-PH"/>
              </w:rPr>
              <w:t>3.35</w:t>
            </w:r>
          </w:p>
        </w:tc>
      </w:tr>
      <w:tr w:rsidR="00540A02" w:rsidRPr="00540A02" w14:paraId="6A078105" w14:textId="77777777" w:rsidTr="00540A02">
        <w:trPr>
          <w:trHeight w:val="283"/>
        </w:trPr>
        <w:tc>
          <w:tcPr>
            <w:tcW w:w="2013" w:type="pct"/>
            <w:noWrap/>
            <w:vAlign w:val="bottom"/>
            <w:hideMark/>
          </w:tcPr>
          <w:p w14:paraId="0841BD5F" w14:textId="77777777" w:rsidR="00540A02" w:rsidRPr="00540A02" w:rsidRDefault="00540A02" w:rsidP="00F14F82">
            <w:pPr>
              <w:contextualSpacing/>
              <w:rPr>
                <w:rFonts w:ascii="Arial" w:hAnsi="Arial" w:cs="Arial"/>
                <w:color w:val="000000"/>
                <w:lang w:eastAsia="en-PH"/>
              </w:rPr>
            </w:pPr>
            <w:r w:rsidRPr="00540A02">
              <w:rPr>
                <w:rFonts w:ascii="Arial" w:hAnsi="Arial" w:cs="Arial"/>
                <w:color w:val="000000"/>
                <w:lang w:eastAsia="en-PH"/>
              </w:rPr>
              <w:t>V (Bicol Region)</w:t>
            </w:r>
          </w:p>
        </w:tc>
        <w:tc>
          <w:tcPr>
            <w:tcW w:w="1115" w:type="pct"/>
            <w:noWrap/>
            <w:vAlign w:val="bottom"/>
            <w:hideMark/>
          </w:tcPr>
          <w:p w14:paraId="5D0A9923" w14:textId="77777777" w:rsidR="00540A02" w:rsidRPr="00540A02" w:rsidRDefault="00540A02" w:rsidP="00F14F82">
            <w:pPr>
              <w:contextualSpacing/>
              <w:rPr>
                <w:rFonts w:ascii="Arial" w:hAnsi="Arial" w:cs="Arial"/>
                <w:color w:val="000000"/>
                <w:lang w:eastAsia="en-PH"/>
              </w:rPr>
            </w:pPr>
            <w:r w:rsidRPr="00540A02">
              <w:rPr>
                <w:rFonts w:ascii="Arial" w:hAnsi="Arial" w:cs="Arial"/>
                <w:color w:val="000000"/>
                <w:lang w:eastAsia="en-PH"/>
              </w:rPr>
              <w:t>10,279,790.00</w:t>
            </w:r>
          </w:p>
        </w:tc>
        <w:tc>
          <w:tcPr>
            <w:tcW w:w="1207" w:type="pct"/>
            <w:noWrap/>
            <w:vAlign w:val="bottom"/>
            <w:hideMark/>
          </w:tcPr>
          <w:p w14:paraId="7AA1B352" w14:textId="77777777" w:rsidR="00540A02" w:rsidRPr="00540A02" w:rsidRDefault="00540A02" w:rsidP="00F14F82">
            <w:pPr>
              <w:contextualSpacing/>
              <w:rPr>
                <w:rFonts w:ascii="Arial" w:hAnsi="Arial" w:cs="Arial"/>
                <w:color w:val="000000"/>
                <w:lang w:eastAsia="en-PH"/>
              </w:rPr>
            </w:pPr>
            <w:r w:rsidRPr="00540A02">
              <w:rPr>
                <w:rFonts w:ascii="Arial" w:hAnsi="Arial" w:cs="Arial"/>
                <w:color w:val="000000"/>
                <w:lang w:eastAsia="en-PH"/>
              </w:rPr>
              <w:t>10,548,307.88</w:t>
            </w:r>
          </w:p>
        </w:tc>
        <w:tc>
          <w:tcPr>
            <w:tcW w:w="665" w:type="pct"/>
            <w:noWrap/>
            <w:vAlign w:val="bottom"/>
            <w:hideMark/>
          </w:tcPr>
          <w:p w14:paraId="2869484D" w14:textId="77777777" w:rsidR="00540A02" w:rsidRPr="00540A02" w:rsidRDefault="00540A02" w:rsidP="00F14F82">
            <w:pPr>
              <w:contextualSpacing/>
              <w:jc w:val="center"/>
              <w:rPr>
                <w:rFonts w:ascii="Arial" w:hAnsi="Arial" w:cs="Arial"/>
                <w:color w:val="000000"/>
                <w:lang w:eastAsia="en-PH"/>
              </w:rPr>
            </w:pPr>
            <w:r w:rsidRPr="00540A02">
              <w:rPr>
                <w:rFonts w:ascii="Arial" w:hAnsi="Arial" w:cs="Arial"/>
                <w:color w:val="000000"/>
                <w:lang w:eastAsia="en-PH"/>
              </w:rPr>
              <w:t>2.61</w:t>
            </w:r>
          </w:p>
        </w:tc>
      </w:tr>
      <w:tr w:rsidR="00540A02" w:rsidRPr="00540A02" w14:paraId="2EDF8DA8" w14:textId="77777777" w:rsidTr="00540A02">
        <w:trPr>
          <w:trHeight w:val="283"/>
        </w:trPr>
        <w:tc>
          <w:tcPr>
            <w:tcW w:w="2013" w:type="pct"/>
            <w:noWrap/>
            <w:vAlign w:val="bottom"/>
            <w:hideMark/>
          </w:tcPr>
          <w:p w14:paraId="3CED8EDC" w14:textId="77777777" w:rsidR="00540A02" w:rsidRPr="00540A02" w:rsidRDefault="00540A02" w:rsidP="00F14F82">
            <w:pPr>
              <w:contextualSpacing/>
              <w:rPr>
                <w:rFonts w:ascii="Arial" w:hAnsi="Arial" w:cs="Arial"/>
                <w:color w:val="000000"/>
                <w:lang w:eastAsia="en-PH"/>
              </w:rPr>
            </w:pPr>
            <w:r w:rsidRPr="00540A02">
              <w:rPr>
                <w:rFonts w:ascii="Arial" w:hAnsi="Arial" w:cs="Arial"/>
                <w:color w:val="000000"/>
                <w:lang w:eastAsia="en-PH"/>
              </w:rPr>
              <w:t>IX (Zamboanga Peninsula)</w:t>
            </w:r>
          </w:p>
        </w:tc>
        <w:tc>
          <w:tcPr>
            <w:tcW w:w="1115" w:type="pct"/>
            <w:noWrap/>
            <w:vAlign w:val="bottom"/>
            <w:hideMark/>
          </w:tcPr>
          <w:p w14:paraId="008E52EF" w14:textId="77777777" w:rsidR="00540A02" w:rsidRPr="00540A02" w:rsidRDefault="00540A02" w:rsidP="00F14F82">
            <w:pPr>
              <w:contextualSpacing/>
              <w:rPr>
                <w:rFonts w:ascii="Arial" w:hAnsi="Arial" w:cs="Arial"/>
                <w:color w:val="000000"/>
                <w:lang w:eastAsia="en-PH"/>
              </w:rPr>
            </w:pPr>
            <w:r w:rsidRPr="00540A02">
              <w:rPr>
                <w:rFonts w:ascii="Arial" w:hAnsi="Arial" w:cs="Arial"/>
                <w:color w:val="000000"/>
                <w:lang w:eastAsia="en-PH"/>
              </w:rPr>
              <w:t>13,937,028.00</w:t>
            </w:r>
          </w:p>
        </w:tc>
        <w:tc>
          <w:tcPr>
            <w:tcW w:w="1207" w:type="pct"/>
            <w:noWrap/>
            <w:vAlign w:val="bottom"/>
            <w:hideMark/>
          </w:tcPr>
          <w:p w14:paraId="6F105976" w14:textId="77777777" w:rsidR="00540A02" w:rsidRPr="00540A02" w:rsidRDefault="00540A02" w:rsidP="00F14F82">
            <w:pPr>
              <w:contextualSpacing/>
              <w:rPr>
                <w:rFonts w:ascii="Arial" w:hAnsi="Arial" w:cs="Arial"/>
                <w:color w:val="000000"/>
                <w:lang w:eastAsia="en-PH"/>
              </w:rPr>
            </w:pPr>
            <w:r w:rsidRPr="00540A02">
              <w:rPr>
                <w:rFonts w:ascii="Arial" w:hAnsi="Arial" w:cs="Arial"/>
                <w:color w:val="000000"/>
                <w:lang w:eastAsia="en-PH"/>
              </w:rPr>
              <w:t>14,298,924.56</w:t>
            </w:r>
          </w:p>
        </w:tc>
        <w:tc>
          <w:tcPr>
            <w:tcW w:w="665" w:type="pct"/>
            <w:noWrap/>
            <w:vAlign w:val="bottom"/>
            <w:hideMark/>
          </w:tcPr>
          <w:p w14:paraId="6144FE60" w14:textId="77777777" w:rsidR="00540A02" w:rsidRPr="00540A02" w:rsidRDefault="00540A02" w:rsidP="00F14F82">
            <w:pPr>
              <w:contextualSpacing/>
              <w:jc w:val="center"/>
              <w:rPr>
                <w:rFonts w:ascii="Arial" w:hAnsi="Arial" w:cs="Arial"/>
                <w:color w:val="000000"/>
                <w:lang w:eastAsia="en-PH"/>
              </w:rPr>
            </w:pPr>
            <w:r w:rsidRPr="00540A02">
              <w:rPr>
                <w:rFonts w:ascii="Arial" w:hAnsi="Arial" w:cs="Arial"/>
                <w:color w:val="000000"/>
                <w:lang w:eastAsia="en-PH"/>
              </w:rPr>
              <w:t>2.60</w:t>
            </w:r>
          </w:p>
        </w:tc>
      </w:tr>
      <w:tr w:rsidR="00540A02" w:rsidRPr="00540A02" w14:paraId="7FFA84C2" w14:textId="77777777" w:rsidTr="00540A02">
        <w:trPr>
          <w:trHeight w:val="283"/>
        </w:trPr>
        <w:tc>
          <w:tcPr>
            <w:tcW w:w="2013" w:type="pct"/>
            <w:noWrap/>
            <w:vAlign w:val="bottom"/>
            <w:hideMark/>
          </w:tcPr>
          <w:p w14:paraId="514A2545" w14:textId="77777777" w:rsidR="00540A02" w:rsidRPr="00540A02" w:rsidRDefault="00540A02" w:rsidP="00F14F82">
            <w:pPr>
              <w:contextualSpacing/>
              <w:rPr>
                <w:rFonts w:ascii="Arial" w:hAnsi="Arial" w:cs="Arial"/>
                <w:color w:val="000000"/>
                <w:lang w:eastAsia="en-PH"/>
              </w:rPr>
            </w:pPr>
            <w:r w:rsidRPr="00540A02">
              <w:rPr>
                <w:rFonts w:ascii="Arial" w:hAnsi="Arial" w:cs="Arial"/>
                <w:color w:val="000000"/>
                <w:lang w:eastAsia="en-PH"/>
              </w:rPr>
              <w:t>XI (Davao Region)</w:t>
            </w:r>
          </w:p>
        </w:tc>
        <w:tc>
          <w:tcPr>
            <w:tcW w:w="1115" w:type="pct"/>
            <w:noWrap/>
            <w:vAlign w:val="bottom"/>
            <w:hideMark/>
          </w:tcPr>
          <w:p w14:paraId="2484AD99" w14:textId="77777777" w:rsidR="00540A02" w:rsidRPr="00540A02" w:rsidRDefault="00540A02" w:rsidP="00F14F82">
            <w:pPr>
              <w:contextualSpacing/>
              <w:rPr>
                <w:rFonts w:ascii="Arial" w:hAnsi="Arial" w:cs="Arial"/>
                <w:color w:val="000000"/>
                <w:lang w:eastAsia="en-PH"/>
              </w:rPr>
            </w:pPr>
            <w:r w:rsidRPr="00540A02">
              <w:rPr>
                <w:rFonts w:ascii="Arial" w:hAnsi="Arial" w:cs="Arial"/>
                <w:color w:val="000000"/>
                <w:lang w:eastAsia="en-PH"/>
              </w:rPr>
              <w:t>31,470,045.00</w:t>
            </w:r>
          </w:p>
        </w:tc>
        <w:tc>
          <w:tcPr>
            <w:tcW w:w="1207" w:type="pct"/>
            <w:noWrap/>
            <w:vAlign w:val="bottom"/>
            <w:hideMark/>
          </w:tcPr>
          <w:p w14:paraId="11047EC8" w14:textId="77777777" w:rsidR="00540A02" w:rsidRPr="00540A02" w:rsidRDefault="00540A02" w:rsidP="00F14F82">
            <w:pPr>
              <w:contextualSpacing/>
              <w:rPr>
                <w:rFonts w:ascii="Arial" w:hAnsi="Arial" w:cs="Arial"/>
                <w:color w:val="000000"/>
                <w:lang w:eastAsia="en-PH"/>
              </w:rPr>
            </w:pPr>
            <w:r w:rsidRPr="00540A02">
              <w:rPr>
                <w:rFonts w:ascii="Arial" w:hAnsi="Arial" w:cs="Arial"/>
                <w:color w:val="000000"/>
                <w:lang w:eastAsia="en-PH"/>
              </w:rPr>
              <w:t>29,267,141.85</w:t>
            </w:r>
          </w:p>
        </w:tc>
        <w:tc>
          <w:tcPr>
            <w:tcW w:w="665" w:type="pct"/>
            <w:noWrap/>
            <w:vAlign w:val="bottom"/>
            <w:hideMark/>
          </w:tcPr>
          <w:p w14:paraId="74807AF8" w14:textId="77777777" w:rsidR="00540A02" w:rsidRPr="00540A02" w:rsidRDefault="00540A02" w:rsidP="00F14F82">
            <w:pPr>
              <w:contextualSpacing/>
              <w:jc w:val="center"/>
              <w:rPr>
                <w:rFonts w:ascii="Arial" w:hAnsi="Arial" w:cs="Arial"/>
                <w:color w:val="000000"/>
                <w:lang w:eastAsia="en-PH"/>
              </w:rPr>
            </w:pPr>
            <w:r w:rsidRPr="00540A02">
              <w:rPr>
                <w:rFonts w:ascii="Arial" w:hAnsi="Arial" w:cs="Arial"/>
                <w:color w:val="000000"/>
                <w:lang w:eastAsia="en-PH"/>
              </w:rPr>
              <w:t>-0.07</w:t>
            </w:r>
          </w:p>
        </w:tc>
      </w:tr>
      <w:tr w:rsidR="00540A02" w:rsidRPr="00540A02" w14:paraId="0BA0B013" w14:textId="77777777" w:rsidTr="00540A02">
        <w:trPr>
          <w:trHeight w:val="283"/>
        </w:trPr>
        <w:tc>
          <w:tcPr>
            <w:tcW w:w="2013" w:type="pct"/>
            <w:noWrap/>
            <w:vAlign w:val="bottom"/>
            <w:hideMark/>
          </w:tcPr>
          <w:p w14:paraId="48C412AB" w14:textId="77777777" w:rsidR="00540A02" w:rsidRPr="00540A02" w:rsidRDefault="00540A02" w:rsidP="00F14F82">
            <w:pPr>
              <w:contextualSpacing/>
              <w:rPr>
                <w:rFonts w:ascii="Arial" w:hAnsi="Arial" w:cs="Arial"/>
                <w:color w:val="000000"/>
                <w:lang w:eastAsia="en-PH"/>
              </w:rPr>
            </w:pPr>
            <w:r w:rsidRPr="00540A02">
              <w:rPr>
                <w:rFonts w:ascii="Arial" w:hAnsi="Arial" w:cs="Arial"/>
                <w:color w:val="000000"/>
                <w:lang w:eastAsia="en-PH"/>
              </w:rPr>
              <w:t>VII (Central Visayas)</w:t>
            </w:r>
          </w:p>
        </w:tc>
        <w:tc>
          <w:tcPr>
            <w:tcW w:w="1115" w:type="pct"/>
            <w:noWrap/>
            <w:vAlign w:val="bottom"/>
            <w:hideMark/>
          </w:tcPr>
          <w:p w14:paraId="250CFE44" w14:textId="77777777" w:rsidR="00540A02" w:rsidRPr="00540A02" w:rsidRDefault="00540A02" w:rsidP="00F14F82">
            <w:pPr>
              <w:contextualSpacing/>
              <w:rPr>
                <w:rFonts w:ascii="Arial" w:hAnsi="Arial" w:cs="Arial"/>
                <w:color w:val="000000"/>
                <w:lang w:eastAsia="en-PH"/>
              </w:rPr>
            </w:pPr>
            <w:r w:rsidRPr="00540A02">
              <w:rPr>
                <w:rFonts w:ascii="Arial" w:hAnsi="Arial" w:cs="Arial"/>
                <w:color w:val="000000"/>
                <w:lang w:eastAsia="en-PH"/>
              </w:rPr>
              <w:t>2,233,878.00</w:t>
            </w:r>
          </w:p>
        </w:tc>
        <w:tc>
          <w:tcPr>
            <w:tcW w:w="1207" w:type="pct"/>
            <w:noWrap/>
            <w:vAlign w:val="bottom"/>
            <w:hideMark/>
          </w:tcPr>
          <w:p w14:paraId="7E834FDD" w14:textId="77777777" w:rsidR="00540A02" w:rsidRPr="00540A02" w:rsidRDefault="00540A02" w:rsidP="00F14F82">
            <w:pPr>
              <w:contextualSpacing/>
              <w:rPr>
                <w:rFonts w:ascii="Arial" w:hAnsi="Arial" w:cs="Arial"/>
                <w:color w:val="000000"/>
                <w:lang w:eastAsia="en-PH"/>
              </w:rPr>
            </w:pPr>
            <w:r w:rsidRPr="00540A02">
              <w:rPr>
                <w:rFonts w:ascii="Arial" w:hAnsi="Arial" w:cs="Arial"/>
                <w:color w:val="000000"/>
                <w:lang w:eastAsia="en-PH"/>
              </w:rPr>
              <w:t>1,921,135.08</w:t>
            </w:r>
          </w:p>
        </w:tc>
        <w:tc>
          <w:tcPr>
            <w:tcW w:w="665" w:type="pct"/>
            <w:noWrap/>
            <w:vAlign w:val="bottom"/>
            <w:hideMark/>
          </w:tcPr>
          <w:p w14:paraId="0E9BD756" w14:textId="77777777" w:rsidR="00540A02" w:rsidRPr="00540A02" w:rsidRDefault="00540A02" w:rsidP="00F14F82">
            <w:pPr>
              <w:contextualSpacing/>
              <w:jc w:val="center"/>
              <w:rPr>
                <w:rFonts w:ascii="Arial" w:hAnsi="Arial" w:cs="Arial"/>
                <w:color w:val="000000"/>
                <w:lang w:eastAsia="en-PH"/>
              </w:rPr>
            </w:pPr>
            <w:r w:rsidRPr="00540A02">
              <w:rPr>
                <w:rFonts w:ascii="Arial" w:hAnsi="Arial" w:cs="Arial"/>
                <w:color w:val="000000"/>
                <w:lang w:eastAsia="en-PH"/>
              </w:rPr>
              <w:t>-0.14</w:t>
            </w:r>
          </w:p>
        </w:tc>
      </w:tr>
      <w:tr w:rsidR="00540A02" w:rsidRPr="00540A02" w14:paraId="6DE9DC7B" w14:textId="77777777" w:rsidTr="00540A02">
        <w:trPr>
          <w:trHeight w:val="283"/>
        </w:trPr>
        <w:tc>
          <w:tcPr>
            <w:tcW w:w="2013" w:type="pct"/>
            <w:noWrap/>
            <w:vAlign w:val="bottom"/>
            <w:hideMark/>
          </w:tcPr>
          <w:p w14:paraId="2E8F745D" w14:textId="77777777" w:rsidR="00540A02" w:rsidRPr="00540A02" w:rsidRDefault="00540A02" w:rsidP="00F14F82">
            <w:pPr>
              <w:contextualSpacing/>
              <w:rPr>
                <w:rFonts w:ascii="Arial" w:hAnsi="Arial" w:cs="Arial"/>
                <w:color w:val="000000"/>
                <w:lang w:eastAsia="en-PH"/>
              </w:rPr>
            </w:pPr>
            <w:r w:rsidRPr="00540A02">
              <w:rPr>
                <w:rFonts w:ascii="Arial" w:hAnsi="Arial" w:cs="Arial"/>
                <w:color w:val="000000"/>
                <w:lang w:eastAsia="en-PH"/>
              </w:rPr>
              <w:t>National Capital Region</w:t>
            </w:r>
          </w:p>
        </w:tc>
        <w:tc>
          <w:tcPr>
            <w:tcW w:w="1115" w:type="pct"/>
            <w:noWrap/>
            <w:vAlign w:val="bottom"/>
            <w:hideMark/>
          </w:tcPr>
          <w:p w14:paraId="506FD4BF" w14:textId="77777777" w:rsidR="00540A02" w:rsidRPr="00540A02" w:rsidRDefault="00540A02" w:rsidP="00F14F82">
            <w:pPr>
              <w:contextualSpacing/>
              <w:rPr>
                <w:rFonts w:ascii="Arial" w:hAnsi="Arial" w:cs="Arial"/>
                <w:color w:val="000000"/>
                <w:lang w:eastAsia="en-PH"/>
              </w:rPr>
            </w:pPr>
            <w:r w:rsidRPr="00540A02">
              <w:rPr>
                <w:rFonts w:ascii="Arial" w:hAnsi="Arial" w:cs="Arial"/>
                <w:color w:val="000000"/>
                <w:lang w:eastAsia="en-PH"/>
              </w:rPr>
              <w:t>210,805.00</w:t>
            </w:r>
          </w:p>
        </w:tc>
        <w:tc>
          <w:tcPr>
            <w:tcW w:w="1207" w:type="pct"/>
            <w:noWrap/>
            <w:vAlign w:val="bottom"/>
            <w:hideMark/>
          </w:tcPr>
          <w:p w14:paraId="6D418FBB" w14:textId="77777777" w:rsidR="00540A02" w:rsidRPr="00540A02" w:rsidRDefault="00540A02" w:rsidP="00F14F82">
            <w:pPr>
              <w:contextualSpacing/>
              <w:rPr>
                <w:rFonts w:ascii="Arial" w:hAnsi="Arial" w:cs="Arial"/>
                <w:color w:val="000000"/>
                <w:lang w:eastAsia="en-PH"/>
              </w:rPr>
            </w:pPr>
            <w:r w:rsidRPr="00540A02">
              <w:rPr>
                <w:rFonts w:ascii="Arial" w:hAnsi="Arial" w:cs="Arial"/>
                <w:color w:val="000000"/>
                <w:lang w:eastAsia="en-PH"/>
              </w:rPr>
              <w:t>143,347.40</w:t>
            </w:r>
          </w:p>
        </w:tc>
        <w:tc>
          <w:tcPr>
            <w:tcW w:w="665" w:type="pct"/>
            <w:noWrap/>
            <w:vAlign w:val="bottom"/>
            <w:hideMark/>
          </w:tcPr>
          <w:p w14:paraId="0733EBCD" w14:textId="77777777" w:rsidR="00540A02" w:rsidRPr="00540A02" w:rsidRDefault="00540A02" w:rsidP="00F14F82">
            <w:pPr>
              <w:contextualSpacing/>
              <w:jc w:val="center"/>
              <w:rPr>
                <w:rFonts w:ascii="Arial" w:hAnsi="Arial" w:cs="Arial"/>
                <w:color w:val="000000"/>
                <w:lang w:eastAsia="en-PH"/>
              </w:rPr>
            </w:pPr>
            <w:r w:rsidRPr="00540A02">
              <w:rPr>
                <w:rFonts w:ascii="Arial" w:hAnsi="Arial" w:cs="Arial"/>
                <w:color w:val="000000"/>
                <w:lang w:eastAsia="en-PH"/>
              </w:rPr>
              <w:t>-0.32</w:t>
            </w:r>
          </w:p>
        </w:tc>
      </w:tr>
      <w:tr w:rsidR="00540A02" w:rsidRPr="00540A02" w14:paraId="217A7414" w14:textId="77777777" w:rsidTr="00540A02">
        <w:trPr>
          <w:trHeight w:val="296"/>
        </w:trPr>
        <w:tc>
          <w:tcPr>
            <w:tcW w:w="2013" w:type="pct"/>
            <w:tcBorders>
              <w:bottom w:val="single" w:sz="12" w:space="0" w:color="000000"/>
            </w:tcBorders>
            <w:noWrap/>
            <w:vAlign w:val="bottom"/>
            <w:hideMark/>
          </w:tcPr>
          <w:p w14:paraId="3FBC3FB0" w14:textId="77777777" w:rsidR="00540A02" w:rsidRPr="00540A02" w:rsidRDefault="00540A02" w:rsidP="00F14F82">
            <w:pPr>
              <w:contextualSpacing/>
              <w:rPr>
                <w:rFonts w:ascii="Arial" w:hAnsi="Arial" w:cs="Arial"/>
                <w:color w:val="000000"/>
                <w:lang w:eastAsia="en-PH"/>
              </w:rPr>
            </w:pPr>
            <w:r w:rsidRPr="00540A02">
              <w:rPr>
                <w:rFonts w:ascii="Arial" w:hAnsi="Arial" w:cs="Arial"/>
                <w:color w:val="000000"/>
                <w:lang w:eastAsia="en-PH"/>
              </w:rPr>
              <w:t>BARMM</w:t>
            </w:r>
          </w:p>
        </w:tc>
        <w:tc>
          <w:tcPr>
            <w:tcW w:w="1115" w:type="pct"/>
            <w:tcBorders>
              <w:bottom w:val="single" w:sz="12" w:space="0" w:color="000000"/>
            </w:tcBorders>
            <w:noWrap/>
            <w:vAlign w:val="bottom"/>
            <w:hideMark/>
          </w:tcPr>
          <w:p w14:paraId="33E41715" w14:textId="77777777" w:rsidR="00540A02" w:rsidRPr="00540A02" w:rsidRDefault="00540A02" w:rsidP="00F14F82">
            <w:pPr>
              <w:contextualSpacing/>
              <w:rPr>
                <w:rFonts w:ascii="Arial" w:hAnsi="Arial" w:cs="Arial"/>
                <w:color w:val="000000"/>
                <w:lang w:eastAsia="en-PH"/>
              </w:rPr>
            </w:pPr>
            <w:r w:rsidRPr="00540A02">
              <w:rPr>
                <w:rFonts w:ascii="Arial" w:hAnsi="Arial" w:cs="Arial"/>
                <w:color w:val="000000"/>
                <w:lang w:eastAsia="en-PH"/>
              </w:rPr>
              <w:t>1,993,269.00</w:t>
            </w:r>
          </w:p>
        </w:tc>
        <w:tc>
          <w:tcPr>
            <w:tcW w:w="1207" w:type="pct"/>
            <w:tcBorders>
              <w:bottom w:val="single" w:sz="12" w:space="0" w:color="000000"/>
            </w:tcBorders>
            <w:noWrap/>
            <w:vAlign w:val="bottom"/>
            <w:hideMark/>
          </w:tcPr>
          <w:p w14:paraId="505659CB" w14:textId="77777777" w:rsidR="00540A02" w:rsidRPr="00540A02" w:rsidRDefault="00540A02" w:rsidP="00F14F82">
            <w:pPr>
              <w:contextualSpacing/>
              <w:rPr>
                <w:rFonts w:ascii="Arial" w:hAnsi="Arial" w:cs="Arial"/>
                <w:color w:val="000000"/>
                <w:lang w:eastAsia="en-PH"/>
              </w:rPr>
            </w:pPr>
            <w:r w:rsidRPr="00540A02">
              <w:rPr>
                <w:rFonts w:ascii="Arial" w:hAnsi="Arial" w:cs="Arial"/>
                <w:color w:val="000000"/>
                <w:lang w:eastAsia="en-PH"/>
              </w:rPr>
              <w:t>637,846.08</w:t>
            </w:r>
          </w:p>
        </w:tc>
        <w:tc>
          <w:tcPr>
            <w:tcW w:w="665" w:type="pct"/>
            <w:tcBorders>
              <w:bottom w:val="single" w:sz="12" w:space="0" w:color="000000"/>
            </w:tcBorders>
            <w:noWrap/>
            <w:vAlign w:val="bottom"/>
            <w:hideMark/>
          </w:tcPr>
          <w:p w14:paraId="1BBFA06F" w14:textId="77777777" w:rsidR="00540A02" w:rsidRPr="00540A02" w:rsidRDefault="00540A02" w:rsidP="00F14F82">
            <w:pPr>
              <w:contextualSpacing/>
              <w:jc w:val="center"/>
              <w:rPr>
                <w:rFonts w:ascii="Arial" w:hAnsi="Arial" w:cs="Arial"/>
                <w:color w:val="000000"/>
                <w:lang w:eastAsia="en-PH"/>
              </w:rPr>
            </w:pPr>
            <w:r w:rsidRPr="00540A02">
              <w:rPr>
                <w:rFonts w:ascii="Arial" w:hAnsi="Arial" w:cs="Arial"/>
                <w:color w:val="000000"/>
                <w:lang w:eastAsia="en-PH"/>
              </w:rPr>
              <w:t>-0.68</w:t>
            </w:r>
          </w:p>
        </w:tc>
      </w:tr>
      <w:tr w:rsidR="00540A02" w:rsidRPr="00540A02" w14:paraId="43F060B9" w14:textId="77777777" w:rsidTr="00540A02">
        <w:trPr>
          <w:trHeight w:val="268"/>
        </w:trPr>
        <w:tc>
          <w:tcPr>
            <w:tcW w:w="2013" w:type="pct"/>
            <w:tcBorders>
              <w:top w:val="single" w:sz="12" w:space="0" w:color="000000"/>
              <w:bottom w:val="single" w:sz="12" w:space="0" w:color="000000"/>
            </w:tcBorders>
            <w:noWrap/>
            <w:vAlign w:val="bottom"/>
            <w:hideMark/>
          </w:tcPr>
          <w:p w14:paraId="71C3EE1E" w14:textId="77777777" w:rsidR="00540A02" w:rsidRPr="00540A02" w:rsidRDefault="00540A02" w:rsidP="00F14F82">
            <w:pPr>
              <w:contextualSpacing/>
              <w:rPr>
                <w:rFonts w:ascii="Arial" w:hAnsi="Arial" w:cs="Arial"/>
                <w:b/>
                <w:bCs/>
                <w:color w:val="000000"/>
                <w:lang w:eastAsia="en-PH"/>
              </w:rPr>
            </w:pPr>
            <w:r w:rsidRPr="00540A02">
              <w:rPr>
                <w:rFonts w:ascii="Arial" w:hAnsi="Arial" w:cs="Arial"/>
                <w:b/>
                <w:bCs/>
                <w:color w:val="000000"/>
                <w:lang w:eastAsia="en-PH"/>
              </w:rPr>
              <w:t>Total Household Net Income</w:t>
            </w:r>
          </w:p>
        </w:tc>
        <w:tc>
          <w:tcPr>
            <w:tcW w:w="1115" w:type="pct"/>
            <w:tcBorders>
              <w:top w:val="single" w:sz="12" w:space="0" w:color="000000"/>
              <w:bottom w:val="single" w:sz="12" w:space="0" w:color="000000"/>
            </w:tcBorders>
            <w:noWrap/>
            <w:vAlign w:val="bottom"/>
            <w:hideMark/>
          </w:tcPr>
          <w:p w14:paraId="0492E059" w14:textId="77777777" w:rsidR="00540A02" w:rsidRPr="00540A02" w:rsidRDefault="00540A02" w:rsidP="00F14F82">
            <w:pPr>
              <w:contextualSpacing/>
              <w:rPr>
                <w:rFonts w:ascii="Arial" w:hAnsi="Arial" w:cs="Arial"/>
                <w:b/>
                <w:bCs/>
                <w:color w:val="000000"/>
                <w:lang w:eastAsia="en-PH"/>
              </w:rPr>
            </w:pPr>
            <w:r w:rsidRPr="00540A02">
              <w:rPr>
                <w:rFonts w:ascii="Arial" w:hAnsi="Arial" w:cs="Arial"/>
                <w:b/>
                <w:bCs/>
                <w:color w:val="000000"/>
                <w:lang w:eastAsia="en-PH"/>
              </w:rPr>
              <w:t>305,563,972.00</w:t>
            </w:r>
          </w:p>
        </w:tc>
        <w:tc>
          <w:tcPr>
            <w:tcW w:w="1207" w:type="pct"/>
            <w:tcBorders>
              <w:top w:val="single" w:sz="12" w:space="0" w:color="000000"/>
              <w:bottom w:val="single" w:sz="12" w:space="0" w:color="000000"/>
            </w:tcBorders>
            <w:noWrap/>
            <w:vAlign w:val="bottom"/>
            <w:hideMark/>
          </w:tcPr>
          <w:p w14:paraId="11B57C18" w14:textId="77777777" w:rsidR="00540A02" w:rsidRPr="00540A02" w:rsidRDefault="00540A02" w:rsidP="00F14F82">
            <w:pPr>
              <w:contextualSpacing/>
              <w:rPr>
                <w:rFonts w:ascii="Arial" w:hAnsi="Arial" w:cs="Arial"/>
                <w:b/>
                <w:bCs/>
                <w:color w:val="000000"/>
                <w:lang w:eastAsia="en-PH"/>
              </w:rPr>
            </w:pPr>
            <w:r w:rsidRPr="00540A02">
              <w:rPr>
                <w:rFonts w:ascii="Arial" w:hAnsi="Arial" w:cs="Arial"/>
                <w:b/>
                <w:bCs/>
                <w:color w:val="000000"/>
                <w:lang w:eastAsia="en-PH"/>
              </w:rPr>
              <w:t>355,426,551.04</w:t>
            </w:r>
          </w:p>
        </w:tc>
        <w:tc>
          <w:tcPr>
            <w:tcW w:w="665" w:type="pct"/>
            <w:tcBorders>
              <w:top w:val="single" w:sz="12" w:space="0" w:color="000000"/>
              <w:bottom w:val="single" w:sz="12" w:space="0" w:color="000000"/>
            </w:tcBorders>
            <w:noWrap/>
            <w:vAlign w:val="bottom"/>
            <w:hideMark/>
          </w:tcPr>
          <w:p w14:paraId="7A665C50" w14:textId="77777777" w:rsidR="00540A02" w:rsidRPr="00540A02" w:rsidRDefault="00540A02" w:rsidP="00F14F82">
            <w:pPr>
              <w:contextualSpacing/>
              <w:jc w:val="center"/>
              <w:rPr>
                <w:rFonts w:ascii="Arial" w:hAnsi="Arial" w:cs="Arial"/>
                <w:b/>
                <w:bCs/>
                <w:color w:val="000000"/>
                <w:lang w:eastAsia="en-PH"/>
              </w:rPr>
            </w:pPr>
            <w:r w:rsidRPr="00540A02">
              <w:rPr>
                <w:rFonts w:ascii="Arial" w:hAnsi="Arial" w:cs="Arial"/>
                <w:b/>
                <w:bCs/>
                <w:color w:val="000000"/>
                <w:lang w:eastAsia="en-PH"/>
              </w:rPr>
              <w:t>0.16</w:t>
            </w:r>
          </w:p>
        </w:tc>
      </w:tr>
      <w:tr w:rsidR="00540A02" w:rsidRPr="00540A02" w14:paraId="6DB21F99" w14:textId="77777777" w:rsidTr="00F14F82">
        <w:trPr>
          <w:trHeight w:val="268"/>
        </w:trPr>
        <w:tc>
          <w:tcPr>
            <w:tcW w:w="5000" w:type="pct"/>
            <w:gridSpan w:val="4"/>
            <w:tcBorders>
              <w:top w:val="single" w:sz="12" w:space="0" w:color="000000"/>
              <w:bottom w:val="single" w:sz="12" w:space="0" w:color="000000"/>
            </w:tcBorders>
            <w:noWrap/>
            <w:vAlign w:val="bottom"/>
            <w:hideMark/>
          </w:tcPr>
          <w:p w14:paraId="77BB7631" w14:textId="77777777" w:rsidR="00540A02" w:rsidRPr="00540A02" w:rsidRDefault="00540A02" w:rsidP="00F14F82">
            <w:pPr>
              <w:contextualSpacing/>
              <w:rPr>
                <w:rFonts w:ascii="Arial" w:hAnsi="Arial" w:cs="Arial"/>
                <w:b/>
                <w:bCs/>
                <w:color w:val="000000"/>
                <w:lang w:eastAsia="en-PH"/>
              </w:rPr>
            </w:pPr>
            <w:r w:rsidRPr="00540A02">
              <w:rPr>
                <w:rFonts w:ascii="Arial" w:hAnsi="Arial" w:cs="Arial"/>
                <w:b/>
                <w:bCs/>
                <w:color w:val="000000"/>
                <w:lang w:eastAsia="en-PH"/>
              </w:rPr>
              <w:t>Recipient Status</w:t>
            </w:r>
          </w:p>
        </w:tc>
      </w:tr>
      <w:tr w:rsidR="00540A02" w:rsidRPr="00540A02" w14:paraId="348ADB1C" w14:textId="77777777" w:rsidTr="00540A02">
        <w:trPr>
          <w:trHeight w:val="296"/>
        </w:trPr>
        <w:tc>
          <w:tcPr>
            <w:tcW w:w="2013" w:type="pct"/>
            <w:tcBorders>
              <w:top w:val="single" w:sz="12" w:space="0" w:color="000000"/>
            </w:tcBorders>
            <w:noWrap/>
            <w:vAlign w:val="bottom"/>
            <w:hideMark/>
          </w:tcPr>
          <w:p w14:paraId="65731CB4" w14:textId="77777777" w:rsidR="00540A02" w:rsidRPr="00540A02" w:rsidRDefault="00540A02" w:rsidP="00F14F82">
            <w:pPr>
              <w:contextualSpacing/>
              <w:rPr>
                <w:rFonts w:ascii="Arial" w:hAnsi="Arial" w:cs="Arial"/>
                <w:color w:val="000000"/>
                <w:lang w:eastAsia="en-PH"/>
              </w:rPr>
            </w:pPr>
            <w:r w:rsidRPr="00540A02">
              <w:rPr>
                <w:rFonts w:ascii="Arial" w:hAnsi="Arial" w:cs="Arial"/>
                <w:color w:val="000000"/>
                <w:lang w:eastAsia="en-PH"/>
              </w:rPr>
              <w:t>Rice Farmers</w:t>
            </w:r>
          </w:p>
        </w:tc>
        <w:tc>
          <w:tcPr>
            <w:tcW w:w="1115" w:type="pct"/>
            <w:tcBorders>
              <w:top w:val="single" w:sz="12" w:space="0" w:color="000000"/>
            </w:tcBorders>
            <w:noWrap/>
            <w:vAlign w:val="bottom"/>
            <w:hideMark/>
          </w:tcPr>
          <w:p w14:paraId="0C21036E" w14:textId="77777777" w:rsidR="00540A02" w:rsidRPr="00540A02" w:rsidRDefault="00540A02" w:rsidP="00F14F82">
            <w:pPr>
              <w:contextualSpacing/>
              <w:rPr>
                <w:rFonts w:ascii="Arial" w:hAnsi="Arial" w:cs="Arial"/>
                <w:color w:val="000000"/>
                <w:lang w:eastAsia="en-PH"/>
              </w:rPr>
            </w:pPr>
            <w:r w:rsidRPr="00540A02">
              <w:rPr>
                <w:rFonts w:ascii="Arial" w:hAnsi="Arial" w:cs="Arial"/>
                <w:color w:val="000000"/>
                <w:lang w:eastAsia="en-PH"/>
              </w:rPr>
              <w:t>305,563,972.00</w:t>
            </w:r>
          </w:p>
        </w:tc>
        <w:tc>
          <w:tcPr>
            <w:tcW w:w="1207" w:type="pct"/>
            <w:tcBorders>
              <w:top w:val="single" w:sz="12" w:space="0" w:color="000000"/>
            </w:tcBorders>
            <w:noWrap/>
            <w:vAlign w:val="bottom"/>
            <w:hideMark/>
          </w:tcPr>
          <w:p w14:paraId="698D44DC" w14:textId="77777777" w:rsidR="00540A02" w:rsidRPr="00540A02" w:rsidRDefault="00540A02" w:rsidP="00F14F82">
            <w:pPr>
              <w:contextualSpacing/>
              <w:rPr>
                <w:rFonts w:ascii="Arial" w:hAnsi="Arial" w:cs="Arial"/>
                <w:color w:val="000000"/>
                <w:lang w:eastAsia="en-PH"/>
              </w:rPr>
            </w:pPr>
            <w:r w:rsidRPr="00540A02">
              <w:rPr>
                <w:rFonts w:ascii="Arial" w:hAnsi="Arial" w:cs="Arial"/>
                <w:color w:val="000000"/>
                <w:lang w:eastAsia="en-PH"/>
              </w:rPr>
              <w:t>463,009,018.00</w:t>
            </w:r>
          </w:p>
        </w:tc>
        <w:tc>
          <w:tcPr>
            <w:tcW w:w="665" w:type="pct"/>
            <w:tcBorders>
              <w:top w:val="single" w:sz="12" w:space="0" w:color="000000"/>
            </w:tcBorders>
            <w:noWrap/>
            <w:vAlign w:val="bottom"/>
            <w:hideMark/>
          </w:tcPr>
          <w:p w14:paraId="6B97AB13" w14:textId="77777777" w:rsidR="00540A02" w:rsidRPr="00540A02" w:rsidRDefault="00540A02" w:rsidP="00F14F82">
            <w:pPr>
              <w:contextualSpacing/>
              <w:jc w:val="center"/>
              <w:rPr>
                <w:rFonts w:ascii="Arial" w:hAnsi="Arial" w:cs="Arial"/>
                <w:color w:val="000000"/>
                <w:lang w:eastAsia="en-PH"/>
              </w:rPr>
            </w:pPr>
            <w:r w:rsidRPr="00540A02">
              <w:rPr>
                <w:rFonts w:ascii="Arial" w:hAnsi="Arial" w:cs="Arial"/>
                <w:color w:val="000000"/>
                <w:lang w:eastAsia="en-PH"/>
              </w:rPr>
              <w:t>0.52</w:t>
            </w:r>
          </w:p>
        </w:tc>
      </w:tr>
      <w:tr w:rsidR="00540A02" w:rsidRPr="00540A02" w14:paraId="1AFA5536" w14:textId="77777777" w:rsidTr="00540A02">
        <w:trPr>
          <w:trHeight w:val="296"/>
        </w:trPr>
        <w:tc>
          <w:tcPr>
            <w:tcW w:w="2013" w:type="pct"/>
            <w:tcBorders>
              <w:bottom w:val="single" w:sz="12" w:space="0" w:color="000000"/>
            </w:tcBorders>
            <w:noWrap/>
            <w:vAlign w:val="bottom"/>
          </w:tcPr>
          <w:p w14:paraId="4E048787" w14:textId="77777777" w:rsidR="00540A02" w:rsidRPr="00540A02" w:rsidRDefault="00540A02" w:rsidP="00F14F82">
            <w:pPr>
              <w:contextualSpacing/>
              <w:rPr>
                <w:rFonts w:ascii="Arial" w:hAnsi="Arial" w:cs="Arial"/>
                <w:color w:val="000000"/>
                <w:lang w:eastAsia="en-PH"/>
              </w:rPr>
            </w:pPr>
            <w:r w:rsidRPr="00540A02">
              <w:rPr>
                <w:rFonts w:ascii="Arial" w:hAnsi="Arial" w:cs="Arial"/>
                <w:color w:val="000000"/>
                <w:lang w:eastAsia="en-PH"/>
              </w:rPr>
              <w:t>Non-Rice Farmers</w:t>
            </w:r>
          </w:p>
        </w:tc>
        <w:tc>
          <w:tcPr>
            <w:tcW w:w="1115" w:type="pct"/>
            <w:tcBorders>
              <w:bottom w:val="single" w:sz="12" w:space="0" w:color="000000"/>
            </w:tcBorders>
            <w:noWrap/>
            <w:vAlign w:val="bottom"/>
          </w:tcPr>
          <w:p w14:paraId="1ED03564" w14:textId="77777777" w:rsidR="00540A02" w:rsidRPr="00540A02" w:rsidRDefault="00540A02" w:rsidP="00F14F82">
            <w:pPr>
              <w:contextualSpacing/>
              <w:rPr>
                <w:rFonts w:ascii="Arial" w:hAnsi="Arial" w:cs="Arial"/>
                <w:color w:val="000000"/>
                <w:lang w:eastAsia="en-PH"/>
              </w:rPr>
            </w:pPr>
            <w:r w:rsidRPr="00540A02">
              <w:rPr>
                <w:rFonts w:ascii="Arial" w:hAnsi="Arial" w:cs="Arial"/>
                <w:color w:val="000000"/>
                <w:lang w:eastAsia="en-PH"/>
              </w:rPr>
              <w:t>399,502,424.00</w:t>
            </w:r>
          </w:p>
        </w:tc>
        <w:tc>
          <w:tcPr>
            <w:tcW w:w="1207" w:type="pct"/>
            <w:tcBorders>
              <w:bottom w:val="single" w:sz="12" w:space="0" w:color="000000"/>
            </w:tcBorders>
            <w:noWrap/>
            <w:vAlign w:val="bottom"/>
          </w:tcPr>
          <w:p w14:paraId="349CEDA8" w14:textId="77777777" w:rsidR="00540A02" w:rsidRPr="00540A02" w:rsidRDefault="00540A02" w:rsidP="00F14F82">
            <w:pPr>
              <w:contextualSpacing/>
              <w:rPr>
                <w:rFonts w:ascii="Arial" w:hAnsi="Arial" w:cs="Arial"/>
                <w:color w:val="000000"/>
                <w:lang w:eastAsia="en-PH"/>
              </w:rPr>
            </w:pPr>
            <w:r w:rsidRPr="00540A02">
              <w:rPr>
                <w:rFonts w:ascii="Arial" w:hAnsi="Arial" w:cs="Arial"/>
                <w:color w:val="000000"/>
                <w:lang w:eastAsia="en-PH"/>
              </w:rPr>
              <w:t>323,922,578.48</w:t>
            </w:r>
          </w:p>
        </w:tc>
        <w:tc>
          <w:tcPr>
            <w:tcW w:w="665" w:type="pct"/>
            <w:tcBorders>
              <w:bottom w:val="single" w:sz="12" w:space="0" w:color="000000"/>
            </w:tcBorders>
            <w:noWrap/>
            <w:vAlign w:val="bottom"/>
          </w:tcPr>
          <w:p w14:paraId="035625F2" w14:textId="77777777" w:rsidR="00540A02" w:rsidRPr="00540A02" w:rsidRDefault="00540A02" w:rsidP="00F14F82">
            <w:pPr>
              <w:contextualSpacing/>
              <w:jc w:val="center"/>
              <w:rPr>
                <w:rFonts w:ascii="Arial" w:hAnsi="Arial" w:cs="Arial"/>
                <w:color w:val="000000"/>
                <w:lang w:eastAsia="en-PH"/>
              </w:rPr>
            </w:pPr>
            <w:r w:rsidRPr="00540A02">
              <w:rPr>
                <w:rFonts w:ascii="Arial" w:hAnsi="Arial" w:cs="Arial"/>
                <w:color w:val="000000"/>
                <w:lang w:eastAsia="en-PH"/>
              </w:rPr>
              <w:t>-0.19</w:t>
            </w:r>
          </w:p>
        </w:tc>
      </w:tr>
    </w:tbl>
    <w:p w14:paraId="6B804BE0" w14:textId="04217C23" w:rsidR="00540A02" w:rsidRDefault="00540A02" w:rsidP="00540A02">
      <w:pPr>
        <w:pStyle w:val="Body"/>
        <w:spacing w:after="0"/>
        <w:rPr>
          <w:rFonts w:ascii="Arial" w:hAnsi="Arial" w:cs="Arial"/>
        </w:rPr>
      </w:pPr>
      <w:r>
        <w:rPr>
          <w:rFonts w:ascii="Times New Roman" w:hAnsi="Times New Roman"/>
        </w:rPr>
        <w:t xml:space="preserve">  </w:t>
      </w:r>
      <w:r w:rsidRPr="00540A02">
        <w:rPr>
          <w:rFonts w:ascii="Arial" w:hAnsi="Arial" w:cs="Arial"/>
        </w:rPr>
        <w:t>Source: Author’s calculation based on PSA FIES</w:t>
      </w:r>
    </w:p>
    <w:p w14:paraId="68F10305" w14:textId="77777777" w:rsidR="00FD63DC" w:rsidRDefault="00FD63DC" w:rsidP="00FD63DC">
      <w:pPr>
        <w:rPr>
          <w:rFonts w:ascii="Arial" w:hAnsi="Arial" w:cs="Arial"/>
        </w:rPr>
      </w:pPr>
    </w:p>
    <w:p w14:paraId="11BF03CC" w14:textId="56C1934E" w:rsidR="00540A02" w:rsidRDefault="00F042EF" w:rsidP="00540A02">
      <w:pPr>
        <w:pStyle w:val="Body"/>
        <w:spacing w:after="0"/>
        <w:rPr>
          <w:rFonts w:ascii="Arial" w:hAnsi="Arial" w:cs="Arial"/>
        </w:rPr>
      </w:pPr>
      <w:r w:rsidRPr="00F042EF">
        <w:rPr>
          <w:rFonts w:ascii="Arial" w:hAnsi="Arial" w:cs="Arial"/>
        </w:rPr>
        <w:t>These results reinforce the findings of Balie et al. (2020), who noted that RCEF interventions significantly improve the welfare of rice-growing households, particularly in rural regions. Cororaton (2004) similarly emphasizes that tariff reductions without subsidies increase poverty—a pattern consistent with the negative outcomes observed for non-rice farmers in NCR and BARMM. Overall, the contrasting income trajectories highlight a distributional imbalance: RTL substantially benefits rice farmers, but non-rice farmers face adverse effects.</w:t>
      </w:r>
    </w:p>
    <w:p w14:paraId="41E9F568" w14:textId="77777777" w:rsidR="00F042EF" w:rsidRDefault="00F042EF">
      <w:pPr>
        <w:rPr>
          <w:rFonts w:ascii="Arial" w:hAnsi="Arial" w:cs="Arial"/>
        </w:rPr>
      </w:pPr>
    </w:p>
    <w:p w14:paraId="2CA676CC" w14:textId="77777777" w:rsidR="00F042EF" w:rsidRDefault="00F042EF" w:rsidP="00540A02">
      <w:pPr>
        <w:rPr>
          <w:rFonts w:ascii="Arial" w:hAnsi="Arial" w:cs="Arial"/>
        </w:rPr>
      </w:pPr>
      <w:r w:rsidRPr="00F042EF">
        <w:rPr>
          <w:rFonts w:ascii="Arial" w:hAnsi="Arial" w:cs="Arial"/>
        </w:rPr>
        <w:t>To understand how RTL affects labor allocation, the multinomial logistic regression model estimated occupational shifts. Table 3 provides the detailed results. Negative coefficients for region, sex, and age indicate that individuals in higher regions, older age groups, or male-headed households show lower probabilities of choosing wage or farming occupations compared to unemployment. These findings align with Colombo (2010), who notes demographic barriers to employment transitions, and Das (2012), who emphasizes skill constraints.</w:t>
      </w:r>
    </w:p>
    <w:p w14:paraId="678D5943" w14:textId="77777777" w:rsidR="00F042EF" w:rsidRDefault="00F042EF" w:rsidP="00540A02">
      <w:pPr>
        <w:rPr>
          <w:rFonts w:ascii="Arial" w:hAnsi="Arial" w:cs="Arial"/>
          <w:b/>
          <w:bCs/>
        </w:rPr>
      </w:pPr>
    </w:p>
    <w:p w14:paraId="50753671" w14:textId="77CA1066" w:rsidR="00540A02" w:rsidRPr="00540A02" w:rsidRDefault="00752794" w:rsidP="00540A02">
      <w:pPr>
        <w:rPr>
          <w:rFonts w:ascii="Arial" w:hAnsi="Arial" w:cs="Arial"/>
        </w:rPr>
      </w:pPr>
      <w:r w:rsidRPr="00752794">
        <w:rPr>
          <w:rFonts w:ascii="Arial" w:hAnsi="Arial" w:cs="Arial"/>
          <w:b/>
          <w:bCs/>
        </w:rPr>
        <w:t>Table 3. Multinomial Logistic Regression Estimates of Farmers’ Occupational Choice After RTL</w:t>
      </w:r>
    </w:p>
    <w:tbl>
      <w:tblPr>
        <w:tblW w:w="5000" w:type="pct"/>
        <w:tblLook w:val="04A0" w:firstRow="1" w:lastRow="0" w:firstColumn="1" w:lastColumn="0" w:noHBand="0" w:noVBand="1"/>
      </w:tblPr>
      <w:tblGrid>
        <w:gridCol w:w="4377"/>
        <w:gridCol w:w="2085"/>
        <w:gridCol w:w="1683"/>
        <w:gridCol w:w="1215"/>
      </w:tblGrid>
      <w:tr w:rsidR="00540A02" w:rsidRPr="00540A02" w14:paraId="16AAA5E1" w14:textId="77777777" w:rsidTr="00F14F82">
        <w:trPr>
          <w:trHeight w:val="192"/>
        </w:trPr>
        <w:tc>
          <w:tcPr>
            <w:tcW w:w="2338" w:type="pct"/>
            <w:tcBorders>
              <w:top w:val="single" w:sz="12" w:space="0" w:color="000000"/>
            </w:tcBorders>
            <w:noWrap/>
            <w:vAlign w:val="center"/>
            <w:hideMark/>
          </w:tcPr>
          <w:p w14:paraId="3BB672E1" w14:textId="77777777" w:rsidR="00540A02" w:rsidRPr="00540A02" w:rsidRDefault="00540A02" w:rsidP="00F14F82">
            <w:pPr>
              <w:rPr>
                <w:rFonts w:ascii="Arial" w:hAnsi="Arial" w:cs="Arial"/>
                <w:b/>
                <w:bCs/>
                <w:color w:val="000000"/>
                <w:lang w:eastAsia="en-PH"/>
              </w:rPr>
            </w:pPr>
            <w:bookmarkStart w:id="2" w:name="_Hlk143224170"/>
            <w:r w:rsidRPr="00540A02">
              <w:rPr>
                <w:rFonts w:ascii="Arial" w:hAnsi="Arial" w:cs="Arial"/>
                <w:b/>
                <w:bCs/>
                <w:color w:val="000000"/>
                <w:lang w:eastAsia="en-PH"/>
              </w:rPr>
              <w:t xml:space="preserve">Dependent Variable: </w:t>
            </w:r>
          </w:p>
        </w:tc>
        <w:tc>
          <w:tcPr>
            <w:tcW w:w="1114" w:type="pct"/>
            <w:vMerge w:val="restart"/>
            <w:tcBorders>
              <w:top w:val="single" w:sz="12" w:space="0" w:color="000000"/>
            </w:tcBorders>
            <w:noWrap/>
            <w:vAlign w:val="center"/>
            <w:hideMark/>
          </w:tcPr>
          <w:p w14:paraId="6161F5CE" w14:textId="77777777" w:rsidR="00540A02" w:rsidRPr="00540A02" w:rsidRDefault="00540A02" w:rsidP="00F14F82">
            <w:pPr>
              <w:jc w:val="center"/>
              <w:rPr>
                <w:rFonts w:ascii="Arial" w:hAnsi="Arial" w:cs="Arial"/>
                <w:b/>
                <w:bCs/>
                <w:color w:val="000000"/>
                <w:lang w:eastAsia="en-PH"/>
              </w:rPr>
            </w:pPr>
            <w:r w:rsidRPr="00540A02">
              <w:rPr>
                <w:rFonts w:ascii="Arial" w:hAnsi="Arial" w:cs="Arial"/>
                <w:b/>
                <w:bCs/>
                <w:color w:val="000000"/>
                <w:lang w:eastAsia="en-PH"/>
              </w:rPr>
              <w:t>Coef.</w:t>
            </w:r>
          </w:p>
        </w:tc>
        <w:tc>
          <w:tcPr>
            <w:tcW w:w="899" w:type="pct"/>
            <w:vMerge w:val="restart"/>
            <w:tcBorders>
              <w:top w:val="single" w:sz="12" w:space="0" w:color="000000"/>
            </w:tcBorders>
            <w:noWrap/>
            <w:vAlign w:val="center"/>
            <w:hideMark/>
          </w:tcPr>
          <w:p w14:paraId="061FD866" w14:textId="77777777" w:rsidR="00540A02" w:rsidRPr="00540A02" w:rsidRDefault="00540A02" w:rsidP="00F14F82">
            <w:pPr>
              <w:jc w:val="center"/>
              <w:rPr>
                <w:rFonts w:ascii="Arial" w:hAnsi="Arial" w:cs="Arial"/>
                <w:b/>
                <w:bCs/>
                <w:color w:val="000000"/>
                <w:lang w:eastAsia="en-PH"/>
              </w:rPr>
            </w:pPr>
            <w:r w:rsidRPr="00540A02">
              <w:rPr>
                <w:rFonts w:ascii="Arial" w:hAnsi="Arial" w:cs="Arial"/>
                <w:b/>
                <w:bCs/>
                <w:color w:val="000000"/>
                <w:lang w:eastAsia="en-PH"/>
              </w:rPr>
              <w:t>Std. Err.</w:t>
            </w:r>
          </w:p>
        </w:tc>
        <w:tc>
          <w:tcPr>
            <w:tcW w:w="649" w:type="pct"/>
            <w:vMerge w:val="restart"/>
            <w:tcBorders>
              <w:top w:val="single" w:sz="12" w:space="0" w:color="000000"/>
            </w:tcBorders>
            <w:noWrap/>
            <w:vAlign w:val="center"/>
            <w:hideMark/>
          </w:tcPr>
          <w:p w14:paraId="0EBD7E80" w14:textId="77777777" w:rsidR="00540A02" w:rsidRPr="00540A02" w:rsidRDefault="00540A02" w:rsidP="00F14F82">
            <w:pPr>
              <w:jc w:val="center"/>
              <w:rPr>
                <w:rFonts w:ascii="Arial" w:hAnsi="Arial" w:cs="Arial"/>
                <w:b/>
                <w:bCs/>
                <w:color w:val="000000"/>
                <w:lang w:eastAsia="en-PH"/>
              </w:rPr>
            </w:pPr>
            <w:r w:rsidRPr="00540A02">
              <w:rPr>
                <w:rFonts w:ascii="Arial" w:hAnsi="Arial" w:cs="Arial"/>
                <w:b/>
                <w:bCs/>
                <w:color w:val="000000"/>
                <w:lang w:eastAsia="en-PH"/>
              </w:rPr>
              <w:t>z</w:t>
            </w:r>
          </w:p>
        </w:tc>
      </w:tr>
      <w:tr w:rsidR="00540A02" w:rsidRPr="00540A02" w14:paraId="6771BE11" w14:textId="77777777" w:rsidTr="00F14F82">
        <w:trPr>
          <w:trHeight w:val="201"/>
        </w:trPr>
        <w:tc>
          <w:tcPr>
            <w:tcW w:w="2338" w:type="pct"/>
            <w:tcBorders>
              <w:bottom w:val="single" w:sz="12" w:space="0" w:color="000000"/>
            </w:tcBorders>
            <w:noWrap/>
            <w:vAlign w:val="center"/>
            <w:hideMark/>
          </w:tcPr>
          <w:p w14:paraId="2BAA771D" w14:textId="77777777" w:rsidR="00540A02" w:rsidRPr="00540A02" w:rsidRDefault="00540A02" w:rsidP="00F14F82">
            <w:pPr>
              <w:rPr>
                <w:rFonts w:ascii="Arial" w:hAnsi="Arial" w:cs="Arial"/>
                <w:color w:val="000000"/>
                <w:lang w:eastAsia="en-PH"/>
              </w:rPr>
            </w:pPr>
            <w:r w:rsidRPr="00540A02">
              <w:rPr>
                <w:rFonts w:ascii="Arial" w:hAnsi="Arial" w:cs="Arial"/>
                <w:color w:val="000000"/>
                <w:lang w:eastAsia="en-PH"/>
              </w:rPr>
              <w:t>Workers Occupational Choice</w:t>
            </w:r>
          </w:p>
        </w:tc>
        <w:tc>
          <w:tcPr>
            <w:tcW w:w="1114" w:type="pct"/>
            <w:vMerge/>
            <w:tcBorders>
              <w:bottom w:val="single" w:sz="12" w:space="0" w:color="000000"/>
            </w:tcBorders>
            <w:vAlign w:val="center"/>
            <w:hideMark/>
          </w:tcPr>
          <w:p w14:paraId="45A86D39" w14:textId="77777777" w:rsidR="00540A02" w:rsidRPr="00540A02" w:rsidRDefault="00540A02" w:rsidP="00F14F82">
            <w:pPr>
              <w:rPr>
                <w:rFonts w:ascii="Arial" w:hAnsi="Arial" w:cs="Arial"/>
                <w:color w:val="000000"/>
                <w:lang w:eastAsia="en-PH"/>
              </w:rPr>
            </w:pPr>
          </w:p>
        </w:tc>
        <w:tc>
          <w:tcPr>
            <w:tcW w:w="899" w:type="pct"/>
            <w:vMerge/>
            <w:tcBorders>
              <w:bottom w:val="single" w:sz="12" w:space="0" w:color="000000"/>
            </w:tcBorders>
            <w:vAlign w:val="center"/>
            <w:hideMark/>
          </w:tcPr>
          <w:p w14:paraId="69730DCE" w14:textId="77777777" w:rsidR="00540A02" w:rsidRPr="00540A02" w:rsidRDefault="00540A02" w:rsidP="00F14F82">
            <w:pPr>
              <w:rPr>
                <w:rFonts w:ascii="Arial" w:hAnsi="Arial" w:cs="Arial"/>
                <w:color w:val="000000"/>
                <w:lang w:eastAsia="en-PH"/>
              </w:rPr>
            </w:pPr>
          </w:p>
        </w:tc>
        <w:tc>
          <w:tcPr>
            <w:tcW w:w="649" w:type="pct"/>
            <w:vMerge/>
            <w:tcBorders>
              <w:bottom w:val="single" w:sz="12" w:space="0" w:color="000000"/>
            </w:tcBorders>
            <w:vAlign w:val="center"/>
            <w:hideMark/>
          </w:tcPr>
          <w:p w14:paraId="7DE57977" w14:textId="77777777" w:rsidR="00540A02" w:rsidRPr="00540A02" w:rsidRDefault="00540A02" w:rsidP="00F14F82">
            <w:pPr>
              <w:rPr>
                <w:rFonts w:ascii="Arial" w:hAnsi="Arial" w:cs="Arial"/>
                <w:color w:val="000000"/>
                <w:lang w:eastAsia="en-PH"/>
              </w:rPr>
            </w:pPr>
          </w:p>
        </w:tc>
      </w:tr>
      <w:tr w:rsidR="00540A02" w:rsidRPr="00540A02" w14:paraId="3114F0CF" w14:textId="77777777" w:rsidTr="00F14F82">
        <w:trPr>
          <w:trHeight w:val="192"/>
        </w:trPr>
        <w:tc>
          <w:tcPr>
            <w:tcW w:w="5000" w:type="pct"/>
            <w:gridSpan w:val="4"/>
            <w:tcBorders>
              <w:top w:val="single" w:sz="12" w:space="0" w:color="000000"/>
            </w:tcBorders>
            <w:noWrap/>
            <w:vAlign w:val="center"/>
            <w:hideMark/>
          </w:tcPr>
          <w:p w14:paraId="11958B7D" w14:textId="77777777" w:rsidR="00540A02" w:rsidRPr="00540A02" w:rsidRDefault="00540A02" w:rsidP="00F14F82">
            <w:pPr>
              <w:rPr>
                <w:rFonts w:ascii="Arial" w:hAnsi="Arial" w:cs="Arial"/>
                <w:color w:val="000000"/>
                <w:lang w:eastAsia="en-PH"/>
              </w:rPr>
            </w:pPr>
            <w:r w:rsidRPr="00540A02">
              <w:rPr>
                <w:rFonts w:ascii="Arial" w:hAnsi="Arial" w:cs="Arial"/>
                <w:b/>
                <w:bCs/>
                <w:color w:val="000000"/>
                <w:lang w:eastAsia="en-PH"/>
              </w:rPr>
              <w:t>1-      Wage Workers</w:t>
            </w:r>
          </w:p>
        </w:tc>
      </w:tr>
      <w:tr w:rsidR="00540A02" w:rsidRPr="00540A02" w14:paraId="074D1583" w14:textId="77777777" w:rsidTr="00F14F82">
        <w:trPr>
          <w:trHeight w:val="192"/>
        </w:trPr>
        <w:tc>
          <w:tcPr>
            <w:tcW w:w="2338" w:type="pct"/>
            <w:noWrap/>
            <w:vAlign w:val="center"/>
          </w:tcPr>
          <w:p w14:paraId="0B670A19" w14:textId="77777777" w:rsidR="00540A02" w:rsidRPr="00540A02" w:rsidRDefault="00540A02" w:rsidP="00F14F82">
            <w:pPr>
              <w:jc w:val="both"/>
              <w:rPr>
                <w:rFonts w:ascii="Arial" w:hAnsi="Arial" w:cs="Arial"/>
                <w:color w:val="000000"/>
                <w:lang w:eastAsia="en-PH"/>
              </w:rPr>
            </w:pPr>
            <w:r w:rsidRPr="00540A02">
              <w:rPr>
                <w:rFonts w:ascii="Arial" w:hAnsi="Arial" w:cs="Arial"/>
                <w:color w:val="000000"/>
                <w:lang w:eastAsia="en-PH"/>
              </w:rPr>
              <w:t>Net Income</w:t>
            </w:r>
          </w:p>
        </w:tc>
        <w:tc>
          <w:tcPr>
            <w:tcW w:w="1114" w:type="pct"/>
            <w:noWrap/>
            <w:vAlign w:val="center"/>
          </w:tcPr>
          <w:p w14:paraId="0AFB0CD8" w14:textId="77777777" w:rsidR="00540A02" w:rsidRPr="00540A02" w:rsidRDefault="00540A02" w:rsidP="00F14F82">
            <w:pPr>
              <w:jc w:val="center"/>
              <w:rPr>
                <w:rFonts w:ascii="Arial" w:hAnsi="Arial" w:cs="Arial"/>
                <w:color w:val="000000"/>
                <w:lang w:eastAsia="en-PH"/>
              </w:rPr>
            </w:pPr>
            <w:r w:rsidRPr="00540A02">
              <w:rPr>
                <w:rFonts w:ascii="Arial" w:hAnsi="Arial" w:cs="Arial"/>
                <w:color w:val="000000"/>
                <w:lang w:eastAsia="en-PH"/>
              </w:rPr>
              <w:t>0*</w:t>
            </w:r>
          </w:p>
        </w:tc>
        <w:tc>
          <w:tcPr>
            <w:tcW w:w="899" w:type="pct"/>
            <w:noWrap/>
            <w:vAlign w:val="center"/>
          </w:tcPr>
          <w:p w14:paraId="5C2870F1" w14:textId="77777777" w:rsidR="00540A02" w:rsidRPr="00540A02" w:rsidRDefault="00540A02" w:rsidP="00F14F82">
            <w:pPr>
              <w:jc w:val="center"/>
              <w:rPr>
                <w:rFonts w:ascii="Arial" w:hAnsi="Arial" w:cs="Arial"/>
                <w:color w:val="000000"/>
                <w:lang w:eastAsia="en-PH"/>
              </w:rPr>
            </w:pPr>
            <w:r w:rsidRPr="00540A02">
              <w:rPr>
                <w:rFonts w:ascii="Arial" w:hAnsi="Arial" w:cs="Arial"/>
                <w:color w:val="000000"/>
                <w:lang w:eastAsia="en-PH"/>
              </w:rPr>
              <w:t>0</w:t>
            </w:r>
          </w:p>
        </w:tc>
        <w:tc>
          <w:tcPr>
            <w:tcW w:w="649" w:type="pct"/>
            <w:noWrap/>
            <w:vAlign w:val="center"/>
          </w:tcPr>
          <w:p w14:paraId="1681A96A" w14:textId="77777777" w:rsidR="00540A02" w:rsidRPr="00540A02" w:rsidRDefault="00540A02" w:rsidP="00F14F82">
            <w:pPr>
              <w:jc w:val="center"/>
              <w:rPr>
                <w:rFonts w:ascii="Arial" w:hAnsi="Arial" w:cs="Arial"/>
                <w:color w:val="000000"/>
                <w:lang w:eastAsia="en-PH"/>
              </w:rPr>
            </w:pPr>
            <w:r w:rsidRPr="00540A02">
              <w:rPr>
                <w:rFonts w:ascii="Arial" w:hAnsi="Arial" w:cs="Arial"/>
                <w:color w:val="000000"/>
                <w:lang w:eastAsia="en-PH"/>
              </w:rPr>
              <w:t>0.35</w:t>
            </w:r>
          </w:p>
        </w:tc>
      </w:tr>
      <w:tr w:rsidR="00540A02" w:rsidRPr="00540A02" w14:paraId="58A1E52E" w14:textId="77777777" w:rsidTr="00F14F82">
        <w:trPr>
          <w:trHeight w:val="192"/>
        </w:trPr>
        <w:tc>
          <w:tcPr>
            <w:tcW w:w="2338" w:type="pct"/>
            <w:noWrap/>
            <w:vAlign w:val="center"/>
            <w:hideMark/>
          </w:tcPr>
          <w:p w14:paraId="333EF970" w14:textId="77777777" w:rsidR="00540A02" w:rsidRPr="00540A02" w:rsidRDefault="00540A02" w:rsidP="00F14F82">
            <w:pPr>
              <w:jc w:val="both"/>
              <w:rPr>
                <w:rFonts w:ascii="Arial" w:hAnsi="Arial" w:cs="Arial"/>
                <w:color w:val="000000"/>
                <w:lang w:eastAsia="en-PH"/>
              </w:rPr>
            </w:pPr>
            <w:r w:rsidRPr="00540A02">
              <w:rPr>
                <w:rFonts w:ascii="Arial" w:hAnsi="Arial" w:cs="Arial"/>
                <w:color w:val="000000"/>
                <w:lang w:eastAsia="en-PH"/>
              </w:rPr>
              <w:t>Region</w:t>
            </w:r>
          </w:p>
        </w:tc>
        <w:tc>
          <w:tcPr>
            <w:tcW w:w="1114" w:type="pct"/>
            <w:noWrap/>
            <w:vAlign w:val="center"/>
            <w:hideMark/>
          </w:tcPr>
          <w:p w14:paraId="11F41608" w14:textId="77777777" w:rsidR="00540A02" w:rsidRPr="00540A02" w:rsidRDefault="00540A02" w:rsidP="00F14F82">
            <w:pPr>
              <w:jc w:val="center"/>
              <w:rPr>
                <w:rFonts w:ascii="Arial" w:hAnsi="Arial" w:cs="Arial"/>
                <w:color w:val="000000"/>
                <w:lang w:eastAsia="en-PH"/>
              </w:rPr>
            </w:pPr>
            <w:r w:rsidRPr="00540A02">
              <w:rPr>
                <w:rFonts w:ascii="Arial" w:hAnsi="Arial" w:cs="Arial"/>
                <w:color w:val="000000"/>
                <w:lang w:eastAsia="en-PH"/>
              </w:rPr>
              <w:t>-0.0040509**</w:t>
            </w:r>
          </w:p>
        </w:tc>
        <w:tc>
          <w:tcPr>
            <w:tcW w:w="899" w:type="pct"/>
            <w:noWrap/>
            <w:vAlign w:val="center"/>
            <w:hideMark/>
          </w:tcPr>
          <w:p w14:paraId="5BFDEA4D" w14:textId="77777777" w:rsidR="00540A02" w:rsidRPr="00540A02" w:rsidRDefault="00540A02" w:rsidP="00F14F82">
            <w:pPr>
              <w:jc w:val="center"/>
              <w:rPr>
                <w:rFonts w:ascii="Arial" w:hAnsi="Arial" w:cs="Arial"/>
                <w:color w:val="000000"/>
                <w:lang w:eastAsia="en-PH"/>
              </w:rPr>
            </w:pPr>
            <w:r w:rsidRPr="00540A02">
              <w:rPr>
                <w:rFonts w:ascii="Arial" w:hAnsi="Arial" w:cs="Arial"/>
                <w:color w:val="000000"/>
                <w:lang w:eastAsia="en-PH"/>
              </w:rPr>
              <w:t>0.0016968</w:t>
            </w:r>
          </w:p>
        </w:tc>
        <w:tc>
          <w:tcPr>
            <w:tcW w:w="649" w:type="pct"/>
            <w:noWrap/>
            <w:vAlign w:val="center"/>
            <w:hideMark/>
          </w:tcPr>
          <w:p w14:paraId="37126B0F" w14:textId="77777777" w:rsidR="00540A02" w:rsidRPr="00540A02" w:rsidRDefault="00540A02" w:rsidP="00F14F82">
            <w:pPr>
              <w:jc w:val="center"/>
              <w:rPr>
                <w:rFonts w:ascii="Arial" w:hAnsi="Arial" w:cs="Arial"/>
                <w:color w:val="000000"/>
                <w:lang w:eastAsia="en-PH"/>
              </w:rPr>
            </w:pPr>
            <w:r w:rsidRPr="00540A02">
              <w:rPr>
                <w:rFonts w:ascii="Arial" w:hAnsi="Arial" w:cs="Arial"/>
                <w:color w:val="000000"/>
                <w:lang w:eastAsia="en-PH"/>
              </w:rPr>
              <w:t>-2.39</w:t>
            </w:r>
          </w:p>
        </w:tc>
      </w:tr>
      <w:tr w:rsidR="00540A02" w:rsidRPr="00540A02" w14:paraId="4C14845F" w14:textId="77777777" w:rsidTr="00F14F82">
        <w:trPr>
          <w:trHeight w:val="192"/>
        </w:trPr>
        <w:tc>
          <w:tcPr>
            <w:tcW w:w="2338" w:type="pct"/>
            <w:noWrap/>
            <w:vAlign w:val="center"/>
            <w:hideMark/>
          </w:tcPr>
          <w:p w14:paraId="55E20188" w14:textId="77777777" w:rsidR="00540A02" w:rsidRPr="00540A02" w:rsidRDefault="00540A02" w:rsidP="00F14F82">
            <w:pPr>
              <w:jc w:val="both"/>
              <w:rPr>
                <w:rFonts w:ascii="Arial" w:hAnsi="Arial" w:cs="Arial"/>
                <w:color w:val="000000"/>
                <w:lang w:eastAsia="en-PH"/>
              </w:rPr>
            </w:pPr>
            <w:r w:rsidRPr="00540A02">
              <w:rPr>
                <w:rFonts w:ascii="Arial" w:hAnsi="Arial" w:cs="Arial"/>
                <w:color w:val="000000"/>
                <w:lang w:eastAsia="en-PH"/>
              </w:rPr>
              <w:t>Urbanization</w:t>
            </w:r>
          </w:p>
        </w:tc>
        <w:tc>
          <w:tcPr>
            <w:tcW w:w="1114" w:type="pct"/>
            <w:noWrap/>
            <w:vAlign w:val="center"/>
            <w:hideMark/>
          </w:tcPr>
          <w:p w14:paraId="5A61A6DB" w14:textId="77777777" w:rsidR="00540A02" w:rsidRPr="00540A02" w:rsidRDefault="00540A02" w:rsidP="00F14F82">
            <w:pPr>
              <w:jc w:val="center"/>
              <w:rPr>
                <w:rFonts w:ascii="Arial" w:hAnsi="Arial" w:cs="Arial"/>
                <w:color w:val="000000"/>
                <w:lang w:eastAsia="en-PH"/>
              </w:rPr>
            </w:pPr>
            <w:r w:rsidRPr="00540A02">
              <w:rPr>
                <w:rFonts w:ascii="Arial" w:hAnsi="Arial" w:cs="Arial"/>
                <w:color w:val="000000"/>
                <w:lang w:eastAsia="en-PH"/>
              </w:rPr>
              <w:t>0.020173*</w:t>
            </w:r>
          </w:p>
        </w:tc>
        <w:tc>
          <w:tcPr>
            <w:tcW w:w="899" w:type="pct"/>
            <w:noWrap/>
            <w:vAlign w:val="center"/>
            <w:hideMark/>
          </w:tcPr>
          <w:p w14:paraId="6F4B0156" w14:textId="77777777" w:rsidR="00540A02" w:rsidRPr="00540A02" w:rsidRDefault="00540A02" w:rsidP="00F14F82">
            <w:pPr>
              <w:jc w:val="center"/>
              <w:rPr>
                <w:rFonts w:ascii="Arial" w:hAnsi="Arial" w:cs="Arial"/>
                <w:color w:val="000000"/>
                <w:lang w:eastAsia="en-PH"/>
              </w:rPr>
            </w:pPr>
            <w:r w:rsidRPr="00540A02">
              <w:rPr>
                <w:rFonts w:ascii="Arial" w:hAnsi="Arial" w:cs="Arial"/>
                <w:color w:val="000000"/>
                <w:lang w:eastAsia="en-PH"/>
              </w:rPr>
              <w:t>0.0161529</w:t>
            </w:r>
          </w:p>
        </w:tc>
        <w:tc>
          <w:tcPr>
            <w:tcW w:w="649" w:type="pct"/>
            <w:noWrap/>
            <w:vAlign w:val="center"/>
            <w:hideMark/>
          </w:tcPr>
          <w:p w14:paraId="2B7F4205" w14:textId="77777777" w:rsidR="00540A02" w:rsidRPr="00540A02" w:rsidRDefault="00540A02" w:rsidP="00F14F82">
            <w:pPr>
              <w:jc w:val="center"/>
              <w:rPr>
                <w:rFonts w:ascii="Arial" w:hAnsi="Arial" w:cs="Arial"/>
                <w:color w:val="000000"/>
                <w:lang w:eastAsia="en-PH"/>
              </w:rPr>
            </w:pPr>
            <w:r w:rsidRPr="00540A02">
              <w:rPr>
                <w:rFonts w:ascii="Arial" w:hAnsi="Arial" w:cs="Arial"/>
                <w:color w:val="000000"/>
                <w:lang w:eastAsia="en-PH"/>
              </w:rPr>
              <w:t>1.25</w:t>
            </w:r>
          </w:p>
        </w:tc>
      </w:tr>
      <w:tr w:rsidR="00540A02" w:rsidRPr="00540A02" w14:paraId="3B8AB69F" w14:textId="77777777" w:rsidTr="00F14F82">
        <w:trPr>
          <w:trHeight w:val="192"/>
        </w:trPr>
        <w:tc>
          <w:tcPr>
            <w:tcW w:w="2338" w:type="pct"/>
            <w:noWrap/>
            <w:vAlign w:val="center"/>
            <w:hideMark/>
          </w:tcPr>
          <w:p w14:paraId="4A270016" w14:textId="77777777" w:rsidR="00540A02" w:rsidRPr="00540A02" w:rsidRDefault="00540A02" w:rsidP="00F14F82">
            <w:pPr>
              <w:jc w:val="both"/>
              <w:rPr>
                <w:rFonts w:ascii="Arial" w:hAnsi="Arial" w:cs="Arial"/>
                <w:color w:val="000000"/>
                <w:lang w:eastAsia="en-PH"/>
              </w:rPr>
            </w:pPr>
            <w:r w:rsidRPr="00540A02">
              <w:rPr>
                <w:rFonts w:ascii="Arial" w:hAnsi="Arial" w:cs="Arial"/>
                <w:color w:val="000000"/>
                <w:lang w:eastAsia="en-PH"/>
              </w:rPr>
              <w:t>No. Children</w:t>
            </w:r>
          </w:p>
        </w:tc>
        <w:tc>
          <w:tcPr>
            <w:tcW w:w="1114" w:type="pct"/>
            <w:noWrap/>
            <w:vAlign w:val="center"/>
            <w:hideMark/>
          </w:tcPr>
          <w:p w14:paraId="553B2215" w14:textId="77777777" w:rsidR="00540A02" w:rsidRPr="00540A02" w:rsidRDefault="00540A02" w:rsidP="00F14F82">
            <w:pPr>
              <w:jc w:val="center"/>
              <w:rPr>
                <w:rFonts w:ascii="Arial" w:hAnsi="Arial" w:cs="Arial"/>
                <w:color w:val="000000"/>
                <w:lang w:eastAsia="en-PH"/>
              </w:rPr>
            </w:pPr>
            <w:r w:rsidRPr="00540A02">
              <w:rPr>
                <w:rFonts w:ascii="Arial" w:hAnsi="Arial" w:cs="Arial"/>
                <w:color w:val="000000"/>
                <w:lang w:eastAsia="en-PH"/>
              </w:rPr>
              <w:t>0.0242138***</w:t>
            </w:r>
          </w:p>
        </w:tc>
        <w:tc>
          <w:tcPr>
            <w:tcW w:w="899" w:type="pct"/>
            <w:noWrap/>
            <w:vAlign w:val="center"/>
            <w:hideMark/>
          </w:tcPr>
          <w:p w14:paraId="58977484" w14:textId="77777777" w:rsidR="00540A02" w:rsidRPr="00540A02" w:rsidRDefault="00540A02" w:rsidP="00F14F82">
            <w:pPr>
              <w:jc w:val="center"/>
              <w:rPr>
                <w:rFonts w:ascii="Arial" w:hAnsi="Arial" w:cs="Arial"/>
                <w:color w:val="000000"/>
                <w:lang w:eastAsia="en-PH"/>
              </w:rPr>
            </w:pPr>
            <w:r w:rsidRPr="00540A02">
              <w:rPr>
                <w:rFonts w:ascii="Arial" w:hAnsi="Arial" w:cs="Arial"/>
                <w:color w:val="000000"/>
                <w:lang w:eastAsia="en-PH"/>
              </w:rPr>
              <w:t>0.0242138</w:t>
            </w:r>
          </w:p>
        </w:tc>
        <w:tc>
          <w:tcPr>
            <w:tcW w:w="649" w:type="pct"/>
            <w:noWrap/>
            <w:vAlign w:val="center"/>
            <w:hideMark/>
          </w:tcPr>
          <w:p w14:paraId="455DD394" w14:textId="77777777" w:rsidR="00540A02" w:rsidRPr="00540A02" w:rsidRDefault="00540A02" w:rsidP="00F14F82">
            <w:pPr>
              <w:jc w:val="center"/>
              <w:rPr>
                <w:rFonts w:ascii="Arial" w:hAnsi="Arial" w:cs="Arial"/>
                <w:color w:val="000000"/>
                <w:lang w:eastAsia="en-PH"/>
              </w:rPr>
            </w:pPr>
            <w:r w:rsidRPr="00540A02">
              <w:rPr>
                <w:rFonts w:ascii="Arial" w:hAnsi="Arial" w:cs="Arial"/>
                <w:color w:val="000000"/>
                <w:lang w:eastAsia="en-PH"/>
              </w:rPr>
              <w:t>4.44</w:t>
            </w:r>
          </w:p>
        </w:tc>
      </w:tr>
      <w:tr w:rsidR="00540A02" w:rsidRPr="00540A02" w14:paraId="2011657E" w14:textId="77777777" w:rsidTr="00F14F82">
        <w:trPr>
          <w:trHeight w:val="192"/>
        </w:trPr>
        <w:tc>
          <w:tcPr>
            <w:tcW w:w="2338" w:type="pct"/>
            <w:noWrap/>
            <w:vAlign w:val="center"/>
            <w:hideMark/>
          </w:tcPr>
          <w:p w14:paraId="538CD424" w14:textId="77777777" w:rsidR="00540A02" w:rsidRPr="00540A02" w:rsidRDefault="00540A02" w:rsidP="00F14F82">
            <w:pPr>
              <w:jc w:val="both"/>
              <w:rPr>
                <w:rFonts w:ascii="Arial" w:hAnsi="Arial" w:cs="Arial"/>
                <w:color w:val="000000"/>
                <w:lang w:eastAsia="en-PH"/>
              </w:rPr>
            </w:pPr>
            <w:r w:rsidRPr="00540A02">
              <w:rPr>
                <w:rFonts w:ascii="Arial" w:hAnsi="Arial" w:cs="Arial"/>
                <w:color w:val="000000"/>
                <w:lang w:eastAsia="en-PH"/>
              </w:rPr>
              <w:t>Sex of HH Head</w:t>
            </w:r>
          </w:p>
        </w:tc>
        <w:tc>
          <w:tcPr>
            <w:tcW w:w="1114" w:type="pct"/>
            <w:noWrap/>
            <w:vAlign w:val="center"/>
            <w:hideMark/>
          </w:tcPr>
          <w:p w14:paraId="5CB355DF" w14:textId="77777777" w:rsidR="00540A02" w:rsidRPr="00540A02" w:rsidRDefault="00540A02" w:rsidP="00F14F82">
            <w:pPr>
              <w:jc w:val="center"/>
              <w:rPr>
                <w:rFonts w:ascii="Arial" w:hAnsi="Arial" w:cs="Arial"/>
                <w:color w:val="000000"/>
                <w:lang w:eastAsia="en-PH"/>
              </w:rPr>
            </w:pPr>
            <w:r w:rsidRPr="00540A02">
              <w:rPr>
                <w:rFonts w:ascii="Arial" w:hAnsi="Arial" w:cs="Arial"/>
                <w:color w:val="000000"/>
                <w:lang w:eastAsia="en-PH"/>
              </w:rPr>
              <w:t>-1.442759***</w:t>
            </w:r>
          </w:p>
        </w:tc>
        <w:tc>
          <w:tcPr>
            <w:tcW w:w="899" w:type="pct"/>
            <w:noWrap/>
            <w:vAlign w:val="center"/>
            <w:hideMark/>
          </w:tcPr>
          <w:p w14:paraId="66F24252" w14:textId="77777777" w:rsidR="00540A02" w:rsidRPr="00540A02" w:rsidRDefault="00540A02" w:rsidP="00F14F82">
            <w:pPr>
              <w:jc w:val="center"/>
              <w:rPr>
                <w:rFonts w:ascii="Arial" w:hAnsi="Arial" w:cs="Arial"/>
                <w:color w:val="000000"/>
                <w:lang w:eastAsia="en-PH"/>
              </w:rPr>
            </w:pPr>
            <w:r w:rsidRPr="00540A02">
              <w:rPr>
                <w:rFonts w:ascii="Arial" w:hAnsi="Arial" w:cs="Arial"/>
                <w:color w:val="000000"/>
                <w:lang w:eastAsia="en-PH"/>
              </w:rPr>
              <w:t>0.0196091</w:t>
            </w:r>
          </w:p>
        </w:tc>
        <w:tc>
          <w:tcPr>
            <w:tcW w:w="649" w:type="pct"/>
            <w:noWrap/>
            <w:vAlign w:val="center"/>
            <w:hideMark/>
          </w:tcPr>
          <w:p w14:paraId="76E73CB8" w14:textId="77777777" w:rsidR="00540A02" w:rsidRPr="00540A02" w:rsidRDefault="00540A02" w:rsidP="00F14F82">
            <w:pPr>
              <w:jc w:val="center"/>
              <w:rPr>
                <w:rFonts w:ascii="Arial" w:hAnsi="Arial" w:cs="Arial"/>
                <w:color w:val="000000"/>
                <w:lang w:eastAsia="en-PH"/>
              </w:rPr>
            </w:pPr>
            <w:r w:rsidRPr="00540A02">
              <w:rPr>
                <w:rFonts w:ascii="Arial" w:hAnsi="Arial" w:cs="Arial"/>
                <w:color w:val="000000"/>
                <w:lang w:eastAsia="en-PH"/>
              </w:rPr>
              <w:t>-73.58</w:t>
            </w:r>
          </w:p>
        </w:tc>
      </w:tr>
      <w:tr w:rsidR="00540A02" w:rsidRPr="00540A02" w14:paraId="4E611496" w14:textId="77777777" w:rsidTr="00F14F82">
        <w:trPr>
          <w:trHeight w:val="192"/>
        </w:trPr>
        <w:tc>
          <w:tcPr>
            <w:tcW w:w="2338" w:type="pct"/>
            <w:noWrap/>
            <w:vAlign w:val="center"/>
            <w:hideMark/>
          </w:tcPr>
          <w:p w14:paraId="566F55FC" w14:textId="77777777" w:rsidR="00540A02" w:rsidRPr="00540A02" w:rsidRDefault="00540A02" w:rsidP="00F14F82">
            <w:pPr>
              <w:jc w:val="both"/>
              <w:rPr>
                <w:rFonts w:ascii="Arial" w:hAnsi="Arial" w:cs="Arial"/>
                <w:color w:val="000000"/>
                <w:lang w:eastAsia="en-PH"/>
              </w:rPr>
            </w:pPr>
            <w:r w:rsidRPr="00540A02">
              <w:rPr>
                <w:rFonts w:ascii="Arial" w:hAnsi="Arial" w:cs="Arial"/>
                <w:color w:val="000000"/>
                <w:lang w:eastAsia="en-PH"/>
              </w:rPr>
              <w:t>Age of HH Head</w:t>
            </w:r>
          </w:p>
        </w:tc>
        <w:tc>
          <w:tcPr>
            <w:tcW w:w="1114" w:type="pct"/>
            <w:noWrap/>
            <w:vAlign w:val="center"/>
            <w:hideMark/>
          </w:tcPr>
          <w:p w14:paraId="08427BC4" w14:textId="77777777" w:rsidR="00540A02" w:rsidRPr="00540A02" w:rsidRDefault="00540A02" w:rsidP="00F14F82">
            <w:pPr>
              <w:jc w:val="center"/>
              <w:rPr>
                <w:rFonts w:ascii="Arial" w:hAnsi="Arial" w:cs="Arial"/>
                <w:color w:val="000000"/>
                <w:lang w:eastAsia="en-PH"/>
              </w:rPr>
            </w:pPr>
            <w:r w:rsidRPr="00540A02">
              <w:rPr>
                <w:rFonts w:ascii="Arial" w:hAnsi="Arial" w:cs="Arial"/>
                <w:color w:val="000000"/>
                <w:lang w:eastAsia="en-PH"/>
              </w:rPr>
              <w:t>-0.0885943***</w:t>
            </w:r>
          </w:p>
        </w:tc>
        <w:tc>
          <w:tcPr>
            <w:tcW w:w="899" w:type="pct"/>
            <w:noWrap/>
            <w:vAlign w:val="center"/>
            <w:hideMark/>
          </w:tcPr>
          <w:p w14:paraId="7992D229" w14:textId="77777777" w:rsidR="00540A02" w:rsidRPr="00540A02" w:rsidRDefault="00540A02" w:rsidP="00F14F82">
            <w:pPr>
              <w:jc w:val="center"/>
              <w:rPr>
                <w:rFonts w:ascii="Arial" w:hAnsi="Arial" w:cs="Arial"/>
                <w:color w:val="000000"/>
                <w:lang w:eastAsia="en-PH"/>
              </w:rPr>
            </w:pPr>
            <w:r w:rsidRPr="00540A02">
              <w:rPr>
                <w:rFonts w:ascii="Arial" w:hAnsi="Arial" w:cs="Arial"/>
                <w:color w:val="000000"/>
                <w:lang w:eastAsia="en-PH"/>
              </w:rPr>
              <w:t>0.0006678</w:t>
            </w:r>
          </w:p>
        </w:tc>
        <w:tc>
          <w:tcPr>
            <w:tcW w:w="649" w:type="pct"/>
            <w:noWrap/>
            <w:vAlign w:val="center"/>
            <w:hideMark/>
          </w:tcPr>
          <w:p w14:paraId="1095656F" w14:textId="77777777" w:rsidR="00540A02" w:rsidRPr="00540A02" w:rsidRDefault="00540A02" w:rsidP="00F14F82">
            <w:pPr>
              <w:jc w:val="center"/>
              <w:rPr>
                <w:rFonts w:ascii="Arial" w:hAnsi="Arial" w:cs="Arial"/>
                <w:color w:val="000000"/>
                <w:lang w:eastAsia="en-PH"/>
              </w:rPr>
            </w:pPr>
            <w:r w:rsidRPr="00540A02">
              <w:rPr>
                <w:rFonts w:ascii="Arial" w:hAnsi="Arial" w:cs="Arial"/>
                <w:color w:val="000000"/>
                <w:lang w:eastAsia="en-PH"/>
              </w:rPr>
              <w:t>-132.7</w:t>
            </w:r>
          </w:p>
        </w:tc>
      </w:tr>
      <w:tr w:rsidR="00540A02" w:rsidRPr="00540A02" w14:paraId="524A4D77" w14:textId="77777777" w:rsidTr="00F14F82">
        <w:trPr>
          <w:trHeight w:val="192"/>
        </w:trPr>
        <w:tc>
          <w:tcPr>
            <w:tcW w:w="2338" w:type="pct"/>
            <w:noWrap/>
            <w:vAlign w:val="center"/>
            <w:hideMark/>
          </w:tcPr>
          <w:p w14:paraId="7D5FA058" w14:textId="77777777" w:rsidR="00540A02" w:rsidRPr="00540A02" w:rsidRDefault="00540A02" w:rsidP="00F14F82">
            <w:pPr>
              <w:jc w:val="both"/>
              <w:rPr>
                <w:rFonts w:ascii="Arial" w:hAnsi="Arial" w:cs="Arial"/>
                <w:color w:val="000000"/>
                <w:lang w:eastAsia="en-PH"/>
              </w:rPr>
            </w:pPr>
            <w:r w:rsidRPr="00540A02">
              <w:rPr>
                <w:rFonts w:ascii="Arial" w:hAnsi="Arial" w:cs="Arial"/>
                <w:color w:val="000000"/>
                <w:lang w:eastAsia="en-PH"/>
              </w:rPr>
              <w:t>Marital Status of HH Head</w:t>
            </w:r>
          </w:p>
        </w:tc>
        <w:tc>
          <w:tcPr>
            <w:tcW w:w="1114" w:type="pct"/>
            <w:noWrap/>
            <w:vAlign w:val="center"/>
            <w:hideMark/>
          </w:tcPr>
          <w:p w14:paraId="589758B6" w14:textId="77777777" w:rsidR="00540A02" w:rsidRPr="00540A02" w:rsidRDefault="00540A02" w:rsidP="00F14F82">
            <w:pPr>
              <w:jc w:val="center"/>
              <w:rPr>
                <w:rFonts w:ascii="Arial" w:hAnsi="Arial" w:cs="Arial"/>
                <w:color w:val="000000"/>
                <w:lang w:eastAsia="en-PH"/>
              </w:rPr>
            </w:pPr>
            <w:r w:rsidRPr="00540A02">
              <w:rPr>
                <w:rFonts w:ascii="Arial" w:hAnsi="Arial" w:cs="Arial"/>
                <w:color w:val="000000"/>
                <w:lang w:eastAsia="en-PH"/>
              </w:rPr>
              <w:t>0.2131413***</w:t>
            </w:r>
          </w:p>
        </w:tc>
        <w:tc>
          <w:tcPr>
            <w:tcW w:w="899" w:type="pct"/>
            <w:noWrap/>
            <w:vAlign w:val="center"/>
            <w:hideMark/>
          </w:tcPr>
          <w:p w14:paraId="41332AFD" w14:textId="77777777" w:rsidR="00540A02" w:rsidRPr="00540A02" w:rsidRDefault="00540A02" w:rsidP="00F14F82">
            <w:pPr>
              <w:jc w:val="center"/>
              <w:rPr>
                <w:rFonts w:ascii="Arial" w:hAnsi="Arial" w:cs="Arial"/>
                <w:color w:val="000000"/>
                <w:lang w:eastAsia="en-PH"/>
              </w:rPr>
            </w:pPr>
            <w:r w:rsidRPr="00540A02">
              <w:rPr>
                <w:rFonts w:ascii="Arial" w:hAnsi="Arial" w:cs="Arial"/>
                <w:color w:val="000000"/>
                <w:lang w:eastAsia="en-PH"/>
              </w:rPr>
              <w:t>0.0148495</w:t>
            </w:r>
          </w:p>
        </w:tc>
        <w:tc>
          <w:tcPr>
            <w:tcW w:w="649" w:type="pct"/>
            <w:noWrap/>
            <w:vAlign w:val="center"/>
            <w:hideMark/>
          </w:tcPr>
          <w:p w14:paraId="630502D3" w14:textId="77777777" w:rsidR="00540A02" w:rsidRPr="00540A02" w:rsidRDefault="00540A02" w:rsidP="00F14F82">
            <w:pPr>
              <w:jc w:val="center"/>
              <w:rPr>
                <w:rFonts w:ascii="Arial" w:hAnsi="Arial" w:cs="Arial"/>
                <w:color w:val="000000"/>
                <w:lang w:eastAsia="en-PH"/>
              </w:rPr>
            </w:pPr>
            <w:r w:rsidRPr="00540A02">
              <w:rPr>
                <w:rFonts w:ascii="Arial" w:hAnsi="Arial" w:cs="Arial"/>
                <w:color w:val="000000"/>
                <w:lang w:eastAsia="en-PH"/>
              </w:rPr>
              <w:t>14.35</w:t>
            </w:r>
          </w:p>
        </w:tc>
      </w:tr>
      <w:tr w:rsidR="00540A02" w:rsidRPr="00540A02" w14:paraId="289351F9" w14:textId="77777777" w:rsidTr="00F14F82">
        <w:trPr>
          <w:trHeight w:val="192"/>
        </w:trPr>
        <w:tc>
          <w:tcPr>
            <w:tcW w:w="2338" w:type="pct"/>
            <w:noWrap/>
            <w:vAlign w:val="center"/>
            <w:hideMark/>
          </w:tcPr>
          <w:p w14:paraId="078AAEE4" w14:textId="77777777" w:rsidR="00540A02" w:rsidRPr="00540A02" w:rsidRDefault="00540A02" w:rsidP="00F14F82">
            <w:pPr>
              <w:jc w:val="both"/>
              <w:rPr>
                <w:rFonts w:ascii="Arial" w:hAnsi="Arial" w:cs="Arial"/>
                <w:color w:val="000000"/>
                <w:lang w:eastAsia="en-PH"/>
              </w:rPr>
            </w:pPr>
            <w:r w:rsidRPr="00540A02">
              <w:rPr>
                <w:rFonts w:ascii="Arial" w:hAnsi="Arial" w:cs="Arial"/>
                <w:color w:val="000000"/>
                <w:lang w:eastAsia="en-PH"/>
              </w:rPr>
              <w:t>Education</w:t>
            </w:r>
          </w:p>
        </w:tc>
        <w:tc>
          <w:tcPr>
            <w:tcW w:w="1114" w:type="pct"/>
            <w:noWrap/>
            <w:vAlign w:val="center"/>
            <w:hideMark/>
          </w:tcPr>
          <w:p w14:paraId="6E642071" w14:textId="77777777" w:rsidR="00540A02" w:rsidRPr="00540A02" w:rsidRDefault="00540A02" w:rsidP="00F14F82">
            <w:pPr>
              <w:jc w:val="center"/>
              <w:rPr>
                <w:rFonts w:ascii="Arial" w:hAnsi="Arial" w:cs="Arial"/>
                <w:color w:val="000000"/>
                <w:lang w:eastAsia="en-PH"/>
              </w:rPr>
            </w:pPr>
            <w:r w:rsidRPr="00540A02">
              <w:rPr>
                <w:rFonts w:ascii="Arial" w:hAnsi="Arial" w:cs="Arial"/>
                <w:color w:val="000000"/>
                <w:lang w:eastAsia="en-PH"/>
              </w:rPr>
              <w:t>0.0044208*</w:t>
            </w:r>
          </w:p>
        </w:tc>
        <w:tc>
          <w:tcPr>
            <w:tcW w:w="899" w:type="pct"/>
            <w:noWrap/>
            <w:vAlign w:val="center"/>
            <w:hideMark/>
          </w:tcPr>
          <w:p w14:paraId="123D710F" w14:textId="77777777" w:rsidR="00540A02" w:rsidRPr="00540A02" w:rsidRDefault="00540A02" w:rsidP="00F14F82">
            <w:pPr>
              <w:jc w:val="center"/>
              <w:rPr>
                <w:rFonts w:ascii="Arial" w:hAnsi="Arial" w:cs="Arial"/>
                <w:color w:val="000000"/>
                <w:lang w:eastAsia="en-PH"/>
              </w:rPr>
            </w:pPr>
            <w:r w:rsidRPr="00540A02">
              <w:rPr>
                <w:rFonts w:ascii="Arial" w:hAnsi="Arial" w:cs="Arial"/>
                <w:color w:val="000000"/>
                <w:lang w:eastAsia="en-PH"/>
              </w:rPr>
              <w:t>0.0027215</w:t>
            </w:r>
          </w:p>
        </w:tc>
        <w:tc>
          <w:tcPr>
            <w:tcW w:w="649" w:type="pct"/>
            <w:noWrap/>
            <w:vAlign w:val="center"/>
            <w:hideMark/>
          </w:tcPr>
          <w:p w14:paraId="5A271667" w14:textId="77777777" w:rsidR="00540A02" w:rsidRPr="00540A02" w:rsidRDefault="00540A02" w:rsidP="00F14F82">
            <w:pPr>
              <w:jc w:val="center"/>
              <w:rPr>
                <w:rFonts w:ascii="Arial" w:hAnsi="Arial" w:cs="Arial"/>
                <w:color w:val="000000"/>
                <w:lang w:eastAsia="en-PH"/>
              </w:rPr>
            </w:pPr>
            <w:r w:rsidRPr="00540A02">
              <w:rPr>
                <w:rFonts w:ascii="Arial" w:hAnsi="Arial" w:cs="Arial"/>
                <w:color w:val="000000"/>
                <w:lang w:eastAsia="en-PH"/>
              </w:rPr>
              <w:t>1.62</w:t>
            </w:r>
          </w:p>
        </w:tc>
      </w:tr>
      <w:tr w:rsidR="00540A02" w:rsidRPr="00540A02" w14:paraId="3807A499" w14:textId="77777777" w:rsidTr="00F14F82">
        <w:trPr>
          <w:trHeight w:val="201"/>
        </w:trPr>
        <w:tc>
          <w:tcPr>
            <w:tcW w:w="2338" w:type="pct"/>
            <w:tcBorders>
              <w:bottom w:val="single" w:sz="12" w:space="0" w:color="000000"/>
            </w:tcBorders>
            <w:noWrap/>
            <w:vAlign w:val="center"/>
            <w:hideMark/>
          </w:tcPr>
          <w:p w14:paraId="36BC8E28" w14:textId="77777777" w:rsidR="00540A02" w:rsidRPr="00540A02" w:rsidRDefault="00540A02" w:rsidP="00F14F82">
            <w:pPr>
              <w:jc w:val="both"/>
              <w:rPr>
                <w:rFonts w:ascii="Arial" w:hAnsi="Arial" w:cs="Arial"/>
                <w:color w:val="000000"/>
                <w:lang w:eastAsia="en-PH"/>
              </w:rPr>
            </w:pPr>
            <w:r w:rsidRPr="00540A02">
              <w:rPr>
                <w:rFonts w:ascii="Arial" w:hAnsi="Arial" w:cs="Arial"/>
                <w:color w:val="000000"/>
                <w:lang w:eastAsia="en-PH"/>
              </w:rPr>
              <w:t>Constant</w:t>
            </w:r>
          </w:p>
        </w:tc>
        <w:tc>
          <w:tcPr>
            <w:tcW w:w="1114" w:type="pct"/>
            <w:tcBorders>
              <w:bottom w:val="single" w:sz="12" w:space="0" w:color="000000"/>
            </w:tcBorders>
            <w:noWrap/>
            <w:vAlign w:val="center"/>
            <w:hideMark/>
          </w:tcPr>
          <w:p w14:paraId="7AA6600E" w14:textId="77777777" w:rsidR="00540A02" w:rsidRPr="00540A02" w:rsidRDefault="00540A02" w:rsidP="00F14F82">
            <w:pPr>
              <w:jc w:val="center"/>
              <w:rPr>
                <w:rFonts w:ascii="Arial" w:hAnsi="Arial" w:cs="Arial"/>
                <w:color w:val="000000"/>
                <w:lang w:eastAsia="en-PH"/>
              </w:rPr>
            </w:pPr>
            <w:r w:rsidRPr="00540A02">
              <w:rPr>
                <w:rFonts w:ascii="Arial" w:hAnsi="Arial" w:cs="Arial"/>
                <w:color w:val="000000"/>
                <w:lang w:eastAsia="en-PH"/>
              </w:rPr>
              <w:t>6.704436***</w:t>
            </w:r>
          </w:p>
        </w:tc>
        <w:tc>
          <w:tcPr>
            <w:tcW w:w="899" w:type="pct"/>
            <w:tcBorders>
              <w:bottom w:val="single" w:sz="12" w:space="0" w:color="000000"/>
            </w:tcBorders>
            <w:noWrap/>
            <w:vAlign w:val="center"/>
            <w:hideMark/>
          </w:tcPr>
          <w:p w14:paraId="5BBFFCE2" w14:textId="77777777" w:rsidR="00540A02" w:rsidRPr="00540A02" w:rsidRDefault="00540A02" w:rsidP="00F14F82">
            <w:pPr>
              <w:jc w:val="center"/>
              <w:rPr>
                <w:rFonts w:ascii="Arial" w:hAnsi="Arial" w:cs="Arial"/>
                <w:color w:val="000000"/>
                <w:lang w:eastAsia="en-PH"/>
              </w:rPr>
            </w:pPr>
            <w:r w:rsidRPr="00540A02">
              <w:rPr>
                <w:rFonts w:ascii="Arial" w:hAnsi="Arial" w:cs="Arial"/>
                <w:color w:val="000000"/>
                <w:lang w:eastAsia="en-PH"/>
              </w:rPr>
              <w:t>0.0577689</w:t>
            </w:r>
          </w:p>
        </w:tc>
        <w:tc>
          <w:tcPr>
            <w:tcW w:w="649" w:type="pct"/>
            <w:tcBorders>
              <w:bottom w:val="single" w:sz="12" w:space="0" w:color="000000"/>
            </w:tcBorders>
            <w:noWrap/>
            <w:vAlign w:val="center"/>
            <w:hideMark/>
          </w:tcPr>
          <w:p w14:paraId="6F55576B" w14:textId="77777777" w:rsidR="00540A02" w:rsidRPr="00540A02" w:rsidRDefault="00540A02" w:rsidP="00F14F82">
            <w:pPr>
              <w:jc w:val="center"/>
              <w:rPr>
                <w:rFonts w:ascii="Arial" w:hAnsi="Arial" w:cs="Arial"/>
                <w:color w:val="000000"/>
                <w:lang w:eastAsia="en-PH"/>
              </w:rPr>
            </w:pPr>
            <w:r w:rsidRPr="00540A02">
              <w:rPr>
                <w:rFonts w:ascii="Arial" w:hAnsi="Arial" w:cs="Arial"/>
                <w:color w:val="000000"/>
                <w:lang w:eastAsia="en-PH"/>
              </w:rPr>
              <w:t>116.06</w:t>
            </w:r>
          </w:p>
        </w:tc>
      </w:tr>
      <w:tr w:rsidR="00540A02" w:rsidRPr="00540A02" w14:paraId="45160BC5" w14:textId="77777777" w:rsidTr="00F14F82">
        <w:trPr>
          <w:trHeight w:val="192"/>
        </w:trPr>
        <w:tc>
          <w:tcPr>
            <w:tcW w:w="5000" w:type="pct"/>
            <w:gridSpan w:val="4"/>
            <w:tcBorders>
              <w:top w:val="single" w:sz="12" w:space="0" w:color="000000"/>
            </w:tcBorders>
            <w:noWrap/>
            <w:vAlign w:val="center"/>
            <w:hideMark/>
          </w:tcPr>
          <w:p w14:paraId="18425DD2" w14:textId="77777777" w:rsidR="00540A02" w:rsidRPr="00540A02" w:rsidRDefault="00540A02" w:rsidP="00F14F82">
            <w:pPr>
              <w:rPr>
                <w:rFonts w:ascii="Arial" w:hAnsi="Arial" w:cs="Arial"/>
                <w:color w:val="000000"/>
                <w:lang w:eastAsia="en-PH"/>
              </w:rPr>
            </w:pPr>
            <w:r w:rsidRPr="00540A02">
              <w:rPr>
                <w:rFonts w:ascii="Arial" w:hAnsi="Arial" w:cs="Arial"/>
                <w:b/>
                <w:bCs/>
                <w:color w:val="000000"/>
                <w:lang w:eastAsia="en-PH"/>
              </w:rPr>
              <w:t>2-      Entrepreneurial Non-Rice Farming</w:t>
            </w:r>
          </w:p>
        </w:tc>
      </w:tr>
      <w:tr w:rsidR="00540A02" w:rsidRPr="00540A02" w14:paraId="664C9A9B" w14:textId="77777777" w:rsidTr="00F14F82">
        <w:trPr>
          <w:trHeight w:val="192"/>
        </w:trPr>
        <w:tc>
          <w:tcPr>
            <w:tcW w:w="2338" w:type="pct"/>
            <w:tcBorders>
              <w:top w:val="single" w:sz="12" w:space="0" w:color="000000"/>
            </w:tcBorders>
            <w:noWrap/>
            <w:vAlign w:val="center"/>
            <w:hideMark/>
          </w:tcPr>
          <w:p w14:paraId="79CE4D2B" w14:textId="77777777" w:rsidR="00540A02" w:rsidRPr="00540A02" w:rsidRDefault="00540A02" w:rsidP="00F14F82">
            <w:pPr>
              <w:jc w:val="both"/>
              <w:rPr>
                <w:rFonts w:ascii="Arial" w:hAnsi="Arial" w:cs="Arial"/>
                <w:color w:val="000000"/>
                <w:lang w:eastAsia="en-PH"/>
              </w:rPr>
            </w:pPr>
            <w:r w:rsidRPr="00540A02">
              <w:rPr>
                <w:rFonts w:ascii="Arial" w:hAnsi="Arial" w:cs="Arial"/>
                <w:color w:val="000000"/>
                <w:lang w:eastAsia="en-PH"/>
              </w:rPr>
              <w:t>Net Income</w:t>
            </w:r>
          </w:p>
        </w:tc>
        <w:tc>
          <w:tcPr>
            <w:tcW w:w="1114" w:type="pct"/>
            <w:tcBorders>
              <w:top w:val="single" w:sz="12" w:space="0" w:color="000000"/>
            </w:tcBorders>
            <w:noWrap/>
            <w:vAlign w:val="center"/>
            <w:hideMark/>
          </w:tcPr>
          <w:p w14:paraId="7A736B32" w14:textId="77777777" w:rsidR="00540A02" w:rsidRPr="00540A02" w:rsidRDefault="00540A02" w:rsidP="00F14F82">
            <w:pPr>
              <w:jc w:val="center"/>
              <w:rPr>
                <w:rFonts w:ascii="Arial" w:hAnsi="Arial" w:cs="Arial"/>
                <w:color w:val="000000"/>
                <w:lang w:eastAsia="en-PH"/>
              </w:rPr>
            </w:pPr>
            <w:r w:rsidRPr="00540A02">
              <w:rPr>
                <w:rFonts w:ascii="Arial" w:hAnsi="Arial" w:cs="Arial"/>
                <w:color w:val="000000"/>
                <w:lang w:eastAsia="en-PH"/>
              </w:rPr>
              <w:t>0***</w:t>
            </w:r>
          </w:p>
        </w:tc>
        <w:tc>
          <w:tcPr>
            <w:tcW w:w="899" w:type="pct"/>
            <w:tcBorders>
              <w:top w:val="single" w:sz="12" w:space="0" w:color="000000"/>
            </w:tcBorders>
            <w:noWrap/>
            <w:vAlign w:val="center"/>
            <w:hideMark/>
          </w:tcPr>
          <w:p w14:paraId="38E451AE" w14:textId="77777777" w:rsidR="00540A02" w:rsidRPr="00540A02" w:rsidRDefault="00540A02" w:rsidP="00F14F82">
            <w:pPr>
              <w:jc w:val="center"/>
              <w:rPr>
                <w:rFonts w:ascii="Arial" w:hAnsi="Arial" w:cs="Arial"/>
                <w:color w:val="000000"/>
                <w:lang w:eastAsia="en-PH"/>
              </w:rPr>
            </w:pPr>
            <w:r w:rsidRPr="00540A02">
              <w:rPr>
                <w:rFonts w:ascii="Arial" w:hAnsi="Arial" w:cs="Arial"/>
                <w:color w:val="000000"/>
                <w:lang w:eastAsia="en-PH"/>
              </w:rPr>
              <w:t>0</w:t>
            </w:r>
          </w:p>
        </w:tc>
        <w:tc>
          <w:tcPr>
            <w:tcW w:w="649" w:type="pct"/>
            <w:tcBorders>
              <w:top w:val="single" w:sz="12" w:space="0" w:color="000000"/>
            </w:tcBorders>
            <w:noWrap/>
            <w:vAlign w:val="center"/>
            <w:hideMark/>
          </w:tcPr>
          <w:p w14:paraId="2A1E4512" w14:textId="77777777" w:rsidR="00540A02" w:rsidRPr="00540A02" w:rsidRDefault="00540A02" w:rsidP="00F14F82">
            <w:pPr>
              <w:jc w:val="center"/>
              <w:rPr>
                <w:rFonts w:ascii="Arial" w:hAnsi="Arial" w:cs="Arial"/>
                <w:color w:val="000000"/>
                <w:lang w:eastAsia="en-PH"/>
              </w:rPr>
            </w:pPr>
            <w:r w:rsidRPr="00540A02">
              <w:rPr>
                <w:rFonts w:ascii="Arial" w:hAnsi="Arial" w:cs="Arial"/>
                <w:color w:val="000000"/>
                <w:lang w:eastAsia="en-PH"/>
              </w:rPr>
              <w:t>39.77</w:t>
            </w:r>
          </w:p>
        </w:tc>
      </w:tr>
      <w:tr w:rsidR="00540A02" w:rsidRPr="00540A02" w14:paraId="7803386A" w14:textId="77777777" w:rsidTr="00F14F82">
        <w:trPr>
          <w:trHeight w:val="192"/>
        </w:trPr>
        <w:tc>
          <w:tcPr>
            <w:tcW w:w="2338" w:type="pct"/>
            <w:noWrap/>
            <w:vAlign w:val="center"/>
            <w:hideMark/>
          </w:tcPr>
          <w:p w14:paraId="23D408B2" w14:textId="77777777" w:rsidR="00540A02" w:rsidRPr="00540A02" w:rsidRDefault="00540A02" w:rsidP="00F14F82">
            <w:pPr>
              <w:jc w:val="both"/>
              <w:rPr>
                <w:rFonts w:ascii="Arial" w:hAnsi="Arial" w:cs="Arial"/>
                <w:color w:val="000000"/>
                <w:lang w:eastAsia="en-PH"/>
              </w:rPr>
            </w:pPr>
            <w:r w:rsidRPr="00540A02">
              <w:rPr>
                <w:rFonts w:ascii="Arial" w:hAnsi="Arial" w:cs="Arial"/>
                <w:color w:val="000000"/>
                <w:lang w:eastAsia="en-PH"/>
              </w:rPr>
              <w:t>Region</w:t>
            </w:r>
          </w:p>
        </w:tc>
        <w:tc>
          <w:tcPr>
            <w:tcW w:w="1114" w:type="pct"/>
            <w:noWrap/>
            <w:vAlign w:val="center"/>
            <w:hideMark/>
          </w:tcPr>
          <w:p w14:paraId="185E6D15" w14:textId="77777777" w:rsidR="00540A02" w:rsidRPr="00540A02" w:rsidRDefault="00540A02" w:rsidP="00F14F82">
            <w:pPr>
              <w:jc w:val="center"/>
              <w:rPr>
                <w:rFonts w:ascii="Arial" w:hAnsi="Arial" w:cs="Arial"/>
                <w:color w:val="000000"/>
                <w:lang w:eastAsia="en-PH"/>
              </w:rPr>
            </w:pPr>
            <w:r w:rsidRPr="00540A02">
              <w:rPr>
                <w:rFonts w:ascii="Arial" w:hAnsi="Arial" w:cs="Arial"/>
                <w:color w:val="000000"/>
                <w:lang w:eastAsia="en-PH"/>
              </w:rPr>
              <w:t>0.0243732***</w:t>
            </w:r>
          </w:p>
        </w:tc>
        <w:tc>
          <w:tcPr>
            <w:tcW w:w="899" w:type="pct"/>
            <w:noWrap/>
            <w:vAlign w:val="center"/>
            <w:hideMark/>
          </w:tcPr>
          <w:p w14:paraId="798B7EFD" w14:textId="77777777" w:rsidR="00540A02" w:rsidRPr="00540A02" w:rsidRDefault="00540A02" w:rsidP="00F14F82">
            <w:pPr>
              <w:jc w:val="center"/>
              <w:rPr>
                <w:rFonts w:ascii="Arial" w:hAnsi="Arial" w:cs="Arial"/>
                <w:color w:val="000000"/>
                <w:lang w:eastAsia="en-PH"/>
              </w:rPr>
            </w:pPr>
            <w:r w:rsidRPr="00540A02">
              <w:rPr>
                <w:rFonts w:ascii="Arial" w:hAnsi="Arial" w:cs="Arial"/>
                <w:color w:val="000000"/>
                <w:lang w:eastAsia="en-PH"/>
              </w:rPr>
              <w:t>0.0017066</w:t>
            </w:r>
          </w:p>
        </w:tc>
        <w:tc>
          <w:tcPr>
            <w:tcW w:w="649" w:type="pct"/>
            <w:noWrap/>
            <w:vAlign w:val="center"/>
            <w:hideMark/>
          </w:tcPr>
          <w:p w14:paraId="7793B13C" w14:textId="77777777" w:rsidR="00540A02" w:rsidRPr="00540A02" w:rsidRDefault="00540A02" w:rsidP="00F14F82">
            <w:pPr>
              <w:jc w:val="center"/>
              <w:rPr>
                <w:rFonts w:ascii="Arial" w:hAnsi="Arial" w:cs="Arial"/>
                <w:color w:val="000000"/>
                <w:lang w:eastAsia="en-PH"/>
              </w:rPr>
            </w:pPr>
            <w:r w:rsidRPr="00540A02">
              <w:rPr>
                <w:rFonts w:ascii="Arial" w:hAnsi="Arial" w:cs="Arial"/>
                <w:color w:val="000000"/>
                <w:lang w:eastAsia="en-PH"/>
              </w:rPr>
              <w:t>14.28</w:t>
            </w:r>
          </w:p>
        </w:tc>
      </w:tr>
      <w:tr w:rsidR="00540A02" w:rsidRPr="00540A02" w14:paraId="4458BAC7" w14:textId="77777777" w:rsidTr="00F14F82">
        <w:trPr>
          <w:trHeight w:val="192"/>
        </w:trPr>
        <w:tc>
          <w:tcPr>
            <w:tcW w:w="2338" w:type="pct"/>
            <w:noWrap/>
            <w:vAlign w:val="center"/>
            <w:hideMark/>
          </w:tcPr>
          <w:p w14:paraId="2E9830D2" w14:textId="77777777" w:rsidR="00540A02" w:rsidRPr="00540A02" w:rsidRDefault="00540A02" w:rsidP="00F14F82">
            <w:pPr>
              <w:jc w:val="both"/>
              <w:rPr>
                <w:rFonts w:ascii="Arial" w:hAnsi="Arial" w:cs="Arial"/>
                <w:color w:val="000000"/>
                <w:lang w:eastAsia="en-PH"/>
              </w:rPr>
            </w:pPr>
            <w:r w:rsidRPr="00540A02">
              <w:rPr>
                <w:rFonts w:ascii="Arial" w:hAnsi="Arial" w:cs="Arial"/>
                <w:color w:val="000000"/>
                <w:lang w:eastAsia="en-PH"/>
              </w:rPr>
              <w:t>Urbanization</w:t>
            </w:r>
          </w:p>
        </w:tc>
        <w:tc>
          <w:tcPr>
            <w:tcW w:w="1114" w:type="pct"/>
            <w:noWrap/>
            <w:vAlign w:val="center"/>
            <w:hideMark/>
          </w:tcPr>
          <w:p w14:paraId="1F95BAF0" w14:textId="77777777" w:rsidR="00540A02" w:rsidRPr="00540A02" w:rsidRDefault="00540A02" w:rsidP="00F14F82">
            <w:pPr>
              <w:jc w:val="center"/>
              <w:rPr>
                <w:rFonts w:ascii="Arial" w:hAnsi="Arial" w:cs="Arial"/>
                <w:color w:val="000000"/>
                <w:lang w:eastAsia="en-PH"/>
              </w:rPr>
            </w:pPr>
            <w:r w:rsidRPr="00540A02">
              <w:rPr>
                <w:rFonts w:ascii="Arial" w:hAnsi="Arial" w:cs="Arial"/>
                <w:color w:val="000000"/>
                <w:lang w:eastAsia="en-PH"/>
              </w:rPr>
              <w:t>0.6319132***</w:t>
            </w:r>
          </w:p>
        </w:tc>
        <w:tc>
          <w:tcPr>
            <w:tcW w:w="899" w:type="pct"/>
            <w:noWrap/>
            <w:vAlign w:val="center"/>
            <w:hideMark/>
          </w:tcPr>
          <w:p w14:paraId="4E314A13" w14:textId="77777777" w:rsidR="00540A02" w:rsidRPr="00540A02" w:rsidRDefault="00540A02" w:rsidP="00F14F82">
            <w:pPr>
              <w:jc w:val="center"/>
              <w:rPr>
                <w:rFonts w:ascii="Arial" w:hAnsi="Arial" w:cs="Arial"/>
                <w:color w:val="000000"/>
                <w:lang w:eastAsia="en-PH"/>
              </w:rPr>
            </w:pPr>
            <w:r w:rsidRPr="00540A02">
              <w:rPr>
                <w:rFonts w:ascii="Arial" w:hAnsi="Arial" w:cs="Arial"/>
                <w:color w:val="000000"/>
                <w:lang w:eastAsia="en-PH"/>
              </w:rPr>
              <w:t>0.0167136</w:t>
            </w:r>
          </w:p>
        </w:tc>
        <w:tc>
          <w:tcPr>
            <w:tcW w:w="649" w:type="pct"/>
            <w:noWrap/>
            <w:vAlign w:val="center"/>
            <w:hideMark/>
          </w:tcPr>
          <w:p w14:paraId="53F3A048" w14:textId="77777777" w:rsidR="00540A02" w:rsidRPr="00540A02" w:rsidRDefault="00540A02" w:rsidP="00F14F82">
            <w:pPr>
              <w:jc w:val="center"/>
              <w:rPr>
                <w:rFonts w:ascii="Arial" w:hAnsi="Arial" w:cs="Arial"/>
                <w:color w:val="000000"/>
                <w:lang w:eastAsia="en-PH"/>
              </w:rPr>
            </w:pPr>
            <w:r w:rsidRPr="00540A02">
              <w:rPr>
                <w:rFonts w:ascii="Arial" w:hAnsi="Arial" w:cs="Arial"/>
                <w:color w:val="000000"/>
                <w:lang w:eastAsia="en-PH"/>
              </w:rPr>
              <w:t>37.81</w:t>
            </w:r>
          </w:p>
        </w:tc>
      </w:tr>
      <w:tr w:rsidR="00540A02" w:rsidRPr="00540A02" w14:paraId="00A88697" w14:textId="77777777" w:rsidTr="00F14F82">
        <w:trPr>
          <w:trHeight w:val="192"/>
        </w:trPr>
        <w:tc>
          <w:tcPr>
            <w:tcW w:w="2338" w:type="pct"/>
            <w:noWrap/>
            <w:vAlign w:val="center"/>
            <w:hideMark/>
          </w:tcPr>
          <w:p w14:paraId="1B024F38" w14:textId="77777777" w:rsidR="00540A02" w:rsidRPr="00540A02" w:rsidRDefault="00540A02" w:rsidP="00F14F82">
            <w:pPr>
              <w:jc w:val="both"/>
              <w:rPr>
                <w:rFonts w:ascii="Arial" w:hAnsi="Arial" w:cs="Arial"/>
                <w:color w:val="000000"/>
                <w:lang w:eastAsia="en-PH"/>
              </w:rPr>
            </w:pPr>
            <w:r w:rsidRPr="00540A02">
              <w:rPr>
                <w:rFonts w:ascii="Arial" w:hAnsi="Arial" w:cs="Arial"/>
                <w:color w:val="000000"/>
                <w:lang w:eastAsia="en-PH"/>
              </w:rPr>
              <w:t>No. Children</w:t>
            </w:r>
          </w:p>
        </w:tc>
        <w:tc>
          <w:tcPr>
            <w:tcW w:w="1114" w:type="pct"/>
            <w:noWrap/>
            <w:vAlign w:val="center"/>
            <w:hideMark/>
          </w:tcPr>
          <w:p w14:paraId="42A5D28A" w14:textId="77777777" w:rsidR="00540A02" w:rsidRPr="00540A02" w:rsidRDefault="00540A02" w:rsidP="00F14F82">
            <w:pPr>
              <w:jc w:val="center"/>
              <w:rPr>
                <w:rFonts w:ascii="Arial" w:hAnsi="Arial" w:cs="Arial"/>
                <w:color w:val="000000"/>
                <w:lang w:eastAsia="en-PH"/>
              </w:rPr>
            </w:pPr>
            <w:r w:rsidRPr="00540A02">
              <w:rPr>
                <w:rFonts w:ascii="Arial" w:hAnsi="Arial" w:cs="Arial"/>
                <w:color w:val="000000"/>
                <w:lang w:eastAsia="en-PH"/>
              </w:rPr>
              <w:t>0.0511153***</w:t>
            </w:r>
          </w:p>
        </w:tc>
        <w:tc>
          <w:tcPr>
            <w:tcW w:w="899" w:type="pct"/>
            <w:noWrap/>
            <w:vAlign w:val="center"/>
            <w:hideMark/>
          </w:tcPr>
          <w:p w14:paraId="6E8ABEA3" w14:textId="77777777" w:rsidR="00540A02" w:rsidRPr="00540A02" w:rsidRDefault="00540A02" w:rsidP="00F14F82">
            <w:pPr>
              <w:jc w:val="center"/>
              <w:rPr>
                <w:rFonts w:ascii="Arial" w:hAnsi="Arial" w:cs="Arial"/>
                <w:color w:val="000000"/>
                <w:lang w:eastAsia="en-PH"/>
              </w:rPr>
            </w:pPr>
            <w:r w:rsidRPr="00540A02">
              <w:rPr>
                <w:rFonts w:ascii="Arial" w:hAnsi="Arial" w:cs="Arial"/>
                <w:color w:val="000000"/>
                <w:lang w:eastAsia="en-PH"/>
              </w:rPr>
              <w:t>0.0054963</w:t>
            </w:r>
          </w:p>
        </w:tc>
        <w:tc>
          <w:tcPr>
            <w:tcW w:w="649" w:type="pct"/>
            <w:noWrap/>
            <w:vAlign w:val="center"/>
            <w:hideMark/>
          </w:tcPr>
          <w:p w14:paraId="5BC0707E" w14:textId="77777777" w:rsidR="00540A02" w:rsidRPr="00540A02" w:rsidRDefault="00540A02" w:rsidP="00F14F82">
            <w:pPr>
              <w:jc w:val="center"/>
              <w:rPr>
                <w:rFonts w:ascii="Arial" w:hAnsi="Arial" w:cs="Arial"/>
                <w:color w:val="000000"/>
                <w:lang w:eastAsia="en-PH"/>
              </w:rPr>
            </w:pPr>
            <w:r w:rsidRPr="00540A02">
              <w:rPr>
                <w:rFonts w:ascii="Arial" w:hAnsi="Arial" w:cs="Arial"/>
                <w:color w:val="000000"/>
                <w:lang w:eastAsia="en-PH"/>
              </w:rPr>
              <w:t>9.3</w:t>
            </w:r>
          </w:p>
        </w:tc>
      </w:tr>
      <w:tr w:rsidR="00540A02" w:rsidRPr="00540A02" w14:paraId="61E840F1" w14:textId="77777777" w:rsidTr="00F14F82">
        <w:trPr>
          <w:trHeight w:val="192"/>
        </w:trPr>
        <w:tc>
          <w:tcPr>
            <w:tcW w:w="2338" w:type="pct"/>
            <w:noWrap/>
            <w:vAlign w:val="center"/>
            <w:hideMark/>
          </w:tcPr>
          <w:p w14:paraId="5C400926" w14:textId="77777777" w:rsidR="00540A02" w:rsidRPr="00540A02" w:rsidRDefault="00540A02" w:rsidP="00F14F82">
            <w:pPr>
              <w:jc w:val="both"/>
              <w:rPr>
                <w:rFonts w:ascii="Arial" w:hAnsi="Arial" w:cs="Arial"/>
                <w:color w:val="000000"/>
                <w:lang w:eastAsia="en-PH"/>
              </w:rPr>
            </w:pPr>
            <w:r w:rsidRPr="00540A02">
              <w:rPr>
                <w:rFonts w:ascii="Arial" w:hAnsi="Arial" w:cs="Arial"/>
                <w:color w:val="000000"/>
                <w:lang w:eastAsia="en-PH"/>
              </w:rPr>
              <w:t>Sex of HH Head</w:t>
            </w:r>
          </w:p>
        </w:tc>
        <w:tc>
          <w:tcPr>
            <w:tcW w:w="1114" w:type="pct"/>
            <w:noWrap/>
            <w:vAlign w:val="center"/>
            <w:hideMark/>
          </w:tcPr>
          <w:p w14:paraId="1FABDCC9" w14:textId="77777777" w:rsidR="00540A02" w:rsidRPr="00540A02" w:rsidRDefault="00540A02" w:rsidP="00F14F82">
            <w:pPr>
              <w:jc w:val="center"/>
              <w:rPr>
                <w:rFonts w:ascii="Arial" w:hAnsi="Arial" w:cs="Arial"/>
                <w:color w:val="000000"/>
                <w:lang w:eastAsia="en-PH"/>
              </w:rPr>
            </w:pPr>
            <w:r w:rsidRPr="00540A02">
              <w:rPr>
                <w:rFonts w:ascii="Arial" w:hAnsi="Arial" w:cs="Arial"/>
                <w:color w:val="000000"/>
                <w:lang w:eastAsia="en-PH"/>
              </w:rPr>
              <w:t>-0.9727304***</w:t>
            </w:r>
          </w:p>
        </w:tc>
        <w:tc>
          <w:tcPr>
            <w:tcW w:w="899" w:type="pct"/>
            <w:noWrap/>
            <w:vAlign w:val="center"/>
            <w:hideMark/>
          </w:tcPr>
          <w:p w14:paraId="1F41D221" w14:textId="77777777" w:rsidR="00540A02" w:rsidRPr="00540A02" w:rsidRDefault="00540A02" w:rsidP="00F14F82">
            <w:pPr>
              <w:jc w:val="center"/>
              <w:rPr>
                <w:rFonts w:ascii="Arial" w:hAnsi="Arial" w:cs="Arial"/>
                <w:color w:val="000000"/>
                <w:lang w:eastAsia="en-PH"/>
              </w:rPr>
            </w:pPr>
            <w:r w:rsidRPr="00540A02">
              <w:rPr>
                <w:rFonts w:ascii="Arial" w:hAnsi="Arial" w:cs="Arial"/>
                <w:color w:val="000000"/>
                <w:lang w:eastAsia="en-PH"/>
              </w:rPr>
              <w:t>0.0195698</w:t>
            </w:r>
          </w:p>
        </w:tc>
        <w:tc>
          <w:tcPr>
            <w:tcW w:w="649" w:type="pct"/>
            <w:noWrap/>
            <w:vAlign w:val="center"/>
            <w:hideMark/>
          </w:tcPr>
          <w:p w14:paraId="3B26FDED" w14:textId="77777777" w:rsidR="00540A02" w:rsidRPr="00540A02" w:rsidRDefault="00540A02" w:rsidP="00F14F82">
            <w:pPr>
              <w:jc w:val="center"/>
              <w:rPr>
                <w:rFonts w:ascii="Arial" w:hAnsi="Arial" w:cs="Arial"/>
                <w:color w:val="000000"/>
                <w:lang w:eastAsia="en-PH"/>
              </w:rPr>
            </w:pPr>
            <w:r w:rsidRPr="00540A02">
              <w:rPr>
                <w:rFonts w:ascii="Arial" w:hAnsi="Arial" w:cs="Arial"/>
                <w:color w:val="000000"/>
                <w:lang w:eastAsia="en-PH"/>
              </w:rPr>
              <w:t>-49.71</w:t>
            </w:r>
          </w:p>
        </w:tc>
      </w:tr>
      <w:tr w:rsidR="00540A02" w:rsidRPr="00540A02" w14:paraId="1CA8F8AE" w14:textId="77777777" w:rsidTr="00F14F82">
        <w:trPr>
          <w:trHeight w:val="192"/>
        </w:trPr>
        <w:tc>
          <w:tcPr>
            <w:tcW w:w="2338" w:type="pct"/>
            <w:noWrap/>
            <w:vAlign w:val="center"/>
            <w:hideMark/>
          </w:tcPr>
          <w:p w14:paraId="26104135" w14:textId="77777777" w:rsidR="00540A02" w:rsidRPr="00540A02" w:rsidRDefault="00540A02" w:rsidP="00F14F82">
            <w:pPr>
              <w:jc w:val="both"/>
              <w:rPr>
                <w:rFonts w:ascii="Arial" w:hAnsi="Arial" w:cs="Arial"/>
                <w:color w:val="000000"/>
                <w:lang w:eastAsia="en-PH"/>
              </w:rPr>
            </w:pPr>
            <w:r w:rsidRPr="00540A02">
              <w:rPr>
                <w:rFonts w:ascii="Arial" w:hAnsi="Arial" w:cs="Arial"/>
                <w:color w:val="000000"/>
                <w:lang w:eastAsia="en-PH"/>
              </w:rPr>
              <w:t>Age of HH Head</w:t>
            </w:r>
          </w:p>
        </w:tc>
        <w:tc>
          <w:tcPr>
            <w:tcW w:w="1114" w:type="pct"/>
            <w:noWrap/>
            <w:vAlign w:val="center"/>
            <w:hideMark/>
          </w:tcPr>
          <w:p w14:paraId="58A2580F" w14:textId="77777777" w:rsidR="00540A02" w:rsidRPr="00540A02" w:rsidRDefault="00540A02" w:rsidP="00F14F82">
            <w:pPr>
              <w:jc w:val="center"/>
              <w:rPr>
                <w:rFonts w:ascii="Arial" w:hAnsi="Arial" w:cs="Arial"/>
                <w:color w:val="000000"/>
                <w:lang w:eastAsia="en-PH"/>
              </w:rPr>
            </w:pPr>
            <w:r w:rsidRPr="00540A02">
              <w:rPr>
                <w:rFonts w:ascii="Arial" w:hAnsi="Arial" w:cs="Arial"/>
                <w:color w:val="000000"/>
                <w:lang w:eastAsia="en-PH"/>
              </w:rPr>
              <w:t>-0.0539204***</w:t>
            </w:r>
          </w:p>
        </w:tc>
        <w:tc>
          <w:tcPr>
            <w:tcW w:w="899" w:type="pct"/>
            <w:noWrap/>
            <w:vAlign w:val="center"/>
            <w:hideMark/>
          </w:tcPr>
          <w:p w14:paraId="67190E10" w14:textId="77777777" w:rsidR="00540A02" w:rsidRPr="00540A02" w:rsidRDefault="00540A02" w:rsidP="00F14F82">
            <w:pPr>
              <w:jc w:val="center"/>
              <w:rPr>
                <w:rFonts w:ascii="Arial" w:hAnsi="Arial" w:cs="Arial"/>
                <w:color w:val="000000"/>
                <w:lang w:eastAsia="en-PH"/>
              </w:rPr>
            </w:pPr>
            <w:r w:rsidRPr="00540A02">
              <w:rPr>
                <w:rFonts w:ascii="Arial" w:hAnsi="Arial" w:cs="Arial"/>
                <w:color w:val="000000"/>
                <w:lang w:eastAsia="en-PH"/>
              </w:rPr>
              <w:t>0.000653</w:t>
            </w:r>
          </w:p>
        </w:tc>
        <w:tc>
          <w:tcPr>
            <w:tcW w:w="649" w:type="pct"/>
            <w:noWrap/>
            <w:vAlign w:val="center"/>
            <w:hideMark/>
          </w:tcPr>
          <w:p w14:paraId="473D7B1E" w14:textId="77777777" w:rsidR="00540A02" w:rsidRPr="00540A02" w:rsidRDefault="00540A02" w:rsidP="00F14F82">
            <w:pPr>
              <w:jc w:val="center"/>
              <w:rPr>
                <w:rFonts w:ascii="Arial" w:hAnsi="Arial" w:cs="Arial"/>
                <w:color w:val="000000"/>
                <w:lang w:eastAsia="en-PH"/>
              </w:rPr>
            </w:pPr>
            <w:r w:rsidRPr="00540A02">
              <w:rPr>
                <w:rFonts w:ascii="Arial" w:hAnsi="Arial" w:cs="Arial"/>
                <w:color w:val="000000"/>
                <w:lang w:eastAsia="en-PH"/>
              </w:rPr>
              <w:t>-82.57</w:t>
            </w:r>
          </w:p>
        </w:tc>
      </w:tr>
      <w:tr w:rsidR="00540A02" w:rsidRPr="00540A02" w14:paraId="6EB279C8" w14:textId="77777777" w:rsidTr="00F14F82">
        <w:trPr>
          <w:trHeight w:val="192"/>
        </w:trPr>
        <w:tc>
          <w:tcPr>
            <w:tcW w:w="2338" w:type="pct"/>
            <w:noWrap/>
            <w:vAlign w:val="center"/>
            <w:hideMark/>
          </w:tcPr>
          <w:p w14:paraId="1958E954" w14:textId="77777777" w:rsidR="00540A02" w:rsidRPr="00540A02" w:rsidRDefault="00540A02" w:rsidP="00F14F82">
            <w:pPr>
              <w:jc w:val="both"/>
              <w:rPr>
                <w:rFonts w:ascii="Arial" w:hAnsi="Arial" w:cs="Arial"/>
                <w:color w:val="000000"/>
                <w:lang w:eastAsia="en-PH"/>
              </w:rPr>
            </w:pPr>
            <w:r w:rsidRPr="00540A02">
              <w:rPr>
                <w:rFonts w:ascii="Arial" w:hAnsi="Arial" w:cs="Arial"/>
                <w:color w:val="000000"/>
                <w:lang w:eastAsia="en-PH"/>
              </w:rPr>
              <w:t>Marital Status of HH Head</w:t>
            </w:r>
          </w:p>
        </w:tc>
        <w:tc>
          <w:tcPr>
            <w:tcW w:w="1114" w:type="pct"/>
            <w:noWrap/>
            <w:vAlign w:val="center"/>
            <w:hideMark/>
          </w:tcPr>
          <w:p w14:paraId="02FC0540" w14:textId="77777777" w:rsidR="00540A02" w:rsidRPr="00540A02" w:rsidRDefault="00540A02" w:rsidP="00F14F82">
            <w:pPr>
              <w:jc w:val="center"/>
              <w:rPr>
                <w:rFonts w:ascii="Arial" w:hAnsi="Arial" w:cs="Arial"/>
                <w:color w:val="000000"/>
                <w:lang w:eastAsia="en-PH"/>
              </w:rPr>
            </w:pPr>
            <w:r w:rsidRPr="00540A02">
              <w:rPr>
                <w:rFonts w:ascii="Arial" w:hAnsi="Arial" w:cs="Arial"/>
                <w:color w:val="000000"/>
                <w:lang w:eastAsia="en-PH"/>
              </w:rPr>
              <w:t>0.1554935***</w:t>
            </w:r>
          </w:p>
        </w:tc>
        <w:tc>
          <w:tcPr>
            <w:tcW w:w="899" w:type="pct"/>
            <w:noWrap/>
            <w:vAlign w:val="center"/>
            <w:hideMark/>
          </w:tcPr>
          <w:p w14:paraId="1962118A" w14:textId="77777777" w:rsidR="00540A02" w:rsidRPr="00540A02" w:rsidRDefault="00540A02" w:rsidP="00F14F82">
            <w:pPr>
              <w:jc w:val="center"/>
              <w:rPr>
                <w:rFonts w:ascii="Arial" w:hAnsi="Arial" w:cs="Arial"/>
                <w:color w:val="000000"/>
                <w:lang w:eastAsia="en-PH"/>
              </w:rPr>
            </w:pPr>
            <w:r w:rsidRPr="00540A02">
              <w:rPr>
                <w:rFonts w:ascii="Arial" w:hAnsi="Arial" w:cs="Arial"/>
                <w:color w:val="000000"/>
                <w:lang w:eastAsia="en-PH"/>
              </w:rPr>
              <w:t>0.0151697</w:t>
            </w:r>
          </w:p>
        </w:tc>
        <w:tc>
          <w:tcPr>
            <w:tcW w:w="649" w:type="pct"/>
            <w:noWrap/>
            <w:vAlign w:val="center"/>
            <w:hideMark/>
          </w:tcPr>
          <w:p w14:paraId="624791D5" w14:textId="77777777" w:rsidR="00540A02" w:rsidRPr="00540A02" w:rsidRDefault="00540A02" w:rsidP="00F14F82">
            <w:pPr>
              <w:jc w:val="center"/>
              <w:rPr>
                <w:rFonts w:ascii="Arial" w:hAnsi="Arial" w:cs="Arial"/>
                <w:color w:val="000000"/>
                <w:lang w:eastAsia="en-PH"/>
              </w:rPr>
            </w:pPr>
            <w:r w:rsidRPr="00540A02">
              <w:rPr>
                <w:rFonts w:ascii="Arial" w:hAnsi="Arial" w:cs="Arial"/>
                <w:color w:val="000000"/>
                <w:lang w:eastAsia="en-PH"/>
              </w:rPr>
              <w:t>10.25</w:t>
            </w:r>
          </w:p>
        </w:tc>
      </w:tr>
      <w:tr w:rsidR="00540A02" w:rsidRPr="00540A02" w14:paraId="522588AD" w14:textId="77777777" w:rsidTr="00F14F82">
        <w:trPr>
          <w:trHeight w:val="192"/>
        </w:trPr>
        <w:tc>
          <w:tcPr>
            <w:tcW w:w="2338" w:type="pct"/>
            <w:noWrap/>
            <w:vAlign w:val="center"/>
            <w:hideMark/>
          </w:tcPr>
          <w:p w14:paraId="4FF6F2F4" w14:textId="77777777" w:rsidR="00540A02" w:rsidRPr="00540A02" w:rsidRDefault="00540A02" w:rsidP="00F14F82">
            <w:pPr>
              <w:jc w:val="both"/>
              <w:rPr>
                <w:rFonts w:ascii="Arial" w:hAnsi="Arial" w:cs="Arial"/>
                <w:color w:val="000000"/>
                <w:lang w:eastAsia="en-PH"/>
              </w:rPr>
            </w:pPr>
            <w:r w:rsidRPr="00540A02">
              <w:rPr>
                <w:rFonts w:ascii="Arial" w:hAnsi="Arial" w:cs="Arial"/>
                <w:color w:val="000000"/>
                <w:lang w:eastAsia="en-PH"/>
              </w:rPr>
              <w:t>Education</w:t>
            </w:r>
          </w:p>
        </w:tc>
        <w:tc>
          <w:tcPr>
            <w:tcW w:w="1114" w:type="pct"/>
            <w:noWrap/>
            <w:vAlign w:val="center"/>
            <w:hideMark/>
          </w:tcPr>
          <w:p w14:paraId="4FD359E0" w14:textId="77777777" w:rsidR="00540A02" w:rsidRPr="00540A02" w:rsidRDefault="00540A02" w:rsidP="00F14F82">
            <w:pPr>
              <w:jc w:val="center"/>
              <w:rPr>
                <w:rFonts w:ascii="Arial" w:hAnsi="Arial" w:cs="Arial"/>
                <w:color w:val="000000"/>
                <w:lang w:eastAsia="en-PH"/>
              </w:rPr>
            </w:pPr>
            <w:r w:rsidRPr="00540A02">
              <w:rPr>
                <w:rFonts w:ascii="Arial" w:hAnsi="Arial" w:cs="Arial"/>
                <w:color w:val="000000"/>
                <w:lang w:eastAsia="en-PH"/>
              </w:rPr>
              <w:t>-0.0216841***</w:t>
            </w:r>
          </w:p>
        </w:tc>
        <w:tc>
          <w:tcPr>
            <w:tcW w:w="899" w:type="pct"/>
            <w:noWrap/>
            <w:vAlign w:val="center"/>
            <w:hideMark/>
          </w:tcPr>
          <w:p w14:paraId="7A2BBB0A" w14:textId="77777777" w:rsidR="00540A02" w:rsidRPr="00540A02" w:rsidRDefault="00540A02" w:rsidP="00F14F82">
            <w:pPr>
              <w:jc w:val="center"/>
              <w:rPr>
                <w:rFonts w:ascii="Arial" w:hAnsi="Arial" w:cs="Arial"/>
                <w:color w:val="000000"/>
                <w:lang w:eastAsia="en-PH"/>
              </w:rPr>
            </w:pPr>
            <w:r w:rsidRPr="00540A02">
              <w:rPr>
                <w:rFonts w:ascii="Arial" w:hAnsi="Arial" w:cs="Arial"/>
                <w:color w:val="000000"/>
                <w:lang w:eastAsia="en-PH"/>
              </w:rPr>
              <w:t>0.0027033</w:t>
            </w:r>
          </w:p>
        </w:tc>
        <w:tc>
          <w:tcPr>
            <w:tcW w:w="649" w:type="pct"/>
            <w:noWrap/>
            <w:vAlign w:val="center"/>
            <w:hideMark/>
          </w:tcPr>
          <w:p w14:paraId="7AB37893" w14:textId="77777777" w:rsidR="00540A02" w:rsidRPr="00540A02" w:rsidRDefault="00540A02" w:rsidP="00F14F82">
            <w:pPr>
              <w:jc w:val="center"/>
              <w:rPr>
                <w:rFonts w:ascii="Arial" w:hAnsi="Arial" w:cs="Arial"/>
                <w:color w:val="000000"/>
                <w:lang w:eastAsia="en-PH"/>
              </w:rPr>
            </w:pPr>
            <w:r w:rsidRPr="00540A02">
              <w:rPr>
                <w:rFonts w:ascii="Arial" w:hAnsi="Arial" w:cs="Arial"/>
                <w:color w:val="000000"/>
                <w:lang w:eastAsia="en-PH"/>
              </w:rPr>
              <w:t>-8.02</w:t>
            </w:r>
          </w:p>
        </w:tc>
      </w:tr>
      <w:tr w:rsidR="00540A02" w:rsidRPr="00540A02" w14:paraId="5E25697F" w14:textId="77777777" w:rsidTr="00F14F82">
        <w:trPr>
          <w:trHeight w:val="201"/>
        </w:trPr>
        <w:tc>
          <w:tcPr>
            <w:tcW w:w="2338" w:type="pct"/>
            <w:tcBorders>
              <w:bottom w:val="single" w:sz="12" w:space="0" w:color="000000"/>
            </w:tcBorders>
            <w:noWrap/>
            <w:vAlign w:val="center"/>
            <w:hideMark/>
          </w:tcPr>
          <w:p w14:paraId="04F936A2" w14:textId="77777777" w:rsidR="00540A02" w:rsidRPr="00540A02" w:rsidRDefault="00540A02" w:rsidP="00F14F82">
            <w:pPr>
              <w:jc w:val="both"/>
              <w:rPr>
                <w:rFonts w:ascii="Arial" w:hAnsi="Arial" w:cs="Arial"/>
                <w:color w:val="000000"/>
                <w:lang w:eastAsia="en-PH"/>
              </w:rPr>
            </w:pPr>
            <w:r w:rsidRPr="00540A02">
              <w:rPr>
                <w:rFonts w:ascii="Arial" w:hAnsi="Arial" w:cs="Arial"/>
                <w:color w:val="000000"/>
                <w:lang w:eastAsia="en-PH"/>
              </w:rPr>
              <w:t>Constant</w:t>
            </w:r>
          </w:p>
        </w:tc>
        <w:tc>
          <w:tcPr>
            <w:tcW w:w="1114" w:type="pct"/>
            <w:tcBorders>
              <w:bottom w:val="single" w:sz="12" w:space="0" w:color="000000"/>
            </w:tcBorders>
            <w:noWrap/>
            <w:vAlign w:val="center"/>
            <w:hideMark/>
          </w:tcPr>
          <w:p w14:paraId="67B199E6" w14:textId="77777777" w:rsidR="00540A02" w:rsidRPr="00540A02" w:rsidRDefault="00540A02" w:rsidP="00F14F82">
            <w:pPr>
              <w:jc w:val="center"/>
              <w:rPr>
                <w:rFonts w:ascii="Arial" w:hAnsi="Arial" w:cs="Arial"/>
                <w:color w:val="000000"/>
                <w:lang w:eastAsia="en-PH"/>
              </w:rPr>
            </w:pPr>
            <w:r w:rsidRPr="00540A02">
              <w:rPr>
                <w:rFonts w:ascii="Arial" w:hAnsi="Arial" w:cs="Arial"/>
                <w:color w:val="000000"/>
                <w:lang w:eastAsia="en-PH"/>
              </w:rPr>
              <w:t>2.978808***</w:t>
            </w:r>
          </w:p>
        </w:tc>
        <w:tc>
          <w:tcPr>
            <w:tcW w:w="899" w:type="pct"/>
            <w:tcBorders>
              <w:bottom w:val="single" w:sz="12" w:space="0" w:color="000000"/>
            </w:tcBorders>
            <w:noWrap/>
            <w:vAlign w:val="center"/>
            <w:hideMark/>
          </w:tcPr>
          <w:p w14:paraId="2369FD79" w14:textId="77777777" w:rsidR="00540A02" w:rsidRPr="00540A02" w:rsidRDefault="00540A02" w:rsidP="00F14F82">
            <w:pPr>
              <w:jc w:val="center"/>
              <w:rPr>
                <w:rFonts w:ascii="Arial" w:hAnsi="Arial" w:cs="Arial"/>
                <w:color w:val="000000"/>
                <w:lang w:eastAsia="en-PH"/>
              </w:rPr>
            </w:pPr>
            <w:r w:rsidRPr="00540A02">
              <w:rPr>
                <w:rFonts w:ascii="Arial" w:hAnsi="Arial" w:cs="Arial"/>
                <w:color w:val="000000"/>
                <w:lang w:eastAsia="en-PH"/>
              </w:rPr>
              <w:t>0.05735</w:t>
            </w:r>
          </w:p>
        </w:tc>
        <w:tc>
          <w:tcPr>
            <w:tcW w:w="649" w:type="pct"/>
            <w:tcBorders>
              <w:bottom w:val="single" w:sz="12" w:space="0" w:color="000000"/>
            </w:tcBorders>
            <w:noWrap/>
            <w:vAlign w:val="center"/>
            <w:hideMark/>
          </w:tcPr>
          <w:p w14:paraId="342DDA88" w14:textId="77777777" w:rsidR="00540A02" w:rsidRPr="00540A02" w:rsidRDefault="00540A02" w:rsidP="00F14F82">
            <w:pPr>
              <w:jc w:val="center"/>
              <w:rPr>
                <w:rFonts w:ascii="Arial" w:hAnsi="Arial" w:cs="Arial"/>
                <w:color w:val="000000"/>
                <w:lang w:eastAsia="en-PH"/>
              </w:rPr>
            </w:pPr>
            <w:r w:rsidRPr="00540A02">
              <w:rPr>
                <w:rFonts w:ascii="Arial" w:hAnsi="Arial" w:cs="Arial"/>
                <w:color w:val="000000"/>
                <w:lang w:eastAsia="en-PH"/>
              </w:rPr>
              <w:t>51.94</w:t>
            </w:r>
          </w:p>
        </w:tc>
      </w:tr>
      <w:tr w:rsidR="00540A02" w:rsidRPr="00540A02" w14:paraId="161F27CF" w14:textId="77777777" w:rsidTr="00F14F82">
        <w:trPr>
          <w:trHeight w:val="192"/>
        </w:trPr>
        <w:tc>
          <w:tcPr>
            <w:tcW w:w="5000" w:type="pct"/>
            <w:gridSpan w:val="4"/>
            <w:tcBorders>
              <w:top w:val="single" w:sz="12" w:space="0" w:color="000000"/>
              <w:bottom w:val="single" w:sz="12" w:space="0" w:color="000000"/>
            </w:tcBorders>
            <w:noWrap/>
            <w:vAlign w:val="center"/>
            <w:hideMark/>
          </w:tcPr>
          <w:p w14:paraId="6818EE79" w14:textId="77777777" w:rsidR="000929F8" w:rsidRDefault="000929F8" w:rsidP="00F14F82">
            <w:pPr>
              <w:rPr>
                <w:rFonts w:ascii="Arial" w:hAnsi="Arial" w:cs="Arial"/>
                <w:b/>
                <w:bCs/>
                <w:color w:val="000000"/>
                <w:lang w:eastAsia="en-PH"/>
              </w:rPr>
            </w:pPr>
          </w:p>
          <w:p w14:paraId="5C4D2206" w14:textId="7576C2B7" w:rsidR="00540A02" w:rsidRPr="00540A02" w:rsidRDefault="00540A02" w:rsidP="00F14F82">
            <w:pPr>
              <w:rPr>
                <w:rFonts w:ascii="Arial" w:hAnsi="Arial" w:cs="Arial"/>
                <w:color w:val="000000"/>
                <w:lang w:eastAsia="en-PH"/>
              </w:rPr>
            </w:pPr>
            <w:r w:rsidRPr="00540A02">
              <w:rPr>
                <w:rFonts w:ascii="Arial" w:hAnsi="Arial" w:cs="Arial"/>
                <w:b/>
                <w:bCs/>
                <w:color w:val="000000"/>
                <w:lang w:eastAsia="en-PH"/>
              </w:rPr>
              <w:lastRenderedPageBreak/>
              <w:t>3-      Entrepreneurial Rice Farming</w:t>
            </w:r>
          </w:p>
        </w:tc>
      </w:tr>
      <w:tr w:rsidR="00540A02" w:rsidRPr="00540A02" w14:paraId="2D28CE6C" w14:textId="77777777" w:rsidTr="00F14F82">
        <w:trPr>
          <w:trHeight w:val="192"/>
        </w:trPr>
        <w:tc>
          <w:tcPr>
            <w:tcW w:w="2338" w:type="pct"/>
            <w:tcBorders>
              <w:top w:val="single" w:sz="12" w:space="0" w:color="000000"/>
            </w:tcBorders>
            <w:noWrap/>
            <w:vAlign w:val="center"/>
            <w:hideMark/>
          </w:tcPr>
          <w:p w14:paraId="4446EBB1" w14:textId="77777777" w:rsidR="00540A02" w:rsidRPr="00540A02" w:rsidRDefault="00540A02" w:rsidP="00F14F82">
            <w:pPr>
              <w:jc w:val="both"/>
              <w:rPr>
                <w:rFonts w:ascii="Arial" w:hAnsi="Arial" w:cs="Arial"/>
                <w:color w:val="000000"/>
                <w:lang w:eastAsia="en-PH"/>
              </w:rPr>
            </w:pPr>
            <w:r w:rsidRPr="00540A02">
              <w:rPr>
                <w:rFonts w:ascii="Arial" w:hAnsi="Arial" w:cs="Arial"/>
                <w:color w:val="000000"/>
                <w:lang w:eastAsia="en-PH"/>
              </w:rPr>
              <w:lastRenderedPageBreak/>
              <w:t>Net Income</w:t>
            </w:r>
          </w:p>
        </w:tc>
        <w:tc>
          <w:tcPr>
            <w:tcW w:w="1114" w:type="pct"/>
            <w:tcBorders>
              <w:top w:val="single" w:sz="12" w:space="0" w:color="000000"/>
            </w:tcBorders>
            <w:noWrap/>
            <w:vAlign w:val="center"/>
            <w:hideMark/>
          </w:tcPr>
          <w:p w14:paraId="6FCCC7AE" w14:textId="77777777" w:rsidR="00540A02" w:rsidRPr="00540A02" w:rsidRDefault="00540A02" w:rsidP="00F14F82">
            <w:pPr>
              <w:jc w:val="center"/>
              <w:rPr>
                <w:rFonts w:ascii="Arial" w:hAnsi="Arial" w:cs="Arial"/>
                <w:color w:val="000000"/>
                <w:lang w:eastAsia="en-PH"/>
              </w:rPr>
            </w:pPr>
            <w:r w:rsidRPr="00540A02">
              <w:rPr>
                <w:rFonts w:ascii="Arial" w:hAnsi="Arial" w:cs="Arial"/>
                <w:color w:val="000000"/>
                <w:lang w:eastAsia="en-PH"/>
              </w:rPr>
              <w:t>0***</w:t>
            </w:r>
          </w:p>
        </w:tc>
        <w:tc>
          <w:tcPr>
            <w:tcW w:w="899" w:type="pct"/>
            <w:tcBorders>
              <w:top w:val="single" w:sz="12" w:space="0" w:color="000000"/>
            </w:tcBorders>
            <w:noWrap/>
            <w:vAlign w:val="center"/>
            <w:hideMark/>
          </w:tcPr>
          <w:p w14:paraId="1E154B02" w14:textId="77777777" w:rsidR="00540A02" w:rsidRPr="00540A02" w:rsidRDefault="00540A02" w:rsidP="00F14F82">
            <w:pPr>
              <w:jc w:val="center"/>
              <w:rPr>
                <w:rFonts w:ascii="Arial" w:hAnsi="Arial" w:cs="Arial"/>
                <w:color w:val="000000"/>
                <w:lang w:eastAsia="en-PH"/>
              </w:rPr>
            </w:pPr>
            <w:r w:rsidRPr="00540A02">
              <w:rPr>
                <w:rFonts w:ascii="Arial" w:hAnsi="Arial" w:cs="Arial"/>
                <w:color w:val="000000"/>
                <w:lang w:eastAsia="en-PH"/>
              </w:rPr>
              <w:t>0</w:t>
            </w:r>
          </w:p>
        </w:tc>
        <w:tc>
          <w:tcPr>
            <w:tcW w:w="649" w:type="pct"/>
            <w:tcBorders>
              <w:top w:val="single" w:sz="12" w:space="0" w:color="000000"/>
            </w:tcBorders>
            <w:noWrap/>
            <w:vAlign w:val="center"/>
            <w:hideMark/>
          </w:tcPr>
          <w:p w14:paraId="31EB5BAD" w14:textId="77777777" w:rsidR="00540A02" w:rsidRPr="00540A02" w:rsidRDefault="00540A02" w:rsidP="00F14F82">
            <w:pPr>
              <w:jc w:val="center"/>
              <w:rPr>
                <w:rFonts w:ascii="Arial" w:hAnsi="Arial" w:cs="Arial"/>
                <w:color w:val="000000"/>
                <w:lang w:eastAsia="en-PH"/>
              </w:rPr>
            </w:pPr>
            <w:r w:rsidRPr="00540A02">
              <w:rPr>
                <w:rFonts w:ascii="Arial" w:hAnsi="Arial" w:cs="Arial"/>
                <w:color w:val="000000"/>
                <w:lang w:eastAsia="en-PH"/>
              </w:rPr>
              <w:t>35.78</w:t>
            </w:r>
          </w:p>
        </w:tc>
      </w:tr>
      <w:tr w:rsidR="00540A02" w:rsidRPr="00540A02" w14:paraId="27F7AF05" w14:textId="77777777" w:rsidTr="00F14F82">
        <w:trPr>
          <w:trHeight w:val="66"/>
        </w:trPr>
        <w:tc>
          <w:tcPr>
            <w:tcW w:w="2338" w:type="pct"/>
            <w:noWrap/>
            <w:vAlign w:val="center"/>
            <w:hideMark/>
          </w:tcPr>
          <w:p w14:paraId="1183BF28" w14:textId="77777777" w:rsidR="00540A02" w:rsidRPr="00540A02" w:rsidRDefault="00540A02" w:rsidP="00F14F82">
            <w:pPr>
              <w:jc w:val="both"/>
              <w:rPr>
                <w:rFonts w:ascii="Arial" w:hAnsi="Arial" w:cs="Arial"/>
                <w:color w:val="000000"/>
                <w:lang w:eastAsia="en-PH"/>
              </w:rPr>
            </w:pPr>
            <w:r w:rsidRPr="00540A02">
              <w:rPr>
                <w:rFonts w:ascii="Arial" w:hAnsi="Arial" w:cs="Arial"/>
                <w:color w:val="000000"/>
                <w:lang w:eastAsia="en-PH"/>
              </w:rPr>
              <w:t>Region</w:t>
            </w:r>
          </w:p>
        </w:tc>
        <w:tc>
          <w:tcPr>
            <w:tcW w:w="1114" w:type="pct"/>
            <w:noWrap/>
            <w:vAlign w:val="center"/>
            <w:hideMark/>
          </w:tcPr>
          <w:p w14:paraId="064924AC" w14:textId="77777777" w:rsidR="00540A02" w:rsidRPr="00540A02" w:rsidRDefault="00540A02" w:rsidP="00F14F82">
            <w:pPr>
              <w:jc w:val="center"/>
              <w:rPr>
                <w:rFonts w:ascii="Arial" w:hAnsi="Arial" w:cs="Arial"/>
                <w:color w:val="000000"/>
                <w:lang w:eastAsia="en-PH"/>
              </w:rPr>
            </w:pPr>
            <w:r w:rsidRPr="00540A02">
              <w:rPr>
                <w:rFonts w:ascii="Arial" w:hAnsi="Arial" w:cs="Arial"/>
                <w:color w:val="000000"/>
                <w:lang w:eastAsia="en-PH"/>
              </w:rPr>
              <w:t>-0.0309162***</w:t>
            </w:r>
          </w:p>
        </w:tc>
        <w:tc>
          <w:tcPr>
            <w:tcW w:w="899" w:type="pct"/>
            <w:noWrap/>
            <w:vAlign w:val="center"/>
            <w:hideMark/>
          </w:tcPr>
          <w:p w14:paraId="3F10845F" w14:textId="77777777" w:rsidR="00540A02" w:rsidRPr="00540A02" w:rsidRDefault="00540A02" w:rsidP="00F14F82">
            <w:pPr>
              <w:jc w:val="center"/>
              <w:rPr>
                <w:rFonts w:ascii="Arial" w:hAnsi="Arial" w:cs="Arial"/>
                <w:color w:val="000000"/>
                <w:lang w:eastAsia="en-PH"/>
              </w:rPr>
            </w:pPr>
            <w:r w:rsidRPr="00540A02">
              <w:rPr>
                <w:rFonts w:ascii="Arial" w:hAnsi="Arial" w:cs="Arial"/>
                <w:color w:val="000000"/>
                <w:lang w:eastAsia="en-PH"/>
              </w:rPr>
              <w:t>0.0030446</w:t>
            </w:r>
          </w:p>
        </w:tc>
        <w:tc>
          <w:tcPr>
            <w:tcW w:w="649" w:type="pct"/>
            <w:noWrap/>
            <w:vAlign w:val="center"/>
            <w:hideMark/>
          </w:tcPr>
          <w:p w14:paraId="77B2F897" w14:textId="77777777" w:rsidR="00540A02" w:rsidRPr="00540A02" w:rsidRDefault="00540A02" w:rsidP="00F14F82">
            <w:pPr>
              <w:jc w:val="center"/>
              <w:rPr>
                <w:rFonts w:ascii="Arial" w:hAnsi="Arial" w:cs="Arial"/>
                <w:color w:val="000000"/>
                <w:lang w:eastAsia="en-PH"/>
              </w:rPr>
            </w:pPr>
            <w:r w:rsidRPr="00540A02">
              <w:rPr>
                <w:rFonts w:ascii="Arial" w:hAnsi="Arial" w:cs="Arial"/>
                <w:color w:val="000000"/>
                <w:lang w:eastAsia="en-PH"/>
              </w:rPr>
              <w:t>-10.15</w:t>
            </w:r>
          </w:p>
        </w:tc>
      </w:tr>
      <w:tr w:rsidR="00540A02" w:rsidRPr="00540A02" w14:paraId="01E51DCD" w14:textId="77777777" w:rsidTr="00F14F82">
        <w:trPr>
          <w:trHeight w:val="192"/>
        </w:trPr>
        <w:tc>
          <w:tcPr>
            <w:tcW w:w="2338" w:type="pct"/>
            <w:noWrap/>
            <w:vAlign w:val="center"/>
            <w:hideMark/>
          </w:tcPr>
          <w:p w14:paraId="64021786" w14:textId="77777777" w:rsidR="00540A02" w:rsidRPr="00540A02" w:rsidRDefault="00540A02" w:rsidP="00F14F82">
            <w:pPr>
              <w:jc w:val="both"/>
              <w:rPr>
                <w:rFonts w:ascii="Arial" w:hAnsi="Arial" w:cs="Arial"/>
                <w:color w:val="000000"/>
                <w:lang w:eastAsia="en-PH"/>
              </w:rPr>
            </w:pPr>
            <w:r w:rsidRPr="00540A02">
              <w:rPr>
                <w:rFonts w:ascii="Arial" w:hAnsi="Arial" w:cs="Arial"/>
                <w:color w:val="000000"/>
                <w:lang w:eastAsia="en-PH"/>
              </w:rPr>
              <w:t>Urbanization</w:t>
            </w:r>
          </w:p>
        </w:tc>
        <w:tc>
          <w:tcPr>
            <w:tcW w:w="1114" w:type="pct"/>
            <w:noWrap/>
            <w:vAlign w:val="center"/>
            <w:hideMark/>
          </w:tcPr>
          <w:p w14:paraId="3F4D5F2C" w14:textId="77777777" w:rsidR="00540A02" w:rsidRPr="00540A02" w:rsidRDefault="00540A02" w:rsidP="00F14F82">
            <w:pPr>
              <w:jc w:val="center"/>
              <w:rPr>
                <w:rFonts w:ascii="Arial" w:hAnsi="Arial" w:cs="Arial"/>
                <w:color w:val="000000"/>
                <w:lang w:eastAsia="en-PH"/>
              </w:rPr>
            </w:pPr>
            <w:r w:rsidRPr="00540A02">
              <w:rPr>
                <w:rFonts w:ascii="Arial" w:hAnsi="Arial" w:cs="Arial"/>
                <w:color w:val="000000"/>
                <w:lang w:eastAsia="en-PH"/>
              </w:rPr>
              <w:t>0.7737009***</w:t>
            </w:r>
          </w:p>
        </w:tc>
        <w:tc>
          <w:tcPr>
            <w:tcW w:w="899" w:type="pct"/>
            <w:noWrap/>
            <w:vAlign w:val="center"/>
            <w:hideMark/>
          </w:tcPr>
          <w:p w14:paraId="1648FF9E" w14:textId="77777777" w:rsidR="00540A02" w:rsidRPr="00540A02" w:rsidRDefault="00540A02" w:rsidP="00F14F82">
            <w:pPr>
              <w:jc w:val="center"/>
              <w:rPr>
                <w:rFonts w:ascii="Arial" w:hAnsi="Arial" w:cs="Arial"/>
                <w:color w:val="000000"/>
                <w:lang w:eastAsia="en-PH"/>
              </w:rPr>
            </w:pPr>
            <w:r w:rsidRPr="00540A02">
              <w:rPr>
                <w:rFonts w:ascii="Arial" w:hAnsi="Arial" w:cs="Arial"/>
                <w:color w:val="000000"/>
                <w:lang w:eastAsia="en-PH"/>
              </w:rPr>
              <w:t>0.0320249</w:t>
            </w:r>
          </w:p>
        </w:tc>
        <w:tc>
          <w:tcPr>
            <w:tcW w:w="649" w:type="pct"/>
            <w:noWrap/>
            <w:vAlign w:val="center"/>
            <w:hideMark/>
          </w:tcPr>
          <w:p w14:paraId="098301B4" w14:textId="77777777" w:rsidR="00540A02" w:rsidRPr="00540A02" w:rsidRDefault="00540A02" w:rsidP="00F14F82">
            <w:pPr>
              <w:jc w:val="center"/>
              <w:rPr>
                <w:rFonts w:ascii="Arial" w:hAnsi="Arial" w:cs="Arial"/>
                <w:color w:val="000000"/>
                <w:lang w:eastAsia="en-PH"/>
              </w:rPr>
            </w:pPr>
            <w:r w:rsidRPr="00540A02">
              <w:rPr>
                <w:rFonts w:ascii="Arial" w:hAnsi="Arial" w:cs="Arial"/>
                <w:color w:val="000000"/>
                <w:lang w:eastAsia="en-PH"/>
              </w:rPr>
              <w:t>24.16</w:t>
            </w:r>
          </w:p>
        </w:tc>
      </w:tr>
      <w:tr w:rsidR="00540A02" w:rsidRPr="00540A02" w14:paraId="5D3BA113" w14:textId="77777777" w:rsidTr="00F14F82">
        <w:trPr>
          <w:trHeight w:val="192"/>
        </w:trPr>
        <w:tc>
          <w:tcPr>
            <w:tcW w:w="2338" w:type="pct"/>
            <w:noWrap/>
            <w:vAlign w:val="center"/>
            <w:hideMark/>
          </w:tcPr>
          <w:p w14:paraId="4DB4F8EB" w14:textId="77777777" w:rsidR="00540A02" w:rsidRPr="00540A02" w:rsidRDefault="00540A02" w:rsidP="00F14F82">
            <w:pPr>
              <w:jc w:val="both"/>
              <w:rPr>
                <w:rFonts w:ascii="Arial" w:hAnsi="Arial" w:cs="Arial"/>
                <w:color w:val="000000"/>
                <w:lang w:eastAsia="en-PH"/>
              </w:rPr>
            </w:pPr>
            <w:r w:rsidRPr="00540A02">
              <w:rPr>
                <w:rFonts w:ascii="Arial" w:hAnsi="Arial" w:cs="Arial"/>
                <w:color w:val="000000"/>
                <w:lang w:eastAsia="en-PH"/>
              </w:rPr>
              <w:t>No. Children</w:t>
            </w:r>
          </w:p>
        </w:tc>
        <w:tc>
          <w:tcPr>
            <w:tcW w:w="1114" w:type="pct"/>
            <w:noWrap/>
            <w:vAlign w:val="center"/>
            <w:hideMark/>
          </w:tcPr>
          <w:p w14:paraId="32BE3919" w14:textId="77777777" w:rsidR="00540A02" w:rsidRPr="00540A02" w:rsidRDefault="00540A02" w:rsidP="00F14F82">
            <w:pPr>
              <w:jc w:val="center"/>
              <w:rPr>
                <w:rFonts w:ascii="Arial" w:hAnsi="Arial" w:cs="Arial"/>
                <w:color w:val="000000"/>
                <w:lang w:eastAsia="en-PH"/>
              </w:rPr>
            </w:pPr>
            <w:r w:rsidRPr="00540A02">
              <w:rPr>
                <w:rFonts w:ascii="Arial" w:hAnsi="Arial" w:cs="Arial"/>
                <w:color w:val="000000"/>
                <w:lang w:eastAsia="en-PH"/>
              </w:rPr>
              <w:t>-0.0331958***</w:t>
            </w:r>
          </w:p>
        </w:tc>
        <w:tc>
          <w:tcPr>
            <w:tcW w:w="899" w:type="pct"/>
            <w:noWrap/>
            <w:vAlign w:val="center"/>
            <w:hideMark/>
          </w:tcPr>
          <w:p w14:paraId="46A149E0" w14:textId="77777777" w:rsidR="00540A02" w:rsidRPr="00540A02" w:rsidRDefault="00540A02" w:rsidP="00F14F82">
            <w:pPr>
              <w:jc w:val="center"/>
              <w:rPr>
                <w:rFonts w:ascii="Arial" w:hAnsi="Arial" w:cs="Arial"/>
                <w:color w:val="000000"/>
                <w:lang w:eastAsia="en-PH"/>
              </w:rPr>
            </w:pPr>
            <w:r w:rsidRPr="00540A02">
              <w:rPr>
                <w:rFonts w:ascii="Arial" w:hAnsi="Arial" w:cs="Arial"/>
                <w:color w:val="000000"/>
                <w:lang w:eastAsia="en-PH"/>
              </w:rPr>
              <w:t>0.0100385</w:t>
            </w:r>
          </w:p>
        </w:tc>
        <w:tc>
          <w:tcPr>
            <w:tcW w:w="649" w:type="pct"/>
            <w:noWrap/>
            <w:vAlign w:val="center"/>
            <w:hideMark/>
          </w:tcPr>
          <w:p w14:paraId="349BEF64" w14:textId="77777777" w:rsidR="00540A02" w:rsidRPr="00540A02" w:rsidRDefault="00540A02" w:rsidP="00F14F82">
            <w:pPr>
              <w:jc w:val="center"/>
              <w:rPr>
                <w:rFonts w:ascii="Arial" w:hAnsi="Arial" w:cs="Arial"/>
                <w:color w:val="000000"/>
                <w:lang w:eastAsia="en-PH"/>
              </w:rPr>
            </w:pPr>
            <w:r w:rsidRPr="00540A02">
              <w:rPr>
                <w:rFonts w:ascii="Arial" w:hAnsi="Arial" w:cs="Arial"/>
                <w:color w:val="000000"/>
                <w:lang w:eastAsia="en-PH"/>
              </w:rPr>
              <w:t>-3.31</w:t>
            </w:r>
          </w:p>
        </w:tc>
      </w:tr>
      <w:tr w:rsidR="00540A02" w:rsidRPr="00540A02" w14:paraId="58E8EBEB" w14:textId="77777777" w:rsidTr="00F14F82">
        <w:trPr>
          <w:trHeight w:val="192"/>
        </w:trPr>
        <w:tc>
          <w:tcPr>
            <w:tcW w:w="2338" w:type="pct"/>
            <w:noWrap/>
            <w:vAlign w:val="center"/>
            <w:hideMark/>
          </w:tcPr>
          <w:p w14:paraId="539F3642" w14:textId="77777777" w:rsidR="00540A02" w:rsidRPr="00540A02" w:rsidRDefault="00540A02" w:rsidP="00F14F82">
            <w:pPr>
              <w:jc w:val="both"/>
              <w:rPr>
                <w:rFonts w:ascii="Arial" w:hAnsi="Arial" w:cs="Arial"/>
                <w:color w:val="000000"/>
                <w:lang w:eastAsia="en-PH"/>
              </w:rPr>
            </w:pPr>
            <w:r w:rsidRPr="00540A02">
              <w:rPr>
                <w:rFonts w:ascii="Arial" w:hAnsi="Arial" w:cs="Arial"/>
                <w:color w:val="000000"/>
                <w:lang w:eastAsia="en-PH"/>
              </w:rPr>
              <w:t>Sex of HH Head</w:t>
            </w:r>
          </w:p>
        </w:tc>
        <w:tc>
          <w:tcPr>
            <w:tcW w:w="1114" w:type="pct"/>
            <w:noWrap/>
            <w:vAlign w:val="center"/>
            <w:hideMark/>
          </w:tcPr>
          <w:p w14:paraId="1DF17272" w14:textId="77777777" w:rsidR="00540A02" w:rsidRPr="00540A02" w:rsidRDefault="00540A02" w:rsidP="00F14F82">
            <w:pPr>
              <w:jc w:val="center"/>
              <w:rPr>
                <w:rFonts w:ascii="Arial" w:hAnsi="Arial" w:cs="Arial"/>
                <w:color w:val="000000"/>
                <w:lang w:eastAsia="en-PH"/>
              </w:rPr>
            </w:pPr>
            <w:r w:rsidRPr="00540A02">
              <w:rPr>
                <w:rFonts w:ascii="Arial" w:hAnsi="Arial" w:cs="Arial"/>
                <w:color w:val="000000"/>
                <w:lang w:eastAsia="en-PH"/>
              </w:rPr>
              <w:t>-1.438753***</w:t>
            </w:r>
          </w:p>
        </w:tc>
        <w:tc>
          <w:tcPr>
            <w:tcW w:w="899" w:type="pct"/>
            <w:noWrap/>
            <w:vAlign w:val="center"/>
            <w:hideMark/>
          </w:tcPr>
          <w:p w14:paraId="52C04B8A" w14:textId="77777777" w:rsidR="00540A02" w:rsidRPr="00540A02" w:rsidRDefault="00540A02" w:rsidP="00F14F82">
            <w:pPr>
              <w:jc w:val="center"/>
              <w:rPr>
                <w:rFonts w:ascii="Arial" w:hAnsi="Arial" w:cs="Arial"/>
                <w:color w:val="000000"/>
                <w:lang w:eastAsia="en-PH"/>
              </w:rPr>
            </w:pPr>
            <w:r w:rsidRPr="00540A02">
              <w:rPr>
                <w:rFonts w:ascii="Arial" w:hAnsi="Arial" w:cs="Arial"/>
                <w:color w:val="000000"/>
                <w:lang w:eastAsia="en-PH"/>
              </w:rPr>
              <w:t>0.0439623</w:t>
            </w:r>
          </w:p>
        </w:tc>
        <w:tc>
          <w:tcPr>
            <w:tcW w:w="649" w:type="pct"/>
            <w:noWrap/>
            <w:vAlign w:val="center"/>
            <w:hideMark/>
          </w:tcPr>
          <w:p w14:paraId="361EDBF4" w14:textId="77777777" w:rsidR="00540A02" w:rsidRPr="00540A02" w:rsidRDefault="00540A02" w:rsidP="00F14F82">
            <w:pPr>
              <w:jc w:val="center"/>
              <w:rPr>
                <w:rFonts w:ascii="Arial" w:hAnsi="Arial" w:cs="Arial"/>
                <w:color w:val="000000"/>
                <w:lang w:eastAsia="en-PH"/>
              </w:rPr>
            </w:pPr>
            <w:r w:rsidRPr="00540A02">
              <w:rPr>
                <w:rFonts w:ascii="Arial" w:hAnsi="Arial" w:cs="Arial"/>
                <w:color w:val="000000"/>
                <w:lang w:eastAsia="en-PH"/>
              </w:rPr>
              <w:t>-32.73</w:t>
            </w:r>
          </w:p>
        </w:tc>
      </w:tr>
      <w:tr w:rsidR="00540A02" w:rsidRPr="00540A02" w14:paraId="608DF1CF" w14:textId="77777777" w:rsidTr="00F14F82">
        <w:trPr>
          <w:trHeight w:val="192"/>
        </w:trPr>
        <w:tc>
          <w:tcPr>
            <w:tcW w:w="2338" w:type="pct"/>
            <w:noWrap/>
            <w:vAlign w:val="center"/>
            <w:hideMark/>
          </w:tcPr>
          <w:p w14:paraId="7AAF6CC3" w14:textId="77777777" w:rsidR="00540A02" w:rsidRPr="00540A02" w:rsidRDefault="00540A02" w:rsidP="00F14F82">
            <w:pPr>
              <w:jc w:val="both"/>
              <w:rPr>
                <w:rFonts w:ascii="Arial" w:hAnsi="Arial" w:cs="Arial"/>
                <w:color w:val="000000"/>
                <w:lang w:eastAsia="en-PH"/>
              </w:rPr>
            </w:pPr>
            <w:r w:rsidRPr="00540A02">
              <w:rPr>
                <w:rFonts w:ascii="Arial" w:hAnsi="Arial" w:cs="Arial"/>
                <w:color w:val="000000"/>
                <w:lang w:eastAsia="en-PH"/>
              </w:rPr>
              <w:t>Age of HH Head</w:t>
            </w:r>
          </w:p>
        </w:tc>
        <w:tc>
          <w:tcPr>
            <w:tcW w:w="1114" w:type="pct"/>
            <w:noWrap/>
            <w:vAlign w:val="center"/>
            <w:hideMark/>
          </w:tcPr>
          <w:p w14:paraId="36EC5F3D" w14:textId="77777777" w:rsidR="00540A02" w:rsidRPr="00540A02" w:rsidRDefault="00540A02" w:rsidP="00F14F82">
            <w:pPr>
              <w:jc w:val="center"/>
              <w:rPr>
                <w:rFonts w:ascii="Arial" w:hAnsi="Arial" w:cs="Arial"/>
                <w:color w:val="000000"/>
                <w:lang w:eastAsia="en-PH"/>
              </w:rPr>
            </w:pPr>
            <w:r w:rsidRPr="00540A02">
              <w:rPr>
                <w:rFonts w:ascii="Arial" w:hAnsi="Arial" w:cs="Arial"/>
                <w:color w:val="000000"/>
                <w:lang w:eastAsia="en-PH"/>
              </w:rPr>
              <w:t>-0.0423839***</w:t>
            </w:r>
          </w:p>
        </w:tc>
        <w:tc>
          <w:tcPr>
            <w:tcW w:w="899" w:type="pct"/>
            <w:noWrap/>
            <w:vAlign w:val="center"/>
            <w:hideMark/>
          </w:tcPr>
          <w:p w14:paraId="250E7E4E" w14:textId="77777777" w:rsidR="00540A02" w:rsidRPr="00540A02" w:rsidRDefault="00540A02" w:rsidP="00F14F82">
            <w:pPr>
              <w:jc w:val="center"/>
              <w:rPr>
                <w:rFonts w:ascii="Arial" w:hAnsi="Arial" w:cs="Arial"/>
                <w:color w:val="000000"/>
                <w:lang w:eastAsia="en-PH"/>
              </w:rPr>
            </w:pPr>
            <w:r w:rsidRPr="00540A02">
              <w:rPr>
                <w:rFonts w:ascii="Arial" w:hAnsi="Arial" w:cs="Arial"/>
                <w:color w:val="000000"/>
                <w:lang w:eastAsia="en-PH"/>
              </w:rPr>
              <w:t>0.0011589</w:t>
            </w:r>
          </w:p>
        </w:tc>
        <w:tc>
          <w:tcPr>
            <w:tcW w:w="649" w:type="pct"/>
            <w:noWrap/>
            <w:vAlign w:val="center"/>
            <w:hideMark/>
          </w:tcPr>
          <w:p w14:paraId="38103354" w14:textId="77777777" w:rsidR="00540A02" w:rsidRPr="00540A02" w:rsidRDefault="00540A02" w:rsidP="00F14F82">
            <w:pPr>
              <w:jc w:val="center"/>
              <w:rPr>
                <w:rFonts w:ascii="Arial" w:hAnsi="Arial" w:cs="Arial"/>
                <w:color w:val="000000"/>
                <w:lang w:eastAsia="en-PH"/>
              </w:rPr>
            </w:pPr>
            <w:r w:rsidRPr="00540A02">
              <w:rPr>
                <w:rFonts w:ascii="Arial" w:hAnsi="Arial" w:cs="Arial"/>
                <w:color w:val="000000"/>
                <w:lang w:eastAsia="en-PH"/>
              </w:rPr>
              <w:t>-36.57</w:t>
            </w:r>
          </w:p>
        </w:tc>
      </w:tr>
      <w:tr w:rsidR="00540A02" w:rsidRPr="00540A02" w14:paraId="4FBB712C" w14:textId="77777777" w:rsidTr="00F14F82">
        <w:trPr>
          <w:trHeight w:val="192"/>
        </w:trPr>
        <w:tc>
          <w:tcPr>
            <w:tcW w:w="2338" w:type="pct"/>
            <w:noWrap/>
            <w:vAlign w:val="center"/>
            <w:hideMark/>
          </w:tcPr>
          <w:p w14:paraId="4082794D" w14:textId="77777777" w:rsidR="00540A02" w:rsidRPr="00540A02" w:rsidRDefault="00540A02" w:rsidP="00F14F82">
            <w:pPr>
              <w:jc w:val="both"/>
              <w:rPr>
                <w:rFonts w:ascii="Arial" w:hAnsi="Arial" w:cs="Arial"/>
                <w:color w:val="000000"/>
                <w:lang w:eastAsia="en-PH"/>
              </w:rPr>
            </w:pPr>
            <w:r w:rsidRPr="00540A02">
              <w:rPr>
                <w:rFonts w:ascii="Arial" w:hAnsi="Arial" w:cs="Arial"/>
                <w:color w:val="000000"/>
                <w:lang w:eastAsia="en-PH"/>
              </w:rPr>
              <w:t>Marital Status of HH Head</w:t>
            </w:r>
          </w:p>
        </w:tc>
        <w:tc>
          <w:tcPr>
            <w:tcW w:w="1114" w:type="pct"/>
            <w:noWrap/>
            <w:vAlign w:val="center"/>
            <w:hideMark/>
          </w:tcPr>
          <w:p w14:paraId="68745669" w14:textId="77777777" w:rsidR="00540A02" w:rsidRPr="00540A02" w:rsidRDefault="00540A02" w:rsidP="00F14F82">
            <w:pPr>
              <w:jc w:val="center"/>
              <w:rPr>
                <w:rFonts w:ascii="Arial" w:hAnsi="Arial" w:cs="Arial"/>
                <w:color w:val="000000"/>
                <w:lang w:eastAsia="en-PH"/>
              </w:rPr>
            </w:pPr>
            <w:r w:rsidRPr="00540A02">
              <w:rPr>
                <w:rFonts w:ascii="Arial" w:hAnsi="Arial" w:cs="Arial"/>
                <w:color w:val="000000"/>
                <w:lang w:eastAsia="en-PH"/>
              </w:rPr>
              <w:t>0.0204255*</w:t>
            </w:r>
          </w:p>
        </w:tc>
        <w:tc>
          <w:tcPr>
            <w:tcW w:w="899" w:type="pct"/>
            <w:noWrap/>
            <w:vAlign w:val="center"/>
            <w:hideMark/>
          </w:tcPr>
          <w:p w14:paraId="5223F95F" w14:textId="77777777" w:rsidR="00540A02" w:rsidRPr="00540A02" w:rsidRDefault="00540A02" w:rsidP="00F14F82">
            <w:pPr>
              <w:jc w:val="center"/>
              <w:rPr>
                <w:rFonts w:ascii="Arial" w:hAnsi="Arial" w:cs="Arial"/>
                <w:color w:val="000000"/>
                <w:lang w:eastAsia="en-PH"/>
              </w:rPr>
            </w:pPr>
            <w:r w:rsidRPr="00540A02">
              <w:rPr>
                <w:rFonts w:ascii="Arial" w:hAnsi="Arial" w:cs="Arial"/>
                <w:color w:val="000000"/>
                <w:lang w:eastAsia="en-PH"/>
              </w:rPr>
              <w:t>0.0310047</w:t>
            </w:r>
          </w:p>
        </w:tc>
        <w:tc>
          <w:tcPr>
            <w:tcW w:w="649" w:type="pct"/>
            <w:noWrap/>
            <w:vAlign w:val="center"/>
            <w:hideMark/>
          </w:tcPr>
          <w:p w14:paraId="49229BAF" w14:textId="77777777" w:rsidR="00540A02" w:rsidRPr="00540A02" w:rsidRDefault="00540A02" w:rsidP="00F14F82">
            <w:pPr>
              <w:jc w:val="center"/>
              <w:rPr>
                <w:rFonts w:ascii="Arial" w:hAnsi="Arial" w:cs="Arial"/>
                <w:color w:val="000000"/>
                <w:lang w:eastAsia="en-PH"/>
              </w:rPr>
            </w:pPr>
            <w:r w:rsidRPr="00540A02">
              <w:rPr>
                <w:rFonts w:ascii="Arial" w:hAnsi="Arial" w:cs="Arial"/>
                <w:color w:val="000000"/>
                <w:lang w:eastAsia="en-PH"/>
              </w:rPr>
              <w:t>0.66</w:t>
            </w:r>
          </w:p>
        </w:tc>
      </w:tr>
      <w:tr w:rsidR="00540A02" w:rsidRPr="00540A02" w14:paraId="4ED965B5" w14:textId="77777777" w:rsidTr="00F14F82">
        <w:trPr>
          <w:trHeight w:val="192"/>
        </w:trPr>
        <w:tc>
          <w:tcPr>
            <w:tcW w:w="2338" w:type="pct"/>
            <w:noWrap/>
            <w:vAlign w:val="center"/>
            <w:hideMark/>
          </w:tcPr>
          <w:p w14:paraId="64F194B3" w14:textId="77777777" w:rsidR="00540A02" w:rsidRPr="00540A02" w:rsidRDefault="00540A02" w:rsidP="00F14F82">
            <w:pPr>
              <w:jc w:val="both"/>
              <w:rPr>
                <w:rFonts w:ascii="Arial" w:hAnsi="Arial" w:cs="Arial"/>
                <w:color w:val="000000"/>
                <w:lang w:eastAsia="en-PH"/>
              </w:rPr>
            </w:pPr>
            <w:r w:rsidRPr="00540A02">
              <w:rPr>
                <w:rFonts w:ascii="Arial" w:hAnsi="Arial" w:cs="Arial"/>
                <w:color w:val="000000"/>
                <w:lang w:eastAsia="en-PH"/>
              </w:rPr>
              <w:t>Education</w:t>
            </w:r>
          </w:p>
        </w:tc>
        <w:tc>
          <w:tcPr>
            <w:tcW w:w="1114" w:type="pct"/>
            <w:noWrap/>
            <w:vAlign w:val="center"/>
            <w:hideMark/>
          </w:tcPr>
          <w:p w14:paraId="22E29090" w14:textId="77777777" w:rsidR="00540A02" w:rsidRPr="00540A02" w:rsidRDefault="00540A02" w:rsidP="00F14F82">
            <w:pPr>
              <w:jc w:val="center"/>
              <w:rPr>
                <w:rFonts w:ascii="Arial" w:hAnsi="Arial" w:cs="Arial"/>
                <w:color w:val="000000"/>
                <w:lang w:eastAsia="en-PH"/>
              </w:rPr>
            </w:pPr>
            <w:r w:rsidRPr="00540A02">
              <w:rPr>
                <w:rFonts w:ascii="Arial" w:hAnsi="Arial" w:cs="Arial"/>
                <w:color w:val="000000"/>
                <w:lang w:eastAsia="en-PH"/>
              </w:rPr>
              <w:t>0.0101191**</w:t>
            </w:r>
          </w:p>
        </w:tc>
        <w:tc>
          <w:tcPr>
            <w:tcW w:w="899" w:type="pct"/>
            <w:noWrap/>
            <w:vAlign w:val="center"/>
            <w:hideMark/>
          </w:tcPr>
          <w:p w14:paraId="68D0AF9D" w14:textId="77777777" w:rsidR="00540A02" w:rsidRPr="00540A02" w:rsidRDefault="00540A02" w:rsidP="00F14F82">
            <w:pPr>
              <w:jc w:val="center"/>
              <w:rPr>
                <w:rFonts w:ascii="Arial" w:hAnsi="Arial" w:cs="Arial"/>
                <w:color w:val="000000"/>
                <w:lang w:eastAsia="en-PH"/>
              </w:rPr>
            </w:pPr>
            <w:r w:rsidRPr="00540A02">
              <w:rPr>
                <w:rFonts w:ascii="Arial" w:hAnsi="Arial" w:cs="Arial"/>
                <w:color w:val="000000"/>
                <w:lang w:eastAsia="en-PH"/>
              </w:rPr>
              <w:t>0.0048593</w:t>
            </w:r>
          </w:p>
        </w:tc>
        <w:tc>
          <w:tcPr>
            <w:tcW w:w="649" w:type="pct"/>
            <w:noWrap/>
            <w:vAlign w:val="center"/>
            <w:hideMark/>
          </w:tcPr>
          <w:p w14:paraId="28EE08EE" w14:textId="77777777" w:rsidR="00540A02" w:rsidRPr="00540A02" w:rsidRDefault="00540A02" w:rsidP="00F14F82">
            <w:pPr>
              <w:jc w:val="center"/>
              <w:rPr>
                <w:rFonts w:ascii="Arial" w:hAnsi="Arial" w:cs="Arial"/>
                <w:color w:val="000000"/>
                <w:lang w:eastAsia="en-PH"/>
              </w:rPr>
            </w:pPr>
            <w:r w:rsidRPr="00540A02">
              <w:rPr>
                <w:rFonts w:ascii="Arial" w:hAnsi="Arial" w:cs="Arial"/>
                <w:color w:val="000000"/>
                <w:lang w:eastAsia="en-PH"/>
              </w:rPr>
              <w:t>2.08</w:t>
            </w:r>
          </w:p>
        </w:tc>
      </w:tr>
      <w:tr w:rsidR="00540A02" w:rsidRPr="00540A02" w14:paraId="4E5CC499" w14:textId="77777777" w:rsidTr="00F14F82">
        <w:trPr>
          <w:trHeight w:val="201"/>
        </w:trPr>
        <w:tc>
          <w:tcPr>
            <w:tcW w:w="2338" w:type="pct"/>
            <w:tcBorders>
              <w:bottom w:val="single" w:sz="12" w:space="0" w:color="000000"/>
            </w:tcBorders>
            <w:noWrap/>
            <w:vAlign w:val="center"/>
            <w:hideMark/>
          </w:tcPr>
          <w:p w14:paraId="051FA307" w14:textId="77777777" w:rsidR="00540A02" w:rsidRPr="00540A02" w:rsidRDefault="00540A02" w:rsidP="00F14F82">
            <w:pPr>
              <w:jc w:val="both"/>
              <w:rPr>
                <w:rFonts w:ascii="Arial" w:hAnsi="Arial" w:cs="Arial"/>
                <w:color w:val="000000"/>
                <w:lang w:eastAsia="en-PH"/>
              </w:rPr>
            </w:pPr>
            <w:r w:rsidRPr="00540A02">
              <w:rPr>
                <w:rFonts w:ascii="Arial" w:hAnsi="Arial" w:cs="Arial"/>
                <w:color w:val="000000"/>
                <w:lang w:eastAsia="en-PH"/>
              </w:rPr>
              <w:t>Constant</w:t>
            </w:r>
          </w:p>
        </w:tc>
        <w:tc>
          <w:tcPr>
            <w:tcW w:w="1114" w:type="pct"/>
            <w:tcBorders>
              <w:bottom w:val="single" w:sz="12" w:space="0" w:color="000000"/>
            </w:tcBorders>
            <w:noWrap/>
            <w:vAlign w:val="center"/>
            <w:hideMark/>
          </w:tcPr>
          <w:p w14:paraId="29BE07F4" w14:textId="77777777" w:rsidR="00540A02" w:rsidRPr="00540A02" w:rsidRDefault="00540A02" w:rsidP="00F14F82">
            <w:pPr>
              <w:jc w:val="center"/>
              <w:rPr>
                <w:rFonts w:ascii="Arial" w:hAnsi="Arial" w:cs="Arial"/>
                <w:color w:val="000000"/>
                <w:lang w:eastAsia="en-PH"/>
              </w:rPr>
            </w:pPr>
            <w:r w:rsidRPr="00540A02">
              <w:rPr>
                <w:rFonts w:ascii="Arial" w:hAnsi="Arial" w:cs="Arial"/>
                <w:color w:val="000000"/>
                <w:lang w:eastAsia="en-PH"/>
              </w:rPr>
              <w:t>1.365382***</w:t>
            </w:r>
          </w:p>
        </w:tc>
        <w:tc>
          <w:tcPr>
            <w:tcW w:w="899" w:type="pct"/>
            <w:tcBorders>
              <w:bottom w:val="single" w:sz="12" w:space="0" w:color="000000"/>
            </w:tcBorders>
            <w:noWrap/>
            <w:vAlign w:val="center"/>
            <w:hideMark/>
          </w:tcPr>
          <w:p w14:paraId="7A43EF42" w14:textId="77777777" w:rsidR="00540A02" w:rsidRPr="00540A02" w:rsidRDefault="00540A02" w:rsidP="00F14F82">
            <w:pPr>
              <w:jc w:val="center"/>
              <w:rPr>
                <w:rFonts w:ascii="Arial" w:hAnsi="Arial" w:cs="Arial"/>
                <w:color w:val="000000"/>
                <w:lang w:eastAsia="en-PH"/>
              </w:rPr>
            </w:pPr>
            <w:r w:rsidRPr="00540A02">
              <w:rPr>
                <w:rFonts w:ascii="Arial" w:hAnsi="Arial" w:cs="Arial"/>
                <w:color w:val="000000"/>
                <w:lang w:eastAsia="en-PH"/>
              </w:rPr>
              <w:t>0.1094111</w:t>
            </w:r>
          </w:p>
        </w:tc>
        <w:tc>
          <w:tcPr>
            <w:tcW w:w="649" w:type="pct"/>
            <w:noWrap/>
            <w:vAlign w:val="center"/>
            <w:hideMark/>
          </w:tcPr>
          <w:p w14:paraId="1B3EAC18" w14:textId="77777777" w:rsidR="00540A02" w:rsidRPr="00540A02" w:rsidRDefault="00540A02" w:rsidP="00F14F82">
            <w:pPr>
              <w:jc w:val="center"/>
              <w:rPr>
                <w:rFonts w:ascii="Arial" w:hAnsi="Arial" w:cs="Arial"/>
                <w:color w:val="000000"/>
                <w:lang w:eastAsia="en-PH"/>
              </w:rPr>
            </w:pPr>
            <w:r w:rsidRPr="00540A02">
              <w:rPr>
                <w:rFonts w:ascii="Arial" w:hAnsi="Arial" w:cs="Arial"/>
                <w:color w:val="000000"/>
                <w:lang w:eastAsia="en-PH"/>
              </w:rPr>
              <w:t>12.48</w:t>
            </w:r>
          </w:p>
        </w:tc>
      </w:tr>
      <w:tr w:rsidR="00540A02" w:rsidRPr="00540A02" w14:paraId="154B2AD9" w14:textId="77777777" w:rsidTr="00F14F82">
        <w:trPr>
          <w:trHeight w:val="201"/>
        </w:trPr>
        <w:tc>
          <w:tcPr>
            <w:tcW w:w="2338" w:type="pct"/>
            <w:tcBorders>
              <w:top w:val="single" w:sz="12" w:space="0" w:color="000000"/>
              <w:bottom w:val="single" w:sz="12" w:space="0" w:color="000000"/>
            </w:tcBorders>
            <w:noWrap/>
            <w:vAlign w:val="center"/>
            <w:hideMark/>
          </w:tcPr>
          <w:p w14:paraId="57EEFE0B" w14:textId="77777777" w:rsidR="00540A02" w:rsidRPr="00540A02" w:rsidRDefault="00540A02" w:rsidP="00F14F82">
            <w:pPr>
              <w:jc w:val="both"/>
              <w:rPr>
                <w:rFonts w:ascii="Arial" w:hAnsi="Arial" w:cs="Arial"/>
                <w:b/>
                <w:bCs/>
                <w:color w:val="000000"/>
                <w:lang w:eastAsia="en-PH"/>
              </w:rPr>
            </w:pPr>
            <w:r w:rsidRPr="00540A02">
              <w:rPr>
                <w:rFonts w:ascii="Arial" w:hAnsi="Arial" w:cs="Arial"/>
                <w:b/>
                <w:bCs/>
                <w:color w:val="000000"/>
                <w:lang w:eastAsia="en-PH"/>
              </w:rPr>
              <w:t>4-      Unemployed</w:t>
            </w:r>
          </w:p>
        </w:tc>
        <w:tc>
          <w:tcPr>
            <w:tcW w:w="2662" w:type="pct"/>
            <w:gridSpan w:val="3"/>
            <w:tcBorders>
              <w:top w:val="single" w:sz="12" w:space="0" w:color="000000"/>
              <w:bottom w:val="single" w:sz="12" w:space="0" w:color="000000"/>
            </w:tcBorders>
            <w:noWrap/>
            <w:vAlign w:val="center"/>
            <w:hideMark/>
          </w:tcPr>
          <w:p w14:paraId="0694CB62" w14:textId="77777777" w:rsidR="00540A02" w:rsidRPr="00540A02" w:rsidRDefault="00540A02" w:rsidP="00F14F82">
            <w:pPr>
              <w:rPr>
                <w:rFonts w:ascii="Arial" w:hAnsi="Arial" w:cs="Arial"/>
              </w:rPr>
            </w:pPr>
            <w:r w:rsidRPr="00540A02">
              <w:rPr>
                <w:rFonts w:ascii="Arial" w:hAnsi="Arial" w:cs="Arial"/>
                <w:color w:val="000000"/>
                <w:lang w:eastAsia="en-PH"/>
              </w:rPr>
              <w:t>(base outcome)</w:t>
            </w:r>
          </w:p>
        </w:tc>
      </w:tr>
    </w:tbl>
    <w:bookmarkEnd w:id="2"/>
    <w:p w14:paraId="7FB77BCE" w14:textId="77777777" w:rsidR="00540A02" w:rsidRPr="00540A02" w:rsidRDefault="00540A02" w:rsidP="00540A02">
      <w:pPr>
        <w:rPr>
          <w:rFonts w:ascii="Arial" w:eastAsiaTheme="minorEastAsia" w:hAnsi="Arial" w:cs="Arial"/>
          <w:b/>
          <w:bCs/>
        </w:rPr>
      </w:pPr>
      <w:r w:rsidRPr="00540A02">
        <w:rPr>
          <w:rFonts w:ascii="Arial" w:hAnsi="Arial" w:cs="Arial"/>
        </w:rPr>
        <w:t>Source: Author’s calculation based on PSA FIES</w:t>
      </w:r>
    </w:p>
    <w:p w14:paraId="7A363834" w14:textId="77777777" w:rsidR="00540A02" w:rsidRDefault="00540A02" w:rsidP="00540A02">
      <w:pPr>
        <w:pStyle w:val="Body"/>
        <w:spacing w:after="0"/>
        <w:rPr>
          <w:rFonts w:ascii="Arial" w:hAnsi="Arial" w:cs="Arial"/>
        </w:rPr>
      </w:pPr>
    </w:p>
    <w:p w14:paraId="226BCB1C" w14:textId="02C73546" w:rsidR="00540A02" w:rsidRDefault="00540A02" w:rsidP="00540A02">
      <w:pPr>
        <w:pStyle w:val="Body"/>
        <w:spacing w:after="0"/>
        <w:rPr>
          <w:rFonts w:ascii="Arial" w:hAnsi="Arial" w:cs="Arial"/>
        </w:rPr>
      </w:pPr>
      <w:r w:rsidRPr="00540A02">
        <w:rPr>
          <w:rFonts w:ascii="Arial" w:hAnsi="Arial" w:cs="Arial"/>
        </w:rPr>
        <w:t>As the net income increases for married individuals with more children in rural areas and higher regions, there is a higher likelihood of opting for non-rice farming over other occupations. On the other hand, for married individuals with lower numbers of children, higher education, and residing in rural areas, the probability of choosing rice farming increases with a rise in net income. Table 3 presents the anticipated shifts in household occupational status, transitioning from unemployment to various options like wage worker, non-rice farming, and rice farming. These shifts are determined by comparing the utility generated from each occupational choice, with individuals selecting the option that offers the highest level of utility. The probability of joining rice farming and wage sector is more likely to happen when income increases for married, male and living in rural areas having more children.</w:t>
      </w:r>
    </w:p>
    <w:p w14:paraId="6ABBAD75" w14:textId="77777777" w:rsidR="00540A02" w:rsidRDefault="00540A02" w:rsidP="00540A02">
      <w:pPr>
        <w:pStyle w:val="Body"/>
        <w:spacing w:after="0"/>
        <w:rPr>
          <w:rFonts w:ascii="Arial" w:hAnsi="Arial" w:cs="Arial"/>
        </w:rPr>
      </w:pPr>
    </w:p>
    <w:p w14:paraId="68FA9F39" w14:textId="38F1D1FA" w:rsidR="00F042EF" w:rsidRDefault="00F042EF" w:rsidP="00540A02">
      <w:pPr>
        <w:jc w:val="both"/>
        <w:rPr>
          <w:rFonts w:ascii="Arial" w:hAnsi="Arial" w:cs="Arial"/>
        </w:rPr>
      </w:pPr>
      <w:r w:rsidRPr="00F042EF">
        <w:rPr>
          <w:rFonts w:ascii="Arial" w:hAnsi="Arial" w:cs="Arial"/>
        </w:rPr>
        <w:t>Table 4 presents the aggregated changes in occupational choices before and after RTL. Most regions show modest but positive shifts toward employment or agricultural entrepreneurship, particularly Regions I, II, III, IVB, VI, and CAR. CALABARZON shows the largest shift, likely due to diverse income opportunities and relatively stronger market integration.</w:t>
      </w:r>
    </w:p>
    <w:p w14:paraId="1D01F5E7" w14:textId="77777777" w:rsidR="00F042EF" w:rsidRDefault="00F042EF" w:rsidP="00540A02">
      <w:pPr>
        <w:jc w:val="both"/>
        <w:rPr>
          <w:rFonts w:ascii="Arial" w:hAnsi="Arial" w:cs="Arial"/>
          <w:b/>
          <w:bCs/>
        </w:rPr>
      </w:pPr>
    </w:p>
    <w:p w14:paraId="0C99CF39" w14:textId="40BD4AC0" w:rsidR="00540A02" w:rsidRPr="00540A02" w:rsidRDefault="00752794" w:rsidP="00540A02">
      <w:pPr>
        <w:jc w:val="both"/>
        <w:rPr>
          <w:rFonts w:ascii="Arial" w:hAnsi="Arial" w:cs="Arial"/>
        </w:rPr>
      </w:pPr>
      <w:r w:rsidRPr="00752794">
        <w:rPr>
          <w:rFonts w:ascii="Arial" w:hAnsi="Arial" w:cs="Arial"/>
          <w:b/>
          <w:bCs/>
        </w:rPr>
        <w:t>Table 4. Predicted Occupational Mobility of Farmers Derived from the Multinomial Logit Model After RTL Implementation</w:t>
      </w:r>
    </w:p>
    <w:tbl>
      <w:tblPr>
        <w:tblpPr w:leftFromText="180" w:rightFromText="180" w:vertAnchor="text" w:horzAnchor="margin" w:tblpX="108" w:tblpY="145"/>
        <w:tblW w:w="5000" w:type="pct"/>
        <w:tblLayout w:type="fixed"/>
        <w:tblLook w:val="04A0" w:firstRow="1" w:lastRow="0" w:firstColumn="1" w:lastColumn="0" w:noHBand="0" w:noVBand="1"/>
      </w:tblPr>
      <w:tblGrid>
        <w:gridCol w:w="989"/>
        <w:gridCol w:w="680"/>
        <w:gridCol w:w="663"/>
        <w:gridCol w:w="691"/>
        <w:gridCol w:w="631"/>
        <w:gridCol w:w="717"/>
        <w:gridCol w:w="689"/>
        <w:gridCol w:w="698"/>
        <w:gridCol w:w="691"/>
        <w:gridCol w:w="711"/>
        <w:gridCol w:w="715"/>
        <w:gridCol w:w="691"/>
        <w:gridCol w:w="794"/>
      </w:tblGrid>
      <w:tr w:rsidR="00540A02" w:rsidRPr="00540A02" w14:paraId="76A3020B" w14:textId="77777777" w:rsidTr="00F14F82">
        <w:trPr>
          <w:trHeight w:val="249"/>
        </w:trPr>
        <w:tc>
          <w:tcPr>
            <w:tcW w:w="529" w:type="pct"/>
            <w:vMerge w:val="restart"/>
            <w:tcBorders>
              <w:top w:val="single" w:sz="12" w:space="0" w:color="000000"/>
              <w:right w:val="single" w:sz="12" w:space="0" w:color="000000"/>
            </w:tcBorders>
            <w:noWrap/>
            <w:vAlign w:val="center"/>
            <w:hideMark/>
          </w:tcPr>
          <w:p w14:paraId="03AF85B8" w14:textId="77777777" w:rsidR="00540A02" w:rsidRPr="00540A02" w:rsidRDefault="00540A02" w:rsidP="00F14F82">
            <w:pPr>
              <w:jc w:val="center"/>
              <w:rPr>
                <w:rFonts w:ascii="Arial" w:hAnsi="Arial" w:cs="Arial"/>
                <w:b/>
                <w:bCs/>
                <w:color w:val="000000"/>
                <w:sz w:val="18"/>
                <w:szCs w:val="18"/>
                <w:lang w:eastAsia="en-PH"/>
              </w:rPr>
            </w:pPr>
            <w:r w:rsidRPr="00540A02">
              <w:rPr>
                <w:rFonts w:ascii="Arial" w:hAnsi="Arial" w:cs="Arial"/>
                <w:b/>
                <w:bCs/>
                <w:color w:val="000000"/>
                <w:sz w:val="18"/>
                <w:szCs w:val="18"/>
                <w:lang w:eastAsia="en-PH"/>
              </w:rPr>
              <w:t>Region</w:t>
            </w:r>
          </w:p>
        </w:tc>
        <w:tc>
          <w:tcPr>
            <w:tcW w:w="1423" w:type="pct"/>
            <w:gridSpan w:val="4"/>
            <w:tcBorders>
              <w:top w:val="single" w:sz="12" w:space="0" w:color="000000"/>
              <w:left w:val="single" w:sz="12" w:space="0" w:color="000000"/>
              <w:bottom w:val="single" w:sz="12" w:space="0" w:color="000000"/>
              <w:right w:val="single" w:sz="12" w:space="0" w:color="000000"/>
            </w:tcBorders>
            <w:noWrap/>
            <w:vAlign w:val="bottom"/>
            <w:hideMark/>
          </w:tcPr>
          <w:p w14:paraId="7FA9864F" w14:textId="77777777" w:rsidR="00540A02" w:rsidRPr="00540A02" w:rsidRDefault="00540A02" w:rsidP="00F14F82">
            <w:pPr>
              <w:jc w:val="center"/>
              <w:rPr>
                <w:rFonts w:ascii="Arial" w:hAnsi="Arial" w:cs="Arial"/>
                <w:b/>
                <w:bCs/>
                <w:color w:val="000000"/>
                <w:sz w:val="18"/>
                <w:szCs w:val="18"/>
                <w:lang w:eastAsia="en-PH"/>
              </w:rPr>
            </w:pPr>
            <w:r w:rsidRPr="00540A02">
              <w:rPr>
                <w:rFonts w:ascii="Arial" w:hAnsi="Arial" w:cs="Arial"/>
                <w:b/>
                <w:bCs/>
                <w:color w:val="000000"/>
                <w:sz w:val="18"/>
                <w:szCs w:val="18"/>
                <w:lang w:eastAsia="en-PH"/>
              </w:rPr>
              <w:t>BEFORE RTL</w:t>
            </w:r>
          </w:p>
        </w:tc>
        <w:tc>
          <w:tcPr>
            <w:tcW w:w="1493" w:type="pct"/>
            <w:gridSpan w:val="4"/>
            <w:tcBorders>
              <w:top w:val="single" w:sz="12" w:space="0" w:color="000000"/>
              <w:left w:val="single" w:sz="12" w:space="0" w:color="000000"/>
              <w:bottom w:val="single" w:sz="12" w:space="0" w:color="000000"/>
              <w:right w:val="single" w:sz="12" w:space="0" w:color="000000"/>
            </w:tcBorders>
            <w:noWrap/>
            <w:vAlign w:val="bottom"/>
            <w:hideMark/>
          </w:tcPr>
          <w:p w14:paraId="259273D2" w14:textId="77777777" w:rsidR="00540A02" w:rsidRPr="00540A02" w:rsidRDefault="00540A02" w:rsidP="00F14F82">
            <w:pPr>
              <w:jc w:val="center"/>
              <w:rPr>
                <w:rFonts w:ascii="Arial" w:hAnsi="Arial" w:cs="Arial"/>
                <w:b/>
                <w:bCs/>
                <w:color w:val="000000"/>
                <w:sz w:val="18"/>
                <w:szCs w:val="18"/>
                <w:lang w:eastAsia="en-PH"/>
              </w:rPr>
            </w:pPr>
            <w:r w:rsidRPr="00540A02">
              <w:rPr>
                <w:rFonts w:ascii="Arial" w:hAnsi="Arial" w:cs="Arial"/>
                <w:b/>
                <w:bCs/>
                <w:color w:val="000000"/>
                <w:sz w:val="18"/>
                <w:szCs w:val="18"/>
                <w:lang w:eastAsia="en-PH"/>
              </w:rPr>
              <w:t>AFTER RTL</w:t>
            </w:r>
          </w:p>
        </w:tc>
        <w:tc>
          <w:tcPr>
            <w:tcW w:w="1555" w:type="pct"/>
            <w:gridSpan w:val="4"/>
            <w:tcBorders>
              <w:top w:val="single" w:sz="12" w:space="0" w:color="000000"/>
              <w:left w:val="single" w:sz="12" w:space="0" w:color="000000"/>
              <w:bottom w:val="single" w:sz="12" w:space="0" w:color="000000"/>
            </w:tcBorders>
            <w:noWrap/>
            <w:vAlign w:val="bottom"/>
            <w:hideMark/>
          </w:tcPr>
          <w:p w14:paraId="7E720126" w14:textId="77777777" w:rsidR="00540A02" w:rsidRPr="00540A02" w:rsidRDefault="00540A02" w:rsidP="00F14F82">
            <w:pPr>
              <w:jc w:val="center"/>
              <w:rPr>
                <w:rFonts w:ascii="Arial" w:hAnsi="Arial" w:cs="Arial"/>
                <w:b/>
                <w:bCs/>
                <w:color w:val="000000"/>
                <w:sz w:val="18"/>
                <w:szCs w:val="18"/>
                <w:lang w:eastAsia="en-PH"/>
              </w:rPr>
            </w:pPr>
            <w:r w:rsidRPr="00540A02">
              <w:rPr>
                <w:rFonts w:ascii="Arial" w:hAnsi="Arial" w:cs="Arial"/>
                <w:b/>
                <w:bCs/>
                <w:color w:val="000000"/>
                <w:sz w:val="18"/>
                <w:szCs w:val="18"/>
                <w:lang w:eastAsia="en-PH"/>
              </w:rPr>
              <w:t>PERCENTAGE CHANGE</w:t>
            </w:r>
          </w:p>
        </w:tc>
      </w:tr>
      <w:tr w:rsidR="00540A02" w:rsidRPr="00540A02" w14:paraId="1038E10A" w14:textId="77777777" w:rsidTr="00F14F82">
        <w:trPr>
          <w:trHeight w:val="708"/>
        </w:trPr>
        <w:tc>
          <w:tcPr>
            <w:tcW w:w="529" w:type="pct"/>
            <w:vMerge/>
            <w:tcBorders>
              <w:bottom w:val="single" w:sz="12" w:space="0" w:color="000000"/>
              <w:right w:val="single" w:sz="12" w:space="0" w:color="000000"/>
            </w:tcBorders>
            <w:vAlign w:val="center"/>
            <w:hideMark/>
          </w:tcPr>
          <w:p w14:paraId="669247EB" w14:textId="77777777" w:rsidR="00540A02" w:rsidRPr="00540A02" w:rsidRDefault="00540A02" w:rsidP="00F14F82">
            <w:pPr>
              <w:rPr>
                <w:rFonts w:ascii="Arial" w:hAnsi="Arial" w:cs="Arial"/>
                <w:b/>
                <w:bCs/>
                <w:color w:val="000000"/>
                <w:sz w:val="18"/>
                <w:szCs w:val="18"/>
                <w:lang w:eastAsia="en-PH"/>
              </w:rPr>
            </w:pPr>
          </w:p>
        </w:tc>
        <w:tc>
          <w:tcPr>
            <w:tcW w:w="363" w:type="pct"/>
            <w:tcBorders>
              <w:top w:val="single" w:sz="12" w:space="0" w:color="000000"/>
              <w:left w:val="single" w:sz="12" w:space="0" w:color="000000"/>
              <w:bottom w:val="single" w:sz="12" w:space="0" w:color="000000"/>
            </w:tcBorders>
            <w:vAlign w:val="center"/>
            <w:hideMark/>
          </w:tcPr>
          <w:p w14:paraId="14DE002E" w14:textId="77777777" w:rsidR="00540A02" w:rsidRPr="00540A02" w:rsidRDefault="00540A02" w:rsidP="00F14F82">
            <w:pPr>
              <w:jc w:val="center"/>
              <w:rPr>
                <w:rFonts w:ascii="Arial" w:hAnsi="Arial" w:cs="Arial"/>
                <w:b/>
                <w:bCs/>
                <w:color w:val="000000"/>
                <w:sz w:val="18"/>
                <w:szCs w:val="18"/>
                <w:lang w:eastAsia="en-PH"/>
              </w:rPr>
            </w:pPr>
            <w:r w:rsidRPr="00540A02">
              <w:rPr>
                <w:rFonts w:ascii="Arial" w:hAnsi="Arial" w:cs="Arial"/>
                <w:b/>
                <w:bCs/>
                <w:color w:val="000000"/>
                <w:sz w:val="18"/>
                <w:szCs w:val="18"/>
                <w:lang w:eastAsia="en-PH"/>
              </w:rPr>
              <w:t>Wage</w:t>
            </w:r>
          </w:p>
        </w:tc>
        <w:tc>
          <w:tcPr>
            <w:tcW w:w="354" w:type="pct"/>
            <w:tcBorders>
              <w:top w:val="single" w:sz="12" w:space="0" w:color="000000"/>
              <w:bottom w:val="single" w:sz="12" w:space="0" w:color="000000"/>
            </w:tcBorders>
            <w:vAlign w:val="center"/>
            <w:hideMark/>
          </w:tcPr>
          <w:p w14:paraId="23B99737" w14:textId="77777777" w:rsidR="00540A02" w:rsidRPr="00540A02" w:rsidRDefault="00540A02" w:rsidP="00F14F82">
            <w:pPr>
              <w:jc w:val="center"/>
              <w:rPr>
                <w:rFonts w:ascii="Arial" w:hAnsi="Arial" w:cs="Arial"/>
                <w:b/>
                <w:bCs/>
                <w:color w:val="000000"/>
                <w:sz w:val="18"/>
                <w:szCs w:val="18"/>
                <w:lang w:eastAsia="en-PH"/>
              </w:rPr>
            </w:pPr>
            <w:r w:rsidRPr="00540A02">
              <w:rPr>
                <w:rFonts w:ascii="Arial" w:hAnsi="Arial" w:cs="Arial"/>
                <w:b/>
                <w:bCs/>
                <w:color w:val="000000"/>
                <w:sz w:val="18"/>
                <w:szCs w:val="18"/>
                <w:lang w:eastAsia="en-PH"/>
              </w:rPr>
              <w:t>Non Rice Farning</w:t>
            </w:r>
          </w:p>
        </w:tc>
        <w:tc>
          <w:tcPr>
            <w:tcW w:w="369" w:type="pct"/>
            <w:tcBorders>
              <w:top w:val="single" w:sz="12" w:space="0" w:color="000000"/>
              <w:bottom w:val="single" w:sz="12" w:space="0" w:color="000000"/>
            </w:tcBorders>
            <w:vAlign w:val="center"/>
            <w:hideMark/>
          </w:tcPr>
          <w:p w14:paraId="21EADCCB" w14:textId="77777777" w:rsidR="00540A02" w:rsidRPr="00540A02" w:rsidRDefault="00540A02" w:rsidP="00F14F82">
            <w:pPr>
              <w:jc w:val="center"/>
              <w:rPr>
                <w:rFonts w:ascii="Arial" w:hAnsi="Arial" w:cs="Arial"/>
                <w:b/>
                <w:bCs/>
                <w:color w:val="000000"/>
                <w:sz w:val="18"/>
                <w:szCs w:val="18"/>
                <w:lang w:eastAsia="en-PH"/>
              </w:rPr>
            </w:pPr>
            <w:r w:rsidRPr="00540A02">
              <w:rPr>
                <w:rFonts w:ascii="Arial" w:hAnsi="Arial" w:cs="Arial"/>
                <w:b/>
                <w:bCs/>
                <w:color w:val="000000"/>
                <w:sz w:val="18"/>
                <w:szCs w:val="18"/>
                <w:lang w:eastAsia="en-PH"/>
              </w:rPr>
              <w:t>Rice Farming</w:t>
            </w:r>
          </w:p>
        </w:tc>
        <w:tc>
          <w:tcPr>
            <w:tcW w:w="336" w:type="pct"/>
            <w:tcBorders>
              <w:top w:val="single" w:sz="12" w:space="0" w:color="000000"/>
              <w:bottom w:val="single" w:sz="12" w:space="0" w:color="000000"/>
              <w:right w:val="single" w:sz="12" w:space="0" w:color="000000"/>
            </w:tcBorders>
            <w:vAlign w:val="center"/>
            <w:hideMark/>
          </w:tcPr>
          <w:p w14:paraId="4A2519FB" w14:textId="77777777" w:rsidR="00540A02" w:rsidRPr="00540A02" w:rsidRDefault="00540A02" w:rsidP="00F14F82">
            <w:pPr>
              <w:jc w:val="center"/>
              <w:rPr>
                <w:rFonts w:ascii="Arial" w:hAnsi="Arial" w:cs="Arial"/>
                <w:b/>
                <w:bCs/>
                <w:color w:val="000000"/>
                <w:sz w:val="18"/>
                <w:szCs w:val="18"/>
                <w:lang w:eastAsia="en-PH"/>
              </w:rPr>
            </w:pPr>
            <w:r w:rsidRPr="00540A02">
              <w:rPr>
                <w:rFonts w:ascii="Arial" w:hAnsi="Arial" w:cs="Arial"/>
                <w:b/>
                <w:bCs/>
                <w:color w:val="000000"/>
                <w:sz w:val="18"/>
                <w:szCs w:val="18"/>
                <w:lang w:eastAsia="en-PH"/>
              </w:rPr>
              <w:t>Unemployed</w:t>
            </w:r>
          </w:p>
        </w:tc>
        <w:tc>
          <w:tcPr>
            <w:tcW w:w="383" w:type="pct"/>
            <w:tcBorders>
              <w:top w:val="single" w:sz="12" w:space="0" w:color="000000"/>
              <w:left w:val="single" w:sz="12" w:space="0" w:color="000000"/>
              <w:bottom w:val="single" w:sz="12" w:space="0" w:color="000000"/>
            </w:tcBorders>
            <w:vAlign w:val="center"/>
            <w:hideMark/>
          </w:tcPr>
          <w:p w14:paraId="0C62A1E8" w14:textId="77777777" w:rsidR="00540A02" w:rsidRPr="00540A02" w:rsidRDefault="00540A02" w:rsidP="00F14F82">
            <w:pPr>
              <w:jc w:val="center"/>
              <w:rPr>
                <w:rFonts w:ascii="Arial" w:hAnsi="Arial" w:cs="Arial"/>
                <w:b/>
                <w:bCs/>
                <w:color w:val="000000"/>
                <w:sz w:val="18"/>
                <w:szCs w:val="18"/>
                <w:lang w:eastAsia="en-PH"/>
              </w:rPr>
            </w:pPr>
            <w:r w:rsidRPr="00540A02">
              <w:rPr>
                <w:rFonts w:ascii="Arial" w:hAnsi="Arial" w:cs="Arial"/>
                <w:b/>
                <w:bCs/>
                <w:color w:val="000000"/>
                <w:sz w:val="18"/>
                <w:szCs w:val="18"/>
                <w:lang w:eastAsia="en-PH"/>
              </w:rPr>
              <w:t>Wage</w:t>
            </w:r>
          </w:p>
        </w:tc>
        <w:tc>
          <w:tcPr>
            <w:tcW w:w="368" w:type="pct"/>
            <w:tcBorders>
              <w:top w:val="single" w:sz="12" w:space="0" w:color="000000"/>
              <w:bottom w:val="single" w:sz="12" w:space="0" w:color="000000"/>
            </w:tcBorders>
            <w:vAlign w:val="center"/>
            <w:hideMark/>
          </w:tcPr>
          <w:p w14:paraId="3EE9EE17" w14:textId="77777777" w:rsidR="00540A02" w:rsidRPr="00540A02" w:rsidRDefault="00540A02" w:rsidP="00F14F82">
            <w:pPr>
              <w:jc w:val="center"/>
              <w:rPr>
                <w:rFonts w:ascii="Arial" w:hAnsi="Arial" w:cs="Arial"/>
                <w:b/>
                <w:bCs/>
                <w:color w:val="000000"/>
                <w:sz w:val="18"/>
                <w:szCs w:val="18"/>
                <w:lang w:eastAsia="en-PH"/>
              </w:rPr>
            </w:pPr>
            <w:r w:rsidRPr="00540A02">
              <w:rPr>
                <w:rFonts w:ascii="Arial" w:hAnsi="Arial" w:cs="Arial"/>
                <w:b/>
                <w:bCs/>
                <w:color w:val="000000"/>
                <w:sz w:val="18"/>
                <w:szCs w:val="18"/>
                <w:lang w:eastAsia="en-PH"/>
              </w:rPr>
              <w:t>Non Rice Farning</w:t>
            </w:r>
          </w:p>
        </w:tc>
        <w:tc>
          <w:tcPr>
            <w:tcW w:w="373" w:type="pct"/>
            <w:tcBorders>
              <w:top w:val="single" w:sz="12" w:space="0" w:color="000000"/>
              <w:bottom w:val="single" w:sz="12" w:space="0" w:color="000000"/>
            </w:tcBorders>
            <w:vAlign w:val="center"/>
            <w:hideMark/>
          </w:tcPr>
          <w:p w14:paraId="2F5FB3A9" w14:textId="77777777" w:rsidR="00540A02" w:rsidRPr="00540A02" w:rsidRDefault="00540A02" w:rsidP="00F14F82">
            <w:pPr>
              <w:jc w:val="center"/>
              <w:rPr>
                <w:rFonts w:ascii="Arial" w:hAnsi="Arial" w:cs="Arial"/>
                <w:b/>
                <w:bCs/>
                <w:color w:val="000000"/>
                <w:sz w:val="18"/>
                <w:szCs w:val="18"/>
                <w:lang w:eastAsia="en-PH"/>
              </w:rPr>
            </w:pPr>
            <w:r w:rsidRPr="00540A02">
              <w:rPr>
                <w:rFonts w:ascii="Arial" w:hAnsi="Arial" w:cs="Arial"/>
                <w:b/>
                <w:bCs/>
                <w:color w:val="000000"/>
                <w:sz w:val="18"/>
                <w:szCs w:val="18"/>
                <w:lang w:eastAsia="en-PH"/>
              </w:rPr>
              <w:t>Rice Farming</w:t>
            </w:r>
          </w:p>
        </w:tc>
        <w:tc>
          <w:tcPr>
            <w:tcW w:w="369" w:type="pct"/>
            <w:tcBorders>
              <w:top w:val="single" w:sz="12" w:space="0" w:color="000000"/>
              <w:bottom w:val="single" w:sz="12" w:space="0" w:color="000000"/>
              <w:right w:val="single" w:sz="12" w:space="0" w:color="000000"/>
            </w:tcBorders>
            <w:vAlign w:val="center"/>
            <w:hideMark/>
          </w:tcPr>
          <w:p w14:paraId="057C22EE" w14:textId="77777777" w:rsidR="00540A02" w:rsidRPr="00540A02" w:rsidRDefault="00540A02" w:rsidP="00F14F82">
            <w:pPr>
              <w:jc w:val="center"/>
              <w:rPr>
                <w:rFonts w:ascii="Arial" w:hAnsi="Arial" w:cs="Arial"/>
                <w:b/>
                <w:bCs/>
                <w:color w:val="000000"/>
                <w:sz w:val="18"/>
                <w:szCs w:val="18"/>
                <w:lang w:eastAsia="en-PH"/>
              </w:rPr>
            </w:pPr>
            <w:r w:rsidRPr="00540A02">
              <w:rPr>
                <w:rFonts w:ascii="Arial" w:hAnsi="Arial" w:cs="Arial"/>
                <w:b/>
                <w:bCs/>
                <w:color w:val="000000"/>
                <w:sz w:val="18"/>
                <w:szCs w:val="18"/>
                <w:lang w:eastAsia="en-PH"/>
              </w:rPr>
              <w:t>Unemployed</w:t>
            </w:r>
          </w:p>
        </w:tc>
        <w:tc>
          <w:tcPr>
            <w:tcW w:w="380" w:type="pct"/>
            <w:tcBorders>
              <w:top w:val="single" w:sz="12" w:space="0" w:color="000000"/>
              <w:left w:val="single" w:sz="12" w:space="0" w:color="000000"/>
              <w:bottom w:val="single" w:sz="12" w:space="0" w:color="000000"/>
            </w:tcBorders>
            <w:vAlign w:val="center"/>
            <w:hideMark/>
          </w:tcPr>
          <w:p w14:paraId="0654B159" w14:textId="77777777" w:rsidR="00540A02" w:rsidRPr="00540A02" w:rsidRDefault="00540A02" w:rsidP="00F14F82">
            <w:pPr>
              <w:jc w:val="center"/>
              <w:rPr>
                <w:rFonts w:ascii="Arial" w:hAnsi="Arial" w:cs="Arial"/>
                <w:b/>
                <w:bCs/>
                <w:color w:val="000000"/>
                <w:sz w:val="18"/>
                <w:szCs w:val="18"/>
                <w:lang w:eastAsia="en-PH"/>
              </w:rPr>
            </w:pPr>
            <w:r w:rsidRPr="00540A02">
              <w:rPr>
                <w:rFonts w:ascii="Arial" w:hAnsi="Arial" w:cs="Arial"/>
                <w:b/>
                <w:bCs/>
                <w:color w:val="000000"/>
                <w:sz w:val="18"/>
                <w:szCs w:val="18"/>
                <w:lang w:eastAsia="en-PH"/>
              </w:rPr>
              <w:t>Wage</w:t>
            </w:r>
          </w:p>
        </w:tc>
        <w:tc>
          <w:tcPr>
            <w:tcW w:w="382" w:type="pct"/>
            <w:tcBorders>
              <w:top w:val="single" w:sz="12" w:space="0" w:color="000000"/>
              <w:bottom w:val="single" w:sz="12" w:space="0" w:color="000000"/>
            </w:tcBorders>
            <w:vAlign w:val="center"/>
            <w:hideMark/>
          </w:tcPr>
          <w:p w14:paraId="7A244F3D" w14:textId="77777777" w:rsidR="00540A02" w:rsidRPr="00540A02" w:rsidRDefault="00540A02" w:rsidP="00F14F82">
            <w:pPr>
              <w:jc w:val="center"/>
              <w:rPr>
                <w:rFonts w:ascii="Arial" w:hAnsi="Arial" w:cs="Arial"/>
                <w:b/>
                <w:bCs/>
                <w:color w:val="000000"/>
                <w:sz w:val="18"/>
                <w:szCs w:val="18"/>
                <w:lang w:eastAsia="en-PH"/>
              </w:rPr>
            </w:pPr>
            <w:r w:rsidRPr="00540A02">
              <w:rPr>
                <w:rFonts w:ascii="Arial" w:hAnsi="Arial" w:cs="Arial"/>
                <w:b/>
                <w:bCs/>
                <w:color w:val="000000"/>
                <w:sz w:val="18"/>
                <w:szCs w:val="18"/>
                <w:lang w:eastAsia="en-PH"/>
              </w:rPr>
              <w:t>Non Rice Farning</w:t>
            </w:r>
          </w:p>
        </w:tc>
        <w:tc>
          <w:tcPr>
            <w:tcW w:w="369" w:type="pct"/>
            <w:tcBorders>
              <w:top w:val="single" w:sz="12" w:space="0" w:color="000000"/>
              <w:bottom w:val="single" w:sz="12" w:space="0" w:color="000000"/>
            </w:tcBorders>
            <w:vAlign w:val="center"/>
            <w:hideMark/>
          </w:tcPr>
          <w:p w14:paraId="5E00C1EE" w14:textId="77777777" w:rsidR="00540A02" w:rsidRPr="00540A02" w:rsidRDefault="00540A02" w:rsidP="00F14F82">
            <w:pPr>
              <w:jc w:val="center"/>
              <w:rPr>
                <w:rFonts w:ascii="Arial" w:hAnsi="Arial" w:cs="Arial"/>
                <w:b/>
                <w:bCs/>
                <w:color w:val="000000"/>
                <w:sz w:val="18"/>
                <w:szCs w:val="18"/>
                <w:lang w:eastAsia="en-PH"/>
              </w:rPr>
            </w:pPr>
            <w:r w:rsidRPr="00540A02">
              <w:rPr>
                <w:rFonts w:ascii="Arial" w:hAnsi="Arial" w:cs="Arial"/>
                <w:b/>
                <w:bCs/>
                <w:color w:val="000000"/>
                <w:sz w:val="18"/>
                <w:szCs w:val="18"/>
                <w:lang w:eastAsia="en-PH"/>
              </w:rPr>
              <w:t>Rice Farming</w:t>
            </w:r>
          </w:p>
        </w:tc>
        <w:tc>
          <w:tcPr>
            <w:tcW w:w="424" w:type="pct"/>
            <w:tcBorders>
              <w:top w:val="single" w:sz="12" w:space="0" w:color="000000"/>
              <w:bottom w:val="single" w:sz="12" w:space="0" w:color="000000"/>
            </w:tcBorders>
            <w:vAlign w:val="center"/>
            <w:hideMark/>
          </w:tcPr>
          <w:p w14:paraId="5E1CC185" w14:textId="77777777" w:rsidR="00540A02" w:rsidRPr="00540A02" w:rsidRDefault="00540A02" w:rsidP="00F14F82">
            <w:pPr>
              <w:jc w:val="center"/>
              <w:rPr>
                <w:rFonts w:ascii="Arial" w:hAnsi="Arial" w:cs="Arial"/>
                <w:b/>
                <w:bCs/>
                <w:color w:val="000000"/>
                <w:sz w:val="18"/>
                <w:szCs w:val="18"/>
                <w:lang w:eastAsia="en-PH"/>
              </w:rPr>
            </w:pPr>
            <w:r w:rsidRPr="00540A02">
              <w:rPr>
                <w:rFonts w:ascii="Arial" w:hAnsi="Arial" w:cs="Arial"/>
                <w:b/>
                <w:bCs/>
                <w:color w:val="000000"/>
                <w:sz w:val="18"/>
                <w:szCs w:val="18"/>
                <w:lang w:eastAsia="en-PH"/>
              </w:rPr>
              <w:t>Unemployed</w:t>
            </w:r>
          </w:p>
        </w:tc>
      </w:tr>
      <w:tr w:rsidR="00540A02" w:rsidRPr="00540A02" w14:paraId="7BD63A12" w14:textId="77777777" w:rsidTr="00F14F82">
        <w:trPr>
          <w:trHeight w:val="239"/>
        </w:trPr>
        <w:tc>
          <w:tcPr>
            <w:tcW w:w="529" w:type="pct"/>
            <w:tcBorders>
              <w:top w:val="single" w:sz="12" w:space="0" w:color="000000"/>
              <w:right w:val="single" w:sz="12" w:space="0" w:color="000000"/>
            </w:tcBorders>
            <w:noWrap/>
            <w:vAlign w:val="bottom"/>
            <w:hideMark/>
          </w:tcPr>
          <w:p w14:paraId="711DE850" w14:textId="77777777" w:rsidR="00540A02" w:rsidRPr="00540A02" w:rsidRDefault="00540A02" w:rsidP="00F14F82">
            <w:pPr>
              <w:rPr>
                <w:rFonts w:ascii="Arial" w:hAnsi="Arial" w:cs="Arial"/>
                <w:color w:val="000000"/>
                <w:sz w:val="18"/>
                <w:szCs w:val="18"/>
                <w:lang w:eastAsia="en-PH"/>
              </w:rPr>
            </w:pPr>
            <w:r w:rsidRPr="00540A02">
              <w:rPr>
                <w:rFonts w:ascii="Arial" w:hAnsi="Arial" w:cs="Arial"/>
                <w:color w:val="000000"/>
                <w:sz w:val="18"/>
                <w:szCs w:val="18"/>
                <w:lang w:eastAsia="en-PH"/>
              </w:rPr>
              <w:t>Region I</w:t>
            </w:r>
          </w:p>
        </w:tc>
        <w:tc>
          <w:tcPr>
            <w:tcW w:w="363" w:type="pct"/>
            <w:tcBorders>
              <w:top w:val="single" w:sz="12" w:space="0" w:color="000000"/>
              <w:left w:val="single" w:sz="12" w:space="0" w:color="000000"/>
            </w:tcBorders>
            <w:noWrap/>
            <w:vAlign w:val="bottom"/>
            <w:hideMark/>
          </w:tcPr>
          <w:p w14:paraId="2366414C" w14:textId="77777777" w:rsidR="00540A02" w:rsidRPr="00540A02" w:rsidRDefault="00540A02" w:rsidP="00F14F82">
            <w:pPr>
              <w:jc w:val="right"/>
              <w:rPr>
                <w:rFonts w:ascii="Arial" w:hAnsi="Arial" w:cs="Arial"/>
                <w:color w:val="000000"/>
                <w:sz w:val="18"/>
                <w:szCs w:val="18"/>
                <w:lang w:eastAsia="en-PH"/>
              </w:rPr>
            </w:pPr>
            <w:r w:rsidRPr="00540A02">
              <w:rPr>
                <w:rFonts w:ascii="Arial" w:hAnsi="Arial" w:cs="Arial"/>
                <w:color w:val="000000"/>
                <w:sz w:val="18"/>
                <w:szCs w:val="18"/>
                <w:lang w:eastAsia="en-PH"/>
              </w:rPr>
              <w:t>2413</w:t>
            </w:r>
          </w:p>
        </w:tc>
        <w:tc>
          <w:tcPr>
            <w:tcW w:w="354" w:type="pct"/>
            <w:tcBorders>
              <w:top w:val="single" w:sz="12" w:space="0" w:color="000000"/>
            </w:tcBorders>
            <w:noWrap/>
            <w:vAlign w:val="bottom"/>
            <w:hideMark/>
          </w:tcPr>
          <w:p w14:paraId="24E3BA62" w14:textId="77777777" w:rsidR="00540A02" w:rsidRPr="00540A02" w:rsidRDefault="00540A02" w:rsidP="00F14F82">
            <w:pPr>
              <w:jc w:val="right"/>
              <w:rPr>
                <w:rFonts w:ascii="Arial" w:hAnsi="Arial" w:cs="Arial"/>
                <w:color w:val="000000"/>
                <w:sz w:val="18"/>
                <w:szCs w:val="18"/>
                <w:lang w:eastAsia="en-PH"/>
              </w:rPr>
            </w:pPr>
            <w:r w:rsidRPr="00540A02">
              <w:rPr>
                <w:rFonts w:ascii="Arial" w:hAnsi="Arial" w:cs="Arial"/>
                <w:color w:val="000000"/>
                <w:sz w:val="18"/>
                <w:szCs w:val="18"/>
                <w:lang w:eastAsia="en-PH"/>
              </w:rPr>
              <w:t>1241</w:t>
            </w:r>
          </w:p>
        </w:tc>
        <w:tc>
          <w:tcPr>
            <w:tcW w:w="369" w:type="pct"/>
            <w:tcBorders>
              <w:top w:val="single" w:sz="12" w:space="0" w:color="000000"/>
            </w:tcBorders>
            <w:noWrap/>
            <w:vAlign w:val="bottom"/>
            <w:hideMark/>
          </w:tcPr>
          <w:p w14:paraId="4F71F6CD" w14:textId="77777777" w:rsidR="00540A02" w:rsidRPr="00540A02" w:rsidRDefault="00540A02" w:rsidP="00F14F82">
            <w:pPr>
              <w:jc w:val="right"/>
              <w:rPr>
                <w:rFonts w:ascii="Arial" w:hAnsi="Arial" w:cs="Arial"/>
                <w:color w:val="000000"/>
                <w:sz w:val="18"/>
                <w:szCs w:val="18"/>
                <w:lang w:eastAsia="en-PH"/>
              </w:rPr>
            </w:pPr>
            <w:r w:rsidRPr="00540A02">
              <w:rPr>
                <w:rFonts w:ascii="Arial" w:hAnsi="Arial" w:cs="Arial"/>
                <w:color w:val="000000"/>
                <w:sz w:val="18"/>
                <w:szCs w:val="18"/>
                <w:lang w:eastAsia="en-PH"/>
              </w:rPr>
              <w:t>835</w:t>
            </w:r>
          </w:p>
        </w:tc>
        <w:tc>
          <w:tcPr>
            <w:tcW w:w="336" w:type="pct"/>
            <w:tcBorders>
              <w:top w:val="single" w:sz="12" w:space="0" w:color="000000"/>
              <w:right w:val="single" w:sz="12" w:space="0" w:color="000000"/>
            </w:tcBorders>
            <w:noWrap/>
            <w:vAlign w:val="bottom"/>
            <w:hideMark/>
          </w:tcPr>
          <w:p w14:paraId="6215EEF6" w14:textId="77777777" w:rsidR="00540A02" w:rsidRPr="00540A02" w:rsidRDefault="00540A02" w:rsidP="00F14F82">
            <w:pPr>
              <w:jc w:val="right"/>
              <w:rPr>
                <w:rFonts w:ascii="Arial" w:hAnsi="Arial" w:cs="Arial"/>
                <w:color w:val="000000"/>
                <w:sz w:val="18"/>
                <w:szCs w:val="18"/>
                <w:lang w:eastAsia="en-PH"/>
              </w:rPr>
            </w:pPr>
            <w:r w:rsidRPr="00540A02">
              <w:rPr>
                <w:rFonts w:ascii="Arial" w:hAnsi="Arial" w:cs="Arial"/>
                <w:color w:val="000000"/>
                <w:sz w:val="18"/>
                <w:szCs w:val="18"/>
                <w:lang w:eastAsia="en-PH"/>
              </w:rPr>
              <w:t>1403</w:t>
            </w:r>
          </w:p>
        </w:tc>
        <w:tc>
          <w:tcPr>
            <w:tcW w:w="383" w:type="pct"/>
            <w:tcBorders>
              <w:top w:val="single" w:sz="12" w:space="0" w:color="000000"/>
              <w:left w:val="single" w:sz="12" w:space="0" w:color="000000"/>
            </w:tcBorders>
            <w:noWrap/>
            <w:vAlign w:val="bottom"/>
            <w:hideMark/>
          </w:tcPr>
          <w:p w14:paraId="7E7D410F" w14:textId="77777777" w:rsidR="00540A02" w:rsidRPr="00540A02" w:rsidRDefault="00540A02" w:rsidP="00F14F82">
            <w:pPr>
              <w:jc w:val="right"/>
              <w:rPr>
                <w:rFonts w:ascii="Arial" w:hAnsi="Arial" w:cs="Arial"/>
                <w:color w:val="000000"/>
                <w:sz w:val="18"/>
                <w:szCs w:val="18"/>
                <w:lang w:eastAsia="en-PH"/>
              </w:rPr>
            </w:pPr>
            <w:r w:rsidRPr="00540A02">
              <w:rPr>
                <w:rFonts w:ascii="Arial" w:hAnsi="Arial" w:cs="Arial"/>
                <w:color w:val="000000"/>
                <w:sz w:val="18"/>
                <w:szCs w:val="18"/>
                <w:lang w:eastAsia="en-PH"/>
              </w:rPr>
              <w:t>2415</w:t>
            </w:r>
          </w:p>
        </w:tc>
        <w:tc>
          <w:tcPr>
            <w:tcW w:w="368" w:type="pct"/>
            <w:tcBorders>
              <w:top w:val="single" w:sz="12" w:space="0" w:color="000000"/>
            </w:tcBorders>
            <w:noWrap/>
            <w:vAlign w:val="bottom"/>
            <w:hideMark/>
          </w:tcPr>
          <w:p w14:paraId="2635D9A8" w14:textId="77777777" w:rsidR="00540A02" w:rsidRPr="00540A02" w:rsidRDefault="00540A02" w:rsidP="00F14F82">
            <w:pPr>
              <w:jc w:val="right"/>
              <w:rPr>
                <w:rFonts w:ascii="Arial" w:hAnsi="Arial" w:cs="Arial"/>
                <w:color w:val="000000"/>
                <w:sz w:val="18"/>
                <w:szCs w:val="18"/>
                <w:lang w:eastAsia="en-PH"/>
              </w:rPr>
            </w:pPr>
            <w:r w:rsidRPr="00540A02">
              <w:rPr>
                <w:rFonts w:ascii="Arial" w:hAnsi="Arial" w:cs="Arial"/>
                <w:color w:val="000000"/>
                <w:sz w:val="18"/>
                <w:szCs w:val="18"/>
                <w:lang w:eastAsia="en-PH"/>
              </w:rPr>
              <w:t>1283</w:t>
            </w:r>
          </w:p>
        </w:tc>
        <w:tc>
          <w:tcPr>
            <w:tcW w:w="373" w:type="pct"/>
            <w:tcBorders>
              <w:top w:val="single" w:sz="12" w:space="0" w:color="000000"/>
            </w:tcBorders>
            <w:noWrap/>
            <w:vAlign w:val="bottom"/>
            <w:hideMark/>
          </w:tcPr>
          <w:p w14:paraId="7AEBC996" w14:textId="77777777" w:rsidR="00540A02" w:rsidRPr="00540A02" w:rsidRDefault="00540A02" w:rsidP="00F14F82">
            <w:pPr>
              <w:jc w:val="right"/>
              <w:rPr>
                <w:rFonts w:ascii="Arial" w:hAnsi="Arial" w:cs="Arial"/>
                <w:color w:val="000000"/>
                <w:sz w:val="18"/>
                <w:szCs w:val="18"/>
                <w:lang w:eastAsia="en-PH"/>
              </w:rPr>
            </w:pPr>
            <w:r w:rsidRPr="00540A02">
              <w:rPr>
                <w:rFonts w:ascii="Arial" w:hAnsi="Arial" w:cs="Arial"/>
                <w:color w:val="000000"/>
                <w:sz w:val="18"/>
                <w:szCs w:val="18"/>
                <w:lang w:eastAsia="en-PH"/>
              </w:rPr>
              <w:t>1331</w:t>
            </w:r>
          </w:p>
        </w:tc>
        <w:tc>
          <w:tcPr>
            <w:tcW w:w="369" w:type="pct"/>
            <w:tcBorders>
              <w:top w:val="single" w:sz="12" w:space="0" w:color="000000"/>
              <w:right w:val="single" w:sz="12" w:space="0" w:color="000000"/>
            </w:tcBorders>
            <w:noWrap/>
            <w:vAlign w:val="bottom"/>
            <w:hideMark/>
          </w:tcPr>
          <w:p w14:paraId="42A16B3D" w14:textId="77777777" w:rsidR="00540A02" w:rsidRPr="00540A02" w:rsidRDefault="00540A02" w:rsidP="00F14F82">
            <w:pPr>
              <w:jc w:val="right"/>
              <w:rPr>
                <w:rFonts w:ascii="Arial" w:hAnsi="Arial" w:cs="Arial"/>
                <w:color w:val="000000"/>
                <w:sz w:val="18"/>
                <w:szCs w:val="18"/>
                <w:lang w:eastAsia="en-PH"/>
              </w:rPr>
            </w:pPr>
            <w:r w:rsidRPr="00540A02">
              <w:rPr>
                <w:rFonts w:ascii="Arial" w:hAnsi="Arial" w:cs="Arial"/>
                <w:color w:val="000000"/>
                <w:sz w:val="18"/>
                <w:szCs w:val="18"/>
                <w:lang w:eastAsia="en-PH"/>
              </w:rPr>
              <w:t>1626</w:t>
            </w:r>
          </w:p>
        </w:tc>
        <w:tc>
          <w:tcPr>
            <w:tcW w:w="380" w:type="pct"/>
            <w:tcBorders>
              <w:top w:val="single" w:sz="12" w:space="0" w:color="000000"/>
              <w:left w:val="single" w:sz="12" w:space="0" w:color="000000"/>
            </w:tcBorders>
            <w:noWrap/>
            <w:vAlign w:val="center"/>
            <w:hideMark/>
          </w:tcPr>
          <w:p w14:paraId="459BE4CB" w14:textId="77777777" w:rsidR="00540A02" w:rsidRPr="00540A02" w:rsidRDefault="00540A02" w:rsidP="00F14F82">
            <w:pPr>
              <w:jc w:val="center"/>
              <w:rPr>
                <w:rFonts w:ascii="Arial" w:hAnsi="Arial" w:cs="Arial"/>
                <w:color w:val="000000"/>
                <w:sz w:val="18"/>
                <w:szCs w:val="18"/>
                <w:lang w:eastAsia="en-PH"/>
              </w:rPr>
            </w:pPr>
            <w:r w:rsidRPr="00540A02">
              <w:rPr>
                <w:rFonts w:ascii="Arial" w:hAnsi="Arial" w:cs="Arial"/>
                <w:color w:val="000000"/>
                <w:sz w:val="18"/>
                <w:szCs w:val="18"/>
                <w:lang w:eastAsia="en-PH"/>
              </w:rPr>
              <w:t>0.00</w:t>
            </w:r>
          </w:p>
        </w:tc>
        <w:tc>
          <w:tcPr>
            <w:tcW w:w="382" w:type="pct"/>
            <w:tcBorders>
              <w:top w:val="single" w:sz="12" w:space="0" w:color="000000"/>
            </w:tcBorders>
            <w:noWrap/>
            <w:vAlign w:val="center"/>
            <w:hideMark/>
          </w:tcPr>
          <w:p w14:paraId="08A50D3A" w14:textId="77777777" w:rsidR="00540A02" w:rsidRPr="00540A02" w:rsidRDefault="00540A02" w:rsidP="00F14F82">
            <w:pPr>
              <w:jc w:val="center"/>
              <w:rPr>
                <w:rFonts w:ascii="Arial" w:hAnsi="Arial" w:cs="Arial"/>
                <w:color w:val="000000"/>
                <w:sz w:val="18"/>
                <w:szCs w:val="18"/>
                <w:lang w:eastAsia="en-PH"/>
              </w:rPr>
            </w:pPr>
            <w:r w:rsidRPr="00540A02">
              <w:rPr>
                <w:rFonts w:ascii="Arial" w:hAnsi="Arial" w:cs="Arial"/>
                <w:color w:val="000000"/>
                <w:sz w:val="18"/>
                <w:szCs w:val="18"/>
                <w:lang w:eastAsia="en-PH"/>
              </w:rPr>
              <w:t>0.03</w:t>
            </w:r>
          </w:p>
        </w:tc>
        <w:tc>
          <w:tcPr>
            <w:tcW w:w="369" w:type="pct"/>
            <w:tcBorders>
              <w:top w:val="single" w:sz="12" w:space="0" w:color="000000"/>
            </w:tcBorders>
            <w:noWrap/>
            <w:vAlign w:val="center"/>
            <w:hideMark/>
          </w:tcPr>
          <w:p w14:paraId="3EF91681" w14:textId="77777777" w:rsidR="00540A02" w:rsidRPr="00540A02" w:rsidRDefault="00540A02" w:rsidP="00F14F82">
            <w:pPr>
              <w:jc w:val="center"/>
              <w:rPr>
                <w:rFonts w:ascii="Arial" w:hAnsi="Arial" w:cs="Arial"/>
                <w:color w:val="000000"/>
                <w:sz w:val="18"/>
                <w:szCs w:val="18"/>
                <w:lang w:eastAsia="en-PH"/>
              </w:rPr>
            </w:pPr>
            <w:r w:rsidRPr="00540A02">
              <w:rPr>
                <w:rFonts w:ascii="Arial" w:hAnsi="Arial" w:cs="Arial"/>
                <w:color w:val="000000"/>
                <w:sz w:val="18"/>
                <w:szCs w:val="18"/>
                <w:lang w:eastAsia="en-PH"/>
              </w:rPr>
              <w:t>0.59</w:t>
            </w:r>
          </w:p>
        </w:tc>
        <w:tc>
          <w:tcPr>
            <w:tcW w:w="424" w:type="pct"/>
            <w:tcBorders>
              <w:top w:val="single" w:sz="12" w:space="0" w:color="000000"/>
            </w:tcBorders>
            <w:noWrap/>
            <w:vAlign w:val="center"/>
            <w:hideMark/>
          </w:tcPr>
          <w:p w14:paraId="74E121AF" w14:textId="77777777" w:rsidR="00540A02" w:rsidRPr="00540A02" w:rsidRDefault="00540A02" w:rsidP="00F14F82">
            <w:pPr>
              <w:jc w:val="center"/>
              <w:rPr>
                <w:rFonts w:ascii="Arial" w:hAnsi="Arial" w:cs="Arial"/>
                <w:color w:val="000000"/>
                <w:sz w:val="18"/>
                <w:szCs w:val="18"/>
                <w:lang w:eastAsia="en-PH"/>
              </w:rPr>
            </w:pPr>
            <w:r w:rsidRPr="00540A02">
              <w:rPr>
                <w:rFonts w:ascii="Arial" w:hAnsi="Arial" w:cs="Arial"/>
                <w:color w:val="000000"/>
                <w:sz w:val="18"/>
                <w:szCs w:val="18"/>
                <w:lang w:eastAsia="en-PH"/>
              </w:rPr>
              <w:t>0.16</w:t>
            </w:r>
          </w:p>
        </w:tc>
      </w:tr>
      <w:tr w:rsidR="00540A02" w:rsidRPr="00540A02" w14:paraId="2D7D79CF" w14:textId="77777777" w:rsidTr="00F14F82">
        <w:trPr>
          <w:trHeight w:val="226"/>
        </w:trPr>
        <w:tc>
          <w:tcPr>
            <w:tcW w:w="529" w:type="pct"/>
            <w:tcBorders>
              <w:right w:val="single" w:sz="12" w:space="0" w:color="000000"/>
            </w:tcBorders>
            <w:noWrap/>
            <w:vAlign w:val="bottom"/>
            <w:hideMark/>
          </w:tcPr>
          <w:p w14:paraId="647EBC59" w14:textId="77777777" w:rsidR="00540A02" w:rsidRPr="00540A02" w:rsidRDefault="00540A02" w:rsidP="00F14F82">
            <w:pPr>
              <w:rPr>
                <w:rFonts w:ascii="Arial" w:hAnsi="Arial" w:cs="Arial"/>
                <w:color w:val="000000"/>
                <w:sz w:val="18"/>
                <w:szCs w:val="18"/>
                <w:lang w:eastAsia="en-PH"/>
              </w:rPr>
            </w:pPr>
            <w:r w:rsidRPr="00540A02">
              <w:rPr>
                <w:rFonts w:ascii="Arial" w:hAnsi="Arial" w:cs="Arial"/>
                <w:color w:val="000000"/>
                <w:sz w:val="18"/>
                <w:szCs w:val="18"/>
                <w:lang w:eastAsia="en-PH"/>
              </w:rPr>
              <w:t>Region II</w:t>
            </w:r>
          </w:p>
        </w:tc>
        <w:tc>
          <w:tcPr>
            <w:tcW w:w="363" w:type="pct"/>
            <w:tcBorders>
              <w:left w:val="single" w:sz="12" w:space="0" w:color="000000"/>
            </w:tcBorders>
            <w:noWrap/>
            <w:vAlign w:val="bottom"/>
            <w:hideMark/>
          </w:tcPr>
          <w:p w14:paraId="6D0C8D41" w14:textId="77777777" w:rsidR="00540A02" w:rsidRPr="00540A02" w:rsidRDefault="00540A02" w:rsidP="00F14F82">
            <w:pPr>
              <w:jc w:val="right"/>
              <w:rPr>
                <w:rFonts w:ascii="Arial" w:hAnsi="Arial" w:cs="Arial"/>
                <w:color w:val="000000"/>
                <w:sz w:val="18"/>
                <w:szCs w:val="18"/>
                <w:lang w:eastAsia="en-PH"/>
              </w:rPr>
            </w:pPr>
            <w:r w:rsidRPr="00540A02">
              <w:rPr>
                <w:rFonts w:ascii="Arial" w:hAnsi="Arial" w:cs="Arial"/>
                <w:color w:val="000000"/>
                <w:sz w:val="18"/>
                <w:szCs w:val="18"/>
                <w:lang w:eastAsia="en-PH"/>
              </w:rPr>
              <w:t>2733</w:t>
            </w:r>
          </w:p>
        </w:tc>
        <w:tc>
          <w:tcPr>
            <w:tcW w:w="354" w:type="pct"/>
            <w:noWrap/>
            <w:vAlign w:val="bottom"/>
            <w:hideMark/>
          </w:tcPr>
          <w:p w14:paraId="1593D82C" w14:textId="77777777" w:rsidR="00540A02" w:rsidRPr="00540A02" w:rsidRDefault="00540A02" w:rsidP="00F14F82">
            <w:pPr>
              <w:jc w:val="right"/>
              <w:rPr>
                <w:rFonts w:ascii="Arial" w:hAnsi="Arial" w:cs="Arial"/>
                <w:color w:val="000000"/>
                <w:sz w:val="18"/>
                <w:szCs w:val="18"/>
                <w:lang w:eastAsia="en-PH"/>
              </w:rPr>
            </w:pPr>
            <w:r w:rsidRPr="00540A02">
              <w:rPr>
                <w:rFonts w:ascii="Arial" w:hAnsi="Arial" w:cs="Arial"/>
                <w:color w:val="000000"/>
                <w:sz w:val="18"/>
                <w:szCs w:val="18"/>
                <w:lang w:eastAsia="en-PH"/>
              </w:rPr>
              <w:t>2220</w:t>
            </w:r>
          </w:p>
        </w:tc>
        <w:tc>
          <w:tcPr>
            <w:tcW w:w="369" w:type="pct"/>
            <w:noWrap/>
            <w:vAlign w:val="bottom"/>
            <w:hideMark/>
          </w:tcPr>
          <w:p w14:paraId="63D8D6A4" w14:textId="77777777" w:rsidR="00540A02" w:rsidRPr="00540A02" w:rsidRDefault="00540A02" w:rsidP="00F14F82">
            <w:pPr>
              <w:jc w:val="right"/>
              <w:rPr>
                <w:rFonts w:ascii="Arial" w:hAnsi="Arial" w:cs="Arial"/>
                <w:color w:val="000000"/>
                <w:sz w:val="18"/>
                <w:szCs w:val="18"/>
                <w:lang w:eastAsia="en-PH"/>
              </w:rPr>
            </w:pPr>
            <w:r w:rsidRPr="00540A02">
              <w:rPr>
                <w:rFonts w:ascii="Arial" w:hAnsi="Arial" w:cs="Arial"/>
                <w:color w:val="000000"/>
                <w:sz w:val="18"/>
                <w:szCs w:val="18"/>
                <w:lang w:eastAsia="en-PH"/>
              </w:rPr>
              <w:t>235</w:t>
            </w:r>
          </w:p>
        </w:tc>
        <w:tc>
          <w:tcPr>
            <w:tcW w:w="336" w:type="pct"/>
            <w:tcBorders>
              <w:right w:val="single" w:sz="12" w:space="0" w:color="000000"/>
            </w:tcBorders>
            <w:noWrap/>
            <w:vAlign w:val="bottom"/>
            <w:hideMark/>
          </w:tcPr>
          <w:p w14:paraId="10AF366F" w14:textId="77777777" w:rsidR="00540A02" w:rsidRPr="00540A02" w:rsidRDefault="00540A02" w:rsidP="00F14F82">
            <w:pPr>
              <w:jc w:val="right"/>
              <w:rPr>
                <w:rFonts w:ascii="Arial" w:hAnsi="Arial" w:cs="Arial"/>
                <w:color w:val="000000"/>
                <w:sz w:val="18"/>
                <w:szCs w:val="18"/>
                <w:lang w:eastAsia="en-PH"/>
              </w:rPr>
            </w:pPr>
            <w:r w:rsidRPr="00540A02">
              <w:rPr>
                <w:rFonts w:ascii="Arial" w:hAnsi="Arial" w:cs="Arial"/>
                <w:color w:val="000000"/>
                <w:sz w:val="18"/>
                <w:szCs w:val="18"/>
                <w:lang w:eastAsia="en-PH"/>
              </w:rPr>
              <w:t>1090</w:t>
            </w:r>
          </w:p>
        </w:tc>
        <w:tc>
          <w:tcPr>
            <w:tcW w:w="383" w:type="pct"/>
            <w:tcBorders>
              <w:left w:val="single" w:sz="12" w:space="0" w:color="000000"/>
            </w:tcBorders>
            <w:noWrap/>
            <w:vAlign w:val="bottom"/>
            <w:hideMark/>
          </w:tcPr>
          <w:p w14:paraId="2CC80689" w14:textId="77777777" w:rsidR="00540A02" w:rsidRPr="00540A02" w:rsidRDefault="00540A02" w:rsidP="00F14F82">
            <w:pPr>
              <w:jc w:val="right"/>
              <w:rPr>
                <w:rFonts w:ascii="Arial" w:hAnsi="Arial" w:cs="Arial"/>
                <w:color w:val="000000"/>
                <w:sz w:val="18"/>
                <w:szCs w:val="18"/>
                <w:lang w:eastAsia="en-PH"/>
              </w:rPr>
            </w:pPr>
            <w:r w:rsidRPr="00540A02">
              <w:rPr>
                <w:rFonts w:ascii="Arial" w:hAnsi="Arial" w:cs="Arial"/>
                <w:color w:val="000000"/>
                <w:sz w:val="18"/>
                <w:szCs w:val="18"/>
                <w:lang w:eastAsia="en-PH"/>
              </w:rPr>
              <w:t>2761</w:t>
            </w:r>
          </w:p>
        </w:tc>
        <w:tc>
          <w:tcPr>
            <w:tcW w:w="368" w:type="pct"/>
            <w:noWrap/>
            <w:vAlign w:val="bottom"/>
            <w:hideMark/>
          </w:tcPr>
          <w:p w14:paraId="10AF70D1" w14:textId="77777777" w:rsidR="00540A02" w:rsidRPr="00540A02" w:rsidRDefault="00540A02" w:rsidP="00F14F82">
            <w:pPr>
              <w:jc w:val="right"/>
              <w:rPr>
                <w:rFonts w:ascii="Arial" w:hAnsi="Arial" w:cs="Arial"/>
                <w:color w:val="000000"/>
                <w:sz w:val="18"/>
                <w:szCs w:val="18"/>
                <w:lang w:eastAsia="en-PH"/>
              </w:rPr>
            </w:pPr>
            <w:r w:rsidRPr="00540A02">
              <w:rPr>
                <w:rFonts w:ascii="Arial" w:hAnsi="Arial" w:cs="Arial"/>
                <w:color w:val="000000"/>
                <w:sz w:val="18"/>
                <w:szCs w:val="18"/>
                <w:lang w:eastAsia="en-PH"/>
              </w:rPr>
              <w:t>2236</w:t>
            </w:r>
          </w:p>
        </w:tc>
        <w:tc>
          <w:tcPr>
            <w:tcW w:w="373" w:type="pct"/>
            <w:noWrap/>
            <w:vAlign w:val="bottom"/>
            <w:hideMark/>
          </w:tcPr>
          <w:p w14:paraId="3587BA7F" w14:textId="77777777" w:rsidR="00540A02" w:rsidRPr="00540A02" w:rsidRDefault="00540A02" w:rsidP="00F14F82">
            <w:pPr>
              <w:jc w:val="right"/>
              <w:rPr>
                <w:rFonts w:ascii="Arial" w:hAnsi="Arial" w:cs="Arial"/>
                <w:color w:val="000000"/>
                <w:sz w:val="18"/>
                <w:szCs w:val="18"/>
                <w:lang w:eastAsia="en-PH"/>
              </w:rPr>
            </w:pPr>
            <w:r w:rsidRPr="00540A02">
              <w:rPr>
                <w:rFonts w:ascii="Arial" w:hAnsi="Arial" w:cs="Arial"/>
                <w:color w:val="000000"/>
                <w:sz w:val="18"/>
                <w:szCs w:val="18"/>
                <w:lang w:eastAsia="en-PH"/>
              </w:rPr>
              <w:t>367</w:t>
            </w:r>
          </w:p>
        </w:tc>
        <w:tc>
          <w:tcPr>
            <w:tcW w:w="369" w:type="pct"/>
            <w:tcBorders>
              <w:right w:val="single" w:sz="12" w:space="0" w:color="000000"/>
            </w:tcBorders>
            <w:noWrap/>
            <w:vAlign w:val="bottom"/>
            <w:hideMark/>
          </w:tcPr>
          <w:p w14:paraId="330A794C" w14:textId="77777777" w:rsidR="00540A02" w:rsidRPr="00540A02" w:rsidRDefault="00540A02" w:rsidP="00F14F82">
            <w:pPr>
              <w:jc w:val="right"/>
              <w:rPr>
                <w:rFonts w:ascii="Arial" w:hAnsi="Arial" w:cs="Arial"/>
                <w:color w:val="000000"/>
                <w:sz w:val="18"/>
                <w:szCs w:val="18"/>
                <w:lang w:eastAsia="en-PH"/>
              </w:rPr>
            </w:pPr>
            <w:r w:rsidRPr="00540A02">
              <w:rPr>
                <w:rFonts w:ascii="Arial" w:hAnsi="Arial" w:cs="Arial"/>
                <w:color w:val="000000"/>
                <w:sz w:val="18"/>
                <w:szCs w:val="18"/>
                <w:lang w:eastAsia="en-PH"/>
              </w:rPr>
              <w:t>1168</w:t>
            </w:r>
          </w:p>
        </w:tc>
        <w:tc>
          <w:tcPr>
            <w:tcW w:w="380" w:type="pct"/>
            <w:tcBorders>
              <w:left w:val="single" w:sz="12" w:space="0" w:color="000000"/>
            </w:tcBorders>
            <w:noWrap/>
            <w:vAlign w:val="center"/>
            <w:hideMark/>
          </w:tcPr>
          <w:p w14:paraId="33DC2650" w14:textId="77777777" w:rsidR="00540A02" w:rsidRPr="00540A02" w:rsidRDefault="00540A02" w:rsidP="00F14F82">
            <w:pPr>
              <w:jc w:val="center"/>
              <w:rPr>
                <w:rFonts w:ascii="Arial" w:hAnsi="Arial" w:cs="Arial"/>
                <w:color w:val="000000"/>
                <w:sz w:val="18"/>
                <w:szCs w:val="18"/>
                <w:lang w:eastAsia="en-PH"/>
              </w:rPr>
            </w:pPr>
            <w:r w:rsidRPr="00540A02">
              <w:rPr>
                <w:rFonts w:ascii="Arial" w:hAnsi="Arial" w:cs="Arial"/>
                <w:color w:val="000000"/>
                <w:sz w:val="18"/>
                <w:szCs w:val="18"/>
                <w:lang w:eastAsia="en-PH"/>
              </w:rPr>
              <w:t>0.01</w:t>
            </w:r>
          </w:p>
        </w:tc>
        <w:tc>
          <w:tcPr>
            <w:tcW w:w="382" w:type="pct"/>
            <w:noWrap/>
            <w:vAlign w:val="center"/>
            <w:hideMark/>
          </w:tcPr>
          <w:p w14:paraId="1FB68C67" w14:textId="77777777" w:rsidR="00540A02" w:rsidRPr="00540A02" w:rsidRDefault="00540A02" w:rsidP="00F14F82">
            <w:pPr>
              <w:jc w:val="center"/>
              <w:rPr>
                <w:rFonts w:ascii="Arial" w:hAnsi="Arial" w:cs="Arial"/>
                <w:color w:val="000000"/>
                <w:sz w:val="18"/>
                <w:szCs w:val="18"/>
                <w:lang w:eastAsia="en-PH"/>
              </w:rPr>
            </w:pPr>
            <w:r w:rsidRPr="00540A02">
              <w:rPr>
                <w:rFonts w:ascii="Arial" w:hAnsi="Arial" w:cs="Arial"/>
                <w:color w:val="000000"/>
                <w:sz w:val="18"/>
                <w:szCs w:val="18"/>
                <w:lang w:eastAsia="en-PH"/>
              </w:rPr>
              <w:t>0.01</w:t>
            </w:r>
          </w:p>
        </w:tc>
        <w:tc>
          <w:tcPr>
            <w:tcW w:w="369" w:type="pct"/>
            <w:noWrap/>
            <w:vAlign w:val="center"/>
            <w:hideMark/>
          </w:tcPr>
          <w:p w14:paraId="39350DE1" w14:textId="77777777" w:rsidR="00540A02" w:rsidRPr="00540A02" w:rsidRDefault="00540A02" w:rsidP="00F14F82">
            <w:pPr>
              <w:jc w:val="center"/>
              <w:rPr>
                <w:rFonts w:ascii="Arial" w:hAnsi="Arial" w:cs="Arial"/>
                <w:color w:val="000000"/>
                <w:sz w:val="18"/>
                <w:szCs w:val="18"/>
                <w:lang w:eastAsia="en-PH"/>
              </w:rPr>
            </w:pPr>
            <w:r w:rsidRPr="00540A02">
              <w:rPr>
                <w:rFonts w:ascii="Arial" w:hAnsi="Arial" w:cs="Arial"/>
                <w:color w:val="000000"/>
                <w:sz w:val="18"/>
                <w:szCs w:val="18"/>
                <w:lang w:eastAsia="en-PH"/>
              </w:rPr>
              <w:t>0.56</w:t>
            </w:r>
          </w:p>
        </w:tc>
        <w:tc>
          <w:tcPr>
            <w:tcW w:w="424" w:type="pct"/>
            <w:noWrap/>
            <w:vAlign w:val="center"/>
            <w:hideMark/>
          </w:tcPr>
          <w:p w14:paraId="43624F00" w14:textId="77777777" w:rsidR="00540A02" w:rsidRPr="00540A02" w:rsidRDefault="00540A02" w:rsidP="00F14F82">
            <w:pPr>
              <w:jc w:val="center"/>
              <w:rPr>
                <w:rFonts w:ascii="Arial" w:hAnsi="Arial" w:cs="Arial"/>
                <w:color w:val="000000"/>
                <w:sz w:val="18"/>
                <w:szCs w:val="18"/>
                <w:lang w:eastAsia="en-PH"/>
              </w:rPr>
            </w:pPr>
            <w:r w:rsidRPr="00540A02">
              <w:rPr>
                <w:rFonts w:ascii="Arial" w:hAnsi="Arial" w:cs="Arial"/>
                <w:color w:val="000000"/>
                <w:sz w:val="18"/>
                <w:szCs w:val="18"/>
                <w:lang w:eastAsia="en-PH"/>
              </w:rPr>
              <w:t>0.07</w:t>
            </w:r>
          </w:p>
        </w:tc>
      </w:tr>
      <w:tr w:rsidR="00540A02" w:rsidRPr="00540A02" w14:paraId="2FA6304D" w14:textId="77777777" w:rsidTr="00F14F82">
        <w:trPr>
          <w:trHeight w:val="226"/>
        </w:trPr>
        <w:tc>
          <w:tcPr>
            <w:tcW w:w="529" w:type="pct"/>
            <w:tcBorders>
              <w:right w:val="single" w:sz="12" w:space="0" w:color="000000"/>
            </w:tcBorders>
            <w:noWrap/>
            <w:vAlign w:val="bottom"/>
            <w:hideMark/>
          </w:tcPr>
          <w:p w14:paraId="41B6C6A0" w14:textId="77777777" w:rsidR="00540A02" w:rsidRPr="00540A02" w:rsidRDefault="00540A02" w:rsidP="00F14F82">
            <w:pPr>
              <w:rPr>
                <w:rFonts w:ascii="Arial" w:hAnsi="Arial" w:cs="Arial"/>
                <w:color w:val="000000"/>
                <w:sz w:val="18"/>
                <w:szCs w:val="18"/>
                <w:lang w:eastAsia="en-PH"/>
              </w:rPr>
            </w:pPr>
            <w:r w:rsidRPr="00540A02">
              <w:rPr>
                <w:rFonts w:ascii="Arial" w:hAnsi="Arial" w:cs="Arial"/>
                <w:color w:val="000000"/>
                <w:sz w:val="18"/>
                <w:szCs w:val="18"/>
                <w:lang w:eastAsia="en-PH"/>
              </w:rPr>
              <w:t>Region III</w:t>
            </w:r>
          </w:p>
        </w:tc>
        <w:tc>
          <w:tcPr>
            <w:tcW w:w="363" w:type="pct"/>
            <w:tcBorders>
              <w:left w:val="single" w:sz="12" w:space="0" w:color="000000"/>
            </w:tcBorders>
            <w:noWrap/>
            <w:vAlign w:val="bottom"/>
            <w:hideMark/>
          </w:tcPr>
          <w:p w14:paraId="1BEECC75" w14:textId="77777777" w:rsidR="00540A02" w:rsidRPr="00540A02" w:rsidRDefault="00540A02" w:rsidP="00F14F82">
            <w:pPr>
              <w:jc w:val="right"/>
              <w:rPr>
                <w:rFonts w:ascii="Arial" w:hAnsi="Arial" w:cs="Arial"/>
                <w:color w:val="000000"/>
                <w:sz w:val="18"/>
                <w:szCs w:val="18"/>
                <w:lang w:eastAsia="en-PH"/>
              </w:rPr>
            </w:pPr>
            <w:r w:rsidRPr="00540A02">
              <w:rPr>
                <w:rFonts w:ascii="Arial" w:hAnsi="Arial" w:cs="Arial"/>
                <w:color w:val="000000"/>
                <w:sz w:val="18"/>
                <w:szCs w:val="18"/>
                <w:lang w:eastAsia="en-PH"/>
              </w:rPr>
              <w:t>5593</w:t>
            </w:r>
          </w:p>
        </w:tc>
        <w:tc>
          <w:tcPr>
            <w:tcW w:w="354" w:type="pct"/>
            <w:noWrap/>
            <w:vAlign w:val="bottom"/>
            <w:hideMark/>
          </w:tcPr>
          <w:p w14:paraId="3326604C" w14:textId="77777777" w:rsidR="00540A02" w:rsidRPr="00540A02" w:rsidRDefault="00540A02" w:rsidP="00F14F82">
            <w:pPr>
              <w:jc w:val="right"/>
              <w:rPr>
                <w:rFonts w:ascii="Arial" w:hAnsi="Arial" w:cs="Arial"/>
                <w:color w:val="000000"/>
                <w:sz w:val="18"/>
                <w:szCs w:val="18"/>
                <w:lang w:eastAsia="en-PH"/>
              </w:rPr>
            </w:pPr>
            <w:r w:rsidRPr="00540A02">
              <w:rPr>
                <w:rFonts w:ascii="Arial" w:hAnsi="Arial" w:cs="Arial"/>
                <w:color w:val="000000"/>
                <w:sz w:val="18"/>
                <w:szCs w:val="18"/>
                <w:lang w:eastAsia="en-PH"/>
              </w:rPr>
              <w:t>2676</w:t>
            </w:r>
          </w:p>
        </w:tc>
        <w:tc>
          <w:tcPr>
            <w:tcW w:w="369" w:type="pct"/>
            <w:noWrap/>
            <w:vAlign w:val="bottom"/>
            <w:hideMark/>
          </w:tcPr>
          <w:p w14:paraId="62491B80" w14:textId="77777777" w:rsidR="00540A02" w:rsidRPr="00540A02" w:rsidRDefault="00540A02" w:rsidP="00F14F82">
            <w:pPr>
              <w:jc w:val="right"/>
              <w:rPr>
                <w:rFonts w:ascii="Arial" w:hAnsi="Arial" w:cs="Arial"/>
                <w:color w:val="000000"/>
                <w:sz w:val="18"/>
                <w:szCs w:val="18"/>
                <w:lang w:eastAsia="en-PH"/>
              </w:rPr>
            </w:pPr>
            <w:r w:rsidRPr="00540A02">
              <w:rPr>
                <w:rFonts w:ascii="Arial" w:hAnsi="Arial" w:cs="Arial"/>
                <w:color w:val="000000"/>
                <w:sz w:val="18"/>
                <w:szCs w:val="18"/>
                <w:lang w:eastAsia="en-PH"/>
              </w:rPr>
              <w:t>479</w:t>
            </w:r>
          </w:p>
        </w:tc>
        <w:tc>
          <w:tcPr>
            <w:tcW w:w="336" w:type="pct"/>
            <w:tcBorders>
              <w:right w:val="single" w:sz="12" w:space="0" w:color="000000"/>
            </w:tcBorders>
            <w:noWrap/>
            <w:vAlign w:val="bottom"/>
            <w:hideMark/>
          </w:tcPr>
          <w:p w14:paraId="29B0D9D0" w14:textId="77777777" w:rsidR="00540A02" w:rsidRPr="00540A02" w:rsidRDefault="00540A02" w:rsidP="00F14F82">
            <w:pPr>
              <w:jc w:val="right"/>
              <w:rPr>
                <w:rFonts w:ascii="Arial" w:hAnsi="Arial" w:cs="Arial"/>
                <w:color w:val="000000"/>
                <w:sz w:val="18"/>
                <w:szCs w:val="18"/>
                <w:lang w:eastAsia="en-PH"/>
              </w:rPr>
            </w:pPr>
            <w:r w:rsidRPr="00540A02">
              <w:rPr>
                <w:rFonts w:ascii="Arial" w:hAnsi="Arial" w:cs="Arial"/>
                <w:color w:val="000000"/>
                <w:sz w:val="18"/>
                <w:szCs w:val="18"/>
                <w:lang w:eastAsia="en-PH"/>
              </w:rPr>
              <w:t>3059</w:t>
            </w:r>
          </w:p>
        </w:tc>
        <w:tc>
          <w:tcPr>
            <w:tcW w:w="383" w:type="pct"/>
            <w:tcBorders>
              <w:left w:val="single" w:sz="12" w:space="0" w:color="000000"/>
            </w:tcBorders>
            <w:noWrap/>
            <w:vAlign w:val="bottom"/>
            <w:hideMark/>
          </w:tcPr>
          <w:p w14:paraId="00A0D204" w14:textId="77777777" w:rsidR="00540A02" w:rsidRPr="00540A02" w:rsidRDefault="00540A02" w:rsidP="00F14F82">
            <w:pPr>
              <w:jc w:val="right"/>
              <w:rPr>
                <w:rFonts w:ascii="Arial" w:hAnsi="Arial" w:cs="Arial"/>
                <w:color w:val="000000"/>
                <w:sz w:val="18"/>
                <w:szCs w:val="18"/>
                <w:lang w:eastAsia="en-PH"/>
              </w:rPr>
            </w:pPr>
            <w:r w:rsidRPr="00540A02">
              <w:rPr>
                <w:rFonts w:ascii="Arial" w:hAnsi="Arial" w:cs="Arial"/>
                <w:color w:val="000000"/>
                <w:sz w:val="18"/>
                <w:szCs w:val="18"/>
                <w:lang w:eastAsia="en-PH"/>
              </w:rPr>
              <w:t>5609</w:t>
            </w:r>
          </w:p>
        </w:tc>
        <w:tc>
          <w:tcPr>
            <w:tcW w:w="368" w:type="pct"/>
            <w:noWrap/>
            <w:vAlign w:val="bottom"/>
            <w:hideMark/>
          </w:tcPr>
          <w:p w14:paraId="34A58193" w14:textId="77777777" w:rsidR="00540A02" w:rsidRPr="00540A02" w:rsidRDefault="00540A02" w:rsidP="00F14F82">
            <w:pPr>
              <w:jc w:val="right"/>
              <w:rPr>
                <w:rFonts w:ascii="Arial" w:hAnsi="Arial" w:cs="Arial"/>
                <w:color w:val="000000"/>
                <w:sz w:val="18"/>
                <w:szCs w:val="18"/>
                <w:lang w:eastAsia="en-PH"/>
              </w:rPr>
            </w:pPr>
            <w:r w:rsidRPr="00540A02">
              <w:rPr>
                <w:rFonts w:ascii="Arial" w:hAnsi="Arial" w:cs="Arial"/>
                <w:color w:val="000000"/>
                <w:sz w:val="18"/>
                <w:szCs w:val="18"/>
                <w:lang w:eastAsia="en-PH"/>
              </w:rPr>
              <w:t>2701</w:t>
            </w:r>
          </w:p>
        </w:tc>
        <w:tc>
          <w:tcPr>
            <w:tcW w:w="373" w:type="pct"/>
            <w:noWrap/>
            <w:vAlign w:val="bottom"/>
            <w:hideMark/>
          </w:tcPr>
          <w:p w14:paraId="4C68BEFE" w14:textId="77777777" w:rsidR="00540A02" w:rsidRPr="00540A02" w:rsidRDefault="00540A02" w:rsidP="00F14F82">
            <w:pPr>
              <w:jc w:val="right"/>
              <w:rPr>
                <w:rFonts w:ascii="Arial" w:hAnsi="Arial" w:cs="Arial"/>
                <w:color w:val="000000"/>
                <w:sz w:val="18"/>
                <w:szCs w:val="18"/>
                <w:lang w:eastAsia="en-PH"/>
              </w:rPr>
            </w:pPr>
            <w:r w:rsidRPr="00540A02">
              <w:rPr>
                <w:rFonts w:ascii="Arial" w:hAnsi="Arial" w:cs="Arial"/>
                <w:color w:val="000000"/>
                <w:sz w:val="18"/>
                <w:szCs w:val="18"/>
                <w:lang w:eastAsia="en-PH"/>
              </w:rPr>
              <w:t>744</w:t>
            </w:r>
          </w:p>
        </w:tc>
        <w:tc>
          <w:tcPr>
            <w:tcW w:w="369" w:type="pct"/>
            <w:tcBorders>
              <w:right w:val="single" w:sz="12" w:space="0" w:color="000000"/>
            </w:tcBorders>
            <w:noWrap/>
            <w:vAlign w:val="bottom"/>
            <w:hideMark/>
          </w:tcPr>
          <w:p w14:paraId="6973EC67" w14:textId="77777777" w:rsidR="00540A02" w:rsidRPr="00540A02" w:rsidRDefault="00540A02" w:rsidP="00F14F82">
            <w:pPr>
              <w:jc w:val="right"/>
              <w:rPr>
                <w:rFonts w:ascii="Arial" w:hAnsi="Arial" w:cs="Arial"/>
                <w:color w:val="000000"/>
                <w:sz w:val="18"/>
                <w:szCs w:val="18"/>
                <w:lang w:eastAsia="en-PH"/>
              </w:rPr>
            </w:pPr>
            <w:r w:rsidRPr="00540A02">
              <w:rPr>
                <w:rFonts w:ascii="Arial" w:hAnsi="Arial" w:cs="Arial"/>
                <w:color w:val="000000"/>
                <w:sz w:val="18"/>
                <w:szCs w:val="18"/>
                <w:lang w:eastAsia="en-PH"/>
              </w:rPr>
              <w:t>3279</w:t>
            </w:r>
          </w:p>
        </w:tc>
        <w:tc>
          <w:tcPr>
            <w:tcW w:w="380" w:type="pct"/>
            <w:tcBorders>
              <w:left w:val="single" w:sz="12" w:space="0" w:color="000000"/>
            </w:tcBorders>
            <w:noWrap/>
            <w:vAlign w:val="center"/>
            <w:hideMark/>
          </w:tcPr>
          <w:p w14:paraId="1F411093" w14:textId="77777777" w:rsidR="00540A02" w:rsidRPr="00540A02" w:rsidRDefault="00540A02" w:rsidP="00F14F82">
            <w:pPr>
              <w:jc w:val="center"/>
              <w:rPr>
                <w:rFonts w:ascii="Arial" w:hAnsi="Arial" w:cs="Arial"/>
                <w:color w:val="000000"/>
                <w:sz w:val="18"/>
                <w:szCs w:val="18"/>
                <w:lang w:eastAsia="en-PH"/>
              </w:rPr>
            </w:pPr>
            <w:r w:rsidRPr="00540A02">
              <w:rPr>
                <w:rFonts w:ascii="Arial" w:hAnsi="Arial" w:cs="Arial"/>
                <w:color w:val="000000"/>
                <w:sz w:val="18"/>
                <w:szCs w:val="18"/>
                <w:lang w:eastAsia="en-PH"/>
              </w:rPr>
              <w:t>0.00</w:t>
            </w:r>
          </w:p>
        </w:tc>
        <w:tc>
          <w:tcPr>
            <w:tcW w:w="382" w:type="pct"/>
            <w:noWrap/>
            <w:vAlign w:val="center"/>
            <w:hideMark/>
          </w:tcPr>
          <w:p w14:paraId="1E25931F" w14:textId="77777777" w:rsidR="00540A02" w:rsidRPr="00540A02" w:rsidRDefault="00540A02" w:rsidP="00F14F82">
            <w:pPr>
              <w:jc w:val="center"/>
              <w:rPr>
                <w:rFonts w:ascii="Arial" w:hAnsi="Arial" w:cs="Arial"/>
                <w:color w:val="000000"/>
                <w:sz w:val="18"/>
                <w:szCs w:val="18"/>
                <w:lang w:eastAsia="en-PH"/>
              </w:rPr>
            </w:pPr>
            <w:r w:rsidRPr="00540A02">
              <w:rPr>
                <w:rFonts w:ascii="Arial" w:hAnsi="Arial" w:cs="Arial"/>
                <w:color w:val="000000"/>
                <w:sz w:val="18"/>
                <w:szCs w:val="18"/>
                <w:lang w:eastAsia="en-PH"/>
              </w:rPr>
              <w:t>0.01</w:t>
            </w:r>
          </w:p>
        </w:tc>
        <w:tc>
          <w:tcPr>
            <w:tcW w:w="369" w:type="pct"/>
            <w:noWrap/>
            <w:vAlign w:val="center"/>
            <w:hideMark/>
          </w:tcPr>
          <w:p w14:paraId="2289DD30" w14:textId="77777777" w:rsidR="00540A02" w:rsidRPr="00540A02" w:rsidRDefault="00540A02" w:rsidP="00F14F82">
            <w:pPr>
              <w:jc w:val="center"/>
              <w:rPr>
                <w:rFonts w:ascii="Arial" w:hAnsi="Arial" w:cs="Arial"/>
                <w:color w:val="000000"/>
                <w:sz w:val="18"/>
                <w:szCs w:val="18"/>
                <w:lang w:eastAsia="en-PH"/>
              </w:rPr>
            </w:pPr>
            <w:r w:rsidRPr="00540A02">
              <w:rPr>
                <w:rFonts w:ascii="Arial" w:hAnsi="Arial" w:cs="Arial"/>
                <w:color w:val="000000"/>
                <w:sz w:val="18"/>
                <w:szCs w:val="18"/>
                <w:lang w:eastAsia="en-PH"/>
              </w:rPr>
              <w:t>0.55</w:t>
            </w:r>
          </w:p>
        </w:tc>
        <w:tc>
          <w:tcPr>
            <w:tcW w:w="424" w:type="pct"/>
            <w:noWrap/>
            <w:vAlign w:val="center"/>
            <w:hideMark/>
          </w:tcPr>
          <w:p w14:paraId="1DF73482" w14:textId="77777777" w:rsidR="00540A02" w:rsidRPr="00540A02" w:rsidRDefault="00540A02" w:rsidP="00F14F82">
            <w:pPr>
              <w:jc w:val="center"/>
              <w:rPr>
                <w:rFonts w:ascii="Arial" w:hAnsi="Arial" w:cs="Arial"/>
                <w:color w:val="000000"/>
                <w:sz w:val="18"/>
                <w:szCs w:val="18"/>
                <w:lang w:eastAsia="en-PH"/>
              </w:rPr>
            </w:pPr>
            <w:r w:rsidRPr="00540A02">
              <w:rPr>
                <w:rFonts w:ascii="Arial" w:hAnsi="Arial" w:cs="Arial"/>
                <w:color w:val="000000"/>
                <w:sz w:val="18"/>
                <w:szCs w:val="18"/>
                <w:lang w:eastAsia="en-PH"/>
              </w:rPr>
              <w:t>0.07</w:t>
            </w:r>
          </w:p>
        </w:tc>
      </w:tr>
      <w:tr w:rsidR="00540A02" w:rsidRPr="00540A02" w14:paraId="5B4FC1B4" w14:textId="77777777" w:rsidTr="00F14F82">
        <w:trPr>
          <w:trHeight w:val="226"/>
        </w:trPr>
        <w:tc>
          <w:tcPr>
            <w:tcW w:w="529" w:type="pct"/>
            <w:tcBorders>
              <w:right w:val="single" w:sz="12" w:space="0" w:color="000000"/>
            </w:tcBorders>
            <w:noWrap/>
            <w:vAlign w:val="bottom"/>
            <w:hideMark/>
          </w:tcPr>
          <w:p w14:paraId="1597C1FB" w14:textId="77777777" w:rsidR="00540A02" w:rsidRPr="00540A02" w:rsidRDefault="00540A02" w:rsidP="00F14F82">
            <w:pPr>
              <w:rPr>
                <w:rFonts w:ascii="Arial" w:hAnsi="Arial" w:cs="Arial"/>
                <w:color w:val="000000"/>
                <w:sz w:val="18"/>
                <w:szCs w:val="18"/>
                <w:lang w:eastAsia="en-PH"/>
              </w:rPr>
            </w:pPr>
            <w:r w:rsidRPr="00540A02">
              <w:rPr>
                <w:rFonts w:ascii="Arial" w:hAnsi="Arial" w:cs="Arial"/>
                <w:color w:val="000000"/>
                <w:sz w:val="18"/>
                <w:szCs w:val="18"/>
                <w:lang w:eastAsia="en-PH"/>
              </w:rPr>
              <w:t>Region IVA</w:t>
            </w:r>
          </w:p>
        </w:tc>
        <w:tc>
          <w:tcPr>
            <w:tcW w:w="363" w:type="pct"/>
            <w:tcBorders>
              <w:left w:val="single" w:sz="12" w:space="0" w:color="000000"/>
            </w:tcBorders>
            <w:noWrap/>
            <w:vAlign w:val="bottom"/>
            <w:hideMark/>
          </w:tcPr>
          <w:p w14:paraId="79F98303" w14:textId="77777777" w:rsidR="00540A02" w:rsidRPr="00540A02" w:rsidRDefault="00540A02" w:rsidP="00F14F82">
            <w:pPr>
              <w:jc w:val="right"/>
              <w:rPr>
                <w:rFonts w:ascii="Arial" w:hAnsi="Arial" w:cs="Arial"/>
                <w:color w:val="000000"/>
                <w:sz w:val="18"/>
                <w:szCs w:val="18"/>
                <w:lang w:eastAsia="en-PH"/>
              </w:rPr>
            </w:pPr>
            <w:r w:rsidRPr="00540A02">
              <w:rPr>
                <w:rFonts w:ascii="Arial" w:hAnsi="Arial" w:cs="Arial"/>
                <w:color w:val="000000"/>
                <w:sz w:val="18"/>
                <w:szCs w:val="18"/>
                <w:lang w:eastAsia="en-PH"/>
              </w:rPr>
              <w:t>3587</w:t>
            </w:r>
          </w:p>
        </w:tc>
        <w:tc>
          <w:tcPr>
            <w:tcW w:w="354" w:type="pct"/>
            <w:noWrap/>
            <w:vAlign w:val="bottom"/>
            <w:hideMark/>
          </w:tcPr>
          <w:p w14:paraId="7423F935" w14:textId="77777777" w:rsidR="00540A02" w:rsidRPr="00540A02" w:rsidRDefault="00540A02" w:rsidP="00F14F82">
            <w:pPr>
              <w:jc w:val="right"/>
              <w:rPr>
                <w:rFonts w:ascii="Arial" w:hAnsi="Arial" w:cs="Arial"/>
                <w:color w:val="000000"/>
                <w:sz w:val="18"/>
                <w:szCs w:val="18"/>
                <w:lang w:eastAsia="en-PH"/>
              </w:rPr>
            </w:pPr>
            <w:r w:rsidRPr="00540A02">
              <w:rPr>
                <w:rFonts w:ascii="Arial" w:hAnsi="Arial" w:cs="Arial"/>
                <w:color w:val="000000"/>
                <w:sz w:val="18"/>
                <w:szCs w:val="18"/>
                <w:lang w:eastAsia="en-PH"/>
              </w:rPr>
              <w:t>1743</w:t>
            </w:r>
          </w:p>
        </w:tc>
        <w:tc>
          <w:tcPr>
            <w:tcW w:w="369" w:type="pct"/>
            <w:noWrap/>
            <w:vAlign w:val="bottom"/>
            <w:hideMark/>
          </w:tcPr>
          <w:p w14:paraId="231C4E7B" w14:textId="77777777" w:rsidR="00540A02" w:rsidRPr="00540A02" w:rsidRDefault="00540A02" w:rsidP="00F14F82">
            <w:pPr>
              <w:jc w:val="right"/>
              <w:rPr>
                <w:rFonts w:ascii="Arial" w:hAnsi="Arial" w:cs="Arial"/>
                <w:color w:val="000000"/>
                <w:sz w:val="18"/>
                <w:szCs w:val="18"/>
                <w:lang w:eastAsia="en-PH"/>
              </w:rPr>
            </w:pPr>
            <w:r w:rsidRPr="00540A02">
              <w:rPr>
                <w:rFonts w:ascii="Arial" w:hAnsi="Arial" w:cs="Arial"/>
                <w:color w:val="000000"/>
                <w:sz w:val="18"/>
                <w:szCs w:val="18"/>
                <w:lang w:eastAsia="en-PH"/>
              </w:rPr>
              <w:t>248</w:t>
            </w:r>
          </w:p>
        </w:tc>
        <w:tc>
          <w:tcPr>
            <w:tcW w:w="336" w:type="pct"/>
            <w:tcBorders>
              <w:right w:val="single" w:sz="12" w:space="0" w:color="000000"/>
            </w:tcBorders>
            <w:noWrap/>
            <w:vAlign w:val="bottom"/>
            <w:hideMark/>
          </w:tcPr>
          <w:p w14:paraId="0FFB91A3" w14:textId="77777777" w:rsidR="00540A02" w:rsidRPr="00540A02" w:rsidRDefault="00540A02" w:rsidP="00F14F82">
            <w:pPr>
              <w:jc w:val="right"/>
              <w:rPr>
                <w:rFonts w:ascii="Arial" w:hAnsi="Arial" w:cs="Arial"/>
                <w:color w:val="000000"/>
                <w:sz w:val="18"/>
                <w:szCs w:val="18"/>
                <w:lang w:eastAsia="en-PH"/>
              </w:rPr>
            </w:pPr>
            <w:r w:rsidRPr="00540A02">
              <w:rPr>
                <w:rFonts w:ascii="Arial" w:hAnsi="Arial" w:cs="Arial"/>
                <w:color w:val="000000"/>
                <w:sz w:val="18"/>
                <w:szCs w:val="18"/>
                <w:lang w:eastAsia="en-PH"/>
              </w:rPr>
              <w:t>1775</w:t>
            </w:r>
          </w:p>
        </w:tc>
        <w:tc>
          <w:tcPr>
            <w:tcW w:w="383" w:type="pct"/>
            <w:tcBorders>
              <w:left w:val="single" w:sz="12" w:space="0" w:color="000000"/>
            </w:tcBorders>
            <w:noWrap/>
            <w:vAlign w:val="bottom"/>
            <w:hideMark/>
          </w:tcPr>
          <w:p w14:paraId="410EE299" w14:textId="77777777" w:rsidR="00540A02" w:rsidRPr="00540A02" w:rsidRDefault="00540A02" w:rsidP="00F14F82">
            <w:pPr>
              <w:jc w:val="right"/>
              <w:rPr>
                <w:rFonts w:ascii="Arial" w:hAnsi="Arial" w:cs="Arial"/>
                <w:color w:val="000000"/>
                <w:sz w:val="18"/>
                <w:szCs w:val="18"/>
                <w:lang w:eastAsia="en-PH"/>
              </w:rPr>
            </w:pPr>
            <w:r w:rsidRPr="00540A02">
              <w:rPr>
                <w:rFonts w:ascii="Arial" w:hAnsi="Arial" w:cs="Arial"/>
                <w:color w:val="000000"/>
                <w:sz w:val="18"/>
                <w:szCs w:val="18"/>
                <w:lang w:eastAsia="en-PH"/>
              </w:rPr>
              <w:t>3614</w:t>
            </w:r>
          </w:p>
        </w:tc>
        <w:tc>
          <w:tcPr>
            <w:tcW w:w="368" w:type="pct"/>
            <w:noWrap/>
            <w:vAlign w:val="bottom"/>
            <w:hideMark/>
          </w:tcPr>
          <w:p w14:paraId="7317CCE3" w14:textId="77777777" w:rsidR="00540A02" w:rsidRPr="00540A02" w:rsidRDefault="00540A02" w:rsidP="00F14F82">
            <w:pPr>
              <w:jc w:val="right"/>
              <w:rPr>
                <w:rFonts w:ascii="Arial" w:hAnsi="Arial" w:cs="Arial"/>
                <w:color w:val="000000"/>
                <w:sz w:val="18"/>
                <w:szCs w:val="18"/>
                <w:lang w:eastAsia="en-PH"/>
              </w:rPr>
            </w:pPr>
            <w:r w:rsidRPr="00540A02">
              <w:rPr>
                <w:rFonts w:ascii="Arial" w:hAnsi="Arial" w:cs="Arial"/>
                <w:color w:val="000000"/>
                <w:sz w:val="18"/>
                <w:szCs w:val="18"/>
                <w:lang w:eastAsia="en-PH"/>
              </w:rPr>
              <w:t>1762</w:t>
            </w:r>
          </w:p>
        </w:tc>
        <w:tc>
          <w:tcPr>
            <w:tcW w:w="373" w:type="pct"/>
            <w:noWrap/>
            <w:vAlign w:val="bottom"/>
            <w:hideMark/>
          </w:tcPr>
          <w:p w14:paraId="731C2157" w14:textId="77777777" w:rsidR="00540A02" w:rsidRPr="00540A02" w:rsidRDefault="00540A02" w:rsidP="00F14F82">
            <w:pPr>
              <w:jc w:val="right"/>
              <w:rPr>
                <w:rFonts w:ascii="Arial" w:hAnsi="Arial" w:cs="Arial"/>
                <w:color w:val="000000"/>
                <w:sz w:val="18"/>
                <w:szCs w:val="18"/>
                <w:lang w:eastAsia="en-PH"/>
              </w:rPr>
            </w:pPr>
            <w:r w:rsidRPr="00540A02">
              <w:rPr>
                <w:rFonts w:ascii="Arial" w:hAnsi="Arial" w:cs="Arial"/>
                <w:color w:val="000000"/>
                <w:sz w:val="18"/>
                <w:szCs w:val="18"/>
                <w:lang w:eastAsia="en-PH"/>
              </w:rPr>
              <w:t>335</w:t>
            </w:r>
          </w:p>
        </w:tc>
        <w:tc>
          <w:tcPr>
            <w:tcW w:w="369" w:type="pct"/>
            <w:tcBorders>
              <w:right w:val="single" w:sz="12" w:space="0" w:color="000000"/>
            </w:tcBorders>
            <w:noWrap/>
            <w:vAlign w:val="bottom"/>
            <w:hideMark/>
          </w:tcPr>
          <w:p w14:paraId="1937F0A2" w14:textId="77777777" w:rsidR="00540A02" w:rsidRPr="00540A02" w:rsidRDefault="00540A02" w:rsidP="00F14F82">
            <w:pPr>
              <w:jc w:val="right"/>
              <w:rPr>
                <w:rFonts w:ascii="Arial" w:hAnsi="Arial" w:cs="Arial"/>
                <w:color w:val="000000"/>
                <w:sz w:val="18"/>
                <w:szCs w:val="18"/>
                <w:lang w:eastAsia="en-PH"/>
              </w:rPr>
            </w:pPr>
            <w:r w:rsidRPr="00540A02">
              <w:rPr>
                <w:rFonts w:ascii="Arial" w:hAnsi="Arial" w:cs="Arial"/>
                <w:color w:val="000000"/>
                <w:sz w:val="18"/>
                <w:szCs w:val="18"/>
                <w:lang w:eastAsia="en-PH"/>
              </w:rPr>
              <w:t>1929</w:t>
            </w:r>
          </w:p>
        </w:tc>
        <w:tc>
          <w:tcPr>
            <w:tcW w:w="380" w:type="pct"/>
            <w:tcBorders>
              <w:left w:val="single" w:sz="12" w:space="0" w:color="000000"/>
            </w:tcBorders>
            <w:noWrap/>
            <w:vAlign w:val="center"/>
            <w:hideMark/>
          </w:tcPr>
          <w:p w14:paraId="12172B3B" w14:textId="77777777" w:rsidR="00540A02" w:rsidRPr="00540A02" w:rsidRDefault="00540A02" w:rsidP="00F14F82">
            <w:pPr>
              <w:jc w:val="center"/>
              <w:rPr>
                <w:rFonts w:ascii="Arial" w:hAnsi="Arial" w:cs="Arial"/>
                <w:color w:val="000000"/>
                <w:sz w:val="18"/>
                <w:szCs w:val="18"/>
                <w:lang w:eastAsia="en-PH"/>
              </w:rPr>
            </w:pPr>
            <w:r w:rsidRPr="00540A02">
              <w:rPr>
                <w:rFonts w:ascii="Arial" w:hAnsi="Arial" w:cs="Arial"/>
                <w:color w:val="000000"/>
                <w:sz w:val="18"/>
                <w:szCs w:val="18"/>
                <w:lang w:eastAsia="en-PH"/>
              </w:rPr>
              <w:t>0.01</w:t>
            </w:r>
          </w:p>
        </w:tc>
        <w:tc>
          <w:tcPr>
            <w:tcW w:w="382" w:type="pct"/>
            <w:noWrap/>
            <w:vAlign w:val="center"/>
            <w:hideMark/>
          </w:tcPr>
          <w:p w14:paraId="1DE228A3" w14:textId="77777777" w:rsidR="00540A02" w:rsidRPr="00540A02" w:rsidRDefault="00540A02" w:rsidP="00F14F82">
            <w:pPr>
              <w:jc w:val="center"/>
              <w:rPr>
                <w:rFonts w:ascii="Arial" w:hAnsi="Arial" w:cs="Arial"/>
                <w:color w:val="000000"/>
                <w:sz w:val="18"/>
                <w:szCs w:val="18"/>
                <w:lang w:eastAsia="en-PH"/>
              </w:rPr>
            </w:pPr>
            <w:r w:rsidRPr="00540A02">
              <w:rPr>
                <w:rFonts w:ascii="Arial" w:hAnsi="Arial" w:cs="Arial"/>
                <w:color w:val="000000"/>
                <w:sz w:val="18"/>
                <w:szCs w:val="18"/>
                <w:lang w:eastAsia="en-PH"/>
              </w:rPr>
              <w:t>0.01</w:t>
            </w:r>
          </w:p>
        </w:tc>
        <w:tc>
          <w:tcPr>
            <w:tcW w:w="369" w:type="pct"/>
            <w:noWrap/>
            <w:vAlign w:val="center"/>
            <w:hideMark/>
          </w:tcPr>
          <w:p w14:paraId="083DC385" w14:textId="77777777" w:rsidR="00540A02" w:rsidRPr="00540A02" w:rsidRDefault="00540A02" w:rsidP="00F14F82">
            <w:pPr>
              <w:jc w:val="center"/>
              <w:rPr>
                <w:rFonts w:ascii="Arial" w:hAnsi="Arial" w:cs="Arial"/>
                <w:color w:val="000000"/>
                <w:sz w:val="18"/>
                <w:szCs w:val="18"/>
                <w:lang w:eastAsia="en-PH"/>
              </w:rPr>
            </w:pPr>
            <w:r w:rsidRPr="00540A02">
              <w:rPr>
                <w:rFonts w:ascii="Arial" w:hAnsi="Arial" w:cs="Arial"/>
                <w:color w:val="000000"/>
                <w:sz w:val="18"/>
                <w:szCs w:val="18"/>
                <w:lang w:eastAsia="en-PH"/>
              </w:rPr>
              <w:t>0.35</w:t>
            </w:r>
          </w:p>
        </w:tc>
        <w:tc>
          <w:tcPr>
            <w:tcW w:w="424" w:type="pct"/>
            <w:noWrap/>
            <w:vAlign w:val="center"/>
            <w:hideMark/>
          </w:tcPr>
          <w:p w14:paraId="448271AD" w14:textId="77777777" w:rsidR="00540A02" w:rsidRPr="00540A02" w:rsidRDefault="00540A02" w:rsidP="00F14F82">
            <w:pPr>
              <w:jc w:val="center"/>
              <w:rPr>
                <w:rFonts w:ascii="Arial" w:hAnsi="Arial" w:cs="Arial"/>
                <w:color w:val="000000"/>
                <w:sz w:val="18"/>
                <w:szCs w:val="18"/>
                <w:lang w:eastAsia="en-PH"/>
              </w:rPr>
            </w:pPr>
            <w:r w:rsidRPr="00540A02">
              <w:rPr>
                <w:rFonts w:ascii="Arial" w:hAnsi="Arial" w:cs="Arial"/>
                <w:color w:val="000000"/>
                <w:sz w:val="18"/>
                <w:szCs w:val="18"/>
                <w:lang w:eastAsia="en-PH"/>
              </w:rPr>
              <w:t>0.09</w:t>
            </w:r>
          </w:p>
        </w:tc>
      </w:tr>
      <w:tr w:rsidR="00540A02" w:rsidRPr="00540A02" w14:paraId="7C231AD6" w14:textId="77777777" w:rsidTr="00F14F82">
        <w:trPr>
          <w:trHeight w:val="226"/>
        </w:trPr>
        <w:tc>
          <w:tcPr>
            <w:tcW w:w="529" w:type="pct"/>
            <w:tcBorders>
              <w:right w:val="single" w:sz="12" w:space="0" w:color="000000"/>
            </w:tcBorders>
            <w:noWrap/>
            <w:vAlign w:val="bottom"/>
            <w:hideMark/>
          </w:tcPr>
          <w:p w14:paraId="1DC6F7A6" w14:textId="77777777" w:rsidR="00540A02" w:rsidRPr="00540A02" w:rsidRDefault="00540A02" w:rsidP="00F14F82">
            <w:pPr>
              <w:rPr>
                <w:rFonts w:ascii="Arial" w:hAnsi="Arial" w:cs="Arial"/>
                <w:color w:val="000000"/>
                <w:sz w:val="18"/>
                <w:szCs w:val="18"/>
                <w:lang w:eastAsia="en-PH"/>
              </w:rPr>
            </w:pPr>
            <w:r w:rsidRPr="00540A02">
              <w:rPr>
                <w:rFonts w:ascii="Arial" w:hAnsi="Arial" w:cs="Arial"/>
                <w:color w:val="000000"/>
                <w:sz w:val="18"/>
                <w:szCs w:val="18"/>
                <w:lang w:eastAsia="en-PH"/>
              </w:rPr>
              <w:t>Region IVB</w:t>
            </w:r>
          </w:p>
        </w:tc>
        <w:tc>
          <w:tcPr>
            <w:tcW w:w="363" w:type="pct"/>
            <w:tcBorders>
              <w:left w:val="single" w:sz="12" w:space="0" w:color="000000"/>
            </w:tcBorders>
            <w:noWrap/>
            <w:vAlign w:val="bottom"/>
            <w:hideMark/>
          </w:tcPr>
          <w:p w14:paraId="75176C4D" w14:textId="77777777" w:rsidR="00540A02" w:rsidRPr="00540A02" w:rsidRDefault="00540A02" w:rsidP="00F14F82">
            <w:pPr>
              <w:jc w:val="right"/>
              <w:rPr>
                <w:rFonts w:ascii="Arial" w:hAnsi="Arial" w:cs="Arial"/>
                <w:color w:val="000000"/>
                <w:sz w:val="18"/>
                <w:szCs w:val="18"/>
                <w:lang w:eastAsia="en-PH"/>
              </w:rPr>
            </w:pPr>
            <w:r w:rsidRPr="00540A02">
              <w:rPr>
                <w:rFonts w:ascii="Arial" w:hAnsi="Arial" w:cs="Arial"/>
                <w:color w:val="000000"/>
                <w:sz w:val="18"/>
                <w:szCs w:val="18"/>
                <w:lang w:eastAsia="en-PH"/>
              </w:rPr>
              <w:t>3396</w:t>
            </w:r>
          </w:p>
        </w:tc>
        <w:tc>
          <w:tcPr>
            <w:tcW w:w="354" w:type="pct"/>
            <w:noWrap/>
            <w:vAlign w:val="bottom"/>
            <w:hideMark/>
          </w:tcPr>
          <w:p w14:paraId="1EA2AD60" w14:textId="77777777" w:rsidR="00540A02" w:rsidRPr="00540A02" w:rsidRDefault="00540A02" w:rsidP="00F14F82">
            <w:pPr>
              <w:jc w:val="right"/>
              <w:rPr>
                <w:rFonts w:ascii="Arial" w:hAnsi="Arial" w:cs="Arial"/>
                <w:color w:val="000000"/>
                <w:sz w:val="18"/>
                <w:szCs w:val="18"/>
                <w:lang w:eastAsia="en-PH"/>
              </w:rPr>
            </w:pPr>
            <w:r w:rsidRPr="00540A02">
              <w:rPr>
                <w:rFonts w:ascii="Arial" w:hAnsi="Arial" w:cs="Arial"/>
                <w:color w:val="000000"/>
                <w:sz w:val="18"/>
                <w:szCs w:val="18"/>
                <w:lang w:eastAsia="en-PH"/>
              </w:rPr>
              <w:t>2696</w:t>
            </w:r>
          </w:p>
        </w:tc>
        <w:tc>
          <w:tcPr>
            <w:tcW w:w="369" w:type="pct"/>
            <w:noWrap/>
            <w:vAlign w:val="bottom"/>
            <w:hideMark/>
          </w:tcPr>
          <w:p w14:paraId="61E208D3" w14:textId="77777777" w:rsidR="00540A02" w:rsidRPr="00540A02" w:rsidRDefault="00540A02" w:rsidP="00F14F82">
            <w:pPr>
              <w:jc w:val="right"/>
              <w:rPr>
                <w:rFonts w:ascii="Arial" w:hAnsi="Arial" w:cs="Arial"/>
                <w:color w:val="000000"/>
                <w:sz w:val="18"/>
                <w:szCs w:val="18"/>
                <w:lang w:eastAsia="en-PH"/>
              </w:rPr>
            </w:pPr>
            <w:r w:rsidRPr="00540A02">
              <w:rPr>
                <w:rFonts w:ascii="Arial" w:hAnsi="Arial" w:cs="Arial"/>
                <w:color w:val="000000"/>
                <w:sz w:val="18"/>
                <w:szCs w:val="18"/>
                <w:lang w:eastAsia="en-PH"/>
              </w:rPr>
              <w:t>301</w:t>
            </w:r>
          </w:p>
        </w:tc>
        <w:tc>
          <w:tcPr>
            <w:tcW w:w="336" w:type="pct"/>
            <w:tcBorders>
              <w:right w:val="single" w:sz="12" w:space="0" w:color="000000"/>
            </w:tcBorders>
            <w:noWrap/>
            <w:vAlign w:val="bottom"/>
            <w:hideMark/>
          </w:tcPr>
          <w:p w14:paraId="37797566" w14:textId="77777777" w:rsidR="00540A02" w:rsidRPr="00540A02" w:rsidRDefault="00540A02" w:rsidP="00F14F82">
            <w:pPr>
              <w:jc w:val="right"/>
              <w:rPr>
                <w:rFonts w:ascii="Arial" w:hAnsi="Arial" w:cs="Arial"/>
                <w:color w:val="000000"/>
                <w:sz w:val="18"/>
                <w:szCs w:val="18"/>
                <w:lang w:eastAsia="en-PH"/>
              </w:rPr>
            </w:pPr>
            <w:r w:rsidRPr="00540A02">
              <w:rPr>
                <w:rFonts w:ascii="Arial" w:hAnsi="Arial" w:cs="Arial"/>
                <w:color w:val="000000"/>
                <w:sz w:val="18"/>
                <w:szCs w:val="18"/>
                <w:lang w:eastAsia="en-PH"/>
              </w:rPr>
              <w:t>1556</w:t>
            </w:r>
          </w:p>
        </w:tc>
        <w:tc>
          <w:tcPr>
            <w:tcW w:w="383" w:type="pct"/>
            <w:tcBorders>
              <w:left w:val="single" w:sz="12" w:space="0" w:color="000000"/>
            </w:tcBorders>
            <w:noWrap/>
            <w:vAlign w:val="bottom"/>
            <w:hideMark/>
          </w:tcPr>
          <w:p w14:paraId="49998F5D" w14:textId="77777777" w:rsidR="00540A02" w:rsidRPr="00540A02" w:rsidRDefault="00540A02" w:rsidP="00F14F82">
            <w:pPr>
              <w:jc w:val="right"/>
              <w:rPr>
                <w:rFonts w:ascii="Arial" w:hAnsi="Arial" w:cs="Arial"/>
                <w:color w:val="000000"/>
                <w:sz w:val="18"/>
                <w:szCs w:val="18"/>
                <w:lang w:eastAsia="en-PH"/>
              </w:rPr>
            </w:pPr>
            <w:r w:rsidRPr="00540A02">
              <w:rPr>
                <w:rFonts w:ascii="Arial" w:hAnsi="Arial" w:cs="Arial"/>
                <w:color w:val="000000"/>
                <w:sz w:val="18"/>
                <w:szCs w:val="18"/>
                <w:lang w:eastAsia="en-PH"/>
              </w:rPr>
              <w:t>3422</w:t>
            </w:r>
          </w:p>
        </w:tc>
        <w:tc>
          <w:tcPr>
            <w:tcW w:w="368" w:type="pct"/>
            <w:noWrap/>
            <w:vAlign w:val="bottom"/>
            <w:hideMark/>
          </w:tcPr>
          <w:p w14:paraId="231DBD4D" w14:textId="77777777" w:rsidR="00540A02" w:rsidRPr="00540A02" w:rsidRDefault="00540A02" w:rsidP="00F14F82">
            <w:pPr>
              <w:jc w:val="right"/>
              <w:rPr>
                <w:rFonts w:ascii="Arial" w:hAnsi="Arial" w:cs="Arial"/>
                <w:color w:val="000000"/>
                <w:sz w:val="18"/>
                <w:szCs w:val="18"/>
                <w:lang w:eastAsia="en-PH"/>
              </w:rPr>
            </w:pPr>
            <w:r w:rsidRPr="00540A02">
              <w:rPr>
                <w:rFonts w:ascii="Arial" w:hAnsi="Arial" w:cs="Arial"/>
                <w:color w:val="000000"/>
                <w:sz w:val="18"/>
                <w:szCs w:val="18"/>
                <w:lang w:eastAsia="en-PH"/>
              </w:rPr>
              <w:t>2720</w:t>
            </w:r>
          </w:p>
        </w:tc>
        <w:tc>
          <w:tcPr>
            <w:tcW w:w="373" w:type="pct"/>
            <w:noWrap/>
            <w:vAlign w:val="bottom"/>
            <w:hideMark/>
          </w:tcPr>
          <w:p w14:paraId="46F3F6A2" w14:textId="77777777" w:rsidR="00540A02" w:rsidRPr="00540A02" w:rsidRDefault="00540A02" w:rsidP="00F14F82">
            <w:pPr>
              <w:jc w:val="right"/>
              <w:rPr>
                <w:rFonts w:ascii="Arial" w:hAnsi="Arial" w:cs="Arial"/>
                <w:color w:val="000000"/>
                <w:sz w:val="18"/>
                <w:szCs w:val="18"/>
                <w:lang w:eastAsia="en-PH"/>
              </w:rPr>
            </w:pPr>
            <w:r w:rsidRPr="00540A02">
              <w:rPr>
                <w:rFonts w:ascii="Arial" w:hAnsi="Arial" w:cs="Arial"/>
                <w:color w:val="000000"/>
                <w:sz w:val="18"/>
                <w:szCs w:val="18"/>
                <w:lang w:eastAsia="en-PH"/>
              </w:rPr>
              <w:t>459</w:t>
            </w:r>
          </w:p>
        </w:tc>
        <w:tc>
          <w:tcPr>
            <w:tcW w:w="369" w:type="pct"/>
            <w:tcBorders>
              <w:right w:val="single" w:sz="12" w:space="0" w:color="000000"/>
            </w:tcBorders>
            <w:noWrap/>
            <w:vAlign w:val="bottom"/>
            <w:hideMark/>
          </w:tcPr>
          <w:p w14:paraId="18497F84" w14:textId="77777777" w:rsidR="00540A02" w:rsidRPr="00540A02" w:rsidRDefault="00540A02" w:rsidP="00F14F82">
            <w:pPr>
              <w:jc w:val="right"/>
              <w:rPr>
                <w:rFonts w:ascii="Arial" w:hAnsi="Arial" w:cs="Arial"/>
                <w:color w:val="000000"/>
                <w:sz w:val="18"/>
                <w:szCs w:val="18"/>
                <w:lang w:eastAsia="en-PH"/>
              </w:rPr>
            </w:pPr>
            <w:r w:rsidRPr="00540A02">
              <w:rPr>
                <w:rFonts w:ascii="Arial" w:hAnsi="Arial" w:cs="Arial"/>
                <w:color w:val="000000"/>
                <w:sz w:val="18"/>
                <w:szCs w:val="18"/>
                <w:lang w:eastAsia="en-PH"/>
              </w:rPr>
              <w:t>1682</w:t>
            </w:r>
          </w:p>
        </w:tc>
        <w:tc>
          <w:tcPr>
            <w:tcW w:w="380" w:type="pct"/>
            <w:tcBorders>
              <w:left w:val="single" w:sz="12" w:space="0" w:color="000000"/>
            </w:tcBorders>
            <w:noWrap/>
            <w:vAlign w:val="center"/>
            <w:hideMark/>
          </w:tcPr>
          <w:p w14:paraId="56ADBC8D" w14:textId="77777777" w:rsidR="00540A02" w:rsidRPr="00540A02" w:rsidRDefault="00540A02" w:rsidP="00F14F82">
            <w:pPr>
              <w:jc w:val="center"/>
              <w:rPr>
                <w:rFonts w:ascii="Arial" w:hAnsi="Arial" w:cs="Arial"/>
                <w:color w:val="000000"/>
                <w:sz w:val="18"/>
                <w:szCs w:val="18"/>
                <w:lang w:eastAsia="en-PH"/>
              </w:rPr>
            </w:pPr>
            <w:r w:rsidRPr="00540A02">
              <w:rPr>
                <w:rFonts w:ascii="Arial" w:hAnsi="Arial" w:cs="Arial"/>
                <w:color w:val="000000"/>
                <w:sz w:val="18"/>
                <w:szCs w:val="18"/>
                <w:lang w:eastAsia="en-PH"/>
              </w:rPr>
              <w:t>0.01</w:t>
            </w:r>
          </w:p>
        </w:tc>
        <w:tc>
          <w:tcPr>
            <w:tcW w:w="382" w:type="pct"/>
            <w:noWrap/>
            <w:vAlign w:val="center"/>
            <w:hideMark/>
          </w:tcPr>
          <w:p w14:paraId="62273FA4" w14:textId="77777777" w:rsidR="00540A02" w:rsidRPr="00540A02" w:rsidRDefault="00540A02" w:rsidP="00F14F82">
            <w:pPr>
              <w:jc w:val="center"/>
              <w:rPr>
                <w:rFonts w:ascii="Arial" w:hAnsi="Arial" w:cs="Arial"/>
                <w:color w:val="000000"/>
                <w:sz w:val="18"/>
                <w:szCs w:val="18"/>
                <w:lang w:eastAsia="en-PH"/>
              </w:rPr>
            </w:pPr>
            <w:r w:rsidRPr="00540A02">
              <w:rPr>
                <w:rFonts w:ascii="Arial" w:hAnsi="Arial" w:cs="Arial"/>
                <w:color w:val="000000"/>
                <w:sz w:val="18"/>
                <w:szCs w:val="18"/>
                <w:lang w:eastAsia="en-PH"/>
              </w:rPr>
              <w:t>0.01</w:t>
            </w:r>
          </w:p>
        </w:tc>
        <w:tc>
          <w:tcPr>
            <w:tcW w:w="369" w:type="pct"/>
            <w:noWrap/>
            <w:vAlign w:val="center"/>
            <w:hideMark/>
          </w:tcPr>
          <w:p w14:paraId="16C16F4A" w14:textId="77777777" w:rsidR="00540A02" w:rsidRPr="00540A02" w:rsidRDefault="00540A02" w:rsidP="00F14F82">
            <w:pPr>
              <w:jc w:val="center"/>
              <w:rPr>
                <w:rFonts w:ascii="Arial" w:hAnsi="Arial" w:cs="Arial"/>
                <w:color w:val="000000"/>
                <w:sz w:val="18"/>
                <w:szCs w:val="18"/>
                <w:lang w:eastAsia="en-PH"/>
              </w:rPr>
            </w:pPr>
            <w:r w:rsidRPr="00540A02">
              <w:rPr>
                <w:rFonts w:ascii="Arial" w:hAnsi="Arial" w:cs="Arial"/>
                <w:color w:val="000000"/>
                <w:sz w:val="18"/>
                <w:szCs w:val="18"/>
                <w:lang w:eastAsia="en-PH"/>
              </w:rPr>
              <w:t>0.52</w:t>
            </w:r>
          </w:p>
        </w:tc>
        <w:tc>
          <w:tcPr>
            <w:tcW w:w="424" w:type="pct"/>
            <w:noWrap/>
            <w:vAlign w:val="center"/>
            <w:hideMark/>
          </w:tcPr>
          <w:p w14:paraId="15D73543" w14:textId="77777777" w:rsidR="00540A02" w:rsidRPr="00540A02" w:rsidRDefault="00540A02" w:rsidP="00F14F82">
            <w:pPr>
              <w:jc w:val="center"/>
              <w:rPr>
                <w:rFonts w:ascii="Arial" w:hAnsi="Arial" w:cs="Arial"/>
                <w:color w:val="000000"/>
                <w:sz w:val="18"/>
                <w:szCs w:val="18"/>
                <w:lang w:eastAsia="en-PH"/>
              </w:rPr>
            </w:pPr>
            <w:r w:rsidRPr="00540A02">
              <w:rPr>
                <w:rFonts w:ascii="Arial" w:hAnsi="Arial" w:cs="Arial"/>
                <w:color w:val="000000"/>
                <w:sz w:val="18"/>
                <w:szCs w:val="18"/>
                <w:lang w:eastAsia="en-PH"/>
              </w:rPr>
              <w:t>0.08</w:t>
            </w:r>
          </w:p>
        </w:tc>
      </w:tr>
      <w:tr w:rsidR="00540A02" w:rsidRPr="00540A02" w14:paraId="02CA020F" w14:textId="77777777" w:rsidTr="00F14F82">
        <w:trPr>
          <w:trHeight w:val="317"/>
        </w:trPr>
        <w:tc>
          <w:tcPr>
            <w:tcW w:w="529" w:type="pct"/>
            <w:tcBorders>
              <w:right w:val="single" w:sz="12" w:space="0" w:color="000000"/>
            </w:tcBorders>
            <w:noWrap/>
            <w:vAlign w:val="bottom"/>
            <w:hideMark/>
          </w:tcPr>
          <w:p w14:paraId="69C9793A" w14:textId="77777777" w:rsidR="00540A02" w:rsidRPr="00540A02" w:rsidRDefault="00540A02" w:rsidP="00F14F82">
            <w:pPr>
              <w:rPr>
                <w:rFonts w:ascii="Arial" w:hAnsi="Arial" w:cs="Arial"/>
                <w:color w:val="000000"/>
                <w:sz w:val="18"/>
                <w:szCs w:val="18"/>
                <w:lang w:eastAsia="en-PH"/>
              </w:rPr>
            </w:pPr>
            <w:r w:rsidRPr="00540A02">
              <w:rPr>
                <w:rFonts w:ascii="Arial" w:hAnsi="Arial" w:cs="Arial"/>
                <w:color w:val="000000"/>
                <w:sz w:val="18"/>
                <w:szCs w:val="18"/>
                <w:lang w:eastAsia="en-PH"/>
              </w:rPr>
              <w:t>Region V</w:t>
            </w:r>
          </w:p>
        </w:tc>
        <w:tc>
          <w:tcPr>
            <w:tcW w:w="363" w:type="pct"/>
            <w:tcBorders>
              <w:left w:val="single" w:sz="12" w:space="0" w:color="000000"/>
            </w:tcBorders>
            <w:noWrap/>
            <w:vAlign w:val="bottom"/>
            <w:hideMark/>
          </w:tcPr>
          <w:p w14:paraId="713C9F14" w14:textId="77777777" w:rsidR="00540A02" w:rsidRPr="00540A02" w:rsidRDefault="00540A02" w:rsidP="00F14F82">
            <w:pPr>
              <w:jc w:val="right"/>
              <w:rPr>
                <w:rFonts w:ascii="Arial" w:hAnsi="Arial" w:cs="Arial"/>
                <w:color w:val="000000"/>
                <w:sz w:val="18"/>
                <w:szCs w:val="18"/>
                <w:lang w:eastAsia="en-PH"/>
              </w:rPr>
            </w:pPr>
            <w:r w:rsidRPr="00540A02">
              <w:rPr>
                <w:rFonts w:ascii="Arial" w:hAnsi="Arial" w:cs="Arial"/>
                <w:color w:val="000000"/>
                <w:sz w:val="18"/>
                <w:szCs w:val="18"/>
                <w:lang w:eastAsia="en-PH"/>
              </w:rPr>
              <w:t>3224</w:t>
            </w:r>
          </w:p>
        </w:tc>
        <w:tc>
          <w:tcPr>
            <w:tcW w:w="354" w:type="pct"/>
            <w:noWrap/>
            <w:vAlign w:val="bottom"/>
            <w:hideMark/>
          </w:tcPr>
          <w:p w14:paraId="3DAFA984" w14:textId="77777777" w:rsidR="00540A02" w:rsidRPr="00540A02" w:rsidRDefault="00540A02" w:rsidP="00F14F82">
            <w:pPr>
              <w:jc w:val="right"/>
              <w:rPr>
                <w:rFonts w:ascii="Arial" w:hAnsi="Arial" w:cs="Arial"/>
                <w:color w:val="000000"/>
                <w:sz w:val="18"/>
                <w:szCs w:val="18"/>
                <w:lang w:eastAsia="en-PH"/>
              </w:rPr>
            </w:pPr>
            <w:r w:rsidRPr="00540A02">
              <w:rPr>
                <w:rFonts w:ascii="Arial" w:hAnsi="Arial" w:cs="Arial"/>
                <w:color w:val="000000"/>
                <w:sz w:val="18"/>
                <w:szCs w:val="18"/>
                <w:lang w:eastAsia="en-PH"/>
              </w:rPr>
              <w:t>2786</w:t>
            </w:r>
          </w:p>
        </w:tc>
        <w:tc>
          <w:tcPr>
            <w:tcW w:w="369" w:type="pct"/>
            <w:noWrap/>
            <w:vAlign w:val="bottom"/>
            <w:hideMark/>
          </w:tcPr>
          <w:p w14:paraId="1707127C" w14:textId="77777777" w:rsidR="00540A02" w:rsidRPr="00540A02" w:rsidRDefault="00540A02" w:rsidP="00F14F82">
            <w:pPr>
              <w:jc w:val="right"/>
              <w:rPr>
                <w:rFonts w:ascii="Arial" w:hAnsi="Arial" w:cs="Arial"/>
                <w:color w:val="000000"/>
                <w:sz w:val="18"/>
                <w:szCs w:val="18"/>
                <w:lang w:eastAsia="en-PH"/>
              </w:rPr>
            </w:pPr>
            <w:r w:rsidRPr="00540A02">
              <w:rPr>
                <w:rFonts w:ascii="Arial" w:hAnsi="Arial" w:cs="Arial"/>
                <w:color w:val="000000"/>
                <w:sz w:val="18"/>
                <w:szCs w:val="18"/>
                <w:lang w:eastAsia="en-PH"/>
              </w:rPr>
              <w:t>290</w:t>
            </w:r>
          </w:p>
        </w:tc>
        <w:tc>
          <w:tcPr>
            <w:tcW w:w="336" w:type="pct"/>
            <w:tcBorders>
              <w:right w:val="single" w:sz="12" w:space="0" w:color="000000"/>
            </w:tcBorders>
            <w:noWrap/>
            <w:vAlign w:val="bottom"/>
            <w:hideMark/>
          </w:tcPr>
          <w:p w14:paraId="055CD73F" w14:textId="77777777" w:rsidR="00540A02" w:rsidRPr="00540A02" w:rsidRDefault="00540A02" w:rsidP="00F14F82">
            <w:pPr>
              <w:jc w:val="right"/>
              <w:rPr>
                <w:rFonts w:ascii="Arial" w:hAnsi="Arial" w:cs="Arial"/>
                <w:color w:val="000000"/>
                <w:sz w:val="18"/>
                <w:szCs w:val="18"/>
                <w:lang w:eastAsia="en-PH"/>
              </w:rPr>
            </w:pPr>
            <w:r w:rsidRPr="00540A02">
              <w:rPr>
                <w:rFonts w:ascii="Arial" w:hAnsi="Arial" w:cs="Arial"/>
                <w:color w:val="000000"/>
                <w:sz w:val="18"/>
                <w:szCs w:val="18"/>
                <w:lang w:eastAsia="en-PH"/>
              </w:rPr>
              <w:t>1899</w:t>
            </w:r>
          </w:p>
        </w:tc>
        <w:tc>
          <w:tcPr>
            <w:tcW w:w="383" w:type="pct"/>
            <w:tcBorders>
              <w:left w:val="single" w:sz="12" w:space="0" w:color="000000"/>
            </w:tcBorders>
            <w:noWrap/>
            <w:vAlign w:val="bottom"/>
            <w:hideMark/>
          </w:tcPr>
          <w:p w14:paraId="55BA4834" w14:textId="77777777" w:rsidR="00540A02" w:rsidRPr="00540A02" w:rsidRDefault="00540A02" w:rsidP="00F14F82">
            <w:pPr>
              <w:jc w:val="right"/>
              <w:rPr>
                <w:rFonts w:ascii="Arial" w:hAnsi="Arial" w:cs="Arial"/>
                <w:color w:val="000000"/>
                <w:sz w:val="18"/>
                <w:szCs w:val="18"/>
                <w:lang w:eastAsia="en-PH"/>
              </w:rPr>
            </w:pPr>
            <w:r w:rsidRPr="00540A02">
              <w:rPr>
                <w:rFonts w:ascii="Arial" w:hAnsi="Arial" w:cs="Arial"/>
                <w:color w:val="000000"/>
                <w:sz w:val="18"/>
                <w:szCs w:val="18"/>
                <w:lang w:eastAsia="en-PH"/>
              </w:rPr>
              <w:t>3253</w:t>
            </w:r>
          </w:p>
        </w:tc>
        <w:tc>
          <w:tcPr>
            <w:tcW w:w="368" w:type="pct"/>
            <w:noWrap/>
            <w:vAlign w:val="bottom"/>
            <w:hideMark/>
          </w:tcPr>
          <w:p w14:paraId="6670D532" w14:textId="77777777" w:rsidR="00540A02" w:rsidRPr="00540A02" w:rsidRDefault="00540A02" w:rsidP="00F14F82">
            <w:pPr>
              <w:jc w:val="right"/>
              <w:rPr>
                <w:rFonts w:ascii="Arial" w:hAnsi="Arial" w:cs="Arial"/>
                <w:color w:val="000000"/>
                <w:sz w:val="18"/>
                <w:szCs w:val="18"/>
                <w:lang w:eastAsia="en-PH"/>
              </w:rPr>
            </w:pPr>
            <w:r w:rsidRPr="00540A02">
              <w:rPr>
                <w:rFonts w:ascii="Arial" w:hAnsi="Arial" w:cs="Arial"/>
                <w:color w:val="000000"/>
                <w:sz w:val="18"/>
                <w:szCs w:val="18"/>
                <w:lang w:eastAsia="en-PH"/>
              </w:rPr>
              <w:t>2822</w:t>
            </w:r>
          </w:p>
        </w:tc>
        <w:tc>
          <w:tcPr>
            <w:tcW w:w="373" w:type="pct"/>
            <w:noWrap/>
            <w:vAlign w:val="bottom"/>
            <w:hideMark/>
          </w:tcPr>
          <w:p w14:paraId="11AFC4FF" w14:textId="77777777" w:rsidR="00540A02" w:rsidRPr="00540A02" w:rsidRDefault="00540A02" w:rsidP="00F14F82">
            <w:pPr>
              <w:jc w:val="right"/>
              <w:rPr>
                <w:rFonts w:ascii="Arial" w:hAnsi="Arial" w:cs="Arial"/>
                <w:color w:val="000000"/>
                <w:sz w:val="18"/>
                <w:szCs w:val="18"/>
                <w:lang w:eastAsia="en-PH"/>
              </w:rPr>
            </w:pPr>
            <w:r w:rsidRPr="00540A02">
              <w:rPr>
                <w:rFonts w:ascii="Arial" w:hAnsi="Arial" w:cs="Arial"/>
                <w:color w:val="000000"/>
                <w:sz w:val="18"/>
                <w:szCs w:val="18"/>
                <w:lang w:eastAsia="en-PH"/>
              </w:rPr>
              <w:t>434</w:t>
            </w:r>
          </w:p>
        </w:tc>
        <w:tc>
          <w:tcPr>
            <w:tcW w:w="369" w:type="pct"/>
            <w:tcBorders>
              <w:right w:val="single" w:sz="12" w:space="0" w:color="000000"/>
            </w:tcBorders>
            <w:noWrap/>
            <w:vAlign w:val="bottom"/>
            <w:hideMark/>
          </w:tcPr>
          <w:p w14:paraId="1F251858" w14:textId="77777777" w:rsidR="00540A02" w:rsidRPr="00540A02" w:rsidRDefault="00540A02" w:rsidP="00F14F82">
            <w:pPr>
              <w:jc w:val="right"/>
              <w:rPr>
                <w:rFonts w:ascii="Arial" w:hAnsi="Arial" w:cs="Arial"/>
                <w:color w:val="000000"/>
                <w:sz w:val="18"/>
                <w:szCs w:val="18"/>
                <w:lang w:eastAsia="en-PH"/>
              </w:rPr>
            </w:pPr>
            <w:r w:rsidRPr="00540A02">
              <w:rPr>
                <w:rFonts w:ascii="Arial" w:hAnsi="Arial" w:cs="Arial"/>
                <w:color w:val="000000"/>
                <w:sz w:val="18"/>
                <w:szCs w:val="18"/>
                <w:lang w:eastAsia="en-PH"/>
              </w:rPr>
              <w:t>2023</w:t>
            </w:r>
          </w:p>
        </w:tc>
        <w:tc>
          <w:tcPr>
            <w:tcW w:w="380" w:type="pct"/>
            <w:tcBorders>
              <w:left w:val="single" w:sz="12" w:space="0" w:color="000000"/>
            </w:tcBorders>
            <w:noWrap/>
            <w:vAlign w:val="center"/>
            <w:hideMark/>
          </w:tcPr>
          <w:p w14:paraId="6D23BA2A" w14:textId="77777777" w:rsidR="00540A02" w:rsidRPr="00540A02" w:rsidRDefault="00540A02" w:rsidP="00F14F82">
            <w:pPr>
              <w:jc w:val="center"/>
              <w:rPr>
                <w:rFonts w:ascii="Arial" w:hAnsi="Arial" w:cs="Arial"/>
                <w:color w:val="000000"/>
                <w:sz w:val="18"/>
                <w:szCs w:val="18"/>
                <w:lang w:eastAsia="en-PH"/>
              </w:rPr>
            </w:pPr>
            <w:r w:rsidRPr="00540A02">
              <w:rPr>
                <w:rFonts w:ascii="Arial" w:hAnsi="Arial" w:cs="Arial"/>
                <w:color w:val="000000"/>
                <w:sz w:val="18"/>
                <w:szCs w:val="18"/>
                <w:lang w:eastAsia="en-PH"/>
              </w:rPr>
              <w:t>0.01</w:t>
            </w:r>
          </w:p>
        </w:tc>
        <w:tc>
          <w:tcPr>
            <w:tcW w:w="382" w:type="pct"/>
            <w:noWrap/>
            <w:vAlign w:val="center"/>
            <w:hideMark/>
          </w:tcPr>
          <w:p w14:paraId="0EA9C111" w14:textId="77777777" w:rsidR="00540A02" w:rsidRPr="00540A02" w:rsidRDefault="00540A02" w:rsidP="00F14F82">
            <w:pPr>
              <w:jc w:val="center"/>
              <w:rPr>
                <w:rFonts w:ascii="Arial" w:hAnsi="Arial" w:cs="Arial"/>
                <w:color w:val="000000"/>
                <w:sz w:val="18"/>
                <w:szCs w:val="18"/>
                <w:lang w:eastAsia="en-PH"/>
              </w:rPr>
            </w:pPr>
            <w:r w:rsidRPr="00540A02">
              <w:rPr>
                <w:rFonts w:ascii="Arial" w:hAnsi="Arial" w:cs="Arial"/>
                <w:color w:val="000000"/>
                <w:sz w:val="18"/>
                <w:szCs w:val="18"/>
                <w:lang w:eastAsia="en-PH"/>
              </w:rPr>
              <w:t>0.01</w:t>
            </w:r>
          </w:p>
        </w:tc>
        <w:tc>
          <w:tcPr>
            <w:tcW w:w="369" w:type="pct"/>
            <w:noWrap/>
            <w:vAlign w:val="center"/>
            <w:hideMark/>
          </w:tcPr>
          <w:p w14:paraId="21605A8E" w14:textId="77777777" w:rsidR="00540A02" w:rsidRPr="00540A02" w:rsidRDefault="00540A02" w:rsidP="00F14F82">
            <w:pPr>
              <w:jc w:val="center"/>
              <w:rPr>
                <w:rFonts w:ascii="Arial" w:hAnsi="Arial" w:cs="Arial"/>
                <w:color w:val="000000"/>
                <w:sz w:val="18"/>
                <w:szCs w:val="18"/>
                <w:lang w:eastAsia="en-PH"/>
              </w:rPr>
            </w:pPr>
            <w:r w:rsidRPr="00540A02">
              <w:rPr>
                <w:rFonts w:ascii="Arial" w:hAnsi="Arial" w:cs="Arial"/>
                <w:color w:val="000000"/>
                <w:sz w:val="18"/>
                <w:szCs w:val="18"/>
                <w:lang w:eastAsia="en-PH"/>
              </w:rPr>
              <w:t>0.50</w:t>
            </w:r>
          </w:p>
        </w:tc>
        <w:tc>
          <w:tcPr>
            <w:tcW w:w="424" w:type="pct"/>
            <w:noWrap/>
            <w:vAlign w:val="center"/>
            <w:hideMark/>
          </w:tcPr>
          <w:p w14:paraId="087EC7F7" w14:textId="77777777" w:rsidR="00540A02" w:rsidRPr="00540A02" w:rsidRDefault="00540A02" w:rsidP="00F14F82">
            <w:pPr>
              <w:jc w:val="center"/>
              <w:rPr>
                <w:rFonts w:ascii="Arial" w:hAnsi="Arial" w:cs="Arial"/>
                <w:color w:val="000000"/>
                <w:sz w:val="18"/>
                <w:szCs w:val="18"/>
                <w:lang w:eastAsia="en-PH"/>
              </w:rPr>
            </w:pPr>
            <w:r w:rsidRPr="00540A02">
              <w:rPr>
                <w:rFonts w:ascii="Arial" w:hAnsi="Arial" w:cs="Arial"/>
                <w:color w:val="000000"/>
                <w:sz w:val="18"/>
                <w:szCs w:val="18"/>
                <w:lang w:eastAsia="en-PH"/>
              </w:rPr>
              <w:t>0.07</w:t>
            </w:r>
          </w:p>
        </w:tc>
      </w:tr>
      <w:tr w:rsidR="00540A02" w:rsidRPr="00540A02" w14:paraId="08B51057" w14:textId="77777777" w:rsidTr="00F14F82">
        <w:trPr>
          <w:trHeight w:val="226"/>
        </w:trPr>
        <w:tc>
          <w:tcPr>
            <w:tcW w:w="529" w:type="pct"/>
            <w:tcBorders>
              <w:right w:val="single" w:sz="12" w:space="0" w:color="000000"/>
            </w:tcBorders>
            <w:noWrap/>
            <w:vAlign w:val="bottom"/>
            <w:hideMark/>
          </w:tcPr>
          <w:p w14:paraId="1ABDBD30" w14:textId="77777777" w:rsidR="00540A02" w:rsidRPr="00540A02" w:rsidRDefault="00540A02" w:rsidP="00F14F82">
            <w:pPr>
              <w:rPr>
                <w:rFonts w:ascii="Arial" w:hAnsi="Arial" w:cs="Arial"/>
                <w:color w:val="000000"/>
                <w:sz w:val="18"/>
                <w:szCs w:val="18"/>
                <w:lang w:eastAsia="en-PH"/>
              </w:rPr>
            </w:pPr>
            <w:r w:rsidRPr="00540A02">
              <w:rPr>
                <w:rFonts w:ascii="Arial" w:hAnsi="Arial" w:cs="Arial"/>
                <w:color w:val="000000"/>
                <w:sz w:val="18"/>
                <w:szCs w:val="18"/>
                <w:lang w:eastAsia="en-PH"/>
              </w:rPr>
              <w:t>Region VI</w:t>
            </w:r>
          </w:p>
        </w:tc>
        <w:tc>
          <w:tcPr>
            <w:tcW w:w="363" w:type="pct"/>
            <w:tcBorders>
              <w:left w:val="single" w:sz="12" w:space="0" w:color="000000"/>
            </w:tcBorders>
            <w:noWrap/>
            <w:vAlign w:val="bottom"/>
            <w:hideMark/>
          </w:tcPr>
          <w:p w14:paraId="7C0F95B4" w14:textId="77777777" w:rsidR="00540A02" w:rsidRPr="00540A02" w:rsidRDefault="00540A02" w:rsidP="00F14F82">
            <w:pPr>
              <w:jc w:val="right"/>
              <w:rPr>
                <w:rFonts w:ascii="Arial" w:hAnsi="Arial" w:cs="Arial"/>
                <w:color w:val="000000"/>
                <w:sz w:val="18"/>
                <w:szCs w:val="18"/>
                <w:lang w:eastAsia="en-PH"/>
              </w:rPr>
            </w:pPr>
            <w:r w:rsidRPr="00540A02">
              <w:rPr>
                <w:rFonts w:ascii="Arial" w:hAnsi="Arial" w:cs="Arial"/>
                <w:color w:val="000000"/>
                <w:sz w:val="18"/>
                <w:szCs w:val="18"/>
                <w:lang w:eastAsia="en-PH"/>
              </w:rPr>
              <w:t>4568</w:t>
            </w:r>
          </w:p>
        </w:tc>
        <w:tc>
          <w:tcPr>
            <w:tcW w:w="354" w:type="pct"/>
            <w:noWrap/>
            <w:vAlign w:val="bottom"/>
            <w:hideMark/>
          </w:tcPr>
          <w:p w14:paraId="7CEF253B" w14:textId="77777777" w:rsidR="00540A02" w:rsidRPr="00540A02" w:rsidRDefault="00540A02" w:rsidP="00F14F82">
            <w:pPr>
              <w:jc w:val="right"/>
              <w:rPr>
                <w:rFonts w:ascii="Arial" w:hAnsi="Arial" w:cs="Arial"/>
                <w:color w:val="000000"/>
                <w:sz w:val="18"/>
                <w:szCs w:val="18"/>
                <w:lang w:eastAsia="en-PH"/>
              </w:rPr>
            </w:pPr>
            <w:r w:rsidRPr="00540A02">
              <w:rPr>
                <w:rFonts w:ascii="Arial" w:hAnsi="Arial" w:cs="Arial"/>
                <w:color w:val="000000"/>
                <w:sz w:val="18"/>
                <w:szCs w:val="18"/>
                <w:lang w:eastAsia="en-PH"/>
              </w:rPr>
              <w:t>2960</w:t>
            </w:r>
          </w:p>
        </w:tc>
        <w:tc>
          <w:tcPr>
            <w:tcW w:w="369" w:type="pct"/>
            <w:noWrap/>
            <w:vAlign w:val="bottom"/>
            <w:hideMark/>
          </w:tcPr>
          <w:p w14:paraId="7D743899" w14:textId="77777777" w:rsidR="00540A02" w:rsidRPr="00540A02" w:rsidRDefault="00540A02" w:rsidP="00F14F82">
            <w:pPr>
              <w:jc w:val="right"/>
              <w:rPr>
                <w:rFonts w:ascii="Arial" w:hAnsi="Arial" w:cs="Arial"/>
                <w:color w:val="000000"/>
                <w:sz w:val="18"/>
                <w:szCs w:val="18"/>
                <w:lang w:eastAsia="en-PH"/>
              </w:rPr>
            </w:pPr>
            <w:r w:rsidRPr="00540A02">
              <w:rPr>
                <w:rFonts w:ascii="Arial" w:hAnsi="Arial" w:cs="Arial"/>
                <w:color w:val="000000"/>
                <w:sz w:val="18"/>
                <w:szCs w:val="18"/>
                <w:lang w:eastAsia="en-PH"/>
              </w:rPr>
              <w:t>584</w:t>
            </w:r>
          </w:p>
        </w:tc>
        <w:tc>
          <w:tcPr>
            <w:tcW w:w="336" w:type="pct"/>
            <w:tcBorders>
              <w:right w:val="single" w:sz="12" w:space="0" w:color="000000"/>
            </w:tcBorders>
            <w:noWrap/>
            <w:vAlign w:val="bottom"/>
            <w:hideMark/>
          </w:tcPr>
          <w:p w14:paraId="6EAC42A3" w14:textId="77777777" w:rsidR="00540A02" w:rsidRPr="00540A02" w:rsidRDefault="00540A02" w:rsidP="00F14F82">
            <w:pPr>
              <w:jc w:val="right"/>
              <w:rPr>
                <w:rFonts w:ascii="Arial" w:hAnsi="Arial" w:cs="Arial"/>
                <w:color w:val="000000"/>
                <w:sz w:val="18"/>
                <w:szCs w:val="18"/>
                <w:lang w:eastAsia="en-PH"/>
              </w:rPr>
            </w:pPr>
            <w:r w:rsidRPr="00540A02">
              <w:rPr>
                <w:rFonts w:ascii="Arial" w:hAnsi="Arial" w:cs="Arial"/>
                <w:color w:val="000000"/>
                <w:sz w:val="18"/>
                <w:szCs w:val="18"/>
                <w:lang w:eastAsia="en-PH"/>
              </w:rPr>
              <w:t>2568</w:t>
            </w:r>
          </w:p>
        </w:tc>
        <w:tc>
          <w:tcPr>
            <w:tcW w:w="383" w:type="pct"/>
            <w:tcBorders>
              <w:left w:val="single" w:sz="12" w:space="0" w:color="000000"/>
            </w:tcBorders>
            <w:noWrap/>
            <w:vAlign w:val="bottom"/>
            <w:hideMark/>
          </w:tcPr>
          <w:p w14:paraId="61854732" w14:textId="77777777" w:rsidR="00540A02" w:rsidRPr="00540A02" w:rsidRDefault="00540A02" w:rsidP="00F14F82">
            <w:pPr>
              <w:jc w:val="right"/>
              <w:rPr>
                <w:rFonts w:ascii="Arial" w:hAnsi="Arial" w:cs="Arial"/>
                <w:color w:val="000000"/>
                <w:sz w:val="18"/>
                <w:szCs w:val="18"/>
                <w:lang w:eastAsia="en-PH"/>
              </w:rPr>
            </w:pPr>
            <w:r w:rsidRPr="00540A02">
              <w:rPr>
                <w:rFonts w:ascii="Arial" w:hAnsi="Arial" w:cs="Arial"/>
                <w:color w:val="000000"/>
                <w:sz w:val="18"/>
                <w:szCs w:val="18"/>
                <w:lang w:eastAsia="en-PH"/>
              </w:rPr>
              <w:t>4594</w:t>
            </w:r>
          </w:p>
        </w:tc>
        <w:tc>
          <w:tcPr>
            <w:tcW w:w="368" w:type="pct"/>
            <w:noWrap/>
            <w:vAlign w:val="bottom"/>
            <w:hideMark/>
          </w:tcPr>
          <w:p w14:paraId="51093D3A" w14:textId="77777777" w:rsidR="00540A02" w:rsidRPr="00540A02" w:rsidRDefault="00540A02" w:rsidP="00F14F82">
            <w:pPr>
              <w:jc w:val="right"/>
              <w:rPr>
                <w:rFonts w:ascii="Arial" w:hAnsi="Arial" w:cs="Arial"/>
                <w:color w:val="000000"/>
                <w:sz w:val="18"/>
                <w:szCs w:val="18"/>
                <w:lang w:eastAsia="en-PH"/>
              </w:rPr>
            </w:pPr>
            <w:r w:rsidRPr="00540A02">
              <w:rPr>
                <w:rFonts w:ascii="Arial" w:hAnsi="Arial" w:cs="Arial"/>
                <w:color w:val="000000"/>
                <w:sz w:val="18"/>
                <w:szCs w:val="18"/>
                <w:lang w:eastAsia="en-PH"/>
              </w:rPr>
              <w:t>2976</w:t>
            </w:r>
          </w:p>
        </w:tc>
        <w:tc>
          <w:tcPr>
            <w:tcW w:w="373" w:type="pct"/>
            <w:noWrap/>
            <w:vAlign w:val="bottom"/>
            <w:hideMark/>
          </w:tcPr>
          <w:p w14:paraId="6A7EC1C5" w14:textId="77777777" w:rsidR="00540A02" w:rsidRPr="00540A02" w:rsidRDefault="00540A02" w:rsidP="00F14F82">
            <w:pPr>
              <w:jc w:val="right"/>
              <w:rPr>
                <w:rFonts w:ascii="Arial" w:hAnsi="Arial" w:cs="Arial"/>
                <w:color w:val="000000"/>
                <w:sz w:val="18"/>
                <w:szCs w:val="18"/>
                <w:lang w:eastAsia="en-PH"/>
              </w:rPr>
            </w:pPr>
            <w:r w:rsidRPr="00540A02">
              <w:rPr>
                <w:rFonts w:ascii="Arial" w:hAnsi="Arial" w:cs="Arial"/>
                <w:color w:val="000000"/>
                <w:sz w:val="18"/>
                <w:szCs w:val="18"/>
                <w:lang w:eastAsia="en-PH"/>
              </w:rPr>
              <w:t>964</w:t>
            </w:r>
          </w:p>
        </w:tc>
        <w:tc>
          <w:tcPr>
            <w:tcW w:w="369" w:type="pct"/>
            <w:tcBorders>
              <w:right w:val="single" w:sz="12" w:space="0" w:color="000000"/>
            </w:tcBorders>
            <w:noWrap/>
            <w:vAlign w:val="bottom"/>
            <w:hideMark/>
          </w:tcPr>
          <w:p w14:paraId="1BDC8B65" w14:textId="77777777" w:rsidR="00540A02" w:rsidRPr="00540A02" w:rsidRDefault="00540A02" w:rsidP="00F14F82">
            <w:pPr>
              <w:jc w:val="right"/>
              <w:rPr>
                <w:rFonts w:ascii="Arial" w:hAnsi="Arial" w:cs="Arial"/>
                <w:color w:val="000000"/>
                <w:sz w:val="18"/>
                <w:szCs w:val="18"/>
                <w:lang w:eastAsia="en-PH"/>
              </w:rPr>
            </w:pPr>
            <w:r w:rsidRPr="00540A02">
              <w:rPr>
                <w:rFonts w:ascii="Arial" w:hAnsi="Arial" w:cs="Arial"/>
                <w:color w:val="000000"/>
                <w:sz w:val="18"/>
                <w:szCs w:val="18"/>
                <w:lang w:eastAsia="en-PH"/>
              </w:rPr>
              <w:t>2770</w:t>
            </w:r>
          </w:p>
        </w:tc>
        <w:tc>
          <w:tcPr>
            <w:tcW w:w="380" w:type="pct"/>
            <w:tcBorders>
              <w:left w:val="single" w:sz="12" w:space="0" w:color="000000"/>
            </w:tcBorders>
            <w:noWrap/>
            <w:vAlign w:val="center"/>
            <w:hideMark/>
          </w:tcPr>
          <w:p w14:paraId="76DC5996" w14:textId="77777777" w:rsidR="00540A02" w:rsidRPr="00540A02" w:rsidRDefault="00540A02" w:rsidP="00F14F82">
            <w:pPr>
              <w:jc w:val="center"/>
              <w:rPr>
                <w:rFonts w:ascii="Arial" w:hAnsi="Arial" w:cs="Arial"/>
                <w:color w:val="000000"/>
                <w:sz w:val="18"/>
                <w:szCs w:val="18"/>
                <w:lang w:eastAsia="en-PH"/>
              </w:rPr>
            </w:pPr>
            <w:r w:rsidRPr="00540A02">
              <w:rPr>
                <w:rFonts w:ascii="Arial" w:hAnsi="Arial" w:cs="Arial"/>
                <w:color w:val="000000"/>
                <w:sz w:val="18"/>
                <w:szCs w:val="18"/>
                <w:lang w:eastAsia="en-PH"/>
              </w:rPr>
              <w:t>0.01</w:t>
            </w:r>
          </w:p>
        </w:tc>
        <w:tc>
          <w:tcPr>
            <w:tcW w:w="382" w:type="pct"/>
            <w:noWrap/>
            <w:vAlign w:val="center"/>
            <w:hideMark/>
          </w:tcPr>
          <w:p w14:paraId="7E65BCA9" w14:textId="77777777" w:rsidR="00540A02" w:rsidRPr="00540A02" w:rsidRDefault="00540A02" w:rsidP="00F14F82">
            <w:pPr>
              <w:jc w:val="center"/>
              <w:rPr>
                <w:rFonts w:ascii="Arial" w:hAnsi="Arial" w:cs="Arial"/>
                <w:color w:val="000000"/>
                <w:sz w:val="18"/>
                <w:szCs w:val="18"/>
                <w:lang w:eastAsia="en-PH"/>
              </w:rPr>
            </w:pPr>
            <w:r w:rsidRPr="00540A02">
              <w:rPr>
                <w:rFonts w:ascii="Arial" w:hAnsi="Arial" w:cs="Arial"/>
                <w:color w:val="000000"/>
                <w:sz w:val="18"/>
                <w:szCs w:val="18"/>
                <w:lang w:eastAsia="en-PH"/>
              </w:rPr>
              <w:t>0.01</w:t>
            </w:r>
          </w:p>
        </w:tc>
        <w:tc>
          <w:tcPr>
            <w:tcW w:w="369" w:type="pct"/>
            <w:noWrap/>
            <w:vAlign w:val="center"/>
            <w:hideMark/>
          </w:tcPr>
          <w:p w14:paraId="20039243" w14:textId="77777777" w:rsidR="00540A02" w:rsidRPr="00540A02" w:rsidRDefault="00540A02" w:rsidP="00F14F82">
            <w:pPr>
              <w:jc w:val="center"/>
              <w:rPr>
                <w:rFonts w:ascii="Arial" w:hAnsi="Arial" w:cs="Arial"/>
                <w:color w:val="000000"/>
                <w:sz w:val="18"/>
                <w:szCs w:val="18"/>
                <w:lang w:eastAsia="en-PH"/>
              </w:rPr>
            </w:pPr>
            <w:r w:rsidRPr="00540A02">
              <w:rPr>
                <w:rFonts w:ascii="Arial" w:hAnsi="Arial" w:cs="Arial"/>
                <w:color w:val="000000"/>
                <w:sz w:val="18"/>
                <w:szCs w:val="18"/>
                <w:lang w:eastAsia="en-PH"/>
              </w:rPr>
              <w:t>0.65</w:t>
            </w:r>
          </w:p>
        </w:tc>
        <w:tc>
          <w:tcPr>
            <w:tcW w:w="424" w:type="pct"/>
            <w:noWrap/>
            <w:vAlign w:val="center"/>
            <w:hideMark/>
          </w:tcPr>
          <w:p w14:paraId="440ED959" w14:textId="77777777" w:rsidR="00540A02" w:rsidRPr="00540A02" w:rsidRDefault="00540A02" w:rsidP="00F14F82">
            <w:pPr>
              <w:jc w:val="center"/>
              <w:rPr>
                <w:rFonts w:ascii="Arial" w:hAnsi="Arial" w:cs="Arial"/>
                <w:color w:val="000000"/>
                <w:sz w:val="18"/>
                <w:szCs w:val="18"/>
                <w:lang w:eastAsia="en-PH"/>
              </w:rPr>
            </w:pPr>
            <w:r w:rsidRPr="00540A02">
              <w:rPr>
                <w:rFonts w:ascii="Arial" w:hAnsi="Arial" w:cs="Arial"/>
                <w:color w:val="000000"/>
                <w:sz w:val="18"/>
                <w:szCs w:val="18"/>
                <w:lang w:eastAsia="en-PH"/>
              </w:rPr>
              <w:t>0.08</w:t>
            </w:r>
          </w:p>
        </w:tc>
      </w:tr>
      <w:tr w:rsidR="00540A02" w:rsidRPr="00540A02" w14:paraId="35ABE5E5" w14:textId="77777777" w:rsidTr="00F14F82">
        <w:trPr>
          <w:trHeight w:val="226"/>
        </w:trPr>
        <w:tc>
          <w:tcPr>
            <w:tcW w:w="529" w:type="pct"/>
            <w:tcBorders>
              <w:right w:val="single" w:sz="12" w:space="0" w:color="000000"/>
            </w:tcBorders>
            <w:noWrap/>
            <w:vAlign w:val="bottom"/>
            <w:hideMark/>
          </w:tcPr>
          <w:p w14:paraId="25408763" w14:textId="77777777" w:rsidR="00540A02" w:rsidRPr="00540A02" w:rsidRDefault="00540A02" w:rsidP="00F14F82">
            <w:pPr>
              <w:rPr>
                <w:rFonts w:ascii="Arial" w:hAnsi="Arial" w:cs="Arial"/>
                <w:color w:val="000000"/>
                <w:sz w:val="18"/>
                <w:szCs w:val="18"/>
                <w:lang w:eastAsia="en-PH"/>
              </w:rPr>
            </w:pPr>
            <w:r w:rsidRPr="00540A02">
              <w:rPr>
                <w:rFonts w:ascii="Arial" w:hAnsi="Arial" w:cs="Arial"/>
                <w:color w:val="000000"/>
                <w:sz w:val="18"/>
                <w:szCs w:val="18"/>
                <w:lang w:eastAsia="en-PH"/>
              </w:rPr>
              <w:t>Region VII</w:t>
            </w:r>
          </w:p>
        </w:tc>
        <w:tc>
          <w:tcPr>
            <w:tcW w:w="363" w:type="pct"/>
            <w:tcBorders>
              <w:left w:val="single" w:sz="12" w:space="0" w:color="000000"/>
            </w:tcBorders>
            <w:noWrap/>
            <w:vAlign w:val="bottom"/>
            <w:hideMark/>
          </w:tcPr>
          <w:p w14:paraId="3796BA21" w14:textId="77777777" w:rsidR="00540A02" w:rsidRPr="00540A02" w:rsidRDefault="00540A02" w:rsidP="00F14F82">
            <w:pPr>
              <w:jc w:val="right"/>
              <w:rPr>
                <w:rFonts w:ascii="Arial" w:hAnsi="Arial" w:cs="Arial"/>
                <w:color w:val="000000"/>
                <w:sz w:val="18"/>
                <w:szCs w:val="18"/>
                <w:lang w:eastAsia="en-PH"/>
              </w:rPr>
            </w:pPr>
            <w:r w:rsidRPr="00540A02">
              <w:rPr>
                <w:rFonts w:ascii="Arial" w:hAnsi="Arial" w:cs="Arial"/>
                <w:color w:val="000000"/>
                <w:sz w:val="18"/>
                <w:szCs w:val="18"/>
                <w:lang w:eastAsia="en-PH"/>
              </w:rPr>
              <w:t>3716</w:t>
            </w:r>
          </w:p>
        </w:tc>
        <w:tc>
          <w:tcPr>
            <w:tcW w:w="354" w:type="pct"/>
            <w:noWrap/>
            <w:vAlign w:val="bottom"/>
            <w:hideMark/>
          </w:tcPr>
          <w:p w14:paraId="2C6F63AC" w14:textId="77777777" w:rsidR="00540A02" w:rsidRPr="00540A02" w:rsidRDefault="00540A02" w:rsidP="00F14F82">
            <w:pPr>
              <w:jc w:val="right"/>
              <w:rPr>
                <w:rFonts w:ascii="Arial" w:hAnsi="Arial" w:cs="Arial"/>
                <w:color w:val="000000"/>
                <w:sz w:val="18"/>
                <w:szCs w:val="18"/>
                <w:lang w:eastAsia="en-PH"/>
              </w:rPr>
            </w:pPr>
            <w:r w:rsidRPr="00540A02">
              <w:rPr>
                <w:rFonts w:ascii="Arial" w:hAnsi="Arial" w:cs="Arial"/>
                <w:color w:val="000000"/>
                <w:sz w:val="18"/>
                <w:szCs w:val="18"/>
                <w:lang w:eastAsia="en-PH"/>
              </w:rPr>
              <w:t>2356</w:t>
            </w:r>
          </w:p>
        </w:tc>
        <w:tc>
          <w:tcPr>
            <w:tcW w:w="369" w:type="pct"/>
            <w:noWrap/>
            <w:vAlign w:val="bottom"/>
            <w:hideMark/>
          </w:tcPr>
          <w:p w14:paraId="484F959A" w14:textId="77777777" w:rsidR="00540A02" w:rsidRPr="00540A02" w:rsidRDefault="00540A02" w:rsidP="00F14F82">
            <w:pPr>
              <w:jc w:val="right"/>
              <w:rPr>
                <w:rFonts w:ascii="Arial" w:hAnsi="Arial" w:cs="Arial"/>
                <w:color w:val="000000"/>
                <w:sz w:val="18"/>
                <w:szCs w:val="18"/>
                <w:lang w:eastAsia="en-PH"/>
              </w:rPr>
            </w:pPr>
            <w:r w:rsidRPr="00540A02">
              <w:rPr>
                <w:rFonts w:ascii="Arial" w:hAnsi="Arial" w:cs="Arial"/>
                <w:color w:val="000000"/>
                <w:sz w:val="18"/>
                <w:szCs w:val="18"/>
                <w:lang w:eastAsia="en-PH"/>
              </w:rPr>
              <w:t>144</w:t>
            </w:r>
          </w:p>
        </w:tc>
        <w:tc>
          <w:tcPr>
            <w:tcW w:w="336" w:type="pct"/>
            <w:tcBorders>
              <w:right w:val="single" w:sz="12" w:space="0" w:color="000000"/>
            </w:tcBorders>
            <w:noWrap/>
            <w:vAlign w:val="bottom"/>
            <w:hideMark/>
          </w:tcPr>
          <w:p w14:paraId="302AFFCD" w14:textId="77777777" w:rsidR="00540A02" w:rsidRPr="00540A02" w:rsidRDefault="00540A02" w:rsidP="00F14F82">
            <w:pPr>
              <w:jc w:val="right"/>
              <w:rPr>
                <w:rFonts w:ascii="Arial" w:hAnsi="Arial" w:cs="Arial"/>
                <w:color w:val="000000"/>
                <w:sz w:val="18"/>
                <w:szCs w:val="18"/>
                <w:lang w:eastAsia="en-PH"/>
              </w:rPr>
            </w:pPr>
            <w:r w:rsidRPr="00540A02">
              <w:rPr>
                <w:rFonts w:ascii="Arial" w:hAnsi="Arial" w:cs="Arial"/>
                <w:color w:val="000000"/>
                <w:sz w:val="18"/>
                <w:szCs w:val="18"/>
                <w:lang w:eastAsia="en-PH"/>
              </w:rPr>
              <w:t>1840</w:t>
            </w:r>
          </w:p>
        </w:tc>
        <w:tc>
          <w:tcPr>
            <w:tcW w:w="383" w:type="pct"/>
            <w:tcBorders>
              <w:left w:val="single" w:sz="12" w:space="0" w:color="000000"/>
            </w:tcBorders>
            <w:noWrap/>
            <w:vAlign w:val="bottom"/>
            <w:hideMark/>
          </w:tcPr>
          <w:p w14:paraId="7CA4208E" w14:textId="77777777" w:rsidR="00540A02" w:rsidRPr="00540A02" w:rsidRDefault="00540A02" w:rsidP="00F14F82">
            <w:pPr>
              <w:jc w:val="right"/>
              <w:rPr>
                <w:rFonts w:ascii="Arial" w:hAnsi="Arial" w:cs="Arial"/>
                <w:color w:val="000000"/>
                <w:sz w:val="18"/>
                <w:szCs w:val="18"/>
                <w:lang w:eastAsia="en-PH"/>
              </w:rPr>
            </w:pPr>
            <w:r w:rsidRPr="00540A02">
              <w:rPr>
                <w:rFonts w:ascii="Arial" w:hAnsi="Arial" w:cs="Arial"/>
                <w:color w:val="000000"/>
                <w:sz w:val="18"/>
                <w:szCs w:val="18"/>
                <w:lang w:eastAsia="en-PH"/>
              </w:rPr>
              <w:t>3729</w:t>
            </w:r>
          </w:p>
        </w:tc>
        <w:tc>
          <w:tcPr>
            <w:tcW w:w="368" w:type="pct"/>
            <w:noWrap/>
            <w:vAlign w:val="bottom"/>
            <w:hideMark/>
          </w:tcPr>
          <w:p w14:paraId="3F81D38F" w14:textId="77777777" w:rsidR="00540A02" w:rsidRPr="00540A02" w:rsidRDefault="00540A02" w:rsidP="00F14F82">
            <w:pPr>
              <w:jc w:val="right"/>
              <w:rPr>
                <w:rFonts w:ascii="Arial" w:hAnsi="Arial" w:cs="Arial"/>
                <w:color w:val="000000"/>
                <w:sz w:val="18"/>
                <w:szCs w:val="18"/>
                <w:lang w:eastAsia="en-PH"/>
              </w:rPr>
            </w:pPr>
            <w:r w:rsidRPr="00540A02">
              <w:rPr>
                <w:rFonts w:ascii="Arial" w:hAnsi="Arial" w:cs="Arial"/>
                <w:color w:val="000000"/>
                <w:sz w:val="18"/>
                <w:szCs w:val="18"/>
                <w:lang w:eastAsia="en-PH"/>
              </w:rPr>
              <w:t>2367</w:t>
            </w:r>
          </w:p>
        </w:tc>
        <w:tc>
          <w:tcPr>
            <w:tcW w:w="373" w:type="pct"/>
            <w:noWrap/>
            <w:vAlign w:val="bottom"/>
            <w:hideMark/>
          </w:tcPr>
          <w:p w14:paraId="729DE50B" w14:textId="77777777" w:rsidR="00540A02" w:rsidRPr="00540A02" w:rsidRDefault="00540A02" w:rsidP="00F14F82">
            <w:pPr>
              <w:jc w:val="right"/>
              <w:rPr>
                <w:rFonts w:ascii="Arial" w:hAnsi="Arial" w:cs="Arial"/>
                <w:color w:val="000000"/>
                <w:sz w:val="18"/>
                <w:szCs w:val="18"/>
                <w:lang w:eastAsia="en-PH"/>
              </w:rPr>
            </w:pPr>
            <w:r w:rsidRPr="00540A02">
              <w:rPr>
                <w:rFonts w:ascii="Arial" w:hAnsi="Arial" w:cs="Arial"/>
                <w:color w:val="000000"/>
                <w:sz w:val="18"/>
                <w:szCs w:val="18"/>
                <w:lang w:eastAsia="en-PH"/>
              </w:rPr>
              <w:t>178</w:t>
            </w:r>
          </w:p>
        </w:tc>
        <w:tc>
          <w:tcPr>
            <w:tcW w:w="369" w:type="pct"/>
            <w:tcBorders>
              <w:right w:val="single" w:sz="12" w:space="0" w:color="000000"/>
            </w:tcBorders>
            <w:noWrap/>
            <w:vAlign w:val="bottom"/>
            <w:hideMark/>
          </w:tcPr>
          <w:p w14:paraId="2E68DDDE" w14:textId="77777777" w:rsidR="00540A02" w:rsidRPr="00540A02" w:rsidRDefault="00540A02" w:rsidP="00F14F82">
            <w:pPr>
              <w:jc w:val="right"/>
              <w:rPr>
                <w:rFonts w:ascii="Arial" w:hAnsi="Arial" w:cs="Arial"/>
                <w:color w:val="000000"/>
                <w:sz w:val="18"/>
                <w:szCs w:val="18"/>
                <w:lang w:eastAsia="en-PH"/>
              </w:rPr>
            </w:pPr>
            <w:r w:rsidRPr="00540A02">
              <w:rPr>
                <w:rFonts w:ascii="Arial" w:hAnsi="Arial" w:cs="Arial"/>
                <w:color w:val="000000"/>
                <w:sz w:val="18"/>
                <w:szCs w:val="18"/>
                <w:lang w:eastAsia="en-PH"/>
              </w:rPr>
              <w:t>1960</w:t>
            </w:r>
          </w:p>
        </w:tc>
        <w:tc>
          <w:tcPr>
            <w:tcW w:w="380" w:type="pct"/>
            <w:tcBorders>
              <w:left w:val="single" w:sz="12" w:space="0" w:color="000000"/>
            </w:tcBorders>
            <w:noWrap/>
            <w:vAlign w:val="center"/>
            <w:hideMark/>
          </w:tcPr>
          <w:p w14:paraId="081465B1" w14:textId="77777777" w:rsidR="00540A02" w:rsidRPr="00540A02" w:rsidRDefault="00540A02" w:rsidP="00F14F82">
            <w:pPr>
              <w:jc w:val="center"/>
              <w:rPr>
                <w:rFonts w:ascii="Arial" w:hAnsi="Arial" w:cs="Arial"/>
                <w:color w:val="000000"/>
                <w:sz w:val="18"/>
                <w:szCs w:val="18"/>
                <w:lang w:eastAsia="en-PH"/>
              </w:rPr>
            </w:pPr>
            <w:r w:rsidRPr="00540A02">
              <w:rPr>
                <w:rFonts w:ascii="Arial" w:hAnsi="Arial" w:cs="Arial"/>
                <w:color w:val="000000"/>
                <w:sz w:val="18"/>
                <w:szCs w:val="18"/>
                <w:lang w:eastAsia="en-PH"/>
              </w:rPr>
              <w:t>0.00</w:t>
            </w:r>
          </w:p>
        </w:tc>
        <w:tc>
          <w:tcPr>
            <w:tcW w:w="382" w:type="pct"/>
            <w:noWrap/>
            <w:vAlign w:val="center"/>
            <w:hideMark/>
          </w:tcPr>
          <w:p w14:paraId="118DFB30" w14:textId="77777777" w:rsidR="00540A02" w:rsidRPr="00540A02" w:rsidRDefault="00540A02" w:rsidP="00F14F82">
            <w:pPr>
              <w:jc w:val="center"/>
              <w:rPr>
                <w:rFonts w:ascii="Arial" w:hAnsi="Arial" w:cs="Arial"/>
                <w:color w:val="000000"/>
                <w:sz w:val="18"/>
                <w:szCs w:val="18"/>
                <w:lang w:eastAsia="en-PH"/>
              </w:rPr>
            </w:pPr>
            <w:r w:rsidRPr="00540A02">
              <w:rPr>
                <w:rFonts w:ascii="Arial" w:hAnsi="Arial" w:cs="Arial"/>
                <w:color w:val="000000"/>
                <w:sz w:val="18"/>
                <w:szCs w:val="18"/>
                <w:lang w:eastAsia="en-PH"/>
              </w:rPr>
              <w:t>0.00</w:t>
            </w:r>
          </w:p>
        </w:tc>
        <w:tc>
          <w:tcPr>
            <w:tcW w:w="369" w:type="pct"/>
            <w:noWrap/>
            <w:vAlign w:val="center"/>
            <w:hideMark/>
          </w:tcPr>
          <w:p w14:paraId="0EEA29A5" w14:textId="77777777" w:rsidR="00540A02" w:rsidRPr="00540A02" w:rsidRDefault="00540A02" w:rsidP="00F14F82">
            <w:pPr>
              <w:jc w:val="center"/>
              <w:rPr>
                <w:rFonts w:ascii="Arial" w:hAnsi="Arial" w:cs="Arial"/>
                <w:color w:val="000000"/>
                <w:sz w:val="18"/>
                <w:szCs w:val="18"/>
                <w:lang w:eastAsia="en-PH"/>
              </w:rPr>
            </w:pPr>
            <w:r w:rsidRPr="00540A02">
              <w:rPr>
                <w:rFonts w:ascii="Arial" w:hAnsi="Arial" w:cs="Arial"/>
                <w:color w:val="000000"/>
                <w:sz w:val="18"/>
                <w:szCs w:val="18"/>
                <w:lang w:eastAsia="en-PH"/>
              </w:rPr>
              <w:t>0.24</w:t>
            </w:r>
          </w:p>
        </w:tc>
        <w:tc>
          <w:tcPr>
            <w:tcW w:w="424" w:type="pct"/>
            <w:noWrap/>
            <w:vAlign w:val="center"/>
            <w:hideMark/>
          </w:tcPr>
          <w:p w14:paraId="484C642D" w14:textId="77777777" w:rsidR="00540A02" w:rsidRPr="00540A02" w:rsidRDefault="00540A02" w:rsidP="00F14F82">
            <w:pPr>
              <w:jc w:val="center"/>
              <w:rPr>
                <w:rFonts w:ascii="Arial" w:hAnsi="Arial" w:cs="Arial"/>
                <w:color w:val="000000"/>
                <w:sz w:val="18"/>
                <w:szCs w:val="18"/>
                <w:lang w:eastAsia="en-PH"/>
              </w:rPr>
            </w:pPr>
            <w:r w:rsidRPr="00540A02">
              <w:rPr>
                <w:rFonts w:ascii="Arial" w:hAnsi="Arial" w:cs="Arial"/>
                <w:color w:val="000000"/>
                <w:sz w:val="18"/>
                <w:szCs w:val="18"/>
                <w:lang w:eastAsia="en-PH"/>
              </w:rPr>
              <w:t>0.07</w:t>
            </w:r>
          </w:p>
        </w:tc>
      </w:tr>
      <w:tr w:rsidR="00540A02" w:rsidRPr="00540A02" w14:paraId="2838C5A7" w14:textId="77777777" w:rsidTr="00F14F82">
        <w:trPr>
          <w:trHeight w:val="226"/>
        </w:trPr>
        <w:tc>
          <w:tcPr>
            <w:tcW w:w="529" w:type="pct"/>
            <w:tcBorders>
              <w:right w:val="single" w:sz="12" w:space="0" w:color="000000"/>
            </w:tcBorders>
            <w:noWrap/>
            <w:vAlign w:val="bottom"/>
            <w:hideMark/>
          </w:tcPr>
          <w:p w14:paraId="1E9F49FA" w14:textId="77777777" w:rsidR="00540A02" w:rsidRPr="00540A02" w:rsidRDefault="00540A02" w:rsidP="00F14F82">
            <w:pPr>
              <w:rPr>
                <w:rFonts w:ascii="Arial" w:hAnsi="Arial" w:cs="Arial"/>
                <w:color w:val="000000"/>
                <w:sz w:val="18"/>
                <w:szCs w:val="18"/>
                <w:lang w:eastAsia="en-PH"/>
              </w:rPr>
            </w:pPr>
            <w:r w:rsidRPr="00540A02">
              <w:rPr>
                <w:rFonts w:ascii="Arial" w:hAnsi="Arial" w:cs="Arial"/>
                <w:color w:val="000000"/>
                <w:sz w:val="18"/>
                <w:szCs w:val="18"/>
                <w:lang w:eastAsia="en-PH"/>
              </w:rPr>
              <w:t>Region VIII</w:t>
            </w:r>
          </w:p>
        </w:tc>
        <w:tc>
          <w:tcPr>
            <w:tcW w:w="363" w:type="pct"/>
            <w:tcBorders>
              <w:left w:val="single" w:sz="12" w:space="0" w:color="000000"/>
            </w:tcBorders>
            <w:noWrap/>
            <w:vAlign w:val="bottom"/>
            <w:hideMark/>
          </w:tcPr>
          <w:p w14:paraId="5FE5AFBE" w14:textId="77777777" w:rsidR="00540A02" w:rsidRPr="00540A02" w:rsidRDefault="00540A02" w:rsidP="00F14F82">
            <w:pPr>
              <w:jc w:val="right"/>
              <w:rPr>
                <w:rFonts w:ascii="Arial" w:hAnsi="Arial" w:cs="Arial"/>
                <w:color w:val="000000"/>
                <w:sz w:val="18"/>
                <w:szCs w:val="18"/>
                <w:lang w:eastAsia="en-PH"/>
              </w:rPr>
            </w:pPr>
            <w:r w:rsidRPr="00540A02">
              <w:rPr>
                <w:rFonts w:ascii="Arial" w:hAnsi="Arial" w:cs="Arial"/>
                <w:color w:val="000000"/>
                <w:sz w:val="18"/>
                <w:szCs w:val="18"/>
                <w:lang w:eastAsia="en-PH"/>
              </w:rPr>
              <w:t>3807</w:t>
            </w:r>
          </w:p>
        </w:tc>
        <w:tc>
          <w:tcPr>
            <w:tcW w:w="354" w:type="pct"/>
            <w:noWrap/>
            <w:vAlign w:val="bottom"/>
            <w:hideMark/>
          </w:tcPr>
          <w:p w14:paraId="09940782" w14:textId="77777777" w:rsidR="00540A02" w:rsidRPr="00540A02" w:rsidRDefault="00540A02" w:rsidP="00F14F82">
            <w:pPr>
              <w:jc w:val="right"/>
              <w:rPr>
                <w:rFonts w:ascii="Arial" w:hAnsi="Arial" w:cs="Arial"/>
                <w:color w:val="000000"/>
                <w:sz w:val="18"/>
                <w:szCs w:val="18"/>
                <w:lang w:eastAsia="en-PH"/>
              </w:rPr>
            </w:pPr>
            <w:r w:rsidRPr="00540A02">
              <w:rPr>
                <w:rFonts w:ascii="Arial" w:hAnsi="Arial" w:cs="Arial"/>
                <w:color w:val="000000"/>
                <w:sz w:val="18"/>
                <w:szCs w:val="18"/>
                <w:lang w:eastAsia="en-PH"/>
              </w:rPr>
              <w:t>3453</w:t>
            </w:r>
          </w:p>
        </w:tc>
        <w:tc>
          <w:tcPr>
            <w:tcW w:w="369" w:type="pct"/>
            <w:noWrap/>
            <w:vAlign w:val="bottom"/>
            <w:hideMark/>
          </w:tcPr>
          <w:p w14:paraId="0EF0C6E5" w14:textId="77777777" w:rsidR="00540A02" w:rsidRPr="00540A02" w:rsidRDefault="00540A02" w:rsidP="00F14F82">
            <w:pPr>
              <w:jc w:val="right"/>
              <w:rPr>
                <w:rFonts w:ascii="Arial" w:hAnsi="Arial" w:cs="Arial"/>
                <w:color w:val="000000"/>
                <w:sz w:val="18"/>
                <w:szCs w:val="18"/>
                <w:lang w:eastAsia="en-PH"/>
              </w:rPr>
            </w:pPr>
            <w:r w:rsidRPr="00540A02">
              <w:rPr>
                <w:rFonts w:ascii="Arial" w:hAnsi="Arial" w:cs="Arial"/>
                <w:color w:val="000000"/>
                <w:sz w:val="18"/>
                <w:szCs w:val="18"/>
                <w:lang w:eastAsia="en-PH"/>
              </w:rPr>
              <w:t>275</w:t>
            </w:r>
          </w:p>
        </w:tc>
        <w:tc>
          <w:tcPr>
            <w:tcW w:w="336" w:type="pct"/>
            <w:tcBorders>
              <w:right w:val="single" w:sz="12" w:space="0" w:color="000000"/>
            </w:tcBorders>
            <w:noWrap/>
            <w:vAlign w:val="bottom"/>
            <w:hideMark/>
          </w:tcPr>
          <w:p w14:paraId="460AE94D" w14:textId="77777777" w:rsidR="00540A02" w:rsidRPr="00540A02" w:rsidRDefault="00540A02" w:rsidP="00F14F82">
            <w:pPr>
              <w:jc w:val="right"/>
              <w:rPr>
                <w:rFonts w:ascii="Arial" w:hAnsi="Arial" w:cs="Arial"/>
                <w:color w:val="000000"/>
                <w:sz w:val="18"/>
                <w:szCs w:val="18"/>
                <w:lang w:eastAsia="en-PH"/>
              </w:rPr>
            </w:pPr>
            <w:r w:rsidRPr="00540A02">
              <w:rPr>
                <w:rFonts w:ascii="Arial" w:hAnsi="Arial" w:cs="Arial"/>
                <w:color w:val="000000"/>
                <w:sz w:val="18"/>
                <w:szCs w:val="18"/>
                <w:lang w:eastAsia="en-PH"/>
              </w:rPr>
              <w:t>1974</w:t>
            </w:r>
          </w:p>
        </w:tc>
        <w:tc>
          <w:tcPr>
            <w:tcW w:w="383" w:type="pct"/>
            <w:tcBorders>
              <w:left w:val="single" w:sz="12" w:space="0" w:color="000000"/>
            </w:tcBorders>
            <w:noWrap/>
            <w:vAlign w:val="bottom"/>
            <w:hideMark/>
          </w:tcPr>
          <w:p w14:paraId="2BA50BF6" w14:textId="77777777" w:rsidR="00540A02" w:rsidRPr="00540A02" w:rsidRDefault="00540A02" w:rsidP="00F14F82">
            <w:pPr>
              <w:jc w:val="right"/>
              <w:rPr>
                <w:rFonts w:ascii="Arial" w:hAnsi="Arial" w:cs="Arial"/>
                <w:color w:val="000000"/>
                <w:sz w:val="18"/>
                <w:szCs w:val="18"/>
                <w:lang w:eastAsia="en-PH"/>
              </w:rPr>
            </w:pPr>
            <w:r w:rsidRPr="00540A02">
              <w:rPr>
                <w:rFonts w:ascii="Arial" w:hAnsi="Arial" w:cs="Arial"/>
                <w:color w:val="000000"/>
                <w:sz w:val="18"/>
                <w:szCs w:val="18"/>
                <w:lang w:eastAsia="en-PH"/>
              </w:rPr>
              <w:t>3844</w:t>
            </w:r>
          </w:p>
        </w:tc>
        <w:tc>
          <w:tcPr>
            <w:tcW w:w="368" w:type="pct"/>
            <w:noWrap/>
            <w:vAlign w:val="bottom"/>
            <w:hideMark/>
          </w:tcPr>
          <w:p w14:paraId="75C89FCD" w14:textId="77777777" w:rsidR="00540A02" w:rsidRPr="00540A02" w:rsidRDefault="00540A02" w:rsidP="00F14F82">
            <w:pPr>
              <w:jc w:val="right"/>
              <w:rPr>
                <w:rFonts w:ascii="Arial" w:hAnsi="Arial" w:cs="Arial"/>
                <w:color w:val="000000"/>
                <w:sz w:val="18"/>
                <w:szCs w:val="18"/>
                <w:lang w:eastAsia="en-PH"/>
              </w:rPr>
            </w:pPr>
            <w:r w:rsidRPr="00540A02">
              <w:rPr>
                <w:rFonts w:ascii="Arial" w:hAnsi="Arial" w:cs="Arial"/>
                <w:color w:val="000000"/>
                <w:sz w:val="18"/>
                <w:szCs w:val="18"/>
                <w:lang w:eastAsia="en-PH"/>
              </w:rPr>
              <w:t>3478</w:t>
            </w:r>
          </w:p>
        </w:tc>
        <w:tc>
          <w:tcPr>
            <w:tcW w:w="373" w:type="pct"/>
            <w:noWrap/>
            <w:vAlign w:val="bottom"/>
            <w:hideMark/>
          </w:tcPr>
          <w:p w14:paraId="2CA76798" w14:textId="77777777" w:rsidR="00540A02" w:rsidRPr="00540A02" w:rsidRDefault="00540A02" w:rsidP="00F14F82">
            <w:pPr>
              <w:jc w:val="right"/>
              <w:rPr>
                <w:rFonts w:ascii="Arial" w:hAnsi="Arial" w:cs="Arial"/>
                <w:color w:val="000000"/>
                <w:sz w:val="18"/>
                <w:szCs w:val="18"/>
                <w:lang w:eastAsia="en-PH"/>
              </w:rPr>
            </w:pPr>
            <w:r w:rsidRPr="00540A02">
              <w:rPr>
                <w:rFonts w:ascii="Arial" w:hAnsi="Arial" w:cs="Arial"/>
                <w:color w:val="000000"/>
                <w:sz w:val="18"/>
                <w:szCs w:val="18"/>
                <w:lang w:eastAsia="en-PH"/>
              </w:rPr>
              <w:t>392</w:t>
            </w:r>
          </w:p>
        </w:tc>
        <w:tc>
          <w:tcPr>
            <w:tcW w:w="369" w:type="pct"/>
            <w:tcBorders>
              <w:right w:val="single" w:sz="12" w:space="0" w:color="000000"/>
            </w:tcBorders>
            <w:noWrap/>
            <w:vAlign w:val="bottom"/>
            <w:hideMark/>
          </w:tcPr>
          <w:p w14:paraId="2D3E1041" w14:textId="77777777" w:rsidR="00540A02" w:rsidRPr="00540A02" w:rsidRDefault="00540A02" w:rsidP="00F14F82">
            <w:pPr>
              <w:jc w:val="right"/>
              <w:rPr>
                <w:rFonts w:ascii="Arial" w:hAnsi="Arial" w:cs="Arial"/>
                <w:color w:val="000000"/>
                <w:sz w:val="18"/>
                <w:szCs w:val="18"/>
                <w:lang w:eastAsia="en-PH"/>
              </w:rPr>
            </w:pPr>
            <w:r w:rsidRPr="00540A02">
              <w:rPr>
                <w:rFonts w:ascii="Arial" w:hAnsi="Arial" w:cs="Arial"/>
                <w:color w:val="000000"/>
                <w:sz w:val="18"/>
                <w:szCs w:val="18"/>
                <w:lang w:eastAsia="en-PH"/>
              </w:rPr>
              <w:t>2122</w:t>
            </w:r>
          </w:p>
        </w:tc>
        <w:tc>
          <w:tcPr>
            <w:tcW w:w="380" w:type="pct"/>
            <w:tcBorders>
              <w:left w:val="single" w:sz="12" w:space="0" w:color="000000"/>
            </w:tcBorders>
            <w:noWrap/>
            <w:vAlign w:val="center"/>
            <w:hideMark/>
          </w:tcPr>
          <w:p w14:paraId="410265E1" w14:textId="77777777" w:rsidR="00540A02" w:rsidRPr="00540A02" w:rsidRDefault="00540A02" w:rsidP="00F14F82">
            <w:pPr>
              <w:jc w:val="center"/>
              <w:rPr>
                <w:rFonts w:ascii="Arial" w:hAnsi="Arial" w:cs="Arial"/>
                <w:color w:val="000000"/>
                <w:sz w:val="18"/>
                <w:szCs w:val="18"/>
                <w:lang w:eastAsia="en-PH"/>
              </w:rPr>
            </w:pPr>
            <w:r w:rsidRPr="00540A02">
              <w:rPr>
                <w:rFonts w:ascii="Arial" w:hAnsi="Arial" w:cs="Arial"/>
                <w:color w:val="000000"/>
                <w:sz w:val="18"/>
                <w:szCs w:val="18"/>
                <w:lang w:eastAsia="en-PH"/>
              </w:rPr>
              <w:t>0.01</w:t>
            </w:r>
          </w:p>
        </w:tc>
        <w:tc>
          <w:tcPr>
            <w:tcW w:w="382" w:type="pct"/>
            <w:noWrap/>
            <w:vAlign w:val="center"/>
            <w:hideMark/>
          </w:tcPr>
          <w:p w14:paraId="140B4188" w14:textId="77777777" w:rsidR="00540A02" w:rsidRPr="00540A02" w:rsidRDefault="00540A02" w:rsidP="00F14F82">
            <w:pPr>
              <w:jc w:val="center"/>
              <w:rPr>
                <w:rFonts w:ascii="Arial" w:hAnsi="Arial" w:cs="Arial"/>
                <w:color w:val="000000"/>
                <w:sz w:val="18"/>
                <w:szCs w:val="18"/>
                <w:lang w:eastAsia="en-PH"/>
              </w:rPr>
            </w:pPr>
            <w:r w:rsidRPr="00540A02">
              <w:rPr>
                <w:rFonts w:ascii="Arial" w:hAnsi="Arial" w:cs="Arial"/>
                <w:color w:val="000000"/>
                <w:sz w:val="18"/>
                <w:szCs w:val="18"/>
                <w:lang w:eastAsia="en-PH"/>
              </w:rPr>
              <w:t>0.01</w:t>
            </w:r>
          </w:p>
        </w:tc>
        <w:tc>
          <w:tcPr>
            <w:tcW w:w="369" w:type="pct"/>
            <w:noWrap/>
            <w:vAlign w:val="center"/>
            <w:hideMark/>
          </w:tcPr>
          <w:p w14:paraId="0EDDBB40" w14:textId="77777777" w:rsidR="00540A02" w:rsidRPr="00540A02" w:rsidRDefault="00540A02" w:rsidP="00F14F82">
            <w:pPr>
              <w:jc w:val="center"/>
              <w:rPr>
                <w:rFonts w:ascii="Arial" w:hAnsi="Arial" w:cs="Arial"/>
                <w:color w:val="000000"/>
                <w:sz w:val="18"/>
                <w:szCs w:val="18"/>
                <w:lang w:eastAsia="en-PH"/>
              </w:rPr>
            </w:pPr>
            <w:r w:rsidRPr="00540A02">
              <w:rPr>
                <w:rFonts w:ascii="Arial" w:hAnsi="Arial" w:cs="Arial"/>
                <w:color w:val="000000"/>
                <w:sz w:val="18"/>
                <w:szCs w:val="18"/>
                <w:lang w:eastAsia="en-PH"/>
              </w:rPr>
              <w:t>0.43</w:t>
            </w:r>
          </w:p>
        </w:tc>
        <w:tc>
          <w:tcPr>
            <w:tcW w:w="424" w:type="pct"/>
            <w:noWrap/>
            <w:vAlign w:val="center"/>
            <w:hideMark/>
          </w:tcPr>
          <w:p w14:paraId="6B654C9B" w14:textId="77777777" w:rsidR="00540A02" w:rsidRPr="00540A02" w:rsidRDefault="00540A02" w:rsidP="00F14F82">
            <w:pPr>
              <w:jc w:val="center"/>
              <w:rPr>
                <w:rFonts w:ascii="Arial" w:hAnsi="Arial" w:cs="Arial"/>
                <w:color w:val="000000"/>
                <w:sz w:val="18"/>
                <w:szCs w:val="18"/>
                <w:lang w:eastAsia="en-PH"/>
              </w:rPr>
            </w:pPr>
            <w:r w:rsidRPr="00540A02">
              <w:rPr>
                <w:rFonts w:ascii="Arial" w:hAnsi="Arial" w:cs="Arial"/>
                <w:color w:val="000000"/>
                <w:sz w:val="18"/>
                <w:szCs w:val="18"/>
                <w:lang w:eastAsia="en-PH"/>
              </w:rPr>
              <w:t>0.07</w:t>
            </w:r>
          </w:p>
        </w:tc>
      </w:tr>
      <w:tr w:rsidR="00540A02" w:rsidRPr="00540A02" w14:paraId="610808CF" w14:textId="77777777" w:rsidTr="00F14F82">
        <w:trPr>
          <w:trHeight w:val="226"/>
        </w:trPr>
        <w:tc>
          <w:tcPr>
            <w:tcW w:w="529" w:type="pct"/>
            <w:tcBorders>
              <w:right w:val="single" w:sz="12" w:space="0" w:color="000000"/>
            </w:tcBorders>
            <w:noWrap/>
            <w:vAlign w:val="bottom"/>
            <w:hideMark/>
          </w:tcPr>
          <w:p w14:paraId="25036E83" w14:textId="77777777" w:rsidR="00540A02" w:rsidRPr="00540A02" w:rsidRDefault="00540A02" w:rsidP="00F14F82">
            <w:pPr>
              <w:rPr>
                <w:rFonts w:ascii="Arial" w:hAnsi="Arial" w:cs="Arial"/>
                <w:color w:val="000000"/>
                <w:sz w:val="18"/>
                <w:szCs w:val="18"/>
                <w:lang w:eastAsia="en-PH"/>
              </w:rPr>
            </w:pPr>
            <w:r w:rsidRPr="00540A02">
              <w:rPr>
                <w:rFonts w:ascii="Arial" w:hAnsi="Arial" w:cs="Arial"/>
                <w:color w:val="000000"/>
                <w:sz w:val="18"/>
                <w:szCs w:val="18"/>
                <w:lang w:eastAsia="en-PH"/>
              </w:rPr>
              <w:t>Region IX</w:t>
            </w:r>
          </w:p>
        </w:tc>
        <w:tc>
          <w:tcPr>
            <w:tcW w:w="363" w:type="pct"/>
            <w:tcBorders>
              <w:left w:val="single" w:sz="12" w:space="0" w:color="000000"/>
            </w:tcBorders>
            <w:noWrap/>
            <w:vAlign w:val="bottom"/>
            <w:hideMark/>
          </w:tcPr>
          <w:p w14:paraId="0FB35F13" w14:textId="77777777" w:rsidR="00540A02" w:rsidRPr="00540A02" w:rsidRDefault="00540A02" w:rsidP="00F14F82">
            <w:pPr>
              <w:jc w:val="right"/>
              <w:rPr>
                <w:rFonts w:ascii="Arial" w:hAnsi="Arial" w:cs="Arial"/>
                <w:color w:val="000000"/>
                <w:sz w:val="18"/>
                <w:szCs w:val="18"/>
                <w:lang w:eastAsia="en-PH"/>
              </w:rPr>
            </w:pPr>
            <w:r w:rsidRPr="00540A02">
              <w:rPr>
                <w:rFonts w:ascii="Arial" w:hAnsi="Arial" w:cs="Arial"/>
                <w:color w:val="000000"/>
                <w:sz w:val="18"/>
                <w:szCs w:val="18"/>
                <w:lang w:eastAsia="en-PH"/>
              </w:rPr>
              <w:t>2335</w:t>
            </w:r>
          </w:p>
        </w:tc>
        <w:tc>
          <w:tcPr>
            <w:tcW w:w="354" w:type="pct"/>
            <w:noWrap/>
            <w:vAlign w:val="bottom"/>
            <w:hideMark/>
          </w:tcPr>
          <w:p w14:paraId="6F531A51" w14:textId="77777777" w:rsidR="00540A02" w:rsidRPr="00540A02" w:rsidRDefault="00540A02" w:rsidP="00F14F82">
            <w:pPr>
              <w:jc w:val="right"/>
              <w:rPr>
                <w:rFonts w:ascii="Arial" w:hAnsi="Arial" w:cs="Arial"/>
                <w:color w:val="000000"/>
                <w:sz w:val="18"/>
                <w:szCs w:val="18"/>
                <w:lang w:eastAsia="en-PH"/>
              </w:rPr>
            </w:pPr>
            <w:r w:rsidRPr="00540A02">
              <w:rPr>
                <w:rFonts w:ascii="Arial" w:hAnsi="Arial" w:cs="Arial"/>
                <w:color w:val="000000"/>
                <w:sz w:val="18"/>
                <w:szCs w:val="18"/>
                <w:lang w:eastAsia="en-PH"/>
              </w:rPr>
              <w:t>2181</w:t>
            </w:r>
          </w:p>
        </w:tc>
        <w:tc>
          <w:tcPr>
            <w:tcW w:w="369" w:type="pct"/>
            <w:noWrap/>
            <w:vAlign w:val="bottom"/>
            <w:hideMark/>
          </w:tcPr>
          <w:p w14:paraId="62257B07" w14:textId="77777777" w:rsidR="00540A02" w:rsidRPr="00540A02" w:rsidRDefault="00540A02" w:rsidP="00F14F82">
            <w:pPr>
              <w:jc w:val="right"/>
              <w:rPr>
                <w:rFonts w:ascii="Arial" w:hAnsi="Arial" w:cs="Arial"/>
                <w:color w:val="000000"/>
                <w:sz w:val="18"/>
                <w:szCs w:val="18"/>
                <w:lang w:eastAsia="en-PH"/>
              </w:rPr>
            </w:pPr>
            <w:r w:rsidRPr="00540A02">
              <w:rPr>
                <w:rFonts w:ascii="Arial" w:hAnsi="Arial" w:cs="Arial"/>
                <w:color w:val="000000"/>
                <w:sz w:val="18"/>
                <w:szCs w:val="18"/>
                <w:lang w:eastAsia="en-PH"/>
              </w:rPr>
              <w:t>193</w:t>
            </w:r>
          </w:p>
        </w:tc>
        <w:tc>
          <w:tcPr>
            <w:tcW w:w="336" w:type="pct"/>
            <w:tcBorders>
              <w:right w:val="single" w:sz="12" w:space="0" w:color="000000"/>
            </w:tcBorders>
            <w:noWrap/>
            <w:vAlign w:val="bottom"/>
            <w:hideMark/>
          </w:tcPr>
          <w:p w14:paraId="52EDA112" w14:textId="77777777" w:rsidR="00540A02" w:rsidRPr="00540A02" w:rsidRDefault="00540A02" w:rsidP="00F14F82">
            <w:pPr>
              <w:jc w:val="right"/>
              <w:rPr>
                <w:rFonts w:ascii="Arial" w:hAnsi="Arial" w:cs="Arial"/>
                <w:color w:val="000000"/>
                <w:sz w:val="18"/>
                <w:szCs w:val="18"/>
                <w:lang w:eastAsia="en-PH"/>
              </w:rPr>
            </w:pPr>
            <w:r w:rsidRPr="00540A02">
              <w:rPr>
                <w:rFonts w:ascii="Arial" w:hAnsi="Arial" w:cs="Arial"/>
                <w:color w:val="000000"/>
                <w:sz w:val="18"/>
                <w:szCs w:val="18"/>
                <w:lang w:eastAsia="en-PH"/>
              </w:rPr>
              <w:t>1114</w:t>
            </w:r>
          </w:p>
        </w:tc>
        <w:tc>
          <w:tcPr>
            <w:tcW w:w="383" w:type="pct"/>
            <w:tcBorders>
              <w:left w:val="single" w:sz="12" w:space="0" w:color="000000"/>
            </w:tcBorders>
            <w:noWrap/>
            <w:vAlign w:val="bottom"/>
            <w:hideMark/>
          </w:tcPr>
          <w:p w14:paraId="01490E1A" w14:textId="77777777" w:rsidR="00540A02" w:rsidRPr="00540A02" w:rsidRDefault="00540A02" w:rsidP="00F14F82">
            <w:pPr>
              <w:jc w:val="right"/>
              <w:rPr>
                <w:rFonts w:ascii="Arial" w:hAnsi="Arial" w:cs="Arial"/>
                <w:color w:val="000000"/>
                <w:sz w:val="18"/>
                <w:szCs w:val="18"/>
                <w:lang w:eastAsia="en-PH"/>
              </w:rPr>
            </w:pPr>
            <w:r w:rsidRPr="00540A02">
              <w:rPr>
                <w:rFonts w:ascii="Arial" w:hAnsi="Arial" w:cs="Arial"/>
                <w:color w:val="000000"/>
                <w:sz w:val="18"/>
                <w:szCs w:val="18"/>
                <w:lang w:eastAsia="en-PH"/>
              </w:rPr>
              <w:t>2373</w:t>
            </w:r>
          </w:p>
        </w:tc>
        <w:tc>
          <w:tcPr>
            <w:tcW w:w="368" w:type="pct"/>
            <w:noWrap/>
            <w:vAlign w:val="bottom"/>
            <w:hideMark/>
          </w:tcPr>
          <w:p w14:paraId="6AAEB7C3" w14:textId="77777777" w:rsidR="00540A02" w:rsidRPr="00540A02" w:rsidRDefault="00540A02" w:rsidP="00F14F82">
            <w:pPr>
              <w:jc w:val="right"/>
              <w:rPr>
                <w:rFonts w:ascii="Arial" w:hAnsi="Arial" w:cs="Arial"/>
                <w:color w:val="000000"/>
                <w:sz w:val="18"/>
                <w:szCs w:val="18"/>
                <w:lang w:eastAsia="en-PH"/>
              </w:rPr>
            </w:pPr>
            <w:r w:rsidRPr="00540A02">
              <w:rPr>
                <w:rFonts w:ascii="Arial" w:hAnsi="Arial" w:cs="Arial"/>
                <w:color w:val="000000"/>
                <w:sz w:val="18"/>
                <w:szCs w:val="18"/>
                <w:lang w:eastAsia="en-PH"/>
              </w:rPr>
              <w:t>2218</w:t>
            </w:r>
          </w:p>
        </w:tc>
        <w:tc>
          <w:tcPr>
            <w:tcW w:w="373" w:type="pct"/>
            <w:noWrap/>
            <w:vAlign w:val="bottom"/>
            <w:hideMark/>
          </w:tcPr>
          <w:p w14:paraId="4BCC9626" w14:textId="77777777" w:rsidR="00540A02" w:rsidRPr="00540A02" w:rsidRDefault="00540A02" w:rsidP="00F14F82">
            <w:pPr>
              <w:jc w:val="right"/>
              <w:rPr>
                <w:rFonts w:ascii="Arial" w:hAnsi="Arial" w:cs="Arial"/>
                <w:color w:val="000000"/>
                <w:sz w:val="18"/>
                <w:szCs w:val="18"/>
                <w:lang w:eastAsia="en-PH"/>
              </w:rPr>
            </w:pPr>
            <w:r w:rsidRPr="00540A02">
              <w:rPr>
                <w:rFonts w:ascii="Arial" w:hAnsi="Arial" w:cs="Arial"/>
                <w:color w:val="000000"/>
                <w:sz w:val="18"/>
                <w:szCs w:val="18"/>
                <w:lang w:eastAsia="en-PH"/>
              </w:rPr>
              <w:t>288</w:t>
            </w:r>
          </w:p>
        </w:tc>
        <w:tc>
          <w:tcPr>
            <w:tcW w:w="369" w:type="pct"/>
            <w:tcBorders>
              <w:right w:val="single" w:sz="12" w:space="0" w:color="000000"/>
            </w:tcBorders>
            <w:noWrap/>
            <w:vAlign w:val="bottom"/>
            <w:hideMark/>
          </w:tcPr>
          <w:p w14:paraId="02A8FABD" w14:textId="77777777" w:rsidR="00540A02" w:rsidRPr="00540A02" w:rsidRDefault="00540A02" w:rsidP="00F14F82">
            <w:pPr>
              <w:jc w:val="right"/>
              <w:rPr>
                <w:rFonts w:ascii="Arial" w:hAnsi="Arial" w:cs="Arial"/>
                <w:color w:val="000000"/>
                <w:sz w:val="18"/>
                <w:szCs w:val="18"/>
                <w:lang w:eastAsia="en-PH"/>
              </w:rPr>
            </w:pPr>
            <w:r w:rsidRPr="00540A02">
              <w:rPr>
                <w:rFonts w:ascii="Arial" w:hAnsi="Arial" w:cs="Arial"/>
                <w:color w:val="000000"/>
                <w:sz w:val="18"/>
                <w:szCs w:val="18"/>
                <w:lang w:eastAsia="en-PH"/>
              </w:rPr>
              <w:t>1141</w:t>
            </w:r>
          </w:p>
        </w:tc>
        <w:tc>
          <w:tcPr>
            <w:tcW w:w="380" w:type="pct"/>
            <w:tcBorders>
              <w:left w:val="single" w:sz="12" w:space="0" w:color="000000"/>
            </w:tcBorders>
            <w:noWrap/>
            <w:vAlign w:val="center"/>
            <w:hideMark/>
          </w:tcPr>
          <w:p w14:paraId="27A7CA5A" w14:textId="77777777" w:rsidR="00540A02" w:rsidRPr="00540A02" w:rsidRDefault="00540A02" w:rsidP="00F14F82">
            <w:pPr>
              <w:jc w:val="center"/>
              <w:rPr>
                <w:rFonts w:ascii="Arial" w:hAnsi="Arial" w:cs="Arial"/>
                <w:color w:val="000000"/>
                <w:sz w:val="18"/>
                <w:szCs w:val="18"/>
                <w:lang w:eastAsia="en-PH"/>
              </w:rPr>
            </w:pPr>
            <w:r w:rsidRPr="00540A02">
              <w:rPr>
                <w:rFonts w:ascii="Arial" w:hAnsi="Arial" w:cs="Arial"/>
                <w:color w:val="000000"/>
                <w:sz w:val="18"/>
                <w:szCs w:val="18"/>
                <w:lang w:eastAsia="en-PH"/>
              </w:rPr>
              <w:t>0.02</w:t>
            </w:r>
          </w:p>
        </w:tc>
        <w:tc>
          <w:tcPr>
            <w:tcW w:w="382" w:type="pct"/>
            <w:noWrap/>
            <w:vAlign w:val="center"/>
            <w:hideMark/>
          </w:tcPr>
          <w:p w14:paraId="6B0AA02F" w14:textId="77777777" w:rsidR="00540A02" w:rsidRPr="00540A02" w:rsidRDefault="00540A02" w:rsidP="00F14F82">
            <w:pPr>
              <w:jc w:val="center"/>
              <w:rPr>
                <w:rFonts w:ascii="Arial" w:hAnsi="Arial" w:cs="Arial"/>
                <w:color w:val="000000"/>
                <w:sz w:val="18"/>
                <w:szCs w:val="18"/>
                <w:lang w:eastAsia="en-PH"/>
              </w:rPr>
            </w:pPr>
            <w:r w:rsidRPr="00540A02">
              <w:rPr>
                <w:rFonts w:ascii="Arial" w:hAnsi="Arial" w:cs="Arial"/>
                <w:color w:val="000000"/>
                <w:sz w:val="18"/>
                <w:szCs w:val="18"/>
                <w:lang w:eastAsia="en-PH"/>
              </w:rPr>
              <w:t>0.02</w:t>
            </w:r>
          </w:p>
        </w:tc>
        <w:tc>
          <w:tcPr>
            <w:tcW w:w="369" w:type="pct"/>
            <w:noWrap/>
            <w:vAlign w:val="center"/>
            <w:hideMark/>
          </w:tcPr>
          <w:p w14:paraId="11B0127A" w14:textId="77777777" w:rsidR="00540A02" w:rsidRPr="00540A02" w:rsidRDefault="00540A02" w:rsidP="00F14F82">
            <w:pPr>
              <w:jc w:val="center"/>
              <w:rPr>
                <w:rFonts w:ascii="Arial" w:hAnsi="Arial" w:cs="Arial"/>
                <w:color w:val="000000"/>
                <w:sz w:val="18"/>
                <w:szCs w:val="18"/>
                <w:lang w:eastAsia="en-PH"/>
              </w:rPr>
            </w:pPr>
            <w:r w:rsidRPr="00540A02">
              <w:rPr>
                <w:rFonts w:ascii="Arial" w:hAnsi="Arial" w:cs="Arial"/>
                <w:color w:val="000000"/>
                <w:sz w:val="18"/>
                <w:szCs w:val="18"/>
                <w:lang w:eastAsia="en-PH"/>
              </w:rPr>
              <w:t>0.49</w:t>
            </w:r>
          </w:p>
        </w:tc>
        <w:tc>
          <w:tcPr>
            <w:tcW w:w="424" w:type="pct"/>
            <w:noWrap/>
            <w:vAlign w:val="center"/>
            <w:hideMark/>
          </w:tcPr>
          <w:p w14:paraId="2AC19F46" w14:textId="77777777" w:rsidR="00540A02" w:rsidRPr="00540A02" w:rsidRDefault="00540A02" w:rsidP="00F14F82">
            <w:pPr>
              <w:jc w:val="center"/>
              <w:rPr>
                <w:rFonts w:ascii="Arial" w:hAnsi="Arial" w:cs="Arial"/>
                <w:color w:val="000000"/>
                <w:sz w:val="18"/>
                <w:szCs w:val="18"/>
                <w:lang w:eastAsia="en-PH"/>
              </w:rPr>
            </w:pPr>
            <w:r w:rsidRPr="00540A02">
              <w:rPr>
                <w:rFonts w:ascii="Arial" w:hAnsi="Arial" w:cs="Arial"/>
                <w:color w:val="000000"/>
                <w:sz w:val="18"/>
                <w:szCs w:val="18"/>
                <w:lang w:eastAsia="en-PH"/>
              </w:rPr>
              <w:t>0.02</w:t>
            </w:r>
          </w:p>
        </w:tc>
      </w:tr>
      <w:tr w:rsidR="00540A02" w:rsidRPr="00540A02" w14:paraId="6B1DB40D" w14:textId="77777777" w:rsidTr="00F14F82">
        <w:trPr>
          <w:trHeight w:val="226"/>
        </w:trPr>
        <w:tc>
          <w:tcPr>
            <w:tcW w:w="529" w:type="pct"/>
            <w:tcBorders>
              <w:right w:val="single" w:sz="12" w:space="0" w:color="000000"/>
            </w:tcBorders>
            <w:noWrap/>
            <w:vAlign w:val="bottom"/>
            <w:hideMark/>
          </w:tcPr>
          <w:p w14:paraId="0C46D8E0" w14:textId="77777777" w:rsidR="00540A02" w:rsidRPr="00540A02" w:rsidRDefault="00540A02" w:rsidP="00F14F82">
            <w:pPr>
              <w:rPr>
                <w:rFonts w:ascii="Arial" w:hAnsi="Arial" w:cs="Arial"/>
                <w:color w:val="000000"/>
                <w:sz w:val="18"/>
                <w:szCs w:val="18"/>
                <w:lang w:eastAsia="en-PH"/>
              </w:rPr>
            </w:pPr>
            <w:r w:rsidRPr="00540A02">
              <w:rPr>
                <w:rFonts w:ascii="Arial" w:hAnsi="Arial" w:cs="Arial"/>
                <w:color w:val="000000"/>
                <w:sz w:val="18"/>
                <w:szCs w:val="18"/>
                <w:lang w:eastAsia="en-PH"/>
              </w:rPr>
              <w:t>Region X</w:t>
            </w:r>
          </w:p>
        </w:tc>
        <w:tc>
          <w:tcPr>
            <w:tcW w:w="363" w:type="pct"/>
            <w:tcBorders>
              <w:left w:val="single" w:sz="12" w:space="0" w:color="000000"/>
            </w:tcBorders>
            <w:noWrap/>
            <w:vAlign w:val="bottom"/>
            <w:hideMark/>
          </w:tcPr>
          <w:p w14:paraId="14FABD87" w14:textId="77777777" w:rsidR="00540A02" w:rsidRPr="00540A02" w:rsidRDefault="00540A02" w:rsidP="00F14F82">
            <w:pPr>
              <w:jc w:val="right"/>
              <w:rPr>
                <w:rFonts w:ascii="Arial" w:hAnsi="Arial" w:cs="Arial"/>
                <w:color w:val="000000"/>
                <w:sz w:val="18"/>
                <w:szCs w:val="18"/>
                <w:lang w:eastAsia="en-PH"/>
              </w:rPr>
            </w:pPr>
            <w:r w:rsidRPr="00540A02">
              <w:rPr>
                <w:rFonts w:ascii="Arial" w:hAnsi="Arial" w:cs="Arial"/>
                <w:color w:val="000000"/>
                <w:sz w:val="18"/>
                <w:szCs w:val="18"/>
                <w:lang w:eastAsia="en-PH"/>
              </w:rPr>
              <w:t>4221</w:t>
            </w:r>
          </w:p>
        </w:tc>
        <w:tc>
          <w:tcPr>
            <w:tcW w:w="354" w:type="pct"/>
            <w:noWrap/>
            <w:vAlign w:val="bottom"/>
            <w:hideMark/>
          </w:tcPr>
          <w:p w14:paraId="7245A7B3" w14:textId="77777777" w:rsidR="00540A02" w:rsidRPr="00540A02" w:rsidRDefault="00540A02" w:rsidP="00F14F82">
            <w:pPr>
              <w:jc w:val="right"/>
              <w:rPr>
                <w:rFonts w:ascii="Arial" w:hAnsi="Arial" w:cs="Arial"/>
                <w:color w:val="000000"/>
                <w:sz w:val="18"/>
                <w:szCs w:val="18"/>
                <w:lang w:eastAsia="en-PH"/>
              </w:rPr>
            </w:pPr>
            <w:r w:rsidRPr="00540A02">
              <w:rPr>
                <w:rFonts w:ascii="Arial" w:hAnsi="Arial" w:cs="Arial"/>
                <w:color w:val="000000"/>
                <w:sz w:val="18"/>
                <w:szCs w:val="18"/>
                <w:lang w:eastAsia="en-PH"/>
              </w:rPr>
              <w:t>2714</w:t>
            </w:r>
          </w:p>
        </w:tc>
        <w:tc>
          <w:tcPr>
            <w:tcW w:w="369" w:type="pct"/>
            <w:noWrap/>
            <w:vAlign w:val="bottom"/>
            <w:hideMark/>
          </w:tcPr>
          <w:p w14:paraId="753F7F0D" w14:textId="77777777" w:rsidR="00540A02" w:rsidRPr="00540A02" w:rsidRDefault="00540A02" w:rsidP="00F14F82">
            <w:pPr>
              <w:jc w:val="right"/>
              <w:rPr>
                <w:rFonts w:ascii="Arial" w:hAnsi="Arial" w:cs="Arial"/>
                <w:color w:val="000000"/>
                <w:sz w:val="18"/>
                <w:szCs w:val="18"/>
                <w:lang w:eastAsia="en-PH"/>
              </w:rPr>
            </w:pPr>
            <w:r w:rsidRPr="00540A02">
              <w:rPr>
                <w:rFonts w:ascii="Arial" w:hAnsi="Arial" w:cs="Arial"/>
                <w:color w:val="000000"/>
                <w:sz w:val="18"/>
                <w:szCs w:val="18"/>
                <w:lang w:eastAsia="en-PH"/>
              </w:rPr>
              <w:t>350</w:t>
            </w:r>
          </w:p>
        </w:tc>
        <w:tc>
          <w:tcPr>
            <w:tcW w:w="336" w:type="pct"/>
            <w:tcBorders>
              <w:right w:val="single" w:sz="12" w:space="0" w:color="000000"/>
            </w:tcBorders>
            <w:noWrap/>
            <w:vAlign w:val="bottom"/>
            <w:hideMark/>
          </w:tcPr>
          <w:p w14:paraId="1FFA0DD6" w14:textId="77777777" w:rsidR="00540A02" w:rsidRPr="00540A02" w:rsidRDefault="00540A02" w:rsidP="00F14F82">
            <w:pPr>
              <w:jc w:val="right"/>
              <w:rPr>
                <w:rFonts w:ascii="Arial" w:hAnsi="Arial" w:cs="Arial"/>
                <w:color w:val="000000"/>
                <w:sz w:val="18"/>
                <w:szCs w:val="18"/>
                <w:lang w:eastAsia="en-PH"/>
              </w:rPr>
            </w:pPr>
            <w:r w:rsidRPr="00540A02">
              <w:rPr>
                <w:rFonts w:ascii="Arial" w:hAnsi="Arial" w:cs="Arial"/>
                <w:color w:val="000000"/>
                <w:sz w:val="18"/>
                <w:szCs w:val="18"/>
                <w:lang w:eastAsia="en-PH"/>
              </w:rPr>
              <w:t>1811</w:t>
            </w:r>
          </w:p>
        </w:tc>
        <w:tc>
          <w:tcPr>
            <w:tcW w:w="383" w:type="pct"/>
            <w:tcBorders>
              <w:left w:val="single" w:sz="12" w:space="0" w:color="000000"/>
            </w:tcBorders>
            <w:noWrap/>
            <w:vAlign w:val="bottom"/>
            <w:hideMark/>
          </w:tcPr>
          <w:p w14:paraId="56F184CF" w14:textId="77777777" w:rsidR="00540A02" w:rsidRPr="00540A02" w:rsidRDefault="00540A02" w:rsidP="00F14F82">
            <w:pPr>
              <w:jc w:val="right"/>
              <w:rPr>
                <w:rFonts w:ascii="Arial" w:hAnsi="Arial" w:cs="Arial"/>
                <w:color w:val="000000"/>
                <w:sz w:val="18"/>
                <w:szCs w:val="18"/>
                <w:lang w:eastAsia="en-PH"/>
              </w:rPr>
            </w:pPr>
            <w:r w:rsidRPr="00540A02">
              <w:rPr>
                <w:rFonts w:ascii="Arial" w:hAnsi="Arial" w:cs="Arial"/>
                <w:color w:val="000000"/>
                <w:sz w:val="18"/>
                <w:szCs w:val="18"/>
                <w:lang w:eastAsia="en-PH"/>
              </w:rPr>
              <w:t>4271</w:t>
            </w:r>
          </w:p>
        </w:tc>
        <w:tc>
          <w:tcPr>
            <w:tcW w:w="368" w:type="pct"/>
            <w:noWrap/>
            <w:vAlign w:val="bottom"/>
            <w:hideMark/>
          </w:tcPr>
          <w:p w14:paraId="0A80F0A3" w14:textId="77777777" w:rsidR="00540A02" w:rsidRPr="00540A02" w:rsidRDefault="00540A02" w:rsidP="00F14F82">
            <w:pPr>
              <w:jc w:val="right"/>
              <w:rPr>
                <w:rFonts w:ascii="Arial" w:hAnsi="Arial" w:cs="Arial"/>
                <w:color w:val="000000"/>
                <w:sz w:val="18"/>
                <w:szCs w:val="18"/>
                <w:lang w:eastAsia="en-PH"/>
              </w:rPr>
            </w:pPr>
            <w:r w:rsidRPr="00540A02">
              <w:rPr>
                <w:rFonts w:ascii="Arial" w:hAnsi="Arial" w:cs="Arial"/>
                <w:color w:val="000000"/>
                <w:sz w:val="18"/>
                <w:szCs w:val="18"/>
                <w:lang w:eastAsia="en-PH"/>
              </w:rPr>
              <w:t>2760</w:t>
            </w:r>
          </w:p>
        </w:tc>
        <w:tc>
          <w:tcPr>
            <w:tcW w:w="373" w:type="pct"/>
            <w:noWrap/>
            <w:vAlign w:val="bottom"/>
            <w:hideMark/>
          </w:tcPr>
          <w:p w14:paraId="0F9C6539" w14:textId="77777777" w:rsidR="00540A02" w:rsidRPr="00540A02" w:rsidRDefault="00540A02" w:rsidP="00F14F82">
            <w:pPr>
              <w:jc w:val="right"/>
              <w:rPr>
                <w:rFonts w:ascii="Arial" w:hAnsi="Arial" w:cs="Arial"/>
                <w:color w:val="000000"/>
                <w:sz w:val="18"/>
                <w:szCs w:val="18"/>
                <w:lang w:eastAsia="en-PH"/>
              </w:rPr>
            </w:pPr>
            <w:r w:rsidRPr="00540A02">
              <w:rPr>
                <w:rFonts w:ascii="Arial" w:hAnsi="Arial" w:cs="Arial"/>
                <w:color w:val="000000"/>
                <w:sz w:val="18"/>
                <w:szCs w:val="18"/>
                <w:lang w:eastAsia="en-PH"/>
              </w:rPr>
              <w:t>524</w:t>
            </w:r>
          </w:p>
        </w:tc>
        <w:tc>
          <w:tcPr>
            <w:tcW w:w="369" w:type="pct"/>
            <w:tcBorders>
              <w:right w:val="single" w:sz="12" w:space="0" w:color="000000"/>
            </w:tcBorders>
            <w:noWrap/>
            <w:vAlign w:val="bottom"/>
            <w:hideMark/>
          </w:tcPr>
          <w:p w14:paraId="7DE40489" w14:textId="77777777" w:rsidR="00540A02" w:rsidRPr="00540A02" w:rsidRDefault="00540A02" w:rsidP="00F14F82">
            <w:pPr>
              <w:jc w:val="right"/>
              <w:rPr>
                <w:rFonts w:ascii="Arial" w:hAnsi="Arial" w:cs="Arial"/>
                <w:color w:val="000000"/>
                <w:sz w:val="18"/>
                <w:szCs w:val="18"/>
                <w:lang w:eastAsia="en-PH"/>
              </w:rPr>
            </w:pPr>
            <w:r w:rsidRPr="00540A02">
              <w:rPr>
                <w:rFonts w:ascii="Arial" w:hAnsi="Arial" w:cs="Arial"/>
                <w:color w:val="000000"/>
                <w:sz w:val="18"/>
                <w:szCs w:val="18"/>
                <w:lang w:eastAsia="en-PH"/>
              </w:rPr>
              <w:t>1920</w:t>
            </w:r>
          </w:p>
        </w:tc>
        <w:tc>
          <w:tcPr>
            <w:tcW w:w="380" w:type="pct"/>
            <w:tcBorders>
              <w:left w:val="single" w:sz="12" w:space="0" w:color="000000"/>
            </w:tcBorders>
            <w:noWrap/>
            <w:vAlign w:val="center"/>
            <w:hideMark/>
          </w:tcPr>
          <w:p w14:paraId="2F8EEAE4" w14:textId="77777777" w:rsidR="00540A02" w:rsidRPr="00540A02" w:rsidRDefault="00540A02" w:rsidP="00F14F82">
            <w:pPr>
              <w:jc w:val="center"/>
              <w:rPr>
                <w:rFonts w:ascii="Arial" w:hAnsi="Arial" w:cs="Arial"/>
                <w:color w:val="000000"/>
                <w:sz w:val="18"/>
                <w:szCs w:val="18"/>
                <w:lang w:eastAsia="en-PH"/>
              </w:rPr>
            </w:pPr>
            <w:r w:rsidRPr="00540A02">
              <w:rPr>
                <w:rFonts w:ascii="Arial" w:hAnsi="Arial" w:cs="Arial"/>
                <w:color w:val="000000"/>
                <w:sz w:val="18"/>
                <w:szCs w:val="18"/>
                <w:lang w:eastAsia="en-PH"/>
              </w:rPr>
              <w:t>0.01</w:t>
            </w:r>
          </w:p>
        </w:tc>
        <w:tc>
          <w:tcPr>
            <w:tcW w:w="382" w:type="pct"/>
            <w:noWrap/>
            <w:vAlign w:val="center"/>
            <w:hideMark/>
          </w:tcPr>
          <w:p w14:paraId="18D5EEB1" w14:textId="77777777" w:rsidR="00540A02" w:rsidRPr="00540A02" w:rsidRDefault="00540A02" w:rsidP="00F14F82">
            <w:pPr>
              <w:jc w:val="center"/>
              <w:rPr>
                <w:rFonts w:ascii="Arial" w:hAnsi="Arial" w:cs="Arial"/>
                <w:color w:val="000000"/>
                <w:sz w:val="18"/>
                <w:szCs w:val="18"/>
                <w:lang w:eastAsia="en-PH"/>
              </w:rPr>
            </w:pPr>
            <w:r w:rsidRPr="00540A02">
              <w:rPr>
                <w:rFonts w:ascii="Arial" w:hAnsi="Arial" w:cs="Arial"/>
                <w:color w:val="000000"/>
                <w:sz w:val="18"/>
                <w:szCs w:val="18"/>
                <w:lang w:eastAsia="en-PH"/>
              </w:rPr>
              <w:t>0.02</w:t>
            </w:r>
          </w:p>
        </w:tc>
        <w:tc>
          <w:tcPr>
            <w:tcW w:w="369" w:type="pct"/>
            <w:noWrap/>
            <w:vAlign w:val="center"/>
            <w:hideMark/>
          </w:tcPr>
          <w:p w14:paraId="6232C92D" w14:textId="77777777" w:rsidR="00540A02" w:rsidRPr="00540A02" w:rsidRDefault="00540A02" w:rsidP="00F14F82">
            <w:pPr>
              <w:jc w:val="center"/>
              <w:rPr>
                <w:rFonts w:ascii="Arial" w:hAnsi="Arial" w:cs="Arial"/>
                <w:color w:val="000000"/>
                <w:sz w:val="18"/>
                <w:szCs w:val="18"/>
                <w:lang w:eastAsia="en-PH"/>
              </w:rPr>
            </w:pPr>
            <w:r w:rsidRPr="00540A02">
              <w:rPr>
                <w:rFonts w:ascii="Arial" w:hAnsi="Arial" w:cs="Arial"/>
                <w:color w:val="000000"/>
                <w:sz w:val="18"/>
                <w:szCs w:val="18"/>
                <w:lang w:eastAsia="en-PH"/>
              </w:rPr>
              <w:t>0.50</w:t>
            </w:r>
          </w:p>
        </w:tc>
        <w:tc>
          <w:tcPr>
            <w:tcW w:w="424" w:type="pct"/>
            <w:noWrap/>
            <w:vAlign w:val="center"/>
            <w:hideMark/>
          </w:tcPr>
          <w:p w14:paraId="515CAB1F" w14:textId="77777777" w:rsidR="00540A02" w:rsidRPr="00540A02" w:rsidRDefault="00540A02" w:rsidP="00F14F82">
            <w:pPr>
              <w:jc w:val="center"/>
              <w:rPr>
                <w:rFonts w:ascii="Arial" w:hAnsi="Arial" w:cs="Arial"/>
                <w:color w:val="000000"/>
                <w:sz w:val="18"/>
                <w:szCs w:val="18"/>
                <w:lang w:eastAsia="en-PH"/>
              </w:rPr>
            </w:pPr>
            <w:r w:rsidRPr="00540A02">
              <w:rPr>
                <w:rFonts w:ascii="Arial" w:hAnsi="Arial" w:cs="Arial"/>
                <w:color w:val="000000"/>
                <w:sz w:val="18"/>
                <w:szCs w:val="18"/>
                <w:lang w:eastAsia="en-PH"/>
              </w:rPr>
              <w:t>0.06</w:t>
            </w:r>
          </w:p>
        </w:tc>
      </w:tr>
      <w:tr w:rsidR="00540A02" w:rsidRPr="00540A02" w14:paraId="2BD0CF81" w14:textId="77777777" w:rsidTr="00F14F82">
        <w:trPr>
          <w:trHeight w:val="226"/>
        </w:trPr>
        <w:tc>
          <w:tcPr>
            <w:tcW w:w="529" w:type="pct"/>
            <w:tcBorders>
              <w:right w:val="single" w:sz="12" w:space="0" w:color="000000"/>
            </w:tcBorders>
            <w:noWrap/>
            <w:vAlign w:val="bottom"/>
            <w:hideMark/>
          </w:tcPr>
          <w:p w14:paraId="6D915739" w14:textId="77777777" w:rsidR="00540A02" w:rsidRPr="00540A02" w:rsidRDefault="00540A02" w:rsidP="00F14F82">
            <w:pPr>
              <w:rPr>
                <w:rFonts w:ascii="Arial" w:hAnsi="Arial" w:cs="Arial"/>
                <w:color w:val="000000"/>
                <w:sz w:val="18"/>
                <w:szCs w:val="18"/>
                <w:lang w:eastAsia="en-PH"/>
              </w:rPr>
            </w:pPr>
            <w:r w:rsidRPr="00540A02">
              <w:rPr>
                <w:rFonts w:ascii="Arial" w:hAnsi="Arial" w:cs="Arial"/>
                <w:color w:val="000000"/>
                <w:sz w:val="18"/>
                <w:szCs w:val="18"/>
                <w:lang w:eastAsia="en-PH"/>
              </w:rPr>
              <w:t>Region XI</w:t>
            </w:r>
          </w:p>
        </w:tc>
        <w:tc>
          <w:tcPr>
            <w:tcW w:w="363" w:type="pct"/>
            <w:tcBorders>
              <w:left w:val="single" w:sz="12" w:space="0" w:color="000000"/>
            </w:tcBorders>
            <w:noWrap/>
            <w:vAlign w:val="bottom"/>
            <w:hideMark/>
          </w:tcPr>
          <w:p w14:paraId="7BCC1353" w14:textId="77777777" w:rsidR="00540A02" w:rsidRPr="00540A02" w:rsidRDefault="00540A02" w:rsidP="00F14F82">
            <w:pPr>
              <w:jc w:val="right"/>
              <w:rPr>
                <w:rFonts w:ascii="Arial" w:hAnsi="Arial" w:cs="Arial"/>
                <w:color w:val="000000"/>
                <w:sz w:val="18"/>
                <w:szCs w:val="18"/>
                <w:lang w:eastAsia="en-PH"/>
              </w:rPr>
            </w:pPr>
            <w:r w:rsidRPr="00540A02">
              <w:rPr>
                <w:rFonts w:ascii="Arial" w:hAnsi="Arial" w:cs="Arial"/>
                <w:color w:val="000000"/>
                <w:sz w:val="18"/>
                <w:szCs w:val="18"/>
                <w:lang w:eastAsia="en-PH"/>
              </w:rPr>
              <w:t>3841</w:t>
            </w:r>
          </w:p>
        </w:tc>
        <w:tc>
          <w:tcPr>
            <w:tcW w:w="354" w:type="pct"/>
            <w:noWrap/>
            <w:vAlign w:val="bottom"/>
            <w:hideMark/>
          </w:tcPr>
          <w:p w14:paraId="5F0E4D76" w14:textId="77777777" w:rsidR="00540A02" w:rsidRPr="00540A02" w:rsidRDefault="00540A02" w:rsidP="00F14F82">
            <w:pPr>
              <w:jc w:val="right"/>
              <w:rPr>
                <w:rFonts w:ascii="Arial" w:hAnsi="Arial" w:cs="Arial"/>
                <w:color w:val="000000"/>
                <w:sz w:val="18"/>
                <w:szCs w:val="18"/>
                <w:lang w:eastAsia="en-PH"/>
              </w:rPr>
            </w:pPr>
            <w:r w:rsidRPr="00540A02">
              <w:rPr>
                <w:rFonts w:ascii="Arial" w:hAnsi="Arial" w:cs="Arial"/>
                <w:color w:val="000000"/>
                <w:sz w:val="18"/>
                <w:szCs w:val="18"/>
                <w:lang w:eastAsia="en-PH"/>
              </w:rPr>
              <w:t>2348</w:t>
            </w:r>
          </w:p>
        </w:tc>
        <w:tc>
          <w:tcPr>
            <w:tcW w:w="369" w:type="pct"/>
            <w:noWrap/>
            <w:vAlign w:val="bottom"/>
            <w:hideMark/>
          </w:tcPr>
          <w:p w14:paraId="42BEA0E0" w14:textId="77777777" w:rsidR="00540A02" w:rsidRPr="00540A02" w:rsidRDefault="00540A02" w:rsidP="00F14F82">
            <w:pPr>
              <w:jc w:val="right"/>
              <w:rPr>
                <w:rFonts w:ascii="Arial" w:hAnsi="Arial" w:cs="Arial"/>
                <w:color w:val="000000"/>
                <w:sz w:val="18"/>
                <w:szCs w:val="18"/>
                <w:lang w:eastAsia="en-PH"/>
              </w:rPr>
            </w:pPr>
            <w:r w:rsidRPr="00540A02">
              <w:rPr>
                <w:rFonts w:ascii="Arial" w:hAnsi="Arial" w:cs="Arial"/>
                <w:color w:val="000000"/>
                <w:sz w:val="18"/>
                <w:szCs w:val="18"/>
                <w:lang w:eastAsia="en-PH"/>
              </w:rPr>
              <w:t>454</w:t>
            </w:r>
          </w:p>
        </w:tc>
        <w:tc>
          <w:tcPr>
            <w:tcW w:w="336" w:type="pct"/>
            <w:tcBorders>
              <w:right w:val="single" w:sz="12" w:space="0" w:color="000000"/>
            </w:tcBorders>
            <w:noWrap/>
            <w:vAlign w:val="bottom"/>
            <w:hideMark/>
          </w:tcPr>
          <w:p w14:paraId="262E98A1" w14:textId="77777777" w:rsidR="00540A02" w:rsidRPr="00540A02" w:rsidRDefault="00540A02" w:rsidP="00F14F82">
            <w:pPr>
              <w:jc w:val="right"/>
              <w:rPr>
                <w:rFonts w:ascii="Arial" w:hAnsi="Arial" w:cs="Arial"/>
                <w:color w:val="000000"/>
                <w:sz w:val="18"/>
                <w:szCs w:val="18"/>
                <w:lang w:eastAsia="en-PH"/>
              </w:rPr>
            </w:pPr>
            <w:r w:rsidRPr="00540A02">
              <w:rPr>
                <w:rFonts w:ascii="Arial" w:hAnsi="Arial" w:cs="Arial"/>
                <w:color w:val="000000"/>
                <w:sz w:val="18"/>
                <w:szCs w:val="18"/>
                <w:lang w:eastAsia="en-PH"/>
              </w:rPr>
              <w:t>1627</w:t>
            </w:r>
          </w:p>
        </w:tc>
        <w:tc>
          <w:tcPr>
            <w:tcW w:w="383" w:type="pct"/>
            <w:tcBorders>
              <w:left w:val="single" w:sz="12" w:space="0" w:color="000000"/>
            </w:tcBorders>
            <w:noWrap/>
            <w:vAlign w:val="bottom"/>
            <w:hideMark/>
          </w:tcPr>
          <w:p w14:paraId="64A21780" w14:textId="77777777" w:rsidR="00540A02" w:rsidRPr="00540A02" w:rsidRDefault="00540A02" w:rsidP="00F14F82">
            <w:pPr>
              <w:jc w:val="right"/>
              <w:rPr>
                <w:rFonts w:ascii="Arial" w:hAnsi="Arial" w:cs="Arial"/>
                <w:color w:val="000000"/>
                <w:sz w:val="18"/>
                <w:szCs w:val="18"/>
                <w:lang w:eastAsia="en-PH"/>
              </w:rPr>
            </w:pPr>
            <w:r w:rsidRPr="00540A02">
              <w:rPr>
                <w:rFonts w:ascii="Arial" w:hAnsi="Arial" w:cs="Arial"/>
                <w:color w:val="000000"/>
                <w:sz w:val="18"/>
                <w:szCs w:val="18"/>
                <w:lang w:eastAsia="en-PH"/>
              </w:rPr>
              <w:t>3900</w:t>
            </w:r>
          </w:p>
        </w:tc>
        <w:tc>
          <w:tcPr>
            <w:tcW w:w="368" w:type="pct"/>
            <w:noWrap/>
            <w:vAlign w:val="bottom"/>
            <w:hideMark/>
          </w:tcPr>
          <w:p w14:paraId="396C807D" w14:textId="77777777" w:rsidR="00540A02" w:rsidRPr="00540A02" w:rsidRDefault="00540A02" w:rsidP="00F14F82">
            <w:pPr>
              <w:jc w:val="right"/>
              <w:rPr>
                <w:rFonts w:ascii="Arial" w:hAnsi="Arial" w:cs="Arial"/>
                <w:color w:val="000000"/>
                <w:sz w:val="18"/>
                <w:szCs w:val="18"/>
                <w:lang w:eastAsia="en-PH"/>
              </w:rPr>
            </w:pPr>
            <w:r w:rsidRPr="00540A02">
              <w:rPr>
                <w:rFonts w:ascii="Arial" w:hAnsi="Arial" w:cs="Arial"/>
                <w:color w:val="000000"/>
                <w:sz w:val="18"/>
                <w:szCs w:val="18"/>
                <w:lang w:eastAsia="en-PH"/>
              </w:rPr>
              <w:t>2422</w:t>
            </w:r>
          </w:p>
        </w:tc>
        <w:tc>
          <w:tcPr>
            <w:tcW w:w="373" w:type="pct"/>
            <w:noWrap/>
            <w:vAlign w:val="bottom"/>
            <w:hideMark/>
          </w:tcPr>
          <w:p w14:paraId="1289FFF9" w14:textId="77777777" w:rsidR="00540A02" w:rsidRPr="00540A02" w:rsidRDefault="00540A02" w:rsidP="00F14F82">
            <w:pPr>
              <w:jc w:val="right"/>
              <w:rPr>
                <w:rFonts w:ascii="Arial" w:hAnsi="Arial" w:cs="Arial"/>
                <w:color w:val="000000"/>
                <w:sz w:val="18"/>
                <w:szCs w:val="18"/>
                <w:lang w:eastAsia="en-PH"/>
              </w:rPr>
            </w:pPr>
            <w:r w:rsidRPr="00540A02">
              <w:rPr>
                <w:rFonts w:ascii="Arial" w:hAnsi="Arial" w:cs="Arial"/>
                <w:color w:val="000000"/>
                <w:sz w:val="18"/>
                <w:szCs w:val="18"/>
                <w:lang w:eastAsia="en-PH"/>
              </w:rPr>
              <w:t>673</w:t>
            </w:r>
          </w:p>
        </w:tc>
        <w:tc>
          <w:tcPr>
            <w:tcW w:w="369" w:type="pct"/>
            <w:tcBorders>
              <w:right w:val="single" w:sz="12" w:space="0" w:color="000000"/>
            </w:tcBorders>
            <w:noWrap/>
            <w:vAlign w:val="bottom"/>
            <w:hideMark/>
          </w:tcPr>
          <w:p w14:paraId="532DAEA6" w14:textId="77777777" w:rsidR="00540A02" w:rsidRPr="00540A02" w:rsidRDefault="00540A02" w:rsidP="00F14F82">
            <w:pPr>
              <w:jc w:val="right"/>
              <w:rPr>
                <w:rFonts w:ascii="Arial" w:hAnsi="Arial" w:cs="Arial"/>
                <w:color w:val="000000"/>
                <w:sz w:val="18"/>
                <w:szCs w:val="18"/>
                <w:lang w:eastAsia="en-PH"/>
              </w:rPr>
            </w:pPr>
            <w:r w:rsidRPr="00540A02">
              <w:rPr>
                <w:rFonts w:ascii="Arial" w:hAnsi="Arial" w:cs="Arial"/>
                <w:color w:val="000000"/>
                <w:sz w:val="18"/>
                <w:szCs w:val="18"/>
                <w:lang w:eastAsia="en-PH"/>
              </w:rPr>
              <w:t>1740</w:t>
            </w:r>
          </w:p>
        </w:tc>
        <w:tc>
          <w:tcPr>
            <w:tcW w:w="380" w:type="pct"/>
            <w:tcBorders>
              <w:left w:val="single" w:sz="12" w:space="0" w:color="000000"/>
            </w:tcBorders>
            <w:noWrap/>
            <w:vAlign w:val="center"/>
            <w:hideMark/>
          </w:tcPr>
          <w:p w14:paraId="1A92032E" w14:textId="77777777" w:rsidR="00540A02" w:rsidRPr="00540A02" w:rsidRDefault="00540A02" w:rsidP="00F14F82">
            <w:pPr>
              <w:jc w:val="center"/>
              <w:rPr>
                <w:rFonts w:ascii="Arial" w:hAnsi="Arial" w:cs="Arial"/>
                <w:color w:val="000000"/>
                <w:sz w:val="18"/>
                <w:szCs w:val="18"/>
                <w:lang w:eastAsia="en-PH"/>
              </w:rPr>
            </w:pPr>
            <w:r w:rsidRPr="00540A02">
              <w:rPr>
                <w:rFonts w:ascii="Arial" w:hAnsi="Arial" w:cs="Arial"/>
                <w:color w:val="000000"/>
                <w:sz w:val="18"/>
                <w:szCs w:val="18"/>
                <w:lang w:eastAsia="en-PH"/>
              </w:rPr>
              <w:t>0.02</w:t>
            </w:r>
          </w:p>
        </w:tc>
        <w:tc>
          <w:tcPr>
            <w:tcW w:w="382" w:type="pct"/>
            <w:noWrap/>
            <w:vAlign w:val="center"/>
            <w:hideMark/>
          </w:tcPr>
          <w:p w14:paraId="6E90AC43" w14:textId="77777777" w:rsidR="00540A02" w:rsidRPr="00540A02" w:rsidRDefault="00540A02" w:rsidP="00F14F82">
            <w:pPr>
              <w:jc w:val="center"/>
              <w:rPr>
                <w:rFonts w:ascii="Arial" w:hAnsi="Arial" w:cs="Arial"/>
                <w:color w:val="000000"/>
                <w:sz w:val="18"/>
                <w:szCs w:val="18"/>
                <w:lang w:eastAsia="en-PH"/>
              </w:rPr>
            </w:pPr>
            <w:r w:rsidRPr="00540A02">
              <w:rPr>
                <w:rFonts w:ascii="Arial" w:hAnsi="Arial" w:cs="Arial"/>
                <w:color w:val="000000"/>
                <w:sz w:val="18"/>
                <w:szCs w:val="18"/>
                <w:lang w:eastAsia="en-PH"/>
              </w:rPr>
              <w:t>0.03</w:t>
            </w:r>
          </w:p>
        </w:tc>
        <w:tc>
          <w:tcPr>
            <w:tcW w:w="369" w:type="pct"/>
            <w:noWrap/>
            <w:vAlign w:val="center"/>
            <w:hideMark/>
          </w:tcPr>
          <w:p w14:paraId="3F2D7B27" w14:textId="77777777" w:rsidR="00540A02" w:rsidRPr="00540A02" w:rsidRDefault="00540A02" w:rsidP="00F14F82">
            <w:pPr>
              <w:jc w:val="center"/>
              <w:rPr>
                <w:rFonts w:ascii="Arial" w:hAnsi="Arial" w:cs="Arial"/>
                <w:color w:val="000000"/>
                <w:sz w:val="18"/>
                <w:szCs w:val="18"/>
                <w:lang w:eastAsia="en-PH"/>
              </w:rPr>
            </w:pPr>
            <w:r w:rsidRPr="00540A02">
              <w:rPr>
                <w:rFonts w:ascii="Arial" w:hAnsi="Arial" w:cs="Arial"/>
                <w:color w:val="000000"/>
                <w:sz w:val="18"/>
                <w:szCs w:val="18"/>
                <w:lang w:eastAsia="en-PH"/>
              </w:rPr>
              <w:t>0.48</w:t>
            </w:r>
          </w:p>
        </w:tc>
        <w:tc>
          <w:tcPr>
            <w:tcW w:w="424" w:type="pct"/>
            <w:noWrap/>
            <w:vAlign w:val="center"/>
            <w:hideMark/>
          </w:tcPr>
          <w:p w14:paraId="4EDA67E6" w14:textId="77777777" w:rsidR="00540A02" w:rsidRPr="00540A02" w:rsidRDefault="00540A02" w:rsidP="00F14F82">
            <w:pPr>
              <w:jc w:val="center"/>
              <w:rPr>
                <w:rFonts w:ascii="Arial" w:hAnsi="Arial" w:cs="Arial"/>
                <w:color w:val="000000"/>
                <w:sz w:val="18"/>
                <w:szCs w:val="18"/>
                <w:lang w:eastAsia="en-PH"/>
              </w:rPr>
            </w:pPr>
            <w:r w:rsidRPr="00540A02">
              <w:rPr>
                <w:rFonts w:ascii="Arial" w:hAnsi="Arial" w:cs="Arial"/>
                <w:color w:val="000000"/>
                <w:sz w:val="18"/>
                <w:szCs w:val="18"/>
                <w:lang w:eastAsia="en-PH"/>
              </w:rPr>
              <w:t>0.07</w:t>
            </w:r>
          </w:p>
        </w:tc>
      </w:tr>
      <w:tr w:rsidR="00540A02" w:rsidRPr="00540A02" w14:paraId="1657AD45" w14:textId="77777777" w:rsidTr="00F14F82">
        <w:trPr>
          <w:trHeight w:val="226"/>
        </w:trPr>
        <w:tc>
          <w:tcPr>
            <w:tcW w:w="529" w:type="pct"/>
            <w:tcBorders>
              <w:right w:val="single" w:sz="12" w:space="0" w:color="000000"/>
            </w:tcBorders>
            <w:noWrap/>
            <w:vAlign w:val="bottom"/>
            <w:hideMark/>
          </w:tcPr>
          <w:p w14:paraId="04B53F64" w14:textId="77777777" w:rsidR="00540A02" w:rsidRPr="00540A02" w:rsidRDefault="00540A02" w:rsidP="00F14F82">
            <w:pPr>
              <w:rPr>
                <w:rFonts w:ascii="Arial" w:hAnsi="Arial" w:cs="Arial"/>
                <w:color w:val="000000"/>
                <w:sz w:val="18"/>
                <w:szCs w:val="18"/>
                <w:lang w:eastAsia="en-PH"/>
              </w:rPr>
            </w:pPr>
            <w:r w:rsidRPr="00540A02">
              <w:rPr>
                <w:rFonts w:ascii="Arial" w:hAnsi="Arial" w:cs="Arial"/>
                <w:color w:val="000000"/>
                <w:sz w:val="18"/>
                <w:szCs w:val="18"/>
                <w:lang w:eastAsia="en-PH"/>
              </w:rPr>
              <w:t xml:space="preserve">Region XII </w:t>
            </w:r>
          </w:p>
        </w:tc>
        <w:tc>
          <w:tcPr>
            <w:tcW w:w="363" w:type="pct"/>
            <w:tcBorders>
              <w:left w:val="single" w:sz="12" w:space="0" w:color="000000"/>
            </w:tcBorders>
            <w:noWrap/>
            <w:vAlign w:val="bottom"/>
            <w:hideMark/>
          </w:tcPr>
          <w:p w14:paraId="384D834B" w14:textId="77777777" w:rsidR="00540A02" w:rsidRPr="00540A02" w:rsidRDefault="00540A02" w:rsidP="00F14F82">
            <w:pPr>
              <w:jc w:val="right"/>
              <w:rPr>
                <w:rFonts w:ascii="Arial" w:hAnsi="Arial" w:cs="Arial"/>
                <w:color w:val="000000"/>
                <w:sz w:val="18"/>
                <w:szCs w:val="18"/>
                <w:lang w:eastAsia="en-PH"/>
              </w:rPr>
            </w:pPr>
            <w:r w:rsidRPr="00540A02">
              <w:rPr>
                <w:rFonts w:ascii="Arial" w:hAnsi="Arial" w:cs="Arial"/>
                <w:color w:val="000000"/>
                <w:sz w:val="18"/>
                <w:szCs w:val="18"/>
                <w:lang w:eastAsia="en-PH"/>
              </w:rPr>
              <w:t>3329</w:t>
            </w:r>
          </w:p>
        </w:tc>
        <w:tc>
          <w:tcPr>
            <w:tcW w:w="354" w:type="pct"/>
            <w:noWrap/>
            <w:vAlign w:val="bottom"/>
            <w:hideMark/>
          </w:tcPr>
          <w:p w14:paraId="10B2B548" w14:textId="77777777" w:rsidR="00540A02" w:rsidRPr="00540A02" w:rsidRDefault="00540A02" w:rsidP="00F14F82">
            <w:pPr>
              <w:jc w:val="right"/>
              <w:rPr>
                <w:rFonts w:ascii="Arial" w:hAnsi="Arial" w:cs="Arial"/>
                <w:color w:val="000000"/>
                <w:sz w:val="18"/>
                <w:szCs w:val="18"/>
                <w:lang w:eastAsia="en-PH"/>
              </w:rPr>
            </w:pPr>
            <w:r w:rsidRPr="00540A02">
              <w:rPr>
                <w:rFonts w:ascii="Arial" w:hAnsi="Arial" w:cs="Arial"/>
                <w:color w:val="000000"/>
                <w:sz w:val="18"/>
                <w:szCs w:val="18"/>
                <w:lang w:eastAsia="en-PH"/>
              </w:rPr>
              <w:t>2617</w:t>
            </w:r>
          </w:p>
        </w:tc>
        <w:tc>
          <w:tcPr>
            <w:tcW w:w="369" w:type="pct"/>
            <w:noWrap/>
            <w:vAlign w:val="bottom"/>
            <w:hideMark/>
          </w:tcPr>
          <w:p w14:paraId="32E14740" w14:textId="77777777" w:rsidR="00540A02" w:rsidRPr="00540A02" w:rsidRDefault="00540A02" w:rsidP="00F14F82">
            <w:pPr>
              <w:jc w:val="right"/>
              <w:rPr>
                <w:rFonts w:ascii="Arial" w:hAnsi="Arial" w:cs="Arial"/>
                <w:color w:val="000000"/>
                <w:sz w:val="18"/>
                <w:szCs w:val="18"/>
                <w:lang w:eastAsia="en-PH"/>
              </w:rPr>
            </w:pPr>
            <w:r w:rsidRPr="00540A02">
              <w:rPr>
                <w:rFonts w:ascii="Arial" w:hAnsi="Arial" w:cs="Arial"/>
                <w:color w:val="000000"/>
                <w:sz w:val="18"/>
                <w:szCs w:val="18"/>
                <w:lang w:eastAsia="en-PH"/>
              </w:rPr>
              <w:t>305</w:t>
            </w:r>
          </w:p>
        </w:tc>
        <w:tc>
          <w:tcPr>
            <w:tcW w:w="336" w:type="pct"/>
            <w:tcBorders>
              <w:right w:val="single" w:sz="12" w:space="0" w:color="000000"/>
            </w:tcBorders>
            <w:noWrap/>
            <w:vAlign w:val="bottom"/>
            <w:hideMark/>
          </w:tcPr>
          <w:p w14:paraId="07772FA8" w14:textId="77777777" w:rsidR="00540A02" w:rsidRPr="00540A02" w:rsidRDefault="00540A02" w:rsidP="00F14F82">
            <w:pPr>
              <w:jc w:val="right"/>
              <w:rPr>
                <w:rFonts w:ascii="Arial" w:hAnsi="Arial" w:cs="Arial"/>
                <w:color w:val="000000"/>
                <w:sz w:val="18"/>
                <w:szCs w:val="18"/>
                <w:lang w:eastAsia="en-PH"/>
              </w:rPr>
            </w:pPr>
            <w:r w:rsidRPr="00540A02">
              <w:rPr>
                <w:rFonts w:ascii="Arial" w:hAnsi="Arial" w:cs="Arial"/>
                <w:color w:val="000000"/>
                <w:sz w:val="18"/>
                <w:szCs w:val="18"/>
                <w:lang w:eastAsia="en-PH"/>
              </w:rPr>
              <w:t>1197</w:t>
            </w:r>
          </w:p>
        </w:tc>
        <w:tc>
          <w:tcPr>
            <w:tcW w:w="383" w:type="pct"/>
            <w:tcBorders>
              <w:left w:val="single" w:sz="12" w:space="0" w:color="000000"/>
            </w:tcBorders>
            <w:noWrap/>
            <w:vAlign w:val="bottom"/>
            <w:hideMark/>
          </w:tcPr>
          <w:p w14:paraId="026BE580" w14:textId="77777777" w:rsidR="00540A02" w:rsidRPr="00540A02" w:rsidRDefault="00540A02" w:rsidP="00F14F82">
            <w:pPr>
              <w:jc w:val="right"/>
              <w:rPr>
                <w:rFonts w:ascii="Arial" w:hAnsi="Arial" w:cs="Arial"/>
                <w:color w:val="000000"/>
                <w:sz w:val="18"/>
                <w:szCs w:val="18"/>
                <w:lang w:eastAsia="en-PH"/>
              </w:rPr>
            </w:pPr>
            <w:r w:rsidRPr="00540A02">
              <w:rPr>
                <w:rFonts w:ascii="Arial" w:hAnsi="Arial" w:cs="Arial"/>
                <w:color w:val="000000"/>
                <w:sz w:val="18"/>
                <w:szCs w:val="18"/>
                <w:lang w:eastAsia="en-PH"/>
              </w:rPr>
              <w:t>3379</w:t>
            </w:r>
          </w:p>
        </w:tc>
        <w:tc>
          <w:tcPr>
            <w:tcW w:w="368" w:type="pct"/>
            <w:noWrap/>
            <w:vAlign w:val="bottom"/>
            <w:hideMark/>
          </w:tcPr>
          <w:p w14:paraId="00500C16" w14:textId="77777777" w:rsidR="00540A02" w:rsidRPr="00540A02" w:rsidRDefault="00540A02" w:rsidP="00F14F82">
            <w:pPr>
              <w:jc w:val="right"/>
              <w:rPr>
                <w:rFonts w:ascii="Arial" w:hAnsi="Arial" w:cs="Arial"/>
                <w:color w:val="000000"/>
                <w:sz w:val="18"/>
                <w:szCs w:val="18"/>
                <w:lang w:eastAsia="en-PH"/>
              </w:rPr>
            </w:pPr>
            <w:r w:rsidRPr="00540A02">
              <w:rPr>
                <w:rFonts w:ascii="Arial" w:hAnsi="Arial" w:cs="Arial"/>
                <w:color w:val="000000"/>
                <w:sz w:val="18"/>
                <w:szCs w:val="18"/>
                <w:lang w:eastAsia="en-PH"/>
              </w:rPr>
              <w:t>2644</w:t>
            </w:r>
          </w:p>
        </w:tc>
        <w:tc>
          <w:tcPr>
            <w:tcW w:w="373" w:type="pct"/>
            <w:noWrap/>
            <w:vAlign w:val="bottom"/>
            <w:hideMark/>
          </w:tcPr>
          <w:p w14:paraId="19EC5E65" w14:textId="77777777" w:rsidR="00540A02" w:rsidRPr="00540A02" w:rsidRDefault="00540A02" w:rsidP="00F14F82">
            <w:pPr>
              <w:jc w:val="right"/>
              <w:rPr>
                <w:rFonts w:ascii="Arial" w:hAnsi="Arial" w:cs="Arial"/>
                <w:color w:val="000000"/>
                <w:sz w:val="18"/>
                <w:szCs w:val="18"/>
                <w:lang w:eastAsia="en-PH"/>
              </w:rPr>
            </w:pPr>
            <w:r w:rsidRPr="00540A02">
              <w:rPr>
                <w:rFonts w:ascii="Arial" w:hAnsi="Arial" w:cs="Arial"/>
                <w:color w:val="000000"/>
                <w:sz w:val="18"/>
                <w:szCs w:val="18"/>
                <w:lang w:eastAsia="en-PH"/>
              </w:rPr>
              <w:t>441</w:t>
            </w:r>
          </w:p>
        </w:tc>
        <w:tc>
          <w:tcPr>
            <w:tcW w:w="369" w:type="pct"/>
            <w:tcBorders>
              <w:right w:val="single" w:sz="12" w:space="0" w:color="000000"/>
            </w:tcBorders>
            <w:noWrap/>
            <w:vAlign w:val="bottom"/>
            <w:hideMark/>
          </w:tcPr>
          <w:p w14:paraId="1BEE0E39" w14:textId="77777777" w:rsidR="00540A02" w:rsidRPr="00540A02" w:rsidRDefault="00540A02" w:rsidP="00F14F82">
            <w:pPr>
              <w:jc w:val="right"/>
              <w:rPr>
                <w:rFonts w:ascii="Arial" w:hAnsi="Arial" w:cs="Arial"/>
                <w:color w:val="000000"/>
                <w:sz w:val="18"/>
                <w:szCs w:val="18"/>
                <w:lang w:eastAsia="en-PH"/>
              </w:rPr>
            </w:pPr>
            <w:r w:rsidRPr="00540A02">
              <w:rPr>
                <w:rFonts w:ascii="Arial" w:hAnsi="Arial" w:cs="Arial"/>
                <w:color w:val="000000"/>
                <w:sz w:val="18"/>
                <w:szCs w:val="18"/>
                <w:lang w:eastAsia="en-PH"/>
              </w:rPr>
              <w:t>1306</w:t>
            </w:r>
          </w:p>
        </w:tc>
        <w:tc>
          <w:tcPr>
            <w:tcW w:w="380" w:type="pct"/>
            <w:tcBorders>
              <w:left w:val="single" w:sz="12" w:space="0" w:color="000000"/>
            </w:tcBorders>
            <w:noWrap/>
            <w:vAlign w:val="center"/>
            <w:hideMark/>
          </w:tcPr>
          <w:p w14:paraId="16A45981" w14:textId="77777777" w:rsidR="00540A02" w:rsidRPr="00540A02" w:rsidRDefault="00540A02" w:rsidP="00F14F82">
            <w:pPr>
              <w:jc w:val="center"/>
              <w:rPr>
                <w:rFonts w:ascii="Arial" w:hAnsi="Arial" w:cs="Arial"/>
                <w:color w:val="000000"/>
                <w:sz w:val="18"/>
                <w:szCs w:val="18"/>
                <w:lang w:eastAsia="en-PH"/>
              </w:rPr>
            </w:pPr>
            <w:r w:rsidRPr="00540A02">
              <w:rPr>
                <w:rFonts w:ascii="Arial" w:hAnsi="Arial" w:cs="Arial"/>
                <w:color w:val="000000"/>
                <w:sz w:val="18"/>
                <w:szCs w:val="18"/>
                <w:lang w:eastAsia="en-PH"/>
              </w:rPr>
              <w:t>0.02</w:t>
            </w:r>
          </w:p>
        </w:tc>
        <w:tc>
          <w:tcPr>
            <w:tcW w:w="382" w:type="pct"/>
            <w:noWrap/>
            <w:vAlign w:val="center"/>
            <w:hideMark/>
          </w:tcPr>
          <w:p w14:paraId="3A0A7791" w14:textId="77777777" w:rsidR="00540A02" w:rsidRPr="00540A02" w:rsidRDefault="00540A02" w:rsidP="00F14F82">
            <w:pPr>
              <w:jc w:val="center"/>
              <w:rPr>
                <w:rFonts w:ascii="Arial" w:hAnsi="Arial" w:cs="Arial"/>
                <w:color w:val="000000"/>
                <w:sz w:val="18"/>
                <w:szCs w:val="18"/>
                <w:lang w:eastAsia="en-PH"/>
              </w:rPr>
            </w:pPr>
            <w:r w:rsidRPr="00540A02">
              <w:rPr>
                <w:rFonts w:ascii="Arial" w:hAnsi="Arial" w:cs="Arial"/>
                <w:color w:val="000000"/>
                <w:sz w:val="18"/>
                <w:szCs w:val="18"/>
                <w:lang w:eastAsia="en-PH"/>
              </w:rPr>
              <w:t>0.01</w:t>
            </w:r>
          </w:p>
        </w:tc>
        <w:tc>
          <w:tcPr>
            <w:tcW w:w="369" w:type="pct"/>
            <w:noWrap/>
            <w:vAlign w:val="center"/>
            <w:hideMark/>
          </w:tcPr>
          <w:p w14:paraId="3E99B703" w14:textId="77777777" w:rsidR="00540A02" w:rsidRPr="00540A02" w:rsidRDefault="00540A02" w:rsidP="00F14F82">
            <w:pPr>
              <w:jc w:val="center"/>
              <w:rPr>
                <w:rFonts w:ascii="Arial" w:hAnsi="Arial" w:cs="Arial"/>
                <w:color w:val="000000"/>
                <w:sz w:val="18"/>
                <w:szCs w:val="18"/>
                <w:lang w:eastAsia="en-PH"/>
              </w:rPr>
            </w:pPr>
            <w:r w:rsidRPr="00540A02">
              <w:rPr>
                <w:rFonts w:ascii="Arial" w:hAnsi="Arial" w:cs="Arial"/>
                <w:color w:val="000000"/>
                <w:sz w:val="18"/>
                <w:szCs w:val="18"/>
                <w:lang w:eastAsia="en-PH"/>
              </w:rPr>
              <w:t>0.45</w:t>
            </w:r>
          </w:p>
        </w:tc>
        <w:tc>
          <w:tcPr>
            <w:tcW w:w="424" w:type="pct"/>
            <w:noWrap/>
            <w:vAlign w:val="center"/>
            <w:hideMark/>
          </w:tcPr>
          <w:p w14:paraId="2A0ED6EB" w14:textId="77777777" w:rsidR="00540A02" w:rsidRPr="00540A02" w:rsidRDefault="00540A02" w:rsidP="00F14F82">
            <w:pPr>
              <w:jc w:val="center"/>
              <w:rPr>
                <w:rFonts w:ascii="Arial" w:hAnsi="Arial" w:cs="Arial"/>
                <w:color w:val="000000"/>
                <w:sz w:val="18"/>
                <w:szCs w:val="18"/>
                <w:lang w:eastAsia="en-PH"/>
              </w:rPr>
            </w:pPr>
            <w:r w:rsidRPr="00540A02">
              <w:rPr>
                <w:rFonts w:ascii="Arial" w:hAnsi="Arial" w:cs="Arial"/>
                <w:color w:val="000000"/>
                <w:sz w:val="18"/>
                <w:szCs w:val="18"/>
                <w:lang w:eastAsia="en-PH"/>
              </w:rPr>
              <w:t>0.09</w:t>
            </w:r>
          </w:p>
        </w:tc>
      </w:tr>
      <w:tr w:rsidR="00540A02" w:rsidRPr="00540A02" w14:paraId="7DD2EC54" w14:textId="77777777" w:rsidTr="00F14F82">
        <w:trPr>
          <w:trHeight w:val="226"/>
        </w:trPr>
        <w:tc>
          <w:tcPr>
            <w:tcW w:w="529" w:type="pct"/>
            <w:tcBorders>
              <w:right w:val="single" w:sz="12" w:space="0" w:color="000000"/>
            </w:tcBorders>
            <w:noWrap/>
            <w:vAlign w:val="bottom"/>
            <w:hideMark/>
          </w:tcPr>
          <w:p w14:paraId="3C9EF6E0" w14:textId="77777777" w:rsidR="00540A02" w:rsidRPr="00540A02" w:rsidRDefault="00540A02" w:rsidP="00F14F82">
            <w:pPr>
              <w:rPr>
                <w:rFonts w:ascii="Arial" w:hAnsi="Arial" w:cs="Arial"/>
                <w:color w:val="000000"/>
                <w:sz w:val="18"/>
                <w:szCs w:val="18"/>
                <w:lang w:eastAsia="en-PH"/>
              </w:rPr>
            </w:pPr>
            <w:r w:rsidRPr="00540A02">
              <w:rPr>
                <w:rFonts w:ascii="Arial" w:hAnsi="Arial" w:cs="Arial"/>
                <w:color w:val="000000"/>
                <w:sz w:val="18"/>
                <w:szCs w:val="18"/>
                <w:lang w:eastAsia="en-PH"/>
              </w:rPr>
              <w:lastRenderedPageBreak/>
              <w:t>Region XIII</w:t>
            </w:r>
          </w:p>
        </w:tc>
        <w:tc>
          <w:tcPr>
            <w:tcW w:w="363" w:type="pct"/>
            <w:tcBorders>
              <w:left w:val="single" w:sz="12" w:space="0" w:color="000000"/>
            </w:tcBorders>
            <w:noWrap/>
            <w:vAlign w:val="bottom"/>
            <w:hideMark/>
          </w:tcPr>
          <w:p w14:paraId="3971BBCD" w14:textId="77777777" w:rsidR="00540A02" w:rsidRPr="00540A02" w:rsidRDefault="00540A02" w:rsidP="00F14F82">
            <w:pPr>
              <w:jc w:val="right"/>
              <w:rPr>
                <w:rFonts w:ascii="Arial" w:hAnsi="Arial" w:cs="Arial"/>
                <w:color w:val="000000"/>
                <w:sz w:val="18"/>
                <w:szCs w:val="18"/>
                <w:lang w:eastAsia="en-PH"/>
              </w:rPr>
            </w:pPr>
            <w:r w:rsidRPr="00540A02">
              <w:rPr>
                <w:rFonts w:ascii="Arial" w:hAnsi="Arial" w:cs="Arial"/>
                <w:color w:val="000000"/>
                <w:sz w:val="18"/>
                <w:szCs w:val="18"/>
                <w:lang w:eastAsia="en-PH"/>
              </w:rPr>
              <w:t>3163</w:t>
            </w:r>
          </w:p>
        </w:tc>
        <w:tc>
          <w:tcPr>
            <w:tcW w:w="354" w:type="pct"/>
            <w:noWrap/>
            <w:vAlign w:val="bottom"/>
            <w:hideMark/>
          </w:tcPr>
          <w:p w14:paraId="5B3E8BCD" w14:textId="77777777" w:rsidR="00540A02" w:rsidRPr="00540A02" w:rsidRDefault="00540A02" w:rsidP="00F14F82">
            <w:pPr>
              <w:jc w:val="right"/>
              <w:rPr>
                <w:rFonts w:ascii="Arial" w:hAnsi="Arial" w:cs="Arial"/>
                <w:color w:val="000000"/>
                <w:sz w:val="18"/>
                <w:szCs w:val="18"/>
                <w:lang w:eastAsia="en-PH"/>
              </w:rPr>
            </w:pPr>
            <w:r w:rsidRPr="00540A02">
              <w:rPr>
                <w:rFonts w:ascii="Arial" w:hAnsi="Arial" w:cs="Arial"/>
                <w:color w:val="000000"/>
                <w:sz w:val="18"/>
                <w:szCs w:val="18"/>
                <w:lang w:eastAsia="en-PH"/>
              </w:rPr>
              <w:t>2477</w:t>
            </w:r>
          </w:p>
        </w:tc>
        <w:tc>
          <w:tcPr>
            <w:tcW w:w="369" w:type="pct"/>
            <w:noWrap/>
            <w:vAlign w:val="bottom"/>
            <w:hideMark/>
          </w:tcPr>
          <w:p w14:paraId="098619A2" w14:textId="77777777" w:rsidR="00540A02" w:rsidRPr="00540A02" w:rsidRDefault="00540A02" w:rsidP="00F14F82">
            <w:pPr>
              <w:jc w:val="right"/>
              <w:rPr>
                <w:rFonts w:ascii="Arial" w:hAnsi="Arial" w:cs="Arial"/>
                <w:color w:val="000000"/>
                <w:sz w:val="18"/>
                <w:szCs w:val="18"/>
                <w:lang w:eastAsia="en-PH"/>
              </w:rPr>
            </w:pPr>
            <w:r w:rsidRPr="00540A02">
              <w:rPr>
                <w:rFonts w:ascii="Arial" w:hAnsi="Arial" w:cs="Arial"/>
                <w:color w:val="000000"/>
                <w:sz w:val="18"/>
                <w:szCs w:val="18"/>
                <w:lang w:eastAsia="en-PH"/>
              </w:rPr>
              <w:t>287</w:t>
            </w:r>
          </w:p>
        </w:tc>
        <w:tc>
          <w:tcPr>
            <w:tcW w:w="336" w:type="pct"/>
            <w:tcBorders>
              <w:right w:val="single" w:sz="12" w:space="0" w:color="000000"/>
            </w:tcBorders>
            <w:noWrap/>
            <w:vAlign w:val="bottom"/>
            <w:hideMark/>
          </w:tcPr>
          <w:p w14:paraId="78920D60" w14:textId="77777777" w:rsidR="00540A02" w:rsidRPr="00540A02" w:rsidRDefault="00540A02" w:rsidP="00F14F82">
            <w:pPr>
              <w:jc w:val="right"/>
              <w:rPr>
                <w:rFonts w:ascii="Arial" w:hAnsi="Arial" w:cs="Arial"/>
                <w:color w:val="000000"/>
                <w:sz w:val="18"/>
                <w:szCs w:val="18"/>
                <w:lang w:eastAsia="en-PH"/>
              </w:rPr>
            </w:pPr>
            <w:r w:rsidRPr="00540A02">
              <w:rPr>
                <w:rFonts w:ascii="Arial" w:hAnsi="Arial" w:cs="Arial"/>
                <w:color w:val="000000"/>
                <w:sz w:val="18"/>
                <w:szCs w:val="18"/>
                <w:lang w:eastAsia="en-PH"/>
              </w:rPr>
              <w:t>1660</w:t>
            </w:r>
          </w:p>
        </w:tc>
        <w:tc>
          <w:tcPr>
            <w:tcW w:w="383" w:type="pct"/>
            <w:tcBorders>
              <w:left w:val="single" w:sz="12" w:space="0" w:color="000000"/>
            </w:tcBorders>
            <w:noWrap/>
            <w:vAlign w:val="bottom"/>
            <w:hideMark/>
          </w:tcPr>
          <w:p w14:paraId="16181E8E" w14:textId="77777777" w:rsidR="00540A02" w:rsidRPr="00540A02" w:rsidRDefault="00540A02" w:rsidP="00F14F82">
            <w:pPr>
              <w:jc w:val="right"/>
              <w:rPr>
                <w:rFonts w:ascii="Arial" w:hAnsi="Arial" w:cs="Arial"/>
                <w:color w:val="000000"/>
                <w:sz w:val="18"/>
                <w:szCs w:val="18"/>
                <w:lang w:eastAsia="en-PH"/>
              </w:rPr>
            </w:pPr>
            <w:r w:rsidRPr="00540A02">
              <w:rPr>
                <w:rFonts w:ascii="Arial" w:hAnsi="Arial" w:cs="Arial"/>
                <w:color w:val="000000"/>
                <w:sz w:val="18"/>
                <w:szCs w:val="18"/>
                <w:lang w:eastAsia="en-PH"/>
              </w:rPr>
              <w:t>3194</w:t>
            </w:r>
          </w:p>
        </w:tc>
        <w:tc>
          <w:tcPr>
            <w:tcW w:w="368" w:type="pct"/>
            <w:noWrap/>
            <w:vAlign w:val="bottom"/>
            <w:hideMark/>
          </w:tcPr>
          <w:p w14:paraId="3658D8AC" w14:textId="77777777" w:rsidR="00540A02" w:rsidRPr="00540A02" w:rsidRDefault="00540A02" w:rsidP="00F14F82">
            <w:pPr>
              <w:jc w:val="right"/>
              <w:rPr>
                <w:rFonts w:ascii="Arial" w:hAnsi="Arial" w:cs="Arial"/>
                <w:color w:val="000000"/>
                <w:sz w:val="18"/>
                <w:szCs w:val="18"/>
                <w:lang w:eastAsia="en-PH"/>
              </w:rPr>
            </w:pPr>
            <w:r w:rsidRPr="00540A02">
              <w:rPr>
                <w:rFonts w:ascii="Arial" w:hAnsi="Arial" w:cs="Arial"/>
                <w:color w:val="000000"/>
                <w:sz w:val="18"/>
                <w:szCs w:val="18"/>
                <w:lang w:eastAsia="en-PH"/>
              </w:rPr>
              <w:t>2504</w:t>
            </w:r>
          </w:p>
        </w:tc>
        <w:tc>
          <w:tcPr>
            <w:tcW w:w="373" w:type="pct"/>
            <w:noWrap/>
            <w:vAlign w:val="bottom"/>
            <w:hideMark/>
          </w:tcPr>
          <w:p w14:paraId="097D02F9" w14:textId="77777777" w:rsidR="00540A02" w:rsidRPr="00540A02" w:rsidRDefault="00540A02" w:rsidP="00F14F82">
            <w:pPr>
              <w:jc w:val="right"/>
              <w:rPr>
                <w:rFonts w:ascii="Arial" w:hAnsi="Arial" w:cs="Arial"/>
                <w:color w:val="000000"/>
                <w:sz w:val="18"/>
                <w:szCs w:val="18"/>
                <w:lang w:eastAsia="en-PH"/>
              </w:rPr>
            </w:pPr>
            <w:r w:rsidRPr="00540A02">
              <w:rPr>
                <w:rFonts w:ascii="Arial" w:hAnsi="Arial" w:cs="Arial"/>
                <w:color w:val="000000"/>
                <w:sz w:val="18"/>
                <w:szCs w:val="18"/>
                <w:lang w:eastAsia="en-PH"/>
              </w:rPr>
              <w:t>432</w:t>
            </w:r>
          </w:p>
        </w:tc>
        <w:tc>
          <w:tcPr>
            <w:tcW w:w="369" w:type="pct"/>
            <w:tcBorders>
              <w:right w:val="single" w:sz="12" w:space="0" w:color="000000"/>
            </w:tcBorders>
            <w:noWrap/>
            <w:vAlign w:val="bottom"/>
            <w:hideMark/>
          </w:tcPr>
          <w:p w14:paraId="1BE7BEAF" w14:textId="77777777" w:rsidR="00540A02" w:rsidRPr="00540A02" w:rsidRDefault="00540A02" w:rsidP="00F14F82">
            <w:pPr>
              <w:jc w:val="right"/>
              <w:rPr>
                <w:rFonts w:ascii="Arial" w:hAnsi="Arial" w:cs="Arial"/>
                <w:color w:val="000000"/>
                <w:sz w:val="18"/>
                <w:szCs w:val="18"/>
                <w:lang w:eastAsia="en-PH"/>
              </w:rPr>
            </w:pPr>
            <w:r w:rsidRPr="00540A02">
              <w:rPr>
                <w:rFonts w:ascii="Arial" w:hAnsi="Arial" w:cs="Arial"/>
                <w:color w:val="000000"/>
                <w:sz w:val="18"/>
                <w:szCs w:val="18"/>
                <w:lang w:eastAsia="en-PH"/>
              </w:rPr>
              <w:t>1774</w:t>
            </w:r>
          </w:p>
        </w:tc>
        <w:tc>
          <w:tcPr>
            <w:tcW w:w="380" w:type="pct"/>
            <w:tcBorders>
              <w:left w:val="single" w:sz="12" w:space="0" w:color="000000"/>
            </w:tcBorders>
            <w:noWrap/>
            <w:vAlign w:val="center"/>
            <w:hideMark/>
          </w:tcPr>
          <w:p w14:paraId="248B0A34" w14:textId="77777777" w:rsidR="00540A02" w:rsidRPr="00540A02" w:rsidRDefault="00540A02" w:rsidP="00F14F82">
            <w:pPr>
              <w:jc w:val="center"/>
              <w:rPr>
                <w:rFonts w:ascii="Arial" w:hAnsi="Arial" w:cs="Arial"/>
                <w:color w:val="000000"/>
                <w:sz w:val="18"/>
                <w:szCs w:val="18"/>
                <w:lang w:eastAsia="en-PH"/>
              </w:rPr>
            </w:pPr>
            <w:r w:rsidRPr="00540A02">
              <w:rPr>
                <w:rFonts w:ascii="Arial" w:hAnsi="Arial" w:cs="Arial"/>
                <w:color w:val="000000"/>
                <w:sz w:val="18"/>
                <w:szCs w:val="18"/>
                <w:lang w:eastAsia="en-PH"/>
              </w:rPr>
              <w:t>0.01</w:t>
            </w:r>
          </w:p>
        </w:tc>
        <w:tc>
          <w:tcPr>
            <w:tcW w:w="382" w:type="pct"/>
            <w:noWrap/>
            <w:vAlign w:val="center"/>
            <w:hideMark/>
          </w:tcPr>
          <w:p w14:paraId="05134370" w14:textId="77777777" w:rsidR="00540A02" w:rsidRPr="00540A02" w:rsidRDefault="00540A02" w:rsidP="00F14F82">
            <w:pPr>
              <w:jc w:val="center"/>
              <w:rPr>
                <w:rFonts w:ascii="Arial" w:hAnsi="Arial" w:cs="Arial"/>
                <w:color w:val="000000"/>
                <w:sz w:val="18"/>
                <w:szCs w:val="18"/>
                <w:lang w:eastAsia="en-PH"/>
              </w:rPr>
            </w:pPr>
            <w:r w:rsidRPr="00540A02">
              <w:rPr>
                <w:rFonts w:ascii="Arial" w:hAnsi="Arial" w:cs="Arial"/>
                <w:color w:val="000000"/>
                <w:sz w:val="18"/>
                <w:szCs w:val="18"/>
                <w:lang w:eastAsia="en-PH"/>
              </w:rPr>
              <w:t>0.01</w:t>
            </w:r>
          </w:p>
        </w:tc>
        <w:tc>
          <w:tcPr>
            <w:tcW w:w="369" w:type="pct"/>
            <w:noWrap/>
            <w:vAlign w:val="center"/>
            <w:hideMark/>
          </w:tcPr>
          <w:p w14:paraId="4F0ECB4C" w14:textId="77777777" w:rsidR="00540A02" w:rsidRPr="00540A02" w:rsidRDefault="00540A02" w:rsidP="00F14F82">
            <w:pPr>
              <w:jc w:val="center"/>
              <w:rPr>
                <w:rFonts w:ascii="Arial" w:hAnsi="Arial" w:cs="Arial"/>
                <w:color w:val="000000"/>
                <w:sz w:val="18"/>
                <w:szCs w:val="18"/>
                <w:lang w:eastAsia="en-PH"/>
              </w:rPr>
            </w:pPr>
            <w:r w:rsidRPr="00540A02">
              <w:rPr>
                <w:rFonts w:ascii="Arial" w:hAnsi="Arial" w:cs="Arial"/>
                <w:color w:val="000000"/>
                <w:sz w:val="18"/>
                <w:szCs w:val="18"/>
                <w:lang w:eastAsia="en-PH"/>
              </w:rPr>
              <w:t>0.51</w:t>
            </w:r>
          </w:p>
        </w:tc>
        <w:tc>
          <w:tcPr>
            <w:tcW w:w="424" w:type="pct"/>
            <w:noWrap/>
            <w:vAlign w:val="center"/>
            <w:hideMark/>
          </w:tcPr>
          <w:p w14:paraId="0599F183" w14:textId="77777777" w:rsidR="00540A02" w:rsidRPr="00540A02" w:rsidRDefault="00540A02" w:rsidP="00F14F82">
            <w:pPr>
              <w:jc w:val="center"/>
              <w:rPr>
                <w:rFonts w:ascii="Arial" w:hAnsi="Arial" w:cs="Arial"/>
                <w:color w:val="000000"/>
                <w:sz w:val="18"/>
                <w:szCs w:val="18"/>
                <w:lang w:eastAsia="en-PH"/>
              </w:rPr>
            </w:pPr>
            <w:r w:rsidRPr="00540A02">
              <w:rPr>
                <w:rFonts w:ascii="Arial" w:hAnsi="Arial" w:cs="Arial"/>
                <w:color w:val="000000"/>
                <w:sz w:val="18"/>
                <w:szCs w:val="18"/>
                <w:lang w:eastAsia="en-PH"/>
              </w:rPr>
              <w:t>0.07</w:t>
            </w:r>
          </w:p>
        </w:tc>
      </w:tr>
      <w:tr w:rsidR="00540A02" w:rsidRPr="00540A02" w14:paraId="395CCC9D" w14:textId="77777777" w:rsidTr="00F14F82">
        <w:trPr>
          <w:trHeight w:val="226"/>
        </w:trPr>
        <w:tc>
          <w:tcPr>
            <w:tcW w:w="529" w:type="pct"/>
            <w:tcBorders>
              <w:right w:val="single" w:sz="12" w:space="0" w:color="000000"/>
            </w:tcBorders>
            <w:noWrap/>
            <w:vAlign w:val="bottom"/>
            <w:hideMark/>
          </w:tcPr>
          <w:p w14:paraId="1FC14622" w14:textId="77777777" w:rsidR="00540A02" w:rsidRPr="00540A02" w:rsidRDefault="00540A02" w:rsidP="00F14F82">
            <w:pPr>
              <w:rPr>
                <w:rFonts w:ascii="Arial" w:hAnsi="Arial" w:cs="Arial"/>
                <w:color w:val="000000"/>
                <w:sz w:val="18"/>
                <w:szCs w:val="18"/>
                <w:lang w:eastAsia="en-PH"/>
              </w:rPr>
            </w:pPr>
            <w:r w:rsidRPr="00540A02">
              <w:rPr>
                <w:rFonts w:ascii="Arial" w:hAnsi="Arial" w:cs="Arial"/>
                <w:color w:val="000000"/>
                <w:sz w:val="18"/>
                <w:szCs w:val="18"/>
                <w:lang w:eastAsia="en-PH"/>
              </w:rPr>
              <w:t>NCR</w:t>
            </w:r>
          </w:p>
        </w:tc>
        <w:tc>
          <w:tcPr>
            <w:tcW w:w="363" w:type="pct"/>
            <w:tcBorders>
              <w:left w:val="single" w:sz="12" w:space="0" w:color="000000"/>
            </w:tcBorders>
            <w:noWrap/>
            <w:vAlign w:val="bottom"/>
            <w:hideMark/>
          </w:tcPr>
          <w:p w14:paraId="54AC4451" w14:textId="77777777" w:rsidR="00540A02" w:rsidRPr="00540A02" w:rsidRDefault="00540A02" w:rsidP="00F14F82">
            <w:pPr>
              <w:jc w:val="right"/>
              <w:rPr>
                <w:rFonts w:ascii="Arial" w:hAnsi="Arial" w:cs="Arial"/>
                <w:color w:val="000000"/>
                <w:sz w:val="18"/>
                <w:szCs w:val="18"/>
                <w:lang w:eastAsia="en-PH"/>
              </w:rPr>
            </w:pPr>
            <w:r w:rsidRPr="00540A02">
              <w:rPr>
                <w:rFonts w:ascii="Arial" w:hAnsi="Arial" w:cs="Arial"/>
                <w:color w:val="000000"/>
                <w:sz w:val="18"/>
                <w:szCs w:val="18"/>
                <w:lang w:eastAsia="en-PH"/>
              </w:rPr>
              <w:t>10190</w:t>
            </w:r>
          </w:p>
        </w:tc>
        <w:tc>
          <w:tcPr>
            <w:tcW w:w="354" w:type="pct"/>
            <w:noWrap/>
            <w:vAlign w:val="bottom"/>
            <w:hideMark/>
          </w:tcPr>
          <w:p w14:paraId="6FC5B994" w14:textId="77777777" w:rsidR="00540A02" w:rsidRPr="00540A02" w:rsidRDefault="00540A02" w:rsidP="00F14F82">
            <w:pPr>
              <w:jc w:val="right"/>
              <w:rPr>
                <w:rFonts w:ascii="Arial" w:hAnsi="Arial" w:cs="Arial"/>
                <w:color w:val="000000"/>
                <w:sz w:val="18"/>
                <w:szCs w:val="18"/>
                <w:lang w:eastAsia="en-PH"/>
              </w:rPr>
            </w:pPr>
            <w:r w:rsidRPr="00540A02">
              <w:rPr>
                <w:rFonts w:ascii="Arial" w:hAnsi="Arial" w:cs="Arial"/>
                <w:color w:val="000000"/>
                <w:sz w:val="18"/>
                <w:szCs w:val="18"/>
                <w:lang w:eastAsia="en-PH"/>
              </w:rPr>
              <w:t>2728</w:t>
            </w:r>
          </w:p>
        </w:tc>
        <w:tc>
          <w:tcPr>
            <w:tcW w:w="369" w:type="pct"/>
            <w:noWrap/>
            <w:vAlign w:val="bottom"/>
            <w:hideMark/>
          </w:tcPr>
          <w:p w14:paraId="0F6D6106" w14:textId="77777777" w:rsidR="00540A02" w:rsidRPr="00540A02" w:rsidRDefault="00540A02" w:rsidP="00F14F82">
            <w:pPr>
              <w:jc w:val="right"/>
              <w:rPr>
                <w:rFonts w:ascii="Arial" w:hAnsi="Arial" w:cs="Arial"/>
                <w:color w:val="000000"/>
                <w:sz w:val="18"/>
                <w:szCs w:val="18"/>
                <w:lang w:eastAsia="en-PH"/>
              </w:rPr>
            </w:pPr>
            <w:r w:rsidRPr="00540A02">
              <w:rPr>
                <w:rFonts w:ascii="Arial" w:hAnsi="Arial" w:cs="Arial"/>
                <w:color w:val="000000"/>
                <w:sz w:val="18"/>
                <w:szCs w:val="18"/>
                <w:lang w:eastAsia="en-PH"/>
              </w:rPr>
              <w:t>238</w:t>
            </w:r>
          </w:p>
        </w:tc>
        <w:tc>
          <w:tcPr>
            <w:tcW w:w="336" w:type="pct"/>
            <w:tcBorders>
              <w:right w:val="single" w:sz="12" w:space="0" w:color="000000"/>
            </w:tcBorders>
            <w:noWrap/>
            <w:vAlign w:val="bottom"/>
            <w:hideMark/>
          </w:tcPr>
          <w:p w14:paraId="722FD933" w14:textId="77777777" w:rsidR="00540A02" w:rsidRPr="00540A02" w:rsidRDefault="00540A02" w:rsidP="00F14F82">
            <w:pPr>
              <w:jc w:val="right"/>
              <w:rPr>
                <w:rFonts w:ascii="Arial" w:hAnsi="Arial" w:cs="Arial"/>
                <w:color w:val="000000"/>
                <w:sz w:val="18"/>
                <w:szCs w:val="18"/>
                <w:lang w:eastAsia="en-PH"/>
              </w:rPr>
            </w:pPr>
            <w:r w:rsidRPr="00540A02">
              <w:rPr>
                <w:rFonts w:ascii="Arial" w:hAnsi="Arial" w:cs="Arial"/>
                <w:color w:val="000000"/>
                <w:sz w:val="18"/>
                <w:szCs w:val="18"/>
                <w:lang w:eastAsia="en-PH"/>
              </w:rPr>
              <w:t>4821</w:t>
            </w:r>
          </w:p>
        </w:tc>
        <w:tc>
          <w:tcPr>
            <w:tcW w:w="383" w:type="pct"/>
            <w:tcBorders>
              <w:left w:val="single" w:sz="12" w:space="0" w:color="000000"/>
            </w:tcBorders>
            <w:noWrap/>
            <w:vAlign w:val="bottom"/>
            <w:hideMark/>
          </w:tcPr>
          <w:p w14:paraId="30AC784F" w14:textId="77777777" w:rsidR="00540A02" w:rsidRPr="00540A02" w:rsidRDefault="00540A02" w:rsidP="00F14F82">
            <w:pPr>
              <w:jc w:val="right"/>
              <w:rPr>
                <w:rFonts w:ascii="Arial" w:hAnsi="Arial" w:cs="Arial"/>
                <w:color w:val="000000"/>
                <w:sz w:val="18"/>
                <w:szCs w:val="18"/>
                <w:lang w:eastAsia="en-PH"/>
              </w:rPr>
            </w:pPr>
            <w:r w:rsidRPr="00540A02">
              <w:rPr>
                <w:rFonts w:ascii="Arial" w:hAnsi="Arial" w:cs="Arial"/>
                <w:color w:val="000000"/>
                <w:sz w:val="18"/>
                <w:szCs w:val="18"/>
                <w:lang w:eastAsia="en-PH"/>
              </w:rPr>
              <w:t>10191</w:t>
            </w:r>
          </w:p>
        </w:tc>
        <w:tc>
          <w:tcPr>
            <w:tcW w:w="368" w:type="pct"/>
            <w:noWrap/>
            <w:vAlign w:val="bottom"/>
            <w:hideMark/>
          </w:tcPr>
          <w:p w14:paraId="63902F10" w14:textId="77777777" w:rsidR="00540A02" w:rsidRPr="00540A02" w:rsidRDefault="00540A02" w:rsidP="00F14F82">
            <w:pPr>
              <w:jc w:val="right"/>
              <w:rPr>
                <w:rFonts w:ascii="Arial" w:hAnsi="Arial" w:cs="Arial"/>
                <w:color w:val="000000"/>
                <w:sz w:val="18"/>
                <w:szCs w:val="18"/>
                <w:lang w:eastAsia="en-PH"/>
              </w:rPr>
            </w:pPr>
            <w:r w:rsidRPr="00540A02">
              <w:rPr>
                <w:rFonts w:ascii="Arial" w:hAnsi="Arial" w:cs="Arial"/>
                <w:color w:val="000000"/>
                <w:sz w:val="18"/>
                <w:szCs w:val="18"/>
                <w:lang w:eastAsia="en-PH"/>
              </w:rPr>
              <w:t>2729</w:t>
            </w:r>
          </w:p>
        </w:tc>
        <w:tc>
          <w:tcPr>
            <w:tcW w:w="373" w:type="pct"/>
            <w:noWrap/>
            <w:vAlign w:val="bottom"/>
            <w:hideMark/>
          </w:tcPr>
          <w:p w14:paraId="2D6A53C7" w14:textId="77777777" w:rsidR="00540A02" w:rsidRPr="00540A02" w:rsidRDefault="00540A02" w:rsidP="00F14F82">
            <w:pPr>
              <w:jc w:val="right"/>
              <w:rPr>
                <w:rFonts w:ascii="Arial" w:hAnsi="Arial" w:cs="Arial"/>
                <w:color w:val="000000"/>
                <w:sz w:val="18"/>
                <w:szCs w:val="18"/>
                <w:lang w:eastAsia="en-PH"/>
              </w:rPr>
            </w:pPr>
            <w:r w:rsidRPr="00540A02">
              <w:rPr>
                <w:rFonts w:ascii="Arial" w:hAnsi="Arial" w:cs="Arial"/>
                <w:color w:val="000000"/>
                <w:sz w:val="18"/>
                <w:szCs w:val="18"/>
                <w:lang w:eastAsia="en-PH"/>
              </w:rPr>
              <w:t>242</w:t>
            </w:r>
          </w:p>
        </w:tc>
        <w:tc>
          <w:tcPr>
            <w:tcW w:w="369" w:type="pct"/>
            <w:tcBorders>
              <w:right w:val="single" w:sz="12" w:space="0" w:color="000000"/>
            </w:tcBorders>
            <w:noWrap/>
            <w:vAlign w:val="bottom"/>
            <w:hideMark/>
          </w:tcPr>
          <w:p w14:paraId="631CC066" w14:textId="77777777" w:rsidR="00540A02" w:rsidRPr="00540A02" w:rsidRDefault="00540A02" w:rsidP="00F14F82">
            <w:pPr>
              <w:jc w:val="right"/>
              <w:rPr>
                <w:rFonts w:ascii="Arial" w:hAnsi="Arial" w:cs="Arial"/>
                <w:color w:val="000000"/>
                <w:sz w:val="18"/>
                <w:szCs w:val="18"/>
                <w:lang w:eastAsia="en-PH"/>
              </w:rPr>
            </w:pPr>
            <w:r w:rsidRPr="00540A02">
              <w:rPr>
                <w:rFonts w:ascii="Arial" w:hAnsi="Arial" w:cs="Arial"/>
                <w:color w:val="000000"/>
                <w:sz w:val="18"/>
                <w:szCs w:val="18"/>
                <w:lang w:eastAsia="en-PH"/>
              </w:rPr>
              <w:t>5079</w:t>
            </w:r>
          </w:p>
        </w:tc>
        <w:tc>
          <w:tcPr>
            <w:tcW w:w="380" w:type="pct"/>
            <w:tcBorders>
              <w:left w:val="single" w:sz="12" w:space="0" w:color="000000"/>
            </w:tcBorders>
            <w:noWrap/>
            <w:vAlign w:val="center"/>
            <w:hideMark/>
          </w:tcPr>
          <w:p w14:paraId="610DF15A" w14:textId="77777777" w:rsidR="00540A02" w:rsidRPr="00540A02" w:rsidRDefault="00540A02" w:rsidP="00F14F82">
            <w:pPr>
              <w:jc w:val="center"/>
              <w:rPr>
                <w:rFonts w:ascii="Arial" w:hAnsi="Arial" w:cs="Arial"/>
                <w:color w:val="000000"/>
                <w:sz w:val="18"/>
                <w:szCs w:val="18"/>
                <w:lang w:eastAsia="en-PH"/>
              </w:rPr>
            </w:pPr>
            <w:r w:rsidRPr="00540A02">
              <w:rPr>
                <w:rFonts w:ascii="Arial" w:hAnsi="Arial" w:cs="Arial"/>
                <w:color w:val="000000"/>
                <w:sz w:val="18"/>
                <w:szCs w:val="18"/>
                <w:lang w:eastAsia="en-PH"/>
              </w:rPr>
              <w:t>0.00</w:t>
            </w:r>
          </w:p>
        </w:tc>
        <w:tc>
          <w:tcPr>
            <w:tcW w:w="382" w:type="pct"/>
            <w:noWrap/>
            <w:vAlign w:val="center"/>
            <w:hideMark/>
          </w:tcPr>
          <w:p w14:paraId="6EF103E7" w14:textId="77777777" w:rsidR="00540A02" w:rsidRPr="00540A02" w:rsidRDefault="00540A02" w:rsidP="00F14F82">
            <w:pPr>
              <w:jc w:val="center"/>
              <w:rPr>
                <w:rFonts w:ascii="Arial" w:hAnsi="Arial" w:cs="Arial"/>
                <w:color w:val="000000"/>
                <w:sz w:val="18"/>
                <w:szCs w:val="18"/>
                <w:lang w:eastAsia="en-PH"/>
              </w:rPr>
            </w:pPr>
            <w:r w:rsidRPr="00540A02">
              <w:rPr>
                <w:rFonts w:ascii="Arial" w:hAnsi="Arial" w:cs="Arial"/>
                <w:color w:val="000000"/>
                <w:sz w:val="18"/>
                <w:szCs w:val="18"/>
                <w:lang w:eastAsia="en-PH"/>
              </w:rPr>
              <w:t>0.00</w:t>
            </w:r>
          </w:p>
        </w:tc>
        <w:tc>
          <w:tcPr>
            <w:tcW w:w="369" w:type="pct"/>
            <w:noWrap/>
            <w:vAlign w:val="center"/>
            <w:hideMark/>
          </w:tcPr>
          <w:p w14:paraId="2F2F9893" w14:textId="77777777" w:rsidR="00540A02" w:rsidRPr="00540A02" w:rsidRDefault="00540A02" w:rsidP="00F14F82">
            <w:pPr>
              <w:jc w:val="center"/>
              <w:rPr>
                <w:rFonts w:ascii="Arial" w:hAnsi="Arial" w:cs="Arial"/>
                <w:color w:val="000000"/>
                <w:sz w:val="18"/>
                <w:szCs w:val="18"/>
                <w:lang w:eastAsia="en-PH"/>
              </w:rPr>
            </w:pPr>
            <w:r w:rsidRPr="00540A02">
              <w:rPr>
                <w:rFonts w:ascii="Arial" w:hAnsi="Arial" w:cs="Arial"/>
                <w:color w:val="000000"/>
                <w:sz w:val="18"/>
                <w:szCs w:val="18"/>
                <w:lang w:eastAsia="en-PH"/>
              </w:rPr>
              <w:t>0.02</w:t>
            </w:r>
          </w:p>
        </w:tc>
        <w:tc>
          <w:tcPr>
            <w:tcW w:w="424" w:type="pct"/>
            <w:noWrap/>
            <w:vAlign w:val="center"/>
            <w:hideMark/>
          </w:tcPr>
          <w:p w14:paraId="4FFD095B" w14:textId="77777777" w:rsidR="00540A02" w:rsidRPr="00540A02" w:rsidRDefault="00540A02" w:rsidP="00F14F82">
            <w:pPr>
              <w:jc w:val="center"/>
              <w:rPr>
                <w:rFonts w:ascii="Arial" w:hAnsi="Arial" w:cs="Arial"/>
                <w:color w:val="000000"/>
                <w:sz w:val="18"/>
                <w:szCs w:val="18"/>
                <w:lang w:eastAsia="en-PH"/>
              </w:rPr>
            </w:pPr>
            <w:r w:rsidRPr="00540A02">
              <w:rPr>
                <w:rFonts w:ascii="Arial" w:hAnsi="Arial" w:cs="Arial"/>
                <w:color w:val="000000"/>
                <w:sz w:val="18"/>
                <w:szCs w:val="18"/>
                <w:lang w:eastAsia="en-PH"/>
              </w:rPr>
              <w:t>0.05</w:t>
            </w:r>
          </w:p>
        </w:tc>
      </w:tr>
      <w:tr w:rsidR="00540A02" w:rsidRPr="00540A02" w14:paraId="77E6D4CA" w14:textId="77777777" w:rsidTr="00F14F82">
        <w:trPr>
          <w:trHeight w:val="226"/>
        </w:trPr>
        <w:tc>
          <w:tcPr>
            <w:tcW w:w="529" w:type="pct"/>
            <w:tcBorders>
              <w:right w:val="single" w:sz="12" w:space="0" w:color="000000"/>
            </w:tcBorders>
            <w:noWrap/>
            <w:vAlign w:val="bottom"/>
            <w:hideMark/>
          </w:tcPr>
          <w:p w14:paraId="382273BC" w14:textId="77777777" w:rsidR="00540A02" w:rsidRPr="00540A02" w:rsidRDefault="00540A02" w:rsidP="00F14F82">
            <w:pPr>
              <w:rPr>
                <w:rFonts w:ascii="Arial" w:hAnsi="Arial" w:cs="Arial"/>
                <w:color w:val="000000"/>
                <w:sz w:val="18"/>
                <w:szCs w:val="18"/>
                <w:lang w:eastAsia="en-PH"/>
              </w:rPr>
            </w:pPr>
            <w:r w:rsidRPr="00540A02">
              <w:rPr>
                <w:rFonts w:ascii="Arial" w:hAnsi="Arial" w:cs="Arial"/>
                <w:color w:val="000000"/>
                <w:sz w:val="18"/>
                <w:szCs w:val="18"/>
                <w:lang w:eastAsia="en-PH"/>
              </w:rPr>
              <w:t>CAR</w:t>
            </w:r>
          </w:p>
        </w:tc>
        <w:tc>
          <w:tcPr>
            <w:tcW w:w="363" w:type="pct"/>
            <w:tcBorders>
              <w:left w:val="single" w:sz="12" w:space="0" w:color="000000"/>
            </w:tcBorders>
            <w:noWrap/>
            <w:vAlign w:val="bottom"/>
            <w:hideMark/>
          </w:tcPr>
          <w:p w14:paraId="1CBEBED4" w14:textId="77777777" w:rsidR="00540A02" w:rsidRPr="00540A02" w:rsidRDefault="00540A02" w:rsidP="00F14F82">
            <w:pPr>
              <w:jc w:val="right"/>
              <w:rPr>
                <w:rFonts w:ascii="Arial" w:hAnsi="Arial" w:cs="Arial"/>
                <w:color w:val="000000"/>
                <w:sz w:val="18"/>
                <w:szCs w:val="18"/>
                <w:lang w:eastAsia="en-PH"/>
              </w:rPr>
            </w:pPr>
            <w:r w:rsidRPr="00540A02">
              <w:rPr>
                <w:rFonts w:ascii="Arial" w:hAnsi="Arial" w:cs="Arial"/>
                <w:color w:val="000000"/>
                <w:sz w:val="18"/>
                <w:szCs w:val="18"/>
                <w:lang w:eastAsia="en-PH"/>
              </w:rPr>
              <w:t>3297</w:t>
            </w:r>
          </w:p>
        </w:tc>
        <w:tc>
          <w:tcPr>
            <w:tcW w:w="354" w:type="pct"/>
            <w:noWrap/>
            <w:vAlign w:val="bottom"/>
            <w:hideMark/>
          </w:tcPr>
          <w:p w14:paraId="5CAB8216" w14:textId="77777777" w:rsidR="00540A02" w:rsidRPr="00540A02" w:rsidRDefault="00540A02" w:rsidP="00F14F82">
            <w:pPr>
              <w:jc w:val="right"/>
              <w:rPr>
                <w:rFonts w:ascii="Arial" w:hAnsi="Arial" w:cs="Arial"/>
                <w:color w:val="000000"/>
                <w:sz w:val="18"/>
                <w:szCs w:val="18"/>
                <w:lang w:eastAsia="en-PH"/>
              </w:rPr>
            </w:pPr>
            <w:r w:rsidRPr="00540A02">
              <w:rPr>
                <w:rFonts w:ascii="Arial" w:hAnsi="Arial" w:cs="Arial"/>
                <w:color w:val="000000"/>
                <w:sz w:val="18"/>
                <w:szCs w:val="18"/>
                <w:lang w:eastAsia="en-PH"/>
              </w:rPr>
              <w:t>2922</w:t>
            </w:r>
          </w:p>
        </w:tc>
        <w:tc>
          <w:tcPr>
            <w:tcW w:w="369" w:type="pct"/>
            <w:noWrap/>
            <w:vAlign w:val="bottom"/>
            <w:hideMark/>
          </w:tcPr>
          <w:p w14:paraId="3AAA733D" w14:textId="77777777" w:rsidR="00540A02" w:rsidRPr="00540A02" w:rsidRDefault="00540A02" w:rsidP="00F14F82">
            <w:pPr>
              <w:jc w:val="right"/>
              <w:rPr>
                <w:rFonts w:ascii="Arial" w:hAnsi="Arial" w:cs="Arial"/>
                <w:color w:val="000000"/>
                <w:sz w:val="18"/>
                <w:szCs w:val="18"/>
                <w:lang w:eastAsia="en-PH"/>
              </w:rPr>
            </w:pPr>
            <w:r w:rsidRPr="00540A02">
              <w:rPr>
                <w:rFonts w:ascii="Arial" w:hAnsi="Arial" w:cs="Arial"/>
                <w:color w:val="000000"/>
                <w:sz w:val="18"/>
                <w:szCs w:val="18"/>
                <w:lang w:eastAsia="en-PH"/>
              </w:rPr>
              <w:t>630</w:t>
            </w:r>
          </w:p>
        </w:tc>
        <w:tc>
          <w:tcPr>
            <w:tcW w:w="336" w:type="pct"/>
            <w:tcBorders>
              <w:right w:val="single" w:sz="12" w:space="0" w:color="000000"/>
            </w:tcBorders>
            <w:noWrap/>
            <w:vAlign w:val="bottom"/>
            <w:hideMark/>
          </w:tcPr>
          <w:p w14:paraId="3813BE8E" w14:textId="77777777" w:rsidR="00540A02" w:rsidRPr="00540A02" w:rsidRDefault="00540A02" w:rsidP="00F14F82">
            <w:pPr>
              <w:jc w:val="right"/>
              <w:rPr>
                <w:rFonts w:ascii="Arial" w:hAnsi="Arial" w:cs="Arial"/>
                <w:color w:val="000000"/>
                <w:sz w:val="18"/>
                <w:szCs w:val="18"/>
                <w:lang w:eastAsia="en-PH"/>
              </w:rPr>
            </w:pPr>
            <w:r w:rsidRPr="00540A02">
              <w:rPr>
                <w:rFonts w:ascii="Arial" w:hAnsi="Arial" w:cs="Arial"/>
                <w:color w:val="000000"/>
                <w:sz w:val="18"/>
                <w:szCs w:val="18"/>
                <w:lang w:eastAsia="en-PH"/>
              </w:rPr>
              <w:t>1689</w:t>
            </w:r>
          </w:p>
        </w:tc>
        <w:tc>
          <w:tcPr>
            <w:tcW w:w="383" w:type="pct"/>
            <w:tcBorders>
              <w:left w:val="single" w:sz="12" w:space="0" w:color="000000"/>
            </w:tcBorders>
            <w:noWrap/>
            <w:vAlign w:val="bottom"/>
            <w:hideMark/>
          </w:tcPr>
          <w:p w14:paraId="68822DCB" w14:textId="77777777" w:rsidR="00540A02" w:rsidRPr="00540A02" w:rsidRDefault="00540A02" w:rsidP="00F14F82">
            <w:pPr>
              <w:jc w:val="right"/>
              <w:rPr>
                <w:rFonts w:ascii="Arial" w:hAnsi="Arial" w:cs="Arial"/>
                <w:color w:val="000000"/>
                <w:sz w:val="18"/>
                <w:szCs w:val="18"/>
                <w:lang w:eastAsia="en-PH"/>
              </w:rPr>
            </w:pPr>
            <w:r w:rsidRPr="00540A02">
              <w:rPr>
                <w:rFonts w:ascii="Arial" w:hAnsi="Arial" w:cs="Arial"/>
                <w:color w:val="000000"/>
                <w:sz w:val="18"/>
                <w:szCs w:val="18"/>
                <w:lang w:eastAsia="en-PH"/>
              </w:rPr>
              <w:t>3389</w:t>
            </w:r>
          </w:p>
        </w:tc>
        <w:tc>
          <w:tcPr>
            <w:tcW w:w="368" w:type="pct"/>
            <w:noWrap/>
            <w:vAlign w:val="bottom"/>
            <w:hideMark/>
          </w:tcPr>
          <w:p w14:paraId="6523A746" w14:textId="77777777" w:rsidR="00540A02" w:rsidRPr="00540A02" w:rsidRDefault="00540A02" w:rsidP="00F14F82">
            <w:pPr>
              <w:jc w:val="right"/>
              <w:rPr>
                <w:rFonts w:ascii="Arial" w:hAnsi="Arial" w:cs="Arial"/>
                <w:color w:val="000000"/>
                <w:sz w:val="18"/>
                <w:szCs w:val="18"/>
                <w:lang w:eastAsia="en-PH"/>
              </w:rPr>
            </w:pPr>
            <w:r w:rsidRPr="00540A02">
              <w:rPr>
                <w:rFonts w:ascii="Arial" w:hAnsi="Arial" w:cs="Arial"/>
                <w:color w:val="000000"/>
                <w:sz w:val="18"/>
                <w:szCs w:val="18"/>
                <w:lang w:eastAsia="en-PH"/>
              </w:rPr>
              <w:t>2998</w:t>
            </w:r>
          </w:p>
        </w:tc>
        <w:tc>
          <w:tcPr>
            <w:tcW w:w="373" w:type="pct"/>
            <w:noWrap/>
            <w:vAlign w:val="bottom"/>
            <w:hideMark/>
          </w:tcPr>
          <w:p w14:paraId="23D5232A" w14:textId="77777777" w:rsidR="00540A02" w:rsidRPr="00540A02" w:rsidRDefault="00540A02" w:rsidP="00F14F82">
            <w:pPr>
              <w:jc w:val="right"/>
              <w:rPr>
                <w:rFonts w:ascii="Arial" w:hAnsi="Arial" w:cs="Arial"/>
                <w:color w:val="000000"/>
                <w:sz w:val="18"/>
                <w:szCs w:val="18"/>
                <w:lang w:eastAsia="en-PH"/>
              </w:rPr>
            </w:pPr>
            <w:r w:rsidRPr="00540A02">
              <w:rPr>
                <w:rFonts w:ascii="Arial" w:hAnsi="Arial" w:cs="Arial"/>
                <w:color w:val="000000"/>
                <w:sz w:val="18"/>
                <w:szCs w:val="18"/>
                <w:lang w:eastAsia="en-PH"/>
              </w:rPr>
              <w:t>996</w:t>
            </w:r>
          </w:p>
        </w:tc>
        <w:tc>
          <w:tcPr>
            <w:tcW w:w="369" w:type="pct"/>
            <w:tcBorders>
              <w:right w:val="single" w:sz="12" w:space="0" w:color="000000"/>
            </w:tcBorders>
            <w:noWrap/>
            <w:vAlign w:val="bottom"/>
            <w:hideMark/>
          </w:tcPr>
          <w:p w14:paraId="42B2C9F7" w14:textId="77777777" w:rsidR="00540A02" w:rsidRPr="00540A02" w:rsidRDefault="00540A02" w:rsidP="00F14F82">
            <w:pPr>
              <w:jc w:val="right"/>
              <w:rPr>
                <w:rFonts w:ascii="Arial" w:hAnsi="Arial" w:cs="Arial"/>
                <w:color w:val="000000"/>
                <w:sz w:val="18"/>
                <w:szCs w:val="18"/>
                <w:lang w:eastAsia="en-PH"/>
              </w:rPr>
            </w:pPr>
            <w:r w:rsidRPr="00540A02">
              <w:rPr>
                <w:rFonts w:ascii="Arial" w:hAnsi="Arial" w:cs="Arial"/>
                <w:color w:val="000000"/>
                <w:sz w:val="18"/>
                <w:szCs w:val="18"/>
                <w:lang w:eastAsia="en-PH"/>
              </w:rPr>
              <w:t>1817</w:t>
            </w:r>
          </w:p>
        </w:tc>
        <w:tc>
          <w:tcPr>
            <w:tcW w:w="380" w:type="pct"/>
            <w:tcBorders>
              <w:left w:val="single" w:sz="12" w:space="0" w:color="000000"/>
            </w:tcBorders>
            <w:noWrap/>
            <w:vAlign w:val="center"/>
            <w:hideMark/>
          </w:tcPr>
          <w:p w14:paraId="5FFADC0D" w14:textId="77777777" w:rsidR="00540A02" w:rsidRPr="00540A02" w:rsidRDefault="00540A02" w:rsidP="00F14F82">
            <w:pPr>
              <w:jc w:val="center"/>
              <w:rPr>
                <w:rFonts w:ascii="Arial" w:hAnsi="Arial" w:cs="Arial"/>
                <w:color w:val="000000"/>
                <w:sz w:val="18"/>
                <w:szCs w:val="18"/>
                <w:lang w:eastAsia="en-PH"/>
              </w:rPr>
            </w:pPr>
            <w:r w:rsidRPr="00540A02">
              <w:rPr>
                <w:rFonts w:ascii="Arial" w:hAnsi="Arial" w:cs="Arial"/>
                <w:color w:val="000000"/>
                <w:sz w:val="18"/>
                <w:szCs w:val="18"/>
                <w:lang w:eastAsia="en-PH"/>
              </w:rPr>
              <w:t>0.03</w:t>
            </w:r>
          </w:p>
        </w:tc>
        <w:tc>
          <w:tcPr>
            <w:tcW w:w="382" w:type="pct"/>
            <w:noWrap/>
            <w:vAlign w:val="center"/>
            <w:hideMark/>
          </w:tcPr>
          <w:p w14:paraId="35D8B7F7" w14:textId="77777777" w:rsidR="00540A02" w:rsidRPr="00540A02" w:rsidRDefault="00540A02" w:rsidP="00F14F82">
            <w:pPr>
              <w:jc w:val="center"/>
              <w:rPr>
                <w:rFonts w:ascii="Arial" w:hAnsi="Arial" w:cs="Arial"/>
                <w:color w:val="000000"/>
                <w:sz w:val="18"/>
                <w:szCs w:val="18"/>
                <w:lang w:eastAsia="en-PH"/>
              </w:rPr>
            </w:pPr>
            <w:r w:rsidRPr="00540A02">
              <w:rPr>
                <w:rFonts w:ascii="Arial" w:hAnsi="Arial" w:cs="Arial"/>
                <w:color w:val="000000"/>
                <w:sz w:val="18"/>
                <w:szCs w:val="18"/>
                <w:lang w:eastAsia="en-PH"/>
              </w:rPr>
              <w:t>0.03</w:t>
            </w:r>
          </w:p>
        </w:tc>
        <w:tc>
          <w:tcPr>
            <w:tcW w:w="369" w:type="pct"/>
            <w:noWrap/>
            <w:vAlign w:val="center"/>
            <w:hideMark/>
          </w:tcPr>
          <w:p w14:paraId="56163F05" w14:textId="77777777" w:rsidR="00540A02" w:rsidRPr="00540A02" w:rsidRDefault="00540A02" w:rsidP="00F14F82">
            <w:pPr>
              <w:jc w:val="center"/>
              <w:rPr>
                <w:rFonts w:ascii="Arial" w:hAnsi="Arial" w:cs="Arial"/>
                <w:color w:val="000000"/>
                <w:sz w:val="18"/>
                <w:szCs w:val="18"/>
                <w:lang w:eastAsia="en-PH"/>
              </w:rPr>
            </w:pPr>
            <w:r w:rsidRPr="00540A02">
              <w:rPr>
                <w:rFonts w:ascii="Arial" w:hAnsi="Arial" w:cs="Arial"/>
                <w:color w:val="000000"/>
                <w:sz w:val="18"/>
                <w:szCs w:val="18"/>
                <w:lang w:eastAsia="en-PH"/>
              </w:rPr>
              <w:t>0.58</w:t>
            </w:r>
          </w:p>
        </w:tc>
        <w:tc>
          <w:tcPr>
            <w:tcW w:w="424" w:type="pct"/>
            <w:noWrap/>
            <w:vAlign w:val="center"/>
            <w:hideMark/>
          </w:tcPr>
          <w:p w14:paraId="2E7C76D0" w14:textId="77777777" w:rsidR="00540A02" w:rsidRPr="00540A02" w:rsidRDefault="00540A02" w:rsidP="00F14F82">
            <w:pPr>
              <w:jc w:val="center"/>
              <w:rPr>
                <w:rFonts w:ascii="Arial" w:hAnsi="Arial" w:cs="Arial"/>
                <w:color w:val="000000"/>
                <w:sz w:val="18"/>
                <w:szCs w:val="18"/>
                <w:lang w:eastAsia="en-PH"/>
              </w:rPr>
            </w:pPr>
            <w:r w:rsidRPr="00540A02">
              <w:rPr>
                <w:rFonts w:ascii="Arial" w:hAnsi="Arial" w:cs="Arial"/>
                <w:color w:val="000000"/>
                <w:sz w:val="18"/>
                <w:szCs w:val="18"/>
                <w:lang w:eastAsia="en-PH"/>
              </w:rPr>
              <w:t>0.08</w:t>
            </w:r>
          </w:p>
        </w:tc>
      </w:tr>
      <w:tr w:rsidR="00540A02" w:rsidRPr="00540A02" w14:paraId="56D4E7A9" w14:textId="77777777" w:rsidTr="00F14F82">
        <w:trPr>
          <w:trHeight w:val="239"/>
        </w:trPr>
        <w:tc>
          <w:tcPr>
            <w:tcW w:w="529" w:type="pct"/>
            <w:tcBorders>
              <w:bottom w:val="single" w:sz="12" w:space="0" w:color="000000"/>
              <w:right w:val="single" w:sz="12" w:space="0" w:color="000000"/>
            </w:tcBorders>
            <w:noWrap/>
            <w:vAlign w:val="bottom"/>
            <w:hideMark/>
          </w:tcPr>
          <w:p w14:paraId="6D7E314E" w14:textId="77777777" w:rsidR="00540A02" w:rsidRPr="00540A02" w:rsidRDefault="00540A02" w:rsidP="00F14F82">
            <w:pPr>
              <w:rPr>
                <w:rFonts w:ascii="Arial" w:hAnsi="Arial" w:cs="Arial"/>
                <w:color w:val="000000"/>
                <w:sz w:val="18"/>
                <w:szCs w:val="18"/>
                <w:lang w:eastAsia="en-PH"/>
              </w:rPr>
            </w:pPr>
            <w:r w:rsidRPr="00540A02">
              <w:rPr>
                <w:rFonts w:ascii="Arial" w:hAnsi="Arial" w:cs="Arial"/>
                <w:color w:val="000000"/>
                <w:sz w:val="18"/>
                <w:szCs w:val="18"/>
                <w:lang w:eastAsia="en-PH"/>
              </w:rPr>
              <w:t>BARMM</w:t>
            </w:r>
          </w:p>
        </w:tc>
        <w:tc>
          <w:tcPr>
            <w:tcW w:w="363" w:type="pct"/>
            <w:tcBorders>
              <w:left w:val="single" w:sz="12" w:space="0" w:color="000000"/>
              <w:bottom w:val="single" w:sz="12" w:space="0" w:color="000000"/>
            </w:tcBorders>
            <w:noWrap/>
            <w:vAlign w:val="bottom"/>
            <w:hideMark/>
          </w:tcPr>
          <w:p w14:paraId="1D367B25" w14:textId="77777777" w:rsidR="00540A02" w:rsidRPr="00540A02" w:rsidRDefault="00540A02" w:rsidP="00F14F82">
            <w:pPr>
              <w:jc w:val="right"/>
              <w:rPr>
                <w:rFonts w:ascii="Arial" w:hAnsi="Arial" w:cs="Arial"/>
                <w:color w:val="000000"/>
                <w:sz w:val="18"/>
                <w:szCs w:val="18"/>
                <w:lang w:eastAsia="en-PH"/>
              </w:rPr>
            </w:pPr>
            <w:r w:rsidRPr="00540A02">
              <w:rPr>
                <w:rFonts w:ascii="Arial" w:hAnsi="Arial" w:cs="Arial"/>
                <w:color w:val="000000"/>
                <w:sz w:val="18"/>
                <w:szCs w:val="18"/>
                <w:lang w:eastAsia="en-PH"/>
              </w:rPr>
              <w:t>1680</w:t>
            </w:r>
          </w:p>
        </w:tc>
        <w:tc>
          <w:tcPr>
            <w:tcW w:w="354" w:type="pct"/>
            <w:tcBorders>
              <w:bottom w:val="single" w:sz="12" w:space="0" w:color="000000"/>
            </w:tcBorders>
            <w:noWrap/>
            <w:vAlign w:val="bottom"/>
            <w:hideMark/>
          </w:tcPr>
          <w:p w14:paraId="4E1EED04" w14:textId="77777777" w:rsidR="00540A02" w:rsidRPr="00540A02" w:rsidRDefault="00540A02" w:rsidP="00F14F82">
            <w:pPr>
              <w:jc w:val="right"/>
              <w:rPr>
                <w:rFonts w:ascii="Arial" w:hAnsi="Arial" w:cs="Arial"/>
                <w:color w:val="000000"/>
                <w:sz w:val="18"/>
                <w:szCs w:val="18"/>
                <w:lang w:eastAsia="en-PH"/>
              </w:rPr>
            </w:pPr>
            <w:r w:rsidRPr="00540A02">
              <w:rPr>
                <w:rFonts w:ascii="Arial" w:hAnsi="Arial" w:cs="Arial"/>
                <w:color w:val="000000"/>
                <w:sz w:val="18"/>
                <w:szCs w:val="18"/>
                <w:lang w:eastAsia="en-PH"/>
              </w:rPr>
              <w:t>4710</w:t>
            </w:r>
          </w:p>
        </w:tc>
        <w:tc>
          <w:tcPr>
            <w:tcW w:w="369" w:type="pct"/>
            <w:tcBorders>
              <w:bottom w:val="single" w:sz="12" w:space="0" w:color="000000"/>
            </w:tcBorders>
            <w:noWrap/>
            <w:vAlign w:val="bottom"/>
            <w:hideMark/>
          </w:tcPr>
          <w:p w14:paraId="1377A399" w14:textId="77777777" w:rsidR="00540A02" w:rsidRPr="00540A02" w:rsidRDefault="00540A02" w:rsidP="00F14F82">
            <w:pPr>
              <w:jc w:val="right"/>
              <w:rPr>
                <w:rFonts w:ascii="Arial" w:hAnsi="Arial" w:cs="Arial"/>
                <w:color w:val="000000"/>
                <w:sz w:val="18"/>
                <w:szCs w:val="18"/>
                <w:lang w:eastAsia="en-PH"/>
              </w:rPr>
            </w:pPr>
            <w:r w:rsidRPr="00540A02">
              <w:rPr>
                <w:rFonts w:ascii="Arial" w:hAnsi="Arial" w:cs="Arial"/>
                <w:color w:val="000000"/>
                <w:sz w:val="18"/>
                <w:szCs w:val="18"/>
                <w:lang w:eastAsia="en-PH"/>
              </w:rPr>
              <w:t>216</w:t>
            </w:r>
          </w:p>
        </w:tc>
        <w:tc>
          <w:tcPr>
            <w:tcW w:w="336" w:type="pct"/>
            <w:tcBorders>
              <w:bottom w:val="single" w:sz="12" w:space="0" w:color="000000"/>
              <w:right w:val="single" w:sz="12" w:space="0" w:color="000000"/>
            </w:tcBorders>
            <w:noWrap/>
            <w:vAlign w:val="bottom"/>
            <w:hideMark/>
          </w:tcPr>
          <w:p w14:paraId="6FCBE2B2" w14:textId="77777777" w:rsidR="00540A02" w:rsidRPr="00540A02" w:rsidRDefault="00540A02" w:rsidP="00F14F82">
            <w:pPr>
              <w:jc w:val="right"/>
              <w:rPr>
                <w:rFonts w:ascii="Arial" w:hAnsi="Arial" w:cs="Arial"/>
                <w:color w:val="000000"/>
                <w:sz w:val="18"/>
                <w:szCs w:val="18"/>
                <w:lang w:eastAsia="en-PH"/>
              </w:rPr>
            </w:pPr>
            <w:r w:rsidRPr="00540A02">
              <w:rPr>
                <w:rFonts w:ascii="Arial" w:hAnsi="Arial" w:cs="Arial"/>
                <w:color w:val="000000"/>
                <w:sz w:val="18"/>
                <w:szCs w:val="18"/>
                <w:lang w:eastAsia="en-PH"/>
              </w:rPr>
              <w:t>649</w:t>
            </w:r>
          </w:p>
        </w:tc>
        <w:tc>
          <w:tcPr>
            <w:tcW w:w="383" w:type="pct"/>
            <w:tcBorders>
              <w:left w:val="single" w:sz="12" w:space="0" w:color="000000"/>
              <w:bottom w:val="single" w:sz="12" w:space="0" w:color="000000"/>
            </w:tcBorders>
            <w:noWrap/>
            <w:vAlign w:val="bottom"/>
            <w:hideMark/>
          </w:tcPr>
          <w:p w14:paraId="7BC4B6C1" w14:textId="77777777" w:rsidR="00540A02" w:rsidRPr="00540A02" w:rsidRDefault="00540A02" w:rsidP="00F14F82">
            <w:pPr>
              <w:jc w:val="right"/>
              <w:rPr>
                <w:rFonts w:ascii="Arial" w:hAnsi="Arial" w:cs="Arial"/>
                <w:color w:val="000000"/>
                <w:sz w:val="18"/>
                <w:szCs w:val="18"/>
                <w:lang w:eastAsia="en-PH"/>
              </w:rPr>
            </w:pPr>
            <w:r w:rsidRPr="00540A02">
              <w:rPr>
                <w:rFonts w:ascii="Arial" w:hAnsi="Arial" w:cs="Arial"/>
                <w:color w:val="000000"/>
                <w:sz w:val="18"/>
                <w:szCs w:val="18"/>
                <w:lang w:eastAsia="en-PH"/>
              </w:rPr>
              <w:t>1689</w:t>
            </w:r>
          </w:p>
        </w:tc>
        <w:tc>
          <w:tcPr>
            <w:tcW w:w="368" w:type="pct"/>
            <w:tcBorders>
              <w:bottom w:val="single" w:sz="12" w:space="0" w:color="000000"/>
            </w:tcBorders>
            <w:noWrap/>
            <w:vAlign w:val="bottom"/>
            <w:hideMark/>
          </w:tcPr>
          <w:p w14:paraId="44A40020" w14:textId="77777777" w:rsidR="00540A02" w:rsidRPr="00540A02" w:rsidRDefault="00540A02" w:rsidP="00F14F82">
            <w:pPr>
              <w:jc w:val="right"/>
              <w:rPr>
                <w:rFonts w:ascii="Arial" w:hAnsi="Arial" w:cs="Arial"/>
                <w:color w:val="000000"/>
                <w:sz w:val="18"/>
                <w:szCs w:val="18"/>
                <w:lang w:eastAsia="en-PH"/>
              </w:rPr>
            </w:pPr>
            <w:r w:rsidRPr="00540A02">
              <w:rPr>
                <w:rFonts w:ascii="Arial" w:hAnsi="Arial" w:cs="Arial"/>
                <w:color w:val="000000"/>
                <w:sz w:val="18"/>
                <w:szCs w:val="18"/>
                <w:lang w:eastAsia="en-PH"/>
              </w:rPr>
              <w:t>4722</w:t>
            </w:r>
          </w:p>
        </w:tc>
        <w:tc>
          <w:tcPr>
            <w:tcW w:w="373" w:type="pct"/>
            <w:tcBorders>
              <w:bottom w:val="single" w:sz="12" w:space="0" w:color="000000"/>
            </w:tcBorders>
            <w:noWrap/>
            <w:vAlign w:val="bottom"/>
            <w:hideMark/>
          </w:tcPr>
          <w:p w14:paraId="62A5A8C2" w14:textId="77777777" w:rsidR="00540A02" w:rsidRPr="00540A02" w:rsidRDefault="00540A02" w:rsidP="00F14F82">
            <w:pPr>
              <w:jc w:val="right"/>
              <w:rPr>
                <w:rFonts w:ascii="Arial" w:hAnsi="Arial" w:cs="Arial"/>
                <w:color w:val="000000"/>
                <w:sz w:val="18"/>
                <w:szCs w:val="18"/>
                <w:lang w:eastAsia="en-PH"/>
              </w:rPr>
            </w:pPr>
            <w:r w:rsidRPr="00540A02">
              <w:rPr>
                <w:rFonts w:ascii="Arial" w:hAnsi="Arial" w:cs="Arial"/>
                <w:color w:val="000000"/>
                <w:sz w:val="18"/>
                <w:szCs w:val="18"/>
                <w:lang w:eastAsia="en-PH"/>
              </w:rPr>
              <w:t>316</w:t>
            </w:r>
          </w:p>
        </w:tc>
        <w:tc>
          <w:tcPr>
            <w:tcW w:w="369" w:type="pct"/>
            <w:tcBorders>
              <w:bottom w:val="single" w:sz="12" w:space="0" w:color="000000"/>
              <w:right w:val="single" w:sz="12" w:space="0" w:color="000000"/>
            </w:tcBorders>
            <w:noWrap/>
            <w:vAlign w:val="bottom"/>
            <w:hideMark/>
          </w:tcPr>
          <w:p w14:paraId="08481237" w14:textId="77777777" w:rsidR="00540A02" w:rsidRPr="00540A02" w:rsidRDefault="00540A02" w:rsidP="00F14F82">
            <w:pPr>
              <w:jc w:val="right"/>
              <w:rPr>
                <w:rFonts w:ascii="Arial" w:hAnsi="Arial" w:cs="Arial"/>
                <w:color w:val="000000"/>
                <w:sz w:val="18"/>
                <w:szCs w:val="18"/>
                <w:lang w:eastAsia="en-PH"/>
              </w:rPr>
            </w:pPr>
            <w:r w:rsidRPr="00540A02">
              <w:rPr>
                <w:rFonts w:ascii="Arial" w:hAnsi="Arial" w:cs="Arial"/>
                <w:color w:val="000000"/>
                <w:sz w:val="18"/>
                <w:szCs w:val="18"/>
                <w:lang w:eastAsia="en-PH"/>
              </w:rPr>
              <w:t>666</w:t>
            </w:r>
          </w:p>
        </w:tc>
        <w:tc>
          <w:tcPr>
            <w:tcW w:w="380" w:type="pct"/>
            <w:tcBorders>
              <w:left w:val="single" w:sz="12" w:space="0" w:color="000000"/>
              <w:bottom w:val="single" w:sz="12" w:space="0" w:color="000000"/>
            </w:tcBorders>
            <w:noWrap/>
            <w:vAlign w:val="center"/>
            <w:hideMark/>
          </w:tcPr>
          <w:p w14:paraId="4FEF857F" w14:textId="77777777" w:rsidR="00540A02" w:rsidRPr="00540A02" w:rsidRDefault="00540A02" w:rsidP="00F14F82">
            <w:pPr>
              <w:jc w:val="center"/>
              <w:rPr>
                <w:rFonts w:ascii="Arial" w:hAnsi="Arial" w:cs="Arial"/>
                <w:color w:val="000000"/>
                <w:sz w:val="18"/>
                <w:szCs w:val="18"/>
                <w:lang w:eastAsia="en-PH"/>
              </w:rPr>
            </w:pPr>
            <w:r w:rsidRPr="00540A02">
              <w:rPr>
                <w:rFonts w:ascii="Arial" w:hAnsi="Arial" w:cs="Arial"/>
                <w:color w:val="000000"/>
                <w:sz w:val="18"/>
                <w:szCs w:val="18"/>
                <w:lang w:eastAsia="en-PH"/>
              </w:rPr>
              <w:t>0.01</w:t>
            </w:r>
          </w:p>
        </w:tc>
        <w:tc>
          <w:tcPr>
            <w:tcW w:w="382" w:type="pct"/>
            <w:tcBorders>
              <w:bottom w:val="single" w:sz="12" w:space="0" w:color="000000"/>
            </w:tcBorders>
            <w:noWrap/>
            <w:vAlign w:val="center"/>
            <w:hideMark/>
          </w:tcPr>
          <w:p w14:paraId="32E137D9" w14:textId="77777777" w:rsidR="00540A02" w:rsidRPr="00540A02" w:rsidRDefault="00540A02" w:rsidP="00F14F82">
            <w:pPr>
              <w:jc w:val="center"/>
              <w:rPr>
                <w:rFonts w:ascii="Arial" w:hAnsi="Arial" w:cs="Arial"/>
                <w:color w:val="000000"/>
                <w:sz w:val="18"/>
                <w:szCs w:val="18"/>
                <w:lang w:eastAsia="en-PH"/>
              </w:rPr>
            </w:pPr>
            <w:r w:rsidRPr="00540A02">
              <w:rPr>
                <w:rFonts w:ascii="Arial" w:hAnsi="Arial" w:cs="Arial"/>
                <w:color w:val="000000"/>
                <w:sz w:val="18"/>
                <w:szCs w:val="18"/>
                <w:lang w:eastAsia="en-PH"/>
              </w:rPr>
              <w:t>0.00</w:t>
            </w:r>
          </w:p>
        </w:tc>
        <w:tc>
          <w:tcPr>
            <w:tcW w:w="369" w:type="pct"/>
            <w:tcBorders>
              <w:bottom w:val="single" w:sz="12" w:space="0" w:color="000000"/>
            </w:tcBorders>
            <w:noWrap/>
            <w:vAlign w:val="center"/>
            <w:hideMark/>
          </w:tcPr>
          <w:p w14:paraId="05284A17" w14:textId="77777777" w:rsidR="00540A02" w:rsidRPr="00540A02" w:rsidRDefault="00540A02" w:rsidP="00F14F82">
            <w:pPr>
              <w:jc w:val="center"/>
              <w:rPr>
                <w:rFonts w:ascii="Arial" w:hAnsi="Arial" w:cs="Arial"/>
                <w:color w:val="000000"/>
                <w:sz w:val="18"/>
                <w:szCs w:val="18"/>
                <w:lang w:eastAsia="en-PH"/>
              </w:rPr>
            </w:pPr>
            <w:r w:rsidRPr="00540A02">
              <w:rPr>
                <w:rFonts w:ascii="Arial" w:hAnsi="Arial" w:cs="Arial"/>
                <w:color w:val="000000"/>
                <w:sz w:val="18"/>
                <w:szCs w:val="18"/>
                <w:lang w:eastAsia="en-PH"/>
              </w:rPr>
              <w:t>0.46</w:t>
            </w:r>
          </w:p>
        </w:tc>
        <w:tc>
          <w:tcPr>
            <w:tcW w:w="424" w:type="pct"/>
            <w:tcBorders>
              <w:bottom w:val="single" w:sz="12" w:space="0" w:color="000000"/>
            </w:tcBorders>
            <w:noWrap/>
            <w:vAlign w:val="center"/>
            <w:hideMark/>
          </w:tcPr>
          <w:p w14:paraId="75AF080E" w14:textId="77777777" w:rsidR="00540A02" w:rsidRPr="00540A02" w:rsidRDefault="00540A02" w:rsidP="00F14F82">
            <w:pPr>
              <w:jc w:val="center"/>
              <w:rPr>
                <w:rFonts w:ascii="Arial" w:hAnsi="Arial" w:cs="Arial"/>
                <w:color w:val="000000"/>
                <w:sz w:val="18"/>
                <w:szCs w:val="18"/>
                <w:lang w:eastAsia="en-PH"/>
              </w:rPr>
            </w:pPr>
            <w:r w:rsidRPr="00540A02">
              <w:rPr>
                <w:rFonts w:ascii="Arial" w:hAnsi="Arial" w:cs="Arial"/>
                <w:color w:val="000000"/>
                <w:sz w:val="18"/>
                <w:szCs w:val="18"/>
                <w:lang w:eastAsia="en-PH"/>
              </w:rPr>
              <w:t>0.03</w:t>
            </w:r>
          </w:p>
        </w:tc>
      </w:tr>
    </w:tbl>
    <w:p w14:paraId="40C831DC" w14:textId="77777777" w:rsidR="00540A02" w:rsidRPr="00540A02" w:rsidRDefault="00540A02" w:rsidP="00540A02">
      <w:pPr>
        <w:rPr>
          <w:rFonts w:ascii="Arial" w:eastAsiaTheme="minorEastAsia" w:hAnsi="Arial" w:cs="Arial"/>
          <w:b/>
          <w:bCs/>
          <w:sz w:val="18"/>
          <w:szCs w:val="18"/>
        </w:rPr>
      </w:pPr>
      <w:r w:rsidRPr="00540A02">
        <w:rPr>
          <w:rFonts w:ascii="Arial" w:hAnsi="Arial" w:cs="Arial"/>
          <w:sz w:val="18"/>
          <w:szCs w:val="18"/>
        </w:rPr>
        <w:t xml:space="preserve">   Source: Author’s calculation based on PSA FIES</w:t>
      </w:r>
    </w:p>
    <w:p w14:paraId="20240040" w14:textId="77777777" w:rsidR="00540A02" w:rsidRDefault="00540A02" w:rsidP="00540A02">
      <w:pPr>
        <w:pStyle w:val="Body"/>
        <w:spacing w:after="0"/>
        <w:rPr>
          <w:rFonts w:ascii="Arial" w:hAnsi="Arial" w:cs="Arial"/>
        </w:rPr>
      </w:pPr>
    </w:p>
    <w:p w14:paraId="038D045C" w14:textId="4EA675BC" w:rsidR="00540A02" w:rsidRDefault="00F042EF" w:rsidP="00540A02">
      <w:pPr>
        <w:pStyle w:val="Body"/>
        <w:spacing w:after="0"/>
        <w:rPr>
          <w:rFonts w:ascii="Arial" w:hAnsi="Arial" w:cs="Arial"/>
        </w:rPr>
      </w:pPr>
      <w:r w:rsidRPr="00F042EF">
        <w:rPr>
          <w:rFonts w:ascii="Arial" w:hAnsi="Arial" w:cs="Arial"/>
        </w:rPr>
        <w:t>These shifts support Dizon’s (2019) proposition that income shocks generated by policy reforms influence household occupational decisions based on utility maximization. Higher incomes, especially for married individuals with children, increase the likelihood of entering wage work or rice farming. The paired t-test confirms statistically significant differences between pre- and post-RTL occupational outcomes, demonstrating that RTL not only altered incomes but also influenced labor-market behavior.</w:t>
      </w:r>
    </w:p>
    <w:p w14:paraId="02CD1A6A" w14:textId="77777777" w:rsidR="00F042EF" w:rsidRPr="00540A02" w:rsidRDefault="00F042EF" w:rsidP="00540A02">
      <w:pPr>
        <w:pStyle w:val="Body"/>
        <w:spacing w:after="0"/>
        <w:rPr>
          <w:rFonts w:ascii="Arial" w:hAnsi="Arial" w:cs="Arial"/>
        </w:rPr>
      </w:pPr>
    </w:p>
    <w:p w14:paraId="5EDC6639"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484A7ED6" w14:textId="77777777" w:rsidR="00790ADA" w:rsidRPr="00FB3A86" w:rsidRDefault="00790ADA" w:rsidP="00441B6F">
      <w:pPr>
        <w:pStyle w:val="ConcHead"/>
        <w:spacing w:after="0"/>
        <w:jc w:val="both"/>
        <w:rPr>
          <w:rFonts w:ascii="Arial" w:hAnsi="Arial" w:cs="Arial"/>
        </w:rPr>
      </w:pPr>
    </w:p>
    <w:p w14:paraId="2325F6E8" w14:textId="1C7E5233" w:rsidR="00AA604C" w:rsidRPr="00AA604C" w:rsidRDefault="00AA604C" w:rsidP="00AA604C">
      <w:pPr>
        <w:pStyle w:val="AcknHead"/>
        <w:jc w:val="both"/>
        <w:rPr>
          <w:rFonts w:ascii="Arial" w:hAnsi="Arial" w:cs="Arial"/>
          <w:b w:val="0"/>
          <w:caps w:val="0"/>
          <w:sz w:val="20"/>
        </w:rPr>
      </w:pPr>
      <w:r w:rsidRPr="00AA604C">
        <w:rPr>
          <w:rFonts w:ascii="Arial" w:hAnsi="Arial" w:cs="Arial"/>
          <w:b w:val="0"/>
          <w:caps w:val="0"/>
          <w:sz w:val="20"/>
        </w:rPr>
        <w:t>The findings of this study demonstrate that the Rice Tariffication Law (RTL) has reshaped the income landscape and occupational patterns of Filipino rice farmers. While the policy has strengthened the economic position of beneficiary rice farmers—especially those in regions with strong irrigation systems and robust agricultural ecosystems—it has also exposed non-rice farmers and farmers in highly urbanized areas to greater economic vulnerability. These contrasting outcomes highlight the uneven effects of the reform and emphasize the need for targeted and equitable policy responses.</w:t>
      </w:r>
    </w:p>
    <w:p w14:paraId="308CA481" w14:textId="352439D5" w:rsidR="00AA604C" w:rsidRPr="00AA604C" w:rsidRDefault="00AA604C" w:rsidP="00AA604C">
      <w:pPr>
        <w:pStyle w:val="AcknHead"/>
        <w:jc w:val="both"/>
        <w:rPr>
          <w:rFonts w:ascii="Arial" w:hAnsi="Arial" w:cs="Arial"/>
          <w:b w:val="0"/>
          <w:caps w:val="0"/>
          <w:sz w:val="20"/>
        </w:rPr>
      </w:pPr>
      <w:r w:rsidRPr="00AA604C">
        <w:rPr>
          <w:rFonts w:ascii="Arial" w:hAnsi="Arial" w:cs="Arial"/>
          <w:b w:val="0"/>
          <w:caps w:val="0"/>
          <w:sz w:val="20"/>
        </w:rPr>
        <w:t>Central to mitigating the adverse effects of RTL is the effective implementation of the Rice Competitiveness Enhancement Fund (RCEF). Strengthening RCEF governance is essential to ensure that machinery, seeds, training, and credit support reach farmers without delays or bureaucratic bottlenecks. Establishing localized RCEF offices at the municipal or LGU level can streamline distribution channels, reduce opportunities for corruption, and improve farmers’ access to support services. Additionally, the long-term adequacy of the ₱10-billion annual allocation should be periodically reviewed to determine whether adjustments are necessary in light of rising production costs and demand for services.</w:t>
      </w:r>
    </w:p>
    <w:p w14:paraId="0905A069" w14:textId="49CB68E9" w:rsidR="00AA604C" w:rsidRPr="00AA604C" w:rsidRDefault="00AA604C" w:rsidP="00AA604C">
      <w:pPr>
        <w:pStyle w:val="AcknHead"/>
        <w:jc w:val="both"/>
        <w:rPr>
          <w:rFonts w:ascii="Arial" w:hAnsi="Arial" w:cs="Arial"/>
          <w:b w:val="0"/>
          <w:caps w:val="0"/>
          <w:sz w:val="20"/>
        </w:rPr>
      </w:pPr>
      <w:r w:rsidRPr="00AA604C">
        <w:rPr>
          <w:rFonts w:ascii="Arial" w:hAnsi="Arial" w:cs="Arial"/>
          <w:b w:val="0"/>
          <w:caps w:val="0"/>
          <w:sz w:val="20"/>
        </w:rPr>
        <w:t>Financial support mechanisms also require enhancement. Expanding microfinance programs through DBP, LBP, and accredited cooperatives can improve farmers’ liquidity, sustain their production cycles, and help them manage income fluctuations caused by market competition with imported rice. Likewise, investing in rural industries and off-farm employment opportunities can help farmers diversify their income sources, making them less vulnerable to price shocks in the rice market.</w:t>
      </w:r>
    </w:p>
    <w:p w14:paraId="49219C92" w14:textId="1B8485E4" w:rsidR="00AA604C" w:rsidRPr="00AA604C" w:rsidRDefault="00AA604C" w:rsidP="00AA604C">
      <w:pPr>
        <w:pStyle w:val="AcknHead"/>
        <w:jc w:val="both"/>
        <w:rPr>
          <w:rFonts w:ascii="Arial" w:hAnsi="Arial" w:cs="Arial"/>
          <w:b w:val="0"/>
          <w:caps w:val="0"/>
          <w:sz w:val="20"/>
        </w:rPr>
      </w:pPr>
      <w:r w:rsidRPr="00AA604C">
        <w:rPr>
          <w:rFonts w:ascii="Arial" w:hAnsi="Arial" w:cs="Arial"/>
          <w:b w:val="0"/>
          <w:caps w:val="0"/>
          <w:sz w:val="20"/>
        </w:rPr>
        <w:t>Capacity-building efforts should also be strengthened. Beyond skills training, TESDA and agricultural agencies should incorporate financial literacy, farm business management, and cooperative development modules to help farmers make informed decisions about production, investments, and market participation. Supporting farmer organizations and cluster farming initiatives can also promote economies of scale, improve productivity, and increase market competitiveness.</w:t>
      </w:r>
    </w:p>
    <w:p w14:paraId="406A3B38" w14:textId="0E1CC034" w:rsidR="00AA604C" w:rsidRPr="00AA604C" w:rsidRDefault="00AA604C" w:rsidP="00AA604C">
      <w:pPr>
        <w:pStyle w:val="AcknHead"/>
        <w:jc w:val="both"/>
        <w:rPr>
          <w:rFonts w:ascii="Arial" w:hAnsi="Arial" w:cs="Arial"/>
          <w:b w:val="0"/>
          <w:caps w:val="0"/>
          <w:sz w:val="20"/>
        </w:rPr>
      </w:pPr>
      <w:r w:rsidRPr="00AA604C">
        <w:rPr>
          <w:rFonts w:ascii="Arial" w:hAnsi="Arial" w:cs="Arial"/>
          <w:b w:val="0"/>
          <w:caps w:val="0"/>
          <w:sz w:val="20"/>
        </w:rPr>
        <w:t>Finally, continued review of the country’s quantitative restrictions and import policies may be necessary to ensure that domestic producers remain protected while consumers still benefit from affordable rice prices. Future research should also assess the effectiveness of RCEF-credit programs and determine whether their design, allocation, and monitoring systems meet the needs of farmers across different regions.</w:t>
      </w:r>
    </w:p>
    <w:p w14:paraId="21852381" w14:textId="466E9CB3" w:rsidR="00540A02" w:rsidRDefault="00AA604C" w:rsidP="00AA604C">
      <w:pPr>
        <w:pStyle w:val="AcknHead"/>
        <w:spacing w:after="0"/>
        <w:jc w:val="both"/>
        <w:rPr>
          <w:rFonts w:ascii="Arial" w:hAnsi="Arial" w:cs="Arial"/>
        </w:rPr>
      </w:pPr>
      <w:r w:rsidRPr="00AA604C">
        <w:rPr>
          <w:rFonts w:ascii="Arial" w:hAnsi="Arial" w:cs="Arial"/>
          <w:b w:val="0"/>
          <w:caps w:val="0"/>
          <w:sz w:val="20"/>
        </w:rPr>
        <w:t>Overall, sustaining agricultural growth and ensuring farmer welfare under RTL requires a balanced combination of strong institutional support, efficient fund administration, strategic rural investment, and long-term capacity development. By aligning these interventions with farmers’ needs, policymakers can ensure that the benefits of RTL translate into inclusive and resilient agricultural progress.</w:t>
      </w:r>
    </w:p>
    <w:p w14:paraId="2295266B" w14:textId="77777777" w:rsidR="00540A02" w:rsidRDefault="00540A02">
      <w:pPr>
        <w:rPr>
          <w:rFonts w:ascii="Arial" w:hAnsi="Arial" w:cs="Arial"/>
          <w:b/>
          <w:caps/>
          <w:sz w:val="22"/>
        </w:rPr>
      </w:pPr>
      <w:r>
        <w:rPr>
          <w:rFonts w:ascii="Arial" w:hAnsi="Arial" w:cs="Arial"/>
        </w:rPr>
        <w:br w:type="page"/>
      </w:r>
    </w:p>
    <w:p w14:paraId="7E75D58B" w14:textId="77777777" w:rsidR="00F14F82" w:rsidRPr="00F14F82" w:rsidRDefault="00F14F82" w:rsidP="00F14F82">
      <w:pPr>
        <w:pStyle w:val="ReferHead"/>
        <w:jc w:val="both"/>
        <w:rPr>
          <w:rFonts w:ascii="Arial" w:hAnsi="Arial" w:cs="Arial"/>
          <w:caps w:val="0"/>
          <w:sz w:val="20"/>
        </w:rPr>
      </w:pPr>
      <w:r w:rsidRPr="00F14F82">
        <w:rPr>
          <w:rFonts w:ascii="Arial" w:hAnsi="Arial" w:cs="Arial"/>
          <w:caps w:val="0"/>
          <w:sz w:val="20"/>
        </w:rPr>
        <w:lastRenderedPageBreak/>
        <w:t>Disclaimer (Artificial intelligence)</w:t>
      </w:r>
    </w:p>
    <w:p w14:paraId="098E284A" w14:textId="77777777" w:rsidR="00F14F82" w:rsidRPr="00F14F82" w:rsidRDefault="00F14F82" w:rsidP="00F14F82">
      <w:pPr>
        <w:pStyle w:val="ReferHead"/>
        <w:jc w:val="both"/>
        <w:rPr>
          <w:rFonts w:ascii="Arial" w:hAnsi="Arial" w:cs="Arial"/>
          <w:b w:val="0"/>
          <w:caps w:val="0"/>
          <w:sz w:val="20"/>
        </w:rPr>
      </w:pPr>
    </w:p>
    <w:p w14:paraId="78AF431C" w14:textId="4872D2FD" w:rsidR="00154FC1" w:rsidRDefault="00F14F82" w:rsidP="00F14F82">
      <w:pPr>
        <w:pStyle w:val="ReferHead"/>
        <w:spacing w:after="0"/>
        <w:jc w:val="both"/>
        <w:rPr>
          <w:rFonts w:ascii="Arial" w:hAnsi="Arial" w:cs="Arial"/>
          <w:b w:val="0"/>
          <w:caps w:val="0"/>
          <w:sz w:val="20"/>
        </w:rPr>
      </w:pPr>
      <w:r w:rsidRPr="00F14F82">
        <w:rPr>
          <w:rFonts w:ascii="Arial" w:hAnsi="Arial" w:cs="Arial"/>
          <w:b w:val="0"/>
          <w:caps w:val="0"/>
          <w:sz w:val="20"/>
        </w:rPr>
        <w:t>Author(s) hereby declare that NO generative AI technologies such as Large Language Models (</w:t>
      </w:r>
      <w:proofErr w:type="spellStart"/>
      <w:r w:rsidRPr="00F14F82">
        <w:rPr>
          <w:rFonts w:ascii="Arial" w:hAnsi="Arial" w:cs="Arial"/>
          <w:b w:val="0"/>
          <w:caps w:val="0"/>
          <w:sz w:val="20"/>
        </w:rPr>
        <w:t>ChatGPT</w:t>
      </w:r>
      <w:proofErr w:type="spellEnd"/>
      <w:r w:rsidRPr="00F14F82">
        <w:rPr>
          <w:rFonts w:ascii="Arial" w:hAnsi="Arial" w:cs="Arial"/>
          <w:b w:val="0"/>
          <w:caps w:val="0"/>
          <w:sz w:val="20"/>
        </w:rPr>
        <w:t>, COPILOT, etc.) and text-to-image generators have been used during the writing or editing of this manuscript.</w:t>
      </w:r>
    </w:p>
    <w:p w14:paraId="78150BCC" w14:textId="77777777" w:rsidR="00F14F82" w:rsidRDefault="00F14F82" w:rsidP="00F14F82">
      <w:pPr>
        <w:pStyle w:val="ReferHead"/>
        <w:spacing w:after="0"/>
        <w:jc w:val="both"/>
        <w:rPr>
          <w:rFonts w:ascii="Arial" w:hAnsi="Arial" w:cs="Arial"/>
          <w:b w:val="0"/>
          <w:caps w:val="0"/>
          <w:sz w:val="20"/>
        </w:rPr>
      </w:pPr>
    </w:p>
    <w:p w14:paraId="632A9DD7" w14:textId="77777777" w:rsidR="00154FC1" w:rsidRDefault="00154FC1" w:rsidP="00154FC1">
      <w:pPr>
        <w:pStyle w:val="DefAcrHead"/>
        <w:spacing w:after="0"/>
        <w:jc w:val="both"/>
        <w:rPr>
          <w:rFonts w:ascii="Arial" w:hAnsi="Arial" w:cs="Arial"/>
        </w:rPr>
      </w:pPr>
      <w:r w:rsidRPr="00FB3A86">
        <w:rPr>
          <w:rFonts w:ascii="Arial" w:hAnsi="Arial" w:cs="Arial"/>
        </w:rPr>
        <w:t>Definitions, Acronyms, Abbreviations</w:t>
      </w:r>
    </w:p>
    <w:p w14:paraId="74F62EF3" w14:textId="77777777" w:rsidR="00154FC1" w:rsidRDefault="00154FC1" w:rsidP="00154FC1">
      <w:pPr>
        <w:pStyle w:val="Body"/>
        <w:rPr>
          <w:rFonts w:ascii="Arial" w:hAnsi="Arial" w:cs="Arial"/>
          <w:b/>
          <w:bCs/>
        </w:rPr>
      </w:pPr>
    </w:p>
    <w:p w14:paraId="2374050F" w14:textId="77777777" w:rsidR="00154FC1" w:rsidRPr="00E251F3" w:rsidRDefault="00154FC1" w:rsidP="00154FC1">
      <w:pPr>
        <w:pStyle w:val="Body"/>
        <w:rPr>
          <w:rFonts w:ascii="Arial" w:hAnsi="Arial" w:cs="Arial"/>
        </w:rPr>
      </w:pPr>
      <w:r w:rsidRPr="00E251F3">
        <w:rPr>
          <w:rFonts w:ascii="Arial" w:hAnsi="Arial" w:cs="Arial"/>
          <w:b/>
          <w:bCs/>
        </w:rPr>
        <w:t>Microsimulation</w:t>
      </w:r>
      <w:r w:rsidRPr="00E251F3">
        <w:rPr>
          <w:rFonts w:ascii="Arial" w:hAnsi="Arial" w:cs="Arial"/>
        </w:rPr>
        <w:t>: A modeling technique used to estimate the impact of policy changes on individual or household-level outcomes.</w:t>
      </w:r>
    </w:p>
    <w:p w14:paraId="34F2CFC4" w14:textId="77777777" w:rsidR="00154FC1" w:rsidRPr="00E251F3" w:rsidRDefault="00154FC1" w:rsidP="00154FC1">
      <w:pPr>
        <w:pStyle w:val="Body"/>
        <w:rPr>
          <w:rFonts w:ascii="Arial" w:hAnsi="Arial" w:cs="Arial"/>
        </w:rPr>
      </w:pPr>
      <w:r w:rsidRPr="00E251F3">
        <w:rPr>
          <w:rFonts w:ascii="Arial" w:hAnsi="Arial" w:cs="Arial"/>
          <w:b/>
          <w:bCs/>
        </w:rPr>
        <w:t>Rice Tariffication Law (RTL):</w:t>
      </w:r>
      <w:r w:rsidRPr="00E251F3">
        <w:rPr>
          <w:rFonts w:ascii="Arial" w:hAnsi="Arial" w:cs="Arial"/>
        </w:rPr>
        <w:t xml:space="preserve"> Republic Act No. 11203, liberalizing rice importation to stabilize prices while establishing the Rice Competitiveness Enhancement Fund (RCEF).</w:t>
      </w:r>
    </w:p>
    <w:p w14:paraId="62195856" w14:textId="77777777" w:rsidR="00154FC1" w:rsidRPr="00E251F3" w:rsidRDefault="00154FC1" w:rsidP="00154FC1">
      <w:pPr>
        <w:pStyle w:val="Body"/>
        <w:rPr>
          <w:rFonts w:ascii="Arial" w:hAnsi="Arial" w:cs="Arial"/>
        </w:rPr>
      </w:pPr>
      <w:r w:rsidRPr="00E251F3">
        <w:rPr>
          <w:rFonts w:ascii="Arial" w:hAnsi="Arial" w:cs="Arial"/>
          <w:b/>
          <w:bCs/>
        </w:rPr>
        <w:t>RCEF</w:t>
      </w:r>
      <w:r w:rsidRPr="00E251F3">
        <w:rPr>
          <w:rFonts w:ascii="Arial" w:hAnsi="Arial" w:cs="Arial"/>
        </w:rPr>
        <w:t>: Rice Competitiveness Enhancement Fund, created to support farmers through mechanization, seed development, credit, and extension programs.</w:t>
      </w:r>
    </w:p>
    <w:p w14:paraId="015EB5AF" w14:textId="77777777" w:rsidR="00154FC1" w:rsidRPr="00E251F3" w:rsidRDefault="00154FC1" w:rsidP="00154FC1">
      <w:pPr>
        <w:pStyle w:val="Body"/>
        <w:rPr>
          <w:rFonts w:ascii="Arial" w:hAnsi="Arial" w:cs="Arial"/>
        </w:rPr>
      </w:pPr>
      <w:r w:rsidRPr="00E251F3">
        <w:rPr>
          <w:rFonts w:ascii="Arial" w:hAnsi="Arial" w:cs="Arial"/>
          <w:b/>
          <w:bCs/>
        </w:rPr>
        <w:t>FIES</w:t>
      </w:r>
      <w:r w:rsidRPr="00E251F3">
        <w:rPr>
          <w:rFonts w:ascii="Arial" w:hAnsi="Arial" w:cs="Arial"/>
        </w:rPr>
        <w:t>: Family Income and Expenditure Survey, a national dataset by the Philippine Statistics Authority.</w:t>
      </w:r>
    </w:p>
    <w:p w14:paraId="296CB745" w14:textId="77777777" w:rsidR="00154FC1" w:rsidRPr="00E251F3" w:rsidRDefault="00154FC1" w:rsidP="00154FC1">
      <w:pPr>
        <w:pStyle w:val="Body"/>
        <w:rPr>
          <w:rFonts w:ascii="Arial" w:hAnsi="Arial" w:cs="Arial"/>
        </w:rPr>
      </w:pPr>
      <w:r w:rsidRPr="00E251F3">
        <w:rPr>
          <w:rFonts w:ascii="Arial" w:hAnsi="Arial" w:cs="Arial"/>
          <w:b/>
          <w:bCs/>
        </w:rPr>
        <w:t>Heckman Two-Step Model</w:t>
      </w:r>
      <w:r w:rsidRPr="00E251F3">
        <w:rPr>
          <w:rFonts w:ascii="Arial" w:hAnsi="Arial" w:cs="Arial"/>
        </w:rPr>
        <w:t>: An econometric method addressing selection bias in sample data.</w:t>
      </w:r>
    </w:p>
    <w:p w14:paraId="4ABF8A7D" w14:textId="77777777" w:rsidR="00154FC1" w:rsidRPr="00E251F3" w:rsidRDefault="00154FC1" w:rsidP="00154FC1">
      <w:pPr>
        <w:pStyle w:val="Body"/>
        <w:rPr>
          <w:rFonts w:ascii="Arial" w:hAnsi="Arial" w:cs="Arial"/>
        </w:rPr>
      </w:pPr>
      <w:r w:rsidRPr="00E251F3">
        <w:rPr>
          <w:rFonts w:ascii="Arial" w:hAnsi="Arial" w:cs="Arial"/>
          <w:b/>
          <w:bCs/>
        </w:rPr>
        <w:t>Multinomial Logistic Regression</w:t>
      </w:r>
      <w:r w:rsidRPr="00E251F3">
        <w:rPr>
          <w:rFonts w:ascii="Arial" w:hAnsi="Arial" w:cs="Arial"/>
        </w:rPr>
        <w:t>: A regression model predicting outcomes with more than two categories, such as occupational choices.</w:t>
      </w:r>
    </w:p>
    <w:p w14:paraId="30FDA859" w14:textId="00E55EAB" w:rsidR="00374185" w:rsidRDefault="00374185" w:rsidP="00374185">
      <w:pPr>
        <w:pStyle w:val="Body"/>
        <w:rPr>
          <w:rFonts w:ascii="Arial" w:hAnsi="Arial" w:cs="Arial"/>
          <w:b/>
          <w:bCs/>
        </w:rPr>
      </w:pPr>
      <w:r w:rsidRPr="00374185">
        <w:rPr>
          <w:rFonts w:ascii="Arial" w:hAnsi="Arial" w:cs="Arial"/>
          <w:b/>
          <w:bCs/>
        </w:rPr>
        <w:t>2SLS – Two-Stage Least Squares</w:t>
      </w:r>
      <w:r>
        <w:rPr>
          <w:rFonts w:ascii="Arial" w:hAnsi="Arial" w:cs="Arial"/>
          <w:b/>
          <w:bCs/>
        </w:rPr>
        <w:t xml:space="preserve">: </w:t>
      </w:r>
      <w:r w:rsidRPr="00374185">
        <w:rPr>
          <w:rFonts w:ascii="Arial" w:hAnsi="Arial" w:cs="Arial"/>
        </w:rPr>
        <w:t>An econometric technique used to correct for endogeneity by performing two sequential regressions. In this study, 2SLS is applied in the income estimation stage</w:t>
      </w:r>
      <w:r>
        <w:rPr>
          <w:rFonts w:ascii="Arial" w:hAnsi="Arial" w:cs="Arial"/>
        </w:rPr>
        <w:t>.</w:t>
      </w:r>
    </w:p>
    <w:p w14:paraId="35618EE8" w14:textId="03ECDD97" w:rsidR="00154FC1" w:rsidRPr="00374185" w:rsidRDefault="00374185" w:rsidP="00374185">
      <w:pPr>
        <w:pStyle w:val="Body"/>
        <w:rPr>
          <w:rFonts w:ascii="Arial" w:hAnsi="Arial" w:cs="Arial"/>
          <w:b/>
          <w:bCs/>
        </w:rPr>
      </w:pPr>
      <w:r w:rsidRPr="00374185">
        <w:rPr>
          <w:rFonts w:ascii="Arial" w:hAnsi="Arial" w:cs="Arial"/>
          <w:b/>
          <w:bCs/>
        </w:rPr>
        <w:t>.</w:t>
      </w:r>
      <w:r w:rsidR="00154FC1" w:rsidRPr="00E251F3">
        <w:rPr>
          <w:rFonts w:ascii="Arial" w:hAnsi="Arial" w:cs="Arial"/>
          <w:b/>
          <w:bCs/>
        </w:rPr>
        <w:t>DA</w:t>
      </w:r>
      <w:r w:rsidR="00154FC1" w:rsidRPr="00E251F3">
        <w:rPr>
          <w:rFonts w:ascii="Arial" w:hAnsi="Arial" w:cs="Arial"/>
        </w:rPr>
        <w:t>: Department of Agriculture.</w:t>
      </w:r>
    </w:p>
    <w:p w14:paraId="7AB42AFA" w14:textId="77777777" w:rsidR="00154FC1" w:rsidRPr="00E251F3" w:rsidRDefault="00154FC1" w:rsidP="00154FC1">
      <w:pPr>
        <w:pStyle w:val="Body"/>
        <w:rPr>
          <w:rFonts w:ascii="Arial" w:hAnsi="Arial" w:cs="Arial"/>
        </w:rPr>
      </w:pPr>
      <w:r w:rsidRPr="00E251F3">
        <w:rPr>
          <w:rFonts w:ascii="Arial" w:hAnsi="Arial" w:cs="Arial"/>
          <w:b/>
          <w:bCs/>
        </w:rPr>
        <w:t>DBP</w:t>
      </w:r>
      <w:r w:rsidRPr="00E251F3">
        <w:rPr>
          <w:rFonts w:ascii="Arial" w:hAnsi="Arial" w:cs="Arial"/>
        </w:rPr>
        <w:t>: Development Bank of the Philippines.</w:t>
      </w:r>
    </w:p>
    <w:p w14:paraId="6CE1AAB5" w14:textId="77777777" w:rsidR="00154FC1" w:rsidRPr="00E251F3" w:rsidRDefault="00154FC1" w:rsidP="00154FC1">
      <w:pPr>
        <w:pStyle w:val="Body"/>
        <w:rPr>
          <w:rFonts w:ascii="Arial" w:hAnsi="Arial" w:cs="Arial"/>
        </w:rPr>
      </w:pPr>
      <w:r w:rsidRPr="00E251F3">
        <w:rPr>
          <w:rFonts w:ascii="Arial" w:hAnsi="Arial" w:cs="Arial"/>
          <w:b/>
          <w:bCs/>
        </w:rPr>
        <w:t>LBP</w:t>
      </w:r>
      <w:r w:rsidRPr="00E251F3">
        <w:rPr>
          <w:rFonts w:ascii="Arial" w:hAnsi="Arial" w:cs="Arial"/>
        </w:rPr>
        <w:t>: Land Bank of the Philippines.</w:t>
      </w:r>
    </w:p>
    <w:p w14:paraId="7CC5107B" w14:textId="77777777" w:rsidR="00154FC1" w:rsidRDefault="00154FC1" w:rsidP="00441B6F">
      <w:pPr>
        <w:pStyle w:val="ReferHead"/>
        <w:spacing w:after="0"/>
        <w:jc w:val="both"/>
        <w:rPr>
          <w:rFonts w:ascii="Arial" w:hAnsi="Arial" w:cs="Arial"/>
          <w:b w:val="0"/>
          <w:caps w:val="0"/>
          <w:sz w:val="20"/>
        </w:rPr>
      </w:pPr>
    </w:p>
    <w:p w14:paraId="79455407" w14:textId="77777777" w:rsidR="00540A02" w:rsidRDefault="00540A02" w:rsidP="00441B6F">
      <w:pPr>
        <w:pStyle w:val="ReferHead"/>
        <w:spacing w:after="0"/>
        <w:jc w:val="both"/>
        <w:rPr>
          <w:rFonts w:ascii="Arial" w:hAnsi="Arial" w:cs="Arial"/>
        </w:rPr>
      </w:pPr>
    </w:p>
    <w:p w14:paraId="1FF906DB"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2F88C8B1" w14:textId="77777777" w:rsidR="00790ADA" w:rsidRPr="00FB3A86" w:rsidRDefault="00790ADA" w:rsidP="00441B6F">
      <w:pPr>
        <w:pStyle w:val="ReferHead"/>
        <w:spacing w:after="0"/>
        <w:jc w:val="both"/>
        <w:rPr>
          <w:rFonts w:ascii="Arial" w:hAnsi="Arial" w:cs="Arial"/>
        </w:rPr>
      </w:pPr>
    </w:p>
    <w:p w14:paraId="6CEBA023" w14:textId="77777777" w:rsidR="001630B8" w:rsidRDefault="001630B8" w:rsidP="001630B8">
      <w:pPr>
        <w:pStyle w:val="Body"/>
        <w:spacing w:after="0"/>
        <w:rPr>
          <w:rFonts w:ascii="Arial" w:hAnsi="Arial" w:cs="Arial"/>
          <w:lang w:val="en-PH"/>
        </w:rPr>
      </w:pPr>
      <w:r w:rsidRPr="001630B8">
        <w:rPr>
          <w:rFonts w:ascii="Arial" w:hAnsi="Arial" w:cs="Arial"/>
          <w:lang w:val="en-PH"/>
        </w:rPr>
        <w:t xml:space="preserve">Abansi, C. L., Duff, B., Lantican, F. A., &amp; Juliano, B. O. (1992). </w:t>
      </w:r>
      <w:r w:rsidRPr="001630B8">
        <w:rPr>
          <w:rFonts w:ascii="Arial" w:hAnsi="Arial" w:cs="Arial"/>
          <w:i/>
          <w:iCs/>
          <w:lang w:val="en-PH"/>
        </w:rPr>
        <w:t>Consumer demand for rice grain quality in selected rural and urban markets in the Philippines.</w:t>
      </w:r>
      <w:r w:rsidRPr="001630B8">
        <w:rPr>
          <w:rFonts w:ascii="Arial" w:hAnsi="Arial" w:cs="Arial"/>
          <w:lang w:val="en-PH"/>
        </w:rPr>
        <w:t xml:space="preserve"> Consumer Demand for Rice Grain Quality: Terminal Report of IDRC Projects National Grain Quality (Asia) and International Grain Quality Economics (Asia), 37–57.</w:t>
      </w:r>
    </w:p>
    <w:p w14:paraId="61DB3728" w14:textId="77777777" w:rsidR="001630B8" w:rsidRPr="001630B8" w:rsidRDefault="001630B8" w:rsidP="001630B8">
      <w:pPr>
        <w:pStyle w:val="Body"/>
        <w:spacing w:after="0"/>
        <w:rPr>
          <w:rFonts w:ascii="Arial" w:hAnsi="Arial" w:cs="Arial"/>
          <w:lang w:val="en-PH"/>
        </w:rPr>
      </w:pPr>
    </w:p>
    <w:p w14:paraId="266B52EE" w14:textId="77777777" w:rsidR="001630B8" w:rsidRPr="001630B8" w:rsidRDefault="001630B8" w:rsidP="001630B8">
      <w:pPr>
        <w:pStyle w:val="Body"/>
        <w:spacing w:after="0"/>
        <w:rPr>
          <w:rFonts w:ascii="Arial" w:hAnsi="Arial" w:cs="Arial"/>
          <w:lang w:val="en-PH"/>
        </w:rPr>
      </w:pPr>
      <w:r w:rsidRPr="001630B8">
        <w:rPr>
          <w:rFonts w:ascii="Arial" w:hAnsi="Arial" w:cs="Arial"/>
          <w:lang w:val="en-PH"/>
        </w:rPr>
        <w:t xml:space="preserve">Arida, I. A. (2009). Problems in rice farming: A Filipino farmers' perspective. </w:t>
      </w:r>
      <w:r w:rsidRPr="001630B8">
        <w:rPr>
          <w:rFonts w:ascii="Arial" w:hAnsi="Arial" w:cs="Arial"/>
          <w:i/>
          <w:iCs/>
          <w:lang w:val="en-PH"/>
        </w:rPr>
        <w:t>Philippine Journal of Crop Science.</w:t>
      </w:r>
    </w:p>
    <w:p w14:paraId="7E5943CE" w14:textId="77777777" w:rsidR="001630B8" w:rsidRDefault="001630B8" w:rsidP="001630B8">
      <w:pPr>
        <w:pStyle w:val="Body"/>
        <w:spacing w:after="0"/>
        <w:rPr>
          <w:rFonts w:ascii="Arial" w:hAnsi="Arial" w:cs="Arial"/>
        </w:rPr>
      </w:pPr>
      <w:r w:rsidRPr="001630B8">
        <w:rPr>
          <w:rFonts w:ascii="Arial" w:hAnsi="Arial" w:cs="Arial"/>
          <w:lang w:val="en-PH"/>
        </w:rPr>
        <w:t xml:space="preserve">Balié, J., Minot, N., &amp; Valera, H. G. (2020). </w:t>
      </w:r>
      <w:r w:rsidRPr="001630B8">
        <w:rPr>
          <w:rFonts w:ascii="Arial" w:hAnsi="Arial" w:cs="Arial"/>
          <w:i/>
          <w:iCs/>
          <w:lang w:val="en-PH"/>
        </w:rPr>
        <w:t>Distributional impact of the rice tariffication policy in the Philippines</w:t>
      </w:r>
      <w:r w:rsidRPr="001630B8">
        <w:rPr>
          <w:rFonts w:ascii="Arial" w:hAnsi="Arial" w:cs="Arial"/>
          <w:lang w:val="en-PH"/>
        </w:rPr>
        <w:t xml:space="preserve"> (IFPRI Discussion Paper No. 1962). International Food Policy Research Institute. </w:t>
      </w:r>
      <w:hyperlink r:id="rId18" w:tgtFrame="_new" w:history="1">
        <w:r w:rsidRPr="001630B8">
          <w:rPr>
            <w:rStyle w:val="Hyperlink"/>
            <w:rFonts w:ascii="Arial" w:hAnsi="Arial" w:cs="Arial"/>
            <w:lang w:val="en-PH"/>
          </w:rPr>
          <w:t>https://doi.org/10.2499/p15738coll2.133994</w:t>
        </w:r>
      </w:hyperlink>
    </w:p>
    <w:p w14:paraId="7412DCCB" w14:textId="77777777" w:rsidR="001630B8" w:rsidRPr="001630B8" w:rsidRDefault="001630B8" w:rsidP="001630B8">
      <w:pPr>
        <w:pStyle w:val="Body"/>
        <w:spacing w:after="0"/>
        <w:rPr>
          <w:rFonts w:ascii="Arial" w:hAnsi="Arial" w:cs="Arial"/>
          <w:lang w:val="en-PH"/>
        </w:rPr>
      </w:pPr>
    </w:p>
    <w:p w14:paraId="418B43C0" w14:textId="77777777" w:rsidR="001630B8" w:rsidRDefault="001630B8" w:rsidP="001630B8">
      <w:pPr>
        <w:pStyle w:val="Body"/>
        <w:spacing w:after="0"/>
        <w:rPr>
          <w:rFonts w:ascii="Arial" w:hAnsi="Arial" w:cs="Arial"/>
          <w:lang w:val="en-PH"/>
        </w:rPr>
      </w:pPr>
      <w:r w:rsidRPr="001630B8">
        <w:rPr>
          <w:rFonts w:ascii="Arial" w:hAnsi="Arial" w:cs="Arial"/>
          <w:lang w:val="en-PH"/>
        </w:rPr>
        <w:t xml:space="preserve">Balié, J., &amp; Valera, H. G. (2020). Domestic and international impacts of the rice trade policy reform in the Philippines. </w:t>
      </w:r>
      <w:r w:rsidRPr="001630B8">
        <w:rPr>
          <w:rFonts w:ascii="Arial" w:hAnsi="Arial" w:cs="Arial"/>
          <w:i/>
          <w:iCs/>
          <w:lang w:val="en-PH"/>
        </w:rPr>
        <w:t>Food Policy, 92</w:t>
      </w:r>
      <w:r w:rsidRPr="001630B8">
        <w:rPr>
          <w:rFonts w:ascii="Arial" w:hAnsi="Arial" w:cs="Arial"/>
          <w:lang w:val="en-PH"/>
        </w:rPr>
        <w:t>, 101876.</w:t>
      </w:r>
    </w:p>
    <w:p w14:paraId="1EE5D918" w14:textId="77777777" w:rsidR="001630B8" w:rsidRPr="001630B8" w:rsidRDefault="001630B8" w:rsidP="001630B8">
      <w:pPr>
        <w:pStyle w:val="Body"/>
        <w:spacing w:after="0"/>
        <w:rPr>
          <w:rFonts w:ascii="Arial" w:hAnsi="Arial" w:cs="Arial"/>
          <w:lang w:val="en-PH"/>
        </w:rPr>
      </w:pPr>
    </w:p>
    <w:p w14:paraId="16B2F7CA" w14:textId="1D9C4F00" w:rsidR="001630B8" w:rsidRDefault="001630B8" w:rsidP="001630B8">
      <w:pPr>
        <w:pStyle w:val="Body"/>
        <w:spacing w:after="0"/>
        <w:rPr>
          <w:rFonts w:ascii="Arial" w:hAnsi="Arial" w:cs="Arial"/>
          <w:lang w:val="en-PH"/>
        </w:rPr>
      </w:pPr>
      <w:r w:rsidRPr="00F14F82">
        <w:rPr>
          <w:rFonts w:ascii="Arial" w:hAnsi="Arial" w:cs="Arial"/>
          <w:lang w:val="en-PH"/>
        </w:rPr>
        <w:lastRenderedPageBreak/>
        <w:t xml:space="preserve">Balié, J., &amp; Valera, H. G. (2020). </w:t>
      </w:r>
      <w:r w:rsidRPr="00F14F82">
        <w:rPr>
          <w:rFonts w:ascii="Arial" w:hAnsi="Arial" w:cs="Arial"/>
          <w:i/>
          <w:iCs/>
          <w:lang w:val="en-PH"/>
        </w:rPr>
        <w:t>Is COVID-19 a threat to the stability of rice price and supply?</w:t>
      </w:r>
      <w:r w:rsidRPr="00F14F82">
        <w:rPr>
          <w:rFonts w:ascii="Arial" w:hAnsi="Arial" w:cs="Arial"/>
          <w:lang w:val="en-PH"/>
        </w:rPr>
        <w:t xml:space="preserve"> [Working paper].</w:t>
      </w:r>
      <w:r w:rsidR="00F14F82" w:rsidRPr="00F14F82">
        <w:t xml:space="preserve"> </w:t>
      </w:r>
      <w:hyperlink r:id="rId19" w:history="1">
        <w:r w:rsidR="00F14F82" w:rsidRPr="00F14F82">
          <w:rPr>
            <w:rStyle w:val="Hyperlink"/>
            <w:rFonts w:ascii="Arial" w:hAnsi="Arial" w:cs="Arial"/>
            <w:lang w:val="en-PH"/>
          </w:rPr>
          <w:t>https://www.irri.org/news-and-events/news/covid19-threat-stability-rice-price-and-supply</w:t>
        </w:r>
      </w:hyperlink>
      <w:r w:rsidR="00F14F82">
        <w:rPr>
          <w:rFonts w:ascii="Arial" w:hAnsi="Arial" w:cs="Arial"/>
          <w:lang w:val="en-PH"/>
        </w:rPr>
        <w:t xml:space="preserve"> </w:t>
      </w:r>
    </w:p>
    <w:p w14:paraId="3B1031FE" w14:textId="77777777" w:rsidR="001630B8" w:rsidRPr="001630B8" w:rsidRDefault="001630B8" w:rsidP="001630B8">
      <w:pPr>
        <w:pStyle w:val="Body"/>
        <w:spacing w:after="0"/>
        <w:rPr>
          <w:rFonts w:ascii="Arial" w:hAnsi="Arial" w:cs="Arial"/>
          <w:lang w:val="en-PH"/>
        </w:rPr>
      </w:pPr>
    </w:p>
    <w:p w14:paraId="6AD8CE75" w14:textId="77777777" w:rsidR="001630B8" w:rsidRDefault="001630B8" w:rsidP="001630B8">
      <w:pPr>
        <w:pStyle w:val="Body"/>
        <w:spacing w:after="0"/>
        <w:rPr>
          <w:rFonts w:ascii="Arial" w:hAnsi="Arial" w:cs="Arial"/>
          <w:lang w:val="en-PH"/>
        </w:rPr>
      </w:pPr>
      <w:r w:rsidRPr="001630B8">
        <w:rPr>
          <w:rFonts w:ascii="Arial" w:hAnsi="Arial" w:cs="Arial"/>
          <w:lang w:val="en-PH"/>
        </w:rPr>
        <w:t xml:space="preserve">Becker, G. S. (1962). Investment in human capital: A theoretical analysis. </w:t>
      </w:r>
      <w:r w:rsidRPr="001630B8">
        <w:rPr>
          <w:rFonts w:ascii="Arial" w:hAnsi="Arial" w:cs="Arial"/>
          <w:i/>
          <w:iCs/>
          <w:lang w:val="en-PH"/>
        </w:rPr>
        <w:t>Journal of Political Economy, 70</w:t>
      </w:r>
      <w:r w:rsidRPr="001630B8">
        <w:rPr>
          <w:rFonts w:ascii="Arial" w:hAnsi="Arial" w:cs="Arial"/>
          <w:lang w:val="en-PH"/>
        </w:rPr>
        <w:t>(5), 9–49.</w:t>
      </w:r>
    </w:p>
    <w:p w14:paraId="22F85952" w14:textId="77777777" w:rsidR="001630B8" w:rsidRPr="001630B8" w:rsidRDefault="001630B8" w:rsidP="001630B8">
      <w:pPr>
        <w:pStyle w:val="Body"/>
        <w:spacing w:after="0"/>
        <w:rPr>
          <w:rFonts w:ascii="Arial" w:hAnsi="Arial" w:cs="Arial"/>
          <w:lang w:val="en-PH"/>
        </w:rPr>
      </w:pPr>
    </w:p>
    <w:p w14:paraId="5A16B6C0" w14:textId="77777777" w:rsidR="001630B8" w:rsidRDefault="001630B8" w:rsidP="001630B8">
      <w:pPr>
        <w:pStyle w:val="Body"/>
        <w:spacing w:after="0"/>
        <w:rPr>
          <w:rFonts w:ascii="Arial" w:hAnsi="Arial" w:cs="Arial"/>
          <w:lang w:val="en-PH"/>
        </w:rPr>
      </w:pPr>
      <w:r w:rsidRPr="001630B8">
        <w:rPr>
          <w:rFonts w:ascii="Arial" w:hAnsi="Arial" w:cs="Arial"/>
          <w:lang w:val="en-PH"/>
        </w:rPr>
        <w:t xml:space="preserve">Chen, L. H., Jatuporn, C., &amp; Narreto, O. M. C. (2011). Price analysis of domestic rice market in the Philippines. </w:t>
      </w:r>
      <w:r w:rsidRPr="001630B8">
        <w:rPr>
          <w:rFonts w:ascii="Arial" w:hAnsi="Arial" w:cs="Arial"/>
          <w:i/>
          <w:iCs/>
          <w:lang w:val="en-PH"/>
        </w:rPr>
        <w:t>Economics Letters, 10</w:t>
      </w:r>
      <w:r w:rsidRPr="001630B8">
        <w:rPr>
          <w:rFonts w:ascii="Arial" w:hAnsi="Arial" w:cs="Arial"/>
          <w:lang w:val="en-PH"/>
        </w:rPr>
        <w:t>(7), 639–646.</w:t>
      </w:r>
    </w:p>
    <w:p w14:paraId="5E912AB1" w14:textId="77777777" w:rsidR="001630B8" w:rsidRPr="001630B8" w:rsidRDefault="001630B8" w:rsidP="001630B8">
      <w:pPr>
        <w:pStyle w:val="Body"/>
        <w:spacing w:after="0"/>
        <w:rPr>
          <w:rFonts w:ascii="Arial" w:hAnsi="Arial" w:cs="Arial"/>
          <w:lang w:val="en-PH"/>
        </w:rPr>
      </w:pPr>
    </w:p>
    <w:p w14:paraId="346DBB31" w14:textId="77777777" w:rsidR="001630B8" w:rsidRDefault="001630B8" w:rsidP="001630B8">
      <w:pPr>
        <w:pStyle w:val="Body"/>
        <w:spacing w:after="0"/>
        <w:rPr>
          <w:rFonts w:ascii="Arial" w:hAnsi="Arial" w:cs="Arial"/>
          <w:lang w:val="en-PH"/>
        </w:rPr>
      </w:pPr>
      <w:r w:rsidRPr="001630B8">
        <w:rPr>
          <w:rFonts w:ascii="Arial" w:hAnsi="Arial" w:cs="Arial"/>
          <w:lang w:val="en-PH"/>
        </w:rPr>
        <w:t xml:space="preserve">Chivenge, P., &amp; Sharma, S. (2019). Precision agriculture in food production: Nutrient management. In </w:t>
      </w:r>
      <w:r w:rsidRPr="001630B8">
        <w:rPr>
          <w:rFonts w:ascii="Arial" w:hAnsi="Arial" w:cs="Arial"/>
          <w:i/>
          <w:iCs/>
          <w:lang w:val="en-PH"/>
        </w:rPr>
        <w:t>International Workshop on ICTs for Precision Agriculture</w:t>
      </w:r>
      <w:r w:rsidRPr="001630B8">
        <w:rPr>
          <w:rFonts w:ascii="Arial" w:hAnsi="Arial" w:cs="Arial"/>
          <w:lang w:val="en-PH"/>
        </w:rPr>
        <w:t xml:space="preserve"> (Vol. 12).</w:t>
      </w:r>
    </w:p>
    <w:p w14:paraId="57A9AD6B" w14:textId="77777777" w:rsidR="001630B8" w:rsidRPr="001630B8" w:rsidRDefault="001630B8" w:rsidP="001630B8">
      <w:pPr>
        <w:pStyle w:val="Body"/>
        <w:spacing w:after="0"/>
        <w:rPr>
          <w:rFonts w:ascii="Arial" w:hAnsi="Arial" w:cs="Arial"/>
          <w:lang w:val="en-PH"/>
        </w:rPr>
      </w:pPr>
    </w:p>
    <w:p w14:paraId="065AE124" w14:textId="77777777" w:rsidR="001630B8" w:rsidRDefault="001630B8" w:rsidP="001630B8">
      <w:pPr>
        <w:pStyle w:val="Body"/>
        <w:spacing w:after="0"/>
        <w:rPr>
          <w:rFonts w:ascii="Arial" w:hAnsi="Arial" w:cs="Arial"/>
          <w:lang w:val="en-PH"/>
        </w:rPr>
      </w:pPr>
      <w:r w:rsidRPr="001630B8">
        <w:rPr>
          <w:rFonts w:ascii="Arial" w:hAnsi="Arial" w:cs="Arial"/>
          <w:lang w:val="en-PH"/>
        </w:rPr>
        <w:t xml:space="preserve">Cororaton, C. B. (2004). </w:t>
      </w:r>
      <w:r w:rsidRPr="001630B8">
        <w:rPr>
          <w:rFonts w:ascii="Arial" w:hAnsi="Arial" w:cs="Arial"/>
          <w:i/>
          <w:iCs/>
          <w:lang w:val="en-PH"/>
        </w:rPr>
        <w:t>Rice reforms and poverty in the Philippines: A CGE analysis</w:t>
      </w:r>
      <w:r w:rsidRPr="001630B8">
        <w:rPr>
          <w:rFonts w:ascii="Arial" w:hAnsi="Arial" w:cs="Arial"/>
          <w:lang w:val="en-PH"/>
        </w:rPr>
        <w:t xml:space="preserve"> (ADBI Research Paper Series No. 57).</w:t>
      </w:r>
    </w:p>
    <w:p w14:paraId="6A018857" w14:textId="77777777" w:rsidR="001630B8" w:rsidRPr="001630B8" w:rsidRDefault="001630B8" w:rsidP="001630B8">
      <w:pPr>
        <w:pStyle w:val="Body"/>
        <w:spacing w:after="0"/>
        <w:rPr>
          <w:rFonts w:ascii="Arial" w:hAnsi="Arial" w:cs="Arial"/>
          <w:lang w:val="en-PH"/>
        </w:rPr>
      </w:pPr>
    </w:p>
    <w:p w14:paraId="677BCC09" w14:textId="77777777" w:rsidR="001630B8" w:rsidRDefault="001630B8" w:rsidP="001630B8">
      <w:pPr>
        <w:pStyle w:val="Body"/>
        <w:spacing w:after="0"/>
        <w:rPr>
          <w:rFonts w:ascii="Arial" w:hAnsi="Arial" w:cs="Arial"/>
          <w:lang w:val="en-PH"/>
        </w:rPr>
      </w:pPr>
      <w:r w:rsidRPr="001630B8">
        <w:rPr>
          <w:rFonts w:ascii="Arial" w:hAnsi="Arial" w:cs="Arial"/>
          <w:lang w:val="en-PH"/>
        </w:rPr>
        <w:t xml:space="preserve">Cororaton, C. B., &amp; Cockburn, J. (2007). Trade reform and poverty—Lessons from the Philippines: A CGE-microsimulation analysis. </w:t>
      </w:r>
      <w:r w:rsidRPr="001630B8">
        <w:rPr>
          <w:rFonts w:ascii="Arial" w:hAnsi="Arial" w:cs="Arial"/>
          <w:i/>
          <w:iCs/>
          <w:lang w:val="en-PH"/>
        </w:rPr>
        <w:t>Journal of Policy Modeling, 29</w:t>
      </w:r>
      <w:r w:rsidRPr="001630B8">
        <w:rPr>
          <w:rFonts w:ascii="Arial" w:hAnsi="Arial" w:cs="Arial"/>
          <w:lang w:val="en-PH"/>
        </w:rPr>
        <w:t>(1), 141–163.</w:t>
      </w:r>
    </w:p>
    <w:p w14:paraId="216B53B9" w14:textId="77777777" w:rsidR="001630B8" w:rsidRPr="001630B8" w:rsidRDefault="001630B8" w:rsidP="001630B8">
      <w:pPr>
        <w:pStyle w:val="Body"/>
        <w:spacing w:after="0"/>
        <w:rPr>
          <w:rFonts w:ascii="Arial" w:hAnsi="Arial" w:cs="Arial"/>
          <w:lang w:val="en-PH"/>
        </w:rPr>
      </w:pPr>
    </w:p>
    <w:p w14:paraId="134F6AAF" w14:textId="2D77AFDB" w:rsidR="001630B8" w:rsidRPr="001630B8" w:rsidRDefault="001630B8" w:rsidP="001630B8">
      <w:pPr>
        <w:pStyle w:val="Body"/>
        <w:spacing w:after="0"/>
        <w:rPr>
          <w:rFonts w:ascii="Arial" w:hAnsi="Arial" w:cs="Arial"/>
          <w:lang w:val="en-PH"/>
        </w:rPr>
      </w:pPr>
    </w:p>
    <w:p w14:paraId="68BC8740" w14:textId="77777777" w:rsidR="001630B8" w:rsidRPr="001630B8" w:rsidRDefault="001630B8" w:rsidP="001630B8">
      <w:pPr>
        <w:pStyle w:val="Body"/>
        <w:spacing w:after="0"/>
        <w:rPr>
          <w:rFonts w:ascii="Arial" w:hAnsi="Arial" w:cs="Arial"/>
          <w:lang w:val="en-PH"/>
        </w:rPr>
      </w:pPr>
      <w:r w:rsidRPr="001630B8">
        <w:rPr>
          <w:rFonts w:ascii="Arial" w:hAnsi="Arial" w:cs="Arial"/>
          <w:lang w:val="en-PH"/>
        </w:rPr>
        <w:t xml:space="preserve">Cuevas, R. P., Pede, V. O., McKinley, J., Velarde, O., &amp; Demont, M. (2016). Rice grain quality and consumer preferences: A case study of two rural towns in the Philippines. </w:t>
      </w:r>
      <w:r w:rsidRPr="001630B8">
        <w:rPr>
          <w:rFonts w:ascii="Arial" w:hAnsi="Arial" w:cs="Arial"/>
          <w:i/>
          <w:iCs/>
          <w:lang w:val="en-PH"/>
        </w:rPr>
        <w:t>PLOS One, 11</w:t>
      </w:r>
      <w:r w:rsidRPr="001630B8">
        <w:rPr>
          <w:rFonts w:ascii="Arial" w:hAnsi="Arial" w:cs="Arial"/>
          <w:lang w:val="en-PH"/>
        </w:rPr>
        <w:t>(3), e0150345.</w:t>
      </w:r>
    </w:p>
    <w:p w14:paraId="239D8DA0" w14:textId="6A36A242" w:rsidR="001630B8" w:rsidRDefault="001630B8" w:rsidP="001630B8">
      <w:pPr>
        <w:pStyle w:val="Body"/>
        <w:spacing w:after="0"/>
        <w:rPr>
          <w:rFonts w:ascii="Arial" w:hAnsi="Arial" w:cs="Arial"/>
          <w:lang w:val="en-PH"/>
        </w:rPr>
      </w:pPr>
      <w:r w:rsidRPr="001630B8">
        <w:rPr>
          <w:rFonts w:ascii="Arial" w:hAnsi="Arial" w:cs="Arial"/>
          <w:lang w:val="en-PH"/>
        </w:rPr>
        <w:t xml:space="preserve">Dalwe, R. (2006). </w:t>
      </w:r>
    </w:p>
    <w:p w14:paraId="62BC3B2A" w14:textId="77777777" w:rsidR="001630B8" w:rsidRPr="001630B8" w:rsidRDefault="001630B8" w:rsidP="001630B8">
      <w:pPr>
        <w:pStyle w:val="Body"/>
        <w:spacing w:after="0"/>
        <w:rPr>
          <w:rFonts w:ascii="Arial" w:hAnsi="Arial" w:cs="Arial"/>
          <w:lang w:val="en-PH"/>
        </w:rPr>
      </w:pPr>
    </w:p>
    <w:p w14:paraId="6E4EF1C3" w14:textId="6BA876D6" w:rsidR="001630B8" w:rsidRDefault="001630B8" w:rsidP="001630B8">
      <w:pPr>
        <w:pStyle w:val="Body"/>
        <w:spacing w:after="0"/>
        <w:rPr>
          <w:rFonts w:ascii="Arial" w:hAnsi="Arial" w:cs="Arial"/>
          <w:lang w:val="en-PH"/>
        </w:rPr>
      </w:pPr>
      <w:r w:rsidRPr="001630B8">
        <w:rPr>
          <w:rFonts w:ascii="Arial" w:hAnsi="Arial" w:cs="Arial"/>
          <w:lang w:val="en-PH"/>
        </w:rPr>
        <w:t xml:space="preserve">Danso-Abbeam, G., &amp; Baidoo, F. (2014). Determinants of consumer preference for local rice in Tamale Metropolis, Ghana. </w:t>
      </w:r>
    </w:p>
    <w:p w14:paraId="18D846ED" w14:textId="77777777" w:rsidR="001630B8" w:rsidRPr="001630B8" w:rsidRDefault="001630B8" w:rsidP="001630B8">
      <w:pPr>
        <w:pStyle w:val="Body"/>
        <w:spacing w:after="0"/>
        <w:rPr>
          <w:rFonts w:ascii="Arial" w:hAnsi="Arial" w:cs="Arial"/>
          <w:lang w:val="en-PH"/>
        </w:rPr>
      </w:pPr>
    </w:p>
    <w:p w14:paraId="659DC058" w14:textId="77777777" w:rsidR="001630B8" w:rsidRDefault="001630B8" w:rsidP="001630B8">
      <w:pPr>
        <w:pStyle w:val="Body"/>
        <w:spacing w:after="0"/>
        <w:rPr>
          <w:rFonts w:ascii="Arial" w:hAnsi="Arial" w:cs="Arial"/>
          <w:lang w:val="en-PH"/>
        </w:rPr>
      </w:pPr>
      <w:r w:rsidRPr="001630B8">
        <w:rPr>
          <w:rFonts w:ascii="Arial" w:hAnsi="Arial" w:cs="Arial"/>
          <w:lang w:val="en-PH"/>
        </w:rPr>
        <w:t xml:space="preserve">David, C. C., &amp; Balisacan, A. M. (1995). </w:t>
      </w:r>
      <w:r w:rsidRPr="001630B8">
        <w:rPr>
          <w:rFonts w:ascii="Arial" w:hAnsi="Arial" w:cs="Arial"/>
          <w:i/>
          <w:iCs/>
          <w:lang w:val="en-PH"/>
        </w:rPr>
        <w:t>Philippine rice supply demand: Prospects and policy implications</w:t>
      </w:r>
      <w:r w:rsidRPr="001630B8">
        <w:rPr>
          <w:rFonts w:ascii="Arial" w:hAnsi="Arial" w:cs="Arial"/>
          <w:lang w:val="en-PH"/>
        </w:rPr>
        <w:t xml:space="preserve"> (PIDS Discussion Paper Series No. 1995-28).</w:t>
      </w:r>
    </w:p>
    <w:p w14:paraId="0D1115C6" w14:textId="77777777" w:rsidR="001630B8" w:rsidRPr="001630B8" w:rsidRDefault="001630B8" w:rsidP="001630B8">
      <w:pPr>
        <w:pStyle w:val="Body"/>
        <w:spacing w:after="0"/>
        <w:rPr>
          <w:rFonts w:ascii="Arial" w:hAnsi="Arial" w:cs="Arial"/>
          <w:lang w:val="en-PH"/>
        </w:rPr>
      </w:pPr>
    </w:p>
    <w:p w14:paraId="6FE8EF92" w14:textId="77777777" w:rsidR="001630B8" w:rsidRDefault="001630B8" w:rsidP="001630B8">
      <w:pPr>
        <w:pStyle w:val="Body"/>
        <w:spacing w:after="0"/>
        <w:rPr>
          <w:rFonts w:ascii="Arial" w:hAnsi="Arial" w:cs="Arial"/>
        </w:rPr>
      </w:pPr>
      <w:r w:rsidRPr="001630B8">
        <w:rPr>
          <w:rFonts w:ascii="Arial" w:hAnsi="Arial" w:cs="Arial"/>
          <w:lang w:val="en-PH"/>
        </w:rPr>
        <w:t xml:space="preserve">Department of Agriculture. (n.d.). </w:t>
      </w:r>
      <w:r w:rsidRPr="001630B8">
        <w:rPr>
          <w:rFonts w:ascii="Arial" w:hAnsi="Arial" w:cs="Arial"/>
          <w:i/>
          <w:iCs/>
          <w:lang w:val="en-PH"/>
        </w:rPr>
        <w:t>Understanding the Rice Tariffication Law (RTL) or RA 11203.</w:t>
      </w:r>
      <w:r w:rsidRPr="001630B8">
        <w:rPr>
          <w:rFonts w:ascii="Arial" w:hAnsi="Arial" w:cs="Arial"/>
          <w:lang w:val="en-PH"/>
        </w:rPr>
        <w:t xml:space="preserve"> </w:t>
      </w:r>
      <w:hyperlink r:id="rId20" w:tgtFrame="_new" w:history="1">
        <w:r w:rsidRPr="001630B8">
          <w:rPr>
            <w:rStyle w:val="Hyperlink"/>
            <w:rFonts w:ascii="Arial" w:hAnsi="Arial" w:cs="Arial"/>
            <w:lang w:val="en-PH"/>
          </w:rPr>
          <w:t>https://www.da.gov.ph/understanding-the-rice-tariffication-law-rtl-or-ra-11203-and-its-ramifications/</w:t>
        </w:r>
      </w:hyperlink>
    </w:p>
    <w:p w14:paraId="4E3A7F4E" w14:textId="77777777" w:rsidR="001630B8" w:rsidRPr="001630B8" w:rsidRDefault="001630B8" w:rsidP="001630B8">
      <w:pPr>
        <w:pStyle w:val="Body"/>
        <w:spacing w:after="0"/>
        <w:rPr>
          <w:rFonts w:ascii="Arial" w:hAnsi="Arial" w:cs="Arial"/>
          <w:lang w:val="en-PH"/>
        </w:rPr>
      </w:pPr>
    </w:p>
    <w:p w14:paraId="563B9AB1" w14:textId="77777777" w:rsidR="001630B8" w:rsidRDefault="001630B8" w:rsidP="001630B8">
      <w:pPr>
        <w:pStyle w:val="Body"/>
        <w:spacing w:after="0"/>
        <w:rPr>
          <w:rFonts w:ascii="Arial" w:hAnsi="Arial" w:cs="Arial"/>
        </w:rPr>
      </w:pPr>
      <w:r w:rsidRPr="001630B8">
        <w:rPr>
          <w:rFonts w:ascii="Arial" w:hAnsi="Arial" w:cs="Arial"/>
          <w:lang w:val="en-PH"/>
        </w:rPr>
        <w:t xml:space="preserve">Department of Agriculture. (2018–2021). </w:t>
      </w:r>
      <w:r w:rsidRPr="001630B8">
        <w:rPr>
          <w:rFonts w:ascii="Arial" w:hAnsi="Arial" w:cs="Arial"/>
          <w:i/>
          <w:iCs/>
          <w:lang w:val="en-PH"/>
        </w:rPr>
        <w:t>Price Watch Bulletins.</w:t>
      </w:r>
      <w:r w:rsidRPr="001630B8">
        <w:rPr>
          <w:rFonts w:ascii="Arial" w:hAnsi="Arial" w:cs="Arial"/>
          <w:lang w:val="en-PH"/>
        </w:rPr>
        <w:t xml:space="preserve"> </w:t>
      </w:r>
      <w:hyperlink r:id="rId21" w:tgtFrame="_new" w:history="1">
        <w:r w:rsidRPr="001630B8">
          <w:rPr>
            <w:rStyle w:val="Hyperlink"/>
            <w:rFonts w:ascii="Arial" w:hAnsi="Arial" w:cs="Arial"/>
            <w:lang w:val="en-PH"/>
          </w:rPr>
          <w:t>https://www.da.gov.ph</w:t>
        </w:r>
      </w:hyperlink>
    </w:p>
    <w:p w14:paraId="756F3A67" w14:textId="77777777" w:rsidR="001630B8" w:rsidRPr="001630B8" w:rsidRDefault="001630B8" w:rsidP="001630B8">
      <w:pPr>
        <w:pStyle w:val="Body"/>
        <w:spacing w:after="0"/>
        <w:rPr>
          <w:rFonts w:ascii="Arial" w:hAnsi="Arial" w:cs="Arial"/>
          <w:lang w:val="en-PH"/>
        </w:rPr>
      </w:pPr>
    </w:p>
    <w:p w14:paraId="47AA4C72" w14:textId="77777777" w:rsidR="001630B8" w:rsidRDefault="001630B8" w:rsidP="001630B8">
      <w:pPr>
        <w:pStyle w:val="Body"/>
        <w:spacing w:after="0"/>
        <w:rPr>
          <w:rFonts w:ascii="Arial" w:hAnsi="Arial" w:cs="Arial"/>
        </w:rPr>
      </w:pPr>
      <w:r w:rsidRPr="001630B8">
        <w:rPr>
          <w:rFonts w:ascii="Arial" w:hAnsi="Arial" w:cs="Arial"/>
          <w:lang w:val="en-PH"/>
        </w:rPr>
        <w:t xml:space="preserve">Department of Finance. (2019). </w:t>
      </w:r>
      <w:r w:rsidRPr="001630B8">
        <w:rPr>
          <w:rFonts w:ascii="Arial" w:hAnsi="Arial" w:cs="Arial"/>
          <w:i/>
          <w:iCs/>
          <w:lang w:val="en-PH"/>
        </w:rPr>
        <w:t>Rice tariffication: A gamechanger in 2019.</w:t>
      </w:r>
      <w:r w:rsidRPr="001630B8">
        <w:rPr>
          <w:rFonts w:ascii="Arial" w:hAnsi="Arial" w:cs="Arial"/>
          <w:lang w:val="en-PH"/>
        </w:rPr>
        <w:t xml:space="preserve"> </w:t>
      </w:r>
      <w:hyperlink r:id="rId22" w:tgtFrame="_new" w:history="1">
        <w:r w:rsidRPr="001630B8">
          <w:rPr>
            <w:rStyle w:val="Hyperlink"/>
            <w:rFonts w:ascii="Arial" w:hAnsi="Arial" w:cs="Arial"/>
            <w:lang w:val="en-PH"/>
          </w:rPr>
          <w:t>https://www.dof.gov.ph/rice-tariffication-a-gamechanger-in-2019/</w:t>
        </w:r>
      </w:hyperlink>
    </w:p>
    <w:p w14:paraId="443C2C8B" w14:textId="77777777" w:rsidR="001630B8" w:rsidRPr="001630B8" w:rsidRDefault="001630B8" w:rsidP="001630B8">
      <w:pPr>
        <w:pStyle w:val="Body"/>
        <w:spacing w:after="0"/>
        <w:rPr>
          <w:rFonts w:ascii="Arial" w:hAnsi="Arial" w:cs="Arial"/>
          <w:lang w:val="en-PH"/>
        </w:rPr>
      </w:pPr>
    </w:p>
    <w:p w14:paraId="6B438A94" w14:textId="77777777" w:rsidR="001630B8" w:rsidRDefault="001630B8" w:rsidP="001630B8">
      <w:pPr>
        <w:pStyle w:val="Body"/>
        <w:spacing w:after="0"/>
        <w:rPr>
          <w:rFonts w:ascii="Arial" w:hAnsi="Arial" w:cs="Arial"/>
          <w:lang w:val="en-PH"/>
        </w:rPr>
      </w:pPr>
      <w:r w:rsidRPr="001630B8">
        <w:rPr>
          <w:rFonts w:ascii="Arial" w:hAnsi="Arial" w:cs="Arial"/>
          <w:lang w:val="en-PH"/>
        </w:rPr>
        <w:t xml:space="preserve">Dizon, R. L. (2021). Tax incidence of Philippine tax reform: Poverty and distributional effect. </w:t>
      </w:r>
      <w:r w:rsidRPr="001630B8">
        <w:rPr>
          <w:rFonts w:ascii="Arial" w:hAnsi="Arial" w:cs="Arial"/>
          <w:i/>
          <w:iCs/>
          <w:lang w:val="en-PH"/>
        </w:rPr>
        <w:t>Journal of Asian Finance, Economics, and Business, 8</w:t>
      </w:r>
      <w:r w:rsidRPr="001630B8">
        <w:rPr>
          <w:rFonts w:ascii="Arial" w:hAnsi="Arial" w:cs="Arial"/>
          <w:lang w:val="en-PH"/>
        </w:rPr>
        <w:t>(2), 281–288.</w:t>
      </w:r>
    </w:p>
    <w:p w14:paraId="47B9AFE0" w14:textId="77777777" w:rsidR="001630B8" w:rsidRPr="001630B8" w:rsidRDefault="001630B8" w:rsidP="001630B8">
      <w:pPr>
        <w:pStyle w:val="Body"/>
        <w:spacing w:after="0"/>
        <w:rPr>
          <w:rFonts w:ascii="Arial" w:hAnsi="Arial" w:cs="Arial"/>
          <w:lang w:val="en-PH"/>
        </w:rPr>
      </w:pPr>
    </w:p>
    <w:p w14:paraId="19282F74" w14:textId="77777777" w:rsidR="001630B8" w:rsidRDefault="001630B8" w:rsidP="001630B8">
      <w:pPr>
        <w:pStyle w:val="Body"/>
        <w:spacing w:after="0"/>
        <w:rPr>
          <w:rFonts w:ascii="Arial" w:hAnsi="Arial" w:cs="Arial"/>
          <w:lang w:val="en-PH"/>
        </w:rPr>
      </w:pPr>
      <w:r w:rsidRPr="001630B8">
        <w:rPr>
          <w:rFonts w:ascii="Arial" w:hAnsi="Arial" w:cs="Arial"/>
          <w:lang w:val="en-PH"/>
        </w:rPr>
        <w:t xml:space="preserve">Evangelista, J., Estrella, N. M., &amp; Suin, K. A. (2022). Trade liberalization: Reaping its effects on the agricultural performance of the Philippines. </w:t>
      </w:r>
      <w:r w:rsidRPr="001630B8">
        <w:rPr>
          <w:rFonts w:ascii="Arial" w:hAnsi="Arial" w:cs="Arial"/>
          <w:i/>
          <w:iCs/>
          <w:lang w:val="en-PH"/>
        </w:rPr>
        <w:t>Journal of Economics, Finance and Accounting Studies, 4</w:t>
      </w:r>
      <w:r w:rsidRPr="001630B8">
        <w:rPr>
          <w:rFonts w:ascii="Arial" w:hAnsi="Arial" w:cs="Arial"/>
          <w:lang w:val="en-PH"/>
        </w:rPr>
        <w:t>(1), 131–149.</w:t>
      </w:r>
    </w:p>
    <w:p w14:paraId="55364825" w14:textId="77777777" w:rsidR="001630B8" w:rsidRPr="001630B8" w:rsidRDefault="001630B8" w:rsidP="001630B8">
      <w:pPr>
        <w:pStyle w:val="Body"/>
        <w:spacing w:after="0"/>
        <w:rPr>
          <w:rFonts w:ascii="Arial" w:hAnsi="Arial" w:cs="Arial"/>
          <w:lang w:val="en-PH"/>
        </w:rPr>
      </w:pPr>
    </w:p>
    <w:p w14:paraId="35B126F8" w14:textId="77777777" w:rsidR="001630B8" w:rsidRDefault="001630B8" w:rsidP="001630B8">
      <w:pPr>
        <w:pStyle w:val="Body"/>
        <w:spacing w:after="0"/>
        <w:rPr>
          <w:rFonts w:ascii="Arial" w:hAnsi="Arial" w:cs="Arial"/>
          <w:lang w:val="en-PH"/>
        </w:rPr>
      </w:pPr>
      <w:r w:rsidRPr="001630B8">
        <w:rPr>
          <w:rFonts w:ascii="Arial" w:hAnsi="Arial" w:cs="Arial"/>
          <w:lang w:val="en-PH"/>
        </w:rPr>
        <w:t xml:space="preserve">Fernandez, D. (2014). Threats and challenges to agriculture toward sustainable rice farming. </w:t>
      </w:r>
      <w:r w:rsidRPr="001630B8">
        <w:rPr>
          <w:rFonts w:ascii="Arial" w:hAnsi="Arial" w:cs="Arial"/>
          <w:i/>
          <w:iCs/>
          <w:lang w:val="en-PH"/>
        </w:rPr>
        <w:t>Asia Pacific Journal of Education, Arts and Sciences, 1</w:t>
      </w:r>
      <w:r w:rsidRPr="001630B8">
        <w:rPr>
          <w:rFonts w:ascii="Arial" w:hAnsi="Arial" w:cs="Arial"/>
          <w:lang w:val="en-PH"/>
        </w:rPr>
        <w:t>(1).</w:t>
      </w:r>
    </w:p>
    <w:p w14:paraId="608D5DAD" w14:textId="77777777" w:rsidR="001630B8" w:rsidRPr="001630B8" w:rsidRDefault="001630B8" w:rsidP="001630B8">
      <w:pPr>
        <w:pStyle w:val="Body"/>
        <w:spacing w:after="0"/>
        <w:rPr>
          <w:rFonts w:ascii="Arial" w:hAnsi="Arial" w:cs="Arial"/>
          <w:lang w:val="en-PH"/>
        </w:rPr>
      </w:pPr>
    </w:p>
    <w:p w14:paraId="6830C9EA" w14:textId="77777777" w:rsidR="001630B8" w:rsidRPr="001630B8" w:rsidRDefault="001630B8" w:rsidP="001630B8">
      <w:pPr>
        <w:pStyle w:val="Body"/>
        <w:spacing w:after="0"/>
        <w:rPr>
          <w:rFonts w:ascii="Arial" w:hAnsi="Arial" w:cs="Arial"/>
          <w:lang w:val="en-PH"/>
        </w:rPr>
      </w:pPr>
      <w:r w:rsidRPr="001630B8">
        <w:rPr>
          <w:rFonts w:ascii="Arial" w:hAnsi="Arial" w:cs="Arial"/>
          <w:lang w:val="en-PH"/>
        </w:rPr>
        <w:t xml:space="preserve">Galawat, F., &amp; Yabe, M. (2010). Assessing consumer’s preference for local rice in Brunei: An application of choice model. </w:t>
      </w:r>
      <w:r w:rsidRPr="001630B8">
        <w:rPr>
          <w:rFonts w:ascii="Arial" w:hAnsi="Arial" w:cs="Arial"/>
          <w:i/>
          <w:iCs/>
          <w:lang w:val="en-PH"/>
        </w:rPr>
        <w:t>J. ISSAAS, 16</w:t>
      </w:r>
      <w:r w:rsidRPr="001630B8">
        <w:rPr>
          <w:rFonts w:ascii="Arial" w:hAnsi="Arial" w:cs="Arial"/>
          <w:lang w:val="en-PH"/>
        </w:rPr>
        <w:t>(2), 104–115.</w:t>
      </w:r>
    </w:p>
    <w:p w14:paraId="32BEFD56" w14:textId="77777777" w:rsidR="001630B8" w:rsidRDefault="001630B8" w:rsidP="001630B8">
      <w:pPr>
        <w:pStyle w:val="Body"/>
        <w:spacing w:after="0"/>
        <w:rPr>
          <w:rFonts w:ascii="Arial" w:hAnsi="Arial" w:cs="Arial"/>
          <w:lang w:val="en-PH"/>
        </w:rPr>
      </w:pPr>
      <w:r w:rsidRPr="001630B8">
        <w:rPr>
          <w:rFonts w:ascii="Arial" w:hAnsi="Arial" w:cs="Arial"/>
          <w:lang w:val="en-PH"/>
        </w:rPr>
        <w:t xml:space="preserve">Gregorio, G. B., &amp; Ancog, R. C. (2020). Assessing the impact of COVID-19 on agricultural production in Southeast Asia. </w:t>
      </w:r>
      <w:r w:rsidRPr="001630B8">
        <w:rPr>
          <w:rFonts w:ascii="Arial" w:hAnsi="Arial" w:cs="Arial"/>
          <w:i/>
          <w:iCs/>
          <w:lang w:val="en-PH"/>
        </w:rPr>
        <w:t>Asian Journal of Agriculture and Development, 17</w:t>
      </w:r>
      <w:r w:rsidRPr="001630B8">
        <w:rPr>
          <w:rFonts w:ascii="Arial" w:hAnsi="Arial" w:cs="Arial"/>
          <w:lang w:val="en-PH"/>
        </w:rPr>
        <w:t>(2), 1–13.</w:t>
      </w:r>
    </w:p>
    <w:p w14:paraId="4DA6524D" w14:textId="77777777" w:rsidR="001630B8" w:rsidRPr="001630B8" w:rsidRDefault="001630B8" w:rsidP="001630B8">
      <w:pPr>
        <w:pStyle w:val="Body"/>
        <w:spacing w:after="0"/>
        <w:rPr>
          <w:rFonts w:ascii="Arial" w:hAnsi="Arial" w:cs="Arial"/>
          <w:lang w:val="en-PH"/>
        </w:rPr>
      </w:pPr>
    </w:p>
    <w:p w14:paraId="64099239" w14:textId="77777777" w:rsidR="001630B8" w:rsidRDefault="001630B8" w:rsidP="001630B8">
      <w:pPr>
        <w:pStyle w:val="Body"/>
        <w:spacing w:after="0"/>
        <w:rPr>
          <w:rFonts w:ascii="Arial" w:hAnsi="Arial" w:cs="Arial"/>
          <w:lang w:val="en-PH"/>
        </w:rPr>
      </w:pPr>
      <w:r w:rsidRPr="001630B8">
        <w:rPr>
          <w:rFonts w:ascii="Arial" w:hAnsi="Arial" w:cs="Arial"/>
          <w:lang w:val="en-PH"/>
        </w:rPr>
        <w:t xml:space="preserve">Kajisa, K., &amp; Akiyama, T. (2005). The evolution of rice price policies over four decades: Thailand, Indonesia, and the Philippines. </w:t>
      </w:r>
      <w:r w:rsidRPr="001630B8">
        <w:rPr>
          <w:rFonts w:ascii="Arial" w:hAnsi="Arial" w:cs="Arial"/>
          <w:i/>
          <w:iCs/>
          <w:lang w:val="en-PH"/>
        </w:rPr>
        <w:t>Oxford Development Studies, 33</w:t>
      </w:r>
      <w:r w:rsidRPr="001630B8">
        <w:rPr>
          <w:rFonts w:ascii="Arial" w:hAnsi="Arial" w:cs="Arial"/>
          <w:lang w:val="en-PH"/>
        </w:rPr>
        <w:t>(2), 305–329.</w:t>
      </w:r>
    </w:p>
    <w:p w14:paraId="030268EB" w14:textId="77777777" w:rsidR="001630B8" w:rsidRPr="001630B8" w:rsidRDefault="001630B8" w:rsidP="001630B8">
      <w:pPr>
        <w:pStyle w:val="Body"/>
        <w:spacing w:after="0"/>
        <w:rPr>
          <w:rFonts w:ascii="Arial" w:hAnsi="Arial" w:cs="Arial"/>
          <w:lang w:val="en-PH"/>
        </w:rPr>
      </w:pPr>
    </w:p>
    <w:p w14:paraId="5E3B8792" w14:textId="77777777" w:rsidR="001630B8" w:rsidRDefault="001630B8" w:rsidP="001630B8">
      <w:pPr>
        <w:pStyle w:val="Body"/>
        <w:spacing w:after="0"/>
        <w:rPr>
          <w:rFonts w:ascii="Arial" w:hAnsi="Arial" w:cs="Arial"/>
          <w:lang w:val="en-PH"/>
        </w:rPr>
      </w:pPr>
      <w:r w:rsidRPr="001630B8">
        <w:rPr>
          <w:rFonts w:ascii="Arial" w:hAnsi="Arial" w:cs="Arial"/>
          <w:lang w:val="en-PH"/>
        </w:rPr>
        <w:lastRenderedPageBreak/>
        <w:t xml:space="preserve">Kareem, B., Awopetu, O. O., Oke, P. K., Akinnuli, B. O., Ayodeji, S. P., &amp; Mogaji, P. B. (2010). Modelling demand and supply of cocoa produce in Nigeria using regression. In </w:t>
      </w:r>
      <w:r w:rsidRPr="001630B8">
        <w:rPr>
          <w:rFonts w:ascii="Arial" w:hAnsi="Arial" w:cs="Arial"/>
          <w:i/>
          <w:iCs/>
          <w:lang w:val="en-PH"/>
        </w:rPr>
        <w:t>Proceedings of the World Congress on Engineering</w:t>
      </w:r>
      <w:r w:rsidRPr="001630B8">
        <w:rPr>
          <w:rFonts w:ascii="Arial" w:hAnsi="Arial" w:cs="Arial"/>
          <w:lang w:val="en-PH"/>
        </w:rPr>
        <w:t xml:space="preserve"> (Vol. 3).</w:t>
      </w:r>
    </w:p>
    <w:p w14:paraId="538CF10C" w14:textId="77777777" w:rsidR="001630B8" w:rsidRPr="001630B8" w:rsidRDefault="001630B8" w:rsidP="001630B8">
      <w:pPr>
        <w:pStyle w:val="Body"/>
        <w:spacing w:after="0"/>
        <w:rPr>
          <w:rFonts w:ascii="Arial" w:hAnsi="Arial" w:cs="Arial"/>
          <w:lang w:val="en-PH"/>
        </w:rPr>
      </w:pPr>
    </w:p>
    <w:p w14:paraId="2CCCD756" w14:textId="12660FE4" w:rsidR="001630B8" w:rsidRDefault="001630B8" w:rsidP="001630B8">
      <w:pPr>
        <w:pStyle w:val="Body"/>
        <w:spacing w:after="0"/>
        <w:rPr>
          <w:rFonts w:ascii="Arial" w:hAnsi="Arial" w:cs="Arial"/>
          <w:lang w:val="en-PH"/>
        </w:rPr>
      </w:pPr>
      <w:r w:rsidRPr="001630B8">
        <w:rPr>
          <w:rFonts w:ascii="Arial" w:hAnsi="Arial" w:cs="Arial"/>
          <w:lang w:val="en-PH"/>
        </w:rPr>
        <w:t xml:space="preserve">Kundu, A. (2020). Impact of trade liberalisation on formal–informal interlinkages in India: Does sectoral labour mobility matter? </w:t>
      </w:r>
      <w:r w:rsidRPr="001630B8">
        <w:rPr>
          <w:rFonts w:ascii="Arial" w:hAnsi="Arial" w:cs="Arial"/>
          <w:i/>
          <w:iCs/>
          <w:lang w:val="en-PH"/>
        </w:rPr>
        <w:t>Journal of Economic Structures, 9</w:t>
      </w:r>
      <w:r w:rsidRPr="001630B8">
        <w:rPr>
          <w:rFonts w:ascii="Arial" w:hAnsi="Arial" w:cs="Arial"/>
          <w:lang w:val="en-PH"/>
        </w:rPr>
        <w:t>(1), 1–29.</w:t>
      </w:r>
    </w:p>
    <w:p w14:paraId="6DE5DC62" w14:textId="77777777" w:rsidR="001630B8" w:rsidRPr="001630B8" w:rsidRDefault="001630B8" w:rsidP="001630B8">
      <w:pPr>
        <w:pStyle w:val="Body"/>
        <w:spacing w:after="0"/>
        <w:rPr>
          <w:rFonts w:ascii="Arial" w:hAnsi="Arial" w:cs="Arial"/>
          <w:lang w:val="en-PH"/>
        </w:rPr>
      </w:pPr>
    </w:p>
    <w:p w14:paraId="496DDC47" w14:textId="77777777" w:rsidR="001630B8" w:rsidRDefault="001630B8" w:rsidP="001630B8">
      <w:pPr>
        <w:pStyle w:val="Body"/>
        <w:spacing w:after="0"/>
        <w:rPr>
          <w:rFonts w:ascii="Arial" w:hAnsi="Arial" w:cs="Arial"/>
          <w:i/>
          <w:iCs/>
          <w:lang w:val="en-PH"/>
        </w:rPr>
      </w:pPr>
      <w:r w:rsidRPr="001630B8">
        <w:rPr>
          <w:rFonts w:ascii="Arial" w:hAnsi="Arial" w:cs="Arial"/>
          <w:lang w:val="en-PH"/>
        </w:rPr>
        <w:t xml:space="preserve">Mangabat, M. C. (1998). </w:t>
      </w:r>
      <w:r w:rsidRPr="001630B8">
        <w:rPr>
          <w:rFonts w:ascii="Arial" w:hAnsi="Arial" w:cs="Arial"/>
          <w:i/>
          <w:iCs/>
          <w:lang w:val="en-PH"/>
        </w:rPr>
        <w:t>Effects of trade liberalization on agriculture in the Philippines: Institutional and structural aspects.</w:t>
      </w:r>
    </w:p>
    <w:p w14:paraId="2E5C9F24" w14:textId="77777777" w:rsidR="001630B8" w:rsidRPr="001630B8" w:rsidRDefault="001630B8" w:rsidP="001630B8">
      <w:pPr>
        <w:pStyle w:val="Body"/>
        <w:spacing w:after="0"/>
        <w:rPr>
          <w:rFonts w:ascii="Arial" w:hAnsi="Arial" w:cs="Arial"/>
          <w:lang w:val="en-PH"/>
        </w:rPr>
      </w:pPr>
    </w:p>
    <w:p w14:paraId="16A86810" w14:textId="77777777" w:rsidR="001630B8" w:rsidRDefault="001630B8" w:rsidP="001630B8">
      <w:pPr>
        <w:pStyle w:val="Body"/>
        <w:spacing w:after="0"/>
        <w:rPr>
          <w:rFonts w:ascii="Arial" w:hAnsi="Arial" w:cs="Arial"/>
          <w:lang w:val="en-PH"/>
        </w:rPr>
      </w:pPr>
      <w:r w:rsidRPr="001630B8">
        <w:rPr>
          <w:rFonts w:ascii="Arial" w:hAnsi="Arial" w:cs="Arial"/>
          <w:lang w:val="en-PH"/>
        </w:rPr>
        <w:t xml:space="preserve">Meller, P. (1992). Review of the Chilean trade liberalization and export expansion process (1974–90). </w:t>
      </w:r>
      <w:r w:rsidRPr="001630B8">
        <w:rPr>
          <w:rFonts w:ascii="Arial" w:hAnsi="Arial" w:cs="Arial"/>
          <w:i/>
          <w:iCs/>
          <w:lang w:val="en-PH"/>
        </w:rPr>
        <w:t>The Bangladesh Development Studies,</w:t>
      </w:r>
      <w:r w:rsidRPr="001630B8">
        <w:rPr>
          <w:rFonts w:ascii="Arial" w:hAnsi="Arial" w:cs="Arial"/>
          <w:lang w:val="en-PH"/>
        </w:rPr>
        <w:t xml:space="preserve"> 155–184.</w:t>
      </w:r>
    </w:p>
    <w:p w14:paraId="0B912F0B" w14:textId="77777777" w:rsidR="001630B8" w:rsidRPr="001630B8" w:rsidRDefault="001630B8" w:rsidP="001630B8">
      <w:pPr>
        <w:pStyle w:val="Body"/>
        <w:spacing w:after="0"/>
        <w:rPr>
          <w:rFonts w:ascii="Arial" w:hAnsi="Arial" w:cs="Arial"/>
          <w:lang w:val="en-PH"/>
        </w:rPr>
      </w:pPr>
    </w:p>
    <w:p w14:paraId="55ACE03D" w14:textId="77777777" w:rsidR="001630B8" w:rsidRDefault="001630B8" w:rsidP="001630B8">
      <w:pPr>
        <w:pStyle w:val="Body"/>
        <w:spacing w:after="0"/>
        <w:rPr>
          <w:rFonts w:ascii="Arial" w:hAnsi="Arial" w:cs="Arial"/>
          <w:lang w:val="en-PH"/>
        </w:rPr>
      </w:pPr>
      <w:r w:rsidRPr="001630B8">
        <w:rPr>
          <w:rFonts w:ascii="Arial" w:hAnsi="Arial" w:cs="Arial"/>
          <w:lang w:val="en-PH"/>
        </w:rPr>
        <w:t xml:space="preserve">Mincer, J. (1958). Investment in human capital and personal income distribution. </w:t>
      </w:r>
      <w:r w:rsidRPr="001630B8">
        <w:rPr>
          <w:rFonts w:ascii="Arial" w:hAnsi="Arial" w:cs="Arial"/>
          <w:i/>
          <w:iCs/>
          <w:lang w:val="en-PH"/>
        </w:rPr>
        <w:t>Journal of Political Economy, 66</w:t>
      </w:r>
      <w:r w:rsidRPr="001630B8">
        <w:rPr>
          <w:rFonts w:ascii="Arial" w:hAnsi="Arial" w:cs="Arial"/>
          <w:lang w:val="en-PH"/>
        </w:rPr>
        <w:t>, 281–302.</w:t>
      </w:r>
    </w:p>
    <w:p w14:paraId="66788CE9" w14:textId="77777777" w:rsidR="001630B8" w:rsidRPr="001630B8" w:rsidRDefault="001630B8" w:rsidP="001630B8">
      <w:pPr>
        <w:pStyle w:val="Body"/>
        <w:spacing w:after="0"/>
        <w:rPr>
          <w:rFonts w:ascii="Arial" w:hAnsi="Arial" w:cs="Arial"/>
          <w:lang w:val="en-PH"/>
        </w:rPr>
      </w:pPr>
    </w:p>
    <w:p w14:paraId="0C610F36" w14:textId="77777777" w:rsidR="001630B8" w:rsidRDefault="001630B8" w:rsidP="001630B8">
      <w:pPr>
        <w:pStyle w:val="Body"/>
        <w:spacing w:after="0"/>
        <w:rPr>
          <w:rFonts w:ascii="Arial" w:hAnsi="Arial" w:cs="Arial"/>
          <w:lang w:val="en-PH"/>
        </w:rPr>
      </w:pPr>
      <w:r w:rsidRPr="001630B8">
        <w:rPr>
          <w:rFonts w:ascii="Arial" w:hAnsi="Arial" w:cs="Arial"/>
          <w:lang w:val="en-PH"/>
        </w:rPr>
        <w:t xml:space="preserve">Ogundele, F. (2007). Trade liberalization and import demand for rice in Nigeria: A dynamic modelling. </w:t>
      </w:r>
      <w:r w:rsidRPr="001630B8">
        <w:rPr>
          <w:rFonts w:ascii="Arial" w:hAnsi="Arial" w:cs="Arial"/>
          <w:i/>
          <w:iCs/>
          <w:lang w:val="en-PH"/>
        </w:rPr>
        <w:t>Journal of Rural Economics and Development, 16</w:t>
      </w:r>
      <w:r w:rsidRPr="001630B8">
        <w:rPr>
          <w:rFonts w:ascii="Arial" w:hAnsi="Arial" w:cs="Arial"/>
          <w:lang w:val="en-PH"/>
        </w:rPr>
        <w:t>, 34–45.</w:t>
      </w:r>
    </w:p>
    <w:p w14:paraId="7EC97638" w14:textId="77777777" w:rsidR="001630B8" w:rsidRPr="001630B8" w:rsidRDefault="001630B8" w:rsidP="001630B8">
      <w:pPr>
        <w:pStyle w:val="Body"/>
        <w:spacing w:after="0"/>
        <w:rPr>
          <w:rFonts w:ascii="Arial" w:hAnsi="Arial" w:cs="Arial"/>
          <w:lang w:val="en-PH"/>
        </w:rPr>
      </w:pPr>
    </w:p>
    <w:p w14:paraId="02913AF3" w14:textId="77777777" w:rsidR="001630B8" w:rsidRDefault="001630B8" w:rsidP="001630B8">
      <w:pPr>
        <w:pStyle w:val="Body"/>
        <w:spacing w:after="0"/>
        <w:rPr>
          <w:rFonts w:ascii="Arial" w:hAnsi="Arial" w:cs="Arial"/>
          <w:i/>
          <w:iCs/>
          <w:lang w:val="en-PH"/>
        </w:rPr>
      </w:pPr>
      <w:r w:rsidRPr="001630B8">
        <w:rPr>
          <w:rFonts w:ascii="Arial" w:hAnsi="Arial" w:cs="Arial"/>
          <w:lang w:val="en-PH"/>
        </w:rPr>
        <w:t xml:space="preserve">Pacheco-López, P., &amp; Thirlwall, A. P. (2004). Trade liberalisation in Mexico: Rhetoric and reality. </w:t>
      </w:r>
      <w:r w:rsidRPr="001630B8">
        <w:rPr>
          <w:rFonts w:ascii="Arial" w:hAnsi="Arial" w:cs="Arial"/>
          <w:i/>
          <w:iCs/>
          <w:lang w:val="en-PH"/>
        </w:rPr>
        <w:t>Department of Economics Discussion Paper.</w:t>
      </w:r>
    </w:p>
    <w:p w14:paraId="6F58BA0F" w14:textId="77777777" w:rsidR="001630B8" w:rsidRPr="001630B8" w:rsidRDefault="001630B8" w:rsidP="001630B8">
      <w:pPr>
        <w:pStyle w:val="Body"/>
        <w:spacing w:after="0"/>
        <w:rPr>
          <w:rFonts w:ascii="Arial" w:hAnsi="Arial" w:cs="Arial"/>
          <w:lang w:val="en-PH"/>
        </w:rPr>
      </w:pPr>
    </w:p>
    <w:p w14:paraId="188F35D3" w14:textId="77777777" w:rsidR="001630B8" w:rsidRDefault="001630B8" w:rsidP="001630B8">
      <w:pPr>
        <w:pStyle w:val="Body"/>
        <w:spacing w:after="0"/>
        <w:rPr>
          <w:rFonts w:ascii="Arial" w:hAnsi="Arial" w:cs="Arial"/>
          <w:lang w:val="en-PH"/>
        </w:rPr>
      </w:pPr>
      <w:r w:rsidRPr="001630B8">
        <w:rPr>
          <w:rFonts w:ascii="Arial" w:hAnsi="Arial" w:cs="Arial"/>
          <w:lang w:val="en-PH"/>
        </w:rPr>
        <w:t xml:space="preserve">Palis, F. (2020). Aging Filipino rice farmers and their aspirations for their children. </w:t>
      </w:r>
      <w:r w:rsidRPr="001630B8">
        <w:rPr>
          <w:rFonts w:ascii="Arial" w:hAnsi="Arial" w:cs="Arial"/>
          <w:i/>
          <w:iCs/>
          <w:lang w:val="en-PH"/>
        </w:rPr>
        <w:t>Philippine Journal of Science, 149</w:t>
      </w:r>
      <w:r w:rsidRPr="001630B8">
        <w:rPr>
          <w:rFonts w:ascii="Arial" w:hAnsi="Arial" w:cs="Arial"/>
          <w:lang w:val="en-PH"/>
        </w:rPr>
        <w:t>(2), 351–361.</w:t>
      </w:r>
    </w:p>
    <w:p w14:paraId="627999DD" w14:textId="77777777" w:rsidR="001630B8" w:rsidRPr="001630B8" w:rsidRDefault="001630B8" w:rsidP="001630B8">
      <w:pPr>
        <w:pStyle w:val="Body"/>
        <w:spacing w:after="0"/>
        <w:rPr>
          <w:rFonts w:ascii="Arial" w:hAnsi="Arial" w:cs="Arial"/>
          <w:lang w:val="en-PH"/>
        </w:rPr>
      </w:pPr>
    </w:p>
    <w:p w14:paraId="4910A650" w14:textId="77777777" w:rsidR="001630B8" w:rsidRDefault="001630B8" w:rsidP="001630B8">
      <w:pPr>
        <w:pStyle w:val="Body"/>
        <w:spacing w:after="0"/>
        <w:rPr>
          <w:rFonts w:ascii="Arial" w:hAnsi="Arial" w:cs="Arial"/>
          <w:lang w:val="en-PH"/>
        </w:rPr>
      </w:pPr>
      <w:r w:rsidRPr="001630B8">
        <w:rPr>
          <w:rFonts w:ascii="Arial" w:hAnsi="Arial" w:cs="Arial"/>
          <w:lang w:val="en-PH"/>
        </w:rPr>
        <w:t xml:space="preserve">Pascua, G. G. (2020). </w:t>
      </w:r>
      <w:r w:rsidRPr="001630B8">
        <w:rPr>
          <w:rFonts w:ascii="Arial" w:hAnsi="Arial" w:cs="Arial"/>
          <w:i/>
          <w:iCs/>
          <w:lang w:val="en-PH"/>
        </w:rPr>
        <w:t>Trade shocks and Philippine rice imports amidst SARS-CoV-2.</w:t>
      </w:r>
      <w:r w:rsidRPr="001630B8">
        <w:rPr>
          <w:rFonts w:ascii="Arial" w:hAnsi="Arial" w:cs="Arial"/>
          <w:lang w:val="en-PH"/>
        </w:rPr>
        <w:t xml:space="preserve"> Ateneo de Manila University.</w:t>
      </w:r>
    </w:p>
    <w:p w14:paraId="10F0BD87" w14:textId="77777777" w:rsidR="001630B8" w:rsidRPr="001630B8" w:rsidRDefault="001630B8" w:rsidP="001630B8">
      <w:pPr>
        <w:pStyle w:val="Body"/>
        <w:spacing w:after="0"/>
        <w:rPr>
          <w:rFonts w:ascii="Arial" w:hAnsi="Arial" w:cs="Arial"/>
          <w:lang w:val="en-PH"/>
        </w:rPr>
      </w:pPr>
    </w:p>
    <w:p w14:paraId="1EC9208F" w14:textId="77777777" w:rsidR="001630B8" w:rsidRDefault="001630B8" w:rsidP="001630B8">
      <w:pPr>
        <w:pStyle w:val="Body"/>
        <w:spacing w:after="0"/>
        <w:rPr>
          <w:rFonts w:ascii="Arial" w:hAnsi="Arial" w:cs="Arial"/>
          <w:lang w:val="en-PH"/>
        </w:rPr>
      </w:pPr>
      <w:r w:rsidRPr="001630B8">
        <w:rPr>
          <w:rFonts w:ascii="Arial" w:hAnsi="Arial" w:cs="Arial"/>
          <w:lang w:val="en-PH"/>
        </w:rPr>
        <w:t xml:space="preserve">Perez, N., &amp; Pradesha, A. (2019). </w:t>
      </w:r>
      <w:r w:rsidRPr="001630B8">
        <w:rPr>
          <w:rFonts w:ascii="Arial" w:hAnsi="Arial" w:cs="Arial"/>
          <w:i/>
          <w:iCs/>
          <w:lang w:val="en-PH"/>
        </w:rPr>
        <w:t>Philippine rice trade liberalization: Impacts on agriculture and the economy, and alternative policy actions.</w:t>
      </w:r>
      <w:r w:rsidRPr="001630B8">
        <w:rPr>
          <w:rFonts w:ascii="Arial" w:hAnsi="Arial" w:cs="Arial"/>
          <w:lang w:val="en-PH"/>
        </w:rPr>
        <w:t xml:space="preserve"> International Food Policy Research Institute.</w:t>
      </w:r>
    </w:p>
    <w:p w14:paraId="6401661C" w14:textId="77777777" w:rsidR="001630B8" w:rsidRPr="001630B8" w:rsidRDefault="001630B8" w:rsidP="001630B8">
      <w:pPr>
        <w:pStyle w:val="Body"/>
        <w:spacing w:after="0"/>
        <w:rPr>
          <w:rFonts w:ascii="Arial" w:hAnsi="Arial" w:cs="Arial"/>
          <w:lang w:val="en-PH"/>
        </w:rPr>
      </w:pPr>
    </w:p>
    <w:p w14:paraId="24F2CB18" w14:textId="77777777" w:rsidR="001630B8" w:rsidRDefault="001630B8" w:rsidP="001630B8">
      <w:pPr>
        <w:pStyle w:val="Body"/>
        <w:spacing w:after="0"/>
        <w:rPr>
          <w:rFonts w:ascii="Arial" w:hAnsi="Arial" w:cs="Arial"/>
        </w:rPr>
      </w:pPr>
      <w:r w:rsidRPr="001630B8">
        <w:rPr>
          <w:rFonts w:ascii="Arial" w:hAnsi="Arial" w:cs="Arial"/>
          <w:lang w:val="en-PH"/>
        </w:rPr>
        <w:t xml:space="preserve">Philippine Congress. (n.d.). </w:t>
      </w:r>
      <w:r w:rsidRPr="001630B8">
        <w:rPr>
          <w:rFonts w:ascii="Arial" w:hAnsi="Arial" w:cs="Arial"/>
          <w:i/>
          <w:iCs/>
          <w:lang w:val="en-PH"/>
        </w:rPr>
        <w:t>House Bill No. 4625: An Act mandating rice retailers…</w:t>
      </w:r>
      <w:r w:rsidRPr="001630B8">
        <w:rPr>
          <w:rFonts w:ascii="Arial" w:hAnsi="Arial" w:cs="Arial"/>
          <w:lang w:val="en-PH"/>
        </w:rPr>
        <w:t xml:space="preserve"> </w:t>
      </w:r>
      <w:hyperlink r:id="rId23" w:tgtFrame="_new" w:history="1">
        <w:r w:rsidRPr="001630B8">
          <w:rPr>
            <w:rStyle w:val="Hyperlink"/>
            <w:rFonts w:ascii="Arial" w:hAnsi="Arial" w:cs="Arial"/>
            <w:lang w:val="en-PH"/>
          </w:rPr>
          <w:t>https://hrep-website.s3.ap-southeast-1.amazonaws.com/legisdocs/basic_18/HB04625.pdf</w:t>
        </w:r>
      </w:hyperlink>
    </w:p>
    <w:p w14:paraId="20BB27C3" w14:textId="77777777" w:rsidR="001630B8" w:rsidRPr="001630B8" w:rsidRDefault="001630B8" w:rsidP="001630B8">
      <w:pPr>
        <w:pStyle w:val="Body"/>
        <w:spacing w:after="0"/>
        <w:rPr>
          <w:rFonts w:ascii="Arial" w:hAnsi="Arial" w:cs="Arial"/>
          <w:lang w:val="en-PH"/>
        </w:rPr>
      </w:pPr>
    </w:p>
    <w:p w14:paraId="11661397" w14:textId="77777777" w:rsidR="001630B8" w:rsidRDefault="001630B8" w:rsidP="001630B8">
      <w:pPr>
        <w:pStyle w:val="Body"/>
        <w:spacing w:after="0"/>
        <w:rPr>
          <w:rFonts w:ascii="Arial" w:hAnsi="Arial" w:cs="Arial"/>
        </w:rPr>
      </w:pPr>
      <w:r w:rsidRPr="001630B8">
        <w:rPr>
          <w:rFonts w:ascii="Arial" w:hAnsi="Arial" w:cs="Arial"/>
          <w:lang w:val="en-PH"/>
        </w:rPr>
        <w:t xml:space="preserve">Philippine Statistics Authority. (2016–2021). </w:t>
      </w:r>
      <w:r w:rsidRPr="001630B8">
        <w:rPr>
          <w:rFonts w:ascii="Arial" w:hAnsi="Arial" w:cs="Arial"/>
          <w:i/>
          <w:iCs/>
          <w:lang w:val="en-PH"/>
        </w:rPr>
        <w:t>Special Releases; Selected Statistics on Agriculture.</w:t>
      </w:r>
      <w:r w:rsidRPr="001630B8">
        <w:rPr>
          <w:rFonts w:ascii="Arial" w:hAnsi="Arial" w:cs="Arial"/>
          <w:lang w:val="en-PH"/>
        </w:rPr>
        <w:t xml:space="preserve"> </w:t>
      </w:r>
      <w:hyperlink r:id="rId24" w:tgtFrame="_new" w:history="1">
        <w:r w:rsidRPr="001630B8">
          <w:rPr>
            <w:rStyle w:val="Hyperlink"/>
            <w:rFonts w:ascii="Arial" w:hAnsi="Arial" w:cs="Arial"/>
            <w:lang w:val="en-PH"/>
          </w:rPr>
          <w:t>https://psa.gov.ph</w:t>
        </w:r>
      </w:hyperlink>
    </w:p>
    <w:p w14:paraId="1742016E" w14:textId="77777777" w:rsidR="0001351C" w:rsidRDefault="0001351C" w:rsidP="001630B8">
      <w:pPr>
        <w:pStyle w:val="Body"/>
        <w:spacing w:after="0"/>
        <w:rPr>
          <w:rFonts w:ascii="Arial" w:hAnsi="Arial" w:cs="Arial"/>
        </w:rPr>
      </w:pPr>
    </w:p>
    <w:p w14:paraId="2B28A825" w14:textId="56115414" w:rsidR="0001351C" w:rsidRDefault="0001351C" w:rsidP="0001351C">
      <w:pPr>
        <w:pStyle w:val="Body"/>
        <w:spacing w:after="0"/>
        <w:rPr>
          <w:rFonts w:ascii="Arial" w:hAnsi="Arial" w:cs="Arial"/>
          <w:lang w:val="en-PH"/>
        </w:rPr>
      </w:pPr>
      <w:r w:rsidRPr="0001351C">
        <w:rPr>
          <w:rFonts w:ascii="Arial" w:hAnsi="Arial" w:cs="Arial"/>
          <w:lang w:val="en-PH"/>
        </w:rPr>
        <w:t>Puślecki, Z. W. (2022a).</w:t>
      </w:r>
      <w:r>
        <w:rPr>
          <w:rFonts w:ascii="Arial" w:hAnsi="Arial" w:cs="Arial"/>
          <w:lang w:val="en-PH"/>
        </w:rPr>
        <w:t xml:space="preserve"> </w:t>
      </w:r>
      <w:r w:rsidRPr="0001351C">
        <w:rPr>
          <w:rFonts w:ascii="Arial" w:hAnsi="Arial" w:cs="Arial"/>
          <w:lang w:val="en-PH"/>
        </w:rPr>
        <w:t xml:space="preserve">On the new trends in the theory and politics of international affairs. </w:t>
      </w:r>
      <w:r w:rsidRPr="0001351C">
        <w:rPr>
          <w:rFonts w:ascii="Arial" w:hAnsi="Arial" w:cs="Arial"/>
          <w:i/>
          <w:iCs/>
          <w:lang w:val="en-PH"/>
        </w:rPr>
        <w:t>SunText Review of Economics &amp; Business, 3</w:t>
      </w:r>
      <w:r w:rsidRPr="0001351C">
        <w:rPr>
          <w:rFonts w:ascii="Arial" w:hAnsi="Arial" w:cs="Arial"/>
          <w:lang w:val="en-PH"/>
        </w:rPr>
        <w:t>(4), 170.</w:t>
      </w:r>
      <w:r w:rsidR="002D739D" w:rsidRPr="002D739D">
        <w:t xml:space="preserve"> </w:t>
      </w:r>
      <w:r w:rsidR="002D739D" w:rsidRPr="002D739D">
        <w:rPr>
          <w:rFonts w:ascii="Arial" w:hAnsi="Arial" w:cs="Arial"/>
          <w:lang w:val="en-PH"/>
        </w:rPr>
        <w:t xml:space="preserve">DOI: </w:t>
      </w:r>
      <w:hyperlink r:id="rId25" w:history="1">
        <w:r w:rsidR="002D739D" w:rsidRPr="009541FE">
          <w:rPr>
            <w:rStyle w:val="Hyperlink"/>
            <w:rFonts w:ascii="Arial" w:hAnsi="Arial" w:cs="Arial"/>
            <w:lang w:val="en-PH"/>
          </w:rPr>
          <w:t>https://doi.org/10.51737/2766-4775.2022.070</w:t>
        </w:r>
      </w:hyperlink>
      <w:r w:rsidR="002D739D">
        <w:rPr>
          <w:rFonts w:ascii="Arial" w:hAnsi="Arial" w:cs="Arial"/>
          <w:lang w:val="en-PH"/>
        </w:rPr>
        <w:t xml:space="preserve"> </w:t>
      </w:r>
    </w:p>
    <w:p w14:paraId="0259F9B3" w14:textId="77777777" w:rsidR="0001351C" w:rsidRPr="0001351C" w:rsidRDefault="0001351C" w:rsidP="0001351C">
      <w:pPr>
        <w:pStyle w:val="Body"/>
        <w:spacing w:after="0"/>
        <w:rPr>
          <w:rFonts w:ascii="Arial" w:hAnsi="Arial" w:cs="Arial"/>
          <w:lang w:val="en-PH"/>
        </w:rPr>
      </w:pPr>
    </w:p>
    <w:p w14:paraId="6B36AF23" w14:textId="36C92A37" w:rsidR="0001351C" w:rsidRDefault="0001351C" w:rsidP="0001351C">
      <w:pPr>
        <w:pStyle w:val="Body"/>
        <w:spacing w:after="0"/>
        <w:rPr>
          <w:rFonts w:ascii="Arial" w:hAnsi="Arial" w:cs="Arial"/>
        </w:rPr>
      </w:pPr>
      <w:r w:rsidRPr="0001351C">
        <w:rPr>
          <w:rFonts w:ascii="Arial" w:hAnsi="Arial" w:cs="Arial"/>
          <w:lang w:val="en-PH"/>
        </w:rPr>
        <w:t>Puślecki, Z. W. (2022b).</w:t>
      </w:r>
      <w:r>
        <w:rPr>
          <w:rFonts w:ascii="Arial" w:hAnsi="Arial" w:cs="Arial"/>
          <w:lang w:val="en-PH"/>
        </w:rPr>
        <w:t xml:space="preserve"> </w:t>
      </w:r>
      <w:r w:rsidRPr="0001351C">
        <w:rPr>
          <w:rFonts w:ascii="Arial" w:hAnsi="Arial" w:cs="Arial"/>
          <w:lang w:val="en-PH"/>
        </w:rPr>
        <w:t xml:space="preserve">International business theory and policy in the time of COVID-19. </w:t>
      </w:r>
      <w:r w:rsidRPr="0001351C">
        <w:rPr>
          <w:rFonts w:ascii="Arial" w:hAnsi="Arial" w:cs="Arial"/>
          <w:i/>
          <w:iCs/>
          <w:lang w:val="en-PH"/>
        </w:rPr>
        <w:t>American Journal of Industrial and Business Management, 12</w:t>
      </w:r>
      <w:r w:rsidRPr="0001351C">
        <w:rPr>
          <w:rFonts w:ascii="Arial" w:hAnsi="Arial" w:cs="Arial"/>
          <w:lang w:val="en-PH"/>
        </w:rPr>
        <w:t xml:space="preserve">, 1249–1271. </w:t>
      </w:r>
      <w:hyperlink r:id="rId26" w:tgtFrame="_new" w:history="1">
        <w:r w:rsidRPr="0001351C">
          <w:rPr>
            <w:rStyle w:val="Hyperlink"/>
            <w:rFonts w:ascii="Arial" w:hAnsi="Arial" w:cs="Arial"/>
            <w:lang w:val="en-PH"/>
          </w:rPr>
          <w:t>https://doi.org/10.4236/ajibm.2022.127069</w:t>
        </w:r>
      </w:hyperlink>
    </w:p>
    <w:p w14:paraId="7928D2D2" w14:textId="77777777" w:rsidR="0001351C" w:rsidRPr="0001351C" w:rsidRDefault="0001351C" w:rsidP="0001351C">
      <w:pPr>
        <w:pStyle w:val="Body"/>
        <w:spacing w:after="0"/>
        <w:rPr>
          <w:rFonts w:ascii="Arial" w:hAnsi="Arial" w:cs="Arial"/>
          <w:lang w:val="en-PH"/>
        </w:rPr>
      </w:pPr>
      <w:bookmarkStart w:id="3" w:name="_GoBack"/>
      <w:bookmarkEnd w:id="3"/>
    </w:p>
    <w:p w14:paraId="3FE86701" w14:textId="307937BB" w:rsidR="0001351C" w:rsidRDefault="0001351C" w:rsidP="0001351C">
      <w:pPr>
        <w:pStyle w:val="Body"/>
        <w:spacing w:after="0"/>
        <w:rPr>
          <w:rFonts w:ascii="Arial" w:hAnsi="Arial" w:cs="Arial"/>
          <w:lang w:val="en-PH"/>
        </w:rPr>
      </w:pPr>
      <w:r w:rsidRPr="0001351C">
        <w:rPr>
          <w:rFonts w:ascii="Arial" w:hAnsi="Arial" w:cs="Arial"/>
          <w:lang w:val="en-PH"/>
        </w:rPr>
        <w:t>Puślecki, Z. W. (2022c).</w:t>
      </w:r>
      <w:r>
        <w:rPr>
          <w:rFonts w:ascii="Arial" w:hAnsi="Arial" w:cs="Arial"/>
          <w:lang w:val="en-PH"/>
        </w:rPr>
        <w:t xml:space="preserve"> </w:t>
      </w:r>
      <w:r w:rsidRPr="0001351C">
        <w:rPr>
          <w:rFonts w:ascii="Arial" w:hAnsi="Arial" w:cs="Arial"/>
          <w:lang w:val="en-PH"/>
        </w:rPr>
        <w:t xml:space="preserve">Bilateral trade agreements and the rise of global supply chains in the modern international business. In </w:t>
      </w:r>
      <w:r w:rsidRPr="0001351C">
        <w:rPr>
          <w:rFonts w:ascii="Arial" w:hAnsi="Arial" w:cs="Arial"/>
          <w:i/>
          <w:iCs/>
          <w:lang w:val="en-PH"/>
        </w:rPr>
        <w:t>Current Aspects in Business, Economics and Finance</w:t>
      </w:r>
      <w:r w:rsidRPr="0001351C">
        <w:rPr>
          <w:rFonts w:ascii="Arial" w:hAnsi="Arial" w:cs="Arial"/>
          <w:lang w:val="en-PH"/>
        </w:rPr>
        <w:t xml:space="preserve"> (Vol. 2, Ch. 5). </w:t>
      </w:r>
      <w:hyperlink r:id="rId27" w:history="1">
        <w:r w:rsidRPr="0001351C">
          <w:rPr>
            <w:rStyle w:val="Hyperlink"/>
            <w:rFonts w:ascii="Arial" w:hAnsi="Arial" w:cs="Arial"/>
            <w:lang w:val="en-PH"/>
          </w:rPr>
          <w:t>https://doi.org/10.9734/bpi/cabef/v2/16886D</w:t>
        </w:r>
      </w:hyperlink>
    </w:p>
    <w:p w14:paraId="410F1931" w14:textId="77777777" w:rsidR="0001351C" w:rsidRPr="0001351C" w:rsidRDefault="0001351C" w:rsidP="0001351C">
      <w:pPr>
        <w:pStyle w:val="Body"/>
        <w:spacing w:after="0"/>
        <w:rPr>
          <w:rFonts w:ascii="Arial" w:hAnsi="Arial" w:cs="Arial"/>
          <w:lang w:val="en-PH"/>
        </w:rPr>
      </w:pPr>
    </w:p>
    <w:p w14:paraId="7606EA6F" w14:textId="1E463BB6" w:rsidR="0001351C" w:rsidRDefault="0001351C" w:rsidP="0001351C">
      <w:pPr>
        <w:pStyle w:val="Body"/>
        <w:spacing w:after="0"/>
        <w:rPr>
          <w:rFonts w:ascii="Arial" w:hAnsi="Arial" w:cs="Arial"/>
          <w:lang w:val="en-PH"/>
        </w:rPr>
      </w:pPr>
      <w:r w:rsidRPr="0001351C">
        <w:rPr>
          <w:rFonts w:ascii="Arial" w:hAnsi="Arial" w:cs="Arial"/>
          <w:lang w:val="en-PH"/>
        </w:rPr>
        <w:t>Puślecki, Z. W. (2020).</w:t>
      </w:r>
      <w:r>
        <w:rPr>
          <w:rFonts w:ascii="Arial" w:hAnsi="Arial" w:cs="Arial"/>
          <w:lang w:val="en-PH"/>
        </w:rPr>
        <w:t xml:space="preserve"> </w:t>
      </w:r>
      <w:r w:rsidRPr="0001351C">
        <w:rPr>
          <w:rFonts w:ascii="Arial" w:hAnsi="Arial" w:cs="Arial"/>
          <w:i/>
          <w:iCs/>
          <w:lang w:val="en-PH"/>
        </w:rPr>
        <w:t>World economy against new challenges in the time of COVID-19.</w:t>
      </w:r>
      <w:r w:rsidRPr="0001351C">
        <w:rPr>
          <w:rFonts w:ascii="Arial" w:hAnsi="Arial" w:cs="Arial"/>
          <w:lang w:val="en-PH"/>
        </w:rPr>
        <w:t xml:space="preserve"> Publishing House ELIPSA.</w:t>
      </w:r>
    </w:p>
    <w:p w14:paraId="73ED4579" w14:textId="77777777" w:rsidR="0001351C" w:rsidRPr="0001351C" w:rsidRDefault="0001351C" w:rsidP="0001351C">
      <w:pPr>
        <w:pStyle w:val="Body"/>
        <w:spacing w:after="0"/>
        <w:rPr>
          <w:rFonts w:ascii="Arial" w:hAnsi="Arial" w:cs="Arial"/>
          <w:lang w:val="en-PH"/>
        </w:rPr>
      </w:pPr>
    </w:p>
    <w:p w14:paraId="3357EC73" w14:textId="2F1E647E" w:rsidR="0001351C" w:rsidRDefault="0001351C" w:rsidP="0001351C">
      <w:pPr>
        <w:pStyle w:val="Body"/>
        <w:spacing w:after="0"/>
        <w:rPr>
          <w:rFonts w:ascii="Arial" w:hAnsi="Arial" w:cs="Arial"/>
          <w:lang w:val="en-PH"/>
        </w:rPr>
      </w:pPr>
      <w:proofErr w:type="spellStart"/>
      <w:r w:rsidRPr="0001351C">
        <w:rPr>
          <w:rFonts w:ascii="Arial" w:hAnsi="Arial" w:cs="Arial"/>
          <w:lang w:val="en-PH"/>
        </w:rPr>
        <w:t>Puślecki</w:t>
      </w:r>
      <w:proofErr w:type="spellEnd"/>
      <w:r w:rsidRPr="0001351C">
        <w:rPr>
          <w:rFonts w:ascii="Arial" w:hAnsi="Arial" w:cs="Arial"/>
          <w:lang w:val="en-PH"/>
        </w:rPr>
        <w:t>, Z. W. (2022d).</w:t>
      </w:r>
      <w:r>
        <w:rPr>
          <w:rFonts w:ascii="Arial" w:hAnsi="Arial" w:cs="Arial"/>
          <w:lang w:val="en-PH"/>
        </w:rPr>
        <w:t xml:space="preserve"> </w:t>
      </w:r>
      <w:r w:rsidR="002D739D" w:rsidRPr="002D739D">
        <w:rPr>
          <w:rFonts w:ascii="Arial" w:hAnsi="Arial" w:cs="Arial"/>
          <w:lang w:val="en-PH"/>
        </w:rPr>
        <w:t>A World in the Mist: Structural Changes in the Global Economy Following the COVID-19 Pandemic and the Russia-Ukraine War</w:t>
      </w:r>
      <w:r w:rsidR="002D739D">
        <w:rPr>
          <w:rFonts w:ascii="Arial" w:hAnsi="Arial" w:cs="Arial"/>
          <w:lang w:val="en-PH"/>
        </w:rPr>
        <w:t>. [</w:t>
      </w:r>
      <w:proofErr w:type="spellStart"/>
      <w:r w:rsidRPr="0001351C">
        <w:rPr>
          <w:rFonts w:ascii="Arial" w:hAnsi="Arial" w:cs="Arial"/>
          <w:i/>
          <w:iCs/>
          <w:lang w:val="en-PH"/>
        </w:rPr>
        <w:t>Świat</w:t>
      </w:r>
      <w:proofErr w:type="spellEnd"/>
      <w:r w:rsidRPr="0001351C">
        <w:rPr>
          <w:rFonts w:ascii="Arial" w:hAnsi="Arial" w:cs="Arial"/>
          <w:i/>
          <w:iCs/>
          <w:lang w:val="en-PH"/>
        </w:rPr>
        <w:t xml:space="preserve"> we </w:t>
      </w:r>
      <w:proofErr w:type="spellStart"/>
      <w:r w:rsidRPr="0001351C">
        <w:rPr>
          <w:rFonts w:ascii="Arial" w:hAnsi="Arial" w:cs="Arial"/>
          <w:i/>
          <w:iCs/>
          <w:lang w:val="en-PH"/>
        </w:rPr>
        <w:t>mgle</w:t>
      </w:r>
      <w:proofErr w:type="spellEnd"/>
      <w:r w:rsidRPr="0001351C">
        <w:rPr>
          <w:rFonts w:ascii="Arial" w:hAnsi="Arial" w:cs="Arial"/>
          <w:i/>
          <w:iCs/>
          <w:lang w:val="en-PH"/>
        </w:rPr>
        <w:t xml:space="preserve">. Modyfikacje strukturalne w gospodarce światowej po pandemii COVID-19 i </w:t>
      </w:r>
      <w:proofErr w:type="spellStart"/>
      <w:r w:rsidRPr="0001351C">
        <w:rPr>
          <w:rFonts w:ascii="Arial" w:hAnsi="Arial" w:cs="Arial"/>
          <w:i/>
          <w:iCs/>
          <w:lang w:val="en-PH"/>
        </w:rPr>
        <w:t>wojnie</w:t>
      </w:r>
      <w:proofErr w:type="spellEnd"/>
      <w:r w:rsidRPr="0001351C">
        <w:rPr>
          <w:rFonts w:ascii="Arial" w:hAnsi="Arial" w:cs="Arial"/>
          <w:i/>
          <w:iCs/>
          <w:lang w:val="en-PH"/>
        </w:rPr>
        <w:t xml:space="preserve"> </w:t>
      </w:r>
      <w:proofErr w:type="spellStart"/>
      <w:r w:rsidRPr="0001351C">
        <w:rPr>
          <w:rFonts w:ascii="Arial" w:hAnsi="Arial" w:cs="Arial"/>
          <w:i/>
          <w:iCs/>
          <w:lang w:val="en-PH"/>
        </w:rPr>
        <w:t>Rosji</w:t>
      </w:r>
      <w:proofErr w:type="spellEnd"/>
      <w:r w:rsidRPr="0001351C">
        <w:rPr>
          <w:rFonts w:ascii="Arial" w:hAnsi="Arial" w:cs="Arial"/>
          <w:i/>
          <w:iCs/>
          <w:lang w:val="en-PH"/>
        </w:rPr>
        <w:t xml:space="preserve"> z </w:t>
      </w:r>
      <w:proofErr w:type="spellStart"/>
      <w:r w:rsidRPr="0001351C">
        <w:rPr>
          <w:rFonts w:ascii="Arial" w:hAnsi="Arial" w:cs="Arial"/>
          <w:i/>
          <w:iCs/>
          <w:lang w:val="en-PH"/>
        </w:rPr>
        <w:t>Ukrainą</w:t>
      </w:r>
      <w:proofErr w:type="spellEnd"/>
      <w:r w:rsidR="002D739D">
        <w:rPr>
          <w:rFonts w:ascii="Arial" w:hAnsi="Arial" w:cs="Arial"/>
          <w:i/>
          <w:iCs/>
          <w:lang w:val="en-PH"/>
        </w:rPr>
        <w:t>]</w:t>
      </w:r>
      <w:r w:rsidRPr="0001351C">
        <w:rPr>
          <w:rFonts w:ascii="Arial" w:hAnsi="Arial" w:cs="Arial"/>
          <w:i/>
          <w:iCs/>
          <w:lang w:val="en-PH"/>
        </w:rPr>
        <w:t>.</w:t>
      </w:r>
      <w:r w:rsidRPr="0001351C">
        <w:rPr>
          <w:rFonts w:ascii="Arial" w:hAnsi="Arial" w:cs="Arial"/>
          <w:lang w:val="en-PH"/>
        </w:rPr>
        <w:t xml:space="preserve"> </w:t>
      </w:r>
      <w:proofErr w:type="spellStart"/>
      <w:r w:rsidRPr="0001351C">
        <w:rPr>
          <w:rFonts w:ascii="Arial" w:hAnsi="Arial" w:cs="Arial"/>
          <w:lang w:val="en-PH"/>
        </w:rPr>
        <w:t>GlobeEdit</w:t>
      </w:r>
      <w:proofErr w:type="spellEnd"/>
      <w:r w:rsidRPr="0001351C">
        <w:rPr>
          <w:rFonts w:ascii="Arial" w:hAnsi="Arial" w:cs="Arial"/>
          <w:lang w:val="en-PH"/>
        </w:rPr>
        <w:t>.</w:t>
      </w:r>
      <w:r w:rsidR="002D739D">
        <w:rPr>
          <w:rFonts w:ascii="Arial" w:hAnsi="Arial" w:cs="Arial"/>
          <w:lang w:val="en-PH"/>
        </w:rPr>
        <w:t xml:space="preserve"> </w:t>
      </w:r>
      <w:hyperlink r:id="rId28" w:history="1">
        <w:r w:rsidR="002D739D" w:rsidRPr="009541FE">
          <w:rPr>
            <w:rStyle w:val="Hyperlink"/>
            <w:rFonts w:ascii="Arial" w:hAnsi="Arial" w:cs="Arial"/>
            <w:lang w:val="en-PH"/>
          </w:rPr>
          <w:t>https://www.researchgate.net/publication/377746532_Puslecki_Z_W_2022_Swiat_we_mgle_Modyfikacje_strukturalne_w_gospodarce_swiatowej_po_pandemii_COVID-19_i_wojnie_Rosji_z_Ukraina_Berlin_GlobeEdit_Chisinau</w:t>
        </w:r>
      </w:hyperlink>
      <w:r w:rsidR="002D739D">
        <w:rPr>
          <w:rFonts w:ascii="Arial" w:hAnsi="Arial" w:cs="Arial"/>
          <w:lang w:val="en-PH"/>
        </w:rPr>
        <w:t xml:space="preserve"> </w:t>
      </w:r>
    </w:p>
    <w:p w14:paraId="1364368B" w14:textId="77777777" w:rsidR="0001351C" w:rsidRPr="0001351C" w:rsidRDefault="0001351C" w:rsidP="0001351C">
      <w:pPr>
        <w:pStyle w:val="Body"/>
        <w:spacing w:after="0"/>
        <w:rPr>
          <w:rFonts w:ascii="Arial" w:hAnsi="Arial" w:cs="Arial"/>
          <w:lang w:val="en-PH"/>
        </w:rPr>
      </w:pPr>
    </w:p>
    <w:p w14:paraId="36E240B1" w14:textId="7BC7B99B" w:rsidR="0001351C" w:rsidRDefault="0001351C" w:rsidP="0001351C">
      <w:pPr>
        <w:pStyle w:val="Body"/>
        <w:spacing w:after="0"/>
        <w:rPr>
          <w:rFonts w:ascii="Arial" w:hAnsi="Arial" w:cs="Arial"/>
          <w:lang w:val="en-PH"/>
        </w:rPr>
      </w:pPr>
      <w:r w:rsidRPr="0001351C">
        <w:rPr>
          <w:rFonts w:ascii="Arial" w:hAnsi="Arial" w:cs="Arial"/>
          <w:lang w:val="en-PH"/>
        </w:rPr>
        <w:t>Puślecki, Z. W. (2019).</w:t>
      </w:r>
      <w:r>
        <w:rPr>
          <w:rFonts w:ascii="Arial" w:hAnsi="Arial" w:cs="Arial"/>
          <w:lang w:val="en-PH"/>
        </w:rPr>
        <w:t xml:space="preserve"> </w:t>
      </w:r>
      <w:r w:rsidRPr="0001351C">
        <w:rPr>
          <w:rFonts w:ascii="Arial" w:hAnsi="Arial" w:cs="Arial"/>
          <w:i/>
          <w:iCs/>
          <w:lang w:val="en-PH"/>
        </w:rPr>
        <w:t>Trends reshaping international business theory and policy.</w:t>
      </w:r>
      <w:r w:rsidRPr="0001351C">
        <w:rPr>
          <w:rFonts w:ascii="Arial" w:hAnsi="Arial" w:cs="Arial"/>
          <w:lang w:val="en-PH"/>
        </w:rPr>
        <w:t xml:space="preserve"> Publishing House ELIPSA.</w:t>
      </w:r>
    </w:p>
    <w:p w14:paraId="50209FFA" w14:textId="77777777" w:rsidR="0001351C" w:rsidRPr="0001351C" w:rsidRDefault="0001351C" w:rsidP="0001351C">
      <w:pPr>
        <w:pStyle w:val="Body"/>
        <w:spacing w:after="0"/>
        <w:rPr>
          <w:rFonts w:ascii="Arial" w:hAnsi="Arial" w:cs="Arial"/>
          <w:lang w:val="en-PH"/>
        </w:rPr>
      </w:pPr>
    </w:p>
    <w:p w14:paraId="2DCA01B0" w14:textId="03C35579" w:rsidR="0001351C" w:rsidRDefault="0001351C" w:rsidP="0001351C">
      <w:pPr>
        <w:pStyle w:val="Body"/>
        <w:spacing w:after="0"/>
        <w:rPr>
          <w:rFonts w:ascii="Arial" w:hAnsi="Arial" w:cs="Arial"/>
        </w:rPr>
      </w:pPr>
      <w:r w:rsidRPr="0001351C">
        <w:rPr>
          <w:rFonts w:ascii="Arial" w:hAnsi="Arial" w:cs="Arial"/>
          <w:lang w:val="en-PH"/>
        </w:rPr>
        <w:t>Puślecki, Z. W. (2025a).</w:t>
      </w:r>
      <w:r>
        <w:rPr>
          <w:rFonts w:ascii="Arial" w:hAnsi="Arial" w:cs="Arial"/>
          <w:lang w:val="en-PH"/>
        </w:rPr>
        <w:t xml:space="preserve"> </w:t>
      </w:r>
      <w:r w:rsidRPr="0001351C">
        <w:rPr>
          <w:rFonts w:ascii="Arial" w:hAnsi="Arial" w:cs="Arial"/>
          <w:lang w:val="en-PH"/>
        </w:rPr>
        <w:t xml:space="preserve">Global geopolitical challenges for relations between European Union and China. </w:t>
      </w:r>
      <w:r w:rsidRPr="0001351C">
        <w:rPr>
          <w:rFonts w:ascii="Arial" w:hAnsi="Arial" w:cs="Arial"/>
          <w:i/>
          <w:iCs/>
          <w:lang w:val="en-PH"/>
        </w:rPr>
        <w:t>SCIREA Journal of Economics, 10</w:t>
      </w:r>
      <w:r w:rsidRPr="0001351C">
        <w:rPr>
          <w:rFonts w:ascii="Arial" w:hAnsi="Arial" w:cs="Arial"/>
          <w:lang w:val="en-PH"/>
        </w:rPr>
        <w:t xml:space="preserve">(2). </w:t>
      </w:r>
      <w:hyperlink r:id="rId29" w:tgtFrame="_new" w:history="1">
        <w:r w:rsidRPr="0001351C">
          <w:rPr>
            <w:rStyle w:val="Hyperlink"/>
            <w:rFonts w:ascii="Arial" w:hAnsi="Arial" w:cs="Arial"/>
            <w:lang w:val="en-PH"/>
          </w:rPr>
          <w:t>https://doi.org/10.54647/economics790509</w:t>
        </w:r>
      </w:hyperlink>
    </w:p>
    <w:p w14:paraId="22FBE378" w14:textId="77777777" w:rsidR="0001351C" w:rsidRPr="0001351C" w:rsidRDefault="0001351C" w:rsidP="0001351C">
      <w:pPr>
        <w:pStyle w:val="Body"/>
        <w:spacing w:after="0"/>
        <w:rPr>
          <w:rFonts w:ascii="Arial" w:hAnsi="Arial" w:cs="Arial"/>
          <w:lang w:val="en-PH"/>
        </w:rPr>
      </w:pPr>
    </w:p>
    <w:p w14:paraId="1E3878FD" w14:textId="77B2C125" w:rsidR="0001351C" w:rsidRPr="0001351C" w:rsidRDefault="0001351C" w:rsidP="0001351C">
      <w:pPr>
        <w:pStyle w:val="Body"/>
        <w:spacing w:after="0"/>
        <w:rPr>
          <w:rFonts w:ascii="Arial" w:hAnsi="Arial" w:cs="Arial"/>
          <w:lang w:val="en-PH"/>
        </w:rPr>
      </w:pPr>
      <w:r w:rsidRPr="0001351C">
        <w:rPr>
          <w:rFonts w:ascii="Arial" w:hAnsi="Arial" w:cs="Arial"/>
          <w:lang w:val="en-PH"/>
        </w:rPr>
        <w:t xml:space="preserve">Puślecki, Z. W. (2025b).Pressures of changes in foreign trade policy and geoeconomics risks. </w:t>
      </w:r>
      <w:r w:rsidRPr="0001351C">
        <w:rPr>
          <w:rFonts w:ascii="Arial" w:hAnsi="Arial" w:cs="Arial"/>
          <w:i/>
          <w:iCs/>
          <w:lang w:val="en-PH"/>
        </w:rPr>
        <w:t>Design, Constructions, Maintenance</w:t>
      </w:r>
      <w:r w:rsidRPr="0001351C">
        <w:rPr>
          <w:rFonts w:ascii="Arial" w:hAnsi="Arial" w:cs="Arial"/>
          <w:lang w:val="en-PH"/>
        </w:rPr>
        <w:t>, 5. https://doi.org/10.37394/232022.2025.5.13</w:t>
      </w:r>
    </w:p>
    <w:p w14:paraId="099A0FD3" w14:textId="77777777" w:rsidR="0001351C" w:rsidRDefault="0001351C" w:rsidP="001630B8">
      <w:pPr>
        <w:pStyle w:val="Body"/>
        <w:spacing w:after="0"/>
        <w:rPr>
          <w:rFonts w:ascii="Arial" w:hAnsi="Arial" w:cs="Arial"/>
        </w:rPr>
      </w:pPr>
    </w:p>
    <w:p w14:paraId="2D206D2E" w14:textId="77777777" w:rsidR="001630B8" w:rsidRPr="001630B8" w:rsidRDefault="001630B8" w:rsidP="001630B8">
      <w:pPr>
        <w:pStyle w:val="Body"/>
        <w:spacing w:after="0"/>
        <w:rPr>
          <w:rFonts w:ascii="Arial" w:hAnsi="Arial" w:cs="Arial"/>
          <w:lang w:val="en-PH"/>
        </w:rPr>
      </w:pPr>
    </w:p>
    <w:p w14:paraId="140A405B" w14:textId="77777777" w:rsidR="001630B8" w:rsidRDefault="001630B8" w:rsidP="001630B8">
      <w:pPr>
        <w:pStyle w:val="Body"/>
        <w:spacing w:after="0"/>
        <w:rPr>
          <w:rFonts w:ascii="Arial" w:hAnsi="Arial" w:cs="Arial"/>
          <w:i/>
          <w:iCs/>
          <w:lang w:val="en-PH"/>
        </w:rPr>
      </w:pPr>
      <w:r w:rsidRPr="001630B8">
        <w:rPr>
          <w:rFonts w:ascii="Arial" w:hAnsi="Arial" w:cs="Arial"/>
          <w:lang w:val="en-PH"/>
        </w:rPr>
        <w:t xml:space="preserve">Robbins, D. (2003). The impact of trade liberalization upon inequality in developing countries: A review of theory and evidence. </w:t>
      </w:r>
      <w:r w:rsidRPr="001630B8">
        <w:rPr>
          <w:rFonts w:ascii="Arial" w:hAnsi="Arial" w:cs="Arial"/>
          <w:i/>
          <w:iCs/>
          <w:lang w:val="en-PH"/>
        </w:rPr>
        <w:t>Documentos de Economía.</w:t>
      </w:r>
    </w:p>
    <w:p w14:paraId="11598EEF" w14:textId="77777777" w:rsidR="001630B8" w:rsidRPr="001630B8" w:rsidRDefault="001630B8" w:rsidP="001630B8">
      <w:pPr>
        <w:pStyle w:val="Body"/>
        <w:spacing w:after="0"/>
        <w:rPr>
          <w:rFonts w:ascii="Arial" w:hAnsi="Arial" w:cs="Arial"/>
          <w:lang w:val="en-PH"/>
        </w:rPr>
      </w:pPr>
    </w:p>
    <w:p w14:paraId="685394E2" w14:textId="77777777" w:rsidR="001630B8" w:rsidRDefault="001630B8" w:rsidP="001630B8">
      <w:pPr>
        <w:pStyle w:val="Body"/>
        <w:spacing w:after="0"/>
        <w:rPr>
          <w:rFonts w:ascii="Arial" w:hAnsi="Arial" w:cs="Arial"/>
          <w:i/>
          <w:iCs/>
          <w:lang w:val="en-PH"/>
        </w:rPr>
      </w:pPr>
      <w:r w:rsidRPr="001630B8">
        <w:rPr>
          <w:rFonts w:ascii="Arial" w:hAnsi="Arial" w:cs="Arial"/>
          <w:lang w:val="en-PH"/>
        </w:rPr>
        <w:t xml:space="preserve">Santiago, F. A., Jr. (2015). A historical evaluation of the emergence of Nueva Ecija as the rice granary of the Philippines. </w:t>
      </w:r>
      <w:r w:rsidRPr="001630B8">
        <w:rPr>
          <w:rFonts w:ascii="Arial" w:hAnsi="Arial" w:cs="Arial"/>
          <w:i/>
          <w:iCs/>
          <w:lang w:val="en-PH"/>
        </w:rPr>
        <w:t>DLSU Research Congress.</w:t>
      </w:r>
    </w:p>
    <w:p w14:paraId="5D9697BB" w14:textId="77777777" w:rsidR="001630B8" w:rsidRPr="001630B8" w:rsidRDefault="001630B8" w:rsidP="001630B8">
      <w:pPr>
        <w:pStyle w:val="Body"/>
        <w:spacing w:after="0"/>
        <w:rPr>
          <w:rFonts w:ascii="Arial" w:hAnsi="Arial" w:cs="Arial"/>
          <w:lang w:val="en-PH"/>
        </w:rPr>
      </w:pPr>
    </w:p>
    <w:p w14:paraId="69839A49" w14:textId="77777777" w:rsidR="001630B8" w:rsidRDefault="001630B8" w:rsidP="001630B8">
      <w:pPr>
        <w:pStyle w:val="Body"/>
        <w:spacing w:after="0"/>
        <w:rPr>
          <w:rFonts w:ascii="Arial" w:hAnsi="Arial" w:cs="Arial"/>
          <w:lang w:val="en-PH"/>
        </w:rPr>
      </w:pPr>
      <w:r w:rsidRPr="001630B8">
        <w:rPr>
          <w:rFonts w:ascii="Arial" w:hAnsi="Arial" w:cs="Arial"/>
          <w:lang w:val="en-PH"/>
        </w:rPr>
        <w:t xml:space="preserve">Santos, M. D., Clemente, M. O., &amp; Gabriel, A. G. (2018). A comparative analysis of farmgate and regulated prices of palay in Nueva Ecija, Philippines: A policy revisited. </w:t>
      </w:r>
      <w:r w:rsidRPr="001630B8">
        <w:rPr>
          <w:rFonts w:ascii="Arial" w:hAnsi="Arial" w:cs="Arial"/>
          <w:i/>
          <w:iCs/>
          <w:lang w:val="en-PH"/>
        </w:rPr>
        <w:t>Open Journal of Social Sciences, 6</w:t>
      </w:r>
      <w:r w:rsidRPr="001630B8">
        <w:rPr>
          <w:rFonts w:ascii="Arial" w:hAnsi="Arial" w:cs="Arial"/>
          <w:lang w:val="en-PH"/>
        </w:rPr>
        <w:t>(3), 50–60.</w:t>
      </w:r>
    </w:p>
    <w:p w14:paraId="5DF17749" w14:textId="77777777" w:rsidR="001630B8" w:rsidRPr="001630B8" w:rsidRDefault="001630B8" w:rsidP="001630B8">
      <w:pPr>
        <w:pStyle w:val="Body"/>
        <w:spacing w:after="0"/>
        <w:rPr>
          <w:rFonts w:ascii="Arial" w:hAnsi="Arial" w:cs="Arial"/>
          <w:lang w:val="en-PH"/>
        </w:rPr>
      </w:pPr>
    </w:p>
    <w:p w14:paraId="78C2C9D8" w14:textId="77777777" w:rsidR="001630B8" w:rsidRDefault="001630B8" w:rsidP="001630B8">
      <w:pPr>
        <w:pStyle w:val="Body"/>
        <w:spacing w:after="0"/>
        <w:rPr>
          <w:rFonts w:ascii="Arial" w:hAnsi="Arial" w:cs="Arial"/>
          <w:lang w:val="en-PH"/>
        </w:rPr>
      </w:pPr>
      <w:r w:rsidRPr="001630B8">
        <w:rPr>
          <w:rFonts w:ascii="Arial" w:hAnsi="Arial" w:cs="Arial"/>
          <w:lang w:val="en-PH"/>
        </w:rPr>
        <w:t xml:space="preserve">Tallada, J. G. (2019). Precision agriculture for rice production in the Philippines. In </w:t>
      </w:r>
      <w:r w:rsidRPr="001630B8">
        <w:rPr>
          <w:rFonts w:ascii="Arial" w:hAnsi="Arial" w:cs="Arial"/>
          <w:i/>
          <w:iCs/>
          <w:lang w:val="en-PH"/>
        </w:rPr>
        <w:t>International Workshop on ICTs for Precision Agriculture,</w:t>
      </w:r>
      <w:r w:rsidRPr="001630B8">
        <w:rPr>
          <w:rFonts w:ascii="Arial" w:hAnsi="Arial" w:cs="Arial"/>
          <w:lang w:val="en-PH"/>
        </w:rPr>
        <w:t xml:space="preserve"> 79.</w:t>
      </w:r>
    </w:p>
    <w:p w14:paraId="4FC13754" w14:textId="77777777" w:rsidR="001630B8" w:rsidRPr="001630B8" w:rsidRDefault="001630B8" w:rsidP="001630B8">
      <w:pPr>
        <w:pStyle w:val="Body"/>
        <w:spacing w:after="0"/>
        <w:rPr>
          <w:rFonts w:ascii="Arial" w:hAnsi="Arial" w:cs="Arial"/>
          <w:lang w:val="en-PH"/>
        </w:rPr>
      </w:pPr>
    </w:p>
    <w:p w14:paraId="63C64FD0" w14:textId="77777777" w:rsidR="001630B8" w:rsidRPr="001630B8" w:rsidRDefault="001630B8" w:rsidP="001630B8">
      <w:pPr>
        <w:pStyle w:val="Body"/>
        <w:spacing w:after="0"/>
        <w:rPr>
          <w:rFonts w:ascii="Arial" w:hAnsi="Arial" w:cs="Arial"/>
          <w:lang w:val="en-PH"/>
        </w:rPr>
      </w:pPr>
      <w:r w:rsidRPr="001630B8">
        <w:rPr>
          <w:rFonts w:ascii="Arial" w:hAnsi="Arial" w:cs="Arial"/>
          <w:lang w:val="en-PH"/>
        </w:rPr>
        <w:t xml:space="preserve">Tolentino, V. (2002). Rice policy reforms in the Philippines: A political economy perspective. </w:t>
      </w:r>
      <w:r w:rsidRPr="001630B8">
        <w:rPr>
          <w:rFonts w:ascii="Arial" w:hAnsi="Arial" w:cs="Arial"/>
          <w:i/>
          <w:iCs/>
          <w:lang w:val="en-PH"/>
        </w:rPr>
        <w:t>Policy Notes.</w:t>
      </w:r>
    </w:p>
    <w:p w14:paraId="49F0D194" w14:textId="77777777" w:rsidR="001630B8" w:rsidRDefault="001630B8" w:rsidP="001630B8">
      <w:pPr>
        <w:pStyle w:val="Body"/>
        <w:spacing w:after="0"/>
        <w:rPr>
          <w:rFonts w:ascii="Arial" w:hAnsi="Arial" w:cs="Arial"/>
          <w:lang w:val="en-PH"/>
        </w:rPr>
      </w:pPr>
      <w:r w:rsidRPr="001630B8">
        <w:rPr>
          <w:rFonts w:ascii="Arial" w:hAnsi="Arial" w:cs="Arial"/>
          <w:lang w:val="en-PH"/>
        </w:rPr>
        <w:t xml:space="preserve">Tolentino, V. B. J. (2002). The globalization of food security: Rice policy reforms in the Philippines. </w:t>
      </w:r>
      <w:r w:rsidRPr="001630B8">
        <w:rPr>
          <w:rFonts w:ascii="Arial" w:hAnsi="Arial" w:cs="Arial"/>
          <w:i/>
          <w:iCs/>
          <w:lang w:val="en-PH"/>
        </w:rPr>
        <w:t>Philippine Journal of Development, 29</w:t>
      </w:r>
      <w:r w:rsidRPr="001630B8">
        <w:rPr>
          <w:rFonts w:ascii="Arial" w:hAnsi="Arial" w:cs="Arial"/>
          <w:lang w:val="en-PH"/>
        </w:rPr>
        <w:t>(2), 27–61.</w:t>
      </w:r>
    </w:p>
    <w:p w14:paraId="08330921" w14:textId="77777777" w:rsidR="001630B8" w:rsidRPr="001630B8" w:rsidRDefault="001630B8" w:rsidP="001630B8">
      <w:pPr>
        <w:pStyle w:val="Body"/>
        <w:spacing w:after="0"/>
        <w:rPr>
          <w:rFonts w:ascii="Arial" w:hAnsi="Arial" w:cs="Arial"/>
          <w:lang w:val="en-PH"/>
        </w:rPr>
      </w:pPr>
    </w:p>
    <w:p w14:paraId="36A4EDA3" w14:textId="77777777" w:rsidR="001630B8" w:rsidRDefault="001630B8" w:rsidP="001630B8">
      <w:pPr>
        <w:pStyle w:val="Body"/>
        <w:spacing w:after="0"/>
        <w:rPr>
          <w:rFonts w:ascii="Arial" w:hAnsi="Arial" w:cs="Arial"/>
          <w:lang w:val="en-PH"/>
        </w:rPr>
      </w:pPr>
      <w:r w:rsidRPr="001630B8">
        <w:rPr>
          <w:rFonts w:ascii="Arial" w:hAnsi="Arial" w:cs="Arial"/>
          <w:lang w:val="en-PH"/>
        </w:rPr>
        <w:t xml:space="preserve">Tomlins, K. I., Manful, J. T., Larwer, P., &amp; Hammond, L. (2005). Urban consumer preferences and sensory evaluation of locally produced and imported rice in West Africa. </w:t>
      </w:r>
      <w:r w:rsidRPr="001630B8">
        <w:rPr>
          <w:rFonts w:ascii="Arial" w:hAnsi="Arial" w:cs="Arial"/>
          <w:i/>
          <w:iCs/>
          <w:lang w:val="en-PH"/>
        </w:rPr>
        <w:t>Food Quality and Preference, 16</w:t>
      </w:r>
      <w:r w:rsidRPr="001630B8">
        <w:rPr>
          <w:rFonts w:ascii="Arial" w:hAnsi="Arial" w:cs="Arial"/>
          <w:lang w:val="en-PH"/>
        </w:rPr>
        <w:t>(1), 79–89.</w:t>
      </w:r>
    </w:p>
    <w:p w14:paraId="64C51D01" w14:textId="77777777" w:rsidR="001630B8" w:rsidRPr="001630B8" w:rsidRDefault="001630B8" w:rsidP="001630B8">
      <w:pPr>
        <w:pStyle w:val="Body"/>
        <w:spacing w:after="0"/>
        <w:rPr>
          <w:rFonts w:ascii="Arial" w:hAnsi="Arial" w:cs="Arial"/>
          <w:lang w:val="en-PH"/>
        </w:rPr>
      </w:pPr>
    </w:p>
    <w:p w14:paraId="703D5C01" w14:textId="77777777" w:rsidR="001630B8" w:rsidRDefault="001630B8" w:rsidP="001630B8">
      <w:pPr>
        <w:pStyle w:val="Body"/>
        <w:spacing w:after="0"/>
        <w:rPr>
          <w:rFonts w:ascii="Arial" w:hAnsi="Arial" w:cs="Arial"/>
          <w:lang w:val="en-PH"/>
        </w:rPr>
      </w:pPr>
      <w:r w:rsidRPr="001630B8">
        <w:rPr>
          <w:rFonts w:ascii="Arial" w:hAnsi="Arial" w:cs="Arial"/>
          <w:lang w:val="en-PH"/>
        </w:rPr>
        <w:t xml:space="preserve">Vertudes, M. F., Musa, C. D., Cosilet, M. A., Salagubang, R., &amp; Balaria, F. (2020). Impact of rice tariffication law in selected rice farmers in Nueva Ecija, Philippines. </w:t>
      </w:r>
      <w:r w:rsidRPr="001630B8">
        <w:rPr>
          <w:rFonts w:ascii="Arial" w:hAnsi="Arial" w:cs="Arial"/>
          <w:i/>
          <w:iCs/>
          <w:lang w:val="en-PH"/>
        </w:rPr>
        <w:t>International Journal of Advanced Engineering, Management and Science, 6</w:t>
      </w:r>
      <w:r w:rsidRPr="001630B8">
        <w:rPr>
          <w:rFonts w:ascii="Arial" w:hAnsi="Arial" w:cs="Arial"/>
          <w:lang w:val="en-PH"/>
        </w:rPr>
        <w:t>(3), 147–153.</w:t>
      </w:r>
    </w:p>
    <w:p w14:paraId="25959A95" w14:textId="77777777" w:rsidR="001630B8" w:rsidRPr="001630B8" w:rsidRDefault="001630B8" w:rsidP="001630B8">
      <w:pPr>
        <w:pStyle w:val="Body"/>
        <w:spacing w:after="0"/>
        <w:rPr>
          <w:rFonts w:ascii="Arial" w:hAnsi="Arial" w:cs="Arial"/>
          <w:lang w:val="en-PH"/>
        </w:rPr>
      </w:pPr>
    </w:p>
    <w:p w14:paraId="7CFF91BD" w14:textId="77777777" w:rsidR="001630B8" w:rsidRDefault="001630B8" w:rsidP="001630B8">
      <w:pPr>
        <w:pStyle w:val="Body"/>
        <w:spacing w:after="0"/>
        <w:rPr>
          <w:rFonts w:ascii="Arial" w:hAnsi="Arial" w:cs="Arial"/>
          <w:lang w:val="en-PH"/>
        </w:rPr>
      </w:pPr>
      <w:r w:rsidRPr="001630B8">
        <w:rPr>
          <w:rFonts w:ascii="Arial" w:hAnsi="Arial" w:cs="Arial"/>
          <w:lang w:val="en-PH"/>
        </w:rPr>
        <w:t xml:space="preserve">Wahyudi, A., Kuwornu, J. K., Gunawan, E., Datta, A., &amp; Nguyen, L. T. (2019). Factors influencing purchase frequency of locally produced rice in Indonesia: A Poisson regression analysis. </w:t>
      </w:r>
      <w:r w:rsidRPr="001630B8">
        <w:rPr>
          <w:rFonts w:ascii="Arial" w:hAnsi="Arial" w:cs="Arial"/>
          <w:i/>
          <w:iCs/>
          <w:lang w:val="en-PH"/>
        </w:rPr>
        <w:t>Agriculture, 9</w:t>
      </w:r>
      <w:r w:rsidRPr="001630B8">
        <w:rPr>
          <w:rFonts w:ascii="Arial" w:hAnsi="Arial" w:cs="Arial"/>
          <w:lang w:val="en-PH"/>
        </w:rPr>
        <w:t>(6), 117.</w:t>
      </w:r>
    </w:p>
    <w:p w14:paraId="06237492" w14:textId="77777777" w:rsidR="001630B8" w:rsidRPr="001630B8" w:rsidRDefault="001630B8" w:rsidP="001630B8">
      <w:pPr>
        <w:pStyle w:val="Body"/>
        <w:spacing w:after="0"/>
        <w:rPr>
          <w:rFonts w:ascii="Arial" w:hAnsi="Arial" w:cs="Arial"/>
          <w:lang w:val="en-PH"/>
        </w:rPr>
      </w:pPr>
    </w:p>
    <w:p w14:paraId="7386F7C4" w14:textId="77777777" w:rsidR="001630B8" w:rsidRPr="001630B8" w:rsidRDefault="001630B8" w:rsidP="001630B8">
      <w:pPr>
        <w:pStyle w:val="Body"/>
        <w:spacing w:after="0"/>
        <w:rPr>
          <w:rFonts w:ascii="Arial" w:hAnsi="Arial" w:cs="Arial"/>
          <w:lang w:val="en-PH"/>
        </w:rPr>
      </w:pPr>
      <w:r w:rsidRPr="001630B8">
        <w:rPr>
          <w:rFonts w:ascii="Arial" w:hAnsi="Arial" w:cs="Arial"/>
          <w:lang w:val="en-PH"/>
        </w:rPr>
        <w:t xml:space="preserve">World Bank. (2020). </w:t>
      </w:r>
      <w:r w:rsidRPr="001630B8">
        <w:rPr>
          <w:rFonts w:ascii="Arial" w:hAnsi="Arial" w:cs="Arial"/>
          <w:i/>
          <w:iCs/>
          <w:lang w:val="en-PH"/>
        </w:rPr>
        <w:t>Philippines Economic Update: Braving the New Normal.</w:t>
      </w:r>
      <w:r w:rsidRPr="001630B8">
        <w:rPr>
          <w:rFonts w:ascii="Arial" w:hAnsi="Arial" w:cs="Arial"/>
          <w:lang w:val="en-PH"/>
        </w:rPr>
        <w:t xml:space="preserve"> World Bank Publications.</w:t>
      </w:r>
    </w:p>
    <w:p w14:paraId="46FBD954" w14:textId="77777777" w:rsidR="00441B6F" w:rsidRDefault="00441B6F" w:rsidP="00441B6F">
      <w:pPr>
        <w:pStyle w:val="Body"/>
        <w:spacing w:after="0"/>
        <w:jc w:val="left"/>
        <w:rPr>
          <w:rFonts w:ascii="Arial" w:hAnsi="Arial" w:cs="Arial"/>
        </w:rPr>
      </w:pPr>
    </w:p>
    <w:p w14:paraId="46CD3A91" w14:textId="77777777" w:rsidR="00B01FCD" w:rsidRPr="00FB3A86" w:rsidRDefault="00B01FCD" w:rsidP="00441B6F">
      <w:pPr>
        <w:pStyle w:val="Reference"/>
        <w:numPr>
          <w:ilvl w:val="0"/>
          <w:numId w:val="0"/>
        </w:numPr>
        <w:spacing w:line="240" w:lineRule="auto"/>
        <w:rPr>
          <w:rFonts w:ascii="Arial" w:hAnsi="Arial" w:cs="Arial"/>
        </w:rPr>
      </w:pPr>
    </w:p>
    <w:sectPr w:rsidR="00B01FCD" w:rsidRPr="00FB3A86" w:rsidSect="00A55CDB">
      <w:headerReference w:type="even" r:id="rId30"/>
      <w:headerReference w:type="default" r:id="rId31"/>
      <w:footerReference w:type="default" r:id="rId32"/>
      <w:headerReference w:type="first" r:id="rId33"/>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1BBB94" w14:textId="77777777" w:rsidR="00D31350" w:rsidRDefault="00D31350" w:rsidP="00C37E61">
      <w:r>
        <w:separator/>
      </w:r>
    </w:p>
  </w:endnote>
  <w:endnote w:type="continuationSeparator" w:id="0">
    <w:p w14:paraId="6C51E341" w14:textId="77777777" w:rsidR="00D31350" w:rsidRDefault="00D31350"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08C358" w14:textId="77777777" w:rsidR="00F14F82" w:rsidRDefault="00F14F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EBF593" w14:textId="77777777" w:rsidR="00F14F82" w:rsidRDefault="00F14F8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FB739C" w14:textId="50649386" w:rsidR="00F14F82" w:rsidRPr="00A55CDB" w:rsidRDefault="00F14F82" w:rsidP="00A55CD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FECF0F" w14:textId="77777777" w:rsidR="00F14F82" w:rsidRPr="00C37E61" w:rsidRDefault="00F14F82"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390DD6" w14:textId="77777777" w:rsidR="00D31350" w:rsidRDefault="00D31350" w:rsidP="00C37E61">
      <w:r>
        <w:separator/>
      </w:r>
    </w:p>
  </w:footnote>
  <w:footnote w:type="continuationSeparator" w:id="0">
    <w:p w14:paraId="1AB34AC3" w14:textId="77777777" w:rsidR="00D31350" w:rsidRDefault="00D31350"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F2A4B2" w14:textId="16395AD9" w:rsidR="00F14F82" w:rsidRDefault="00F14F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2D8D19" w14:textId="315EFEEA" w:rsidR="00F14F82" w:rsidRDefault="00F14F8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D46FB2" w14:textId="40BFB96D" w:rsidR="00F14F82" w:rsidRPr="00296529" w:rsidRDefault="00F14F82" w:rsidP="00296529">
    <w:pPr>
      <w:ind w:left="2160"/>
      <w:jc w:val="center"/>
      <w:rPr>
        <w:rFonts w:ascii="Times New Roman" w:eastAsia="Calibri" w:hAnsi="Times New Roman"/>
        <w:i/>
        <w:sz w:val="18"/>
        <w:szCs w:val="22"/>
      </w:rPr>
    </w:pPr>
  </w:p>
  <w:p w14:paraId="1FCDFB73" w14:textId="77777777" w:rsidR="00F14F82" w:rsidRPr="00296529" w:rsidRDefault="00F14F82"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3C3420F3" w14:textId="77777777" w:rsidR="00F14F82" w:rsidRPr="00296529" w:rsidRDefault="00F14F82"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6E0F0A1" w14:textId="77777777" w:rsidR="00F14F82" w:rsidRPr="00296529" w:rsidRDefault="00F14F82"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E7C2EF8" w14:textId="77777777" w:rsidR="00F14F82" w:rsidRDefault="00F14F82"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D22E22C" w14:textId="77777777" w:rsidR="00F14F82" w:rsidRDefault="00F14F82"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2E4B720D" w14:textId="77777777" w:rsidR="00F14F82" w:rsidRDefault="00F14F82">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C4CFCE" w14:textId="7DEB97D5" w:rsidR="00F14F82" w:rsidRDefault="00F14F8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8DE1AD" w14:textId="522CAEE7" w:rsidR="00F14F82" w:rsidRDefault="00F14F8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0EE766" w14:textId="246626CF" w:rsidR="00F14F82" w:rsidRDefault="00F14F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546EEB"/>
    <w:multiLevelType w:val="multilevel"/>
    <w:tmpl w:val="E4DA0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6"/>
  </w:num>
  <w:num w:numId="27">
    <w:abstractNumId w:val="21"/>
  </w:num>
  <w:num w:numId="28">
    <w:abstractNumId w:val="28"/>
  </w:num>
  <w:num w:numId="29">
    <w:abstractNumId w:val="25"/>
  </w:num>
  <w:num w:numId="30">
    <w:abstractNumId w:val="10"/>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1351C"/>
    <w:rsid w:val="00030174"/>
    <w:rsid w:val="0004579C"/>
    <w:rsid w:val="00086B6F"/>
    <w:rsid w:val="000929F8"/>
    <w:rsid w:val="000966AB"/>
    <w:rsid w:val="000A47FA"/>
    <w:rsid w:val="000A65D3"/>
    <w:rsid w:val="000B1E33"/>
    <w:rsid w:val="000B2B77"/>
    <w:rsid w:val="000D689F"/>
    <w:rsid w:val="000E7B7B"/>
    <w:rsid w:val="000E7D62"/>
    <w:rsid w:val="00103357"/>
    <w:rsid w:val="00117059"/>
    <w:rsid w:val="00123C9F"/>
    <w:rsid w:val="00126190"/>
    <w:rsid w:val="00130F17"/>
    <w:rsid w:val="001320BF"/>
    <w:rsid w:val="00154FC1"/>
    <w:rsid w:val="00155375"/>
    <w:rsid w:val="00155B15"/>
    <w:rsid w:val="001630B8"/>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33B73"/>
    <w:rsid w:val="0024282C"/>
    <w:rsid w:val="002460DC"/>
    <w:rsid w:val="00250985"/>
    <w:rsid w:val="002556F6"/>
    <w:rsid w:val="00281B25"/>
    <w:rsid w:val="00283105"/>
    <w:rsid w:val="00284C4C"/>
    <w:rsid w:val="00287E68"/>
    <w:rsid w:val="00296529"/>
    <w:rsid w:val="002B27FB"/>
    <w:rsid w:val="002B685A"/>
    <w:rsid w:val="002C57D2"/>
    <w:rsid w:val="002D739D"/>
    <w:rsid w:val="002E0D56"/>
    <w:rsid w:val="00306DAC"/>
    <w:rsid w:val="00307345"/>
    <w:rsid w:val="00315186"/>
    <w:rsid w:val="0033343E"/>
    <w:rsid w:val="003512C2"/>
    <w:rsid w:val="00371FB6"/>
    <w:rsid w:val="00374185"/>
    <w:rsid w:val="003763C1"/>
    <w:rsid w:val="00376BBE"/>
    <w:rsid w:val="0039224F"/>
    <w:rsid w:val="003A43A4"/>
    <w:rsid w:val="003A7E18"/>
    <w:rsid w:val="003B26A3"/>
    <w:rsid w:val="003C4C86"/>
    <w:rsid w:val="003C6258"/>
    <w:rsid w:val="003E2904"/>
    <w:rsid w:val="00401927"/>
    <w:rsid w:val="0041027F"/>
    <w:rsid w:val="00412475"/>
    <w:rsid w:val="00423789"/>
    <w:rsid w:val="00440F43"/>
    <w:rsid w:val="00441B6F"/>
    <w:rsid w:val="00446221"/>
    <w:rsid w:val="00450E62"/>
    <w:rsid w:val="004539DB"/>
    <w:rsid w:val="00471A80"/>
    <w:rsid w:val="00490A06"/>
    <w:rsid w:val="004B3A52"/>
    <w:rsid w:val="004D305E"/>
    <w:rsid w:val="004D4277"/>
    <w:rsid w:val="00502516"/>
    <w:rsid w:val="00505F06"/>
    <w:rsid w:val="00506828"/>
    <w:rsid w:val="00514F54"/>
    <w:rsid w:val="0053056E"/>
    <w:rsid w:val="00540A02"/>
    <w:rsid w:val="00554FDA"/>
    <w:rsid w:val="0056770E"/>
    <w:rsid w:val="005C6C99"/>
    <w:rsid w:val="005C784C"/>
    <w:rsid w:val="005D17F6"/>
    <w:rsid w:val="005E5539"/>
    <w:rsid w:val="00602BF5"/>
    <w:rsid w:val="006058CC"/>
    <w:rsid w:val="00617FDD"/>
    <w:rsid w:val="00633614"/>
    <w:rsid w:val="00633F68"/>
    <w:rsid w:val="00636EB2"/>
    <w:rsid w:val="006375B8"/>
    <w:rsid w:val="0066510A"/>
    <w:rsid w:val="00673F9F"/>
    <w:rsid w:val="00686953"/>
    <w:rsid w:val="00687DEA"/>
    <w:rsid w:val="00687E67"/>
    <w:rsid w:val="006967F7"/>
    <w:rsid w:val="006A250C"/>
    <w:rsid w:val="006A35B6"/>
    <w:rsid w:val="006B21D3"/>
    <w:rsid w:val="006B57D0"/>
    <w:rsid w:val="006D30FF"/>
    <w:rsid w:val="006D6940"/>
    <w:rsid w:val="006F11EC"/>
    <w:rsid w:val="0070082C"/>
    <w:rsid w:val="007369E6"/>
    <w:rsid w:val="00746E59"/>
    <w:rsid w:val="00752794"/>
    <w:rsid w:val="00754C9A"/>
    <w:rsid w:val="0075599A"/>
    <w:rsid w:val="00761D52"/>
    <w:rsid w:val="0077749E"/>
    <w:rsid w:val="00790ADA"/>
    <w:rsid w:val="007A6CB7"/>
    <w:rsid w:val="007D2288"/>
    <w:rsid w:val="007D389B"/>
    <w:rsid w:val="007E088F"/>
    <w:rsid w:val="007E7706"/>
    <w:rsid w:val="007F7B32"/>
    <w:rsid w:val="00804BC2"/>
    <w:rsid w:val="0081431A"/>
    <w:rsid w:val="0083216F"/>
    <w:rsid w:val="00844C01"/>
    <w:rsid w:val="00860000"/>
    <w:rsid w:val="00863BD3"/>
    <w:rsid w:val="008641ED"/>
    <w:rsid w:val="00866D66"/>
    <w:rsid w:val="008671C6"/>
    <w:rsid w:val="00875803"/>
    <w:rsid w:val="008B459E"/>
    <w:rsid w:val="008E13AE"/>
    <w:rsid w:val="008E1506"/>
    <w:rsid w:val="008E710C"/>
    <w:rsid w:val="008F69D6"/>
    <w:rsid w:val="00902823"/>
    <w:rsid w:val="0090708B"/>
    <w:rsid w:val="00915CA6"/>
    <w:rsid w:val="00927834"/>
    <w:rsid w:val="009500A6"/>
    <w:rsid w:val="00957C18"/>
    <w:rsid w:val="0096112D"/>
    <w:rsid w:val="009659BA"/>
    <w:rsid w:val="00983040"/>
    <w:rsid w:val="00995BAE"/>
    <w:rsid w:val="009B3FB9"/>
    <w:rsid w:val="009C2465"/>
    <w:rsid w:val="009D35A0"/>
    <w:rsid w:val="009D7EB7"/>
    <w:rsid w:val="009E048A"/>
    <w:rsid w:val="009E08E9"/>
    <w:rsid w:val="009E3DB9"/>
    <w:rsid w:val="009E6E35"/>
    <w:rsid w:val="009F0EDA"/>
    <w:rsid w:val="00A03B96"/>
    <w:rsid w:val="00A05B19"/>
    <w:rsid w:val="00A1134E"/>
    <w:rsid w:val="00A1723F"/>
    <w:rsid w:val="00A24E7E"/>
    <w:rsid w:val="00A258C3"/>
    <w:rsid w:val="00A26BAD"/>
    <w:rsid w:val="00A347C0"/>
    <w:rsid w:val="00A51431"/>
    <w:rsid w:val="00A539AD"/>
    <w:rsid w:val="00A55CDB"/>
    <w:rsid w:val="00A62540"/>
    <w:rsid w:val="00A94063"/>
    <w:rsid w:val="00AA604C"/>
    <w:rsid w:val="00AA6219"/>
    <w:rsid w:val="00AA74E0"/>
    <w:rsid w:val="00AB703F"/>
    <w:rsid w:val="00AC6BB8"/>
    <w:rsid w:val="00AC739A"/>
    <w:rsid w:val="00AE008F"/>
    <w:rsid w:val="00B01FCD"/>
    <w:rsid w:val="00B1776C"/>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73F1"/>
    <w:rsid w:val="00D31350"/>
    <w:rsid w:val="00D319A9"/>
    <w:rsid w:val="00D408E2"/>
    <w:rsid w:val="00D74CB0"/>
    <w:rsid w:val="00D816CE"/>
    <w:rsid w:val="00D8295D"/>
    <w:rsid w:val="00D91068"/>
    <w:rsid w:val="00DA6A8E"/>
    <w:rsid w:val="00DC2A65"/>
    <w:rsid w:val="00DE15F0"/>
    <w:rsid w:val="00DE5663"/>
    <w:rsid w:val="00DE78AA"/>
    <w:rsid w:val="00E053D0"/>
    <w:rsid w:val="00E15994"/>
    <w:rsid w:val="00E251F3"/>
    <w:rsid w:val="00E3114E"/>
    <w:rsid w:val="00E31A70"/>
    <w:rsid w:val="00E35B02"/>
    <w:rsid w:val="00E40AE1"/>
    <w:rsid w:val="00E66496"/>
    <w:rsid w:val="00E66B35"/>
    <w:rsid w:val="00E66E10"/>
    <w:rsid w:val="00E769F6"/>
    <w:rsid w:val="00E8407C"/>
    <w:rsid w:val="00E84F3C"/>
    <w:rsid w:val="00EA012C"/>
    <w:rsid w:val="00EC6A55"/>
    <w:rsid w:val="00ED0288"/>
    <w:rsid w:val="00EE52CB"/>
    <w:rsid w:val="00EF55D7"/>
    <w:rsid w:val="00EF581D"/>
    <w:rsid w:val="00EF7FD8"/>
    <w:rsid w:val="00F042EF"/>
    <w:rsid w:val="00F06F59"/>
    <w:rsid w:val="00F14F82"/>
    <w:rsid w:val="00F17988"/>
    <w:rsid w:val="00F36CBB"/>
    <w:rsid w:val="00F469F0"/>
    <w:rsid w:val="00F53273"/>
    <w:rsid w:val="00F755E4"/>
    <w:rsid w:val="00F77D02"/>
    <w:rsid w:val="00FB3A86"/>
    <w:rsid w:val="00FB5C0C"/>
    <w:rsid w:val="00FD36C8"/>
    <w:rsid w:val="00FD63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2654D11"/>
  <w15:docId w15:val="{3257015C-4F25-4492-B318-9DD30824D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01351C"/>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FooterChar">
    <w:name w:val="Footer Char"/>
    <w:basedOn w:val="DefaultParagraphFont"/>
    <w:link w:val="Footer"/>
    <w:uiPriority w:val="99"/>
    <w:rsid w:val="003B26A3"/>
    <w:rPr>
      <w:rFonts w:ascii="Helvetica" w:hAnsi="Helvetica"/>
    </w:rPr>
  </w:style>
  <w:style w:type="character" w:customStyle="1" w:styleId="Heading3Char">
    <w:name w:val="Heading 3 Char"/>
    <w:basedOn w:val="DefaultParagraphFont"/>
    <w:link w:val="Heading3"/>
    <w:semiHidden/>
    <w:rsid w:val="0001351C"/>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45182329">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2499/p15738coll2.133994" TargetMode="External"/><Relationship Id="rId26" Type="http://schemas.openxmlformats.org/officeDocument/2006/relationships/hyperlink" Target="https://doi.org/10.4236/ajibm.2022.127069" TargetMode="External"/><Relationship Id="rId3" Type="http://schemas.openxmlformats.org/officeDocument/2006/relationships/styles" Target="styles.xml"/><Relationship Id="rId21" Type="http://schemas.openxmlformats.org/officeDocument/2006/relationships/hyperlink" Target="https://www.da.gov.ph"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oleObject" Target="embeddings/oleObject2.bin"/><Relationship Id="rId25" Type="http://schemas.openxmlformats.org/officeDocument/2006/relationships/hyperlink" Target="https://doi.org/10.51737/2766-4775.2022.070" TargetMode="External"/><Relationship Id="rId33"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image" Target="media/image2.wmf"/><Relationship Id="rId20" Type="http://schemas.openxmlformats.org/officeDocument/2006/relationships/hyperlink" Target="https://www.da.gov.ph/understanding-the-rice-tariffication-law-rtl-or-ra-11203-and-its-ramifications/" TargetMode="External"/><Relationship Id="rId29" Type="http://schemas.openxmlformats.org/officeDocument/2006/relationships/hyperlink" Target="https://doi.org/10.54647/economics79050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psa.gov.ph" TargetMode="External"/><Relationship Id="rId32"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hyperlink" Target="https://hrep-website.s3.ap-southeast-1.amazonaws.com/legisdocs/basic_18/HB04625.pdf" TargetMode="External"/><Relationship Id="rId28" Type="http://schemas.openxmlformats.org/officeDocument/2006/relationships/hyperlink" Target="https://www.researchgate.net/publication/377746532_Puslecki_Z_W_2022_Swiat_we_mgle_Modyfikacje_strukturalne_w_gospodarce_swiatowej_po_pandemii_COVID-19_i_wojnie_Rosji_z_Ukraina_Berlin_GlobeEdit_Chisinau" TargetMode="External"/><Relationship Id="rId10" Type="http://schemas.openxmlformats.org/officeDocument/2006/relationships/footer" Target="footer1.xml"/><Relationship Id="rId19" Type="http://schemas.openxmlformats.org/officeDocument/2006/relationships/hyperlink" Target="https://www.irri.org/news-and-events/news/covid19-threat-stability-rice-price-and-supply" TargetMode="External"/><Relationship Id="rId31"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wmf"/><Relationship Id="rId22" Type="http://schemas.openxmlformats.org/officeDocument/2006/relationships/hyperlink" Target="https://www.dof.gov.ph/rice-tariffication-a-gamechanger-in-2019/" TargetMode="External"/><Relationship Id="rId27" Type="http://schemas.openxmlformats.org/officeDocument/2006/relationships/hyperlink" Target="https://doi.org/10.9734/bpi/cabef/v2/16886D" TargetMode="External"/><Relationship Id="rId30" Type="http://schemas.openxmlformats.org/officeDocument/2006/relationships/header" Target="header4.xml"/><Relationship Id="rId35" Type="http://schemas.openxmlformats.org/officeDocument/2006/relationships/theme" Target="theme/theme1.xml"/><Relationship Id="rId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E03A20-39BB-49D7-8254-66D4C65A9C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74</TotalTime>
  <Pages>13</Pages>
  <Words>6332</Words>
  <Characters>36096</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42344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subject/>
  <dc:creator>SDI</dc:creator>
  <cp:keywords/>
  <dc:description/>
  <cp:lastModifiedBy>Editor-1183</cp:lastModifiedBy>
  <cp:revision>12</cp:revision>
  <cp:lastPrinted>1999-07-06T11:00:00Z</cp:lastPrinted>
  <dcterms:created xsi:type="dcterms:W3CDTF">2025-11-15T13:47:00Z</dcterms:created>
  <dcterms:modified xsi:type="dcterms:W3CDTF">2025-11-24T10:49:00Z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befb6fcf-4e44-4455-bb56-04bd8cbe991d</vt:lpwstr>
  </property>
</Properties>
</file>