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1D2C2" w14:textId="41C64C51" w:rsidR="00E56F63" w:rsidRPr="006E5FF9" w:rsidRDefault="006A18AE" w:rsidP="00B92E75">
      <w:pPr>
        <w:spacing w:after="0" w:line="240" w:lineRule="auto"/>
        <w:jc w:val="center"/>
        <w:rPr>
          <w:rFonts w:ascii="Arial" w:hAnsi="Arial" w:cs="Arial"/>
          <w:b/>
          <w:sz w:val="36"/>
          <w:szCs w:val="36"/>
        </w:rPr>
      </w:pPr>
      <w:r w:rsidRPr="006E5FF9">
        <w:rPr>
          <w:rFonts w:ascii="Arial" w:hAnsi="Arial" w:cs="Arial"/>
          <w:b/>
          <w:sz w:val="36"/>
          <w:szCs w:val="36"/>
        </w:rPr>
        <w:t xml:space="preserve">DETERMINANTS OF STOCK MARKET FINANCIAL PERFORMANCE </w:t>
      </w:r>
      <w:r w:rsidR="002201C6" w:rsidRPr="002201C6">
        <w:rPr>
          <w:rFonts w:ascii="Arial" w:hAnsi="Arial" w:cs="Arial"/>
          <w:b/>
          <w:sz w:val="36"/>
          <w:szCs w:val="36"/>
        </w:rPr>
        <w:t>AMONG LISTED FIRMS IN TANZANIA</w:t>
      </w:r>
    </w:p>
    <w:p w14:paraId="75C2DF1E" w14:textId="77777777" w:rsidR="00B92E75" w:rsidRPr="006E5FF9" w:rsidRDefault="00B92E75" w:rsidP="00B92E75">
      <w:pPr>
        <w:spacing w:after="0" w:line="240" w:lineRule="auto"/>
        <w:jc w:val="center"/>
        <w:rPr>
          <w:rFonts w:ascii="Arial" w:hAnsi="Arial" w:cs="Arial"/>
          <w:b/>
          <w:sz w:val="28"/>
          <w:szCs w:val="28"/>
        </w:rPr>
      </w:pPr>
    </w:p>
    <w:p w14:paraId="552357CF" w14:textId="77777777" w:rsidR="00D015CF" w:rsidRDefault="00D015CF" w:rsidP="005E13CD">
      <w:pPr>
        <w:spacing w:after="0" w:line="240" w:lineRule="auto"/>
        <w:jc w:val="center"/>
        <w:rPr>
          <w:rFonts w:ascii="Arial" w:hAnsi="Arial" w:cs="Arial"/>
          <w:b/>
          <w:sz w:val="20"/>
          <w:szCs w:val="20"/>
        </w:rPr>
      </w:pPr>
    </w:p>
    <w:p w14:paraId="564A0528" w14:textId="77777777" w:rsidR="00707268" w:rsidRPr="006E5FF9" w:rsidRDefault="00707268" w:rsidP="005E13CD">
      <w:pPr>
        <w:spacing w:after="0" w:line="240" w:lineRule="auto"/>
        <w:jc w:val="center"/>
        <w:rPr>
          <w:rFonts w:ascii="Arial" w:hAnsi="Arial" w:cs="Arial"/>
          <w:b/>
          <w:sz w:val="28"/>
          <w:szCs w:val="28"/>
        </w:rPr>
      </w:pPr>
    </w:p>
    <w:p w14:paraId="764C7220" w14:textId="0C5B334E" w:rsidR="006C58C4" w:rsidRPr="006E5FF9" w:rsidRDefault="005E13CD" w:rsidP="005E13CD">
      <w:pPr>
        <w:spacing w:after="0" w:line="240" w:lineRule="auto"/>
        <w:rPr>
          <w:rFonts w:ascii="Arial" w:hAnsi="Arial" w:cs="Arial"/>
          <w:b/>
        </w:rPr>
      </w:pPr>
      <w:r w:rsidRPr="006E5FF9">
        <w:rPr>
          <w:rFonts w:ascii="Arial" w:hAnsi="Arial" w:cs="Arial"/>
          <w:b/>
        </w:rPr>
        <w:t>Abstract</w:t>
      </w:r>
    </w:p>
    <w:p w14:paraId="7BC4EE02" w14:textId="77777777" w:rsidR="00AD3E49" w:rsidRPr="006E5FF9" w:rsidRDefault="00AD3E49" w:rsidP="005E13CD">
      <w:pPr>
        <w:spacing w:after="0" w:line="240" w:lineRule="auto"/>
        <w:jc w:val="both"/>
        <w:rPr>
          <w:rFonts w:ascii="Arial" w:hAnsi="Arial" w:cs="Arial"/>
          <w:sz w:val="20"/>
          <w:szCs w:val="20"/>
        </w:rPr>
      </w:pPr>
      <w:r w:rsidRPr="006E5FF9">
        <w:rPr>
          <w:rFonts w:ascii="Arial" w:hAnsi="Arial" w:cs="Arial"/>
          <w:sz w:val="20"/>
          <w:szCs w:val="20"/>
        </w:rPr>
        <w:t xml:space="preserve">Aims: </w:t>
      </w:r>
      <w:r w:rsidR="00502B7A" w:rsidRPr="006E5FF9">
        <w:rPr>
          <w:rFonts w:ascii="Arial" w:hAnsi="Arial" w:cs="Arial"/>
          <w:sz w:val="20"/>
          <w:szCs w:val="20"/>
        </w:rPr>
        <w:t>S</w:t>
      </w:r>
      <w:r w:rsidR="00E56F63" w:rsidRPr="006E5FF9">
        <w:rPr>
          <w:rFonts w:ascii="Arial" w:hAnsi="Arial" w:cs="Arial"/>
          <w:sz w:val="20"/>
          <w:szCs w:val="20"/>
        </w:rPr>
        <w:t>tudy</w:t>
      </w:r>
      <w:r w:rsidR="00502B7A" w:rsidRPr="006E5FF9">
        <w:rPr>
          <w:rFonts w:ascii="Arial" w:hAnsi="Arial" w:cs="Arial"/>
          <w:sz w:val="20"/>
          <w:szCs w:val="20"/>
        </w:rPr>
        <w:t xml:space="preserve"> </w:t>
      </w:r>
      <w:r w:rsidR="00E56F63" w:rsidRPr="006E5FF9">
        <w:rPr>
          <w:rFonts w:ascii="Arial" w:hAnsi="Arial" w:cs="Arial"/>
          <w:sz w:val="20"/>
          <w:szCs w:val="20"/>
        </w:rPr>
        <w:t xml:space="preserve">examined </w:t>
      </w:r>
      <w:r w:rsidR="005E13CD" w:rsidRPr="006E5FF9">
        <w:rPr>
          <w:rFonts w:ascii="Arial" w:hAnsi="Arial" w:cs="Arial"/>
          <w:sz w:val="20"/>
          <w:szCs w:val="20"/>
        </w:rPr>
        <w:t xml:space="preserve">the </w:t>
      </w:r>
      <w:r w:rsidR="00F26DC1" w:rsidRPr="006E5FF9">
        <w:rPr>
          <w:rFonts w:ascii="Arial" w:hAnsi="Arial" w:cs="Arial"/>
          <w:sz w:val="20"/>
          <w:szCs w:val="20"/>
        </w:rPr>
        <w:t xml:space="preserve">determinants of stock market financial performance in Tanzania </w:t>
      </w:r>
      <w:r w:rsidR="005E13CD" w:rsidRPr="006E5FF9">
        <w:rPr>
          <w:rFonts w:ascii="Arial" w:hAnsi="Arial" w:cs="Arial"/>
          <w:sz w:val="20"/>
          <w:szCs w:val="20"/>
        </w:rPr>
        <w:t xml:space="preserve">in a case of 28 listed </w:t>
      </w:r>
      <w:r w:rsidR="00F26DC1" w:rsidRPr="006E5FF9">
        <w:rPr>
          <w:rFonts w:ascii="Arial" w:hAnsi="Arial" w:cs="Arial"/>
          <w:sz w:val="20"/>
          <w:szCs w:val="20"/>
        </w:rPr>
        <w:t>firms’</w:t>
      </w:r>
      <w:r w:rsidR="005E13CD" w:rsidRPr="006E5FF9">
        <w:rPr>
          <w:rFonts w:ascii="Arial" w:hAnsi="Arial" w:cs="Arial"/>
          <w:sz w:val="20"/>
          <w:szCs w:val="20"/>
        </w:rPr>
        <w:t xml:space="preserve"> panel data</w:t>
      </w:r>
      <w:r w:rsidR="00E56F63" w:rsidRPr="006E5FF9">
        <w:rPr>
          <w:rFonts w:ascii="Arial" w:hAnsi="Arial" w:cs="Arial"/>
          <w:sz w:val="20"/>
          <w:szCs w:val="20"/>
        </w:rPr>
        <w:t>.</w:t>
      </w:r>
      <w:r w:rsidR="00EB5AFE" w:rsidRPr="006E5FF9">
        <w:rPr>
          <w:rFonts w:ascii="Arial" w:hAnsi="Arial" w:cs="Arial"/>
          <w:sz w:val="20"/>
          <w:szCs w:val="20"/>
        </w:rPr>
        <w:t xml:space="preserve"> </w:t>
      </w:r>
      <w:r w:rsidR="00E56F63" w:rsidRPr="006E5FF9">
        <w:rPr>
          <w:rFonts w:ascii="Arial" w:hAnsi="Arial" w:cs="Arial"/>
          <w:sz w:val="20"/>
          <w:szCs w:val="20"/>
        </w:rPr>
        <w:t xml:space="preserve">The </w:t>
      </w:r>
      <w:r w:rsidR="003D5F25" w:rsidRPr="006E5FF9">
        <w:rPr>
          <w:rFonts w:ascii="Arial" w:hAnsi="Arial" w:cs="Arial"/>
          <w:sz w:val="20"/>
          <w:szCs w:val="20"/>
        </w:rPr>
        <w:t>general</w:t>
      </w:r>
      <w:r w:rsidR="00E56F63" w:rsidRPr="006E5FF9">
        <w:rPr>
          <w:rFonts w:ascii="Arial" w:hAnsi="Arial" w:cs="Arial"/>
          <w:sz w:val="20"/>
          <w:szCs w:val="20"/>
        </w:rPr>
        <w:t xml:space="preserve"> objective of study was to </w:t>
      </w:r>
      <w:r w:rsidR="003D5F25" w:rsidRPr="006E5FF9">
        <w:rPr>
          <w:rFonts w:ascii="Arial" w:hAnsi="Arial" w:cs="Arial"/>
          <w:sz w:val="20"/>
          <w:szCs w:val="20"/>
        </w:rPr>
        <w:t>examine</w:t>
      </w:r>
      <w:r w:rsidR="00F26DC1" w:rsidRPr="006E5FF9">
        <w:rPr>
          <w:rFonts w:ascii="Arial" w:hAnsi="Arial" w:cs="Arial"/>
          <w:sz w:val="20"/>
          <w:szCs w:val="20"/>
        </w:rPr>
        <w:t xml:space="preserve"> determinants of stock market financial performance in Tanzania in a case of 28 listed firms</w:t>
      </w:r>
      <w:r w:rsidR="00E56F63" w:rsidRPr="006E5FF9">
        <w:rPr>
          <w:rFonts w:ascii="Arial" w:hAnsi="Arial" w:cs="Arial"/>
          <w:sz w:val="20"/>
          <w:szCs w:val="20"/>
        </w:rPr>
        <w:t xml:space="preserve"> </w:t>
      </w:r>
      <w:r w:rsidR="001D78EF" w:rsidRPr="006E5FF9">
        <w:rPr>
          <w:rFonts w:ascii="Arial" w:hAnsi="Arial" w:cs="Arial"/>
          <w:sz w:val="20"/>
          <w:szCs w:val="20"/>
        </w:rPr>
        <w:t>S</w:t>
      </w:r>
      <w:r w:rsidR="00C820D6" w:rsidRPr="006E5FF9">
        <w:rPr>
          <w:rFonts w:ascii="Arial" w:hAnsi="Arial" w:cs="Arial"/>
          <w:sz w:val="20"/>
          <w:szCs w:val="20"/>
        </w:rPr>
        <w:t>tudy</w:t>
      </w:r>
      <w:r w:rsidR="001D78EF" w:rsidRPr="006E5FF9">
        <w:rPr>
          <w:rFonts w:ascii="Arial" w:hAnsi="Arial" w:cs="Arial"/>
          <w:sz w:val="20"/>
          <w:szCs w:val="20"/>
        </w:rPr>
        <w:t xml:space="preserve"> </w:t>
      </w:r>
      <w:r w:rsidR="00C820D6" w:rsidRPr="006E5FF9">
        <w:rPr>
          <w:rFonts w:ascii="Arial" w:hAnsi="Arial" w:cs="Arial"/>
          <w:sz w:val="20"/>
          <w:szCs w:val="20"/>
        </w:rPr>
        <w:t xml:space="preserve">employed </w:t>
      </w:r>
      <w:r w:rsidR="00084EDB" w:rsidRPr="006E5FF9">
        <w:rPr>
          <w:rFonts w:ascii="Arial" w:hAnsi="Arial" w:cs="Arial"/>
          <w:sz w:val="20"/>
          <w:szCs w:val="20"/>
        </w:rPr>
        <w:t>i</w:t>
      </w:r>
      <w:r w:rsidR="00C820D6" w:rsidRPr="006E5FF9">
        <w:rPr>
          <w:rFonts w:ascii="Arial" w:hAnsi="Arial" w:cs="Arial"/>
          <w:sz w:val="20"/>
          <w:szCs w:val="20"/>
        </w:rPr>
        <w:t>nstitutional theory.</w:t>
      </w:r>
    </w:p>
    <w:p w14:paraId="1EE6497D" w14:textId="77777777" w:rsidR="002749BA" w:rsidRPr="006E5FF9" w:rsidRDefault="00AD3E49" w:rsidP="005E13CD">
      <w:pPr>
        <w:spacing w:after="0" w:line="240" w:lineRule="auto"/>
        <w:jc w:val="both"/>
        <w:rPr>
          <w:rFonts w:ascii="Arial" w:hAnsi="Arial" w:cs="Arial"/>
          <w:sz w:val="20"/>
          <w:szCs w:val="20"/>
        </w:rPr>
      </w:pPr>
      <w:r w:rsidRPr="006E5FF9">
        <w:rPr>
          <w:rFonts w:ascii="Arial" w:hAnsi="Arial" w:cs="Arial"/>
          <w:b/>
          <w:sz w:val="20"/>
          <w:szCs w:val="20"/>
        </w:rPr>
        <w:t>Study Design:</w:t>
      </w:r>
      <w:r w:rsidRPr="006E5FF9">
        <w:rPr>
          <w:rFonts w:ascii="Arial" w:hAnsi="Arial" w:cs="Arial"/>
          <w:sz w:val="20"/>
          <w:szCs w:val="20"/>
        </w:rPr>
        <w:t xml:space="preserve"> </w:t>
      </w:r>
      <w:r w:rsidR="001D78EF" w:rsidRPr="006E5FF9">
        <w:rPr>
          <w:rFonts w:ascii="Arial" w:hAnsi="Arial" w:cs="Arial"/>
          <w:sz w:val="20"/>
          <w:szCs w:val="20"/>
        </w:rPr>
        <w:t>S</w:t>
      </w:r>
      <w:r w:rsidR="00E56F63" w:rsidRPr="006E5FF9">
        <w:rPr>
          <w:rFonts w:ascii="Arial" w:hAnsi="Arial" w:cs="Arial"/>
          <w:sz w:val="20"/>
          <w:szCs w:val="20"/>
        </w:rPr>
        <w:t>tudy</w:t>
      </w:r>
      <w:r w:rsidR="001D78EF" w:rsidRPr="006E5FF9">
        <w:rPr>
          <w:rFonts w:ascii="Arial" w:hAnsi="Arial" w:cs="Arial"/>
          <w:sz w:val="20"/>
          <w:szCs w:val="20"/>
        </w:rPr>
        <w:t xml:space="preserve"> </w:t>
      </w:r>
      <w:r w:rsidR="00D37192" w:rsidRPr="006E5FF9">
        <w:rPr>
          <w:rFonts w:ascii="Arial" w:hAnsi="Arial" w:cs="Arial"/>
          <w:sz w:val="20"/>
          <w:szCs w:val="20"/>
        </w:rPr>
        <w:t>used</w:t>
      </w:r>
      <w:r w:rsidR="00E56F63" w:rsidRPr="006E5FF9">
        <w:rPr>
          <w:rFonts w:ascii="Arial" w:hAnsi="Arial" w:cs="Arial"/>
          <w:sz w:val="20"/>
          <w:szCs w:val="20"/>
        </w:rPr>
        <w:t xml:space="preserve"> </w:t>
      </w:r>
      <w:r w:rsidR="008437AA" w:rsidRPr="006E5FF9">
        <w:rPr>
          <w:rFonts w:ascii="Arial" w:hAnsi="Arial" w:cs="Arial"/>
          <w:sz w:val="20"/>
          <w:szCs w:val="20"/>
        </w:rPr>
        <w:t xml:space="preserve">quantitative </w:t>
      </w:r>
      <w:r w:rsidR="00E56F63" w:rsidRPr="006E5FF9">
        <w:rPr>
          <w:rFonts w:ascii="Arial" w:hAnsi="Arial" w:cs="Arial"/>
          <w:sz w:val="20"/>
          <w:szCs w:val="20"/>
        </w:rPr>
        <w:t>research design</w:t>
      </w:r>
    </w:p>
    <w:p w14:paraId="3170B4CF" w14:textId="19E8EAF6" w:rsidR="00AD3E49" w:rsidRPr="006E5FF9" w:rsidRDefault="002749BA" w:rsidP="005E13CD">
      <w:pPr>
        <w:spacing w:after="0" w:line="240" w:lineRule="auto"/>
        <w:jc w:val="both"/>
        <w:rPr>
          <w:rFonts w:ascii="Arial" w:hAnsi="Arial" w:cs="Arial"/>
          <w:sz w:val="20"/>
          <w:szCs w:val="20"/>
        </w:rPr>
      </w:pPr>
      <w:r w:rsidRPr="006E5FF9">
        <w:rPr>
          <w:rFonts w:ascii="Arial" w:hAnsi="Arial" w:cs="Arial"/>
          <w:b/>
          <w:sz w:val="20"/>
          <w:szCs w:val="20"/>
        </w:rPr>
        <w:t xml:space="preserve">Methodology: </w:t>
      </w:r>
      <w:r w:rsidRPr="006E5FF9">
        <w:rPr>
          <w:rFonts w:ascii="Arial" w:hAnsi="Arial" w:cs="Arial"/>
          <w:sz w:val="20"/>
          <w:szCs w:val="20"/>
        </w:rPr>
        <w:t xml:space="preserve">Study </w:t>
      </w:r>
      <w:r w:rsidR="00E56F63" w:rsidRPr="006E5FF9">
        <w:rPr>
          <w:rFonts w:ascii="Arial" w:hAnsi="Arial" w:cs="Arial"/>
          <w:sz w:val="20"/>
          <w:szCs w:val="20"/>
        </w:rPr>
        <w:t>us</w:t>
      </w:r>
      <w:r w:rsidRPr="006E5FF9">
        <w:rPr>
          <w:rFonts w:ascii="Arial" w:hAnsi="Arial" w:cs="Arial"/>
          <w:sz w:val="20"/>
          <w:szCs w:val="20"/>
        </w:rPr>
        <w:t>ed</w:t>
      </w:r>
      <w:r w:rsidR="00E56F63" w:rsidRPr="006E5FF9">
        <w:rPr>
          <w:rFonts w:ascii="Arial" w:hAnsi="Arial" w:cs="Arial"/>
          <w:sz w:val="20"/>
          <w:szCs w:val="20"/>
        </w:rPr>
        <w:t xml:space="preserve"> sec</w:t>
      </w:r>
      <w:r w:rsidR="00D37192" w:rsidRPr="006E5FF9">
        <w:rPr>
          <w:rFonts w:ascii="Arial" w:hAnsi="Arial" w:cs="Arial"/>
          <w:sz w:val="20"/>
          <w:szCs w:val="20"/>
        </w:rPr>
        <w:t>ondary panel data</w:t>
      </w:r>
      <w:r w:rsidR="00B44C57" w:rsidRPr="006E5FF9">
        <w:rPr>
          <w:rFonts w:ascii="Arial" w:hAnsi="Arial" w:cs="Arial"/>
          <w:sz w:val="20"/>
          <w:szCs w:val="20"/>
        </w:rPr>
        <w:t xml:space="preserve"> of 140 observation</w:t>
      </w:r>
      <w:r w:rsidR="00D37192" w:rsidRPr="006E5FF9">
        <w:rPr>
          <w:rFonts w:ascii="Arial" w:hAnsi="Arial" w:cs="Arial"/>
          <w:sz w:val="20"/>
          <w:szCs w:val="20"/>
        </w:rPr>
        <w:t xml:space="preserve"> f</w:t>
      </w:r>
      <w:r w:rsidR="001159E1" w:rsidRPr="006E5FF9">
        <w:rPr>
          <w:rFonts w:ascii="Arial" w:hAnsi="Arial" w:cs="Arial"/>
          <w:sz w:val="20"/>
          <w:szCs w:val="20"/>
        </w:rPr>
        <w:t>o</w:t>
      </w:r>
      <w:r w:rsidR="00D37192" w:rsidRPr="006E5FF9">
        <w:rPr>
          <w:rFonts w:ascii="Arial" w:hAnsi="Arial" w:cs="Arial"/>
          <w:sz w:val="20"/>
          <w:szCs w:val="20"/>
        </w:rPr>
        <w:t>r</w:t>
      </w:r>
      <w:r w:rsidR="001159E1" w:rsidRPr="006E5FF9">
        <w:rPr>
          <w:rFonts w:ascii="Arial" w:hAnsi="Arial" w:cs="Arial"/>
          <w:sz w:val="20"/>
          <w:szCs w:val="20"/>
        </w:rPr>
        <w:t xml:space="preserve"> a sample </w:t>
      </w:r>
      <w:r w:rsidR="00E56F63" w:rsidRPr="006E5FF9">
        <w:rPr>
          <w:rFonts w:ascii="Arial" w:hAnsi="Arial" w:cs="Arial"/>
          <w:sz w:val="20"/>
          <w:szCs w:val="20"/>
        </w:rPr>
        <w:t xml:space="preserve">of 28 </w:t>
      </w:r>
      <w:r w:rsidR="00D37192" w:rsidRPr="006E5FF9">
        <w:rPr>
          <w:rFonts w:ascii="Arial" w:hAnsi="Arial" w:cs="Arial"/>
          <w:sz w:val="20"/>
          <w:szCs w:val="20"/>
        </w:rPr>
        <w:t xml:space="preserve">listed </w:t>
      </w:r>
      <w:r w:rsidR="00E56F63" w:rsidRPr="006E5FF9">
        <w:rPr>
          <w:rFonts w:ascii="Arial" w:hAnsi="Arial" w:cs="Arial"/>
          <w:sz w:val="20"/>
          <w:szCs w:val="20"/>
        </w:rPr>
        <w:t xml:space="preserve">firms </w:t>
      </w:r>
      <w:r w:rsidR="00E92C42" w:rsidRPr="006E5FF9">
        <w:rPr>
          <w:rFonts w:ascii="Arial" w:hAnsi="Arial" w:cs="Arial"/>
          <w:sz w:val="20"/>
          <w:szCs w:val="20"/>
        </w:rPr>
        <w:t xml:space="preserve">on Dar es Salaam Stock Exchange since </w:t>
      </w:r>
      <w:r w:rsidR="00E56F63" w:rsidRPr="006E5FF9">
        <w:rPr>
          <w:rFonts w:ascii="Arial" w:hAnsi="Arial" w:cs="Arial"/>
          <w:sz w:val="20"/>
          <w:szCs w:val="20"/>
        </w:rPr>
        <w:t>2020-2024. Data were analysed using panel regression models</w:t>
      </w:r>
      <w:r w:rsidR="00D06B33" w:rsidRPr="006E5FF9">
        <w:rPr>
          <w:rFonts w:ascii="Arial" w:hAnsi="Arial" w:cs="Arial"/>
          <w:sz w:val="20"/>
          <w:szCs w:val="20"/>
        </w:rPr>
        <w:t>,</w:t>
      </w:r>
      <w:r w:rsidR="00E56F63" w:rsidRPr="006E5FF9">
        <w:rPr>
          <w:rFonts w:ascii="Arial" w:hAnsi="Arial" w:cs="Arial"/>
          <w:sz w:val="20"/>
          <w:szCs w:val="20"/>
        </w:rPr>
        <w:t xml:space="preserve"> </w:t>
      </w:r>
      <w:r w:rsidR="00D37192" w:rsidRPr="006E5FF9">
        <w:rPr>
          <w:rFonts w:ascii="Arial" w:hAnsi="Arial" w:cs="Arial"/>
          <w:sz w:val="20"/>
          <w:szCs w:val="20"/>
        </w:rPr>
        <w:t>fixed</w:t>
      </w:r>
      <w:r w:rsidR="00E56F63" w:rsidRPr="006E5FF9">
        <w:rPr>
          <w:rFonts w:ascii="Arial" w:hAnsi="Arial" w:cs="Arial"/>
          <w:sz w:val="20"/>
          <w:szCs w:val="20"/>
        </w:rPr>
        <w:t xml:space="preserve"> effects model recommended </w:t>
      </w:r>
      <w:r w:rsidR="00D37192" w:rsidRPr="006E5FF9">
        <w:rPr>
          <w:rFonts w:ascii="Arial" w:hAnsi="Arial" w:cs="Arial"/>
          <w:sz w:val="20"/>
          <w:szCs w:val="20"/>
        </w:rPr>
        <w:t>from Hausman test</w:t>
      </w:r>
      <w:r w:rsidR="00E56F63" w:rsidRPr="006E5FF9">
        <w:rPr>
          <w:rFonts w:ascii="Arial" w:hAnsi="Arial" w:cs="Arial"/>
          <w:sz w:val="20"/>
          <w:szCs w:val="20"/>
        </w:rPr>
        <w:t xml:space="preserve"> and other model diagnostics. Ethical considerations were observed using publicly available financial data.</w:t>
      </w:r>
    </w:p>
    <w:p w14:paraId="37CFE51A" w14:textId="77777777" w:rsidR="00AD3E49" w:rsidRPr="006E5FF9" w:rsidRDefault="00AD3E49" w:rsidP="005E13CD">
      <w:pPr>
        <w:spacing w:after="0" w:line="240" w:lineRule="auto"/>
        <w:jc w:val="both"/>
        <w:rPr>
          <w:rFonts w:ascii="Arial" w:hAnsi="Arial" w:cs="Arial"/>
          <w:sz w:val="20"/>
          <w:szCs w:val="20"/>
        </w:rPr>
      </w:pPr>
      <w:r w:rsidRPr="006E5FF9">
        <w:rPr>
          <w:rFonts w:ascii="Arial" w:hAnsi="Arial" w:cs="Arial"/>
          <w:b/>
          <w:sz w:val="20"/>
          <w:szCs w:val="20"/>
        </w:rPr>
        <w:t>Results:</w:t>
      </w:r>
      <w:r w:rsidRPr="006E5FF9">
        <w:rPr>
          <w:rFonts w:ascii="Arial" w:hAnsi="Arial" w:cs="Arial"/>
          <w:sz w:val="20"/>
          <w:szCs w:val="20"/>
        </w:rPr>
        <w:t xml:space="preserve"> </w:t>
      </w:r>
      <w:r w:rsidR="00E56F63" w:rsidRPr="006E5FF9">
        <w:rPr>
          <w:rFonts w:ascii="Arial" w:hAnsi="Arial" w:cs="Arial"/>
          <w:sz w:val="20"/>
          <w:szCs w:val="20"/>
        </w:rPr>
        <w:t xml:space="preserve">Findings from fixed effects model revealed stock market development has </w:t>
      </w:r>
      <w:r w:rsidR="00D37192" w:rsidRPr="006E5FF9">
        <w:rPr>
          <w:rFonts w:ascii="Arial" w:hAnsi="Arial" w:cs="Arial"/>
          <w:sz w:val="20"/>
          <w:szCs w:val="20"/>
        </w:rPr>
        <w:t>negative significant effect</w:t>
      </w:r>
      <w:r w:rsidR="001C62A8" w:rsidRPr="006E5FF9">
        <w:rPr>
          <w:rFonts w:ascii="Arial" w:hAnsi="Arial" w:cs="Arial"/>
          <w:sz w:val="20"/>
          <w:szCs w:val="20"/>
        </w:rPr>
        <w:t xml:space="preserve"> and also </w:t>
      </w:r>
      <w:r w:rsidR="00E56F63" w:rsidRPr="006E5FF9">
        <w:rPr>
          <w:rFonts w:ascii="Arial" w:hAnsi="Arial" w:cs="Arial"/>
          <w:sz w:val="20"/>
          <w:szCs w:val="20"/>
        </w:rPr>
        <w:t>regulatory framework showed positive significant impact</w:t>
      </w:r>
      <w:r w:rsidR="0093017B" w:rsidRPr="006E5FF9">
        <w:rPr>
          <w:rFonts w:ascii="Arial" w:hAnsi="Arial" w:cs="Arial"/>
          <w:sz w:val="20"/>
          <w:szCs w:val="20"/>
        </w:rPr>
        <w:t xml:space="preserve"> on financial performance</w:t>
      </w:r>
      <w:r w:rsidR="00E56F63" w:rsidRPr="006E5FF9">
        <w:rPr>
          <w:rFonts w:ascii="Arial" w:hAnsi="Arial" w:cs="Arial"/>
          <w:sz w:val="20"/>
          <w:szCs w:val="20"/>
        </w:rPr>
        <w:t>.</w:t>
      </w:r>
    </w:p>
    <w:p w14:paraId="4FF5301A" w14:textId="299F5C28" w:rsidR="007B67E7" w:rsidRPr="006E5FF9" w:rsidRDefault="00AD3E49" w:rsidP="005E13CD">
      <w:pPr>
        <w:spacing w:after="0" w:line="240" w:lineRule="auto"/>
        <w:jc w:val="both"/>
        <w:rPr>
          <w:rFonts w:ascii="Arial" w:hAnsi="Arial" w:cs="Arial"/>
          <w:sz w:val="20"/>
          <w:szCs w:val="20"/>
        </w:rPr>
      </w:pPr>
      <w:r w:rsidRPr="006E5FF9">
        <w:rPr>
          <w:rFonts w:ascii="Arial" w:hAnsi="Arial" w:cs="Arial"/>
          <w:b/>
          <w:sz w:val="20"/>
          <w:szCs w:val="20"/>
        </w:rPr>
        <w:t>Conclusion:</w:t>
      </w:r>
      <w:r w:rsidRPr="006E5FF9">
        <w:rPr>
          <w:rFonts w:ascii="Arial" w:hAnsi="Arial" w:cs="Arial"/>
          <w:sz w:val="20"/>
          <w:szCs w:val="20"/>
        </w:rPr>
        <w:t xml:space="preserve"> </w:t>
      </w:r>
      <w:r w:rsidR="007B67E7" w:rsidRPr="006E5FF9">
        <w:rPr>
          <w:rFonts w:ascii="Arial" w:hAnsi="Arial" w:cs="Arial"/>
          <w:sz w:val="20"/>
          <w:szCs w:val="20"/>
        </w:rPr>
        <w:t xml:space="preserve">It is recommended that policymakers and regulatory authorities strike a balance between maintaining effective regulations and ensuring flexibility to promote market growth. Additionally, efforts should be made to enhance stock market infrastructure, broaden financial literacy, and encourage more listings and investor participation. </w:t>
      </w:r>
    </w:p>
    <w:p w14:paraId="0D7DB80F" w14:textId="336E2072" w:rsidR="0084599D" w:rsidRPr="006E5FF9" w:rsidRDefault="00A1115A" w:rsidP="005E13CD">
      <w:pPr>
        <w:spacing w:after="0" w:line="240" w:lineRule="auto"/>
        <w:jc w:val="both"/>
        <w:rPr>
          <w:rFonts w:ascii="Arial" w:hAnsi="Arial" w:cs="Arial"/>
          <w:i/>
          <w:sz w:val="20"/>
          <w:szCs w:val="20"/>
        </w:rPr>
      </w:pPr>
      <w:r w:rsidRPr="006E5FF9">
        <w:rPr>
          <w:rFonts w:ascii="Arial" w:hAnsi="Arial" w:cs="Arial"/>
          <w:i/>
          <w:sz w:val="20"/>
          <w:szCs w:val="20"/>
        </w:rPr>
        <w:t>Key</w:t>
      </w:r>
      <w:r w:rsidR="0084599D" w:rsidRPr="006E5FF9">
        <w:rPr>
          <w:rFonts w:ascii="Arial" w:hAnsi="Arial" w:cs="Arial"/>
          <w:i/>
          <w:sz w:val="20"/>
          <w:szCs w:val="20"/>
        </w:rPr>
        <w:t>words:</w:t>
      </w:r>
      <w:r w:rsidR="0084599D" w:rsidRPr="006E5FF9">
        <w:rPr>
          <w:rFonts w:ascii="Arial" w:hAnsi="Arial" w:cs="Arial"/>
          <w:sz w:val="20"/>
          <w:szCs w:val="20"/>
        </w:rPr>
        <w:t xml:space="preserve"> </w:t>
      </w:r>
      <w:r w:rsidR="0084599D" w:rsidRPr="006E5FF9">
        <w:rPr>
          <w:rFonts w:ascii="Arial" w:hAnsi="Arial" w:cs="Arial"/>
          <w:i/>
          <w:sz w:val="20"/>
          <w:szCs w:val="20"/>
        </w:rPr>
        <w:t>Stock Ma</w:t>
      </w:r>
      <w:r w:rsidRPr="006E5FF9">
        <w:rPr>
          <w:rFonts w:ascii="Arial" w:hAnsi="Arial" w:cs="Arial"/>
          <w:i/>
          <w:sz w:val="20"/>
          <w:szCs w:val="20"/>
        </w:rPr>
        <w:t xml:space="preserve">rket, Stock Market Development, </w:t>
      </w:r>
      <w:r w:rsidR="0084599D" w:rsidRPr="006E5FF9">
        <w:rPr>
          <w:rFonts w:ascii="Arial" w:hAnsi="Arial" w:cs="Arial"/>
          <w:i/>
          <w:sz w:val="20"/>
          <w:szCs w:val="20"/>
        </w:rPr>
        <w:t>Regulatory Framework</w:t>
      </w:r>
      <w:r w:rsidRPr="006E5FF9">
        <w:rPr>
          <w:rFonts w:ascii="Arial" w:hAnsi="Arial" w:cs="Arial"/>
          <w:i/>
          <w:sz w:val="20"/>
          <w:szCs w:val="20"/>
        </w:rPr>
        <w:t xml:space="preserve"> and Financial Performance</w:t>
      </w:r>
      <w:r w:rsidR="0084599D" w:rsidRPr="006E5FF9">
        <w:rPr>
          <w:rFonts w:ascii="Arial" w:hAnsi="Arial" w:cs="Arial"/>
          <w:i/>
          <w:sz w:val="20"/>
          <w:szCs w:val="20"/>
        </w:rPr>
        <w:t>.</w:t>
      </w:r>
    </w:p>
    <w:p w14:paraId="3576E2EE" w14:textId="77777777" w:rsidR="005024B7" w:rsidRPr="006E5FF9" w:rsidRDefault="005024B7" w:rsidP="005E13CD">
      <w:pPr>
        <w:spacing w:after="0" w:line="240" w:lineRule="auto"/>
        <w:jc w:val="both"/>
        <w:rPr>
          <w:rFonts w:ascii="Arial" w:hAnsi="Arial" w:cs="Arial"/>
          <w:sz w:val="24"/>
          <w:szCs w:val="24"/>
        </w:rPr>
      </w:pPr>
    </w:p>
    <w:p w14:paraId="1BAA1C3C" w14:textId="0ADAF73B" w:rsidR="008F2DE8" w:rsidRPr="006E5FF9" w:rsidRDefault="00A01D2D" w:rsidP="00A01D2D">
      <w:pPr>
        <w:spacing w:after="0" w:line="240" w:lineRule="auto"/>
        <w:rPr>
          <w:rFonts w:ascii="Arial" w:hAnsi="Arial" w:cs="Arial"/>
          <w:b/>
        </w:rPr>
      </w:pPr>
      <w:r w:rsidRPr="006E5FF9">
        <w:rPr>
          <w:rFonts w:ascii="Arial" w:hAnsi="Arial" w:cs="Arial"/>
          <w:b/>
        </w:rPr>
        <w:t>1. Introduction</w:t>
      </w:r>
    </w:p>
    <w:p w14:paraId="38D6D59D" w14:textId="623A2827" w:rsidR="002C1687" w:rsidRPr="006E5FF9" w:rsidRDefault="00E56F63" w:rsidP="00A01D2D">
      <w:pPr>
        <w:spacing w:after="0" w:line="240" w:lineRule="auto"/>
        <w:jc w:val="both"/>
        <w:rPr>
          <w:rFonts w:ascii="Arial" w:hAnsi="Arial" w:cs="Arial"/>
          <w:sz w:val="20"/>
          <w:szCs w:val="20"/>
        </w:rPr>
      </w:pPr>
      <w:r w:rsidRPr="006E5FF9">
        <w:rPr>
          <w:rFonts w:ascii="Arial" w:hAnsi="Arial" w:cs="Arial"/>
          <w:sz w:val="20"/>
          <w:szCs w:val="20"/>
        </w:rPr>
        <w:t>Stock exchanges</w:t>
      </w:r>
      <w:r w:rsidR="008F2DE8" w:rsidRPr="006E5FF9">
        <w:rPr>
          <w:rFonts w:ascii="Arial" w:hAnsi="Arial" w:cs="Arial"/>
          <w:sz w:val="20"/>
          <w:szCs w:val="20"/>
        </w:rPr>
        <w:t xml:space="preserve"> around the world</w:t>
      </w:r>
      <w:r w:rsidRPr="006E5FF9">
        <w:rPr>
          <w:rFonts w:ascii="Arial" w:hAnsi="Arial" w:cs="Arial"/>
          <w:sz w:val="20"/>
          <w:szCs w:val="20"/>
        </w:rPr>
        <w:t xml:space="preserve"> serve as platforms for companies to </w:t>
      </w:r>
      <w:r w:rsidR="00CC3F4A" w:rsidRPr="006E5FF9">
        <w:rPr>
          <w:rFonts w:ascii="Arial" w:hAnsi="Arial" w:cs="Arial"/>
          <w:sz w:val="20"/>
          <w:szCs w:val="20"/>
        </w:rPr>
        <w:t>increase</w:t>
      </w:r>
      <w:r w:rsidRPr="006E5FF9">
        <w:rPr>
          <w:rFonts w:ascii="Arial" w:hAnsi="Arial" w:cs="Arial"/>
          <w:sz w:val="20"/>
          <w:szCs w:val="20"/>
        </w:rPr>
        <w:t xml:space="preserve"> capital through</w:t>
      </w:r>
      <w:r w:rsidR="00CA3AC4" w:rsidRPr="006E5FF9">
        <w:rPr>
          <w:rFonts w:ascii="Arial" w:hAnsi="Arial" w:cs="Arial"/>
          <w:sz w:val="20"/>
          <w:szCs w:val="20"/>
        </w:rPr>
        <w:t xml:space="preserve"> </w:t>
      </w:r>
      <w:r w:rsidRPr="006E5FF9">
        <w:rPr>
          <w:rFonts w:ascii="Arial" w:hAnsi="Arial" w:cs="Arial"/>
          <w:sz w:val="20"/>
          <w:szCs w:val="20"/>
        </w:rPr>
        <w:t>exchange of securities</w:t>
      </w:r>
      <w:r w:rsidR="00EE4562" w:rsidRPr="006E5FF9">
        <w:rPr>
          <w:rFonts w:ascii="Arial" w:hAnsi="Arial" w:cs="Arial"/>
          <w:sz w:val="20"/>
          <w:szCs w:val="20"/>
        </w:rPr>
        <w:t>,</w:t>
      </w:r>
      <w:r w:rsidRPr="006E5FF9">
        <w:rPr>
          <w:rFonts w:ascii="Arial" w:hAnsi="Arial" w:cs="Arial"/>
          <w:sz w:val="20"/>
          <w:szCs w:val="20"/>
        </w:rPr>
        <w:t xml:space="preserve"> including equities</w:t>
      </w:r>
      <w:r w:rsidR="00CC3F4A" w:rsidRPr="006E5FF9">
        <w:rPr>
          <w:rFonts w:ascii="Arial" w:hAnsi="Arial" w:cs="Arial"/>
          <w:sz w:val="20"/>
          <w:szCs w:val="20"/>
        </w:rPr>
        <w:t xml:space="preserve">, </w:t>
      </w:r>
      <w:r w:rsidRPr="006E5FF9">
        <w:rPr>
          <w:rFonts w:ascii="Arial" w:hAnsi="Arial" w:cs="Arial"/>
          <w:sz w:val="20"/>
          <w:szCs w:val="20"/>
        </w:rPr>
        <w:t>bonds,</w:t>
      </w:r>
      <w:r w:rsidR="00CC3F4A" w:rsidRPr="006E5FF9">
        <w:rPr>
          <w:rFonts w:ascii="Arial" w:hAnsi="Arial" w:cs="Arial"/>
          <w:sz w:val="20"/>
          <w:szCs w:val="20"/>
        </w:rPr>
        <w:t xml:space="preserve"> and derivatives,</w:t>
      </w:r>
      <w:r w:rsidRPr="006E5FF9">
        <w:rPr>
          <w:rFonts w:ascii="Arial" w:hAnsi="Arial" w:cs="Arial"/>
          <w:sz w:val="20"/>
          <w:szCs w:val="20"/>
        </w:rPr>
        <w:t xml:space="preserve"> facilitating investment and promoting not only</w:t>
      </w:r>
      <w:r w:rsidR="00EE4562" w:rsidRPr="006E5FF9">
        <w:rPr>
          <w:rFonts w:ascii="Arial" w:hAnsi="Arial" w:cs="Arial"/>
          <w:sz w:val="20"/>
          <w:szCs w:val="20"/>
        </w:rPr>
        <w:t xml:space="preserve"> the</w:t>
      </w:r>
      <w:r w:rsidRPr="006E5FF9">
        <w:rPr>
          <w:rFonts w:ascii="Arial" w:hAnsi="Arial" w:cs="Arial"/>
          <w:sz w:val="20"/>
          <w:szCs w:val="20"/>
        </w:rPr>
        <w:t xml:space="preserve"> </w:t>
      </w:r>
      <w:r w:rsidR="00CC3F4A" w:rsidRPr="006E5FF9">
        <w:rPr>
          <w:rFonts w:ascii="Arial" w:hAnsi="Arial" w:cs="Arial"/>
          <w:sz w:val="20"/>
          <w:szCs w:val="20"/>
        </w:rPr>
        <w:t xml:space="preserve">country’s </w:t>
      </w:r>
      <w:r w:rsidRPr="006E5FF9">
        <w:rPr>
          <w:rFonts w:ascii="Arial" w:hAnsi="Arial" w:cs="Arial"/>
          <w:sz w:val="20"/>
          <w:szCs w:val="20"/>
        </w:rPr>
        <w:t xml:space="preserve">economic growth </w:t>
      </w:r>
      <w:r w:rsidR="00CC3F4A" w:rsidRPr="006E5FF9">
        <w:rPr>
          <w:rFonts w:ascii="Arial" w:hAnsi="Arial" w:cs="Arial"/>
          <w:sz w:val="20"/>
          <w:szCs w:val="20"/>
        </w:rPr>
        <w:t>but also</w:t>
      </w:r>
      <w:r w:rsidR="00EE4562" w:rsidRPr="006E5FF9">
        <w:rPr>
          <w:rFonts w:ascii="Arial" w:hAnsi="Arial" w:cs="Arial"/>
          <w:sz w:val="20"/>
          <w:szCs w:val="20"/>
        </w:rPr>
        <w:t xml:space="preserve"> </w:t>
      </w:r>
      <w:r w:rsidRPr="006E5FF9">
        <w:rPr>
          <w:rFonts w:ascii="Arial" w:hAnsi="Arial" w:cs="Arial"/>
          <w:sz w:val="20"/>
          <w:szCs w:val="20"/>
        </w:rPr>
        <w:t xml:space="preserve">performance of companies (Lai </w:t>
      </w:r>
      <w:r w:rsidR="009241F8" w:rsidRPr="006E5FF9">
        <w:rPr>
          <w:rFonts w:ascii="Arial" w:hAnsi="Arial" w:cs="Arial"/>
          <w:sz w:val="20"/>
          <w:szCs w:val="20"/>
        </w:rPr>
        <w:t>and</w:t>
      </w:r>
      <w:r w:rsidRPr="006E5FF9">
        <w:rPr>
          <w:rFonts w:ascii="Arial" w:hAnsi="Arial" w:cs="Arial"/>
          <w:sz w:val="20"/>
          <w:szCs w:val="20"/>
        </w:rPr>
        <w:t xml:space="preserve"> Hu, 2021).</w:t>
      </w:r>
      <w:r w:rsidR="008F2DE8" w:rsidRPr="006E5FF9">
        <w:rPr>
          <w:rFonts w:ascii="Arial" w:hAnsi="Arial" w:cs="Arial"/>
          <w:sz w:val="20"/>
          <w:szCs w:val="20"/>
        </w:rPr>
        <w:t xml:space="preserve"> </w:t>
      </w:r>
      <w:r w:rsidRPr="006E5FF9">
        <w:rPr>
          <w:rFonts w:ascii="Arial" w:hAnsi="Arial" w:cs="Arial"/>
          <w:sz w:val="20"/>
          <w:szCs w:val="20"/>
        </w:rPr>
        <w:t>The effect</w:t>
      </w:r>
      <w:r w:rsidR="00480B1F" w:rsidRPr="006E5FF9">
        <w:rPr>
          <w:rFonts w:ascii="Arial" w:hAnsi="Arial" w:cs="Arial"/>
          <w:sz w:val="20"/>
          <w:szCs w:val="20"/>
        </w:rPr>
        <w:t>s</w:t>
      </w:r>
      <w:r w:rsidRPr="006E5FF9">
        <w:rPr>
          <w:rFonts w:ascii="Arial" w:hAnsi="Arial" w:cs="Arial"/>
          <w:sz w:val="20"/>
          <w:szCs w:val="20"/>
        </w:rPr>
        <w:t xml:space="preserve"> of stock exchange markets in enhancing financial</w:t>
      </w:r>
      <w:r w:rsidR="00C376A3" w:rsidRPr="006E5FF9">
        <w:rPr>
          <w:rFonts w:ascii="Arial" w:hAnsi="Arial" w:cs="Arial"/>
          <w:sz w:val="20"/>
          <w:szCs w:val="20"/>
        </w:rPr>
        <w:t xml:space="preserve"> and non- financial</w:t>
      </w:r>
      <w:r w:rsidRPr="006E5FF9">
        <w:rPr>
          <w:rFonts w:ascii="Arial" w:hAnsi="Arial" w:cs="Arial"/>
          <w:sz w:val="20"/>
          <w:szCs w:val="20"/>
        </w:rPr>
        <w:t xml:space="preserve"> performance of listed companies ha</w:t>
      </w:r>
      <w:r w:rsidR="00C376A3" w:rsidRPr="006E5FF9">
        <w:rPr>
          <w:rFonts w:ascii="Arial" w:hAnsi="Arial" w:cs="Arial"/>
          <w:sz w:val="20"/>
          <w:szCs w:val="20"/>
        </w:rPr>
        <w:t>ve</w:t>
      </w:r>
      <w:r w:rsidRPr="006E5FF9">
        <w:rPr>
          <w:rFonts w:ascii="Arial" w:hAnsi="Arial" w:cs="Arial"/>
          <w:sz w:val="20"/>
          <w:szCs w:val="20"/>
        </w:rPr>
        <w:t xml:space="preserve"> been subject of extensive </w:t>
      </w:r>
      <w:r w:rsidR="00C376A3" w:rsidRPr="006E5FF9">
        <w:rPr>
          <w:rFonts w:ascii="Arial" w:hAnsi="Arial" w:cs="Arial"/>
          <w:sz w:val="20"/>
          <w:szCs w:val="20"/>
        </w:rPr>
        <w:t>investigation</w:t>
      </w:r>
      <w:r w:rsidRPr="006E5FF9">
        <w:rPr>
          <w:rFonts w:ascii="Arial" w:hAnsi="Arial" w:cs="Arial"/>
          <w:sz w:val="20"/>
          <w:szCs w:val="20"/>
        </w:rPr>
        <w:t xml:space="preserve"> and debate</w:t>
      </w:r>
      <w:r w:rsidR="00956BE1" w:rsidRPr="006E5FF9">
        <w:rPr>
          <w:rFonts w:ascii="Arial" w:hAnsi="Arial" w:cs="Arial"/>
          <w:sz w:val="20"/>
          <w:szCs w:val="20"/>
        </w:rPr>
        <w:t xml:space="preserve"> </w:t>
      </w:r>
      <w:r w:rsidRPr="006E5FF9">
        <w:rPr>
          <w:rFonts w:ascii="Arial" w:hAnsi="Arial" w:cs="Arial"/>
          <w:sz w:val="20"/>
          <w:szCs w:val="20"/>
        </w:rPr>
        <w:t xml:space="preserve">worldwide (Al-Hiyari </w:t>
      </w:r>
      <w:r w:rsidR="009241F8" w:rsidRPr="006E5FF9">
        <w:rPr>
          <w:rFonts w:ascii="Arial" w:hAnsi="Arial" w:cs="Arial"/>
          <w:sz w:val="20"/>
          <w:szCs w:val="20"/>
        </w:rPr>
        <w:t>and</w:t>
      </w:r>
      <w:r w:rsidRPr="006E5FF9">
        <w:rPr>
          <w:rFonts w:ascii="Arial" w:hAnsi="Arial" w:cs="Arial"/>
          <w:sz w:val="20"/>
          <w:szCs w:val="20"/>
        </w:rPr>
        <w:t xml:space="preserve"> Kolsi, 2024). In developed countries, countries established stock exchanges like NYSE, NASDAQ, LSE</w:t>
      </w:r>
      <w:r w:rsidR="00EE4562" w:rsidRPr="006E5FF9">
        <w:rPr>
          <w:rFonts w:ascii="Arial" w:hAnsi="Arial" w:cs="Arial"/>
          <w:sz w:val="20"/>
          <w:szCs w:val="20"/>
        </w:rPr>
        <w:t>,</w:t>
      </w:r>
      <w:r w:rsidRPr="006E5FF9">
        <w:rPr>
          <w:rFonts w:ascii="Arial" w:hAnsi="Arial" w:cs="Arial"/>
          <w:sz w:val="20"/>
          <w:szCs w:val="20"/>
        </w:rPr>
        <w:t xml:space="preserve"> and TSE to play pivotal roles in capital formation, providing companies with access to diverse investor base and enabling efficient price discovery decline (Álvarez-Otero, 2022).</w:t>
      </w:r>
      <w:r w:rsidR="008F2DE8" w:rsidRPr="006E5FF9">
        <w:rPr>
          <w:rFonts w:ascii="Arial" w:hAnsi="Arial" w:cs="Arial"/>
          <w:sz w:val="20"/>
          <w:szCs w:val="20"/>
        </w:rPr>
        <w:t xml:space="preserve"> </w:t>
      </w:r>
      <w:r w:rsidRPr="006E5FF9">
        <w:rPr>
          <w:rFonts w:ascii="Arial" w:hAnsi="Arial" w:cs="Arial"/>
          <w:sz w:val="20"/>
          <w:szCs w:val="20"/>
        </w:rPr>
        <w:t xml:space="preserve">Tanzanian stock exchange market plays </w:t>
      </w:r>
      <w:r w:rsidR="00BB6C9C" w:rsidRPr="006E5FF9">
        <w:rPr>
          <w:rFonts w:ascii="Arial" w:hAnsi="Arial" w:cs="Arial"/>
          <w:sz w:val="20"/>
          <w:szCs w:val="20"/>
        </w:rPr>
        <w:t>central</w:t>
      </w:r>
      <w:r w:rsidRPr="006E5FF9">
        <w:rPr>
          <w:rFonts w:ascii="Arial" w:hAnsi="Arial" w:cs="Arial"/>
          <w:sz w:val="20"/>
          <w:szCs w:val="20"/>
        </w:rPr>
        <w:t xml:space="preserve"> role in the</w:t>
      </w:r>
      <w:r w:rsidR="00956BE1" w:rsidRPr="006E5FF9">
        <w:rPr>
          <w:rFonts w:ascii="Arial" w:hAnsi="Arial" w:cs="Arial"/>
          <w:sz w:val="20"/>
          <w:szCs w:val="20"/>
        </w:rPr>
        <w:t xml:space="preserve"> </w:t>
      </w:r>
      <w:r w:rsidRPr="006E5FF9">
        <w:rPr>
          <w:rFonts w:ascii="Arial" w:hAnsi="Arial" w:cs="Arial"/>
          <w:sz w:val="20"/>
          <w:szCs w:val="20"/>
        </w:rPr>
        <w:t>economic development by provid</w:t>
      </w:r>
      <w:r w:rsidR="00BB6C9C" w:rsidRPr="006E5FF9">
        <w:rPr>
          <w:rFonts w:ascii="Arial" w:hAnsi="Arial" w:cs="Arial"/>
          <w:sz w:val="20"/>
          <w:szCs w:val="20"/>
        </w:rPr>
        <w:t>es</w:t>
      </w:r>
      <w:r w:rsidRPr="006E5FF9">
        <w:rPr>
          <w:rFonts w:ascii="Arial" w:hAnsi="Arial" w:cs="Arial"/>
          <w:sz w:val="20"/>
          <w:szCs w:val="20"/>
        </w:rPr>
        <w:t xml:space="preserve"> an opportunity </w:t>
      </w:r>
      <w:r w:rsidR="00DB01B5" w:rsidRPr="006E5FF9">
        <w:rPr>
          <w:rFonts w:ascii="Arial" w:hAnsi="Arial" w:cs="Arial"/>
          <w:sz w:val="20"/>
          <w:szCs w:val="20"/>
        </w:rPr>
        <w:t xml:space="preserve">for </w:t>
      </w:r>
      <w:r w:rsidRPr="006E5FF9">
        <w:rPr>
          <w:rFonts w:ascii="Arial" w:hAnsi="Arial" w:cs="Arial"/>
          <w:sz w:val="20"/>
          <w:szCs w:val="20"/>
        </w:rPr>
        <w:t xml:space="preserve">investment. However, </w:t>
      </w:r>
      <w:r w:rsidR="00DB01B5" w:rsidRPr="006E5FF9">
        <w:rPr>
          <w:rFonts w:ascii="Arial" w:hAnsi="Arial" w:cs="Arial"/>
          <w:sz w:val="20"/>
          <w:szCs w:val="20"/>
        </w:rPr>
        <w:t>its</w:t>
      </w:r>
      <w:r w:rsidRPr="006E5FF9">
        <w:rPr>
          <w:rFonts w:ascii="Arial" w:hAnsi="Arial" w:cs="Arial"/>
          <w:sz w:val="20"/>
          <w:szCs w:val="20"/>
        </w:rPr>
        <w:t xml:space="preserve"> potential to stimulate the performance of listed companies </w:t>
      </w:r>
      <w:r w:rsidR="00BB6C9C" w:rsidRPr="006E5FF9">
        <w:rPr>
          <w:rFonts w:ascii="Arial" w:hAnsi="Arial" w:cs="Arial"/>
          <w:sz w:val="20"/>
          <w:szCs w:val="20"/>
        </w:rPr>
        <w:t>in</w:t>
      </w:r>
      <w:r w:rsidRPr="006E5FF9">
        <w:rPr>
          <w:rFonts w:ascii="Arial" w:hAnsi="Arial" w:cs="Arial"/>
          <w:sz w:val="20"/>
          <w:szCs w:val="20"/>
        </w:rPr>
        <w:t xml:space="preserve"> the extent to which stock exchange effectively enhancing company performance remains under</w:t>
      </w:r>
      <w:r w:rsidR="00DB01B5" w:rsidRPr="006E5FF9">
        <w:rPr>
          <w:rFonts w:ascii="Arial" w:hAnsi="Arial" w:cs="Arial"/>
          <w:sz w:val="20"/>
          <w:szCs w:val="20"/>
        </w:rPr>
        <w:t>-explored</w:t>
      </w:r>
      <w:r w:rsidR="002C1687" w:rsidRPr="006E5FF9">
        <w:rPr>
          <w:rFonts w:ascii="Arial" w:hAnsi="Arial" w:cs="Arial"/>
          <w:sz w:val="20"/>
          <w:szCs w:val="20"/>
        </w:rPr>
        <w:t xml:space="preserve"> (Alobaid et al., 2024).</w:t>
      </w:r>
    </w:p>
    <w:p w14:paraId="5A8979D2" w14:textId="77777777" w:rsidR="008F2DE8" w:rsidRPr="006E5FF9" w:rsidRDefault="008F2DE8" w:rsidP="005E13CD">
      <w:pPr>
        <w:spacing w:after="0" w:line="240" w:lineRule="auto"/>
        <w:jc w:val="both"/>
        <w:rPr>
          <w:rFonts w:ascii="Arial" w:hAnsi="Arial" w:cs="Arial"/>
          <w:sz w:val="20"/>
          <w:szCs w:val="20"/>
        </w:rPr>
      </w:pPr>
    </w:p>
    <w:p w14:paraId="061D4E55" w14:textId="6B8258CD" w:rsidR="00A625F4" w:rsidRPr="006E5FF9" w:rsidRDefault="00E56F63" w:rsidP="005E13CD">
      <w:pPr>
        <w:spacing w:after="0" w:line="240" w:lineRule="auto"/>
        <w:jc w:val="both"/>
        <w:rPr>
          <w:rFonts w:ascii="Arial" w:hAnsi="Arial" w:cs="Arial"/>
          <w:sz w:val="20"/>
          <w:szCs w:val="20"/>
        </w:rPr>
      </w:pPr>
      <w:r w:rsidRPr="006E5FF9">
        <w:rPr>
          <w:rFonts w:ascii="Arial" w:hAnsi="Arial" w:cs="Arial"/>
          <w:sz w:val="20"/>
          <w:szCs w:val="20"/>
        </w:rPr>
        <w:t>Despite the existence of Dar es Salaam Stock Exchange (DSE) as pl</w:t>
      </w:r>
      <w:r w:rsidR="00325318" w:rsidRPr="006E5FF9">
        <w:rPr>
          <w:rFonts w:ascii="Arial" w:hAnsi="Arial" w:cs="Arial"/>
          <w:sz w:val="20"/>
          <w:szCs w:val="20"/>
        </w:rPr>
        <w:t xml:space="preserve">atform for capital mobilization, </w:t>
      </w:r>
      <w:r w:rsidRPr="006E5FF9">
        <w:rPr>
          <w:rFonts w:ascii="Arial" w:hAnsi="Arial" w:cs="Arial"/>
          <w:sz w:val="20"/>
          <w:szCs w:val="20"/>
        </w:rPr>
        <w:t>investment, there remains a persistent gap in understanding its effectiveness in enhancing the performance of listed companies in Tanzania</w:t>
      </w:r>
      <w:r w:rsidR="00325318" w:rsidRPr="006E5FF9">
        <w:rPr>
          <w:rFonts w:ascii="Arial" w:hAnsi="Arial" w:cs="Arial"/>
          <w:sz w:val="20"/>
          <w:szCs w:val="20"/>
        </w:rPr>
        <w:t xml:space="preserve"> (DSE Market Report, 2023)</w:t>
      </w:r>
      <w:r w:rsidRPr="006E5FF9">
        <w:rPr>
          <w:rFonts w:ascii="Arial" w:hAnsi="Arial" w:cs="Arial"/>
          <w:sz w:val="20"/>
          <w:szCs w:val="20"/>
        </w:rPr>
        <w:t xml:space="preserve">. Empirical evidence suggests that while firms listed on the DSE have received capital injections, their subsequent performance is below </w:t>
      </w:r>
      <w:r w:rsidR="00DB01B5" w:rsidRPr="006E5FF9">
        <w:rPr>
          <w:rFonts w:ascii="Arial" w:hAnsi="Arial" w:cs="Arial"/>
          <w:sz w:val="20"/>
          <w:szCs w:val="20"/>
        </w:rPr>
        <w:t>expectations;</w:t>
      </w:r>
      <w:r w:rsidRPr="006E5FF9">
        <w:rPr>
          <w:rFonts w:ascii="Arial" w:hAnsi="Arial" w:cs="Arial"/>
          <w:sz w:val="20"/>
          <w:szCs w:val="20"/>
        </w:rPr>
        <w:t xml:space="preserve"> this </w:t>
      </w:r>
      <w:r w:rsidR="00DB01B5" w:rsidRPr="006E5FF9">
        <w:rPr>
          <w:rFonts w:ascii="Arial" w:hAnsi="Arial" w:cs="Arial"/>
          <w:sz w:val="20"/>
          <w:szCs w:val="20"/>
        </w:rPr>
        <w:t>indicates</w:t>
      </w:r>
      <w:r w:rsidRPr="006E5FF9">
        <w:rPr>
          <w:rFonts w:ascii="Arial" w:hAnsi="Arial" w:cs="Arial"/>
          <w:sz w:val="20"/>
          <w:szCs w:val="20"/>
        </w:rPr>
        <w:t xml:space="preserve"> a significant discrepancy between capital infusion and actual business outcomes (Chindengwike, 2024).</w:t>
      </w:r>
      <w:r w:rsidR="008F2DE8" w:rsidRPr="006E5FF9">
        <w:rPr>
          <w:rFonts w:ascii="Arial" w:hAnsi="Arial" w:cs="Arial"/>
          <w:sz w:val="20"/>
          <w:szCs w:val="20"/>
        </w:rPr>
        <w:t xml:space="preserve"> </w:t>
      </w:r>
      <w:r w:rsidRPr="006E5FF9">
        <w:rPr>
          <w:rFonts w:ascii="Arial" w:hAnsi="Arial" w:cs="Arial"/>
          <w:sz w:val="20"/>
          <w:szCs w:val="20"/>
        </w:rPr>
        <w:t>There is limited insight into how capital mobilization on the DSE translates into firm performance, particularly why some firms struggle despite capital injections.</w:t>
      </w:r>
      <w:r w:rsidR="00A625F4" w:rsidRPr="006E5FF9">
        <w:rPr>
          <w:rFonts w:ascii="Arial" w:hAnsi="Arial" w:cs="Arial"/>
          <w:sz w:val="20"/>
          <w:szCs w:val="20"/>
        </w:rPr>
        <w:t xml:space="preserve"> </w:t>
      </w:r>
      <w:r w:rsidRPr="006E5FF9">
        <w:rPr>
          <w:rFonts w:ascii="Arial" w:hAnsi="Arial" w:cs="Arial"/>
          <w:sz w:val="20"/>
          <w:szCs w:val="20"/>
        </w:rPr>
        <w:t xml:space="preserve">Tanzania’s stock exchange market is further constrained by </w:t>
      </w:r>
      <w:r w:rsidR="00CE30F2" w:rsidRPr="006E5FF9">
        <w:rPr>
          <w:rFonts w:ascii="Arial" w:hAnsi="Arial" w:cs="Arial"/>
          <w:sz w:val="20"/>
          <w:szCs w:val="20"/>
        </w:rPr>
        <w:t>the limited</w:t>
      </w:r>
      <w:r w:rsidRPr="006E5FF9">
        <w:rPr>
          <w:rFonts w:ascii="Arial" w:hAnsi="Arial" w:cs="Arial"/>
          <w:sz w:val="20"/>
          <w:szCs w:val="20"/>
        </w:rPr>
        <w:t xml:space="preserve"> number of listed firms since its establishment; this is beyond the goal mentioned in </w:t>
      </w:r>
      <w:r w:rsidR="00CE30F2" w:rsidRPr="006E5FF9">
        <w:rPr>
          <w:rFonts w:ascii="Arial" w:hAnsi="Arial" w:cs="Arial"/>
          <w:sz w:val="20"/>
          <w:szCs w:val="20"/>
        </w:rPr>
        <w:t>the National</w:t>
      </w:r>
      <w:r w:rsidRPr="006E5FF9">
        <w:rPr>
          <w:rFonts w:ascii="Arial" w:hAnsi="Arial" w:cs="Arial"/>
          <w:sz w:val="20"/>
          <w:szCs w:val="20"/>
        </w:rPr>
        <w:t xml:space="preserve"> Five</w:t>
      </w:r>
      <w:r w:rsidR="00CE30F2" w:rsidRPr="006E5FF9">
        <w:rPr>
          <w:rFonts w:ascii="Arial" w:hAnsi="Arial" w:cs="Arial"/>
          <w:sz w:val="20"/>
          <w:szCs w:val="20"/>
        </w:rPr>
        <w:t>-Year</w:t>
      </w:r>
      <w:r w:rsidRPr="006E5FF9">
        <w:rPr>
          <w:rFonts w:ascii="Arial" w:hAnsi="Arial" w:cs="Arial"/>
          <w:sz w:val="20"/>
          <w:szCs w:val="20"/>
        </w:rPr>
        <w:t xml:space="preserve"> Development Plan III (DSE, 2024). Moreover, the continuation of </w:t>
      </w:r>
      <w:r w:rsidR="00CE30F2" w:rsidRPr="006E5FF9">
        <w:rPr>
          <w:rFonts w:ascii="Arial" w:hAnsi="Arial" w:cs="Arial"/>
          <w:sz w:val="20"/>
          <w:szCs w:val="20"/>
        </w:rPr>
        <w:t>the decline</w:t>
      </w:r>
      <w:r w:rsidRPr="006E5FF9">
        <w:rPr>
          <w:rFonts w:ascii="Arial" w:hAnsi="Arial" w:cs="Arial"/>
          <w:sz w:val="20"/>
          <w:szCs w:val="20"/>
        </w:rPr>
        <w:t xml:space="preserve"> of market capitalization is still evidenced (DSE Market Report, 2023).</w:t>
      </w:r>
    </w:p>
    <w:p w14:paraId="68DED62F" w14:textId="5727122D" w:rsidR="008F2DE8" w:rsidRPr="006E5FF9" w:rsidRDefault="00E56F63" w:rsidP="005E13CD">
      <w:pPr>
        <w:spacing w:after="0" w:line="240" w:lineRule="auto"/>
        <w:jc w:val="both"/>
        <w:rPr>
          <w:rFonts w:ascii="Arial" w:hAnsi="Arial" w:cs="Arial"/>
          <w:sz w:val="20"/>
          <w:szCs w:val="20"/>
        </w:rPr>
      </w:pPr>
      <w:r w:rsidRPr="006E5FF9">
        <w:rPr>
          <w:rFonts w:ascii="Arial" w:hAnsi="Arial" w:cs="Arial"/>
          <w:sz w:val="20"/>
          <w:szCs w:val="20"/>
        </w:rPr>
        <w:t xml:space="preserve">These </w:t>
      </w:r>
      <w:r w:rsidR="00CE30F2" w:rsidRPr="006E5FF9">
        <w:rPr>
          <w:rFonts w:ascii="Arial" w:hAnsi="Arial" w:cs="Arial"/>
          <w:sz w:val="20"/>
          <w:szCs w:val="20"/>
        </w:rPr>
        <w:t>constraints</w:t>
      </w:r>
      <w:r w:rsidRPr="006E5FF9">
        <w:rPr>
          <w:rFonts w:ascii="Arial" w:hAnsi="Arial" w:cs="Arial"/>
          <w:sz w:val="20"/>
          <w:szCs w:val="20"/>
        </w:rPr>
        <w:t xml:space="preserve"> undermine investor confidence and hinder firms from investing </w:t>
      </w:r>
      <w:r w:rsidR="00CE30F2" w:rsidRPr="006E5FF9">
        <w:rPr>
          <w:rFonts w:ascii="Arial" w:hAnsi="Arial" w:cs="Arial"/>
          <w:sz w:val="20"/>
          <w:szCs w:val="20"/>
        </w:rPr>
        <w:t>in</w:t>
      </w:r>
      <w:r w:rsidRPr="006E5FF9">
        <w:rPr>
          <w:rFonts w:ascii="Arial" w:hAnsi="Arial" w:cs="Arial"/>
          <w:sz w:val="20"/>
          <w:szCs w:val="20"/>
        </w:rPr>
        <w:t xml:space="preserve"> the stock exchange so as to optimize their performance. According to </w:t>
      </w:r>
      <w:r w:rsidR="00CE30F2" w:rsidRPr="006E5FF9">
        <w:rPr>
          <w:rFonts w:ascii="Arial" w:hAnsi="Arial" w:cs="Arial"/>
          <w:sz w:val="20"/>
          <w:szCs w:val="20"/>
        </w:rPr>
        <w:t>the DSE</w:t>
      </w:r>
      <w:r w:rsidRPr="006E5FF9">
        <w:rPr>
          <w:rFonts w:ascii="Arial" w:hAnsi="Arial" w:cs="Arial"/>
          <w:sz w:val="20"/>
          <w:szCs w:val="20"/>
        </w:rPr>
        <w:t xml:space="preserve"> Market Report </w:t>
      </w:r>
      <w:r w:rsidR="00CE30F2" w:rsidRPr="006E5FF9">
        <w:rPr>
          <w:rFonts w:ascii="Arial" w:hAnsi="Arial" w:cs="Arial"/>
          <w:sz w:val="20"/>
          <w:szCs w:val="20"/>
        </w:rPr>
        <w:t>(2023),</w:t>
      </w:r>
      <w:r w:rsidRPr="006E5FF9">
        <w:rPr>
          <w:rFonts w:ascii="Arial" w:hAnsi="Arial" w:cs="Arial"/>
          <w:sz w:val="20"/>
          <w:szCs w:val="20"/>
        </w:rPr>
        <w:t xml:space="preserve"> only 30% of listed companies achieved significant performance improvements attributed to stock market participation. This </w:t>
      </w:r>
      <w:r w:rsidRPr="006E5FF9">
        <w:rPr>
          <w:rFonts w:ascii="Arial" w:hAnsi="Arial" w:cs="Arial"/>
          <w:sz w:val="20"/>
          <w:szCs w:val="20"/>
        </w:rPr>
        <w:lastRenderedPageBreak/>
        <w:t>phenomenon raises concerns about the effectiveness of the stock exchange in fulfilling its role as catalyst for economic development in Tanzania.</w:t>
      </w:r>
      <w:r w:rsidR="008F2DE8" w:rsidRPr="006E5FF9">
        <w:rPr>
          <w:rFonts w:ascii="Arial" w:hAnsi="Arial" w:cs="Arial"/>
          <w:sz w:val="20"/>
          <w:szCs w:val="20"/>
        </w:rPr>
        <w:t xml:space="preserve"> </w:t>
      </w:r>
      <w:r w:rsidRPr="006E5FF9">
        <w:rPr>
          <w:rFonts w:ascii="Arial" w:hAnsi="Arial" w:cs="Arial"/>
          <w:sz w:val="20"/>
          <w:szCs w:val="20"/>
        </w:rPr>
        <w:t>Most studies focus on economic growth rather than firm-specific performance metrics</w:t>
      </w:r>
      <w:r w:rsidR="00CE30F2" w:rsidRPr="006E5FF9">
        <w:rPr>
          <w:rFonts w:ascii="Arial" w:hAnsi="Arial" w:cs="Arial"/>
          <w:sz w:val="20"/>
          <w:szCs w:val="20"/>
        </w:rPr>
        <w:t>,</w:t>
      </w:r>
      <w:r w:rsidRPr="006E5FF9">
        <w:rPr>
          <w:rFonts w:ascii="Arial" w:hAnsi="Arial" w:cs="Arial"/>
          <w:sz w:val="20"/>
          <w:szCs w:val="20"/>
        </w:rPr>
        <w:t xml:space="preserve"> leaving gap</w:t>
      </w:r>
      <w:r w:rsidR="009F0E66" w:rsidRPr="006E5FF9">
        <w:rPr>
          <w:rFonts w:ascii="Arial" w:hAnsi="Arial" w:cs="Arial"/>
          <w:sz w:val="20"/>
          <w:szCs w:val="20"/>
        </w:rPr>
        <w:t>s</w:t>
      </w:r>
      <w:r w:rsidRPr="006E5FF9">
        <w:rPr>
          <w:rFonts w:ascii="Arial" w:hAnsi="Arial" w:cs="Arial"/>
          <w:sz w:val="20"/>
          <w:szCs w:val="20"/>
        </w:rPr>
        <w:t xml:space="preserve"> in understanding DSE's impact</w:t>
      </w:r>
      <w:r w:rsidR="009F0E66" w:rsidRPr="006E5FF9">
        <w:rPr>
          <w:rFonts w:ascii="Arial" w:hAnsi="Arial" w:cs="Arial"/>
          <w:sz w:val="20"/>
          <w:szCs w:val="20"/>
        </w:rPr>
        <w:t>s</w:t>
      </w:r>
      <w:r w:rsidRPr="006E5FF9">
        <w:rPr>
          <w:rFonts w:ascii="Arial" w:hAnsi="Arial" w:cs="Arial"/>
          <w:sz w:val="20"/>
          <w:szCs w:val="20"/>
        </w:rPr>
        <w:t xml:space="preserve"> on listed companies’ growth and profitability. </w:t>
      </w:r>
      <w:r w:rsidR="00CE30F2" w:rsidRPr="006E5FF9">
        <w:rPr>
          <w:rFonts w:ascii="Arial" w:hAnsi="Arial" w:cs="Arial"/>
          <w:sz w:val="20"/>
          <w:szCs w:val="20"/>
        </w:rPr>
        <w:t>For example,</w:t>
      </w:r>
      <w:r w:rsidRPr="006E5FF9">
        <w:rPr>
          <w:rFonts w:ascii="Arial" w:hAnsi="Arial" w:cs="Arial"/>
          <w:sz w:val="20"/>
          <w:szCs w:val="20"/>
        </w:rPr>
        <w:t xml:space="preserve"> a study conducted by </w:t>
      </w:r>
      <w:r w:rsidR="00CE30F2" w:rsidRPr="006E5FF9">
        <w:rPr>
          <w:rFonts w:ascii="Arial" w:hAnsi="Arial" w:cs="Arial"/>
          <w:sz w:val="20"/>
          <w:szCs w:val="20"/>
        </w:rPr>
        <w:t>Chindengwike (2024)</w:t>
      </w:r>
      <w:r w:rsidRPr="006E5FF9">
        <w:rPr>
          <w:rFonts w:ascii="Arial" w:hAnsi="Arial" w:cs="Arial"/>
          <w:sz w:val="20"/>
          <w:szCs w:val="20"/>
        </w:rPr>
        <w:t xml:space="preserve"> on determinants of profitability of the manufacturing </w:t>
      </w:r>
      <w:r w:rsidR="001B79BE" w:rsidRPr="006E5FF9">
        <w:rPr>
          <w:rFonts w:ascii="Arial" w:hAnsi="Arial" w:cs="Arial"/>
          <w:sz w:val="20"/>
          <w:szCs w:val="20"/>
        </w:rPr>
        <w:t>companies</w:t>
      </w:r>
      <w:r w:rsidRPr="006E5FF9">
        <w:rPr>
          <w:rFonts w:ascii="Arial" w:hAnsi="Arial" w:cs="Arial"/>
          <w:sz w:val="20"/>
          <w:szCs w:val="20"/>
        </w:rPr>
        <w:t xml:space="preserve"> listed in </w:t>
      </w:r>
      <w:r w:rsidR="00CE30F2" w:rsidRPr="006E5FF9">
        <w:rPr>
          <w:rFonts w:ascii="Arial" w:hAnsi="Arial" w:cs="Arial"/>
          <w:sz w:val="20"/>
          <w:szCs w:val="20"/>
        </w:rPr>
        <w:t>the Dar</w:t>
      </w:r>
      <w:r w:rsidRPr="006E5FF9">
        <w:rPr>
          <w:rFonts w:ascii="Arial" w:hAnsi="Arial" w:cs="Arial"/>
          <w:sz w:val="20"/>
          <w:szCs w:val="20"/>
        </w:rPr>
        <w:t xml:space="preserve"> es Salaam Stock Exchange Market. Moreover, </w:t>
      </w:r>
      <w:r w:rsidR="00CE30F2" w:rsidRPr="006E5FF9">
        <w:rPr>
          <w:rFonts w:ascii="Arial" w:hAnsi="Arial" w:cs="Arial"/>
          <w:sz w:val="20"/>
          <w:szCs w:val="20"/>
        </w:rPr>
        <w:t>stud</w:t>
      </w:r>
      <w:r w:rsidR="001B79BE" w:rsidRPr="006E5FF9">
        <w:rPr>
          <w:rFonts w:ascii="Arial" w:hAnsi="Arial" w:cs="Arial"/>
          <w:sz w:val="20"/>
          <w:szCs w:val="20"/>
        </w:rPr>
        <w:t>y</w:t>
      </w:r>
      <w:r w:rsidRPr="006E5FF9">
        <w:rPr>
          <w:rFonts w:ascii="Arial" w:hAnsi="Arial" w:cs="Arial"/>
          <w:sz w:val="20"/>
          <w:szCs w:val="20"/>
        </w:rPr>
        <w:t xml:space="preserve"> like Mwakabumbe (202</w:t>
      </w:r>
      <w:r w:rsidR="0055429E" w:rsidRPr="006E5FF9">
        <w:rPr>
          <w:rFonts w:ascii="Arial" w:hAnsi="Arial" w:cs="Arial"/>
          <w:sz w:val="20"/>
          <w:szCs w:val="20"/>
        </w:rPr>
        <w:t>4</w:t>
      </w:r>
      <w:r w:rsidRPr="006E5FF9">
        <w:rPr>
          <w:rFonts w:ascii="Arial" w:hAnsi="Arial" w:cs="Arial"/>
          <w:sz w:val="20"/>
          <w:szCs w:val="20"/>
        </w:rPr>
        <w:t>) on the factors affecting stock market participation</w:t>
      </w:r>
      <w:r w:rsidR="00CE30F2" w:rsidRPr="006E5FF9">
        <w:rPr>
          <w:rFonts w:ascii="Arial" w:hAnsi="Arial" w:cs="Arial"/>
          <w:sz w:val="20"/>
          <w:szCs w:val="20"/>
        </w:rPr>
        <w:t>, ha</w:t>
      </w:r>
      <w:r w:rsidR="00A37C68" w:rsidRPr="006E5FF9">
        <w:rPr>
          <w:rFonts w:ascii="Arial" w:hAnsi="Arial" w:cs="Arial"/>
          <w:sz w:val="20"/>
          <w:szCs w:val="20"/>
        </w:rPr>
        <w:t>s</w:t>
      </w:r>
      <w:r w:rsidRPr="006E5FF9">
        <w:rPr>
          <w:rFonts w:ascii="Arial" w:hAnsi="Arial" w:cs="Arial"/>
          <w:sz w:val="20"/>
          <w:szCs w:val="20"/>
        </w:rPr>
        <w:t xml:space="preserve"> focused on individual investors without involving </w:t>
      </w:r>
      <w:r w:rsidR="00A37C68" w:rsidRPr="006E5FF9">
        <w:rPr>
          <w:rFonts w:ascii="Arial" w:hAnsi="Arial" w:cs="Arial"/>
          <w:sz w:val="20"/>
          <w:szCs w:val="20"/>
        </w:rPr>
        <w:t>firms</w:t>
      </w:r>
      <w:r w:rsidRPr="006E5FF9">
        <w:rPr>
          <w:rFonts w:ascii="Arial" w:hAnsi="Arial" w:cs="Arial"/>
          <w:sz w:val="20"/>
          <w:szCs w:val="20"/>
        </w:rPr>
        <w:t xml:space="preserve"> listed in </w:t>
      </w:r>
      <w:r w:rsidR="007A43C4" w:rsidRPr="006E5FF9">
        <w:rPr>
          <w:rFonts w:ascii="Arial" w:hAnsi="Arial" w:cs="Arial"/>
          <w:sz w:val="20"/>
          <w:szCs w:val="20"/>
        </w:rPr>
        <w:t>DSE.</w:t>
      </w:r>
      <w:r w:rsidR="00E77904" w:rsidRPr="006E5FF9">
        <w:rPr>
          <w:rFonts w:ascii="Arial" w:hAnsi="Arial" w:cs="Arial"/>
          <w:sz w:val="20"/>
          <w:szCs w:val="20"/>
        </w:rPr>
        <w:t xml:space="preserve"> </w:t>
      </w:r>
      <w:r w:rsidR="00A37C68" w:rsidRPr="006E5FF9">
        <w:rPr>
          <w:rFonts w:ascii="Arial" w:hAnsi="Arial" w:cs="Arial"/>
          <w:sz w:val="20"/>
          <w:szCs w:val="20"/>
        </w:rPr>
        <w:t>A</w:t>
      </w:r>
      <w:r w:rsidRPr="006E5FF9">
        <w:rPr>
          <w:rFonts w:ascii="Arial" w:hAnsi="Arial" w:cs="Arial"/>
          <w:sz w:val="20"/>
          <w:szCs w:val="20"/>
        </w:rPr>
        <w:t>ddition</w:t>
      </w:r>
      <w:r w:rsidR="00A37C68" w:rsidRPr="006E5FF9">
        <w:rPr>
          <w:rFonts w:ascii="Arial" w:hAnsi="Arial" w:cs="Arial"/>
          <w:sz w:val="20"/>
          <w:szCs w:val="20"/>
        </w:rPr>
        <w:t>al</w:t>
      </w:r>
      <w:r w:rsidRPr="006E5FF9">
        <w:rPr>
          <w:rFonts w:ascii="Arial" w:hAnsi="Arial" w:cs="Arial"/>
          <w:sz w:val="20"/>
          <w:szCs w:val="20"/>
        </w:rPr>
        <w:t xml:space="preserve"> </w:t>
      </w:r>
      <w:r w:rsidR="00CE30F2" w:rsidRPr="006E5FF9">
        <w:rPr>
          <w:rFonts w:ascii="Arial" w:hAnsi="Arial" w:cs="Arial"/>
          <w:sz w:val="20"/>
          <w:szCs w:val="20"/>
        </w:rPr>
        <w:t xml:space="preserve">study </w:t>
      </w:r>
      <w:r w:rsidRPr="006E5FF9">
        <w:rPr>
          <w:rFonts w:ascii="Arial" w:hAnsi="Arial" w:cs="Arial"/>
          <w:sz w:val="20"/>
          <w:szCs w:val="20"/>
        </w:rPr>
        <w:t>explained the performance of the firms listed in</w:t>
      </w:r>
      <w:r w:rsidR="00CE30F2" w:rsidRPr="006E5FF9">
        <w:rPr>
          <w:rFonts w:ascii="Arial" w:hAnsi="Arial" w:cs="Arial"/>
          <w:sz w:val="20"/>
          <w:szCs w:val="20"/>
        </w:rPr>
        <w:t xml:space="preserve"> stock</w:t>
      </w:r>
      <w:r w:rsidRPr="006E5FF9">
        <w:rPr>
          <w:rFonts w:ascii="Arial" w:hAnsi="Arial" w:cs="Arial"/>
          <w:sz w:val="20"/>
          <w:szCs w:val="20"/>
        </w:rPr>
        <w:t xml:space="preserve"> exchange</w:t>
      </w:r>
      <w:r w:rsidR="00CE30F2" w:rsidRPr="006E5FF9">
        <w:rPr>
          <w:rFonts w:ascii="Arial" w:hAnsi="Arial" w:cs="Arial"/>
          <w:sz w:val="20"/>
          <w:szCs w:val="20"/>
        </w:rPr>
        <w:t>,</w:t>
      </w:r>
      <w:r w:rsidRPr="006E5FF9">
        <w:rPr>
          <w:rFonts w:ascii="Arial" w:hAnsi="Arial" w:cs="Arial"/>
          <w:sz w:val="20"/>
          <w:szCs w:val="20"/>
        </w:rPr>
        <w:t xml:space="preserve"> the findings revealed</w:t>
      </w:r>
      <w:r w:rsidR="00A37C68" w:rsidRPr="006E5FF9">
        <w:rPr>
          <w:rFonts w:ascii="Arial" w:hAnsi="Arial" w:cs="Arial"/>
          <w:sz w:val="20"/>
          <w:szCs w:val="20"/>
        </w:rPr>
        <w:t xml:space="preserve"> </w:t>
      </w:r>
      <w:r w:rsidRPr="006E5FF9">
        <w:rPr>
          <w:rFonts w:ascii="Arial" w:hAnsi="Arial" w:cs="Arial"/>
          <w:sz w:val="20"/>
          <w:szCs w:val="20"/>
        </w:rPr>
        <w:t>despite accessing capital through initial public offerings and subsequent equity issuance, many of these firms experienced declining profitability and operational efficiency (Mwenda</w:t>
      </w:r>
      <w:r w:rsidR="0018744D">
        <w:rPr>
          <w:rFonts w:ascii="Arial" w:hAnsi="Arial" w:cs="Arial"/>
          <w:sz w:val="20"/>
          <w:szCs w:val="20"/>
        </w:rPr>
        <w:t xml:space="preserve"> et al.</w:t>
      </w:r>
      <w:r w:rsidRPr="006E5FF9">
        <w:rPr>
          <w:rFonts w:ascii="Arial" w:hAnsi="Arial" w:cs="Arial"/>
          <w:sz w:val="20"/>
          <w:szCs w:val="20"/>
        </w:rPr>
        <w:t>, 202</w:t>
      </w:r>
      <w:r w:rsidR="0018744D">
        <w:rPr>
          <w:rFonts w:ascii="Arial" w:hAnsi="Arial" w:cs="Arial"/>
          <w:sz w:val="20"/>
          <w:szCs w:val="20"/>
        </w:rPr>
        <w:t>4</w:t>
      </w:r>
      <w:r w:rsidRPr="006E5FF9">
        <w:rPr>
          <w:rFonts w:ascii="Arial" w:hAnsi="Arial" w:cs="Arial"/>
          <w:sz w:val="20"/>
          <w:szCs w:val="20"/>
        </w:rPr>
        <w:t>).</w:t>
      </w:r>
    </w:p>
    <w:p w14:paraId="2E23C684" w14:textId="77777777" w:rsidR="008F2DE8" w:rsidRPr="006E5FF9" w:rsidRDefault="008F2DE8" w:rsidP="005E13CD">
      <w:pPr>
        <w:spacing w:after="0" w:line="240" w:lineRule="auto"/>
        <w:jc w:val="both"/>
        <w:rPr>
          <w:rFonts w:ascii="Arial" w:hAnsi="Arial" w:cs="Arial"/>
          <w:sz w:val="20"/>
          <w:szCs w:val="20"/>
        </w:rPr>
      </w:pPr>
    </w:p>
    <w:p w14:paraId="44EA0A70" w14:textId="318DB512" w:rsidR="008F2DE8" w:rsidRPr="006E5FF9" w:rsidRDefault="00E56F63" w:rsidP="005E13CD">
      <w:pPr>
        <w:spacing w:after="0" w:line="240" w:lineRule="auto"/>
        <w:jc w:val="both"/>
        <w:rPr>
          <w:rFonts w:ascii="Arial" w:hAnsi="Arial" w:cs="Arial"/>
          <w:sz w:val="20"/>
          <w:szCs w:val="20"/>
        </w:rPr>
      </w:pPr>
      <w:r w:rsidRPr="006E5FF9">
        <w:rPr>
          <w:rFonts w:ascii="Arial" w:hAnsi="Arial" w:cs="Arial"/>
          <w:sz w:val="20"/>
          <w:szCs w:val="20"/>
        </w:rPr>
        <w:t>Despite accessing funds through the stock exchange, many firms struggle to transform these resources into sustained growth and profitability</w:t>
      </w:r>
      <w:r w:rsidR="00A37C68" w:rsidRPr="006E5FF9">
        <w:rPr>
          <w:rFonts w:ascii="Arial" w:hAnsi="Arial" w:cs="Arial"/>
          <w:sz w:val="20"/>
          <w:szCs w:val="20"/>
        </w:rPr>
        <w:t xml:space="preserve"> (DSE, 2024)</w:t>
      </w:r>
      <w:r w:rsidRPr="006E5FF9">
        <w:rPr>
          <w:rFonts w:ascii="Arial" w:hAnsi="Arial" w:cs="Arial"/>
          <w:sz w:val="20"/>
          <w:szCs w:val="20"/>
        </w:rPr>
        <w:t>.</w:t>
      </w:r>
      <w:r w:rsidR="008F2DE8" w:rsidRPr="006E5FF9">
        <w:rPr>
          <w:rFonts w:ascii="Arial" w:hAnsi="Arial" w:cs="Arial"/>
          <w:sz w:val="20"/>
          <w:szCs w:val="20"/>
        </w:rPr>
        <w:t xml:space="preserve"> </w:t>
      </w:r>
      <w:r w:rsidRPr="006E5FF9">
        <w:rPr>
          <w:rFonts w:ascii="Arial" w:hAnsi="Arial" w:cs="Arial"/>
          <w:sz w:val="20"/>
          <w:szCs w:val="20"/>
        </w:rPr>
        <w:t xml:space="preserve">This raises questions about efficiency of capital allocation, quality of investment </w:t>
      </w:r>
      <w:r w:rsidR="00CE30F2" w:rsidRPr="006E5FF9">
        <w:rPr>
          <w:rFonts w:ascii="Arial" w:hAnsi="Arial" w:cs="Arial"/>
          <w:sz w:val="20"/>
          <w:szCs w:val="20"/>
        </w:rPr>
        <w:t>opportunities,</w:t>
      </w:r>
      <w:r w:rsidRPr="006E5FF9">
        <w:rPr>
          <w:rFonts w:ascii="Arial" w:hAnsi="Arial" w:cs="Arial"/>
          <w:sz w:val="20"/>
          <w:szCs w:val="20"/>
        </w:rPr>
        <w:t xml:space="preserve"> and broader institutional framework governing the stock market</w:t>
      </w:r>
      <w:r w:rsidR="004F515F" w:rsidRPr="006E5FF9">
        <w:rPr>
          <w:rFonts w:ascii="Arial" w:hAnsi="Arial" w:cs="Arial"/>
          <w:sz w:val="20"/>
          <w:szCs w:val="20"/>
        </w:rPr>
        <w:t xml:space="preserve"> (Mwakabumbe, 202</w:t>
      </w:r>
      <w:r w:rsidR="0055429E" w:rsidRPr="006E5FF9">
        <w:rPr>
          <w:rFonts w:ascii="Arial" w:hAnsi="Arial" w:cs="Arial"/>
          <w:sz w:val="20"/>
          <w:szCs w:val="20"/>
        </w:rPr>
        <w:t>4</w:t>
      </w:r>
      <w:r w:rsidR="004F515F" w:rsidRPr="006E5FF9">
        <w:rPr>
          <w:rFonts w:ascii="Arial" w:hAnsi="Arial" w:cs="Arial"/>
          <w:sz w:val="20"/>
          <w:szCs w:val="20"/>
        </w:rPr>
        <w:t>)</w:t>
      </w:r>
      <w:r w:rsidRPr="006E5FF9">
        <w:rPr>
          <w:rFonts w:ascii="Arial" w:hAnsi="Arial" w:cs="Arial"/>
          <w:sz w:val="20"/>
          <w:szCs w:val="20"/>
        </w:rPr>
        <w:t>.</w:t>
      </w:r>
      <w:r w:rsidR="004A239D" w:rsidRPr="006E5FF9">
        <w:rPr>
          <w:rFonts w:ascii="Arial" w:hAnsi="Arial" w:cs="Arial"/>
          <w:sz w:val="20"/>
          <w:szCs w:val="20"/>
        </w:rPr>
        <w:t xml:space="preserve"> </w:t>
      </w:r>
      <w:r w:rsidR="00A625F4" w:rsidRPr="006E5FF9">
        <w:rPr>
          <w:rFonts w:ascii="Arial" w:hAnsi="Arial" w:cs="Arial"/>
          <w:sz w:val="20"/>
          <w:szCs w:val="20"/>
        </w:rPr>
        <w:t>This question</w:t>
      </w:r>
      <w:r w:rsidR="004A239D" w:rsidRPr="006E5FF9">
        <w:rPr>
          <w:rFonts w:ascii="Arial" w:hAnsi="Arial" w:cs="Arial"/>
          <w:sz w:val="20"/>
          <w:szCs w:val="20"/>
        </w:rPr>
        <w:t xml:space="preserve"> </w:t>
      </w:r>
      <w:r w:rsidR="00E67DB0" w:rsidRPr="006E5FF9">
        <w:rPr>
          <w:rFonts w:ascii="Arial" w:hAnsi="Arial" w:cs="Arial"/>
          <w:sz w:val="20"/>
          <w:szCs w:val="20"/>
        </w:rPr>
        <w:t>was</w:t>
      </w:r>
      <w:r w:rsidR="004A239D" w:rsidRPr="006E5FF9">
        <w:rPr>
          <w:rFonts w:ascii="Arial" w:hAnsi="Arial" w:cs="Arial"/>
          <w:sz w:val="20"/>
          <w:szCs w:val="20"/>
        </w:rPr>
        <w:t xml:space="preserve"> grounded in </w:t>
      </w:r>
      <w:r w:rsidR="00C47560" w:rsidRPr="006E5FF9">
        <w:rPr>
          <w:rFonts w:ascii="Arial" w:hAnsi="Arial" w:cs="Arial"/>
          <w:sz w:val="20"/>
          <w:szCs w:val="20"/>
        </w:rPr>
        <w:t xml:space="preserve">efficient market hypothesis </w:t>
      </w:r>
      <w:r w:rsidR="004A239D" w:rsidRPr="006E5FF9">
        <w:rPr>
          <w:rFonts w:ascii="Arial" w:hAnsi="Arial" w:cs="Arial"/>
          <w:sz w:val="20"/>
          <w:szCs w:val="20"/>
        </w:rPr>
        <w:t xml:space="preserve">and </w:t>
      </w:r>
      <w:r w:rsidR="00C47560" w:rsidRPr="006E5FF9">
        <w:rPr>
          <w:rFonts w:ascii="Arial" w:hAnsi="Arial" w:cs="Arial"/>
          <w:sz w:val="20"/>
          <w:szCs w:val="20"/>
        </w:rPr>
        <w:t>institutional theory</w:t>
      </w:r>
      <w:r w:rsidR="00975051" w:rsidRPr="006E5FF9">
        <w:rPr>
          <w:rFonts w:ascii="Arial" w:hAnsi="Arial" w:cs="Arial"/>
          <w:sz w:val="20"/>
          <w:szCs w:val="20"/>
        </w:rPr>
        <w:t xml:space="preserve"> (Olawale, 2024)</w:t>
      </w:r>
      <w:r w:rsidR="004A239D" w:rsidRPr="006E5FF9">
        <w:rPr>
          <w:rFonts w:ascii="Arial" w:hAnsi="Arial" w:cs="Arial"/>
          <w:sz w:val="20"/>
          <w:szCs w:val="20"/>
        </w:rPr>
        <w:t xml:space="preserve">. </w:t>
      </w:r>
      <w:r w:rsidR="005E1651" w:rsidRPr="006E5FF9">
        <w:rPr>
          <w:rFonts w:ascii="Arial" w:hAnsi="Arial" w:cs="Arial"/>
          <w:sz w:val="20"/>
          <w:szCs w:val="20"/>
        </w:rPr>
        <w:t>While</w:t>
      </w:r>
      <w:r w:rsidR="004A239D" w:rsidRPr="006E5FF9">
        <w:rPr>
          <w:rFonts w:ascii="Arial" w:hAnsi="Arial" w:cs="Arial"/>
          <w:sz w:val="20"/>
          <w:szCs w:val="20"/>
        </w:rPr>
        <w:t xml:space="preserve"> </w:t>
      </w:r>
      <w:r w:rsidR="00CE30F2" w:rsidRPr="006E5FF9">
        <w:rPr>
          <w:rFonts w:ascii="Arial" w:hAnsi="Arial" w:cs="Arial"/>
          <w:sz w:val="20"/>
          <w:szCs w:val="20"/>
        </w:rPr>
        <w:t>institutional theory</w:t>
      </w:r>
      <w:r w:rsidR="004A239D" w:rsidRPr="006E5FF9">
        <w:rPr>
          <w:rFonts w:ascii="Arial" w:hAnsi="Arial" w:cs="Arial"/>
          <w:sz w:val="20"/>
          <w:szCs w:val="20"/>
        </w:rPr>
        <w:t xml:space="preserve"> further explains that the broader regulatory and governance structures shape </w:t>
      </w:r>
      <w:r w:rsidR="00CE30F2" w:rsidRPr="006E5FF9">
        <w:rPr>
          <w:rFonts w:ascii="Arial" w:hAnsi="Arial" w:cs="Arial"/>
          <w:sz w:val="20"/>
          <w:szCs w:val="20"/>
        </w:rPr>
        <w:t>market function,</w:t>
      </w:r>
      <w:r w:rsidR="004A239D" w:rsidRPr="006E5FF9">
        <w:rPr>
          <w:rFonts w:ascii="Arial" w:hAnsi="Arial" w:cs="Arial"/>
          <w:sz w:val="20"/>
          <w:szCs w:val="20"/>
        </w:rPr>
        <w:t xml:space="preserve"> emphasizing that institutional frameworks influence transparency, investor </w:t>
      </w:r>
      <w:r w:rsidR="00CE30F2" w:rsidRPr="006E5FF9">
        <w:rPr>
          <w:rFonts w:ascii="Arial" w:hAnsi="Arial" w:cs="Arial"/>
          <w:sz w:val="20"/>
          <w:szCs w:val="20"/>
        </w:rPr>
        <w:t>confidence,</w:t>
      </w:r>
      <w:r w:rsidR="004A239D" w:rsidRPr="006E5FF9">
        <w:rPr>
          <w:rFonts w:ascii="Arial" w:hAnsi="Arial" w:cs="Arial"/>
          <w:sz w:val="20"/>
          <w:szCs w:val="20"/>
        </w:rPr>
        <w:t xml:space="preserve"> and ultimately firm performance (North, 1990).</w:t>
      </w:r>
      <w:r w:rsidR="008F2DE8" w:rsidRPr="006E5FF9">
        <w:rPr>
          <w:rFonts w:ascii="Arial" w:hAnsi="Arial" w:cs="Arial"/>
          <w:sz w:val="20"/>
          <w:szCs w:val="20"/>
        </w:rPr>
        <w:t xml:space="preserve"> </w:t>
      </w:r>
      <w:r w:rsidRPr="006E5FF9">
        <w:rPr>
          <w:rFonts w:ascii="Arial" w:hAnsi="Arial" w:cs="Arial"/>
          <w:sz w:val="20"/>
          <w:szCs w:val="20"/>
        </w:rPr>
        <w:t xml:space="preserve">The research gap lies in understanding the disconnection between capital infusion from the stock exchange and the subsequent performance of listed companies in Tanzania. While previous literature </w:t>
      </w:r>
      <w:r w:rsidR="00CE30F2" w:rsidRPr="006E5FF9">
        <w:rPr>
          <w:rFonts w:ascii="Arial" w:hAnsi="Arial" w:cs="Arial"/>
          <w:sz w:val="20"/>
          <w:szCs w:val="20"/>
        </w:rPr>
        <w:t>has</w:t>
      </w:r>
      <w:r w:rsidRPr="006E5FF9">
        <w:rPr>
          <w:rFonts w:ascii="Arial" w:hAnsi="Arial" w:cs="Arial"/>
          <w:sz w:val="20"/>
          <w:szCs w:val="20"/>
        </w:rPr>
        <w:t xml:space="preserve"> explored the financial implications of listing firms in the portion of only banks and manufacturing firms only without combining all firms listed at the same time.</w:t>
      </w:r>
    </w:p>
    <w:p w14:paraId="2E73E5F7" w14:textId="77777777" w:rsidR="00105D3B" w:rsidRPr="006E5FF9" w:rsidRDefault="00105D3B" w:rsidP="005E13CD">
      <w:pPr>
        <w:spacing w:after="0" w:line="240" w:lineRule="auto"/>
        <w:jc w:val="both"/>
        <w:rPr>
          <w:rFonts w:ascii="Arial" w:hAnsi="Arial" w:cs="Arial"/>
          <w:sz w:val="24"/>
          <w:szCs w:val="24"/>
        </w:rPr>
      </w:pPr>
    </w:p>
    <w:p w14:paraId="2F49EEF3" w14:textId="6E6331A3" w:rsidR="00105D3B" w:rsidRPr="006E5FF9" w:rsidRDefault="00105D3B" w:rsidP="00105D3B">
      <w:pPr>
        <w:spacing w:after="0" w:line="240" w:lineRule="auto"/>
        <w:jc w:val="both"/>
        <w:rPr>
          <w:rFonts w:ascii="Arial" w:hAnsi="Arial" w:cs="Arial"/>
          <w:b/>
        </w:rPr>
      </w:pPr>
      <w:r w:rsidRPr="006E5FF9">
        <w:rPr>
          <w:rFonts w:ascii="Arial" w:hAnsi="Arial" w:cs="Arial"/>
          <w:b/>
        </w:rPr>
        <w:t>2. Literature Review</w:t>
      </w:r>
    </w:p>
    <w:p w14:paraId="6E7434A5" w14:textId="14A23EA4" w:rsidR="00105D3B" w:rsidRPr="00FA5624" w:rsidRDefault="00105D3B" w:rsidP="00105D3B">
      <w:pPr>
        <w:spacing w:after="0" w:line="240" w:lineRule="auto"/>
        <w:jc w:val="both"/>
        <w:rPr>
          <w:rFonts w:ascii="Arial" w:hAnsi="Arial" w:cs="Arial"/>
          <w:b/>
          <w:sz w:val="20"/>
          <w:szCs w:val="20"/>
        </w:rPr>
      </w:pPr>
      <w:r w:rsidRPr="00FA5624">
        <w:rPr>
          <w:rFonts w:ascii="Arial" w:hAnsi="Arial" w:cs="Arial"/>
          <w:b/>
          <w:sz w:val="20"/>
          <w:szCs w:val="20"/>
        </w:rPr>
        <w:t xml:space="preserve">2.1 Theoretical </w:t>
      </w:r>
      <w:r w:rsidR="00F20085" w:rsidRPr="00FA5624">
        <w:rPr>
          <w:rFonts w:ascii="Arial" w:hAnsi="Arial" w:cs="Arial"/>
          <w:b/>
          <w:sz w:val="20"/>
          <w:szCs w:val="20"/>
        </w:rPr>
        <w:t xml:space="preserve">and Empirical </w:t>
      </w:r>
      <w:r w:rsidRPr="00FA5624">
        <w:rPr>
          <w:rFonts w:ascii="Arial" w:hAnsi="Arial" w:cs="Arial"/>
          <w:b/>
          <w:sz w:val="20"/>
          <w:szCs w:val="20"/>
        </w:rPr>
        <w:t>Literature Review</w:t>
      </w:r>
    </w:p>
    <w:p w14:paraId="314CB2AF" w14:textId="4662F1A4" w:rsidR="006B7480" w:rsidRPr="00FA5624" w:rsidRDefault="00E56F63" w:rsidP="005E13CD">
      <w:pPr>
        <w:spacing w:after="0" w:line="240" w:lineRule="auto"/>
        <w:jc w:val="both"/>
        <w:rPr>
          <w:rFonts w:ascii="Arial" w:hAnsi="Arial" w:cs="Arial"/>
          <w:sz w:val="20"/>
          <w:szCs w:val="20"/>
        </w:rPr>
      </w:pPr>
      <w:r w:rsidRPr="00FA5624">
        <w:rPr>
          <w:rFonts w:ascii="Arial" w:hAnsi="Arial" w:cs="Arial"/>
          <w:sz w:val="20"/>
          <w:szCs w:val="20"/>
        </w:rPr>
        <w:t xml:space="preserve">Institutional </w:t>
      </w:r>
      <w:r w:rsidR="00BC23D2" w:rsidRPr="00FA5624">
        <w:rPr>
          <w:rFonts w:ascii="Arial" w:hAnsi="Arial" w:cs="Arial"/>
          <w:sz w:val="20"/>
          <w:szCs w:val="20"/>
        </w:rPr>
        <w:t>theory,</w:t>
      </w:r>
      <w:r w:rsidRPr="00FA5624">
        <w:rPr>
          <w:rFonts w:ascii="Arial" w:hAnsi="Arial" w:cs="Arial"/>
          <w:sz w:val="20"/>
          <w:szCs w:val="20"/>
        </w:rPr>
        <w:t xml:space="preserve"> conceptualized by Philip Selznick in </w:t>
      </w:r>
      <w:r w:rsidR="00BC23D2" w:rsidRPr="00FA5624">
        <w:rPr>
          <w:rFonts w:ascii="Arial" w:hAnsi="Arial" w:cs="Arial"/>
          <w:sz w:val="20"/>
          <w:szCs w:val="20"/>
        </w:rPr>
        <w:t>1948,</w:t>
      </w:r>
      <w:r w:rsidRPr="00FA5624">
        <w:rPr>
          <w:rFonts w:ascii="Arial" w:hAnsi="Arial" w:cs="Arial"/>
          <w:sz w:val="20"/>
          <w:szCs w:val="20"/>
        </w:rPr>
        <w:t xml:space="preserve"> focused on external environmental factors and explain regulatory environment which account for social factors influencing investor decisions.</w:t>
      </w:r>
      <w:r w:rsidR="00F3601F" w:rsidRPr="00FA5624">
        <w:rPr>
          <w:rFonts w:ascii="Arial" w:hAnsi="Arial" w:cs="Arial"/>
          <w:sz w:val="20"/>
          <w:szCs w:val="20"/>
        </w:rPr>
        <w:t xml:space="preserve"> Specifically, the regulatory environment relates to rules, laws, and government policies; normative pressures focus on professional standards, industry norms, and expectations from stakeholders; while cognitive-cultural factors address shared beliefs, values, and practices that legitimize organizational actions. These variables address items such as compliance with laws, conformity to industry standards, adoption of best practices, and pursuit of legitimacy to ensure survival and improved performance in the market. </w:t>
      </w:r>
      <w:r w:rsidRPr="00FA5624">
        <w:rPr>
          <w:rFonts w:ascii="Arial" w:hAnsi="Arial" w:cs="Arial"/>
          <w:sz w:val="20"/>
          <w:szCs w:val="20"/>
        </w:rPr>
        <w:t xml:space="preserve">These variables help in </w:t>
      </w:r>
      <w:r w:rsidR="00BC23D2" w:rsidRPr="00FA5624">
        <w:rPr>
          <w:rFonts w:ascii="Arial" w:hAnsi="Arial" w:cs="Arial"/>
          <w:sz w:val="20"/>
          <w:szCs w:val="20"/>
        </w:rPr>
        <w:t>measuring</w:t>
      </w:r>
      <w:r w:rsidRPr="00FA5624">
        <w:rPr>
          <w:rFonts w:ascii="Arial" w:hAnsi="Arial" w:cs="Arial"/>
          <w:sz w:val="20"/>
          <w:szCs w:val="20"/>
        </w:rPr>
        <w:t xml:space="preserve"> the extent to which a stock market aligns with the hypothesis.</w:t>
      </w:r>
      <w:r w:rsidR="00F20085" w:rsidRPr="00FA5624">
        <w:rPr>
          <w:rFonts w:ascii="Arial" w:hAnsi="Arial" w:cs="Arial"/>
          <w:sz w:val="20"/>
          <w:szCs w:val="20"/>
        </w:rPr>
        <w:t xml:space="preserve"> Empirically, s</w:t>
      </w:r>
      <w:r w:rsidRPr="00FA5624">
        <w:rPr>
          <w:rFonts w:ascii="Arial" w:hAnsi="Arial" w:cs="Arial"/>
          <w:sz w:val="20"/>
          <w:szCs w:val="20"/>
        </w:rPr>
        <w:t>tudy</w:t>
      </w:r>
      <w:r w:rsidR="00CB464B" w:rsidRPr="00FA5624">
        <w:rPr>
          <w:rFonts w:ascii="Arial" w:hAnsi="Arial" w:cs="Arial"/>
          <w:sz w:val="20"/>
          <w:szCs w:val="20"/>
        </w:rPr>
        <w:t xml:space="preserve"> </w:t>
      </w:r>
      <w:r w:rsidR="00263678" w:rsidRPr="00FA5624">
        <w:rPr>
          <w:rFonts w:ascii="Arial" w:hAnsi="Arial" w:cs="Arial"/>
          <w:sz w:val="20"/>
          <w:szCs w:val="20"/>
        </w:rPr>
        <w:t>by</w:t>
      </w:r>
      <w:r w:rsidRPr="00FA5624">
        <w:rPr>
          <w:rFonts w:ascii="Arial" w:hAnsi="Arial" w:cs="Arial"/>
          <w:sz w:val="20"/>
          <w:szCs w:val="20"/>
        </w:rPr>
        <w:t xml:space="preserve"> Chindengwike (2024) examined nexus </w:t>
      </w:r>
      <w:r w:rsidR="00B147D7" w:rsidRPr="00FA5624">
        <w:rPr>
          <w:rFonts w:ascii="Arial" w:hAnsi="Arial" w:cs="Arial"/>
          <w:sz w:val="20"/>
          <w:szCs w:val="20"/>
        </w:rPr>
        <w:t>of</w:t>
      </w:r>
      <w:r w:rsidRPr="00FA5624">
        <w:rPr>
          <w:rFonts w:ascii="Arial" w:hAnsi="Arial" w:cs="Arial"/>
          <w:sz w:val="20"/>
          <w:szCs w:val="20"/>
        </w:rPr>
        <w:t xml:space="preserve"> financial leverage and dividend</w:t>
      </w:r>
      <w:r w:rsidR="00B147D7" w:rsidRPr="00FA5624">
        <w:rPr>
          <w:rFonts w:ascii="Arial" w:hAnsi="Arial" w:cs="Arial"/>
          <w:sz w:val="20"/>
          <w:szCs w:val="20"/>
        </w:rPr>
        <w:t>s</w:t>
      </w:r>
      <w:r w:rsidRPr="00FA5624">
        <w:rPr>
          <w:rFonts w:ascii="Arial" w:hAnsi="Arial" w:cs="Arial"/>
          <w:sz w:val="20"/>
          <w:szCs w:val="20"/>
        </w:rPr>
        <w:t xml:space="preserve"> </w:t>
      </w:r>
      <w:r w:rsidR="00263678" w:rsidRPr="00FA5624">
        <w:rPr>
          <w:rFonts w:ascii="Arial" w:hAnsi="Arial" w:cs="Arial"/>
          <w:sz w:val="20"/>
          <w:szCs w:val="20"/>
        </w:rPr>
        <w:t>payout</w:t>
      </w:r>
      <w:r w:rsidRPr="00FA5624">
        <w:rPr>
          <w:rFonts w:ascii="Arial" w:hAnsi="Arial" w:cs="Arial"/>
          <w:sz w:val="20"/>
          <w:szCs w:val="20"/>
        </w:rPr>
        <w:t xml:space="preserve"> as </w:t>
      </w:r>
      <w:r w:rsidR="00263678" w:rsidRPr="00FA5624">
        <w:rPr>
          <w:rFonts w:ascii="Arial" w:hAnsi="Arial" w:cs="Arial"/>
          <w:sz w:val="20"/>
          <w:szCs w:val="20"/>
        </w:rPr>
        <w:t>a measure</w:t>
      </w:r>
      <w:r w:rsidRPr="00FA5624">
        <w:rPr>
          <w:rFonts w:ascii="Arial" w:hAnsi="Arial" w:cs="Arial"/>
          <w:sz w:val="20"/>
          <w:szCs w:val="20"/>
        </w:rPr>
        <w:t xml:space="preserve"> of stock market development from</w:t>
      </w:r>
      <w:r w:rsidR="00B147D7" w:rsidRPr="00FA5624">
        <w:rPr>
          <w:rFonts w:ascii="Arial" w:hAnsi="Arial" w:cs="Arial"/>
          <w:sz w:val="20"/>
          <w:szCs w:val="20"/>
        </w:rPr>
        <w:t xml:space="preserve"> industrial </w:t>
      </w:r>
      <w:r w:rsidRPr="00FA5624">
        <w:rPr>
          <w:rFonts w:ascii="Arial" w:hAnsi="Arial" w:cs="Arial"/>
          <w:sz w:val="20"/>
          <w:szCs w:val="20"/>
        </w:rPr>
        <w:t>firms listed</w:t>
      </w:r>
      <w:r w:rsidR="00B147D7" w:rsidRPr="00FA5624">
        <w:rPr>
          <w:rFonts w:ascii="Arial" w:hAnsi="Arial" w:cs="Arial"/>
          <w:sz w:val="20"/>
          <w:szCs w:val="20"/>
        </w:rPr>
        <w:t xml:space="preserve"> in DSE</w:t>
      </w:r>
      <w:r w:rsidR="00F20085" w:rsidRPr="00FA5624">
        <w:rPr>
          <w:rFonts w:ascii="Arial" w:hAnsi="Arial" w:cs="Arial"/>
          <w:sz w:val="20"/>
          <w:szCs w:val="20"/>
        </w:rPr>
        <w:t xml:space="preserve"> through l</w:t>
      </w:r>
      <w:r w:rsidRPr="00FA5624">
        <w:rPr>
          <w:rFonts w:ascii="Arial" w:hAnsi="Arial" w:cs="Arial"/>
          <w:sz w:val="20"/>
          <w:szCs w:val="20"/>
        </w:rPr>
        <w:t>ongitudinal</w:t>
      </w:r>
      <w:r w:rsidR="00B147D7" w:rsidRPr="00FA5624">
        <w:rPr>
          <w:rFonts w:ascii="Arial" w:hAnsi="Arial" w:cs="Arial"/>
          <w:sz w:val="20"/>
          <w:szCs w:val="20"/>
        </w:rPr>
        <w:t xml:space="preserve"> study </w:t>
      </w:r>
      <w:r w:rsidRPr="00FA5624">
        <w:rPr>
          <w:rFonts w:ascii="Arial" w:hAnsi="Arial" w:cs="Arial"/>
          <w:sz w:val="20"/>
          <w:szCs w:val="20"/>
        </w:rPr>
        <w:t xml:space="preserve">design </w:t>
      </w:r>
      <w:r w:rsidR="00B147D7" w:rsidRPr="00FA5624">
        <w:rPr>
          <w:rFonts w:ascii="Arial" w:hAnsi="Arial" w:cs="Arial"/>
          <w:sz w:val="20"/>
          <w:szCs w:val="20"/>
        </w:rPr>
        <w:t xml:space="preserve">in </w:t>
      </w:r>
      <w:r w:rsidRPr="00FA5624">
        <w:rPr>
          <w:rFonts w:ascii="Arial" w:hAnsi="Arial" w:cs="Arial"/>
          <w:sz w:val="20"/>
          <w:szCs w:val="20"/>
        </w:rPr>
        <w:t>quantitative approach</w:t>
      </w:r>
      <w:r w:rsidR="00B147D7" w:rsidRPr="00FA5624">
        <w:rPr>
          <w:rFonts w:ascii="Arial" w:hAnsi="Arial" w:cs="Arial"/>
          <w:sz w:val="20"/>
          <w:szCs w:val="20"/>
        </w:rPr>
        <w:t xml:space="preserve">es. </w:t>
      </w:r>
      <w:r w:rsidR="00206423" w:rsidRPr="00FA5624">
        <w:rPr>
          <w:rFonts w:ascii="Arial" w:hAnsi="Arial" w:cs="Arial"/>
          <w:sz w:val="20"/>
          <w:szCs w:val="20"/>
        </w:rPr>
        <w:t>S</w:t>
      </w:r>
      <w:r w:rsidRPr="00FA5624">
        <w:rPr>
          <w:rFonts w:ascii="Arial" w:hAnsi="Arial" w:cs="Arial"/>
          <w:sz w:val="20"/>
          <w:szCs w:val="20"/>
        </w:rPr>
        <w:t>tudy</w:t>
      </w:r>
      <w:r w:rsidR="00206423" w:rsidRPr="00FA5624">
        <w:rPr>
          <w:rFonts w:ascii="Arial" w:hAnsi="Arial" w:cs="Arial"/>
          <w:sz w:val="20"/>
          <w:szCs w:val="20"/>
        </w:rPr>
        <w:t xml:space="preserve"> </w:t>
      </w:r>
      <w:r w:rsidRPr="00FA5624">
        <w:rPr>
          <w:rFonts w:ascii="Arial" w:hAnsi="Arial" w:cs="Arial"/>
          <w:sz w:val="20"/>
          <w:szCs w:val="20"/>
        </w:rPr>
        <w:t>found</w:t>
      </w:r>
      <w:r w:rsidR="00206423" w:rsidRPr="00FA5624">
        <w:rPr>
          <w:rFonts w:ascii="Arial" w:hAnsi="Arial" w:cs="Arial"/>
          <w:sz w:val="20"/>
          <w:szCs w:val="20"/>
        </w:rPr>
        <w:t xml:space="preserve">s </w:t>
      </w:r>
      <w:r w:rsidRPr="00FA5624">
        <w:rPr>
          <w:rFonts w:ascii="Arial" w:hAnsi="Arial" w:cs="Arial"/>
          <w:sz w:val="20"/>
          <w:szCs w:val="20"/>
        </w:rPr>
        <w:t>negative relationship</w:t>
      </w:r>
      <w:r w:rsidR="00206423" w:rsidRPr="00FA5624">
        <w:rPr>
          <w:rFonts w:ascii="Arial" w:hAnsi="Arial" w:cs="Arial"/>
          <w:sz w:val="20"/>
          <w:szCs w:val="20"/>
        </w:rPr>
        <w:t>s</w:t>
      </w:r>
      <w:r w:rsidRPr="00FA5624">
        <w:rPr>
          <w:rFonts w:ascii="Arial" w:hAnsi="Arial" w:cs="Arial"/>
          <w:sz w:val="20"/>
          <w:szCs w:val="20"/>
        </w:rPr>
        <w:t xml:space="preserve"> betwe</w:t>
      </w:r>
      <w:r w:rsidR="00206423" w:rsidRPr="00FA5624">
        <w:rPr>
          <w:rFonts w:ascii="Arial" w:hAnsi="Arial" w:cs="Arial"/>
          <w:sz w:val="20"/>
          <w:szCs w:val="20"/>
        </w:rPr>
        <w:t xml:space="preserve">en stock market development and </w:t>
      </w:r>
      <w:r w:rsidRPr="00FA5624">
        <w:rPr>
          <w:rFonts w:ascii="Arial" w:hAnsi="Arial" w:cs="Arial"/>
          <w:sz w:val="20"/>
          <w:szCs w:val="20"/>
        </w:rPr>
        <w:t>performance</w:t>
      </w:r>
      <w:r w:rsidR="00206423" w:rsidRPr="00FA5624">
        <w:rPr>
          <w:rFonts w:ascii="Arial" w:hAnsi="Arial" w:cs="Arial"/>
          <w:sz w:val="20"/>
          <w:szCs w:val="20"/>
        </w:rPr>
        <w:t xml:space="preserve"> of firms</w:t>
      </w:r>
      <w:r w:rsidRPr="00FA5624">
        <w:rPr>
          <w:rFonts w:ascii="Arial" w:hAnsi="Arial" w:cs="Arial"/>
          <w:sz w:val="20"/>
          <w:szCs w:val="20"/>
        </w:rPr>
        <w:t>.</w:t>
      </w:r>
      <w:r w:rsidR="00B734B4" w:rsidRPr="00FA5624">
        <w:rPr>
          <w:rFonts w:ascii="Arial" w:hAnsi="Arial" w:cs="Arial"/>
          <w:sz w:val="20"/>
          <w:szCs w:val="20"/>
        </w:rPr>
        <w:t xml:space="preserve"> </w:t>
      </w:r>
      <w:r w:rsidRPr="00FA5624">
        <w:rPr>
          <w:rFonts w:ascii="Arial" w:hAnsi="Arial" w:cs="Arial"/>
          <w:sz w:val="20"/>
          <w:szCs w:val="20"/>
        </w:rPr>
        <w:t>Olawale (2024) explored impact</w:t>
      </w:r>
      <w:r w:rsidR="00B252B8" w:rsidRPr="00FA5624">
        <w:rPr>
          <w:rFonts w:ascii="Arial" w:hAnsi="Arial" w:cs="Arial"/>
          <w:sz w:val="20"/>
          <w:szCs w:val="20"/>
        </w:rPr>
        <w:t>s</w:t>
      </w:r>
      <w:r w:rsidRPr="00FA5624">
        <w:rPr>
          <w:rFonts w:ascii="Arial" w:hAnsi="Arial" w:cs="Arial"/>
          <w:sz w:val="20"/>
          <w:szCs w:val="20"/>
        </w:rPr>
        <w:t xml:space="preserve"> of capital market</w:t>
      </w:r>
      <w:r w:rsidR="00B252B8" w:rsidRPr="00FA5624">
        <w:rPr>
          <w:rFonts w:ascii="Arial" w:hAnsi="Arial" w:cs="Arial"/>
          <w:sz w:val="20"/>
          <w:szCs w:val="20"/>
        </w:rPr>
        <w:t>s</w:t>
      </w:r>
      <w:r w:rsidRPr="00FA5624">
        <w:rPr>
          <w:rFonts w:ascii="Arial" w:hAnsi="Arial" w:cs="Arial"/>
          <w:sz w:val="20"/>
          <w:szCs w:val="20"/>
        </w:rPr>
        <w:t xml:space="preserve"> performance on economic growth</w:t>
      </w:r>
      <w:r w:rsidR="00B252B8" w:rsidRPr="00FA5624">
        <w:rPr>
          <w:rFonts w:ascii="Arial" w:hAnsi="Arial" w:cs="Arial"/>
          <w:sz w:val="20"/>
          <w:szCs w:val="20"/>
        </w:rPr>
        <w:t xml:space="preserve"> of </w:t>
      </w:r>
      <w:r w:rsidRPr="00FA5624">
        <w:rPr>
          <w:rFonts w:ascii="Arial" w:hAnsi="Arial" w:cs="Arial"/>
          <w:sz w:val="20"/>
          <w:szCs w:val="20"/>
        </w:rPr>
        <w:t xml:space="preserve">Nigeria utilizing CAPM, </w:t>
      </w:r>
      <w:r w:rsidR="00263678" w:rsidRPr="00FA5624">
        <w:rPr>
          <w:rFonts w:ascii="Arial" w:hAnsi="Arial" w:cs="Arial"/>
          <w:sz w:val="20"/>
          <w:szCs w:val="20"/>
        </w:rPr>
        <w:t>EMH,</w:t>
      </w:r>
      <w:r w:rsidRPr="00FA5624">
        <w:rPr>
          <w:rFonts w:ascii="Arial" w:hAnsi="Arial" w:cs="Arial"/>
          <w:sz w:val="20"/>
          <w:szCs w:val="20"/>
        </w:rPr>
        <w:t xml:space="preserve"> and </w:t>
      </w:r>
      <w:r w:rsidR="00263678" w:rsidRPr="00FA5624">
        <w:rPr>
          <w:rFonts w:ascii="Arial" w:hAnsi="Arial" w:cs="Arial"/>
          <w:sz w:val="20"/>
          <w:szCs w:val="20"/>
        </w:rPr>
        <w:t>APT.</w:t>
      </w:r>
      <w:r w:rsidRPr="00FA5624">
        <w:rPr>
          <w:rFonts w:ascii="Arial" w:hAnsi="Arial" w:cs="Arial"/>
          <w:sz w:val="20"/>
          <w:szCs w:val="20"/>
        </w:rPr>
        <w:t xml:space="preserve"> OLS</w:t>
      </w:r>
      <w:r w:rsidR="00B252B8" w:rsidRPr="00FA5624">
        <w:rPr>
          <w:rFonts w:ascii="Arial" w:hAnsi="Arial" w:cs="Arial"/>
          <w:sz w:val="20"/>
          <w:szCs w:val="20"/>
        </w:rPr>
        <w:t xml:space="preserve"> </w:t>
      </w:r>
      <w:r w:rsidRPr="00FA5624">
        <w:rPr>
          <w:rFonts w:ascii="Arial" w:hAnsi="Arial" w:cs="Arial"/>
          <w:sz w:val="20"/>
          <w:szCs w:val="20"/>
        </w:rPr>
        <w:t>tec</w:t>
      </w:r>
      <w:r w:rsidR="00B252B8" w:rsidRPr="00FA5624">
        <w:rPr>
          <w:rFonts w:ascii="Arial" w:hAnsi="Arial" w:cs="Arial"/>
          <w:sz w:val="20"/>
          <w:szCs w:val="20"/>
        </w:rPr>
        <w:t>hnique was used for estimation. R</w:t>
      </w:r>
      <w:r w:rsidRPr="00FA5624">
        <w:rPr>
          <w:rFonts w:ascii="Arial" w:hAnsi="Arial" w:cs="Arial"/>
          <w:sz w:val="20"/>
          <w:szCs w:val="20"/>
        </w:rPr>
        <w:t>esults</w:t>
      </w:r>
      <w:r w:rsidR="00B252B8" w:rsidRPr="00FA5624">
        <w:rPr>
          <w:rFonts w:ascii="Arial" w:hAnsi="Arial" w:cs="Arial"/>
          <w:sz w:val="20"/>
          <w:szCs w:val="20"/>
        </w:rPr>
        <w:t xml:space="preserve"> </w:t>
      </w:r>
      <w:r w:rsidRPr="00FA5624">
        <w:rPr>
          <w:rFonts w:ascii="Arial" w:hAnsi="Arial" w:cs="Arial"/>
          <w:sz w:val="20"/>
          <w:szCs w:val="20"/>
        </w:rPr>
        <w:t xml:space="preserve">revealed </w:t>
      </w:r>
      <w:r w:rsidR="00B252B8" w:rsidRPr="00FA5624">
        <w:rPr>
          <w:rFonts w:ascii="Arial" w:hAnsi="Arial" w:cs="Arial"/>
          <w:sz w:val="20"/>
          <w:szCs w:val="20"/>
        </w:rPr>
        <w:t xml:space="preserve">market capitalization and </w:t>
      </w:r>
      <w:r w:rsidRPr="00FA5624">
        <w:rPr>
          <w:rFonts w:ascii="Arial" w:hAnsi="Arial" w:cs="Arial"/>
          <w:sz w:val="20"/>
          <w:szCs w:val="20"/>
        </w:rPr>
        <w:t>share index</w:t>
      </w:r>
      <w:r w:rsidR="00B252B8" w:rsidRPr="00FA5624">
        <w:rPr>
          <w:rFonts w:ascii="Arial" w:hAnsi="Arial" w:cs="Arial"/>
          <w:sz w:val="20"/>
          <w:szCs w:val="20"/>
        </w:rPr>
        <w:t>es</w:t>
      </w:r>
      <w:r w:rsidRPr="00FA5624">
        <w:rPr>
          <w:rFonts w:ascii="Arial" w:hAnsi="Arial" w:cs="Arial"/>
          <w:sz w:val="20"/>
          <w:szCs w:val="20"/>
        </w:rPr>
        <w:t xml:space="preserve"> were significant predictors of economic growth</w:t>
      </w:r>
      <w:r w:rsidR="00134335" w:rsidRPr="00FA5624">
        <w:rPr>
          <w:rFonts w:ascii="Arial" w:hAnsi="Arial" w:cs="Arial"/>
          <w:sz w:val="20"/>
          <w:szCs w:val="20"/>
        </w:rPr>
        <w:t>.</w:t>
      </w:r>
      <w:r w:rsidR="00B734B4" w:rsidRPr="00FA5624">
        <w:rPr>
          <w:rFonts w:ascii="Arial" w:hAnsi="Arial" w:cs="Arial"/>
          <w:sz w:val="20"/>
          <w:szCs w:val="20"/>
        </w:rPr>
        <w:t xml:space="preserve"> </w:t>
      </w:r>
      <w:r w:rsidR="00C73665" w:rsidRPr="00FA5624">
        <w:rPr>
          <w:rFonts w:ascii="Arial" w:hAnsi="Arial" w:cs="Arial"/>
          <w:sz w:val="20"/>
          <w:szCs w:val="20"/>
        </w:rPr>
        <w:t>S</w:t>
      </w:r>
      <w:r w:rsidRPr="00FA5624">
        <w:rPr>
          <w:rFonts w:ascii="Arial" w:hAnsi="Arial" w:cs="Arial"/>
          <w:sz w:val="20"/>
          <w:szCs w:val="20"/>
        </w:rPr>
        <w:t>tudy</w:t>
      </w:r>
      <w:r w:rsidR="00C73665" w:rsidRPr="00FA5624">
        <w:rPr>
          <w:rFonts w:ascii="Arial" w:hAnsi="Arial" w:cs="Arial"/>
          <w:sz w:val="20"/>
          <w:szCs w:val="20"/>
        </w:rPr>
        <w:t xml:space="preserve"> </w:t>
      </w:r>
      <w:r w:rsidR="00263678" w:rsidRPr="00FA5624">
        <w:rPr>
          <w:rFonts w:ascii="Arial" w:hAnsi="Arial" w:cs="Arial"/>
          <w:sz w:val="20"/>
          <w:szCs w:val="20"/>
        </w:rPr>
        <w:t>by</w:t>
      </w:r>
      <w:r w:rsidRPr="00FA5624">
        <w:rPr>
          <w:rFonts w:ascii="Arial" w:hAnsi="Arial" w:cs="Arial"/>
          <w:sz w:val="20"/>
          <w:szCs w:val="20"/>
        </w:rPr>
        <w:t xml:space="preserve"> Utouh </w:t>
      </w:r>
      <w:r w:rsidR="00932DA3" w:rsidRPr="00FA5624">
        <w:rPr>
          <w:rFonts w:ascii="Arial" w:hAnsi="Arial" w:cs="Arial"/>
          <w:sz w:val="20"/>
          <w:szCs w:val="20"/>
        </w:rPr>
        <w:t xml:space="preserve">and </w:t>
      </w:r>
      <w:r w:rsidRPr="00FA5624">
        <w:rPr>
          <w:rFonts w:ascii="Arial" w:hAnsi="Arial" w:cs="Arial"/>
          <w:sz w:val="20"/>
          <w:szCs w:val="20"/>
        </w:rPr>
        <w:t>Tile (2023) examined relationship</w:t>
      </w:r>
      <w:r w:rsidR="00C73665" w:rsidRPr="00FA5624">
        <w:rPr>
          <w:rFonts w:ascii="Arial" w:hAnsi="Arial" w:cs="Arial"/>
          <w:sz w:val="20"/>
          <w:szCs w:val="20"/>
        </w:rPr>
        <w:t>s</w:t>
      </w:r>
      <w:r w:rsidRPr="00FA5624">
        <w:rPr>
          <w:rFonts w:ascii="Arial" w:hAnsi="Arial" w:cs="Arial"/>
          <w:sz w:val="20"/>
          <w:szCs w:val="20"/>
        </w:rPr>
        <w:t xml:space="preserve"> between capital stock</w:t>
      </w:r>
      <w:r w:rsidR="00C73665" w:rsidRPr="00FA5624">
        <w:rPr>
          <w:rFonts w:ascii="Arial" w:hAnsi="Arial" w:cs="Arial"/>
          <w:sz w:val="20"/>
          <w:szCs w:val="20"/>
        </w:rPr>
        <w:t>s</w:t>
      </w:r>
      <w:r w:rsidRPr="00FA5624">
        <w:rPr>
          <w:rFonts w:ascii="Arial" w:hAnsi="Arial" w:cs="Arial"/>
          <w:sz w:val="20"/>
          <w:szCs w:val="20"/>
        </w:rPr>
        <w:t xml:space="preserve"> and</w:t>
      </w:r>
      <w:r w:rsidR="00C12D9B" w:rsidRPr="00FA5624">
        <w:rPr>
          <w:rFonts w:ascii="Arial" w:hAnsi="Arial" w:cs="Arial"/>
          <w:sz w:val="20"/>
          <w:szCs w:val="20"/>
        </w:rPr>
        <w:t xml:space="preserve"> FDI of Tanzania through </w:t>
      </w:r>
      <w:r w:rsidRPr="00FA5624">
        <w:rPr>
          <w:rFonts w:ascii="Arial" w:hAnsi="Arial" w:cs="Arial"/>
          <w:sz w:val="20"/>
          <w:szCs w:val="20"/>
        </w:rPr>
        <w:t>quantitative method</w:t>
      </w:r>
      <w:r w:rsidR="00C12D9B" w:rsidRPr="00FA5624">
        <w:rPr>
          <w:rFonts w:ascii="Arial" w:hAnsi="Arial" w:cs="Arial"/>
          <w:sz w:val="20"/>
          <w:szCs w:val="20"/>
        </w:rPr>
        <w:t xml:space="preserve"> and econometric model</w:t>
      </w:r>
      <w:r w:rsidRPr="00FA5624">
        <w:rPr>
          <w:rFonts w:ascii="Arial" w:hAnsi="Arial" w:cs="Arial"/>
          <w:sz w:val="20"/>
          <w:szCs w:val="20"/>
        </w:rPr>
        <w:t xml:space="preserve">. </w:t>
      </w:r>
      <w:r w:rsidR="009D02DF" w:rsidRPr="00FA5624">
        <w:rPr>
          <w:rFonts w:ascii="Arial" w:hAnsi="Arial" w:cs="Arial"/>
          <w:sz w:val="20"/>
          <w:szCs w:val="20"/>
        </w:rPr>
        <w:t>F</w:t>
      </w:r>
      <w:r w:rsidRPr="00FA5624">
        <w:rPr>
          <w:rFonts w:ascii="Arial" w:hAnsi="Arial" w:cs="Arial"/>
          <w:sz w:val="20"/>
          <w:szCs w:val="20"/>
        </w:rPr>
        <w:t>indings</w:t>
      </w:r>
      <w:r w:rsidR="009D02DF" w:rsidRPr="00FA5624">
        <w:rPr>
          <w:rFonts w:ascii="Arial" w:hAnsi="Arial" w:cs="Arial"/>
          <w:sz w:val="20"/>
          <w:szCs w:val="20"/>
        </w:rPr>
        <w:t xml:space="preserve"> </w:t>
      </w:r>
      <w:r w:rsidRPr="00FA5624">
        <w:rPr>
          <w:rFonts w:ascii="Arial" w:hAnsi="Arial" w:cs="Arial"/>
          <w:sz w:val="20"/>
          <w:szCs w:val="20"/>
        </w:rPr>
        <w:t xml:space="preserve">indicate capital stock </w:t>
      </w:r>
      <w:r w:rsidR="00263678" w:rsidRPr="00FA5624">
        <w:rPr>
          <w:rFonts w:ascii="Arial" w:hAnsi="Arial" w:cs="Arial"/>
          <w:sz w:val="20"/>
          <w:szCs w:val="20"/>
        </w:rPr>
        <w:t>exerts</w:t>
      </w:r>
      <w:r w:rsidRPr="00FA5624">
        <w:rPr>
          <w:rFonts w:ascii="Arial" w:hAnsi="Arial" w:cs="Arial"/>
          <w:sz w:val="20"/>
          <w:szCs w:val="20"/>
        </w:rPr>
        <w:t xml:space="preserve"> unidirectional influence</w:t>
      </w:r>
      <w:r w:rsidR="004036E7" w:rsidRPr="00FA5624">
        <w:rPr>
          <w:rFonts w:ascii="Arial" w:hAnsi="Arial" w:cs="Arial"/>
          <w:sz w:val="20"/>
          <w:szCs w:val="20"/>
        </w:rPr>
        <w:t>s</w:t>
      </w:r>
      <w:r w:rsidRPr="00FA5624">
        <w:rPr>
          <w:rFonts w:ascii="Arial" w:hAnsi="Arial" w:cs="Arial"/>
          <w:sz w:val="20"/>
          <w:szCs w:val="20"/>
        </w:rPr>
        <w:t xml:space="preserve"> on FDI inflows </w:t>
      </w:r>
      <w:r w:rsidR="004036E7" w:rsidRPr="00FA5624">
        <w:rPr>
          <w:rFonts w:ascii="Arial" w:hAnsi="Arial" w:cs="Arial"/>
          <w:sz w:val="20"/>
          <w:szCs w:val="20"/>
        </w:rPr>
        <w:t>of</w:t>
      </w:r>
      <w:r w:rsidRPr="00FA5624">
        <w:rPr>
          <w:rFonts w:ascii="Arial" w:hAnsi="Arial" w:cs="Arial"/>
          <w:sz w:val="20"/>
          <w:szCs w:val="20"/>
        </w:rPr>
        <w:t xml:space="preserve"> Tanzania.</w:t>
      </w:r>
    </w:p>
    <w:p w14:paraId="2D2B6B12" w14:textId="77777777" w:rsidR="00B734B4" w:rsidRPr="00FA5624" w:rsidRDefault="00B734B4" w:rsidP="005E13CD">
      <w:pPr>
        <w:spacing w:after="0" w:line="240" w:lineRule="auto"/>
        <w:jc w:val="both"/>
        <w:rPr>
          <w:rFonts w:ascii="Arial" w:hAnsi="Arial" w:cs="Arial"/>
          <w:sz w:val="20"/>
          <w:szCs w:val="20"/>
        </w:rPr>
      </w:pPr>
    </w:p>
    <w:p w14:paraId="2089561A" w14:textId="39270A57" w:rsidR="00D336BE" w:rsidRPr="00FA5624" w:rsidRDefault="007A595F" w:rsidP="005E13CD">
      <w:pPr>
        <w:spacing w:after="0" w:line="240" w:lineRule="auto"/>
        <w:jc w:val="both"/>
        <w:rPr>
          <w:rFonts w:ascii="Arial" w:hAnsi="Arial" w:cs="Arial"/>
          <w:sz w:val="20"/>
          <w:szCs w:val="20"/>
        </w:rPr>
      </w:pPr>
      <w:r w:rsidRPr="00FA5624">
        <w:rPr>
          <w:rFonts w:ascii="Arial" w:hAnsi="Arial" w:cs="Arial"/>
          <w:sz w:val="20"/>
          <w:szCs w:val="20"/>
        </w:rPr>
        <w:t xml:space="preserve">Chitundu (2022) conducted </w:t>
      </w:r>
      <w:r w:rsidR="00E56F63" w:rsidRPr="00FA5624">
        <w:rPr>
          <w:rFonts w:ascii="Arial" w:hAnsi="Arial" w:cs="Arial"/>
          <w:sz w:val="20"/>
          <w:szCs w:val="20"/>
        </w:rPr>
        <w:t>factors contributing development</w:t>
      </w:r>
      <w:r w:rsidRPr="00FA5624">
        <w:rPr>
          <w:rFonts w:ascii="Arial" w:hAnsi="Arial" w:cs="Arial"/>
          <w:sz w:val="20"/>
          <w:szCs w:val="20"/>
        </w:rPr>
        <w:t>s</w:t>
      </w:r>
      <w:r w:rsidR="00E56F63" w:rsidRPr="00FA5624">
        <w:rPr>
          <w:rFonts w:ascii="Arial" w:hAnsi="Arial" w:cs="Arial"/>
          <w:sz w:val="20"/>
          <w:szCs w:val="20"/>
        </w:rPr>
        <w:t xml:space="preserve"> of derivatives markets</w:t>
      </w:r>
      <w:r w:rsidRPr="00FA5624">
        <w:rPr>
          <w:rFonts w:ascii="Arial" w:hAnsi="Arial" w:cs="Arial"/>
          <w:sz w:val="20"/>
          <w:szCs w:val="20"/>
        </w:rPr>
        <w:t xml:space="preserve"> of Tanzania</w:t>
      </w:r>
      <w:r w:rsidR="00E56F63" w:rsidRPr="00FA5624">
        <w:rPr>
          <w:rFonts w:ascii="Arial" w:hAnsi="Arial" w:cs="Arial"/>
          <w:sz w:val="20"/>
          <w:szCs w:val="20"/>
        </w:rPr>
        <w:t xml:space="preserve"> through </w:t>
      </w:r>
      <w:r w:rsidR="00F11B3E" w:rsidRPr="00FA5624">
        <w:rPr>
          <w:rFonts w:ascii="Arial" w:hAnsi="Arial" w:cs="Arial"/>
          <w:sz w:val="20"/>
          <w:szCs w:val="20"/>
        </w:rPr>
        <w:t>s</w:t>
      </w:r>
      <w:r w:rsidRPr="00FA5624">
        <w:rPr>
          <w:rFonts w:ascii="Arial" w:hAnsi="Arial" w:cs="Arial"/>
          <w:sz w:val="20"/>
          <w:szCs w:val="20"/>
        </w:rPr>
        <w:t xml:space="preserve">econdary and primary </w:t>
      </w:r>
      <w:r w:rsidR="00E56F63" w:rsidRPr="00FA5624">
        <w:rPr>
          <w:rFonts w:ascii="Arial" w:hAnsi="Arial" w:cs="Arial"/>
          <w:sz w:val="20"/>
          <w:szCs w:val="20"/>
        </w:rPr>
        <w:t>data</w:t>
      </w:r>
      <w:r w:rsidRPr="00FA5624">
        <w:rPr>
          <w:rFonts w:ascii="Arial" w:hAnsi="Arial" w:cs="Arial"/>
          <w:sz w:val="20"/>
          <w:szCs w:val="20"/>
        </w:rPr>
        <w:t>. Study</w:t>
      </w:r>
      <w:r w:rsidR="00E56F63" w:rsidRPr="00FA5624">
        <w:rPr>
          <w:rFonts w:ascii="Arial" w:hAnsi="Arial" w:cs="Arial"/>
          <w:sz w:val="20"/>
          <w:szCs w:val="20"/>
        </w:rPr>
        <w:t xml:space="preserve"> found underlying markets contribute p</w:t>
      </w:r>
      <w:r w:rsidRPr="00FA5624">
        <w:rPr>
          <w:rFonts w:ascii="Arial" w:hAnsi="Arial" w:cs="Arial"/>
          <w:sz w:val="20"/>
          <w:szCs w:val="20"/>
        </w:rPr>
        <w:t>ositively to the country's GDP.</w:t>
      </w:r>
      <w:r w:rsidR="00B734B4" w:rsidRPr="00FA5624">
        <w:rPr>
          <w:rFonts w:ascii="Arial" w:hAnsi="Arial" w:cs="Arial"/>
          <w:sz w:val="20"/>
          <w:szCs w:val="20"/>
        </w:rPr>
        <w:t xml:space="preserve"> </w:t>
      </w:r>
      <w:r w:rsidRPr="00FA5624">
        <w:rPr>
          <w:rFonts w:ascii="Arial" w:hAnsi="Arial" w:cs="Arial"/>
          <w:sz w:val="20"/>
          <w:szCs w:val="20"/>
        </w:rPr>
        <w:t>S</w:t>
      </w:r>
      <w:r w:rsidR="00E56F63" w:rsidRPr="00FA5624">
        <w:rPr>
          <w:rFonts w:ascii="Arial" w:hAnsi="Arial" w:cs="Arial"/>
          <w:sz w:val="20"/>
          <w:szCs w:val="20"/>
        </w:rPr>
        <w:t xml:space="preserve">tudy by Kapaya (2020) </w:t>
      </w:r>
      <w:r w:rsidRPr="00FA5624">
        <w:rPr>
          <w:rFonts w:ascii="Arial" w:hAnsi="Arial" w:cs="Arial"/>
          <w:sz w:val="20"/>
          <w:szCs w:val="20"/>
        </w:rPr>
        <w:t>about</w:t>
      </w:r>
      <w:r w:rsidR="00E56F63" w:rsidRPr="00FA5624">
        <w:rPr>
          <w:rFonts w:ascii="Arial" w:hAnsi="Arial" w:cs="Arial"/>
          <w:sz w:val="20"/>
          <w:szCs w:val="20"/>
        </w:rPr>
        <w:t xml:space="preserve"> impact</w:t>
      </w:r>
      <w:r w:rsidRPr="00FA5624">
        <w:rPr>
          <w:rFonts w:ascii="Arial" w:hAnsi="Arial" w:cs="Arial"/>
          <w:sz w:val="20"/>
          <w:szCs w:val="20"/>
        </w:rPr>
        <w:t>s</w:t>
      </w:r>
      <w:r w:rsidR="00E56F63" w:rsidRPr="00FA5624">
        <w:rPr>
          <w:rFonts w:ascii="Arial" w:hAnsi="Arial" w:cs="Arial"/>
          <w:sz w:val="20"/>
          <w:szCs w:val="20"/>
        </w:rPr>
        <w:t xml:space="preserve"> of stock market development on economic growth </w:t>
      </w:r>
      <w:r w:rsidRPr="00FA5624">
        <w:rPr>
          <w:rFonts w:ascii="Arial" w:hAnsi="Arial" w:cs="Arial"/>
          <w:sz w:val="20"/>
          <w:szCs w:val="20"/>
        </w:rPr>
        <w:t xml:space="preserve">of </w:t>
      </w:r>
      <w:r w:rsidR="00E56F63" w:rsidRPr="00FA5624">
        <w:rPr>
          <w:rFonts w:ascii="Arial" w:hAnsi="Arial" w:cs="Arial"/>
          <w:sz w:val="20"/>
          <w:szCs w:val="20"/>
        </w:rPr>
        <w:t xml:space="preserve">Tanzania employed ARDL with </w:t>
      </w:r>
      <w:r w:rsidRPr="00FA5624">
        <w:rPr>
          <w:rFonts w:ascii="Arial" w:hAnsi="Arial" w:cs="Arial"/>
          <w:sz w:val="20"/>
          <w:szCs w:val="20"/>
        </w:rPr>
        <w:t>certain</w:t>
      </w:r>
      <w:r w:rsidR="00E56F63" w:rsidRPr="00FA5624">
        <w:rPr>
          <w:rFonts w:ascii="Arial" w:hAnsi="Arial" w:cs="Arial"/>
          <w:sz w:val="20"/>
          <w:szCs w:val="20"/>
        </w:rPr>
        <w:t xml:space="preserve"> test</w:t>
      </w:r>
      <w:r w:rsidR="009837B0" w:rsidRPr="00FA5624">
        <w:rPr>
          <w:rFonts w:ascii="Arial" w:hAnsi="Arial" w:cs="Arial"/>
          <w:sz w:val="20"/>
          <w:szCs w:val="20"/>
        </w:rPr>
        <w:t xml:space="preserve">s so as </w:t>
      </w:r>
      <w:r w:rsidR="00E56F63" w:rsidRPr="00FA5624">
        <w:rPr>
          <w:rFonts w:ascii="Arial" w:hAnsi="Arial" w:cs="Arial"/>
          <w:sz w:val="20"/>
          <w:szCs w:val="20"/>
        </w:rPr>
        <w:t xml:space="preserve">to </w:t>
      </w:r>
      <w:r w:rsidR="00F212C8" w:rsidRPr="00FA5624">
        <w:rPr>
          <w:rFonts w:ascii="Arial" w:hAnsi="Arial" w:cs="Arial"/>
          <w:sz w:val="20"/>
          <w:szCs w:val="20"/>
        </w:rPr>
        <w:t>analyze</w:t>
      </w:r>
      <w:r w:rsidR="009837B0" w:rsidRPr="00FA5624">
        <w:rPr>
          <w:rFonts w:ascii="Arial" w:hAnsi="Arial" w:cs="Arial"/>
          <w:sz w:val="20"/>
          <w:szCs w:val="20"/>
        </w:rPr>
        <w:t xml:space="preserve"> time-series data in a quarterly basis for</w:t>
      </w:r>
      <w:r w:rsidR="00FB301F" w:rsidRPr="00FA5624">
        <w:rPr>
          <w:rFonts w:ascii="Arial" w:hAnsi="Arial" w:cs="Arial"/>
          <w:sz w:val="20"/>
          <w:szCs w:val="20"/>
        </w:rPr>
        <w:t xml:space="preserve"> 2001Q1-2019Q2. F</w:t>
      </w:r>
      <w:r w:rsidR="00E56F63" w:rsidRPr="00FA5624">
        <w:rPr>
          <w:rFonts w:ascii="Arial" w:hAnsi="Arial" w:cs="Arial"/>
          <w:sz w:val="20"/>
          <w:szCs w:val="20"/>
        </w:rPr>
        <w:t>indings</w:t>
      </w:r>
      <w:r w:rsidR="00FB301F" w:rsidRPr="00FA5624">
        <w:rPr>
          <w:rFonts w:ascii="Arial" w:hAnsi="Arial" w:cs="Arial"/>
          <w:sz w:val="20"/>
          <w:szCs w:val="20"/>
        </w:rPr>
        <w:t xml:space="preserve"> </w:t>
      </w:r>
      <w:r w:rsidR="00E56F63" w:rsidRPr="00FA5624">
        <w:rPr>
          <w:rFonts w:ascii="Arial" w:hAnsi="Arial" w:cs="Arial"/>
          <w:sz w:val="20"/>
          <w:szCs w:val="20"/>
        </w:rPr>
        <w:t>indicate that stock market development</w:t>
      </w:r>
      <w:r w:rsidR="00FB301F" w:rsidRPr="00FA5624">
        <w:rPr>
          <w:rFonts w:ascii="Arial" w:hAnsi="Arial" w:cs="Arial"/>
          <w:sz w:val="20"/>
          <w:szCs w:val="20"/>
        </w:rPr>
        <w:t>s</w:t>
      </w:r>
      <w:r w:rsidR="00E56F63" w:rsidRPr="00FA5624">
        <w:rPr>
          <w:rFonts w:ascii="Arial" w:hAnsi="Arial" w:cs="Arial"/>
          <w:sz w:val="20"/>
          <w:szCs w:val="20"/>
        </w:rPr>
        <w:t xml:space="preserve"> exhibits</w:t>
      </w:r>
      <w:r w:rsidR="00FB301F" w:rsidRPr="00FA5624">
        <w:rPr>
          <w:rFonts w:ascii="Arial" w:hAnsi="Arial" w:cs="Arial"/>
          <w:sz w:val="20"/>
          <w:szCs w:val="20"/>
        </w:rPr>
        <w:t xml:space="preserve"> negative </w:t>
      </w:r>
      <w:r w:rsidR="00E56F63" w:rsidRPr="00FA5624">
        <w:rPr>
          <w:rFonts w:ascii="Arial" w:hAnsi="Arial" w:cs="Arial"/>
          <w:sz w:val="20"/>
          <w:szCs w:val="20"/>
        </w:rPr>
        <w:t>relation</w:t>
      </w:r>
      <w:r w:rsidR="00FB301F" w:rsidRPr="00FA5624">
        <w:rPr>
          <w:rFonts w:ascii="Arial" w:hAnsi="Arial" w:cs="Arial"/>
          <w:sz w:val="20"/>
          <w:szCs w:val="20"/>
        </w:rPr>
        <w:t>ships</w:t>
      </w:r>
      <w:r w:rsidR="00F11B3E" w:rsidRPr="00FA5624">
        <w:rPr>
          <w:rFonts w:ascii="Arial" w:hAnsi="Arial" w:cs="Arial"/>
          <w:sz w:val="20"/>
          <w:szCs w:val="20"/>
        </w:rPr>
        <w:t xml:space="preserve"> to economic growth</w:t>
      </w:r>
      <w:r w:rsidR="00E56F63" w:rsidRPr="00FA5624">
        <w:rPr>
          <w:rFonts w:ascii="Arial" w:hAnsi="Arial" w:cs="Arial"/>
          <w:sz w:val="20"/>
          <w:szCs w:val="20"/>
        </w:rPr>
        <w:t>.</w:t>
      </w:r>
      <w:r w:rsidR="00B734B4" w:rsidRPr="00FA5624">
        <w:rPr>
          <w:rFonts w:ascii="Arial" w:hAnsi="Arial" w:cs="Arial"/>
          <w:sz w:val="20"/>
          <w:szCs w:val="20"/>
        </w:rPr>
        <w:t xml:space="preserve"> </w:t>
      </w:r>
      <w:r w:rsidR="00E56F63" w:rsidRPr="00FA5624">
        <w:rPr>
          <w:rFonts w:ascii="Arial" w:hAnsi="Arial" w:cs="Arial"/>
          <w:sz w:val="20"/>
          <w:szCs w:val="20"/>
        </w:rPr>
        <w:t>Azeez &amp; Obalade (2018) investigated determinants of stock market development</w:t>
      </w:r>
      <w:r w:rsidR="00D952AA" w:rsidRPr="00FA5624">
        <w:rPr>
          <w:rFonts w:ascii="Arial" w:hAnsi="Arial" w:cs="Arial"/>
          <w:sz w:val="20"/>
          <w:szCs w:val="20"/>
        </w:rPr>
        <w:t>s</w:t>
      </w:r>
      <w:r w:rsidR="00E56F63" w:rsidRPr="00FA5624">
        <w:rPr>
          <w:rFonts w:ascii="Arial" w:hAnsi="Arial" w:cs="Arial"/>
          <w:sz w:val="20"/>
          <w:szCs w:val="20"/>
        </w:rPr>
        <w:t xml:space="preserve"> in Nigeria 1981 to 2017</w:t>
      </w:r>
      <w:r w:rsidR="00F11B3E" w:rsidRPr="00FA5624">
        <w:rPr>
          <w:rFonts w:ascii="Arial" w:hAnsi="Arial" w:cs="Arial"/>
          <w:sz w:val="20"/>
          <w:szCs w:val="20"/>
        </w:rPr>
        <w:t>.</w:t>
      </w:r>
      <w:r w:rsidR="007122BD" w:rsidRPr="00FA5624">
        <w:rPr>
          <w:rFonts w:ascii="Arial" w:hAnsi="Arial" w:cs="Arial"/>
          <w:sz w:val="20"/>
          <w:szCs w:val="20"/>
        </w:rPr>
        <w:t xml:space="preserve"> </w:t>
      </w:r>
      <w:r w:rsidR="00376EAA" w:rsidRPr="00FA5624">
        <w:rPr>
          <w:rFonts w:ascii="Arial" w:hAnsi="Arial" w:cs="Arial"/>
          <w:sz w:val="20"/>
          <w:szCs w:val="20"/>
        </w:rPr>
        <w:t>F</w:t>
      </w:r>
      <w:r w:rsidR="00E56F63" w:rsidRPr="00FA5624">
        <w:rPr>
          <w:rFonts w:ascii="Arial" w:hAnsi="Arial" w:cs="Arial"/>
          <w:sz w:val="20"/>
          <w:szCs w:val="20"/>
        </w:rPr>
        <w:t>indings</w:t>
      </w:r>
      <w:r w:rsidR="00376EAA" w:rsidRPr="00FA5624">
        <w:rPr>
          <w:rFonts w:ascii="Arial" w:hAnsi="Arial" w:cs="Arial"/>
          <w:sz w:val="20"/>
          <w:szCs w:val="20"/>
        </w:rPr>
        <w:t xml:space="preserve"> </w:t>
      </w:r>
      <w:r w:rsidR="00E56F63" w:rsidRPr="00FA5624">
        <w:rPr>
          <w:rFonts w:ascii="Arial" w:hAnsi="Arial" w:cs="Arial"/>
          <w:sz w:val="20"/>
          <w:szCs w:val="20"/>
        </w:rPr>
        <w:t xml:space="preserve">revealed that stock market liquidity was </w:t>
      </w:r>
      <w:r w:rsidR="00263678" w:rsidRPr="00FA5624">
        <w:rPr>
          <w:rFonts w:ascii="Arial" w:hAnsi="Arial" w:cs="Arial"/>
          <w:sz w:val="20"/>
          <w:szCs w:val="20"/>
        </w:rPr>
        <w:t>a significant determinant</w:t>
      </w:r>
      <w:r w:rsidR="00E56F63" w:rsidRPr="00FA5624">
        <w:rPr>
          <w:rFonts w:ascii="Arial" w:hAnsi="Arial" w:cs="Arial"/>
          <w:sz w:val="20"/>
          <w:szCs w:val="20"/>
        </w:rPr>
        <w:t xml:space="preserve"> of stock market</w:t>
      </w:r>
      <w:r w:rsidR="00873F48" w:rsidRPr="00FA5624">
        <w:rPr>
          <w:rFonts w:ascii="Arial" w:hAnsi="Arial" w:cs="Arial"/>
          <w:sz w:val="20"/>
          <w:szCs w:val="20"/>
        </w:rPr>
        <w:t xml:space="preserve">s development in </w:t>
      </w:r>
      <w:r w:rsidR="00E56F63" w:rsidRPr="00FA5624">
        <w:rPr>
          <w:rFonts w:ascii="Arial" w:hAnsi="Arial" w:cs="Arial"/>
          <w:sz w:val="20"/>
          <w:szCs w:val="20"/>
        </w:rPr>
        <w:t>short</w:t>
      </w:r>
      <w:r w:rsidR="00873F48" w:rsidRPr="00FA5624">
        <w:rPr>
          <w:rFonts w:ascii="Arial" w:hAnsi="Arial" w:cs="Arial"/>
          <w:sz w:val="20"/>
          <w:szCs w:val="20"/>
        </w:rPr>
        <w:t xml:space="preserve"> run</w:t>
      </w:r>
      <w:r w:rsidR="00E56F63" w:rsidRPr="00FA5624">
        <w:rPr>
          <w:rFonts w:ascii="Arial" w:hAnsi="Arial" w:cs="Arial"/>
          <w:sz w:val="20"/>
          <w:szCs w:val="20"/>
        </w:rPr>
        <w:t xml:space="preserve"> and long run.</w:t>
      </w:r>
      <w:r w:rsidR="00B734B4" w:rsidRPr="00FA5624">
        <w:rPr>
          <w:rFonts w:ascii="Arial" w:hAnsi="Arial" w:cs="Arial"/>
          <w:sz w:val="20"/>
          <w:szCs w:val="20"/>
        </w:rPr>
        <w:t xml:space="preserve"> </w:t>
      </w:r>
      <w:r w:rsidR="00D336BE" w:rsidRPr="00FA5624">
        <w:rPr>
          <w:rFonts w:ascii="Arial" w:hAnsi="Arial" w:cs="Arial"/>
          <w:sz w:val="20"/>
          <w:szCs w:val="20"/>
        </w:rPr>
        <w:t xml:space="preserve">Bai et al. (2025) examined how capital market liberalization shapes firm productivity. </w:t>
      </w:r>
      <w:r w:rsidR="00CB464B" w:rsidRPr="00FA5624">
        <w:rPr>
          <w:rFonts w:ascii="Arial" w:hAnsi="Arial" w:cs="Arial"/>
          <w:sz w:val="20"/>
          <w:szCs w:val="20"/>
        </w:rPr>
        <w:t>F</w:t>
      </w:r>
      <w:r w:rsidR="00D336BE" w:rsidRPr="00FA5624">
        <w:rPr>
          <w:rFonts w:ascii="Arial" w:hAnsi="Arial" w:cs="Arial"/>
          <w:sz w:val="20"/>
          <w:szCs w:val="20"/>
        </w:rPr>
        <w:t>indings</w:t>
      </w:r>
      <w:r w:rsidR="00CB464B" w:rsidRPr="00FA5624">
        <w:rPr>
          <w:rFonts w:ascii="Arial" w:hAnsi="Arial" w:cs="Arial"/>
          <w:sz w:val="20"/>
          <w:szCs w:val="20"/>
        </w:rPr>
        <w:t xml:space="preserve"> </w:t>
      </w:r>
      <w:r w:rsidR="00263678" w:rsidRPr="00FA5624">
        <w:rPr>
          <w:rFonts w:ascii="Arial" w:hAnsi="Arial" w:cs="Arial"/>
          <w:sz w:val="20"/>
          <w:szCs w:val="20"/>
        </w:rPr>
        <w:t>show</w:t>
      </w:r>
      <w:r w:rsidR="00D336BE" w:rsidRPr="00FA5624">
        <w:rPr>
          <w:rFonts w:ascii="Arial" w:hAnsi="Arial" w:cs="Arial"/>
          <w:sz w:val="20"/>
          <w:szCs w:val="20"/>
        </w:rPr>
        <w:t xml:space="preserve"> that liberalization boosts firm-level productivity through improved financing and information channels. </w:t>
      </w:r>
      <w:r w:rsidR="0058204E" w:rsidRPr="00FA5624">
        <w:rPr>
          <w:rFonts w:ascii="Arial" w:hAnsi="Arial" w:cs="Arial"/>
          <w:sz w:val="20"/>
          <w:szCs w:val="20"/>
        </w:rPr>
        <w:t xml:space="preserve">Zhao et al. (2025) </w:t>
      </w:r>
      <w:r w:rsidR="00D336BE" w:rsidRPr="00FA5624">
        <w:rPr>
          <w:rFonts w:ascii="Arial" w:hAnsi="Arial" w:cs="Arial"/>
          <w:sz w:val="20"/>
          <w:szCs w:val="20"/>
        </w:rPr>
        <w:t xml:space="preserve">explained </w:t>
      </w:r>
      <w:r w:rsidR="00263678" w:rsidRPr="00FA5624">
        <w:rPr>
          <w:rFonts w:ascii="Arial" w:hAnsi="Arial" w:cs="Arial"/>
          <w:sz w:val="20"/>
          <w:szCs w:val="20"/>
        </w:rPr>
        <w:t>that</w:t>
      </w:r>
      <w:r w:rsidR="00D336BE" w:rsidRPr="00FA5624">
        <w:rPr>
          <w:rFonts w:ascii="Arial" w:hAnsi="Arial" w:cs="Arial"/>
          <w:sz w:val="20"/>
          <w:szCs w:val="20"/>
        </w:rPr>
        <w:t xml:space="preserve"> improving stock market information efficiency </w:t>
      </w:r>
      <w:r w:rsidR="00263678" w:rsidRPr="00FA5624">
        <w:rPr>
          <w:rFonts w:ascii="Arial" w:hAnsi="Arial" w:cs="Arial"/>
          <w:sz w:val="20"/>
          <w:szCs w:val="20"/>
        </w:rPr>
        <w:t>promotes</w:t>
      </w:r>
      <w:r w:rsidR="00D336BE" w:rsidRPr="00FA5624">
        <w:rPr>
          <w:rFonts w:ascii="Arial" w:hAnsi="Arial" w:cs="Arial"/>
          <w:sz w:val="20"/>
          <w:szCs w:val="20"/>
        </w:rPr>
        <w:t xml:space="preserve"> firms’ hi</w:t>
      </w:r>
      <w:r w:rsidR="00F11B3E" w:rsidRPr="00FA5624">
        <w:rPr>
          <w:rFonts w:ascii="Arial" w:hAnsi="Arial" w:cs="Arial"/>
          <w:sz w:val="20"/>
          <w:szCs w:val="20"/>
        </w:rPr>
        <w:t>gh-quality development in China</w:t>
      </w:r>
      <w:r w:rsidR="00D336BE" w:rsidRPr="00FA5624">
        <w:rPr>
          <w:rFonts w:ascii="Arial" w:hAnsi="Arial" w:cs="Arial"/>
          <w:sz w:val="20"/>
          <w:szCs w:val="20"/>
        </w:rPr>
        <w:t xml:space="preserve">. </w:t>
      </w:r>
      <w:r w:rsidR="00C42AB8" w:rsidRPr="00FA5624">
        <w:rPr>
          <w:rFonts w:ascii="Arial" w:hAnsi="Arial" w:cs="Arial"/>
          <w:sz w:val="20"/>
          <w:szCs w:val="20"/>
        </w:rPr>
        <w:t>F</w:t>
      </w:r>
      <w:r w:rsidR="00D336BE" w:rsidRPr="00FA5624">
        <w:rPr>
          <w:rFonts w:ascii="Arial" w:hAnsi="Arial" w:cs="Arial"/>
          <w:sz w:val="20"/>
          <w:szCs w:val="20"/>
        </w:rPr>
        <w:t>indings</w:t>
      </w:r>
      <w:r w:rsidR="00C42AB8" w:rsidRPr="00FA5624">
        <w:rPr>
          <w:rFonts w:ascii="Arial" w:hAnsi="Arial" w:cs="Arial"/>
          <w:sz w:val="20"/>
          <w:szCs w:val="20"/>
        </w:rPr>
        <w:t xml:space="preserve"> </w:t>
      </w:r>
      <w:r w:rsidR="00263678" w:rsidRPr="00FA5624">
        <w:rPr>
          <w:rFonts w:ascii="Arial" w:hAnsi="Arial" w:cs="Arial"/>
          <w:sz w:val="20"/>
          <w:szCs w:val="20"/>
        </w:rPr>
        <w:t>show</w:t>
      </w:r>
      <w:r w:rsidR="00D336BE" w:rsidRPr="00FA5624">
        <w:rPr>
          <w:rFonts w:ascii="Arial" w:hAnsi="Arial" w:cs="Arial"/>
          <w:sz w:val="20"/>
          <w:szCs w:val="20"/>
        </w:rPr>
        <w:t xml:space="preserve"> that better information efficiency enhances firms’ innovation and high-quality growth. </w:t>
      </w:r>
      <w:r w:rsidR="00790842" w:rsidRPr="00FA5624">
        <w:rPr>
          <w:rFonts w:ascii="Arial" w:hAnsi="Arial" w:cs="Arial"/>
          <w:sz w:val="20"/>
          <w:szCs w:val="20"/>
        </w:rPr>
        <w:t xml:space="preserve">Ngong et al. (2022) </w:t>
      </w:r>
      <w:r w:rsidR="00D336BE" w:rsidRPr="00FA5624">
        <w:rPr>
          <w:rFonts w:ascii="Arial" w:hAnsi="Arial" w:cs="Arial"/>
          <w:sz w:val="20"/>
          <w:szCs w:val="20"/>
        </w:rPr>
        <w:lastRenderedPageBreak/>
        <w:t>examined Stock Market Development and Agricultural Growth in AEE</w:t>
      </w:r>
      <w:r w:rsidR="00142803" w:rsidRPr="00FA5624">
        <w:rPr>
          <w:rFonts w:ascii="Arial" w:hAnsi="Arial" w:cs="Arial"/>
          <w:sz w:val="20"/>
          <w:szCs w:val="20"/>
        </w:rPr>
        <w:t xml:space="preserve"> </w:t>
      </w:r>
      <w:r w:rsidR="00D336BE" w:rsidRPr="00FA5624">
        <w:rPr>
          <w:rFonts w:ascii="Arial" w:hAnsi="Arial" w:cs="Arial"/>
          <w:sz w:val="20"/>
          <w:szCs w:val="20"/>
        </w:rPr>
        <w:t xml:space="preserve">(1990–2020) in </w:t>
      </w:r>
      <w:r w:rsidR="00263678" w:rsidRPr="00FA5624">
        <w:rPr>
          <w:rFonts w:ascii="Arial" w:hAnsi="Arial" w:cs="Arial"/>
          <w:sz w:val="20"/>
          <w:szCs w:val="20"/>
        </w:rPr>
        <w:t>African</w:t>
      </w:r>
      <w:r w:rsidR="00D336BE" w:rsidRPr="00FA5624">
        <w:rPr>
          <w:rFonts w:ascii="Arial" w:hAnsi="Arial" w:cs="Arial"/>
          <w:sz w:val="20"/>
          <w:szCs w:val="20"/>
        </w:rPr>
        <w:t xml:space="preserve"> panel. </w:t>
      </w:r>
      <w:r w:rsidR="00C42AB8" w:rsidRPr="00FA5624">
        <w:rPr>
          <w:rFonts w:ascii="Arial" w:hAnsi="Arial" w:cs="Arial"/>
          <w:sz w:val="20"/>
          <w:szCs w:val="20"/>
        </w:rPr>
        <w:t>P</w:t>
      </w:r>
      <w:r w:rsidR="00263678" w:rsidRPr="00FA5624">
        <w:rPr>
          <w:rFonts w:ascii="Arial" w:hAnsi="Arial" w:cs="Arial"/>
          <w:sz w:val="20"/>
          <w:szCs w:val="20"/>
        </w:rPr>
        <w:t>anel</w:t>
      </w:r>
      <w:r w:rsidR="00C42AB8" w:rsidRPr="00FA5624">
        <w:rPr>
          <w:rFonts w:ascii="Arial" w:hAnsi="Arial" w:cs="Arial"/>
          <w:sz w:val="20"/>
          <w:szCs w:val="20"/>
        </w:rPr>
        <w:t xml:space="preserve"> </w:t>
      </w:r>
      <w:r w:rsidR="00D336BE" w:rsidRPr="00FA5624">
        <w:rPr>
          <w:rFonts w:ascii="Arial" w:hAnsi="Arial" w:cs="Arial"/>
          <w:sz w:val="20"/>
          <w:szCs w:val="20"/>
        </w:rPr>
        <w:t xml:space="preserve">ARDL model was used. </w:t>
      </w:r>
      <w:r w:rsidR="00C42AB8" w:rsidRPr="00FA5624">
        <w:rPr>
          <w:rFonts w:ascii="Arial" w:hAnsi="Arial" w:cs="Arial"/>
          <w:sz w:val="20"/>
          <w:szCs w:val="20"/>
        </w:rPr>
        <w:t>R</w:t>
      </w:r>
      <w:r w:rsidR="00D336BE" w:rsidRPr="00FA5624">
        <w:rPr>
          <w:rFonts w:ascii="Arial" w:hAnsi="Arial" w:cs="Arial"/>
          <w:sz w:val="20"/>
          <w:szCs w:val="20"/>
        </w:rPr>
        <w:t>esults</w:t>
      </w:r>
      <w:r w:rsidR="00C42AB8" w:rsidRPr="00FA5624">
        <w:rPr>
          <w:rFonts w:ascii="Arial" w:hAnsi="Arial" w:cs="Arial"/>
          <w:sz w:val="20"/>
          <w:szCs w:val="20"/>
        </w:rPr>
        <w:t xml:space="preserve"> </w:t>
      </w:r>
      <w:r w:rsidR="00263678" w:rsidRPr="00FA5624">
        <w:rPr>
          <w:rFonts w:ascii="Arial" w:hAnsi="Arial" w:cs="Arial"/>
          <w:sz w:val="20"/>
          <w:szCs w:val="20"/>
        </w:rPr>
        <w:t>show</w:t>
      </w:r>
      <w:r w:rsidR="00D336BE" w:rsidRPr="00FA5624">
        <w:rPr>
          <w:rFonts w:ascii="Arial" w:hAnsi="Arial" w:cs="Arial"/>
          <w:sz w:val="20"/>
          <w:szCs w:val="20"/>
        </w:rPr>
        <w:t xml:space="preserve"> market development through liquidity and capitalization is positively associated with sectoral growth.</w:t>
      </w:r>
      <w:r w:rsidR="00B734B4" w:rsidRPr="00FA5624">
        <w:rPr>
          <w:rFonts w:ascii="Arial" w:hAnsi="Arial" w:cs="Arial"/>
          <w:sz w:val="20"/>
          <w:szCs w:val="20"/>
        </w:rPr>
        <w:t xml:space="preserve"> </w:t>
      </w:r>
      <w:r w:rsidR="005E3023" w:rsidRPr="005E3023">
        <w:rPr>
          <w:rFonts w:ascii="Arial" w:hAnsi="Arial" w:cs="Arial"/>
          <w:sz w:val="20"/>
          <w:szCs w:val="20"/>
        </w:rPr>
        <w:t xml:space="preserve">Temba (2025) </w:t>
      </w:r>
      <w:r w:rsidR="00D336BE" w:rsidRPr="00FA5624">
        <w:rPr>
          <w:rFonts w:ascii="Arial" w:hAnsi="Arial" w:cs="Arial"/>
          <w:sz w:val="20"/>
          <w:szCs w:val="20"/>
        </w:rPr>
        <w:t>examined impact</w:t>
      </w:r>
      <w:r w:rsidR="00404A58" w:rsidRPr="00FA5624">
        <w:rPr>
          <w:rFonts w:ascii="Arial" w:hAnsi="Arial" w:cs="Arial"/>
          <w:sz w:val="20"/>
          <w:szCs w:val="20"/>
        </w:rPr>
        <w:t>s</w:t>
      </w:r>
      <w:r w:rsidR="00D336BE" w:rsidRPr="00FA5624">
        <w:rPr>
          <w:rFonts w:ascii="Arial" w:hAnsi="Arial" w:cs="Arial"/>
          <w:sz w:val="20"/>
          <w:szCs w:val="20"/>
        </w:rPr>
        <w:t xml:space="preserve"> of listing on </w:t>
      </w:r>
      <w:r w:rsidR="00263678" w:rsidRPr="00FA5624">
        <w:rPr>
          <w:rFonts w:ascii="Arial" w:hAnsi="Arial" w:cs="Arial"/>
          <w:sz w:val="20"/>
          <w:szCs w:val="20"/>
        </w:rPr>
        <w:t>performance</w:t>
      </w:r>
      <w:r w:rsidR="00D336BE" w:rsidRPr="00FA5624">
        <w:rPr>
          <w:rFonts w:ascii="Arial" w:hAnsi="Arial" w:cs="Arial"/>
          <w:sz w:val="20"/>
          <w:szCs w:val="20"/>
        </w:rPr>
        <w:t xml:space="preserve"> of firms in Tanzania &amp; Kenya. OLS on 39 non-financials </w:t>
      </w:r>
      <w:r w:rsidR="00263678" w:rsidRPr="00FA5624">
        <w:rPr>
          <w:rFonts w:ascii="Arial" w:hAnsi="Arial" w:cs="Arial"/>
          <w:sz w:val="20"/>
          <w:szCs w:val="20"/>
        </w:rPr>
        <w:t>was</w:t>
      </w:r>
      <w:r w:rsidR="00D336BE" w:rsidRPr="00FA5624">
        <w:rPr>
          <w:rFonts w:ascii="Arial" w:hAnsi="Arial" w:cs="Arial"/>
          <w:sz w:val="20"/>
          <w:szCs w:val="20"/>
        </w:rPr>
        <w:t xml:space="preserve"> used. The findings </w:t>
      </w:r>
      <w:r w:rsidR="00263678" w:rsidRPr="00FA5624">
        <w:rPr>
          <w:rFonts w:ascii="Arial" w:hAnsi="Arial" w:cs="Arial"/>
          <w:sz w:val="20"/>
          <w:szCs w:val="20"/>
        </w:rPr>
        <w:t>show</w:t>
      </w:r>
      <w:r w:rsidR="00D336BE" w:rsidRPr="00FA5624">
        <w:rPr>
          <w:rFonts w:ascii="Arial" w:hAnsi="Arial" w:cs="Arial"/>
          <w:sz w:val="20"/>
          <w:szCs w:val="20"/>
        </w:rPr>
        <w:t xml:space="preserve"> that listing is associated with improved profitability and operational performance.</w:t>
      </w:r>
    </w:p>
    <w:p w14:paraId="7AFBC474" w14:textId="77777777" w:rsidR="00B734B4" w:rsidRPr="00FA5624" w:rsidRDefault="00B734B4" w:rsidP="005E13CD">
      <w:pPr>
        <w:spacing w:after="0" w:line="240" w:lineRule="auto"/>
        <w:jc w:val="both"/>
        <w:rPr>
          <w:rFonts w:ascii="Arial" w:hAnsi="Arial" w:cs="Arial"/>
          <w:sz w:val="20"/>
          <w:szCs w:val="20"/>
        </w:rPr>
      </w:pPr>
    </w:p>
    <w:p w14:paraId="43486FA8" w14:textId="59D8EC82" w:rsidR="00E56F63" w:rsidRPr="00FA5624" w:rsidRDefault="00FE42A7" w:rsidP="005E13CD">
      <w:pPr>
        <w:spacing w:after="0" w:line="240" w:lineRule="auto"/>
        <w:jc w:val="both"/>
        <w:rPr>
          <w:rFonts w:ascii="Arial" w:hAnsi="Arial" w:cs="Arial"/>
          <w:sz w:val="20"/>
          <w:szCs w:val="20"/>
        </w:rPr>
      </w:pPr>
      <w:r w:rsidRPr="00FA5624">
        <w:rPr>
          <w:rFonts w:ascii="Arial" w:hAnsi="Arial" w:cs="Arial"/>
          <w:sz w:val="20"/>
          <w:szCs w:val="20"/>
        </w:rPr>
        <w:t xml:space="preserve">Li et al. </w:t>
      </w:r>
      <w:r w:rsidR="00E56F63" w:rsidRPr="00FA5624">
        <w:rPr>
          <w:rFonts w:ascii="Arial" w:hAnsi="Arial" w:cs="Arial"/>
          <w:sz w:val="20"/>
          <w:szCs w:val="20"/>
        </w:rPr>
        <w:t>(2024)</w:t>
      </w:r>
      <w:r w:rsidRPr="00FA5624">
        <w:rPr>
          <w:rFonts w:ascii="Arial" w:hAnsi="Arial" w:cs="Arial"/>
          <w:sz w:val="20"/>
          <w:szCs w:val="20"/>
        </w:rPr>
        <w:t xml:space="preserve"> evaluated </w:t>
      </w:r>
      <w:r w:rsidR="00E56F63" w:rsidRPr="00FA5624">
        <w:rPr>
          <w:rFonts w:ascii="Arial" w:hAnsi="Arial" w:cs="Arial"/>
          <w:sz w:val="20"/>
          <w:szCs w:val="20"/>
        </w:rPr>
        <w:t xml:space="preserve">combined effect </w:t>
      </w:r>
      <w:r w:rsidRPr="00FA5624">
        <w:rPr>
          <w:rFonts w:ascii="Arial" w:hAnsi="Arial" w:cs="Arial"/>
          <w:sz w:val="20"/>
          <w:szCs w:val="20"/>
        </w:rPr>
        <w:t xml:space="preserve">for regulatory penalties and monetary </w:t>
      </w:r>
      <w:r w:rsidR="00E56F63" w:rsidRPr="00FA5624">
        <w:rPr>
          <w:rFonts w:ascii="Arial" w:hAnsi="Arial" w:cs="Arial"/>
          <w:sz w:val="20"/>
          <w:szCs w:val="20"/>
        </w:rPr>
        <w:t xml:space="preserve">incentives on performance of Chinese publicly listed firms from 2015 to 2019. </w:t>
      </w:r>
      <w:r w:rsidR="005F6891" w:rsidRPr="00FA5624">
        <w:rPr>
          <w:rFonts w:ascii="Arial" w:hAnsi="Arial" w:cs="Arial"/>
          <w:sz w:val="20"/>
          <w:szCs w:val="20"/>
        </w:rPr>
        <w:t>R</w:t>
      </w:r>
      <w:r w:rsidR="00E56F63" w:rsidRPr="00FA5624">
        <w:rPr>
          <w:rFonts w:ascii="Arial" w:hAnsi="Arial" w:cs="Arial"/>
          <w:sz w:val="20"/>
          <w:szCs w:val="20"/>
        </w:rPr>
        <w:t>esult</w:t>
      </w:r>
      <w:r w:rsidR="005F6891" w:rsidRPr="00FA5624">
        <w:rPr>
          <w:rFonts w:ascii="Arial" w:hAnsi="Arial" w:cs="Arial"/>
          <w:sz w:val="20"/>
          <w:szCs w:val="20"/>
        </w:rPr>
        <w:t xml:space="preserve"> </w:t>
      </w:r>
      <w:r w:rsidR="00E56F63" w:rsidRPr="00FA5624">
        <w:rPr>
          <w:rFonts w:ascii="Arial" w:hAnsi="Arial" w:cs="Arial"/>
          <w:sz w:val="20"/>
          <w:szCs w:val="20"/>
        </w:rPr>
        <w:t xml:space="preserve">shows regulatory penalties have negative </w:t>
      </w:r>
      <w:r w:rsidR="00263678" w:rsidRPr="00FA5624">
        <w:rPr>
          <w:rFonts w:ascii="Arial" w:hAnsi="Arial" w:cs="Arial"/>
          <w:sz w:val="20"/>
          <w:szCs w:val="20"/>
        </w:rPr>
        <w:t>implications for</w:t>
      </w:r>
      <w:r w:rsidR="00E56F63" w:rsidRPr="00FA5624">
        <w:rPr>
          <w:rFonts w:ascii="Arial" w:hAnsi="Arial" w:cs="Arial"/>
          <w:sz w:val="20"/>
          <w:szCs w:val="20"/>
        </w:rPr>
        <w:t xml:space="preserve"> the </w:t>
      </w:r>
      <w:r w:rsidR="00263678" w:rsidRPr="00FA5624">
        <w:rPr>
          <w:rFonts w:ascii="Arial" w:hAnsi="Arial" w:cs="Arial"/>
          <w:sz w:val="20"/>
          <w:szCs w:val="20"/>
        </w:rPr>
        <w:t>firm's</w:t>
      </w:r>
      <w:r w:rsidR="00E56F63" w:rsidRPr="00FA5624">
        <w:rPr>
          <w:rFonts w:ascii="Arial" w:hAnsi="Arial" w:cs="Arial"/>
          <w:sz w:val="20"/>
          <w:szCs w:val="20"/>
        </w:rPr>
        <w:t xml:space="preserve"> performance.</w:t>
      </w:r>
      <w:r w:rsidR="00B734B4" w:rsidRPr="00FA5624">
        <w:rPr>
          <w:rFonts w:ascii="Arial" w:hAnsi="Arial" w:cs="Arial"/>
          <w:sz w:val="20"/>
          <w:szCs w:val="20"/>
        </w:rPr>
        <w:t xml:space="preserve"> </w:t>
      </w:r>
      <w:r w:rsidR="005F6891" w:rsidRPr="00FA5624">
        <w:rPr>
          <w:rFonts w:ascii="Arial" w:hAnsi="Arial" w:cs="Arial"/>
          <w:sz w:val="20"/>
          <w:szCs w:val="20"/>
        </w:rPr>
        <w:t>S</w:t>
      </w:r>
      <w:r w:rsidR="00E56F63" w:rsidRPr="00FA5624">
        <w:rPr>
          <w:rFonts w:ascii="Arial" w:hAnsi="Arial" w:cs="Arial"/>
          <w:sz w:val="20"/>
          <w:szCs w:val="20"/>
        </w:rPr>
        <w:t>tudy</w:t>
      </w:r>
      <w:r w:rsidR="005F6891" w:rsidRPr="00FA5624">
        <w:rPr>
          <w:rFonts w:ascii="Arial" w:hAnsi="Arial" w:cs="Arial"/>
          <w:sz w:val="20"/>
          <w:szCs w:val="20"/>
        </w:rPr>
        <w:t xml:space="preserve"> </w:t>
      </w:r>
      <w:r w:rsidR="00263678" w:rsidRPr="00FA5624">
        <w:rPr>
          <w:rFonts w:ascii="Arial" w:hAnsi="Arial" w:cs="Arial"/>
          <w:sz w:val="20"/>
          <w:szCs w:val="20"/>
        </w:rPr>
        <w:t>by</w:t>
      </w:r>
      <w:r w:rsidR="00E56F63" w:rsidRPr="00FA5624">
        <w:rPr>
          <w:rFonts w:ascii="Arial" w:hAnsi="Arial" w:cs="Arial"/>
          <w:sz w:val="20"/>
          <w:szCs w:val="20"/>
        </w:rPr>
        <w:t xml:space="preserve"> Yi </w:t>
      </w:r>
      <w:r w:rsidR="00134B95" w:rsidRPr="00FA5624">
        <w:rPr>
          <w:rFonts w:ascii="Arial" w:hAnsi="Arial" w:cs="Arial"/>
          <w:sz w:val="20"/>
          <w:szCs w:val="20"/>
        </w:rPr>
        <w:t xml:space="preserve">and </w:t>
      </w:r>
      <w:r w:rsidR="00E56F63" w:rsidRPr="00FA5624">
        <w:rPr>
          <w:rFonts w:ascii="Arial" w:hAnsi="Arial" w:cs="Arial"/>
          <w:sz w:val="20"/>
          <w:szCs w:val="20"/>
        </w:rPr>
        <w:t xml:space="preserve">Latiff (2024) </w:t>
      </w:r>
      <w:r w:rsidR="00263678" w:rsidRPr="00FA5624">
        <w:rPr>
          <w:rFonts w:ascii="Arial" w:hAnsi="Arial" w:cs="Arial"/>
          <w:sz w:val="20"/>
          <w:szCs w:val="20"/>
        </w:rPr>
        <w:t>explore</w:t>
      </w:r>
      <w:r w:rsidR="00E56F63" w:rsidRPr="00FA5624">
        <w:rPr>
          <w:rFonts w:ascii="Arial" w:hAnsi="Arial" w:cs="Arial"/>
          <w:sz w:val="20"/>
          <w:szCs w:val="20"/>
        </w:rPr>
        <w:t xml:space="preserve"> influence</w:t>
      </w:r>
      <w:r w:rsidR="005F6891" w:rsidRPr="00FA5624">
        <w:rPr>
          <w:rFonts w:ascii="Arial" w:hAnsi="Arial" w:cs="Arial"/>
          <w:sz w:val="20"/>
          <w:szCs w:val="20"/>
        </w:rPr>
        <w:t>s</w:t>
      </w:r>
      <w:r w:rsidR="00E56F63" w:rsidRPr="00FA5624">
        <w:rPr>
          <w:rFonts w:ascii="Arial" w:hAnsi="Arial" w:cs="Arial"/>
          <w:sz w:val="20"/>
          <w:szCs w:val="20"/>
        </w:rPr>
        <w:t xml:space="preserve"> of regulatory </w:t>
      </w:r>
      <w:r w:rsidRPr="00FA5624">
        <w:rPr>
          <w:rFonts w:ascii="Arial" w:hAnsi="Arial" w:cs="Arial"/>
          <w:sz w:val="20"/>
          <w:szCs w:val="20"/>
        </w:rPr>
        <w:t>environment</w:t>
      </w:r>
      <w:r w:rsidR="00E56F63" w:rsidRPr="00FA5624">
        <w:rPr>
          <w:rFonts w:ascii="Arial" w:hAnsi="Arial" w:cs="Arial"/>
          <w:sz w:val="20"/>
          <w:szCs w:val="20"/>
        </w:rPr>
        <w:t xml:space="preserve"> on value</w:t>
      </w:r>
      <w:r w:rsidRPr="00FA5624">
        <w:rPr>
          <w:rFonts w:ascii="Arial" w:hAnsi="Arial" w:cs="Arial"/>
          <w:sz w:val="20"/>
          <w:szCs w:val="20"/>
        </w:rPr>
        <w:t xml:space="preserve"> of companies</w:t>
      </w:r>
      <w:r w:rsidR="00E56F63" w:rsidRPr="00FA5624">
        <w:rPr>
          <w:rFonts w:ascii="Arial" w:hAnsi="Arial" w:cs="Arial"/>
          <w:sz w:val="20"/>
          <w:szCs w:val="20"/>
        </w:rPr>
        <w:t xml:space="preserve"> </w:t>
      </w:r>
      <w:r w:rsidR="00134EEC" w:rsidRPr="00FA5624">
        <w:rPr>
          <w:rFonts w:ascii="Arial" w:hAnsi="Arial" w:cs="Arial"/>
          <w:sz w:val="20"/>
          <w:szCs w:val="20"/>
        </w:rPr>
        <w:t xml:space="preserve">in </w:t>
      </w:r>
      <w:r w:rsidR="00E56F63" w:rsidRPr="00FA5624">
        <w:rPr>
          <w:rFonts w:ascii="Arial" w:hAnsi="Arial" w:cs="Arial"/>
          <w:sz w:val="20"/>
          <w:szCs w:val="20"/>
        </w:rPr>
        <w:t xml:space="preserve">cross-listed companies </w:t>
      </w:r>
      <w:r w:rsidR="00134EEC" w:rsidRPr="00FA5624">
        <w:rPr>
          <w:rFonts w:ascii="Arial" w:hAnsi="Arial" w:cs="Arial"/>
          <w:sz w:val="20"/>
          <w:szCs w:val="20"/>
        </w:rPr>
        <w:t>at</w:t>
      </w:r>
      <w:r w:rsidR="00E56F63" w:rsidRPr="00FA5624">
        <w:rPr>
          <w:rFonts w:ascii="Arial" w:hAnsi="Arial" w:cs="Arial"/>
          <w:sz w:val="20"/>
          <w:szCs w:val="20"/>
        </w:rPr>
        <w:t xml:space="preserve"> Hong Kong and China</w:t>
      </w:r>
      <w:r w:rsidR="007122BD" w:rsidRPr="00FA5624">
        <w:rPr>
          <w:rFonts w:ascii="Arial" w:hAnsi="Arial" w:cs="Arial"/>
          <w:sz w:val="20"/>
          <w:szCs w:val="20"/>
        </w:rPr>
        <w:t>.</w:t>
      </w:r>
      <w:r w:rsidR="00E56F63" w:rsidRPr="00FA5624">
        <w:rPr>
          <w:rFonts w:ascii="Arial" w:hAnsi="Arial" w:cs="Arial"/>
          <w:sz w:val="20"/>
          <w:szCs w:val="20"/>
        </w:rPr>
        <w:t xml:space="preserve"> </w:t>
      </w:r>
      <w:r w:rsidR="00134EEC" w:rsidRPr="00FA5624">
        <w:rPr>
          <w:rFonts w:ascii="Arial" w:hAnsi="Arial" w:cs="Arial"/>
          <w:sz w:val="20"/>
          <w:szCs w:val="20"/>
        </w:rPr>
        <w:t>S</w:t>
      </w:r>
      <w:r w:rsidR="00E56F63" w:rsidRPr="00FA5624">
        <w:rPr>
          <w:rFonts w:ascii="Arial" w:hAnsi="Arial" w:cs="Arial"/>
          <w:sz w:val="20"/>
          <w:szCs w:val="20"/>
        </w:rPr>
        <w:t>tudy</w:t>
      </w:r>
      <w:r w:rsidR="00134EEC" w:rsidRPr="00FA5624">
        <w:rPr>
          <w:rFonts w:ascii="Arial" w:hAnsi="Arial" w:cs="Arial"/>
          <w:sz w:val="20"/>
          <w:szCs w:val="20"/>
        </w:rPr>
        <w:t xml:space="preserve"> </w:t>
      </w:r>
      <w:r w:rsidR="00E8775E" w:rsidRPr="00FA5624">
        <w:rPr>
          <w:rFonts w:ascii="Arial" w:hAnsi="Arial" w:cs="Arial"/>
          <w:sz w:val="20"/>
          <w:szCs w:val="20"/>
        </w:rPr>
        <w:t>analyz</w:t>
      </w:r>
      <w:r w:rsidR="007122BD" w:rsidRPr="00FA5624">
        <w:rPr>
          <w:rFonts w:ascii="Arial" w:hAnsi="Arial" w:cs="Arial"/>
          <w:sz w:val="20"/>
          <w:szCs w:val="20"/>
        </w:rPr>
        <w:t>ed</w:t>
      </w:r>
      <w:r w:rsidR="00134EEC" w:rsidRPr="00FA5624">
        <w:rPr>
          <w:rFonts w:ascii="Arial" w:hAnsi="Arial" w:cs="Arial"/>
          <w:sz w:val="20"/>
          <w:szCs w:val="20"/>
        </w:rPr>
        <w:t xml:space="preserve"> data from </w:t>
      </w:r>
      <w:r w:rsidR="00E56F63" w:rsidRPr="00FA5624">
        <w:rPr>
          <w:rFonts w:ascii="Arial" w:hAnsi="Arial" w:cs="Arial"/>
          <w:sz w:val="20"/>
          <w:szCs w:val="20"/>
        </w:rPr>
        <w:t>secondary</w:t>
      </w:r>
      <w:r w:rsidR="00134EEC" w:rsidRPr="00FA5624">
        <w:rPr>
          <w:rFonts w:ascii="Arial" w:hAnsi="Arial" w:cs="Arial"/>
          <w:sz w:val="20"/>
          <w:szCs w:val="20"/>
        </w:rPr>
        <w:t xml:space="preserve"> sources</w:t>
      </w:r>
      <w:r w:rsidR="00E56F63" w:rsidRPr="00FA5624">
        <w:rPr>
          <w:rFonts w:ascii="Arial" w:hAnsi="Arial" w:cs="Arial"/>
          <w:sz w:val="20"/>
          <w:szCs w:val="20"/>
        </w:rPr>
        <w:t xml:space="preserve"> obtained from databases and re</w:t>
      </w:r>
      <w:r w:rsidR="00134EEC" w:rsidRPr="00FA5624">
        <w:rPr>
          <w:rFonts w:ascii="Arial" w:hAnsi="Arial" w:cs="Arial"/>
          <w:sz w:val="20"/>
          <w:szCs w:val="20"/>
        </w:rPr>
        <w:t xml:space="preserve">quired </w:t>
      </w:r>
      <w:r w:rsidR="00E56F63" w:rsidRPr="00FA5624">
        <w:rPr>
          <w:rFonts w:ascii="Arial" w:hAnsi="Arial" w:cs="Arial"/>
          <w:sz w:val="20"/>
          <w:szCs w:val="20"/>
        </w:rPr>
        <w:t xml:space="preserve">authorities. </w:t>
      </w:r>
      <w:r w:rsidR="005F6891" w:rsidRPr="00FA5624">
        <w:rPr>
          <w:rFonts w:ascii="Arial" w:hAnsi="Arial" w:cs="Arial"/>
          <w:sz w:val="20"/>
          <w:szCs w:val="20"/>
        </w:rPr>
        <w:t>F</w:t>
      </w:r>
      <w:r w:rsidR="00E56F63" w:rsidRPr="00FA5624">
        <w:rPr>
          <w:rFonts w:ascii="Arial" w:hAnsi="Arial" w:cs="Arial"/>
          <w:sz w:val="20"/>
          <w:szCs w:val="20"/>
        </w:rPr>
        <w:t>inding</w:t>
      </w:r>
      <w:r w:rsidR="005F6891" w:rsidRPr="00FA5624">
        <w:rPr>
          <w:rFonts w:ascii="Arial" w:hAnsi="Arial" w:cs="Arial"/>
          <w:sz w:val="20"/>
          <w:szCs w:val="20"/>
        </w:rPr>
        <w:t xml:space="preserve"> </w:t>
      </w:r>
      <w:r w:rsidR="00134EEC" w:rsidRPr="00FA5624">
        <w:rPr>
          <w:rFonts w:ascii="Arial" w:hAnsi="Arial" w:cs="Arial"/>
          <w:sz w:val="20"/>
          <w:szCs w:val="20"/>
        </w:rPr>
        <w:t xml:space="preserve">reveal stricter regulations of </w:t>
      </w:r>
      <w:r w:rsidR="00E56F63" w:rsidRPr="00FA5624">
        <w:rPr>
          <w:rFonts w:ascii="Arial" w:hAnsi="Arial" w:cs="Arial"/>
          <w:sz w:val="20"/>
          <w:szCs w:val="20"/>
        </w:rPr>
        <w:t xml:space="preserve">Hong Kong </w:t>
      </w:r>
      <w:r w:rsidR="00134EEC" w:rsidRPr="00FA5624">
        <w:rPr>
          <w:rFonts w:ascii="Arial" w:hAnsi="Arial" w:cs="Arial"/>
          <w:sz w:val="20"/>
          <w:szCs w:val="20"/>
        </w:rPr>
        <w:t xml:space="preserve">is </w:t>
      </w:r>
      <w:r w:rsidR="00E56F63" w:rsidRPr="00FA5624">
        <w:rPr>
          <w:rFonts w:ascii="Arial" w:hAnsi="Arial" w:cs="Arial"/>
          <w:sz w:val="20"/>
          <w:szCs w:val="20"/>
        </w:rPr>
        <w:t xml:space="preserve">associated </w:t>
      </w:r>
      <w:r w:rsidR="00134EEC" w:rsidRPr="00FA5624">
        <w:rPr>
          <w:rFonts w:ascii="Arial" w:hAnsi="Arial" w:cs="Arial"/>
          <w:sz w:val="20"/>
          <w:szCs w:val="20"/>
        </w:rPr>
        <w:t xml:space="preserve">higher company </w:t>
      </w:r>
      <w:r w:rsidR="00E56F63" w:rsidRPr="00FA5624">
        <w:rPr>
          <w:rFonts w:ascii="Arial" w:hAnsi="Arial" w:cs="Arial"/>
          <w:sz w:val="20"/>
          <w:szCs w:val="20"/>
        </w:rPr>
        <w:t xml:space="preserve">values </w:t>
      </w:r>
      <w:r w:rsidR="00134EEC" w:rsidRPr="00FA5624">
        <w:rPr>
          <w:rFonts w:ascii="Arial" w:hAnsi="Arial" w:cs="Arial"/>
          <w:sz w:val="20"/>
          <w:szCs w:val="20"/>
        </w:rPr>
        <w:t xml:space="preserve">in </w:t>
      </w:r>
      <w:r w:rsidR="00E56F63" w:rsidRPr="00FA5624">
        <w:rPr>
          <w:rFonts w:ascii="Arial" w:hAnsi="Arial" w:cs="Arial"/>
          <w:sz w:val="20"/>
          <w:szCs w:val="20"/>
        </w:rPr>
        <w:t>compar</w:t>
      </w:r>
      <w:r w:rsidR="00134EEC" w:rsidRPr="00FA5624">
        <w:rPr>
          <w:rFonts w:ascii="Arial" w:hAnsi="Arial" w:cs="Arial"/>
          <w:sz w:val="20"/>
          <w:szCs w:val="20"/>
        </w:rPr>
        <w:t>ison with China.</w:t>
      </w:r>
      <w:r w:rsidR="00B734B4" w:rsidRPr="00FA5624">
        <w:rPr>
          <w:rFonts w:ascii="Arial" w:hAnsi="Arial" w:cs="Arial"/>
          <w:sz w:val="20"/>
          <w:szCs w:val="20"/>
        </w:rPr>
        <w:t xml:space="preserve"> </w:t>
      </w:r>
      <w:r w:rsidR="008B0D98" w:rsidRPr="00FA5624">
        <w:rPr>
          <w:rFonts w:ascii="Arial" w:hAnsi="Arial" w:cs="Arial"/>
          <w:sz w:val="20"/>
          <w:szCs w:val="20"/>
        </w:rPr>
        <w:t xml:space="preserve">Zaremba et al. </w:t>
      </w:r>
      <w:r w:rsidR="00E56F63" w:rsidRPr="00FA5624">
        <w:rPr>
          <w:rFonts w:ascii="Arial" w:hAnsi="Arial" w:cs="Arial"/>
          <w:sz w:val="20"/>
          <w:szCs w:val="20"/>
        </w:rPr>
        <w:t xml:space="preserve">(2021) </w:t>
      </w:r>
      <w:r w:rsidR="00263678" w:rsidRPr="00FA5624">
        <w:rPr>
          <w:rFonts w:ascii="Arial" w:hAnsi="Arial" w:cs="Arial"/>
          <w:sz w:val="20"/>
          <w:szCs w:val="20"/>
        </w:rPr>
        <w:t>analyzed</w:t>
      </w:r>
      <w:r w:rsidR="00E56F63" w:rsidRPr="00FA5624">
        <w:rPr>
          <w:rFonts w:ascii="Arial" w:hAnsi="Arial" w:cs="Arial"/>
          <w:sz w:val="20"/>
          <w:szCs w:val="20"/>
        </w:rPr>
        <w:t xml:space="preserve"> impact</w:t>
      </w:r>
      <w:r w:rsidR="008B0D98" w:rsidRPr="00FA5624">
        <w:rPr>
          <w:rFonts w:ascii="Arial" w:hAnsi="Arial" w:cs="Arial"/>
          <w:sz w:val="20"/>
          <w:szCs w:val="20"/>
        </w:rPr>
        <w:t>s</w:t>
      </w:r>
      <w:r w:rsidR="00E56F63" w:rsidRPr="00FA5624">
        <w:rPr>
          <w:rFonts w:ascii="Arial" w:hAnsi="Arial" w:cs="Arial"/>
          <w:sz w:val="20"/>
          <w:szCs w:val="20"/>
        </w:rPr>
        <w:t xml:space="preserve"> of government policy responses</w:t>
      </w:r>
      <w:r w:rsidR="008B0D98" w:rsidRPr="00FA5624">
        <w:rPr>
          <w:rFonts w:ascii="Arial" w:hAnsi="Arial" w:cs="Arial"/>
          <w:sz w:val="20"/>
          <w:szCs w:val="20"/>
        </w:rPr>
        <w:t xml:space="preserve"> to</w:t>
      </w:r>
      <w:r w:rsidR="00E56F63" w:rsidRPr="00FA5624">
        <w:rPr>
          <w:rFonts w:ascii="Arial" w:hAnsi="Arial" w:cs="Arial"/>
          <w:sz w:val="20"/>
          <w:szCs w:val="20"/>
        </w:rPr>
        <w:t xml:space="preserve"> global stock market liquidity</w:t>
      </w:r>
      <w:r w:rsidR="008B0D98" w:rsidRPr="00FA5624">
        <w:rPr>
          <w:rFonts w:ascii="Arial" w:hAnsi="Arial" w:cs="Arial"/>
          <w:sz w:val="20"/>
          <w:szCs w:val="20"/>
        </w:rPr>
        <w:t xml:space="preserve"> through regular</w:t>
      </w:r>
      <w:r w:rsidR="00E56F63" w:rsidRPr="00FA5624">
        <w:rPr>
          <w:rFonts w:ascii="Arial" w:hAnsi="Arial" w:cs="Arial"/>
          <w:sz w:val="20"/>
          <w:szCs w:val="20"/>
        </w:rPr>
        <w:t xml:space="preserve"> data </w:t>
      </w:r>
      <w:r w:rsidR="008B0D98" w:rsidRPr="00FA5624">
        <w:rPr>
          <w:rFonts w:ascii="Arial" w:hAnsi="Arial" w:cs="Arial"/>
          <w:sz w:val="20"/>
          <w:szCs w:val="20"/>
        </w:rPr>
        <w:t xml:space="preserve">for 49 countries between January </w:t>
      </w:r>
      <w:r w:rsidR="00E56F63" w:rsidRPr="00FA5624">
        <w:rPr>
          <w:rFonts w:ascii="Arial" w:hAnsi="Arial" w:cs="Arial"/>
          <w:sz w:val="20"/>
          <w:szCs w:val="20"/>
        </w:rPr>
        <w:t>and</w:t>
      </w:r>
      <w:r w:rsidR="008B0D98" w:rsidRPr="00FA5624">
        <w:rPr>
          <w:rFonts w:ascii="Arial" w:hAnsi="Arial" w:cs="Arial"/>
          <w:sz w:val="20"/>
          <w:szCs w:val="20"/>
        </w:rPr>
        <w:t xml:space="preserve"> April 2020. The findings reveal </w:t>
      </w:r>
      <w:r w:rsidR="00E56F63" w:rsidRPr="00FA5624">
        <w:rPr>
          <w:rFonts w:ascii="Arial" w:hAnsi="Arial" w:cs="Arial"/>
          <w:sz w:val="20"/>
          <w:szCs w:val="20"/>
        </w:rPr>
        <w:t xml:space="preserve">government policy negatively </w:t>
      </w:r>
      <w:r w:rsidR="00263678" w:rsidRPr="00FA5624">
        <w:rPr>
          <w:rFonts w:ascii="Arial" w:hAnsi="Arial" w:cs="Arial"/>
          <w:sz w:val="20"/>
          <w:szCs w:val="20"/>
        </w:rPr>
        <w:t>affects</w:t>
      </w:r>
      <w:r w:rsidR="007122BD" w:rsidRPr="00FA5624">
        <w:rPr>
          <w:rFonts w:ascii="Arial" w:hAnsi="Arial" w:cs="Arial"/>
          <w:sz w:val="20"/>
          <w:szCs w:val="20"/>
        </w:rPr>
        <w:t xml:space="preserve"> liquidity</w:t>
      </w:r>
      <w:r w:rsidR="00E56F63" w:rsidRPr="00FA5624">
        <w:rPr>
          <w:rFonts w:ascii="Arial" w:hAnsi="Arial" w:cs="Arial"/>
          <w:sz w:val="20"/>
          <w:szCs w:val="20"/>
        </w:rPr>
        <w:t>.</w:t>
      </w:r>
      <w:r w:rsidR="007122BD" w:rsidRPr="00FA5624">
        <w:rPr>
          <w:rFonts w:ascii="Arial" w:hAnsi="Arial" w:cs="Arial"/>
          <w:sz w:val="20"/>
          <w:szCs w:val="20"/>
        </w:rPr>
        <w:t xml:space="preserve"> </w:t>
      </w:r>
      <w:r w:rsidR="008B0D98" w:rsidRPr="00FA5624">
        <w:rPr>
          <w:rFonts w:ascii="Arial" w:hAnsi="Arial" w:cs="Arial"/>
          <w:sz w:val="20"/>
          <w:szCs w:val="20"/>
        </w:rPr>
        <w:t>S</w:t>
      </w:r>
      <w:r w:rsidR="00E56F63" w:rsidRPr="00FA5624">
        <w:rPr>
          <w:rFonts w:ascii="Arial" w:hAnsi="Arial" w:cs="Arial"/>
          <w:sz w:val="20"/>
          <w:szCs w:val="20"/>
        </w:rPr>
        <w:t>tudy</w:t>
      </w:r>
      <w:r w:rsidR="008B0D98" w:rsidRPr="00FA5624">
        <w:rPr>
          <w:rFonts w:ascii="Arial" w:hAnsi="Arial" w:cs="Arial"/>
          <w:sz w:val="20"/>
          <w:szCs w:val="20"/>
        </w:rPr>
        <w:t xml:space="preserve"> </w:t>
      </w:r>
      <w:r w:rsidR="00263678" w:rsidRPr="00FA5624">
        <w:rPr>
          <w:rFonts w:ascii="Arial" w:hAnsi="Arial" w:cs="Arial"/>
          <w:sz w:val="20"/>
          <w:szCs w:val="20"/>
        </w:rPr>
        <w:t>by</w:t>
      </w:r>
      <w:r w:rsidR="008B0D98" w:rsidRPr="00FA5624">
        <w:rPr>
          <w:rFonts w:ascii="Arial" w:hAnsi="Arial" w:cs="Arial"/>
          <w:sz w:val="20"/>
          <w:szCs w:val="20"/>
        </w:rPr>
        <w:t xml:space="preserve"> Kizys et al. (2021) examined whether state responses to COVID 19 </w:t>
      </w:r>
      <w:r w:rsidR="00E56F63" w:rsidRPr="00FA5624">
        <w:rPr>
          <w:rFonts w:ascii="Arial" w:hAnsi="Arial" w:cs="Arial"/>
          <w:sz w:val="20"/>
          <w:szCs w:val="20"/>
        </w:rPr>
        <w:t xml:space="preserve">pandemic </w:t>
      </w:r>
      <w:r w:rsidR="008B0D98" w:rsidRPr="00FA5624">
        <w:rPr>
          <w:rFonts w:ascii="Arial" w:hAnsi="Arial" w:cs="Arial"/>
          <w:sz w:val="20"/>
          <w:szCs w:val="20"/>
        </w:rPr>
        <w:t>diminish</w:t>
      </w:r>
      <w:r w:rsidR="00E56F63" w:rsidRPr="00FA5624">
        <w:rPr>
          <w:rFonts w:ascii="Arial" w:hAnsi="Arial" w:cs="Arial"/>
          <w:sz w:val="20"/>
          <w:szCs w:val="20"/>
        </w:rPr>
        <w:t xml:space="preserve"> investor</w:t>
      </w:r>
      <w:r w:rsidR="008B0D98" w:rsidRPr="00FA5624">
        <w:rPr>
          <w:rFonts w:ascii="Arial" w:hAnsi="Arial" w:cs="Arial"/>
          <w:sz w:val="20"/>
          <w:szCs w:val="20"/>
        </w:rPr>
        <w:t xml:space="preserve">s herding behavior </w:t>
      </w:r>
      <w:r w:rsidR="00E56F63" w:rsidRPr="00FA5624">
        <w:rPr>
          <w:rFonts w:ascii="Arial" w:hAnsi="Arial" w:cs="Arial"/>
          <w:sz w:val="20"/>
          <w:szCs w:val="20"/>
        </w:rPr>
        <w:t xml:space="preserve">in </w:t>
      </w:r>
      <w:r w:rsidR="008B0D98" w:rsidRPr="00FA5624">
        <w:rPr>
          <w:rFonts w:ascii="Arial" w:hAnsi="Arial" w:cs="Arial"/>
          <w:sz w:val="20"/>
          <w:szCs w:val="20"/>
        </w:rPr>
        <w:t xml:space="preserve">global stock markets. </w:t>
      </w:r>
      <w:r w:rsidR="004C2CA2" w:rsidRPr="00FA5624">
        <w:rPr>
          <w:rFonts w:ascii="Arial" w:hAnsi="Arial" w:cs="Arial"/>
          <w:sz w:val="20"/>
          <w:szCs w:val="20"/>
        </w:rPr>
        <w:t>R</w:t>
      </w:r>
      <w:r w:rsidR="00E56F63" w:rsidRPr="00FA5624">
        <w:rPr>
          <w:rFonts w:ascii="Arial" w:hAnsi="Arial" w:cs="Arial"/>
          <w:sz w:val="20"/>
          <w:szCs w:val="20"/>
        </w:rPr>
        <w:t>esults</w:t>
      </w:r>
      <w:r w:rsidR="004C2CA2" w:rsidRPr="00FA5624">
        <w:rPr>
          <w:rFonts w:ascii="Arial" w:hAnsi="Arial" w:cs="Arial"/>
          <w:sz w:val="20"/>
          <w:szCs w:val="20"/>
        </w:rPr>
        <w:t xml:space="preserve"> </w:t>
      </w:r>
      <w:r w:rsidR="00E56F63" w:rsidRPr="00FA5624">
        <w:rPr>
          <w:rFonts w:ascii="Arial" w:hAnsi="Arial" w:cs="Arial"/>
          <w:sz w:val="20"/>
          <w:szCs w:val="20"/>
        </w:rPr>
        <w:t xml:space="preserve">portray negative </w:t>
      </w:r>
      <w:r w:rsidR="00263678" w:rsidRPr="00FA5624">
        <w:rPr>
          <w:rFonts w:ascii="Arial" w:hAnsi="Arial" w:cs="Arial"/>
          <w:sz w:val="20"/>
          <w:szCs w:val="20"/>
        </w:rPr>
        <w:t>insignificance</w:t>
      </w:r>
      <w:r w:rsidR="00E56F63" w:rsidRPr="00FA5624">
        <w:rPr>
          <w:rFonts w:ascii="Arial" w:hAnsi="Arial" w:cs="Arial"/>
          <w:sz w:val="20"/>
          <w:szCs w:val="20"/>
        </w:rPr>
        <w:t xml:space="preserve"> to the listed firm performance.</w:t>
      </w:r>
      <w:r w:rsidR="00B734B4" w:rsidRPr="00FA5624">
        <w:rPr>
          <w:rFonts w:ascii="Arial" w:hAnsi="Arial" w:cs="Arial"/>
          <w:sz w:val="20"/>
          <w:szCs w:val="20"/>
        </w:rPr>
        <w:t xml:space="preserve"> </w:t>
      </w:r>
      <w:r w:rsidR="00E56F63" w:rsidRPr="00FA5624">
        <w:rPr>
          <w:rFonts w:ascii="Arial" w:hAnsi="Arial" w:cs="Arial"/>
          <w:sz w:val="20"/>
          <w:szCs w:val="20"/>
        </w:rPr>
        <w:t xml:space="preserve">Madhani (2016) investigates the influence of legal and regulatory </w:t>
      </w:r>
      <w:r w:rsidR="004C2CA2" w:rsidRPr="00FA5624">
        <w:rPr>
          <w:rFonts w:ascii="Arial" w:hAnsi="Arial" w:cs="Arial"/>
          <w:sz w:val="20"/>
          <w:szCs w:val="20"/>
        </w:rPr>
        <w:t>frameworks</w:t>
      </w:r>
      <w:r w:rsidR="00E56F63" w:rsidRPr="00FA5624">
        <w:rPr>
          <w:rFonts w:ascii="Arial" w:hAnsi="Arial" w:cs="Arial"/>
          <w:sz w:val="20"/>
          <w:szCs w:val="20"/>
        </w:rPr>
        <w:t xml:space="preserve"> on</w:t>
      </w:r>
      <w:r w:rsidR="004C2CA2" w:rsidRPr="00FA5624">
        <w:rPr>
          <w:rFonts w:ascii="Arial" w:hAnsi="Arial" w:cs="Arial"/>
          <w:sz w:val="20"/>
          <w:szCs w:val="20"/>
        </w:rPr>
        <w:t xml:space="preserve"> </w:t>
      </w:r>
      <w:r w:rsidR="00E56F63" w:rsidRPr="00FA5624">
        <w:rPr>
          <w:rFonts w:ascii="Arial" w:hAnsi="Arial" w:cs="Arial"/>
          <w:sz w:val="20"/>
          <w:szCs w:val="20"/>
        </w:rPr>
        <w:t>disclosure practice of</w:t>
      </w:r>
      <w:r w:rsidR="004C2CA2" w:rsidRPr="00FA5624">
        <w:rPr>
          <w:rFonts w:ascii="Arial" w:hAnsi="Arial" w:cs="Arial"/>
          <w:sz w:val="20"/>
          <w:szCs w:val="20"/>
        </w:rPr>
        <w:t xml:space="preserve"> business</w:t>
      </w:r>
      <w:r w:rsidR="00E56F63" w:rsidRPr="00FA5624">
        <w:rPr>
          <w:rFonts w:ascii="Arial" w:hAnsi="Arial" w:cs="Arial"/>
          <w:sz w:val="20"/>
          <w:szCs w:val="20"/>
        </w:rPr>
        <w:t xml:space="preserve"> listed</w:t>
      </w:r>
      <w:r w:rsidR="004C2CA2" w:rsidRPr="00FA5624">
        <w:rPr>
          <w:rFonts w:ascii="Arial" w:hAnsi="Arial" w:cs="Arial"/>
          <w:sz w:val="20"/>
          <w:szCs w:val="20"/>
        </w:rPr>
        <w:t xml:space="preserve"> in</w:t>
      </w:r>
      <w:r w:rsidR="00E56F63" w:rsidRPr="00FA5624">
        <w:rPr>
          <w:rFonts w:ascii="Arial" w:hAnsi="Arial" w:cs="Arial"/>
          <w:sz w:val="20"/>
          <w:szCs w:val="20"/>
        </w:rPr>
        <w:t xml:space="preserve"> the</w:t>
      </w:r>
      <w:r w:rsidR="004C2CA2" w:rsidRPr="00FA5624">
        <w:rPr>
          <w:rFonts w:ascii="Arial" w:hAnsi="Arial" w:cs="Arial"/>
          <w:sz w:val="20"/>
          <w:szCs w:val="20"/>
        </w:rPr>
        <w:t xml:space="preserve"> BSE.</w:t>
      </w:r>
      <w:r w:rsidR="004946E2" w:rsidRPr="00FA5624">
        <w:rPr>
          <w:rFonts w:ascii="Arial" w:hAnsi="Arial" w:cs="Arial"/>
          <w:sz w:val="20"/>
          <w:szCs w:val="20"/>
        </w:rPr>
        <w:t xml:space="preserve"> S</w:t>
      </w:r>
      <w:r w:rsidR="00E56F63" w:rsidRPr="00FA5624">
        <w:rPr>
          <w:rFonts w:ascii="Arial" w:hAnsi="Arial" w:cs="Arial"/>
          <w:sz w:val="20"/>
          <w:szCs w:val="20"/>
        </w:rPr>
        <w:t>tudy</w:t>
      </w:r>
      <w:r w:rsidR="004946E2" w:rsidRPr="00FA5624">
        <w:rPr>
          <w:rFonts w:ascii="Arial" w:hAnsi="Arial" w:cs="Arial"/>
          <w:sz w:val="20"/>
          <w:szCs w:val="20"/>
        </w:rPr>
        <w:t xml:space="preserve"> </w:t>
      </w:r>
      <w:r w:rsidR="00E56F63" w:rsidRPr="00FA5624">
        <w:rPr>
          <w:rFonts w:ascii="Arial" w:hAnsi="Arial" w:cs="Arial"/>
          <w:sz w:val="20"/>
          <w:szCs w:val="20"/>
        </w:rPr>
        <w:t xml:space="preserve">reveals that the institutional and legal frameworks in the US and Europe are more robust compared to India. </w:t>
      </w:r>
      <w:r w:rsidR="008D6214" w:rsidRPr="00FA5624">
        <w:rPr>
          <w:rFonts w:ascii="Arial" w:hAnsi="Arial" w:cs="Arial"/>
          <w:sz w:val="20"/>
          <w:szCs w:val="20"/>
        </w:rPr>
        <w:t>S</w:t>
      </w:r>
      <w:r w:rsidR="00E56F63" w:rsidRPr="00FA5624">
        <w:rPr>
          <w:rFonts w:ascii="Arial" w:hAnsi="Arial" w:cs="Arial"/>
          <w:sz w:val="20"/>
          <w:szCs w:val="20"/>
        </w:rPr>
        <w:t>tudy</w:t>
      </w:r>
      <w:r w:rsidR="008D6214" w:rsidRPr="00FA5624">
        <w:rPr>
          <w:rFonts w:ascii="Arial" w:hAnsi="Arial" w:cs="Arial"/>
          <w:sz w:val="20"/>
          <w:szCs w:val="20"/>
        </w:rPr>
        <w:t xml:space="preserve"> </w:t>
      </w:r>
      <w:r w:rsidR="00E56F63" w:rsidRPr="00FA5624">
        <w:rPr>
          <w:rFonts w:ascii="Arial" w:hAnsi="Arial" w:cs="Arial"/>
          <w:sz w:val="20"/>
          <w:szCs w:val="20"/>
        </w:rPr>
        <w:t>conducted by Mont</w:t>
      </w:r>
      <w:r w:rsidR="00B850E7" w:rsidRPr="00FA5624">
        <w:rPr>
          <w:rFonts w:ascii="Arial" w:hAnsi="Arial" w:cs="Arial"/>
          <w:sz w:val="20"/>
          <w:szCs w:val="20"/>
        </w:rPr>
        <w:t xml:space="preserve">olio et al. (2015) investigated </w:t>
      </w:r>
      <w:r w:rsidR="00E56F63" w:rsidRPr="00FA5624">
        <w:rPr>
          <w:rFonts w:ascii="Arial" w:hAnsi="Arial" w:cs="Arial"/>
          <w:sz w:val="20"/>
          <w:szCs w:val="20"/>
        </w:rPr>
        <w:t>influence</w:t>
      </w:r>
      <w:r w:rsidR="00B850E7" w:rsidRPr="00FA5624">
        <w:rPr>
          <w:rFonts w:ascii="Arial" w:hAnsi="Arial" w:cs="Arial"/>
          <w:sz w:val="20"/>
          <w:szCs w:val="20"/>
        </w:rPr>
        <w:t>s</w:t>
      </w:r>
      <w:r w:rsidR="00E56F63" w:rsidRPr="00FA5624">
        <w:rPr>
          <w:rFonts w:ascii="Arial" w:hAnsi="Arial" w:cs="Arial"/>
          <w:sz w:val="20"/>
          <w:szCs w:val="20"/>
        </w:rPr>
        <w:t xml:space="preserve"> of regulat</w:t>
      </w:r>
      <w:r w:rsidR="00B850E7" w:rsidRPr="00FA5624">
        <w:rPr>
          <w:rFonts w:ascii="Arial" w:hAnsi="Arial" w:cs="Arial"/>
          <w:sz w:val="20"/>
          <w:szCs w:val="20"/>
        </w:rPr>
        <w:t xml:space="preserve">ed </w:t>
      </w:r>
      <w:r w:rsidR="00E56F63" w:rsidRPr="00FA5624">
        <w:rPr>
          <w:rFonts w:ascii="Arial" w:hAnsi="Arial" w:cs="Arial"/>
          <w:sz w:val="20"/>
          <w:szCs w:val="20"/>
        </w:rPr>
        <w:t>access</w:t>
      </w:r>
      <w:r w:rsidR="00B850E7" w:rsidRPr="00FA5624">
        <w:rPr>
          <w:rFonts w:ascii="Arial" w:hAnsi="Arial" w:cs="Arial"/>
          <w:sz w:val="20"/>
          <w:szCs w:val="20"/>
        </w:rPr>
        <w:t>ed</w:t>
      </w:r>
      <w:r w:rsidR="00E56F63" w:rsidRPr="00FA5624">
        <w:rPr>
          <w:rFonts w:ascii="Arial" w:hAnsi="Arial" w:cs="Arial"/>
          <w:sz w:val="20"/>
          <w:szCs w:val="20"/>
        </w:rPr>
        <w:t xml:space="preserve"> prices</w:t>
      </w:r>
      <w:r w:rsidR="00B850E7" w:rsidRPr="00FA5624">
        <w:rPr>
          <w:rFonts w:ascii="Arial" w:hAnsi="Arial" w:cs="Arial"/>
          <w:sz w:val="20"/>
          <w:szCs w:val="20"/>
        </w:rPr>
        <w:t xml:space="preserve"> of</w:t>
      </w:r>
      <w:r w:rsidR="00E56F63" w:rsidRPr="00FA5624">
        <w:rPr>
          <w:rFonts w:ascii="Arial" w:hAnsi="Arial" w:cs="Arial"/>
          <w:sz w:val="20"/>
          <w:szCs w:val="20"/>
        </w:rPr>
        <w:t xml:space="preserve"> </w:t>
      </w:r>
      <w:r w:rsidR="00B850E7" w:rsidRPr="00FA5624">
        <w:rPr>
          <w:rFonts w:ascii="Arial" w:hAnsi="Arial" w:cs="Arial"/>
          <w:sz w:val="20"/>
          <w:szCs w:val="20"/>
        </w:rPr>
        <w:t>worldwide</w:t>
      </w:r>
      <w:r w:rsidR="00E56F63" w:rsidRPr="00FA5624">
        <w:rPr>
          <w:rFonts w:ascii="Arial" w:hAnsi="Arial" w:cs="Arial"/>
          <w:sz w:val="20"/>
          <w:szCs w:val="20"/>
        </w:rPr>
        <w:t xml:space="preserve"> nature of firms</w:t>
      </w:r>
      <w:r w:rsidR="00B850E7" w:rsidRPr="00FA5624">
        <w:rPr>
          <w:rFonts w:ascii="Arial" w:hAnsi="Arial" w:cs="Arial"/>
          <w:sz w:val="20"/>
          <w:szCs w:val="20"/>
        </w:rPr>
        <w:t xml:space="preserve"> and</w:t>
      </w:r>
      <w:r w:rsidR="00E56F63" w:rsidRPr="00FA5624">
        <w:rPr>
          <w:rFonts w:ascii="Arial" w:hAnsi="Arial" w:cs="Arial"/>
          <w:sz w:val="20"/>
          <w:szCs w:val="20"/>
        </w:rPr>
        <w:t xml:space="preserve"> their performance</w:t>
      </w:r>
      <w:r w:rsidR="00B850E7" w:rsidRPr="00FA5624">
        <w:rPr>
          <w:rFonts w:ascii="Arial" w:hAnsi="Arial" w:cs="Arial"/>
          <w:sz w:val="20"/>
          <w:szCs w:val="20"/>
        </w:rPr>
        <w:t>s</w:t>
      </w:r>
      <w:r w:rsidR="00E56F63" w:rsidRPr="00FA5624">
        <w:rPr>
          <w:rFonts w:ascii="Arial" w:hAnsi="Arial" w:cs="Arial"/>
          <w:sz w:val="20"/>
          <w:szCs w:val="20"/>
        </w:rPr>
        <w:t xml:space="preserve"> within the European broadband sector from 2002 to 2010. </w:t>
      </w:r>
      <w:r w:rsidR="008D6214" w:rsidRPr="00FA5624">
        <w:rPr>
          <w:rFonts w:ascii="Arial" w:hAnsi="Arial" w:cs="Arial"/>
          <w:sz w:val="20"/>
          <w:szCs w:val="20"/>
        </w:rPr>
        <w:t>F</w:t>
      </w:r>
      <w:r w:rsidR="00E56F63" w:rsidRPr="00FA5624">
        <w:rPr>
          <w:rFonts w:ascii="Arial" w:hAnsi="Arial" w:cs="Arial"/>
          <w:sz w:val="20"/>
          <w:szCs w:val="20"/>
        </w:rPr>
        <w:t>indings</w:t>
      </w:r>
      <w:r w:rsidR="008D6214" w:rsidRPr="00FA5624">
        <w:rPr>
          <w:rFonts w:ascii="Arial" w:hAnsi="Arial" w:cs="Arial"/>
          <w:sz w:val="20"/>
          <w:szCs w:val="20"/>
        </w:rPr>
        <w:t xml:space="preserve"> </w:t>
      </w:r>
      <w:r w:rsidR="00E56F63" w:rsidRPr="00FA5624">
        <w:rPr>
          <w:rFonts w:ascii="Arial" w:hAnsi="Arial" w:cs="Arial"/>
          <w:sz w:val="20"/>
          <w:szCs w:val="20"/>
        </w:rPr>
        <w:t>revealed regulatory prices negatively influence market share and turnover of entrant firms.</w:t>
      </w:r>
      <w:r w:rsidR="00B734B4" w:rsidRPr="00FA5624">
        <w:rPr>
          <w:rFonts w:ascii="Arial" w:hAnsi="Arial" w:cs="Arial"/>
          <w:sz w:val="20"/>
          <w:szCs w:val="20"/>
        </w:rPr>
        <w:t xml:space="preserve"> </w:t>
      </w:r>
      <w:r w:rsidR="00E56F63" w:rsidRPr="00FA5624">
        <w:rPr>
          <w:rFonts w:ascii="Arial" w:hAnsi="Arial" w:cs="Arial"/>
          <w:sz w:val="20"/>
          <w:szCs w:val="20"/>
        </w:rPr>
        <w:t xml:space="preserve">Chang et </w:t>
      </w:r>
      <w:r w:rsidR="00263678" w:rsidRPr="00FA5624">
        <w:rPr>
          <w:rFonts w:ascii="Arial" w:hAnsi="Arial" w:cs="Arial"/>
          <w:sz w:val="20"/>
          <w:szCs w:val="20"/>
        </w:rPr>
        <w:t>al.</w:t>
      </w:r>
      <w:r w:rsidR="00E56F63" w:rsidRPr="00FA5624">
        <w:rPr>
          <w:rFonts w:ascii="Arial" w:hAnsi="Arial" w:cs="Arial"/>
          <w:sz w:val="20"/>
          <w:szCs w:val="20"/>
        </w:rPr>
        <w:t xml:space="preserve"> (2015) analys</w:t>
      </w:r>
      <w:r w:rsidR="00300BE8" w:rsidRPr="00FA5624">
        <w:rPr>
          <w:rFonts w:ascii="Arial" w:hAnsi="Arial" w:cs="Arial"/>
          <w:sz w:val="20"/>
          <w:szCs w:val="20"/>
        </w:rPr>
        <w:t xml:space="preserve">ed implementation on </w:t>
      </w:r>
      <w:r w:rsidR="00E56F63" w:rsidRPr="00FA5624">
        <w:rPr>
          <w:rFonts w:ascii="Arial" w:hAnsi="Arial" w:cs="Arial"/>
          <w:sz w:val="20"/>
          <w:szCs w:val="20"/>
        </w:rPr>
        <w:t xml:space="preserve">environmental </w:t>
      </w:r>
      <w:r w:rsidR="00300BE8" w:rsidRPr="00FA5624">
        <w:rPr>
          <w:rFonts w:ascii="Arial" w:hAnsi="Arial" w:cs="Arial"/>
          <w:sz w:val="20"/>
          <w:szCs w:val="20"/>
        </w:rPr>
        <w:t xml:space="preserve">strategies and </w:t>
      </w:r>
      <w:r w:rsidR="00E56F63" w:rsidRPr="00FA5624">
        <w:rPr>
          <w:rFonts w:ascii="Arial" w:hAnsi="Arial" w:cs="Arial"/>
          <w:sz w:val="20"/>
          <w:szCs w:val="20"/>
        </w:rPr>
        <w:t>role of government involvement in shaping the environmental performance of Chin</w:t>
      </w:r>
      <w:r w:rsidR="00300BE8" w:rsidRPr="00FA5624">
        <w:rPr>
          <w:rFonts w:ascii="Arial" w:hAnsi="Arial" w:cs="Arial"/>
          <w:sz w:val="20"/>
          <w:szCs w:val="20"/>
        </w:rPr>
        <w:t xml:space="preserve">a publicly listing business </w:t>
      </w:r>
      <w:r w:rsidR="00E56F63" w:rsidRPr="00FA5624">
        <w:rPr>
          <w:rFonts w:ascii="Arial" w:hAnsi="Arial" w:cs="Arial"/>
          <w:sz w:val="20"/>
          <w:szCs w:val="20"/>
        </w:rPr>
        <w:t>within</w:t>
      </w:r>
      <w:r w:rsidR="00300BE8" w:rsidRPr="00FA5624">
        <w:rPr>
          <w:rFonts w:ascii="Arial" w:hAnsi="Arial" w:cs="Arial"/>
          <w:sz w:val="20"/>
          <w:szCs w:val="20"/>
        </w:rPr>
        <w:t xml:space="preserve"> 8 greatest</w:t>
      </w:r>
      <w:r w:rsidR="00E56F63" w:rsidRPr="00FA5624">
        <w:rPr>
          <w:rFonts w:ascii="Arial" w:hAnsi="Arial" w:cs="Arial"/>
          <w:sz w:val="20"/>
          <w:szCs w:val="20"/>
        </w:rPr>
        <w:t xml:space="preserve"> polluting </w:t>
      </w:r>
      <w:r w:rsidR="00300BE8" w:rsidRPr="00FA5624">
        <w:rPr>
          <w:rFonts w:ascii="Arial" w:hAnsi="Arial" w:cs="Arial"/>
          <w:sz w:val="20"/>
          <w:szCs w:val="20"/>
        </w:rPr>
        <w:t>businesses</w:t>
      </w:r>
      <w:r w:rsidR="00E56F63" w:rsidRPr="00FA5624">
        <w:rPr>
          <w:rFonts w:ascii="Arial" w:hAnsi="Arial" w:cs="Arial"/>
          <w:sz w:val="20"/>
          <w:szCs w:val="20"/>
        </w:rPr>
        <w:t xml:space="preserve"> over decade.</w:t>
      </w:r>
      <w:r w:rsidR="00300BE8" w:rsidRPr="00FA5624">
        <w:rPr>
          <w:rFonts w:ascii="Arial" w:hAnsi="Arial" w:cs="Arial"/>
          <w:sz w:val="20"/>
          <w:szCs w:val="20"/>
        </w:rPr>
        <w:t xml:space="preserve"> Results </w:t>
      </w:r>
      <w:r w:rsidR="00E56F63" w:rsidRPr="00FA5624">
        <w:rPr>
          <w:rFonts w:ascii="Arial" w:hAnsi="Arial" w:cs="Arial"/>
          <w:sz w:val="20"/>
          <w:szCs w:val="20"/>
        </w:rPr>
        <w:t>reveals</w:t>
      </w:r>
      <w:r w:rsidR="00300BE8" w:rsidRPr="00FA5624">
        <w:rPr>
          <w:rFonts w:ascii="Arial" w:hAnsi="Arial" w:cs="Arial"/>
          <w:sz w:val="20"/>
          <w:szCs w:val="20"/>
        </w:rPr>
        <w:t xml:space="preserve"> </w:t>
      </w:r>
      <w:r w:rsidR="00E56F63" w:rsidRPr="00FA5624">
        <w:rPr>
          <w:rFonts w:ascii="Arial" w:hAnsi="Arial" w:cs="Arial"/>
          <w:sz w:val="20"/>
          <w:szCs w:val="20"/>
        </w:rPr>
        <w:t xml:space="preserve">government </w:t>
      </w:r>
      <w:r w:rsidR="00300BE8" w:rsidRPr="00FA5624">
        <w:rPr>
          <w:rFonts w:ascii="Arial" w:hAnsi="Arial" w:cs="Arial"/>
          <w:sz w:val="20"/>
          <w:szCs w:val="20"/>
        </w:rPr>
        <w:t>commitment</w:t>
      </w:r>
      <w:r w:rsidR="00E56F63" w:rsidRPr="00FA5624">
        <w:rPr>
          <w:rFonts w:ascii="Arial" w:hAnsi="Arial" w:cs="Arial"/>
          <w:sz w:val="20"/>
          <w:szCs w:val="20"/>
        </w:rPr>
        <w:t xml:space="preserve"> positively influences performance</w:t>
      </w:r>
      <w:r w:rsidR="00300BE8" w:rsidRPr="00FA5624">
        <w:rPr>
          <w:rFonts w:ascii="Arial" w:hAnsi="Arial" w:cs="Arial"/>
          <w:sz w:val="20"/>
          <w:szCs w:val="20"/>
        </w:rPr>
        <w:t>s of</w:t>
      </w:r>
      <w:r w:rsidR="00E56F63" w:rsidRPr="00FA5624">
        <w:rPr>
          <w:rFonts w:ascii="Arial" w:hAnsi="Arial" w:cs="Arial"/>
          <w:sz w:val="20"/>
          <w:szCs w:val="20"/>
        </w:rPr>
        <w:t xml:space="preserve"> </w:t>
      </w:r>
      <w:r w:rsidR="00300BE8" w:rsidRPr="00FA5624">
        <w:rPr>
          <w:rFonts w:ascii="Arial" w:hAnsi="Arial" w:cs="Arial"/>
          <w:sz w:val="20"/>
          <w:szCs w:val="20"/>
        </w:rPr>
        <w:t>government</w:t>
      </w:r>
      <w:r w:rsidR="00E56F63" w:rsidRPr="00FA5624">
        <w:rPr>
          <w:rFonts w:ascii="Arial" w:hAnsi="Arial" w:cs="Arial"/>
          <w:sz w:val="20"/>
          <w:szCs w:val="20"/>
        </w:rPr>
        <w:t xml:space="preserve"> enterprises.</w:t>
      </w:r>
      <w:r w:rsidR="001C168D" w:rsidRPr="00FA5624">
        <w:rPr>
          <w:rFonts w:ascii="Arial" w:hAnsi="Arial" w:cs="Arial"/>
          <w:sz w:val="20"/>
          <w:szCs w:val="20"/>
        </w:rPr>
        <w:t xml:space="preserve"> </w:t>
      </w:r>
    </w:p>
    <w:p w14:paraId="05C9131E" w14:textId="77777777" w:rsidR="00B734B4" w:rsidRPr="00FA5624" w:rsidRDefault="00B734B4" w:rsidP="005E13CD">
      <w:pPr>
        <w:spacing w:after="0" w:line="240" w:lineRule="auto"/>
        <w:jc w:val="both"/>
        <w:rPr>
          <w:rFonts w:ascii="Arial" w:hAnsi="Arial" w:cs="Arial"/>
          <w:sz w:val="20"/>
          <w:szCs w:val="20"/>
        </w:rPr>
      </w:pPr>
    </w:p>
    <w:p w14:paraId="3D2F7F6D" w14:textId="3D2BBB75" w:rsidR="001C168D" w:rsidRPr="00FA5624" w:rsidRDefault="0050571C" w:rsidP="005E13CD">
      <w:pPr>
        <w:spacing w:after="0" w:line="240" w:lineRule="auto"/>
        <w:jc w:val="both"/>
        <w:rPr>
          <w:rFonts w:ascii="Arial" w:hAnsi="Arial" w:cs="Arial"/>
          <w:sz w:val="20"/>
          <w:szCs w:val="20"/>
        </w:rPr>
      </w:pPr>
      <w:r w:rsidRPr="0050571C">
        <w:rPr>
          <w:rFonts w:ascii="Arial" w:hAnsi="Arial" w:cs="Arial"/>
          <w:sz w:val="20"/>
          <w:szCs w:val="20"/>
        </w:rPr>
        <w:t xml:space="preserve">Chen et al. (2022) </w:t>
      </w:r>
      <w:r w:rsidR="005618AB" w:rsidRPr="00FA5624">
        <w:rPr>
          <w:rFonts w:ascii="Arial" w:hAnsi="Arial" w:cs="Arial"/>
          <w:sz w:val="20"/>
          <w:szCs w:val="20"/>
        </w:rPr>
        <w:t xml:space="preserve">examined effects of stock markets developments, </w:t>
      </w:r>
      <w:r w:rsidR="007122BD" w:rsidRPr="00FA5624">
        <w:rPr>
          <w:rFonts w:ascii="Arial" w:hAnsi="Arial" w:cs="Arial"/>
          <w:sz w:val="20"/>
          <w:szCs w:val="20"/>
        </w:rPr>
        <w:t>t</w:t>
      </w:r>
      <w:r w:rsidR="001C168D" w:rsidRPr="00FA5624">
        <w:rPr>
          <w:rFonts w:ascii="Arial" w:hAnsi="Arial" w:cs="Arial"/>
          <w:sz w:val="20"/>
          <w:szCs w:val="20"/>
        </w:rPr>
        <w:t xml:space="preserve">he findings show that board reforms significantly increase stock liquidity and </w:t>
      </w:r>
      <w:r w:rsidR="00263678" w:rsidRPr="00FA5624">
        <w:rPr>
          <w:rFonts w:ascii="Arial" w:hAnsi="Arial" w:cs="Arial"/>
          <w:sz w:val="20"/>
          <w:szCs w:val="20"/>
        </w:rPr>
        <w:t>lower</w:t>
      </w:r>
      <w:r w:rsidR="001C168D" w:rsidRPr="00FA5624">
        <w:rPr>
          <w:rFonts w:ascii="Arial" w:hAnsi="Arial" w:cs="Arial"/>
          <w:sz w:val="20"/>
          <w:szCs w:val="20"/>
        </w:rPr>
        <w:t xml:space="preserve"> trading frictions</w:t>
      </w:r>
      <w:r w:rsidR="00263678" w:rsidRPr="00FA5624">
        <w:rPr>
          <w:rFonts w:ascii="Arial" w:hAnsi="Arial" w:cs="Arial"/>
          <w:sz w:val="20"/>
          <w:szCs w:val="20"/>
        </w:rPr>
        <w:t>,</w:t>
      </w:r>
      <w:r w:rsidR="001C168D" w:rsidRPr="00FA5624">
        <w:rPr>
          <w:rFonts w:ascii="Arial" w:hAnsi="Arial" w:cs="Arial"/>
          <w:sz w:val="20"/>
          <w:szCs w:val="20"/>
        </w:rPr>
        <w:t xml:space="preserve"> indirectly supporting firm performance.</w:t>
      </w:r>
      <w:r w:rsidR="00B734B4" w:rsidRPr="00FA5624">
        <w:rPr>
          <w:rFonts w:ascii="Arial" w:hAnsi="Arial" w:cs="Arial"/>
          <w:sz w:val="20"/>
          <w:szCs w:val="20"/>
        </w:rPr>
        <w:t xml:space="preserve"> </w:t>
      </w:r>
      <w:r w:rsidR="001C168D" w:rsidRPr="00FA5624">
        <w:rPr>
          <w:rFonts w:ascii="Arial" w:hAnsi="Arial" w:cs="Arial"/>
          <w:sz w:val="20"/>
          <w:szCs w:val="20"/>
        </w:rPr>
        <w:t xml:space="preserve">Li et al. (2024) analyzed effects of </w:t>
      </w:r>
      <w:r w:rsidR="0057152B" w:rsidRPr="00FA5624">
        <w:rPr>
          <w:rFonts w:ascii="Arial" w:hAnsi="Arial" w:cs="Arial"/>
          <w:sz w:val="20"/>
          <w:szCs w:val="20"/>
        </w:rPr>
        <w:t>business</w:t>
      </w:r>
      <w:r w:rsidR="001C168D" w:rsidRPr="00FA5624">
        <w:rPr>
          <w:rFonts w:ascii="Arial" w:hAnsi="Arial" w:cs="Arial"/>
          <w:sz w:val="20"/>
          <w:szCs w:val="20"/>
        </w:rPr>
        <w:t xml:space="preserve"> regulation</w:t>
      </w:r>
      <w:r w:rsidR="0057152B" w:rsidRPr="00FA5624">
        <w:rPr>
          <w:rFonts w:ascii="Arial" w:hAnsi="Arial" w:cs="Arial"/>
          <w:sz w:val="20"/>
          <w:szCs w:val="20"/>
        </w:rPr>
        <w:t xml:space="preserve">s on </w:t>
      </w:r>
      <w:r w:rsidR="001C168D" w:rsidRPr="00FA5624">
        <w:rPr>
          <w:rFonts w:ascii="Arial" w:hAnsi="Arial" w:cs="Arial"/>
          <w:sz w:val="20"/>
          <w:szCs w:val="20"/>
        </w:rPr>
        <w:t xml:space="preserve">market </w:t>
      </w:r>
      <w:r w:rsidR="0057152B" w:rsidRPr="00FA5624">
        <w:rPr>
          <w:rFonts w:ascii="Arial" w:hAnsi="Arial" w:cs="Arial"/>
          <w:sz w:val="20"/>
          <w:szCs w:val="20"/>
        </w:rPr>
        <w:t>strength</w:t>
      </w:r>
      <w:r w:rsidR="001C168D" w:rsidRPr="00FA5624">
        <w:rPr>
          <w:rFonts w:ascii="Arial" w:hAnsi="Arial" w:cs="Arial"/>
          <w:sz w:val="20"/>
          <w:szCs w:val="20"/>
        </w:rPr>
        <w:t xml:space="preserve"> in China.</w:t>
      </w:r>
      <w:r w:rsidR="0057152B" w:rsidRPr="00FA5624">
        <w:rPr>
          <w:rFonts w:ascii="Arial" w:hAnsi="Arial" w:cs="Arial"/>
          <w:sz w:val="20"/>
          <w:szCs w:val="20"/>
        </w:rPr>
        <w:t xml:space="preserve"> F</w:t>
      </w:r>
      <w:r w:rsidR="001C168D" w:rsidRPr="00FA5624">
        <w:rPr>
          <w:rFonts w:ascii="Arial" w:hAnsi="Arial" w:cs="Arial"/>
          <w:sz w:val="20"/>
          <w:szCs w:val="20"/>
        </w:rPr>
        <w:t>indings</w:t>
      </w:r>
      <w:r w:rsidR="0057152B" w:rsidRPr="00FA5624">
        <w:rPr>
          <w:rFonts w:ascii="Arial" w:hAnsi="Arial" w:cs="Arial"/>
          <w:sz w:val="20"/>
          <w:szCs w:val="20"/>
        </w:rPr>
        <w:t xml:space="preserve"> </w:t>
      </w:r>
      <w:r w:rsidR="00263678" w:rsidRPr="00FA5624">
        <w:rPr>
          <w:rFonts w:ascii="Arial" w:hAnsi="Arial" w:cs="Arial"/>
          <w:sz w:val="20"/>
          <w:szCs w:val="20"/>
        </w:rPr>
        <w:t>show</w:t>
      </w:r>
      <w:r w:rsidR="001C168D" w:rsidRPr="00FA5624">
        <w:rPr>
          <w:rFonts w:ascii="Arial" w:hAnsi="Arial" w:cs="Arial"/>
          <w:sz w:val="20"/>
          <w:szCs w:val="20"/>
        </w:rPr>
        <w:t xml:space="preserve"> that new asset management regulations reduce stock-price crash risk, with channels through performance and conser</w:t>
      </w:r>
      <w:r w:rsidR="0075160A" w:rsidRPr="00FA5624">
        <w:rPr>
          <w:rFonts w:ascii="Arial" w:hAnsi="Arial" w:cs="Arial"/>
          <w:sz w:val="20"/>
          <w:szCs w:val="20"/>
        </w:rPr>
        <w:t>vatism</w:t>
      </w:r>
      <w:r w:rsidR="001C168D" w:rsidRPr="00FA5624">
        <w:rPr>
          <w:rFonts w:ascii="Arial" w:hAnsi="Arial" w:cs="Arial"/>
          <w:sz w:val="20"/>
          <w:szCs w:val="20"/>
        </w:rPr>
        <w:t xml:space="preserve">. </w:t>
      </w:r>
      <w:r w:rsidR="00CE7BAE" w:rsidRPr="00CE7BAE">
        <w:rPr>
          <w:rFonts w:ascii="Arial" w:hAnsi="Arial" w:cs="Arial"/>
          <w:sz w:val="20"/>
          <w:szCs w:val="20"/>
        </w:rPr>
        <w:t>Huang</w:t>
      </w:r>
      <w:r w:rsidR="00CE7BAE">
        <w:rPr>
          <w:rFonts w:ascii="Arial" w:hAnsi="Arial" w:cs="Arial"/>
          <w:sz w:val="20"/>
          <w:szCs w:val="20"/>
        </w:rPr>
        <w:t xml:space="preserve"> and </w:t>
      </w:r>
      <w:r w:rsidR="00CE7BAE" w:rsidRPr="00CE7BAE">
        <w:rPr>
          <w:rFonts w:ascii="Arial" w:hAnsi="Arial" w:cs="Arial"/>
          <w:sz w:val="20"/>
          <w:szCs w:val="20"/>
        </w:rPr>
        <w:t xml:space="preserve">Sugianto (2024) </w:t>
      </w:r>
      <w:r w:rsidR="001C168D" w:rsidRPr="00FA5624">
        <w:rPr>
          <w:rFonts w:ascii="Arial" w:hAnsi="Arial" w:cs="Arial"/>
          <w:sz w:val="20"/>
          <w:szCs w:val="20"/>
        </w:rPr>
        <w:t xml:space="preserve">examined effects of financial </w:t>
      </w:r>
      <w:r w:rsidR="00263678" w:rsidRPr="00FA5624">
        <w:rPr>
          <w:rFonts w:ascii="Arial" w:hAnsi="Arial" w:cs="Arial"/>
          <w:sz w:val="20"/>
          <w:szCs w:val="20"/>
        </w:rPr>
        <w:t xml:space="preserve">regulatory </w:t>
      </w:r>
      <w:r w:rsidR="008C604B" w:rsidRPr="00FA5624">
        <w:rPr>
          <w:rFonts w:ascii="Arial" w:hAnsi="Arial" w:cs="Arial"/>
          <w:sz w:val="20"/>
          <w:szCs w:val="20"/>
        </w:rPr>
        <w:t>procedures</w:t>
      </w:r>
      <w:r w:rsidR="00263678" w:rsidRPr="00FA5624">
        <w:rPr>
          <w:rFonts w:ascii="Arial" w:hAnsi="Arial" w:cs="Arial"/>
          <w:sz w:val="20"/>
          <w:szCs w:val="20"/>
        </w:rPr>
        <w:t xml:space="preserve"> uncertainty</w:t>
      </w:r>
      <w:r w:rsidR="001C168D" w:rsidRPr="00FA5624">
        <w:rPr>
          <w:rFonts w:ascii="Arial" w:hAnsi="Arial" w:cs="Arial"/>
          <w:sz w:val="20"/>
          <w:szCs w:val="20"/>
        </w:rPr>
        <w:t xml:space="preserve"> and </w:t>
      </w:r>
      <w:r w:rsidR="00263678" w:rsidRPr="00FA5624">
        <w:rPr>
          <w:rFonts w:ascii="Arial" w:hAnsi="Arial" w:cs="Arial"/>
          <w:sz w:val="20"/>
          <w:szCs w:val="20"/>
        </w:rPr>
        <w:t>industry</w:t>
      </w:r>
      <w:r w:rsidR="008C604B" w:rsidRPr="00FA5624">
        <w:rPr>
          <w:rFonts w:ascii="Arial" w:hAnsi="Arial" w:cs="Arial"/>
          <w:sz w:val="20"/>
          <w:szCs w:val="20"/>
        </w:rPr>
        <w:t xml:space="preserve"> share earnings</w:t>
      </w:r>
      <w:r w:rsidR="001C168D" w:rsidRPr="00FA5624">
        <w:rPr>
          <w:rFonts w:ascii="Arial" w:hAnsi="Arial" w:cs="Arial"/>
          <w:sz w:val="20"/>
          <w:szCs w:val="20"/>
        </w:rPr>
        <w:t xml:space="preserve"> in </w:t>
      </w:r>
      <w:r w:rsidR="00263678" w:rsidRPr="00FA5624">
        <w:rPr>
          <w:rFonts w:ascii="Arial" w:hAnsi="Arial" w:cs="Arial"/>
          <w:sz w:val="20"/>
          <w:szCs w:val="20"/>
        </w:rPr>
        <w:t>USA.</w:t>
      </w:r>
      <w:r w:rsidR="001C168D" w:rsidRPr="00FA5624">
        <w:rPr>
          <w:rFonts w:ascii="Arial" w:hAnsi="Arial" w:cs="Arial"/>
          <w:sz w:val="20"/>
          <w:szCs w:val="20"/>
        </w:rPr>
        <w:t xml:space="preserve"> The findings revealed that regulatory uncertainty predicts financial stock returns, implying a channel to firm financing costs and performance. However, return predictability is not the same as operating performance in Tanzania. </w:t>
      </w:r>
      <w:r w:rsidR="00977627" w:rsidRPr="00AE105C">
        <w:rPr>
          <w:rFonts w:ascii="Arial" w:hAnsi="Arial" w:cs="Arial"/>
          <w:sz w:val="20"/>
          <w:szCs w:val="20"/>
        </w:rPr>
        <w:t>Yahaya (2025)</w:t>
      </w:r>
      <w:r w:rsidR="00977627" w:rsidRPr="00FA5624">
        <w:rPr>
          <w:rFonts w:ascii="Arial" w:hAnsi="Arial" w:cs="Arial"/>
          <w:sz w:val="20"/>
          <w:szCs w:val="20"/>
        </w:rPr>
        <w:t xml:space="preserve"> </w:t>
      </w:r>
      <w:r w:rsidR="001C168D" w:rsidRPr="00FA5624">
        <w:rPr>
          <w:rFonts w:ascii="Arial" w:hAnsi="Arial" w:cs="Arial"/>
          <w:sz w:val="20"/>
          <w:szCs w:val="20"/>
        </w:rPr>
        <w:t>examined how corporate gov</w:t>
      </w:r>
      <w:r w:rsidR="0075160A" w:rsidRPr="00FA5624">
        <w:rPr>
          <w:rFonts w:ascii="Arial" w:hAnsi="Arial" w:cs="Arial"/>
          <w:sz w:val="20"/>
          <w:szCs w:val="20"/>
        </w:rPr>
        <w:t xml:space="preserve">ernance codes matter in Africa. </w:t>
      </w:r>
      <w:r w:rsidR="001C168D" w:rsidRPr="00FA5624">
        <w:rPr>
          <w:rFonts w:ascii="Arial" w:hAnsi="Arial" w:cs="Arial"/>
          <w:sz w:val="20"/>
          <w:szCs w:val="20"/>
        </w:rPr>
        <w:t>The findings revealed that uptake and enforcement of corporate governance codes are uneven; effectiveness for performance is limited without credible enforcement.</w:t>
      </w:r>
      <w:r w:rsidR="00712F89">
        <w:rPr>
          <w:rFonts w:ascii="Arial" w:hAnsi="Arial" w:cs="Arial"/>
          <w:sz w:val="20"/>
          <w:szCs w:val="20"/>
        </w:rPr>
        <w:t xml:space="preserve"> </w:t>
      </w:r>
      <w:r w:rsidR="00712F89" w:rsidRPr="00712F89">
        <w:rPr>
          <w:rFonts w:ascii="Arial" w:hAnsi="Arial" w:cs="Arial"/>
          <w:sz w:val="20"/>
          <w:szCs w:val="20"/>
        </w:rPr>
        <w:t>Tong et al. (2025) on the study of digital transformation, carbon performance and financial performance in Chinese stock market found positive relationship between corporate carbon performance and financial performance.</w:t>
      </w:r>
    </w:p>
    <w:p w14:paraId="509D9DDB" w14:textId="77777777" w:rsidR="00E54BA9" w:rsidRPr="006E5FF9" w:rsidRDefault="00E54BA9" w:rsidP="005E13CD">
      <w:pPr>
        <w:spacing w:after="0" w:line="240" w:lineRule="auto"/>
        <w:jc w:val="both"/>
        <w:rPr>
          <w:rFonts w:ascii="Arial" w:hAnsi="Arial" w:cs="Arial"/>
          <w:sz w:val="24"/>
          <w:szCs w:val="24"/>
        </w:rPr>
      </w:pPr>
    </w:p>
    <w:p w14:paraId="70148970" w14:textId="0CE14938" w:rsidR="00106491" w:rsidRPr="006E5FF9" w:rsidRDefault="00E54BA9" w:rsidP="00D90EE3">
      <w:pPr>
        <w:spacing w:after="0" w:line="240" w:lineRule="auto"/>
        <w:jc w:val="both"/>
        <w:rPr>
          <w:rFonts w:ascii="Arial" w:hAnsi="Arial" w:cs="Arial"/>
          <w:b/>
        </w:rPr>
      </w:pPr>
      <w:r w:rsidRPr="006E5FF9">
        <w:rPr>
          <w:rFonts w:ascii="Arial" w:hAnsi="Arial" w:cs="Arial"/>
          <w:b/>
        </w:rPr>
        <w:t xml:space="preserve">3. </w:t>
      </w:r>
      <w:bookmarkStart w:id="0" w:name="_Toc208584797"/>
      <w:r w:rsidRPr="006E5FF9">
        <w:rPr>
          <w:rFonts w:ascii="Arial" w:hAnsi="Arial" w:cs="Arial"/>
          <w:b/>
        </w:rPr>
        <w:t>Research Methodology</w:t>
      </w:r>
      <w:bookmarkEnd w:id="0"/>
    </w:p>
    <w:p w14:paraId="77AB1BC7" w14:textId="2BE8188B" w:rsidR="00D86989" w:rsidRPr="004C062E" w:rsidRDefault="00D86989" w:rsidP="00D90EE3">
      <w:pPr>
        <w:spacing w:after="0" w:line="240" w:lineRule="auto"/>
        <w:rPr>
          <w:rFonts w:ascii="Arial" w:hAnsi="Arial" w:cs="Arial"/>
          <w:b/>
          <w:sz w:val="20"/>
          <w:szCs w:val="20"/>
        </w:rPr>
      </w:pPr>
      <w:bookmarkStart w:id="1" w:name="_Toc208584804"/>
      <w:r w:rsidRPr="004C062E">
        <w:rPr>
          <w:rFonts w:ascii="Arial" w:hAnsi="Arial" w:cs="Arial"/>
          <w:b/>
          <w:sz w:val="20"/>
          <w:szCs w:val="20"/>
        </w:rPr>
        <w:t>3.</w:t>
      </w:r>
      <w:r w:rsidR="00C16DCD" w:rsidRPr="004C062E">
        <w:rPr>
          <w:rFonts w:ascii="Arial" w:hAnsi="Arial" w:cs="Arial"/>
          <w:b/>
          <w:sz w:val="20"/>
          <w:szCs w:val="20"/>
        </w:rPr>
        <w:t>1</w:t>
      </w:r>
      <w:r w:rsidRPr="004C062E">
        <w:rPr>
          <w:rFonts w:ascii="Arial" w:hAnsi="Arial" w:cs="Arial"/>
          <w:b/>
          <w:sz w:val="20"/>
          <w:szCs w:val="20"/>
        </w:rPr>
        <w:t xml:space="preserve"> </w:t>
      </w:r>
      <w:bookmarkEnd w:id="1"/>
      <w:r w:rsidR="00E54BA9" w:rsidRPr="004C062E">
        <w:rPr>
          <w:rFonts w:ascii="Arial" w:hAnsi="Arial" w:cs="Arial"/>
          <w:b/>
          <w:sz w:val="20"/>
          <w:szCs w:val="20"/>
        </w:rPr>
        <w:t>Participant of the Study</w:t>
      </w:r>
    </w:p>
    <w:p w14:paraId="1D23E600" w14:textId="2FD91DA1" w:rsidR="004B7284" w:rsidRDefault="00D86989" w:rsidP="00635198">
      <w:pPr>
        <w:spacing w:after="0" w:line="240" w:lineRule="auto"/>
        <w:jc w:val="both"/>
        <w:rPr>
          <w:rFonts w:ascii="Arial" w:hAnsi="Arial" w:cs="Arial"/>
          <w:sz w:val="20"/>
          <w:szCs w:val="20"/>
        </w:rPr>
      </w:pPr>
      <w:r w:rsidRPr="004C062E">
        <w:rPr>
          <w:rFonts w:ascii="Arial" w:hAnsi="Arial" w:cs="Arial"/>
          <w:sz w:val="20"/>
          <w:szCs w:val="20"/>
        </w:rPr>
        <w:t>T</w:t>
      </w:r>
      <w:r w:rsidR="00E56F63" w:rsidRPr="004C062E">
        <w:rPr>
          <w:rFonts w:ascii="Arial" w:hAnsi="Arial" w:cs="Arial"/>
          <w:sz w:val="20"/>
          <w:szCs w:val="20"/>
        </w:rPr>
        <w:t>he</w:t>
      </w:r>
      <w:r w:rsidRPr="004C062E">
        <w:rPr>
          <w:rFonts w:ascii="Arial" w:hAnsi="Arial" w:cs="Arial"/>
          <w:sz w:val="20"/>
          <w:szCs w:val="20"/>
        </w:rPr>
        <w:t xml:space="preserve"> </w:t>
      </w:r>
      <w:r w:rsidR="00D90EE3" w:rsidRPr="004C062E">
        <w:rPr>
          <w:rFonts w:ascii="Arial" w:hAnsi="Arial" w:cs="Arial"/>
          <w:sz w:val="20"/>
          <w:szCs w:val="20"/>
        </w:rPr>
        <w:t>participant of the study involved 140</w:t>
      </w:r>
      <w:r w:rsidR="006672EF" w:rsidRPr="004C062E">
        <w:rPr>
          <w:rFonts w:ascii="Arial" w:hAnsi="Arial" w:cs="Arial"/>
          <w:sz w:val="20"/>
          <w:szCs w:val="20"/>
        </w:rPr>
        <w:t xml:space="preserve"> observation</w:t>
      </w:r>
      <w:r w:rsidR="00D265AA" w:rsidRPr="004C062E">
        <w:rPr>
          <w:rFonts w:ascii="Arial" w:hAnsi="Arial" w:cs="Arial"/>
          <w:sz w:val="20"/>
          <w:szCs w:val="20"/>
        </w:rPr>
        <w:t xml:space="preserve">s </w:t>
      </w:r>
      <w:r w:rsidR="006672EF" w:rsidRPr="004C062E">
        <w:rPr>
          <w:rFonts w:ascii="Arial" w:hAnsi="Arial" w:cs="Arial"/>
          <w:sz w:val="20"/>
          <w:szCs w:val="20"/>
        </w:rPr>
        <w:t xml:space="preserve">from firm-years of 28 listed firms in </w:t>
      </w:r>
      <w:r w:rsidR="00CB38D2" w:rsidRPr="004C062E">
        <w:rPr>
          <w:rFonts w:ascii="Arial" w:hAnsi="Arial" w:cs="Arial"/>
          <w:sz w:val="20"/>
          <w:szCs w:val="20"/>
        </w:rPr>
        <w:t>the arrangement</w:t>
      </w:r>
      <w:r w:rsidR="006672EF" w:rsidRPr="004C062E">
        <w:rPr>
          <w:rFonts w:ascii="Arial" w:hAnsi="Arial" w:cs="Arial"/>
          <w:sz w:val="20"/>
          <w:szCs w:val="20"/>
        </w:rPr>
        <w:t xml:space="preserve"> of the panel for period </w:t>
      </w:r>
      <w:r w:rsidRPr="004C062E">
        <w:rPr>
          <w:rFonts w:ascii="Arial" w:hAnsi="Arial" w:cs="Arial"/>
          <w:sz w:val="20"/>
          <w:szCs w:val="20"/>
        </w:rPr>
        <w:t xml:space="preserve">in </w:t>
      </w:r>
      <w:r w:rsidR="00D90EE3" w:rsidRPr="004C062E">
        <w:rPr>
          <w:rFonts w:ascii="Arial" w:hAnsi="Arial" w:cs="Arial"/>
          <w:sz w:val="20"/>
          <w:szCs w:val="20"/>
        </w:rPr>
        <w:t>5</w:t>
      </w:r>
      <w:r w:rsidRPr="004C062E">
        <w:rPr>
          <w:rFonts w:ascii="Arial" w:hAnsi="Arial" w:cs="Arial"/>
          <w:sz w:val="20"/>
          <w:szCs w:val="20"/>
        </w:rPr>
        <w:t xml:space="preserve"> year’s starting </w:t>
      </w:r>
      <w:r w:rsidR="006672EF" w:rsidRPr="004C062E">
        <w:rPr>
          <w:rFonts w:ascii="Arial" w:hAnsi="Arial" w:cs="Arial"/>
          <w:sz w:val="20"/>
          <w:szCs w:val="20"/>
        </w:rPr>
        <w:t>20</w:t>
      </w:r>
      <w:r w:rsidR="00D90EE3" w:rsidRPr="004C062E">
        <w:rPr>
          <w:rFonts w:ascii="Arial" w:hAnsi="Arial" w:cs="Arial"/>
          <w:sz w:val="20"/>
          <w:szCs w:val="20"/>
        </w:rPr>
        <w:t>20</w:t>
      </w:r>
      <w:r w:rsidR="006672EF" w:rsidRPr="004C062E">
        <w:rPr>
          <w:rFonts w:ascii="Arial" w:hAnsi="Arial" w:cs="Arial"/>
          <w:sz w:val="20"/>
          <w:szCs w:val="20"/>
        </w:rPr>
        <w:t xml:space="preserve"> </w:t>
      </w:r>
      <w:r w:rsidRPr="004C062E">
        <w:rPr>
          <w:rFonts w:ascii="Arial" w:hAnsi="Arial" w:cs="Arial"/>
          <w:sz w:val="20"/>
          <w:szCs w:val="20"/>
        </w:rPr>
        <w:t xml:space="preserve">ending </w:t>
      </w:r>
      <w:r w:rsidR="006672EF" w:rsidRPr="004C062E">
        <w:rPr>
          <w:rFonts w:ascii="Arial" w:hAnsi="Arial" w:cs="Arial"/>
          <w:sz w:val="20"/>
          <w:szCs w:val="20"/>
        </w:rPr>
        <w:t>202</w:t>
      </w:r>
      <w:r w:rsidR="007176A5" w:rsidRPr="004C062E">
        <w:rPr>
          <w:rFonts w:ascii="Arial" w:hAnsi="Arial" w:cs="Arial"/>
          <w:sz w:val="20"/>
          <w:szCs w:val="20"/>
        </w:rPr>
        <w:t>4</w:t>
      </w:r>
      <w:r w:rsidRPr="004C062E">
        <w:rPr>
          <w:rFonts w:ascii="Arial" w:hAnsi="Arial" w:cs="Arial"/>
          <w:sz w:val="20"/>
          <w:szCs w:val="20"/>
        </w:rPr>
        <w:t xml:space="preserve">. </w:t>
      </w:r>
      <w:r w:rsidR="004B534B" w:rsidRPr="004C062E">
        <w:rPr>
          <w:rFonts w:ascii="Arial" w:hAnsi="Arial" w:cs="Arial"/>
          <w:sz w:val="20"/>
          <w:szCs w:val="20"/>
        </w:rPr>
        <w:t>S</w:t>
      </w:r>
      <w:r w:rsidR="0013558B" w:rsidRPr="004C062E">
        <w:rPr>
          <w:rFonts w:ascii="Arial" w:hAnsi="Arial" w:cs="Arial"/>
          <w:sz w:val="20"/>
          <w:szCs w:val="20"/>
        </w:rPr>
        <w:t>tudy</w:t>
      </w:r>
      <w:r w:rsidR="004B534B" w:rsidRPr="004C062E">
        <w:rPr>
          <w:rFonts w:ascii="Arial" w:hAnsi="Arial" w:cs="Arial"/>
          <w:sz w:val="20"/>
          <w:szCs w:val="20"/>
        </w:rPr>
        <w:t xml:space="preserve"> </w:t>
      </w:r>
      <w:r w:rsidR="0013558B" w:rsidRPr="004C062E">
        <w:rPr>
          <w:rFonts w:ascii="Arial" w:hAnsi="Arial" w:cs="Arial"/>
          <w:sz w:val="20"/>
          <w:szCs w:val="20"/>
        </w:rPr>
        <w:t>used secondary data</w:t>
      </w:r>
      <w:r w:rsidR="00C16DCD" w:rsidRPr="004C062E">
        <w:rPr>
          <w:rFonts w:ascii="Arial" w:hAnsi="Arial" w:cs="Arial"/>
          <w:sz w:val="20"/>
          <w:szCs w:val="20"/>
        </w:rPr>
        <w:t xml:space="preserve"> from DSE website</w:t>
      </w:r>
      <w:r w:rsidR="004B2892" w:rsidRPr="004C062E">
        <w:rPr>
          <w:rFonts w:ascii="Arial" w:hAnsi="Arial" w:cs="Arial"/>
          <w:sz w:val="20"/>
          <w:szCs w:val="20"/>
        </w:rPr>
        <w:t>. R</w:t>
      </w:r>
      <w:r w:rsidR="00E56F63" w:rsidRPr="004C062E">
        <w:rPr>
          <w:rFonts w:ascii="Arial" w:hAnsi="Arial" w:cs="Arial"/>
          <w:sz w:val="20"/>
          <w:szCs w:val="20"/>
        </w:rPr>
        <w:t>eason</w:t>
      </w:r>
      <w:r w:rsidR="004B2892" w:rsidRPr="004C062E">
        <w:rPr>
          <w:rFonts w:ascii="Arial" w:hAnsi="Arial" w:cs="Arial"/>
          <w:sz w:val="20"/>
          <w:szCs w:val="20"/>
        </w:rPr>
        <w:t xml:space="preserve"> </w:t>
      </w:r>
      <w:r w:rsidR="00CB38D2" w:rsidRPr="004C062E">
        <w:rPr>
          <w:rFonts w:ascii="Arial" w:hAnsi="Arial" w:cs="Arial"/>
          <w:sz w:val="20"/>
          <w:szCs w:val="20"/>
        </w:rPr>
        <w:t>for</w:t>
      </w:r>
      <w:r w:rsidR="00E56F63" w:rsidRPr="004C062E">
        <w:rPr>
          <w:rFonts w:ascii="Arial" w:hAnsi="Arial" w:cs="Arial"/>
          <w:sz w:val="20"/>
          <w:szCs w:val="20"/>
        </w:rPr>
        <w:t xml:space="preserve"> choosing</w:t>
      </w:r>
      <w:r w:rsidR="004B2892" w:rsidRPr="004C062E">
        <w:rPr>
          <w:rFonts w:ascii="Arial" w:hAnsi="Arial" w:cs="Arial"/>
          <w:sz w:val="20"/>
          <w:szCs w:val="20"/>
        </w:rPr>
        <w:t xml:space="preserve"> this</w:t>
      </w:r>
      <w:r w:rsidR="00E56F63" w:rsidRPr="004C062E">
        <w:rPr>
          <w:rFonts w:ascii="Arial" w:hAnsi="Arial" w:cs="Arial"/>
          <w:sz w:val="20"/>
          <w:szCs w:val="20"/>
        </w:rPr>
        <w:t xml:space="preserve"> da</w:t>
      </w:r>
      <w:r w:rsidR="004B2892" w:rsidRPr="004C062E">
        <w:rPr>
          <w:rFonts w:ascii="Arial" w:hAnsi="Arial" w:cs="Arial"/>
          <w:sz w:val="20"/>
          <w:szCs w:val="20"/>
        </w:rPr>
        <w:t xml:space="preserve">ta in the form of </w:t>
      </w:r>
      <w:r w:rsidR="00E56F63" w:rsidRPr="004C062E">
        <w:rPr>
          <w:rFonts w:ascii="Arial" w:hAnsi="Arial" w:cs="Arial"/>
          <w:sz w:val="20"/>
          <w:szCs w:val="20"/>
        </w:rPr>
        <w:t xml:space="preserve">panel is due to the </w:t>
      </w:r>
      <w:r w:rsidR="00CB38D2" w:rsidRPr="004C062E">
        <w:rPr>
          <w:rFonts w:ascii="Arial" w:hAnsi="Arial" w:cs="Arial"/>
          <w:sz w:val="20"/>
          <w:szCs w:val="20"/>
        </w:rPr>
        <w:t>significance</w:t>
      </w:r>
      <w:r w:rsidR="00E56F63" w:rsidRPr="004C062E">
        <w:rPr>
          <w:rFonts w:ascii="Arial" w:hAnsi="Arial" w:cs="Arial"/>
          <w:sz w:val="20"/>
          <w:szCs w:val="20"/>
        </w:rPr>
        <w:t xml:space="preserve"> of having enough sampl</w:t>
      </w:r>
      <w:r w:rsidR="0046252C" w:rsidRPr="004C062E">
        <w:rPr>
          <w:rFonts w:ascii="Arial" w:hAnsi="Arial" w:cs="Arial"/>
          <w:sz w:val="20"/>
          <w:szCs w:val="20"/>
        </w:rPr>
        <w:t xml:space="preserve">ing size (Wooldridge, 2023). </w:t>
      </w:r>
      <w:r w:rsidR="00E439C4" w:rsidRPr="004C062E">
        <w:rPr>
          <w:rFonts w:ascii="Arial" w:hAnsi="Arial" w:cs="Arial"/>
          <w:sz w:val="20"/>
          <w:szCs w:val="20"/>
        </w:rPr>
        <w:t>S</w:t>
      </w:r>
      <w:r w:rsidR="00E56F63" w:rsidRPr="004C062E">
        <w:rPr>
          <w:rFonts w:ascii="Arial" w:hAnsi="Arial" w:cs="Arial"/>
          <w:sz w:val="20"/>
          <w:szCs w:val="20"/>
        </w:rPr>
        <w:t>tudy</w:t>
      </w:r>
      <w:r w:rsidR="00E439C4" w:rsidRPr="004C062E">
        <w:rPr>
          <w:rFonts w:ascii="Arial" w:hAnsi="Arial" w:cs="Arial"/>
          <w:sz w:val="20"/>
          <w:szCs w:val="20"/>
        </w:rPr>
        <w:t xml:space="preserve"> </w:t>
      </w:r>
      <w:r w:rsidR="00E56F63" w:rsidRPr="004C062E">
        <w:rPr>
          <w:rFonts w:ascii="Arial" w:hAnsi="Arial" w:cs="Arial"/>
          <w:sz w:val="20"/>
          <w:szCs w:val="20"/>
        </w:rPr>
        <w:t xml:space="preserve">employed an econometric method capable of estimating a model using panel data. </w:t>
      </w:r>
      <w:r w:rsidR="00CB38D2" w:rsidRPr="004C062E">
        <w:rPr>
          <w:rFonts w:ascii="Arial" w:hAnsi="Arial" w:cs="Arial"/>
          <w:sz w:val="20"/>
          <w:szCs w:val="20"/>
        </w:rPr>
        <w:t>Empirical</w:t>
      </w:r>
      <w:r w:rsidR="00E56F63" w:rsidRPr="004C062E">
        <w:rPr>
          <w:rFonts w:ascii="Arial" w:hAnsi="Arial" w:cs="Arial"/>
          <w:sz w:val="20"/>
          <w:szCs w:val="20"/>
        </w:rPr>
        <w:t xml:space="preserve"> econometric </w:t>
      </w:r>
      <w:r w:rsidR="00CB38D2" w:rsidRPr="004C062E">
        <w:rPr>
          <w:rFonts w:ascii="Arial" w:hAnsi="Arial" w:cs="Arial"/>
          <w:sz w:val="20"/>
          <w:szCs w:val="20"/>
        </w:rPr>
        <w:t>models</w:t>
      </w:r>
      <w:r w:rsidR="00E56F63" w:rsidRPr="004C062E">
        <w:rPr>
          <w:rFonts w:ascii="Arial" w:hAnsi="Arial" w:cs="Arial"/>
          <w:sz w:val="20"/>
          <w:szCs w:val="20"/>
        </w:rPr>
        <w:t xml:space="preserve"> known as</w:t>
      </w:r>
      <w:r w:rsidR="0007208B" w:rsidRPr="004C062E">
        <w:rPr>
          <w:rFonts w:ascii="Arial" w:hAnsi="Arial" w:cs="Arial"/>
          <w:sz w:val="20"/>
          <w:szCs w:val="20"/>
        </w:rPr>
        <w:t xml:space="preserve"> random effect and fixed effect were employed</w:t>
      </w:r>
      <w:r w:rsidR="00E56F63" w:rsidRPr="004C062E">
        <w:rPr>
          <w:rFonts w:ascii="Arial" w:hAnsi="Arial" w:cs="Arial"/>
          <w:sz w:val="20"/>
          <w:szCs w:val="20"/>
        </w:rPr>
        <w:t>.</w:t>
      </w:r>
      <w:r w:rsidR="00C54761" w:rsidRPr="004C062E">
        <w:rPr>
          <w:rFonts w:ascii="Arial" w:hAnsi="Arial" w:cs="Arial"/>
          <w:sz w:val="20"/>
          <w:szCs w:val="20"/>
        </w:rPr>
        <w:t xml:space="preserve"> Quantitative data from the Eview 10 were analyzed through common approaches used to infer the results, which is probability value. According to Imbens (2021), p-value is most useful for studies that involve more than two independent variables.</w:t>
      </w:r>
      <w:r w:rsidR="004B7284">
        <w:rPr>
          <w:rFonts w:ascii="Arial" w:hAnsi="Arial" w:cs="Arial"/>
          <w:sz w:val="20"/>
          <w:szCs w:val="20"/>
        </w:rPr>
        <w:t xml:space="preserve"> </w:t>
      </w:r>
      <w:r w:rsidR="004B7284" w:rsidRPr="004B7284">
        <w:rPr>
          <w:rFonts w:ascii="Arial" w:hAnsi="Arial" w:cs="Arial"/>
          <w:sz w:val="20"/>
          <w:szCs w:val="20"/>
        </w:rPr>
        <w:t xml:space="preserve">The </w:t>
      </w:r>
      <w:r w:rsidR="004B7284">
        <w:rPr>
          <w:rFonts w:ascii="Arial" w:hAnsi="Arial" w:cs="Arial"/>
          <w:sz w:val="20"/>
          <w:szCs w:val="20"/>
        </w:rPr>
        <w:t xml:space="preserve">independent </w:t>
      </w:r>
      <w:r w:rsidR="004B7284" w:rsidRPr="004B7284">
        <w:rPr>
          <w:rFonts w:ascii="Arial" w:hAnsi="Arial" w:cs="Arial"/>
          <w:sz w:val="20"/>
          <w:szCs w:val="20"/>
        </w:rPr>
        <w:t>variable</w:t>
      </w:r>
      <w:r w:rsidR="004B7284">
        <w:rPr>
          <w:rFonts w:ascii="Arial" w:hAnsi="Arial" w:cs="Arial"/>
          <w:sz w:val="20"/>
          <w:szCs w:val="20"/>
        </w:rPr>
        <w:t>s</w:t>
      </w:r>
      <w:r w:rsidR="004B7284" w:rsidRPr="004B7284">
        <w:rPr>
          <w:rFonts w:ascii="Arial" w:hAnsi="Arial" w:cs="Arial"/>
          <w:sz w:val="20"/>
          <w:szCs w:val="20"/>
        </w:rPr>
        <w:t xml:space="preserve"> of </w:t>
      </w:r>
      <w:r w:rsidR="004B7284">
        <w:rPr>
          <w:rFonts w:ascii="Arial" w:hAnsi="Arial" w:cs="Arial"/>
          <w:sz w:val="20"/>
          <w:szCs w:val="20"/>
        </w:rPr>
        <w:t>the study are stock market development (SMD) and regulatory framework (RF) while return on equity (ROE) was dependent variable.</w:t>
      </w:r>
      <w:r w:rsidR="004B7284" w:rsidRPr="004B7284">
        <w:t xml:space="preserve"> </w:t>
      </w:r>
      <w:r w:rsidR="004B7284">
        <w:rPr>
          <w:rFonts w:ascii="Arial" w:hAnsi="Arial" w:cs="Arial"/>
          <w:sz w:val="20"/>
          <w:szCs w:val="20"/>
        </w:rPr>
        <w:t>SMD was measured by market capitalization</w:t>
      </w:r>
      <w:r w:rsidR="004B7284" w:rsidRPr="004B7284">
        <w:t xml:space="preserve"> </w:t>
      </w:r>
      <w:r w:rsidR="004B7284">
        <w:t>in T</w:t>
      </w:r>
      <w:r w:rsidR="004B7284" w:rsidRPr="004B7284">
        <w:rPr>
          <w:rFonts w:ascii="Arial" w:hAnsi="Arial" w:cs="Arial"/>
          <w:sz w:val="20"/>
          <w:szCs w:val="20"/>
        </w:rPr>
        <w:t>anzania Shillings</w:t>
      </w:r>
      <w:r w:rsidR="004B7284">
        <w:rPr>
          <w:rFonts w:ascii="Arial" w:hAnsi="Arial" w:cs="Arial"/>
          <w:sz w:val="20"/>
          <w:szCs w:val="20"/>
        </w:rPr>
        <w:t xml:space="preserve">, RF was </w:t>
      </w:r>
      <w:r w:rsidR="004B7284">
        <w:rPr>
          <w:rFonts w:ascii="Arial" w:hAnsi="Arial" w:cs="Arial"/>
          <w:sz w:val="20"/>
          <w:szCs w:val="20"/>
        </w:rPr>
        <w:lastRenderedPageBreak/>
        <w:t>measured regulated f</w:t>
      </w:r>
      <w:r w:rsidR="004B7284" w:rsidRPr="004B7284">
        <w:rPr>
          <w:rFonts w:ascii="Arial" w:hAnsi="Arial" w:cs="Arial"/>
          <w:sz w:val="20"/>
          <w:szCs w:val="20"/>
        </w:rPr>
        <w:t>ees, fine and penalties in Tanzania Shillings</w:t>
      </w:r>
      <w:r w:rsidR="004B7284">
        <w:rPr>
          <w:rFonts w:ascii="Arial" w:hAnsi="Arial" w:cs="Arial"/>
          <w:sz w:val="20"/>
          <w:szCs w:val="20"/>
        </w:rPr>
        <w:t xml:space="preserve"> </w:t>
      </w:r>
      <w:r w:rsidR="004B7284" w:rsidRPr="004B7284">
        <w:rPr>
          <w:rFonts w:ascii="Arial" w:hAnsi="Arial" w:cs="Arial"/>
          <w:sz w:val="20"/>
          <w:szCs w:val="20"/>
        </w:rPr>
        <w:t xml:space="preserve">and </w:t>
      </w:r>
      <w:r w:rsidR="004B7284">
        <w:rPr>
          <w:rFonts w:ascii="Arial" w:hAnsi="Arial" w:cs="Arial"/>
          <w:sz w:val="20"/>
          <w:szCs w:val="20"/>
        </w:rPr>
        <w:t>ROE</w:t>
      </w:r>
      <w:r w:rsidR="004B7284" w:rsidRPr="004B7284">
        <w:rPr>
          <w:rFonts w:ascii="Arial" w:hAnsi="Arial" w:cs="Arial"/>
          <w:sz w:val="20"/>
          <w:szCs w:val="20"/>
        </w:rPr>
        <w:t xml:space="preserve"> was measured using profit after tax over total equity</w:t>
      </w:r>
      <w:r w:rsidR="004B7284">
        <w:rPr>
          <w:rFonts w:ascii="Arial" w:hAnsi="Arial" w:cs="Arial"/>
          <w:sz w:val="20"/>
          <w:szCs w:val="20"/>
        </w:rPr>
        <w:t>.</w:t>
      </w:r>
    </w:p>
    <w:p w14:paraId="4E8AC8A3" w14:textId="77777777" w:rsidR="004B7284" w:rsidRDefault="004B7284" w:rsidP="00635198">
      <w:pPr>
        <w:spacing w:after="0" w:line="240" w:lineRule="auto"/>
        <w:jc w:val="both"/>
        <w:rPr>
          <w:rFonts w:ascii="Arial" w:hAnsi="Arial" w:cs="Arial"/>
          <w:sz w:val="20"/>
          <w:szCs w:val="20"/>
        </w:rPr>
      </w:pPr>
    </w:p>
    <w:p w14:paraId="355BD89A" w14:textId="053B49CC" w:rsidR="00873B4C" w:rsidRPr="004C062E" w:rsidRDefault="00C54761" w:rsidP="00635198">
      <w:pPr>
        <w:spacing w:after="0" w:line="240" w:lineRule="auto"/>
        <w:jc w:val="both"/>
        <w:rPr>
          <w:rFonts w:ascii="Arial" w:hAnsi="Arial" w:cs="Arial"/>
          <w:sz w:val="20"/>
          <w:szCs w:val="20"/>
        </w:rPr>
      </w:pPr>
      <w:r w:rsidRPr="004C062E">
        <w:rPr>
          <w:rFonts w:ascii="Arial" w:hAnsi="Arial" w:cs="Arial"/>
          <w:sz w:val="20"/>
          <w:szCs w:val="20"/>
        </w:rPr>
        <w:t xml:space="preserve"> </w:t>
      </w:r>
      <w:r w:rsidR="00FD1DBC" w:rsidRPr="004C062E">
        <w:rPr>
          <w:rFonts w:ascii="Arial" w:hAnsi="Arial" w:cs="Arial"/>
          <w:sz w:val="20"/>
          <w:szCs w:val="20"/>
        </w:rPr>
        <w:t>P</w:t>
      </w:r>
      <w:r w:rsidR="00E56F63" w:rsidRPr="004C062E">
        <w:rPr>
          <w:rFonts w:ascii="Arial" w:hAnsi="Arial" w:cs="Arial"/>
          <w:sz w:val="20"/>
          <w:szCs w:val="20"/>
        </w:rPr>
        <w:t>anel</w:t>
      </w:r>
      <w:r w:rsidR="00FD1DBC" w:rsidRPr="004C062E">
        <w:rPr>
          <w:rFonts w:ascii="Arial" w:hAnsi="Arial" w:cs="Arial"/>
          <w:sz w:val="20"/>
          <w:szCs w:val="20"/>
        </w:rPr>
        <w:t xml:space="preserve"> </w:t>
      </w:r>
      <w:r w:rsidR="00E56F63" w:rsidRPr="004C062E">
        <w:rPr>
          <w:rFonts w:ascii="Arial" w:hAnsi="Arial" w:cs="Arial"/>
          <w:sz w:val="20"/>
          <w:szCs w:val="20"/>
        </w:rPr>
        <w:t xml:space="preserve">data was processed through </w:t>
      </w:r>
      <w:r w:rsidR="00CB38D2" w:rsidRPr="004C062E">
        <w:rPr>
          <w:rFonts w:ascii="Arial" w:hAnsi="Arial" w:cs="Arial"/>
          <w:sz w:val="20"/>
          <w:szCs w:val="20"/>
        </w:rPr>
        <w:t>EViews</w:t>
      </w:r>
      <w:r w:rsidR="00E56F63" w:rsidRPr="004C062E">
        <w:rPr>
          <w:rFonts w:ascii="Arial" w:hAnsi="Arial" w:cs="Arial"/>
          <w:sz w:val="20"/>
          <w:szCs w:val="20"/>
        </w:rPr>
        <w:t xml:space="preserve"> version 10 through the following equation.</w:t>
      </w:r>
    </w:p>
    <w:bookmarkStart w:id="2" w:name="_Toc159669374"/>
    <w:bookmarkStart w:id="3" w:name="_Toc159669432"/>
    <w:p w14:paraId="1F91638A" w14:textId="6F7468F1" w:rsidR="00873B4C" w:rsidRPr="004C062E" w:rsidRDefault="007101EC" w:rsidP="005E13CD">
      <w:pPr>
        <w:spacing w:after="0" w:line="240" w:lineRule="auto"/>
        <w:jc w:val="both"/>
        <w:rPr>
          <w:rFonts w:ascii="Arial" w:hAnsi="Arial" w:cs="Arial"/>
          <w:bCs/>
          <w:iCs/>
          <w:sz w:val="20"/>
          <w:szCs w:val="20"/>
          <w:lang w:val="en-GB"/>
        </w:rPr>
      </w:pPr>
      <m:oMath>
        <m:sSub>
          <m:sSubPr>
            <m:ctrlPr>
              <w:rPr>
                <w:rFonts w:ascii="Cambria Math" w:hAnsi="Cambria Math" w:cs="Arial"/>
                <w:bCs/>
                <w:iCs/>
                <w:sz w:val="20"/>
                <w:szCs w:val="20"/>
                <w:lang w:val="en-GB"/>
              </w:rPr>
            </m:ctrlPr>
          </m:sSubPr>
          <m:e>
            <m:r>
              <w:rPr>
                <w:rFonts w:ascii="Cambria Math" w:hAnsi="Cambria Math" w:cs="Arial"/>
                <w:sz w:val="20"/>
                <w:szCs w:val="20"/>
                <w:lang w:val="en-GB"/>
              </w:rPr>
              <m:t>FP</m:t>
            </m:r>
          </m:e>
          <m:sub>
            <m:r>
              <w:rPr>
                <w:rFonts w:ascii="Cambria Math" w:hAnsi="Cambria Math" w:cs="Arial"/>
                <w:sz w:val="20"/>
                <w:szCs w:val="20"/>
                <w:lang w:val="en-GB"/>
              </w:rPr>
              <m:t>it</m:t>
            </m:r>
          </m:sub>
        </m:sSub>
      </m:oMath>
      <w:r w:rsidR="00873B4C" w:rsidRPr="004C062E">
        <w:rPr>
          <w:rFonts w:ascii="Arial" w:hAnsi="Arial" w:cs="Arial"/>
          <w:bCs/>
          <w:iCs/>
          <w:sz w:val="20"/>
          <w:szCs w:val="20"/>
          <w:lang w:val="en-GB"/>
        </w:rPr>
        <w:t xml:space="preserve"> = </w:t>
      </w: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i</m:t>
            </m:r>
          </m:sub>
        </m:sSub>
      </m:oMath>
      <w:r w:rsidR="00873B4C" w:rsidRPr="004C062E">
        <w:rPr>
          <w:rFonts w:ascii="Arial" w:hAnsi="Arial" w:cs="Arial"/>
          <w:bCs/>
          <w:iCs/>
          <w:sz w:val="20"/>
          <w:szCs w:val="20"/>
          <w:lang w:val="en-GB"/>
        </w:rPr>
        <w:t xml:space="preserve"> +</w:t>
      </w:r>
      <w:bookmarkStart w:id="4" w:name="_Hlk159666250"/>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m:rPr>
                <m:sty m:val="p"/>
              </m:rPr>
              <w:rPr>
                <w:rFonts w:ascii="Cambria Math" w:hAnsi="Cambria Math" w:cs="Arial"/>
                <w:sz w:val="20"/>
                <w:szCs w:val="20"/>
                <w:lang w:val="en-GB"/>
              </w:rPr>
              <m:t>1</m:t>
            </m:r>
          </m:sub>
        </m:sSub>
        <m:sSub>
          <m:sSubPr>
            <m:ctrlPr>
              <w:rPr>
                <w:rFonts w:ascii="Cambria Math" w:hAnsi="Cambria Math" w:cs="Arial"/>
                <w:bCs/>
                <w:iCs/>
                <w:sz w:val="20"/>
                <w:szCs w:val="20"/>
                <w:lang w:val="en-GB"/>
              </w:rPr>
            </m:ctrlPr>
          </m:sSubPr>
          <m:e>
            <m:r>
              <w:rPr>
                <w:rFonts w:ascii="Cambria Math" w:hAnsi="Cambria Math" w:cs="Arial"/>
                <w:sz w:val="20"/>
                <w:szCs w:val="20"/>
                <w:lang w:val="en-GB"/>
              </w:rPr>
              <m:t>SMD</m:t>
            </m:r>
          </m:e>
          <m:sub>
            <m:r>
              <m:rPr>
                <m:sty m:val="p"/>
              </m:rPr>
              <w:rPr>
                <w:rFonts w:ascii="Cambria Math" w:hAnsi="Cambria Math" w:cs="Arial"/>
                <w:sz w:val="20"/>
                <w:szCs w:val="20"/>
                <w:lang w:val="en-GB"/>
              </w:rPr>
              <m:t>1</m:t>
            </m:r>
            <m:r>
              <w:rPr>
                <w:rFonts w:ascii="Cambria Math" w:hAnsi="Cambria Math" w:cs="Arial"/>
                <w:sz w:val="20"/>
                <w:szCs w:val="20"/>
                <w:lang w:val="en-GB"/>
              </w:rPr>
              <m:t>it</m:t>
            </m:r>
          </m:sub>
        </m:sSub>
      </m:oMath>
      <w:bookmarkEnd w:id="4"/>
      <w:r w:rsidR="00873B4C" w:rsidRPr="004C062E">
        <w:rPr>
          <w:rFonts w:ascii="Arial" w:hAnsi="Arial" w:cs="Arial"/>
          <w:bCs/>
          <w:iCs/>
          <w:sz w:val="20"/>
          <w:szCs w:val="20"/>
          <w:lang w:val="en-GB"/>
        </w:rPr>
        <w:t>+</w:t>
      </w: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m:rPr>
                <m:sty m:val="p"/>
              </m:rPr>
              <w:rPr>
                <w:rFonts w:ascii="Cambria Math" w:hAnsi="Cambria Math" w:cs="Arial"/>
                <w:sz w:val="20"/>
                <w:szCs w:val="20"/>
                <w:lang w:val="en-GB"/>
              </w:rPr>
              <m:t>2</m:t>
            </m:r>
          </m:sub>
        </m:sSub>
        <m:sSub>
          <m:sSubPr>
            <m:ctrlPr>
              <w:rPr>
                <w:rFonts w:ascii="Cambria Math" w:hAnsi="Cambria Math" w:cs="Arial"/>
                <w:bCs/>
                <w:iCs/>
                <w:sz w:val="20"/>
                <w:szCs w:val="20"/>
                <w:lang w:val="en-GB"/>
              </w:rPr>
            </m:ctrlPr>
          </m:sSubPr>
          <m:e>
            <m:r>
              <w:rPr>
                <w:rFonts w:ascii="Cambria Math" w:hAnsi="Cambria Math" w:cs="Arial"/>
                <w:sz w:val="20"/>
                <w:szCs w:val="20"/>
                <w:lang w:val="en-GB"/>
              </w:rPr>
              <m:t>RF2</m:t>
            </m:r>
          </m:e>
          <m:sub>
            <m:r>
              <m:rPr>
                <m:sty m:val="p"/>
              </m:rPr>
              <w:rPr>
                <w:rFonts w:ascii="Cambria Math" w:hAnsi="Cambria Math" w:cs="Arial"/>
                <w:sz w:val="20"/>
                <w:szCs w:val="20"/>
                <w:lang w:val="en-GB"/>
              </w:rPr>
              <m:t>2</m:t>
            </m:r>
            <m:r>
              <w:rPr>
                <w:rFonts w:ascii="Cambria Math" w:hAnsi="Cambria Math" w:cs="Arial"/>
                <w:sz w:val="20"/>
                <w:szCs w:val="20"/>
                <w:lang w:val="en-GB"/>
              </w:rPr>
              <m:t>it</m:t>
            </m:r>
          </m:sub>
        </m:sSub>
      </m:oMath>
      <w:r w:rsidR="00873B4C" w:rsidRPr="004C062E">
        <w:rPr>
          <w:rFonts w:ascii="Arial" w:hAnsi="Arial" w:cs="Arial"/>
          <w:bCs/>
          <w:iCs/>
          <w:sz w:val="20"/>
          <w:szCs w:val="20"/>
          <w:lang w:val="en-GB"/>
        </w:rPr>
        <w:t>+</w:t>
      </w:r>
      <m:oMath>
        <m:sSub>
          <m:sSubPr>
            <m:ctrlPr>
              <w:rPr>
                <w:rFonts w:ascii="Cambria Math" w:hAnsi="Cambria Math" w:cs="Arial"/>
                <w:bCs/>
                <w:iCs/>
                <w:sz w:val="20"/>
                <w:szCs w:val="20"/>
                <w:lang w:val="en-GB"/>
              </w:rPr>
            </m:ctrlPr>
          </m:sSubPr>
          <m:e>
            <m:r>
              <w:rPr>
                <w:rFonts w:ascii="Cambria Math" w:hAnsi="Cambria Math" w:cs="Arial"/>
                <w:sz w:val="20"/>
                <w:szCs w:val="20"/>
                <w:lang w:val="en-GB"/>
              </w:rPr>
              <m:t>ε</m:t>
            </m:r>
          </m:e>
          <m:sub>
            <m:r>
              <w:rPr>
                <w:rFonts w:ascii="Cambria Math" w:hAnsi="Cambria Math" w:cs="Arial"/>
                <w:sz w:val="20"/>
                <w:szCs w:val="20"/>
                <w:lang w:val="en-GB"/>
              </w:rPr>
              <m:t>it..............(eq)  1</m:t>
            </m:r>
          </m:sub>
        </m:sSub>
      </m:oMath>
    </w:p>
    <w:p w14:paraId="27A46593" w14:textId="0DDDE25E" w:rsidR="00873B4C" w:rsidRPr="004C062E" w:rsidRDefault="007101EC" w:rsidP="005E13CD">
      <w:pPr>
        <w:spacing w:after="0" w:line="240" w:lineRule="auto"/>
        <w:jc w:val="both"/>
        <w:rPr>
          <w:rFonts w:ascii="Arial" w:hAnsi="Arial" w:cs="Arial"/>
          <w:sz w:val="20"/>
          <w:szCs w:val="20"/>
          <w:lang w:val="en-GB"/>
        </w:rPr>
      </w:pPr>
      <m:oMath>
        <m:sSub>
          <m:sSubPr>
            <m:ctrlPr>
              <w:rPr>
                <w:rFonts w:ascii="Cambria Math" w:hAnsi="Cambria Math" w:cs="Arial"/>
                <w:sz w:val="20"/>
                <w:szCs w:val="20"/>
                <w:lang w:val="en-GB"/>
              </w:rPr>
            </m:ctrlPr>
          </m:sSubPr>
          <m:e>
            <m:r>
              <m:rPr>
                <m:sty m:val="p"/>
              </m:rPr>
              <w:rPr>
                <w:rFonts w:ascii="Cambria Math" w:hAnsi="Cambria Math" w:cs="Arial"/>
                <w:sz w:val="20"/>
                <w:szCs w:val="20"/>
                <w:lang w:val="en-GB"/>
              </w:rPr>
              <m:t>ε</m:t>
            </m:r>
          </m:e>
          <m:sub>
            <m:r>
              <w:rPr>
                <w:rFonts w:ascii="Cambria Math" w:hAnsi="Cambria Math" w:cs="Arial"/>
                <w:sz w:val="20"/>
                <w:szCs w:val="20"/>
                <w:lang w:val="en-GB"/>
              </w:rPr>
              <m:t>it</m:t>
            </m:r>
          </m:sub>
        </m:sSub>
      </m:oMath>
      <w:r w:rsidR="00873B4C" w:rsidRPr="004C062E">
        <w:rPr>
          <w:rFonts w:ascii="Arial" w:hAnsi="Arial" w:cs="Arial"/>
          <w:sz w:val="20"/>
          <w:szCs w:val="20"/>
          <w:lang w:val="en-GB"/>
        </w:rPr>
        <w:t xml:space="preserve"> It is typically assumed to be IID (0,</w:t>
      </w:r>
      <m:oMath>
        <m:sSubSup>
          <m:sSubSupPr>
            <m:ctrlPr>
              <w:rPr>
                <w:rFonts w:ascii="Cambria Math" w:hAnsi="Cambria Math" w:cs="Arial"/>
                <w:sz w:val="20"/>
                <w:szCs w:val="20"/>
                <w:lang w:val="en-GB"/>
              </w:rPr>
            </m:ctrlPr>
          </m:sSubSupPr>
          <m:e>
            <m:r>
              <m:rPr>
                <m:sty m:val="p"/>
              </m:rPr>
              <w:rPr>
                <w:rFonts w:ascii="Cambria Math" w:hAnsi="Cambria Math" w:cs="Arial"/>
                <w:sz w:val="20"/>
                <w:szCs w:val="20"/>
                <w:lang w:val="en-GB"/>
              </w:rPr>
              <m:t>δ</m:t>
            </m:r>
          </m:e>
          <m:sub>
            <m:r>
              <m:rPr>
                <m:sty m:val="p"/>
              </m:rPr>
              <w:rPr>
                <w:rFonts w:ascii="Cambria Math" w:hAnsi="Cambria Math" w:cs="Arial"/>
                <w:sz w:val="20"/>
                <w:szCs w:val="20"/>
                <w:lang w:val="en-GB"/>
              </w:rPr>
              <m:t>u,i</m:t>
            </m:r>
          </m:sub>
          <m:sup>
            <m:r>
              <m:rPr>
                <m:sty m:val="p"/>
              </m:rPr>
              <w:rPr>
                <w:rFonts w:ascii="Cambria Math" w:hAnsi="Cambria Math" w:cs="Arial"/>
                <w:sz w:val="20"/>
                <w:szCs w:val="20"/>
                <w:lang w:val="en-GB"/>
              </w:rPr>
              <m:t>2</m:t>
            </m:r>
          </m:sup>
        </m:sSubSup>
      </m:oMath>
      <w:r w:rsidR="00873B4C" w:rsidRPr="004C062E">
        <w:rPr>
          <w:rFonts w:ascii="Arial" w:hAnsi="Arial" w:cs="Arial"/>
          <w:sz w:val="20"/>
          <w:szCs w:val="20"/>
          <w:lang w:val="en-GB"/>
        </w:rPr>
        <w:t>). This represents error term for assumption</w:t>
      </w:r>
      <w:r w:rsidR="007508E1" w:rsidRPr="004C062E">
        <w:rPr>
          <w:rFonts w:ascii="Arial" w:hAnsi="Arial" w:cs="Arial"/>
          <w:sz w:val="20"/>
          <w:szCs w:val="20"/>
          <w:lang w:val="en-GB"/>
        </w:rPr>
        <w:t>s</w:t>
      </w:r>
      <w:r w:rsidR="00873B4C" w:rsidRPr="004C062E">
        <w:rPr>
          <w:rFonts w:ascii="Arial" w:hAnsi="Arial" w:cs="Arial"/>
          <w:sz w:val="20"/>
          <w:szCs w:val="20"/>
          <w:lang w:val="en-GB"/>
        </w:rPr>
        <w:t xml:space="preserve"> of normally distribution with 0</w:t>
      </w:r>
      <w:r w:rsidR="00873B4C" w:rsidRPr="004C062E">
        <w:rPr>
          <w:rFonts w:ascii="Arial" w:hAnsi="Arial" w:cs="Arial"/>
          <w:sz w:val="20"/>
          <w:szCs w:val="20"/>
        </w:rPr>
        <w:t xml:space="preserve"> </w:t>
      </w:r>
      <w:r w:rsidR="00873B4C" w:rsidRPr="004C062E">
        <w:rPr>
          <w:rFonts w:ascii="Arial" w:hAnsi="Arial" w:cs="Arial"/>
          <w:sz w:val="20"/>
          <w:szCs w:val="20"/>
          <w:lang w:val="en-GB"/>
        </w:rPr>
        <w:t xml:space="preserve">mean value and constant of variance. </w:t>
      </w:r>
      <w:r w:rsidR="00873B4C" w:rsidRPr="004C062E">
        <w:rPr>
          <w:rFonts w:ascii="Arial" w:hAnsi="Arial" w:cs="Arial"/>
          <w:i/>
          <w:iCs/>
          <w:sz w:val="20"/>
          <w:szCs w:val="20"/>
          <w:lang w:val="en-GB"/>
        </w:rPr>
        <w:t>FP</w:t>
      </w:r>
      <w:r w:rsidR="00873B4C" w:rsidRPr="004C062E">
        <w:rPr>
          <w:rFonts w:ascii="Arial" w:hAnsi="Arial" w:cs="Arial"/>
          <w:i/>
          <w:iCs/>
          <w:sz w:val="20"/>
          <w:szCs w:val="20"/>
          <w:vertAlign w:val="subscript"/>
          <w:lang w:val="en-GB"/>
        </w:rPr>
        <w:t xml:space="preserve">it </w:t>
      </w:r>
      <w:r w:rsidR="00873B4C" w:rsidRPr="004C062E">
        <w:rPr>
          <w:rFonts w:ascii="Arial" w:hAnsi="Arial" w:cs="Arial"/>
          <w:iCs/>
          <w:sz w:val="20"/>
          <w:szCs w:val="20"/>
          <w:lang w:val="en-GB"/>
        </w:rPr>
        <w:t>is</w:t>
      </w:r>
      <w:r w:rsidR="00873B4C" w:rsidRPr="004C062E">
        <w:rPr>
          <w:rFonts w:ascii="Arial" w:hAnsi="Arial" w:cs="Arial"/>
          <w:sz w:val="20"/>
          <w:szCs w:val="20"/>
          <w:lang w:val="en-GB"/>
        </w:rPr>
        <w:t xml:space="preserve"> firm’s performance of firm</w:t>
      </w:r>
      <w:r w:rsidR="001A6297" w:rsidRPr="004C062E">
        <w:rPr>
          <w:rFonts w:ascii="Arial" w:hAnsi="Arial" w:cs="Arial"/>
          <w:sz w:val="20"/>
          <w:szCs w:val="20"/>
          <w:lang w:val="en-GB"/>
        </w:rPr>
        <w:t xml:space="preserve">s </w:t>
      </w:r>
      <w:r w:rsidR="001A6297" w:rsidRPr="004C062E">
        <w:rPr>
          <w:rFonts w:ascii="Arial" w:hAnsi="Arial" w:cs="Arial"/>
          <w:i/>
          <w:iCs/>
          <w:sz w:val="20"/>
          <w:szCs w:val="20"/>
          <w:lang w:val="en-GB"/>
        </w:rPr>
        <w:t>i</w:t>
      </w:r>
      <w:r w:rsidR="001A6297" w:rsidRPr="004C062E">
        <w:rPr>
          <w:rFonts w:ascii="Arial" w:hAnsi="Arial" w:cs="Arial"/>
          <w:sz w:val="20"/>
          <w:szCs w:val="20"/>
          <w:lang w:val="en-GB"/>
        </w:rPr>
        <w:t xml:space="preserve"> </w:t>
      </w:r>
      <w:r w:rsidR="006B404B" w:rsidRPr="004C062E">
        <w:rPr>
          <w:rFonts w:ascii="Arial" w:hAnsi="Arial" w:cs="Arial"/>
          <w:sz w:val="20"/>
          <w:szCs w:val="20"/>
          <w:lang w:val="en-GB"/>
        </w:rPr>
        <w:t>on</w:t>
      </w:r>
      <w:r w:rsidR="001A6297" w:rsidRPr="004C062E">
        <w:rPr>
          <w:rFonts w:ascii="Arial" w:hAnsi="Arial" w:cs="Arial"/>
          <w:sz w:val="20"/>
          <w:szCs w:val="20"/>
          <w:lang w:val="en-GB"/>
        </w:rPr>
        <w:t xml:space="preserve"> time</w:t>
      </w:r>
      <w:r w:rsidR="001A6297" w:rsidRPr="004C062E">
        <w:rPr>
          <w:rFonts w:ascii="Arial" w:hAnsi="Arial" w:cs="Arial"/>
          <w:i/>
          <w:sz w:val="20"/>
          <w:szCs w:val="20"/>
          <w:lang w:val="en-GB"/>
        </w:rPr>
        <w:t xml:space="preserve"> t</w:t>
      </w:r>
      <w:r w:rsidR="001A6297" w:rsidRPr="004C062E">
        <w:rPr>
          <w:rFonts w:ascii="Arial" w:hAnsi="Arial" w:cs="Arial"/>
          <w:sz w:val="20"/>
          <w:szCs w:val="20"/>
          <w:lang w:val="en-GB"/>
        </w:rPr>
        <w:t xml:space="preserve">, </w:t>
      </w:r>
      <w:r w:rsidR="00873B4C" w:rsidRPr="004C062E">
        <w:rPr>
          <w:rFonts w:ascii="Arial" w:hAnsi="Arial" w:cs="Arial"/>
          <w:sz w:val="20"/>
          <w:szCs w:val="20"/>
          <w:lang w:val="en-GB"/>
        </w:rPr>
        <w:t>firm’s performance was measured by ROE.</w:t>
      </w:r>
      <w:bookmarkEnd w:id="2"/>
      <w:bookmarkEnd w:id="3"/>
    </w:p>
    <w:p w14:paraId="68D973F8" w14:textId="51F2258E" w:rsidR="00E56F63" w:rsidRPr="004C062E" w:rsidRDefault="00873B4C" w:rsidP="005E13CD">
      <w:pPr>
        <w:spacing w:after="0" w:line="240" w:lineRule="auto"/>
        <w:jc w:val="both"/>
        <w:rPr>
          <w:rFonts w:ascii="Arial" w:hAnsi="Arial" w:cs="Arial"/>
          <w:sz w:val="20"/>
          <w:szCs w:val="20"/>
        </w:rPr>
      </w:pPr>
      <w:r w:rsidRPr="004C062E">
        <w:rPr>
          <w:rFonts w:ascii="Arial" w:hAnsi="Arial" w:cs="Arial"/>
          <w:sz w:val="20"/>
          <w:szCs w:val="20"/>
        </w:rPr>
        <w:t xml:space="preserve"> FP</w:t>
      </w:r>
      <w:r w:rsidRPr="004C062E">
        <w:rPr>
          <w:rFonts w:ascii="Arial" w:hAnsi="Arial" w:cs="Arial"/>
          <w:sz w:val="20"/>
          <w:szCs w:val="20"/>
        </w:rPr>
        <w:tab/>
      </w:r>
      <w:r w:rsidRPr="004C062E">
        <w:rPr>
          <w:rFonts w:ascii="Arial" w:hAnsi="Arial" w:cs="Arial"/>
          <w:sz w:val="20"/>
          <w:szCs w:val="20"/>
        </w:rPr>
        <w:tab/>
      </w:r>
      <w:r w:rsidR="00E56F63" w:rsidRPr="004C062E">
        <w:rPr>
          <w:rFonts w:ascii="Arial" w:hAnsi="Arial" w:cs="Arial"/>
          <w:sz w:val="20"/>
          <w:szCs w:val="20"/>
        </w:rPr>
        <w:t>Firm’s Performance</w:t>
      </w:r>
    </w:p>
    <w:p w14:paraId="7942DA71" w14:textId="7DFBDEDC" w:rsidR="00E56F63" w:rsidRPr="004C062E" w:rsidRDefault="007101EC" w:rsidP="005E13CD">
      <w:pPr>
        <w:spacing w:after="0" w:line="240" w:lineRule="auto"/>
        <w:rPr>
          <w:rFonts w:ascii="Arial" w:hAnsi="Arial" w:cs="Arial"/>
          <w:sz w:val="20"/>
          <w:szCs w:val="20"/>
        </w:rPr>
      </w:pP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i</m:t>
            </m:r>
          </m:sub>
        </m:sSub>
      </m:oMath>
      <w:r w:rsidR="00873B4C" w:rsidRPr="004C062E">
        <w:rPr>
          <w:rFonts w:ascii="Arial" w:hAnsi="Arial" w:cs="Arial"/>
          <w:sz w:val="20"/>
          <w:szCs w:val="20"/>
        </w:rPr>
        <w:tab/>
      </w:r>
      <w:r w:rsidR="00873B4C" w:rsidRPr="004C062E">
        <w:rPr>
          <w:rFonts w:ascii="Arial" w:hAnsi="Arial" w:cs="Arial"/>
          <w:sz w:val="20"/>
          <w:szCs w:val="20"/>
        </w:rPr>
        <w:tab/>
      </w:r>
      <w:r w:rsidR="002156F2" w:rsidRPr="004C062E">
        <w:rPr>
          <w:rFonts w:ascii="Arial" w:hAnsi="Arial" w:cs="Arial"/>
          <w:sz w:val="20"/>
          <w:szCs w:val="20"/>
        </w:rPr>
        <w:t>Constant</w:t>
      </w:r>
    </w:p>
    <w:p w14:paraId="14C309BB" w14:textId="4AD7BEFE" w:rsidR="00E56F63" w:rsidRPr="004C062E" w:rsidRDefault="00D90EE3" w:rsidP="005E13CD">
      <w:pPr>
        <w:spacing w:after="0" w:line="240" w:lineRule="auto"/>
        <w:rPr>
          <w:rFonts w:ascii="Arial" w:hAnsi="Arial" w:cs="Arial"/>
          <w:sz w:val="20"/>
          <w:szCs w:val="20"/>
        </w:rPr>
      </w:pPr>
      <w:r w:rsidRPr="004C062E">
        <w:rPr>
          <w:rFonts w:ascii="Arial" w:hAnsi="Arial" w:cs="Arial"/>
          <w:sz w:val="20"/>
          <w:szCs w:val="20"/>
        </w:rPr>
        <w:t>β1, 2</w:t>
      </w:r>
      <w:r w:rsidRPr="004C062E">
        <w:rPr>
          <w:rFonts w:ascii="Arial" w:hAnsi="Arial" w:cs="Arial"/>
          <w:sz w:val="20"/>
          <w:szCs w:val="20"/>
        </w:rPr>
        <w:tab/>
      </w:r>
      <w:r w:rsidR="00873B4C" w:rsidRPr="004C062E">
        <w:rPr>
          <w:rFonts w:ascii="Arial" w:hAnsi="Arial" w:cs="Arial"/>
          <w:sz w:val="20"/>
          <w:szCs w:val="20"/>
        </w:rPr>
        <w:tab/>
      </w:r>
      <w:r w:rsidR="002156F2" w:rsidRPr="004C062E">
        <w:rPr>
          <w:rFonts w:ascii="Arial" w:hAnsi="Arial" w:cs="Arial"/>
          <w:sz w:val="20"/>
          <w:szCs w:val="20"/>
        </w:rPr>
        <w:t>C</w:t>
      </w:r>
      <w:r w:rsidR="00E56F63" w:rsidRPr="004C062E">
        <w:rPr>
          <w:rFonts w:ascii="Arial" w:hAnsi="Arial" w:cs="Arial"/>
          <w:sz w:val="20"/>
          <w:szCs w:val="20"/>
        </w:rPr>
        <w:t>oefficients</w:t>
      </w:r>
    </w:p>
    <w:p w14:paraId="1958F4F9" w14:textId="594C6AD1" w:rsidR="00E56F63" w:rsidRPr="004C062E" w:rsidRDefault="00E56F63" w:rsidP="005E13CD">
      <w:pPr>
        <w:spacing w:after="0" w:line="240" w:lineRule="auto"/>
        <w:rPr>
          <w:rFonts w:ascii="Arial" w:hAnsi="Arial" w:cs="Arial"/>
          <w:sz w:val="20"/>
          <w:szCs w:val="20"/>
        </w:rPr>
      </w:pPr>
      <w:r w:rsidRPr="004C062E">
        <w:rPr>
          <w:rFonts w:ascii="Arial" w:hAnsi="Arial" w:cs="Arial"/>
          <w:sz w:val="20"/>
          <w:szCs w:val="20"/>
        </w:rPr>
        <w:t>Ɛ</w:t>
      </w:r>
      <w:r w:rsidR="00873B4C" w:rsidRPr="004C062E">
        <w:rPr>
          <w:rFonts w:ascii="Arial" w:hAnsi="Arial" w:cs="Arial"/>
          <w:sz w:val="20"/>
          <w:szCs w:val="20"/>
        </w:rPr>
        <w:tab/>
      </w:r>
      <w:r w:rsidR="00873B4C" w:rsidRPr="004C062E">
        <w:rPr>
          <w:rFonts w:ascii="Arial" w:hAnsi="Arial" w:cs="Arial"/>
          <w:sz w:val="20"/>
          <w:szCs w:val="20"/>
        </w:rPr>
        <w:tab/>
      </w:r>
      <w:r w:rsidR="002156F2" w:rsidRPr="004C062E">
        <w:rPr>
          <w:rFonts w:ascii="Arial" w:hAnsi="Arial" w:cs="Arial"/>
          <w:sz w:val="20"/>
          <w:szCs w:val="20"/>
        </w:rPr>
        <w:t>E</w:t>
      </w:r>
      <w:r w:rsidRPr="004C062E">
        <w:rPr>
          <w:rFonts w:ascii="Arial" w:hAnsi="Arial" w:cs="Arial"/>
          <w:sz w:val="20"/>
          <w:szCs w:val="20"/>
        </w:rPr>
        <w:t>rror term</w:t>
      </w:r>
    </w:p>
    <w:p w14:paraId="04BAA41E" w14:textId="2072B79F" w:rsidR="00E56F63" w:rsidRPr="004C062E" w:rsidRDefault="00873B4C" w:rsidP="005E13CD">
      <w:pPr>
        <w:spacing w:after="0" w:line="240" w:lineRule="auto"/>
        <w:rPr>
          <w:rFonts w:ascii="Arial" w:hAnsi="Arial" w:cs="Arial"/>
          <w:sz w:val="20"/>
          <w:szCs w:val="20"/>
        </w:rPr>
      </w:pPr>
      <w:r w:rsidRPr="004C062E">
        <w:rPr>
          <w:rFonts w:ascii="Arial" w:hAnsi="Arial" w:cs="Arial"/>
          <w:sz w:val="20"/>
          <w:szCs w:val="20"/>
        </w:rPr>
        <w:t>R</w:t>
      </w:r>
      <w:r w:rsidR="00D90EE3" w:rsidRPr="004C062E">
        <w:rPr>
          <w:rFonts w:ascii="Arial" w:hAnsi="Arial" w:cs="Arial"/>
          <w:sz w:val="20"/>
          <w:szCs w:val="20"/>
        </w:rPr>
        <w:t>F</w:t>
      </w:r>
      <w:r w:rsidRPr="004C062E">
        <w:rPr>
          <w:rFonts w:ascii="Arial" w:hAnsi="Arial" w:cs="Arial"/>
          <w:sz w:val="20"/>
          <w:szCs w:val="20"/>
        </w:rPr>
        <w:tab/>
      </w:r>
      <w:r w:rsidRPr="004C062E">
        <w:rPr>
          <w:rFonts w:ascii="Arial" w:hAnsi="Arial" w:cs="Arial"/>
          <w:sz w:val="20"/>
          <w:szCs w:val="20"/>
        </w:rPr>
        <w:tab/>
      </w:r>
      <w:r w:rsidR="00E56F63" w:rsidRPr="004C062E">
        <w:rPr>
          <w:rFonts w:ascii="Arial" w:hAnsi="Arial" w:cs="Arial"/>
          <w:sz w:val="20"/>
          <w:szCs w:val="20"/>
        </w:rPr>
        <w:t xml:space="preserve">Regulatory </w:t>
      </w:r>
      <w:r w:rsidR="006C31F5" w:rsidRPr="004C062E">
        <w:rPr>
          <w:rFonts w:ascii="Arial" w:hAnsi="Arial" w:cs="Arial"/>
          <w:sz w:val="20"/>
          <w:szCs w:val="20"/>
        </w:rPr>
        <w:t>Framework</w:t>
      </w:r>
    </w:p>
    <w:p w14:paraId="0736B418" w14:textId="6BFB0DED" w:rsidR="00E56F63" w:rsidRPr="004C062E" w:rsidRDefault="00873B4C" w:rsidP="005E13CD">
      <w:pPr>
        <w:spacing w:after="0" w:line="240" w:lineRule="auto"/>
        <w:rPr>
          <w:rFonts w:ascii="Arial" w:hAnsi="Arial" w:cs="Arial"/>
          <w:sz w:val="20"/>
          <w:szCs w:val="20"/>
        </w:rPr>
      </w:pPr>
      <w:r w:rsidRPr="004C062E">
        <w:rPr>
          <w:rFonts w:ascii="Arial" w:hAnsi="Arial" w:cs="Arial"/>
          <w:sz w:val="20"/>
          <w:szCs w:val="20"/>
        </w:rPr>
        <w:t>SMD</w:t>
      </w:r>
      <w:r w:rsidRPr="004C062E">
        <w:rPr>
          <w:rFonts w:ascii="Arial" w:hAnsi="Arial" w:cs="Arial"/>
          <w:sz w:val="20"/>
          <w:szCs w:val="20"/>
        </w:rPr>
        <w:tab/>
      </w:r>
      <w:r w:rsidRPr="004C062E">
        <w:rPr>
          <w:rFonts w:ascii="Arial" w:hAnsi="Arial" w:cs="Arial"/>
          <w:sz w:val="20"/>
          <w:szCs w:val="20"/>
        </w:rPr>
        <w:tab/>
      </w:r>
      <w:r w:rsidR="00E56F63" w:rsidRPr="004C062E">
        <w:rPr>
          <w:rFonts w:ascii="Arial" w:hAnsi="Arial" w:cs="Arial"/>
          <w:sz w:val="20"/>
          <w:szCs w:val="20"/>
        </w:rPr>
        <w:t>Stock Market Development</w:t>
      </w:r>
    </w:p>
    <w:p w14:paraId="2EED2FE8" w14:textId="77777777" w:rsidR="00D90EE3" w:rsidRPr="004C062E" w:rsidRDefault="00D90EE3" w:rsidP="005E13CD">
      <w:pPr>
        <w:spacing w:after="0" w:line="240" w:lineRule="auto"/>
        <w:jc w:val="both"/>
        <w:rPr>
          <w:rFonts w:ascii="Arial" w:hAnsi="Arial" w:cs="Arial"/>
          <w:sz w:val="20"/>
          <w:szCs w:val="20"/>
        </w:rPr>
      </w:pPr>
    </w:p>
    <w:p w14:paraId="4698360D" w14:textId="3AA5C77C" w:rsidR="00E56F63" w:rsidRPr="004C062E" w:rsidRDefault="00E56F63" w:rsidP="00635198">
      <w:pPr>
        <w:spacing w:after="0" w:line="240" w:lineRule="auto"/>
        <w:rPr>
          <w:rFonts w:ascii="Arial" w:hAnsi="Arial" w:cs="Arial"/>
          <w:b/>
          <w:sz w:val="20"/>
          <w:szCs w:val="20"/>
        </w:rPr>
      </w:pPr>
      <w:bookmarkStart w:id="5" w:name="_Toc207714056"/>
      <w:bookmarkStart w:id="6" w:name="_Toc208584816"/>
      <w:r w:rsidRPr="004C062E">
        <w:rPr>
          <w:rFonts w:ascii="Arial" w:hAnsi="Arial" w:cs="Arial"/>
          <w:b/>
          <w:sz w:val="20"/>
          <w:szCs w:val="20"/>
        </w:rPr>
        <w:t>3.</w:t>
      </w:r>
      <w:r w:rsidR="00B47235" w:rsidRPr="004C062E">
        <w:rPr>
          <w:rFonts w:ascii="Arial" w:hAnsi="Arial" w:cs="Arial"/>
          <w:b/>
          <w:sz w:val="20"/>
          <w:szCs w:val="20"/>
        </w:rPr>
        <w:t>2</w:t>
      </w:r>
      <w:r w:rsidRPr="004C062E">
        <w:rPr>
          <w:rFonts w:ascii="Arial" w:hAnsi="Arial" w:cs="Arial"/>
          <w:b/>
          <w:sz w:val="20"/>
          <w:szCs w:val="20"/>
        </w:rPr>
        <w:t xml:space="preserve"> Ethical Consideration</w:t>
      </w:r>
      <w:bookmarkEnd w:id="5"/>
      <w:bookmarkEnd w:id="6"/>
    </w:p>
    <w:p w14:paraId="1A7E2A22" w14:textId="7813E3DD" w:rsidR="005A1CB4" w:rsidRPr="004C062E" w:rsidRDefault="00E56F63" w:rsidP="00635198">
      <w:pPr>
        <w:spacing w:after="0" w:line="240" w:lineRule="auto"/>
        <w:jc w:val="both"/>
        <w:rPr>
          <w:rFonts w:ascii="Arial" w:hAnsi="Arial" w:cs="Arial"/>
          <w:sz w:val="20"/>
          <w:szCs w:val="20"/>
        </w:rPr>
      </w:pPr>
      <w:r w:rsidRPr="004C062E">
        <w:rPr>
          <w:rFonts w:ascii="Arial" w:hAnsi="Arial" w:cs="Arial"/>
          <w:sz w:val="20"/>
          <w:szCs w:val="20"/>
        </w:rPr>
        <w:t xml:space="preserve">Kang </w:t>
      </w:r>
      <w:r w:rsidR="00A12E06" w:rsidRPr="004C062E">
        <w:rPr>
          <w:rFonts w:ascii="Arial" w:hAnsi="Arial" w:cs="Arial"/>
          <w:sz w:val="20"/>
          <w:szCs w:val="20"/>
        </w:rPr>
        <w:t xml:space="preserve">and </w:t>
      </w:r>
      <w:r w:rsidRPr="004C062E">
        <w:rPr>
          <w:rFonts w:ascii="Arial" w:hAnsi="Arial" w:cs="Arial"/>
          <w:sz w:val="20"/>
          <w:szCs w:val="20"/>
        </w:rPr>
        <w:t xml:space="preserve">Hwang (2023) noted that ethical </w:t>
      </w:r>
      <w:r w:rsidR="006D5B79" w:rsidRPr="004C062E">
        <w:rPr>
          <w:rFonts w:ascii="Arial" w:hAnsi="Arial" w:cs="Arial"/>
          <w:sz w:val="20"/>
          <w:szCs w:val="20"/>
        </w:rPr>
        <w:t>behavior</w:t>
      </w:r>
      <w:r w:rsidRPr="004C062E">
        <w:rPr>
          <w:rFonts w:ascii="Arial" w:hAnsi="Arial" w:cs="Arial"/>
          <w:sz w:val="20"/>
          <w:szCs w:val="20"/>
        </w:rPr>
        <w:t xml:space="preserve"> encompasses each step of the research </w:t>
      </w:r>
      <w:r w:rsidR="006D5B79" w:rsidRPr="004C062E">
        <w:rPr>
          <w:rFonts w:ascii="Arial" w:hAnsi="Arial" w:cs="Arial"/>
          <w:sz w:val="20"/>
          <w:szCs w:val="20"/>
        </w:rPr>
        <w:t>process,</w:t>
      </w:r>
      <w:r w:rsidRPr="004C062E">
        <w:rPr>
          <w:rFonts w:ascii="Arial" w:hAnsi="Arial" w:cs="Arial"/>
          <w:sz w:val="20"/>
          <w:szCs w:val="20"/>
        </w:rPr>
        <w:t xml:space="preserve"> particularly in </w:t>
      </w:r>
      <w:r w:rsidR="004B6B7B" w:rsidRPr="004C062E">
        <w:rPr>
          <w:rFonts w:ascii="Arial" w:hAnsi="Arial" w:cs="Arial"/>
          <w:sz w:val="20"/>
          <w:szCs w:val="20"/>
        </w:rPr>
        <w:t xml:space="preserve">collection </w:t>
      </w:r>
      <w:r w:rsidRPr="004C062E">
        <w:rPr>
          <w:rFonts w:ascii="Arial" w:hAnsi="Arial" w:cs="Arial"/>
          <w:sz w:val="20"/>
          <w:szCs w:val="20"/>
        </w:rPr>
        <w:t xml:space="preserve">data, </w:t>
      </w:r>
      <w:r w:rsidR="006D5B79" w:rsidRPr="004C062E">
        <w:rPr>
          <w:rFonts w:ascii="Arial" w:hAnsi="Arial" w:cs="Arial"/>
          <w:sz w:val="20"/>
          <w:szCs w:val="20"/>
        </w:rPr>
        <w:t>analysis</w:t>
      </w:r>
      <w:r w:rsidR="004B6B7B" w:rsidRPr="004C062E">
        <w:rPr>
          <w:rFonts w:ascii="Arial" w:hAnsi="Arial" w:cs="Arial"/>
          <w:sz w:val="20"/>
          <w:szCs w:val="20"/>
        </w:rPr>
        <w:t xml:space="preserve"> of data</w:t>
      </w:r>
      <w:r w:rsidR="006D5B79" w:rsidRPr="004C062E">
        <w:rPr>
          <w:rFonts w:ascii="Arial" w:hAnsi="Arial" w:cs="Arial"/>
          <w:sz w:val="20"/>
          <w:szCs w:val="20"/>
        </w:rPr>
        <w:t>,</w:t>
      </w:r>
      <w:r w:rsidR="004B6B7B" w:rsidRPr="004C062E">
        <w:rPr>
          <w:rFonts w:ascii="Arial" w:hAnsi="Arial" w:cs="Arial"/>
          <w:sz w:val="20"/>
          <w:szCs w:val="20"/>
        </w:rPr>
        <w:t xml:space="preserve"> and reporting of result.</w:t>
      </w:r>
      <w:r w:rsidR="005A1CB4" w:rsidRPr="004C062E">
        <w:rPr>
          <w:rFonts w:ascii="Arial" w:hAnsi="Arial" w:cs="Arial"/>
          <w:sz w:val="20"/>
          <w:szCs w:val="20"/>
        </w:rPr>
        <w:t xml:space="preserve"> Principle of researcher’s integrity was applied during data collection exercise, study ensured treatment of all research parties for due respects, honesty, and fairness (Levitt et al., 2021). This included seeking for consent of participants’ involvement in study by having clearance letter from the Open University of Tanzania for data collection. Study ensured integrity, transparency, and accountability in all secondary-data procedures. Study documented dataset provenance, transformation, and quality checks; reported known limitations in terms of coverage, timeliness, and survivorship bias in listed firms; and avoided misinterpretation and misuse of data beyond the intended scope. In conclusion, principle of avoidance of plagiarism; study was careful in checked that the information provided,  including data analysis and interpretation was originated and acknowledging and citing whatever sources of data provided by others and including them in list of reference (Yadav, 2023)</w:t>
      </w:r>
    </w:p>
    <w:p w14:paraId="0A36853B" w14:textId="77777777" w:rsidR="00635198" w:rsidRPr="006E5FF9" w:rsidRDefault="00635198" w:rsidP="00635198">
      <w:pPr>
        <w:spacing w:after="0" w:line="240" w:lineRule="auto"/>
        <w:jc w:val="both"/>
        <w:rPr>
          <w:rFonts w:ascii="Arial" w:hAnsi="Arial" w:cs="Arial"/>
          <w:sz w:val="24"/>
          <w:szCs w:val="24"/>
        </w:rPr>
      </w:pPr>
    </w:p>
    <w:p w14:paraId="05E44C5D" w14:textId="29AFC26C" w:rsidR="00E56F63" w:rsidRPr="0013587B" w:rsidRDefault="00890663" w:rsidP="00762ABF">
      <w:pPr>
        <w:spacing w:after="0" w:line="240" w:lineRule="auto"/>
        <w:rPr>
          <w:rFonts w:ascii="Arial" w:hAnsi="Arial" w:cs="Arial"/>
          <w:b/>
        </w:rPr>
      </w:pPr>
      <w:r w:rsidRPr="0013587B">
        <w:rPr>
          <w:rFonts w:ascii="Arial" w:hAnsi="Arial" w:cs="Arial"/>
          <w:b/>
        </w:rPr>
        <w:t>4. Findings</w:t>
      </w:r>
    </w:p>
    <w:p w14:paraId="09B8A73D" w14:textId="24F31960" w:rsidR="00020943" w:rsidRPr="0013587B" w:rsidRDefault="00020943" w:rsidP="00762ABF">
      <w:pPr>
        <w:spacing w:after="0" w:line="240" w:lineRule="auto"/>
        <w:rPr>
          <w:rFonts w:ascii="Arial" w:hAnsi="Arial" w:cs="Arial"/>
          <w:b/>
          <w:sz w:val="20"/>
          <w:szCs w:val="20"/>
        </w:rPr>
      </w:pPr>
      <w:bookmarkStart w:id="7" w:name="_Toc208584820"/>
      <w:r w:rsidRPr="0013587B">
        <w:rPr>
          <w:rFonts w:ascii="Arial" w:hAnsi="Arial" w:cs="Arial"/>
          <w:b/>
          <w:sz w:val="20"/>
          <w:szCs w:val="20"/>
        </w:rPr>
        <w:t>4.</w:t>
      </w:r>
      <w:r w:rsidR="00890663" w:rsidRPr="0013587B">
        <w:rPr>
          <w:rFonts w:ascii="Arial" w:hAnsi="Arial" w:cs="Arial"/>
          <w:b/>
          <w:sz w:val="20"/>
          <w:szCs w:val="20"/>
        </w:rPr>
        <w:t>1</w:t>
      </w:r>
      <w:r w:rsidRPr="0013587B">
        <w:rPr>
          <w:rFonts w:ascii="Arial" w:hAnsi="Arial" w:cs="Arial"/>
          <w:b/>
          <w:sz w:val="20"/>
          <w:szCs w:val="20"/>
        </w:rPr>
        <w:t xml:space="preserve"> Descriptive Statistics</w:t>
      </w:r>
      <w:bookmarkEnd w:id="7"/>
    </w:p>
    <w:p w14:paraId="0AA25F57" w14:textId="6A8DB3C4" w:rsidR="00D26B14" w:rsidRPr="0013587B" w:rsidRDefault="002532D2" w:rsidP="00762ABF">
      <w:pPr>
        <w:spacing w:after="0" w:line="240" w:lineRule="auto"/>
        <w:jc w:val="both"/>
        <w:rPr>
          <w:rFonts w:ascii="Arial" w:hAnsi="Arial" w:cs="Arial"/>
          <w:sz w:val="20"/>
          <w:szCs w:val="20"/>
        </w:rPr>
      </w:pPr>
      <w:r w:rsidRPr="0013587B">
        <w:rPr>
          <w:rFonts w:ascii="Arial" w:hAnsi="Arial" w:cs="Arial"/>
          <w:sz w:val="20"/>
          <w:szCs w:val="20"/>
        </w:rPr>
        <w:t>Result</w:t>
      </w:r>
      <w:r w:rsidR="00E56F63" w:rsidRPr="0013587B">
        <w:rPr>
          <w:rFonts w:ascii="Arial" w:hAnsi="Arial" w:cs="Arial"/>
          <w:sz w:val="20"/>
          <w:szCs w:val="20"/>
        </w:rPr>
        <w:t xml:space="preserve"> from descriptive statistics </w:t>
      </w:r>
      <w:r w:rsidRPr="0013587B">
        <w:rPr>
          <w:rFonts w:ascii="Arial" w:hAnsi="Arial" w:cs="Arial"/>
          <w:sz w:val="20"/>
          <w:szCs w:val="20"/>
        </w:rPr>
        <w:t>are</w:t>
      </w:r>
      <w:r w:rsidR="00E56F63" w:rsidRPr="0013587B">
        <w:rPr>
          <w:rFonts w:ascii="Arial" w:hAnsi="Arial" w:cs="Arial"/>
          <w:sz w:val="20"/>
          <w:szCs w:val="20"/>
        </w:rPr>
        <w:t xml:space="preserve"> based on 140 observations of the</w:t>
      </w:r>
      <w:r w:rsidRPr="0013587B">
        <w:rPr>
          <w:rFonts w:ascii="Arial" w:hAnsi="Arial" w:cs="Arial"/>
          <w:sz w:val="20"/>
          <w:szCs w:val="20"/>
        </w:rPr>
        <w:t xml:space="preserve"> panel data</w:t>
      </w:r>
      <w:r w:rsidR="00E56F63" w:rsidRPr="0013587B">
        <w:rPr>
          <w:rFonts w:ascii="Arial" w:hAnsi="Arial" w:cs="Arial"/>
          <w:sz w:val="20"/>
          <w:szCs w:val="20"/>
        </w:rPr>
        <w:t xml:space="preserve"> of the period of </w:t>
      </w:r>
      <w:r w:rsidRPr="0013587B">
        <w:rPr>
          <w:rFonts w:ascii="Arial" w:hAnsi="Arial" w:cs="Arial"/>
          <w:sz w:val="20"/>
          <w:szCs w:val="20"/>
        </w:rPr>
        <w:t xml:space="preserve">five </w:t>
      </w:r>
      <w:r w:rsidR="00E56F63" w:rsidRPr="0013587B">
        <w:rPr>
          <w:rFonts w:ascii="Arial" w:hAnsi="Arial" w:cs="Arial"/>
          <w:sz w:val="20"/>
          <w:szCs w:val="20"/>
        </w:rPr>
        <w:t xml:space="preserve">years 2020 </w:t>
      </w:r>
      <w:r w:rsidRPr="0013587B">
        <w:rPr>
          <w:rFonts w:ascii="Arial" w:hAnsi="Arial" w:cs="Arial"/>
          <w:sz w:val="20"/>
          <w:szCs w:val="20"/>
        </w:rPr>
        <w:t>-</w:t>
      </w:r>
      <w:r w:rsidR="00E56F63" w:rsidRPr="0013587B">
        <w:rPr>
          <w:rFonts w:ascii="Arial" w:hAnsi="Arial" w:cs="Arial"/>
          <w:sz w:val="20"/>
          <w:szCs w:val="20"/>
        </w:rPr>
        <w:t xml:space="preserve"> 2024 for 28 </w:t>
      </w:r>
      <w:r w:rsidR="00424668" w:rsidRPr="0013587B">
        <w:rPr>
          <w:rFonts w:ascii="Arial" w:hAnsi="Arial" w:cs="Arial"/>
          <w:sz w:val="20"/>
          <w:szCs w:val="20"/>
        </w:rPr>
        <w:t>firms listed</w:t>
      </w:r>
      <w:r w:rsidR="00E56F63" w:rsidRPr="0013587B">
        <w:rPr>
          <w:rFonts w:ascii="Arial" w:hAnsi="Arial" w:cs="Arial"/>
          <w:sz w:val="20"/>
          <w:szCs w:val="20"/>
        </w:rPr>
        <w:t xml:space="preserve"> in </w:t>
      </w:r>
      <w:r w:rsidR="006D5B79" w:rsidRPr="0013587B">
        <w:rPr>
          <w:rFonts w:ascii="Arial" w:hAnsi="Arial" w:cs="Arial"/>
          <w:sz w:val="20"/>
          <w:szCs w:val="20"/>
        </w:rPr>
        <w:t>Dar</w:t>
      </w:r>
      <w:r w:rsidR="00E56F63" w:rsidRPr="0013587B">
        <w:rPr>
          <w:rFonts w:ascii="Arial" w:hAnsi="Arial" w:cs="Arial"/>
          <w:sz w:val="20"/>
          <w:szCs w:val="20"/>
        </w:rPr>
        <w:t xml:space="preserve"> es Salaam Stock Exchange. The descriptive analysis reveals all variables deviate significantly from normality, evidenced by high skewness, </w:t>
      </w:r>
      <w:r w:rsidR="006D5B79" w:rsidRPr="0013587B">
        <w:rPr>
          <w:rFonts w:ascii="Arial" w:hAnsi="Arial" w:cs="Arial"/>
          <w:sz w:val="20"/>
          <w:szCs w:val="20"/>
        </w:rPr>
        <w:t>kurtosis,</w:t>
      </w:r>
      <w:r w:rsidR="00E56F63" w:rsidRPr="0013587B">
        <w:rPr>
          <w:rFonts w:ascii="Arial" w:hAnsi="Arial" w:cs="Arial"/>
          <w:sz w:val="20"/>
          <w:szCs w:val="20"/>
        </w:rPr>
        <w:t xml:space="preserve"> and significant Jarque-Bera statistics. </w:t>
      </w:r>
    </w:p>
    <w:p w14:paraId="12304F98" w14:textId="1229AD53" w:rsidR="00E56F63" w:rsidRPr="0013587B" w:rsidRDefault="00D26B14" w:rsidP="005E13CD">
      <w:pPr>
        <w:pStyle w:val="Caption"/>
        <w:keepNext/>
        <w:jc w:val="both"/>
        <w:rPr>
          <w:rFonts w:ascii="Arial" w:hAnsi="Arial" w:cs="Arial"/>
          <w:b/>
          <w:i w:val="0"/>
          <w:color w:val="auto"/>
          <w:sz w:val="20"/>
          <w:szCs w:val="20"/>
        </w:rPr>
      </w:pPr>
      <w:bookmarkStart w:id="8" w:name="_Toc206689011"/>
      <w:r w:rsidRPr="0013587B">
        <w:rPr>
          <w:rFonts w:ascii="Arial" w:hAnsi="Arial" w:cs="Arial"/>
          <w:b/>
          <w:i w:val="0"/>
          <w:color w:val="auto"/>
          <w:sz w:val="20"/>
          <w:szCs w:val="20"/>
        </w:rPr>
        <w:t xml:space="preserve">Table </w:t>
      </w:r>
      <w:r w:rsidR="00890663" w:rsidRPr="0013587B">
        <w:rPr>
          <w:rFonts w:ascii="Arial" w:hAnsi="Arial" w:cs="Arial"/>
          <w:b/>
          <w:i w:val="0"/>
          <w:color w:val="auto"/>
          <w:sz w:val="20"/>
          <w:szCs w:val="20"/>
        </w:rPr>
        <w:t>1</w:t>
      </w:r>
      <w:r w:rsidRPr="0013587B">
        <w:rPr>
          <w:rFonts w:ascii="Arial" w:hAnsi="Arial" w:cs="Arial"/>
          <w:b/>
          <w:i w:val="0"/>
          <w:color w:val="auto"/>
          <w:sz w:val="20"/>
          <w:szCs w:val="20"/>
        </w:rPr>
        <w:t xml:space="preserve">: </w:t>
      </w:r>
      <w:r w:rsidR="002B332B" w:rsidRPr="0013587B">
        <w:rPr>
          <w:rFonts w:ascii="Arial" w:hAnsi="Arial" w:cs="Arial"/>
          <w:b/>
          <w:i w:val="0"/>
          <w:color w:val="auto"/>
          <w:sz w:val="20"/>
          <w:szCs w:val="20"/>
        </w:rPr>
        <w:t>Descriptive Statistics</w:t>
      </w:r>
      <w:r w:rsidRPr="0013587B">
        <w:rPr>
          <w:rFonts w:ascii="Arial" w:hAnsi="Arial" w:cs="Arial"/>
          <w:b/>
          <w:i w:val="0"/>
          <w:color w:val="auto"/>
          <w:sz w:val="20"/>
          <w:szCs w:val="20"/>
        </w:rPr>
        <w:t xml:space="preserve"> Results</w:t>
      </w:r>
      <w:bookmarkEnd w:id="8"/>
    </w:p>
    <w:tbl>
      <w:tblPr>
        <w:tblW w:w="5000" w:type="pct"/>
        <w:tblCellMar>
          <w:left w:w="0" w:type="dxa"/>
          <w:right w:w="0" w:type="dxa"/>
        </w:tblCellMar>
        <w:tblLook w:val="0000" w:firstRow="0" w:lastRow="0" w:firstColumn="0" w:lastColumn="0" w:noHBand="0" w:noVBand="0"/>
      </w:tblPr>
      <w:tblGrid>
        <w:gridCol w:w="2500"/>
        <w:gridCol w:w="2208"/>
        <w:gridCol w:w="2208"/>
        <w:gridCol w:w="2205"/>
      </w:tblGrid>
      <w:tr w:rsidR="00890663" w:rsidRPr="0013587B" w14:paraId="54D8BD36" w14:textId="77777777" w:rsidTr="00890663">
        <w:trPr>
          <w:trHeight w:val="204"/>
        </w:trPr>
        <w:tc>
          <w:tcPr>
            <w:tcW w:w="1370" w:type="pct"/>
            <w:vAlign w:val="bottom"/>
          </w:tcPr>
          <w:p w14:paraId="626A3C87" w14:textId="77777777" w:rsidR="00890663" w:rsidRPr="0013587B" w:rsidRDefault="00890663" w:rsidP="005E13CD">
            <w:pPr>
              <w:spacing w:after="0" w:line="240" w:lineRule="auto"/>
              <w:jc w:val="both"/>
              <w:rPr>
                <w:rFonts w:ascii="Arial" w:hAnsi="Arial" w:cs="Arial"/>
                <w:sz w:val="20"/>
                <w:szCs w:val="20"/>
              </w:rPr>
            </w:pPr>
          </w:p>
        </w:tc>
        <w:tc>
          <w:tcPr>
            <w:tcW w:w="1210" w:type="pct"/>
            <w:vAlign w:val="bottom"/>
          </w:tcPr>
          <w:p w14:paraId="20A0FDBB" w14:textId="77777777" w:rsidR="00890663" w:rsidRPr="0013587B" w:rsidRDefault="00890663" w:rsidP="005E13CD">
            <w:pPr>
              <w:spacing w:after="0" w:line="240" w:lineRule="auto"/>
              <w:jc w:val="both"/>
              <w:rPr>
                <w:rFonts w:ascii="Arial" w:hAnsi="Arial" w:cs="Arial"/>
                <w:b/>
                <w:sz w:val="20"/>
                <w:szCs w:val="20"/>
              </w:rPr>
            </w:pPr>
            <w:r w:rsidRPr="0013587B">
              <w:rPr>
                <w:rFonts w:ascii="Arial" w:hAnsi="Arial" w:cs="Arial"/>
                <w:b/>
                <w:sz w:val="20"/>
                <w:szCs w:val="20"/>
              </w:rPr>
              <w:t>ROE</w:t>
            </w:r>
          </w:p>
        </w:tc>
        <w:tc>
          <w:tcPr>
            <w:tcW w:w="1210" w:type="pct"/>
            <w:vAlign w:val="bottom"/>
          </w:tcPr>
          <w:p w14:paraId="44AF3839" w14:textId="77777777" w:rsidR="00890663" w:rsidRPr="0013587B" w:rsidRDefault="00890663" w:rsidP="005E13CD">
            <w:pPr>
              <w:spacing w:after="0" w:line="240" w:lineRule="auto"/>
              <w:jc w:val="both"/>
              <w:rPr>
                <w:rFonts w:ascii="Arial" w:hAnsi="Arial" w:cs="Arial"/>
                <w:b/>
                <w:sz w:val="20"/>
                <w:szCs w:val="20"/>
              </w:rPr>
            </w:pPr>
            <w:r w:rsidRPr="0013587B">
              <w:rPr>
                <w:rFonts w:ascii="Arial" w:hAnsi="Arial" w:cs="Arial"/>
                <w:b/>
                <w:sz w:val="20"/>
                <w:szCs w:val="20"/>
              </w:rPr>
              <w:t>RF</w:t>
            </w:r>
          </w:p>
        </w:tc>
        <w:tc>
          <w:tcPr>
            <w:tcW w:w="1209" w:type="pct"/>
            <w:vAlign w:val="bottom"/>
          </w:tcPr>
          <w:p w14:paraId="110CCE15" w14:textId="77777777" w:rsidR="00890663" w:rsidRPr="0013587B" w:rsidRDefault="00890663" w:rsidP="005E13CD">
            <w:pPr>
              <w:spacing w:after="0" w:line="240" w:lineRule="auto"/>
              <w:jc w:val="both"/>
              <w:rPr>
                <w:rFonts w:ascii="Arial" w:hAnsi="Arial" w:cs="Arial"/>
                <w:b/>
                <w:sz w:val="20"/>
                <w:szCs w:val="20"/>
              </w:rPr>
            </w:pPr>
            <w:r w:rsidRPr="0013587B">
              <w:rPr>
                <w:rFonts w:ascii="Arial" w:hAnsi="Arial" w:cs="Arial"/>
                <w:b/>
                <w:sz w:val="20"/>
                <w:szCs w:val="20"/>
              </w:rPr>
              <w:t>SMD</w:t>
            </w:r>
          </w:p>
        </w:tc>
      </w:tr>
      <w:tr w:rsidR="00890663" w:rsidRPr="0013587B" w14:paraId="07366C5C" w14:textId="77777777" w:rsidTr="00890663">
        <w:trPr>
          <w:trHeight w:val="204"/>
        </w:trPr>
        <w:tc>
          <w:tcPr>
            <w:tcW w:w="1370" w:type="pct"/>
            <w:vAlign w:val="bottom"/>
          </w:tcPr>
          <w:p w14:paraId="19DF99C9" w14:textId="0A7617F2"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Mean</w:t>
            </w:r>
          </w:p>
        </w:tc>
        <w:tc>
          <w:tcPr>
            <w:tcW w:w="1210" w:type="pct"/>
            <w:vAlign w:val="bottom"/>
          </w:tcPr>
          <w:p w14:paraId="321B6D57" w14:textId="6B9AB53E"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0.201429</w:t>
            </w:r>
          </w:p>
        </w:tc>
        <w:tc>
          <w:tcPr>
            <w:tcW w:w="1210" w:type="pct"/>
            <w:vAlign w:val="bottom"/>
          </w:tcPr>
          <w:p w14:paraId="34F6D610"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0.143209</w:t>
            </w:r>
          </w:p>
        </w:tc>
        <w:tc>
          <w:tcPr>
            <w:tcW w:w="1209" w:type="pct"/>
            <w:vAlign w:val="bottom"/>
          </w:tcPr>
          <w:p w14:paraId="7C7EE8E5"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0.344608</w:t>
            </w:r>
          </w:p>
        </w:tc>
      </w:tr>
      <w:tr w:rsidR="00890663" w:rsidRPr="0013587B" w14:paraId="2F63C474" w14:textId="77777777" w:rsidTr="00890663">
        <w:trPr>
          <w:trHeight w:val="204"/>
        </w:trPr>
        <w:tc>
          <w:tcPr>
            <w:tcW w:w="1370" w:type="pct"/>
            <w:vAlign w:val="bottom"/>
          </w:tcPr>
          <w:p w14:paraId="4DE7BF91" w14:textId="6F81577B"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Median</w:t>
            </w:r>
          </w:p>
        </w:tc>
        <w:tc>
          <w:tcPr>
            <w:tcW w:w="1210" w:type="pct"/>
            <w:vAlign w:val="bottom"/>
          </w:tcPr>
          <w:p w14:paraId="4EACF5B7" w14:textId="0022F2A6"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0.190000</w:t>
            </w:r>
          </w:p>
        </w:tc>
        <w:tc>
          <w:tcPr>
            <w:tcW w:w="1210" w:type="pct"/>
            <w:vAlign w:val="bottom"/>
          </w:tcPr>
          <w:p w14:paraId="37416A24"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0.002308</w:t>
            </w:r>
          </w:p>
        </w:tc>
        <w:tc>
          <w:tcPr>
            <w:tcW w:w="1209" w:type="pct"/>
            <w:vAlign w:val="bottom"/>
          </w:tcPr>
          <w:p w14:paraId="6391AC4F"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0.097100</w:t>
            </w:r>
          </w:p>
        </w:tc>
      </w:tr>
      <w:tr w:rsidR="00890663" w:rsidRPr="0013587B" w14:paraId="1F1168B0" w14:textId="77777777" w:rsidTr="00890663">
        <w:trPr>
          <w:trHeight w:val="204"/>
        </w:trPr>
        <w:tc>
          <w:tcPr>
            <w:tcW w:w="1370" w:type="pct"/>
            <w:vAlign w:val="bottom"/>
          </w:tcPr>
          <w:p w14:paraId="2174706E" w14:textId="50060F35"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Maximum</w:t>
            </w:r>
          </w:p>
        </w:tc>
        <w:tc>
          <w:tcPr>
            <w:tcW w:w="1210" w:type="pct"/>
            <w:vAlign w:val="bottom"/>
          </w:tcPr>
          <w:p w14:paraId="0B0A0115"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2.570000</w:t>
            </w:r>
          </w:p>
        </w:tc>
        <w:tc>
          <w:tcPr>
            <w:tcW w:w="1210" w:type="pct"/>
            <w:vAlign w:val="bottom"/>
          </w:tcPr>
          <w:p w14:paraId="189A64B9"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3.183209</w:t>
            </w:r>
          </w:p>
        </w:tc>
        <w:tc>
          <w:tcPr>
            <w:tcW w:w="1209" w:type="pct"/>
            <w:vAlign w:val="bottom"/>
          </w:tcPr>
          <w:p w14:paraId="7616C3D4"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3.584210</w:t>
            </w:r>
          </w:p>
        </w:tc>
      </w:tr>
      <w:tr w:rsidR="00890663" w:rsidRPr="0013587B" w14:paraId="041A9556" w14:textId="77777777" w:rsidTr="00890663">
        <w:trPr>
          <w:trHeight w:val="204"/>
        </w:trPr>
        <w:tc>
          <w:tcPr>
            <w:tcW w:w="1370" w:type="pct"/>
            <w:vAlign w:val="bottom"/>
          </w:tcPr>
          <w:p w14:paraId="79E9DF88" w14:textId="20E67E2D"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Minimum</w:t>
            </w:r>
          </w:p>
        </w:tc>
        <w:tc>
          <w:tcPr>
            <w:tcW w:w="1210" w:type="pct"/>
            <w:vAlign w:val="bottom"/>
          </w:tcPr>
          <w:p w14:paraId="1C315C12"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1.010000</w:t>
            </w:r>
          </w:p>
        </w:tc>
        <w:tc>
          <w:tcPr>
            <w:tcW w:w="1210" w:type="pct"/>
            <w:vAlign w:val="bottom"/>
          </w:tcPr>
          <w:p w14:paraId="70EF6FB1"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2.547400</w:t>
            </w:r>
          </w:p>
        </w:tc>
        <w:tc>
          <w:tcPr>
            <w:tcW w:w="1209" w:type="pct"/>
            <w:vAlign w:val="bottom"/>
          </w:tcPr>
          <w:p w14:paraId="2C9CC56C"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1.820000</w:t>
            </w:r>
          </w:p>
        </w:tc>
      </w:tr>
      <w:tr w:rsidR="00890663" w:rsidRPr="0013587B" w14:paraId="5866F70D" w14:textId="77777777" w:rsidTr="00890663">
        <w:trPr>
          <w:trHeight w:val="204"/>
        </w:trPr>
        <w:tc>
          <w:tcPr>
            <w:tcW w:w="1370" w:type="pct"/>
            <w:vAlign w:val="bottom"/>
          </w:tcPr>
          <w:p w14:paraId="0ADFB6AC" w14:textId="4D2E761D"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Std. Dev.</w:t>
            </w:r>
          </w:p>
        </w:tc>
        <w:tc>
          <w:tcPr>
            <w:tcW w:w="1210" w:type="pct"/>
            <w:vAlign w:val="bottom"/>
          </w:tcPr>
          <w:p w14:paraId="436FA154"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0.377816</w:t>
            </w:r>
          </w:p>
        </w:tc>
        <w:tc>
          <w:tcPr>
            <w:tcW w:w="1210" w:type="pct"/>
            <w:vAlign w:val="bottom"/>
          </w:tcPr>
          <w:p w14:paraId="328F2F5B"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1.745209</w:t>
            </w:r>
          </w:p>
        </w:tc>
        <w:tc>
          <w:tcPr>
            <w:tcW w:w="1209" w:type="pct"/>
            <w:vAlign w:val="bottom"/>
          </w:tcPr>
          <w:p w14:paraId="3A188CC0"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1.162209</w:t>
            </w:r>
          </w:p>
        </w:tc>
      </w:tr>
      <w:tr w:rsidR="00890663" w:rsidRPr="0013587B" w14:paraId="0CEE0356" w14:textId="77777777" w:rsidTr="00890663">
        <w:trPr>
          <w:trHeight w:val="204"/>
        </w:trPr>
        <w:tc>
          <w:tcPr>
            <w:tcW w:w="1370" w:type="pct"/>
            <w:vAlign w:val="bottom"/>
          </w:tcPr>
          <w:p w14:paraId="01209295" w14:textId="0AB439FA"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Skewness</w:t>
            </w:r>
          </w:p>
        </w:tc>
        <w:tc>
          <w:tcPr>
            <w:tcW w:w="1210" w:type="pct"/>
            <w:vAlign w:val="bottom"/>
          </w:tcPr>
          <w:p w14:paraId="59A3FDF9"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2.192797</w:t>
            </w:r>
          </w:p>
        </w:tc>
        <w:tc>
          <w:tcPr>
            <w:tcW w:w="1210" w:type="pct"/>
            <w:vAlign w:val="bottom"/>
          </w:tcPr>
          <w:p w14:paraId="263A7AAF"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2.077187</w:t>
            </w:r>
          </w:p>
        </w:tc>
        <w:tc>
          <w:tcPr>
            <w:tcW w:w="1209" w:type="pct"/>
            <w:vAlign w:val="bottom"/>
          </w:tcPr>
          <w:p w14:paraId="2C8162B8"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2.915666</w:t>
            </w:r>
          </w:p>
        </w:tc>
      </w:tr>
      <w:tr w:rsidR="00890663" w:rsidRPr="0013587B" w14:paraId="6F109C40" w14:textId="77777777" w:rsidTr="00890663">
        <w:trPr>
          <w:trHeight w:val="204"/>
        </w:trPr>
        <w:tc>
          <w:tcPr>
            <w:tcW w:w="1370" w:type="pct"/>
            <w:vAlign w:val="bottom"/>
          </w:tcPr>
          <w:p w14:paraId="2202BBCE" w14:textId="7FF51C7A"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Kurtosis</w:t>
            </w:r>
          </w:p>
        </w:tc>
        <w:tc>
          <w:tcPr>
            <w:tcW w:w="1210" w:type="pct"/>
            <w:vAlign w:val="bottom"/>
          </w:tcPr>
          <w:p w14:paraId="5DEBA533"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3.864387</w:t>
            </w:r>
          </w:p>
        </w:tc>
        <w:tc>
          <w:tcPr>
            <w:tcW w:w="1210" w:type="pct"/>
            <w:vAlign w:val="bottom"/>
          </w:tcPr>
          <w:p w14:paraId="52A54650"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8.572765</w:t>
            </w:r>
          </w:p>
        </w:tc>
        <w:tc>
          <w:tcPr>
            <w:tcW w:w="1209" w:type="pct"/>
            <w:vAlign w:val="bottom"/>
          </w:tcPr>
          <w:p w14:paraId="2987534A"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5.611691</w:t>
            </w:r>
          </w:p>
        </w:tc>
      </w:tr>
      <w:tr w:rsidR="00890663" w:rsidRPr="0013587B" w14:paraId="52400187" w14:textId="77777777" w:rsidTr="00890663">
        <w:trPr>
          <w:trHeight w:val="204"/>
        </w:trPr>
        <w:tc>
          <w:tcPr>
            <w:tcW w:w="1370" w:type="pct"/>
            <w:vAlign w:val="bottom"/>
          </w:tcPr>
          <w:p w14:paraId="0B2F7714" w14:textId="25AA965B"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Probability</w:t>
            </w:r>
          </w:p>
        </w:tc>
        <w:tc>
          <w:tcPr>
            <w:tcW w:w="1210" w:type="pct"/>
            <w:vAlign w:val="bottom"/>
          </w:tcPr>
          <w:p w14:paraId="36F7E98C"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0.010000</w:t>
            </w:r>
          </w:p>
        </w:tc>
        <w:tc>
          <w:tcPr>
            <w:tcW w:w="1210" w:type="pct"/>
            <w:vAlign w:val="bottom"/>
          </w:tcPr>
          <w:p w14:paraId="005E532E"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0.050000</w:t>
            </w:r>
          </w:p>
        </w:tc>
        <w:tc>
          <w:tcPr>
            <w:tcW w:w="1209" w:type="pct"/>
            <w:vAlign w:val="bottom"/>
          </w:tcPr>
          <w:p w14:paraId="3DA9C4F5"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0.000100</w:t>
            </w:r>
          </w:p>
        </w:tc>
      </w:tr>
      <w:tr w:rsidR="00890663" w:rsidRPr="0013587B" w14:paraId="2D29F262" w14:textId="77777777" w:rsidTr="00890663">
        <w:trPr>
          <w:trHeight w:val="204"/>
        </w:trPr>
        <w:tc>
          <w:tcPr>
            <w:tcW w:w="1370" w:type="pct"/>
            <w:vAlign w:val="bottom"/>
          </w:tcPr>
          <w:p w14:paraId="364E4B7E" w14:textId="559D8FEA"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Sum</w:t>
            </w:r>
          </w:p>
        </w:tc>
        <w:tc>
          <w:tcPr>
            <w:tcW w:w="1210" w:type="pct"/>
            <w:vAlign w:val="bottom"/>
          </w:tcPr>
          <w:p w14:paraId="74B3040D"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28.20000</w:t>
            </w:r>
          </w:p>
        </w:tc>
        <w:tc>
          <w:tcPr>
            <w:tcW w:w="1210" w:type="pct"/>
            <w:vAlign w:val="bottom"/>
          </w:tcPr>
          <w:p w14:paraId="6C2C595D"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1.603211</w:t>
            </w:r>
          </w:p>
        </w:tc>
        <w:tc>
          <w:tcPr>
            <w:tcW w:w="1209" w:type="pct"/>
            <w:vAlign w:val="bottom"/>
          </w:tcPr>
          <w:p w14:paraId="7C6D4236"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1.034511</w:t>
            </w:r>
          </w:p>
        </w:tc>
      </w:tr>
      <w:tr w:rsidR="00890663" w:rsidRPr="0013587B" w14:paraId="57BA4262" w14:textId="77777777" w:rsidTr="00890663">
        <w:trPr>
          <w:trHeight w:val="204"/>
        </w:trPr>
        <w:tc>
          <w:tcPr>
            <w:tcW w:w="1370" w:type="pct"/>
            <w:vAlign w:val="bottom"/>
          </w:tcPr>
          <w:p w14:paraId="3D4458B1" w14:textId="6200A10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Sum Sq. Dev.</w:t>
            </w:r>
          </w:p>
        </w:tc>
        <w:tc>
          <w:tcPr>
            <w:tcW w:w="1210" w:type="pct"/>
            <w:vAlign w:val="bottom"/>
          </w:tcPr>
          <w:p w14:paraId="020B55E5"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19.84151</w:t>
            </w:r>
          </w:p>
        </w:tc>
        <w:tc>
          <w:tcPr>
            <w:tcW w:w="1210" w:type="pct"/>
            <w:vAlign w:val="bottom"/>
          </w:tcPr>
          <w:p w14:paraId="5B6AEC6C"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4.192320</w:t>
            </w:r>
          </w:p>
        </w:tc>
        <w:tc>
          <w:tcPr>
            <w:tcW w:w="1209" w:type="pct"/>
            <w:vAlign w:val="bottom"/>
          </w:tcPr>
          <w:p w14:paraId="2FFCC537"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2.412321</w:t>
            </w:r>
          </w:p>
        </w:tc>
      </w:tr>
      <w:tr w:rsidR="00890663" w:rsidRPr="0013587B" w14:paraId="01607CE4" w14:textId="77777777" w:rsidTr="00890663">
        <w:trPr>
          <w:trHeight w:val="204"/>
        </w:trPr>
        <w:tc>
          <w:tcPr>
            <w:tcW w:w="1370" w:type="pct"/>
            <w:vAlign w:val="bottom"/>
          </w:tcPr>
          <w:p w14:paraId="5049BCEE" w14:textId="7FAB6E7E"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Observations</w:t>
            </w:r>
          </w:p>
        </w:tc>
        <w:tc>
          <w:tcPr>
            <w:tcW w:w="1210" w:type="pct"/>
            <w:vAlign w:val="bottom"/>
          </w:tcPr>
          <w:p w14:paraId="37E1DEC3"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140</w:t>
            </w:r>
          </w:p>
        </w:tc>
        <w:tc>
          <w:tcPr>
            <w:tcW w:w="1210" w:type="pct"/>
            <w:vAlign w:val="bottom"/>
          </w:tcPr>
          <w:p w14:paraId="7A72C73A"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140</w:t>
            </w:r>
          </w:p>
        </w:tc>
        <w:tc>
          <w:tcPr>
            <w:tcW w:w="1209" w:type="pct"/>
            <w:vAlign w:val="bottom"/>
          </w:tcPr>
          <w:p w14:paraId="2051EC64"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140</w:t>
            </w:r>
          </w:p>
        </w:tc>
      </w:tr>
    </w:tbl>
    <w:p w14:paraId="6DA3D7DF" w14:textId="77777777" w:rsidR="00E56F63" w:rsidRPr="0013587B" w:rsidRDefault="00E56F63" w:rsidP="005E13CD">
      <w:pPr>
        <w:spacing w:line="240" w:lineRule="auto"/>
        <w:rPr>
          <w:rFonts w:ascii="Arial" w:hAnsi="Arial" w:cs="Arial"/>
          <w:sz w:val="20"/>
          <w:szCs w:val="20"/>
        </w:rPr>
      </w:pPr>
      <w:r w:rsidRPr="0013587B">
        <w:rPr>
          <w:rFonts w:ascii="Arial" w:hAnsi="Arial" w:cs="Arial"/>
          <w:sz w:val="20"/>
          <w:szCs w:val="20"/>
        </w:rPr>
        <w:t>Source: Data Analysis (202</w:t>
      </w:r>
      <w:r w:rsidR="00A67706" w:rsidRPr="0013587B">
        <w:rPr>
          <w:rFonts w:ascii="Arial" w:hAnsi="Arial" w:cs="Arial"/>
          <w:sz w:val="20"/>
          <w:szCs w:val="20"/>
        </w:rPr>
        <w:t>5</w:t>
      </w:r>
      <w:r w:rsidRPr="0013587B">
        <w:rPr>
          <w:rFonts w:ascii="Arial" w:hAnsi="Arial" w:cs="Arial"/>
          <w:sz w:val="20"/>
          <w:szCs w:val="20"/>
        </w:rPr>
        <w:t>)</w:t>
      </w:r>
    </w:p>
    <w:p w14:paraId="1116FCA3" w14:textId="244F636A" w:rsidR="009622D5" w:rsidRPr="0013587B" w:rsidRDefault="009622D5" w:rsidP="009622D5">
      <w:pPr>
        <w:spacing w:line="240" w:lineRule="auto"/>
        <w:jc w:val="both"/>
        <w:rPr>
          <w:rFonts w:ascii="Arial" w:hAnsi="Arial" w:cs="Arial"/>
          <w:sz w:val="20"/>
          <w:szCs w:val="20"/>
        </w:rPr>
      </w:pPr>
      <w:r w:rsidRPr="0013587B">
        <w:rPr>
          <w:rFonts w:ascii="Arial" w:hAnsi="Arial" w:cs="Arial"/>
          <w:sz w:val="20"/>
          <w:szCs w:val="20"/>
        </w:rPr>
        <w:t xml:space="preserve">Return on Equity (ROE) shows mean value of 0.2014; indicating that on average, firms generated a return of approximately 20.14% on shareholders' equity. However, the median value is lower at 0.19, suggesting that distribution of ROE was positively skewed with few firms achieving significantly higher returns. This is confirmed by the high skewness value of 2.19 and an extremely high kurtosis value of </w:t>
      </w:r>
      <w:r w:rsidRPr="0013587B">
        <w:rPr>
          <w:rFonts w:ascii="Arial" w:hAnsi="Arial" w:cs="Arial"/>
          <w:sz w:val="20"/>
          <w:szCs w:val="20"/>
        </w:rPr>
        <w:lastRenderedPageBreak/>
        <w:t>3.864, indicating a distribution with a long right tail and heavy peak. The maximum ROE observed is 2.57, whereas minimum was 1.01, and standard deviation of 0.3778 reflects considerable variation in profitability among firms. Therefore, the skewness and kurtosis of the ROE confirm that the distribution of ROE significantly represents the normality of the data. According to Demir (2022), the normality of data for skewness should not go above absolute value of ± 3, and for kurtosis should not greater than value of ± 10. The regulatory framework exhibits value of mean 0.14 and a median of 0.002. The difference between the mean and median suggests a positively skewed distribution. The value of standard deviation 1.745 indicating significant variability in regulatory framework across observations. The minimum and maximum values range from 3.183 to 2.547, further highlighting the normal dispersion. The distribution’s skewness of 2.077 and kurtosis of 8.573 reflect a normal deviation from the normal curve. This statistically confirms the normality of data (Demir, 2022). Stock Market Development (SMD) has a mean of 0.34 and a median of only 0.097 that indicate a normal skew. Value of maximum was 3.58 while minimum was 1.82, which suggests normal variability in the levels of market development among firms in the specified periods. The result of the standard deviation stands at 1.16, also indicating a normal level of dispersion. The result of a skewness value of 2.92 and kurtosis of 5.61 shows the normal level of data among the variables (Matore &amp; Khairani, 2020).</w:t>
      </w:r>
    </w:p>
    <w:p w14:paraId="419D7AD2" w14:textId="6E52ADE4" w:rsidR="00E56F63" w:rsidRPr="0013587B" w:rsidRDefault="00E56F63" w:rsidP="009622D5">
      <w:pPr>
        <w:rPr>
          <w:rFonts w:ascii="Arial" w:hAnsi="Arial" w:cs="Arial"/>
          <w:b/>
          <w:sz w:val="20"/>
          <w:szCs w:val="20"/>
        </w:rPr>
      </w:pPr>
      <w:bookmarkStart w:id="9" w:name="_Toc207714061"/>
      <w:bookmarkStart w:id="10" w:name="_Toc208584821"/>
      <w:r w:rsidRPr="0013587B">
        <w:rPr>
          <w:rFonts w:ascii="Arial" w:hAnsi="Arial" w:cs="Arial"/>
          <w:b/>
          <w:sz w:val="20"/>
          <w:szCs w:val="20"/>
        </w:rPr>
        <w:t>4.</w:t>
      </w:r>
      <w:r w:rsidR="00E874BA" w:rsidRPr="0013587B">
        <w:rPr>
          <w:rFonts w:ascii="Arial" w:hAnsi="Arial" w:cs="Arial"/>
          <w:b/>
          <w:sz w:val="20"/>
          <w:szCs w:val="20"/>
        </w:rPr>
        <w:t>2</w:t>
      </w:r>
      <w:r w:rsidRPr="0013587B">
        <w:rPr>
          <w:rFonts w:ascii="Arial" w:hAnsi="Arial" w:cs="Arial"/>
          <w:b/>
          <w:sz w:val="20"/>
          <w:szCs w:val="20"/>
        </w:rPr>
        <w:t xml:space="preserve"> Pearson Correlation Matrix Test</w:t>
      </w:r>
      <w:bookmarkEnd w:id="9"/>
      <w:bookmarkEnd w:id="10"/>
    </w:p>
    <w:p w14:paraId="517D97D7" w14:textId="7A47D67B" w:rsidR="00E56F63" w:rsidRPr="0013587B" w:rsidRDefault="00E56F63" w:rsidP="005E13CD">
      <w:pPr>
        <w:spacing w:after="0" w:line="240" w:lineRule="auto"/>
        <w:jc w:val="both"/>
        <w:rPr>
          <w:rFonts w:ascii="Arial" w:hAnsi="Arial" w:cs="Arial"/>
          <w:sz w:val="20"/>
          <w:szCs w:val="20"/>
        </w:rPr>
      </w:pPr>
      <w:r w:rsidRPr="0013587B">
        <w:rPr>
          <w:rFonts w:ascii="Arial" w:hAnsi="Arial" w:cs="Arial"/>
          <w:sz w:val="20"/>
          <w:szCs w:val="20"/>
        </w:rPr>
        <w:t>The Pearson correlation matrix test provides the findings into the linear relationships among the variables of the study</w:t>
      </w:r>
      <w:r w:rsidR="006D5B79" w:rsidRPr="0013587B">
        <w:rPr>
          <w:rFonts w:ascii="Arial" w:hAnsi="Arial" w:cs="Arial"/>
          <w:sz w:val="20"/>
          <w:szCs w:val="20"/>
        </w:rPr>
        <w:t>, which are</w:t>
      </w:r>
      <w:r w:rsidRPr="0013587B">
        <w:rPr>
          <w:rFonts w:ascii="Arial" w:hAnsi="Arial" w:cs="Arial"/>
          <w:sz w:val="20"/>
          <w:szCs w:val="20"/>
        </w:rPr>
        <w:t xml:space="preserve"> ROE, RF</w:t>
      </w:r>
      <w:r w:rsidR="00D31F7E" w:rsidRPr="0013587B">
        <w:rPr>
          <w:rFonts w:ascii="Arial" w:hAnsi="Arial" w:cs="Arial"/>
          <w:sz w:val="20"/>
          <w:szCs w:val="20"/>
        </w:rPr>
        <w:t xml:space="preserve"> and SMD</w:t>
      </w:r>
      <w:r w:rsidRPr="0013587B">
        <w:rPr>
          <w:rFonts w:ascii="Arial" w:hAnsi="Arial" w:cs="Arial"/>
          <w:sz w:val="20"/>
          <w:szCs w:val="20"/>
        </w:rPr>
        <w:t>. This test helps</w:t>
      </w:r>
      <w:r w:rsidR="00FC2970" w:rsidRPr="0013587B">
        <w:rPr>
          <w:rFonts w:ascii="Arial" w:hAnsi="Arial" w:cs="Arial"/>
          <w:sz w:val="20"/>
          <w:szCs w:val="20"/>
        </w:rPr>
        <w:t xml:space="preserve"> in </w:t>
      </w:r>
      <w:r w:rsidRPr="0013587B">
        <w:rPr>
          <w:rFonts w:ascii="Arial" w:hAnsi="Arial" w:cs="Arial"/>
          <w:sz w:val="20"/>
          <w:szCs w:val="20"/>
        </w:rPr>
        <w:t>determin</w:t>
      </w:r>
      <w:r w:rsidR="00FC2970" w:rsidRPr="0013587B">
        <w:rPr>
          <w:rFonts w:ascii="Arial" w:hAnsi="Arial" w:cs="Arial"/>
          <w:sz w:val="20"/>
          <w:szCs w:val="20"/>
        </w:rPr>
        <w:t>ation of</w:t>
      </w:r>
      <w:r w:rsidRPr="0013587B">
        <w:rPr>
          <w:rFonts w:ascii="Arial" w:hAnsi="Arial" w:cs="Arial"/>
          <w:sz w:val="20"/>
          <w:szCs w:val="20"/>
        </w:rPr>
        <w:t xml:space="preserve"> strength and direction associat</w:t>
      </w:r>
      <w:r w:rsidR="00FC2970" w:rsidRPr="0013587B">
        <w:rPr>
          <w:rFonts w:ascii="Arial" w:hAnsi="Arial" w:cs="Arial"/>
          <w:sz w:val="20"/>
          <w:szCs w:val="20"/>
        </w:rPr>
        <w:t>ed</w:t>
      </w:r>
      <w:r w:rsidRPr="0013587B">
        <w:rPr>
          <w:rFonts w:ascii="Arial" w:hAnsi="Arial" w:cs="Arial"/>
          <w:sz w:val="20"/>
          <w:szCs w:val="20"/>
        </w:rPr>
        <w:t xml:space="preserve"> between pairs of </w:t>
      </w:r>
      <w:r w:rsidR="006D5B79" w:rsidRPr="0013587B">
        <w:rPr>
          <w:rFonts w:ascii="Arial" w:hAnsi="Arial" w:cs="Arial"/>
          <w:sz w:val="20"/>
          <w:szCs w:val="20"/>
        </w:rPr>
        <w:t>variables,</w:t>
      </w:r>
      <w:r w:rsidRPr="0013587B">
        <w:rPr>
          <w:rFonts w:ascii="Arial" w:hAnsi="Arial" w:cs="Arial"/>
          <w:sz w:val="20"/>
          <w:szCs w:val="20"/>
        </w:rPr>
        <w:t xml:space="preserve"> which</w:t>
      </w:r>
      <w:r w:rsidR="00A70787" w:rsidRPr="0013587B">
        <w:rPr>
          <w:rFonts w:ascii="Arial" w:hAnsi="Arial" w:cs="Arial"/>
          <w:sz w:val="20"/>
          <w:szCs w:val="20"/>
        </w:rPr>
        <w:t xml:space="preserve"> are </w:t>
      </w:r>
      <w:r w:rsidRPr="0013587B">
        <w:rPr>
          <w:rFonts w:ascii="Arial" w:hAnsi="Arial" w:cs="Arial"/>
          <w:sz w:val="20"/>
          <w:szCs w:val="20"/>
        </w:rPr>
        <w:t xml:space="preserve">critical in understanding potential linkages and multicollinearity in subsequent regression analyses (Jain et al., 2022). According to </w:t>
      </w:r>
      <w:r w:rsidRPr="00136DBF">
        <w:rPr>
          <w:rFonts w:ascii="Arial" w:hAnsi="Arial" w:cs="Arial"/>
          <w:sz w:val="20"/>
          <w:szCs w:val="20"/>
        </w:rPr>
        <w:t>Jain et al. (2022), correla</w:t>
      </w:r>
      <w:r w:rsidR="00D12558" w:rsidRPr="00136DBF">
        <w:rPr>
          <w:rFonts w:ascii="Arial" w:hAnsi="Arial" w:cs="Arial"/>
          <w:sz w:val="20"/>
          <w:szCs w:val="20"/>
        </w:rPr>
        <w:t>tion</w:t>
      </w:r>
      <w:r w:rsidR="00D12558" w:rsidRPr="0013587B">
        <w:rPr>
          <w:rFonts w:ascii="Arial" w:hAnsi="Arial" w:cs="Arial"/>
          <w:sz w:val="20"/>
          <w:szCs w:val="20"/>
        </w:rPr>
        <w:t xml:space="preserve"> coefficients range</w:t>
      </w:r>
      <w:r w:rsidR="006C4CE0" w:rsidRPr="0013587B">
        <w:rPr>
          <w:rFonts w:ascii="Arial" w:hAnsi="Arial" w:cs="Arial"/>
          <w:sz w:val="20"/>
          <w:szCs w:val="20"/>
        </w:rPr>
        <w:t xml:space="preserve"> in value of </w:t>
      </w:r>
      <m:oMath>
        <m:r>
          <w:rPr>
            <w:rFonts w:ascii="Cambria Math" w:eastAsia="Cambria Math" w:hAnsi="Cambria Math" w:cs="Arial"/>
            <w:sz w:val="20"/>
            <w:szCs w:val="20"/>
          </w:rPr>
          <m:t>±</m:t>
        </m:r>
      </m:oMath>
      <w:r w:rsidR="00D12558" w:rsidRPr="0013587B">
        <w:rPr>
          <w:rFonts w:ascii="Arial" w:hAnsi="Arial" w:cs="Arial"/>
          <w:sz w:val="20"/>
          <w:szCs w:val="20"/>
        </w:rPr>
        <w:t xml:space="preserve"> 1</w:t>
      </w:r>
      <w:r w:rsidR="006D5B79" w:rsidRPr="0013587B">
        <w:rPr>
          <w:rFonts w:ascii="Arial" w:hAnsi="Arial" w:cs="Arial"/>
          <w:sz w:val="20"/>
          <w:szCs w:val="20"/>
        </w:rPr>
        <w:t>,</w:t>
      </w:r>
      <w:r w:rsidRPr="0013587B">
        <w:rPr>
          <w:rFonts w:ascii="Arial" w:hAnsi="Arial" w:cs="Arial"/>
          <w:sz w:val="20"/>
          <w:szCs w:val="20"/>
        </w:rPr>
        <w:t xml:space="preserve"> value</w:t>
      </w:r>
      <w:r w:rsidR="000D6B2B" w:rsidRPr="0013587B">
        <w:rPr>
          <w:rFonts w:ascii="Arial" w:hAnsi="Arial" w:cs="Arial"/>
          <w:sz w:val="20"/>
          <w:szCs w:val="20"/>
        </w:rPr>
        <w:t xml:space="preserve"> close to </w:t>
      </w:r>
      <w:r w:rsidR="00AC09F8" w:rsidRPr="0013587B">
        <w:rPr>
          <w:rFonts w:ascii="Arial" w:hAnsi="Arial" w:cs="Arial"/>
          <w:sz w:val="20"/>
          <w:szCs w:val="20"/>
        </w:rPr>
        <w:t xml:space="preserve">1 </w:t>
      </w:r>
      <w:r w:rsidR="00D12558" w:rsidRPr="0013587B">
        <w:rPr>
          <w:rFonts w:ascii="Arial" w:hAnsi="Arial" w:cs="Arial"/>
          <w:sz w:val="20"/>
          <w:szCs w:val="20"/>
        </w:rPr>
        <w:t xml:space="preserve">indicating </w:t>
      </w:r>
      <w:r w:rsidR="00A70787" w:rsidRPr="0013587B">
        <w:rPr>
          <w:rFonts w:ascii="Arial" w:hAnsi="Arial" w:cs="Arial"/>
          <w:sz w:val="20"/>
          <w:szCs w:val="20"/>
        </w:rPr>
        <w:t>robust</w:t>
      </w:r>
      <w:r w:rsidR="00D12558" w:rsidRPr="0013587B">
        <w:rPr>
          <w:rFonts w:ascii="Arial" w:hAnsi="Arial" w:cs="Arial"/>
          <w:sz w:val="20"/>
          <w:szCs w:val="20"/>
        </w:rPr>
        <w:t xml:space="preserve"> positive </w:t>
      </w:r>
      <w:r w:rsidRPr="0013587B">
        <w:rPr>
          <w:rFonts w:ascii="Arial" w:hAnsi="Arial" w:cs="Arial"/>
          <w:sz w:val="20"/>
          <w:szCs w:val="20"/>
        </w:rPr>
        <w:t>linear relationships,</w:t>
      </w:r>
      <w:r w:rsidR="00A70787" w:rsidRPr="0013587B">
        <w:rPr>
          <w:rFonts w:ascii="Arial" w:hAnsi="Arial" w:cs="Arial"/>
          <w:sz w:val="20"/>
          <w:szCs w:val="20"/>
        </w:rPr>
        <w:t xml:space="preserve"> where</w:t>
      </w:r>
      <w:r w:rsidRPr="0013587B">
        <w:rPr>
          <w:rFonts w:ascii="Arial" w:hAnsi="Arial" w:cs="Arial"/>
          <w:sz w:val="20"/>
          <w:szCs w:val="20"/>
        </w:rPr>
        <w:t xml:space="preserve"> value</w:t>
      </w:r>
      <w:r w:rsidR="00D12558" w:rsidRPr="0013587B">
        <w:rPr>
          <w:rFonts w:ascii="Arial" w:hAnsi="Arial" w:cs="Arial"/>
          <w:sz w:val="20"/>
          <w:szCs w:val="20"/>
        </w:rPr>
        <w:t xml:space="preserve"> </w:t>
      </w:r>
      <w:r w:rsidRPr="0013587B">
        <w:rPr>
          <w:rFonts w:ascii="Arial" w:hAnsi="Arial" w:cs="Arial"/>
          <w:sz w:val="20"/>
          <w:szCs w:val="20"/>
        </w:rPr>
        <w:t>close to</w:t>
      </w:r>
      <w:r w:rsidR="00D12558" w:rsidRPr="0013587B">
        <w:rPr>
          <w:rFonts w:ascii="Arial" w:hAnsi="Arial" w:cs="Arial"/>
          <w:sz w:val="20"/>
          <w:szCs w:val="20"/>
        </w:rPr>
        <w:t xml:space="preserve"> -1</w:t>
      </w:r>
      <w:r w:rsidRPr="0013587B">
        <w:rPr>
          <w:rFonts w:ascii="Arial" w:hAnsi="Arial" w:cs="Arial"/>
          <w:sz w:val="20"/>
          <w:szCs w:val="20"/>
        </w:rPr>
        <w:t xml:space="preserve"> indicating</w:t>
      </w:r>
      <w:r w:rsidR="00D12558" w:rsidRPr="0013587B">
        <w:rPr>
          <w:rFonts w:ascii="Arial" w:hAnsi="Arial" w:cs="Arial"/>
          <w:sz w:val="20"/>
          <w:szCs w:val="20"/>
        </w:rPr>
        <w:t xml:space="preserve"> </w:t>
      </w:r>
      <w:r w:rsidR="00A70787" w:rsidRPr="0013587B">
        <w:rPr>
          <w:rFonts w:ascii="Arial" w:hAnsi="Arial" w:cs="Arial"/>
          <w:sz w:val="20"/>
          <w:szCs w:val="20"/>
        </w:rPr>
        <w:t>robust</w:t>
      </w:r>
      <w:r w:rsidR="00D12558" w:rsidRPr="0013587B">
        <w:rPr>
          <w:rFonts w:ascii="Arial" w:hAnsi="Arial" w:cs="Arial"/>
          <w:sz w:val="20"/>
          <w:szCs w:val="20"/>
        </w:rPr>
        <w:t xml:space="preserve"> negative</w:t>
      </w:r>
      <w:r w:rsidRPr="0013587B">
        <w:rPr>
          <w:rFonts w:ascii="Arial" w:hAnsi="Arial" w:cs="Arial"/>
          <w:sz w:val="20"/>
          <w:szCs w:val="20"/>
        </w:rPr>
        <w:t xml:space="preserve"> relationships, values near</w:t>
      </w:r>
      <w:r w:rsidR="00D12558" w:rsidRPr="0013587B">
        <w:rPr>
          <w:rFonts w:ascii="Arial" w:hAnsi="Arial" w:cs="Arial"/>
          <w:sz w:val="20"/>
          <w:szCs w:val="20"/>
        </w:rPr>
        <w:t xml:space="preserve"> 0 suggesting weak or no </w:t>
      </w:r>
      <w:r w:rsidRPr="0013587B">
        <w:rPr>
          <w:rFonts w:ascii="Arial" w:hAnsi="Arial" w:cs="Arial"/>
          <w:sz w:val="20"/>
          <w:szCs w:val="20"/>
        </w:rPr>
        <w:t>correlation.</w:t>
      </w:r>
    </w:p>
    <w:p w14:paraId="0829F1B8" w14:textId="531F6B8F" w:rsidR="00E56F63" w:rsidRPr="0013587B" w:rsidRDefault="00C06F6F" w:rsidP="00990E42">
      <w:pPr>
        <w:pStyle w:val="Caption"/>
        <w:keepNext/>
        <w:spacing w:after="0"/>
        <w:rPr>
          <w:rFonts w:ascii="Arial" w:hAnsi="Arial" w:cs="Arial"/>
          <w:b/>
          <w:i w:val="0"/>
          <w:color w:val="auto"/>
          <w:sz w:val="20"/>
          <w:szCs w:val="20"/>
        </w:rPr>
      </w:pPr>
      <w:bookmarkStart w:id="11" w:name="_Toc206689012"/>
      <w:r w:rsidRPr="0013587B">
        <w:rPr>
          <w:rFonts w:ascii="Arial" w:hAnsi="Arial" w:cs="Arial"/>
          <w:b/>
          <w:i w:val="0"/>
          <w:color w:val="auto"/>
          <w:sz w:val="20"/>
          <w:szCs w:val="20"/>
        </w:rPr>
        <w:t xml:space="preserve">Table </w:t>
      </w:r>
      <w:r w:rsidR="00D31F7E" w:rsidRPr="0013587B">
        <w:rPr>
          <w:rFonts w:ascii="Arial" w:hAnsi="Arial" w:cs="Arial"/>
          <w:b/>
          <w:i w:val="0"/>
          <w:color w:val="auto"/>
          <w:sz w:val="20"/>
          <w:szCs w:val="20"/>
        </w:rPr>
        <w:t>2</w:t>
      </w:r>
      <w:r w:rsidR="00D26B14" w:rsidRPr="0013587B">
        <w:rPr>
          <w:rFonts w:ascii="Arial" w:hAnsi="Arial" w:cs="Arial"/>
          <w:b/>
          <w:i w:val="0"/>
          <w:color w:val="auto"/>
          <w:sz w:val="20"/>
          <w:szCs w:val="20"/>
        </w:rPr>
        <w:t xml:space="preserve">: </w:t>
      </w:r>
      <w:bookmarkEnd w:id="11"/>
      <w:r w:rsidRPr="0013587B">
        <w:rPr>
          <w:rFonts w:ascii="Arial" w:hAnsi="Arial" w:cs="Arial"/>
          <w:b/>
          <w:i w:val="0"/>
          <w:color w:val="auto"/>
          <w:sz w:val="20"/>
          <w:szCs w:val="20"/>
        </w:rPr>
        <w:t>Pearson Correlation Matrix Test</w:t>
      </w:r>
    </w:p>
    <w:tbl>
      <w:tblPr>
        <w:tblW w:w="5000" w:type="pct"/>
        <w:tblCellMar>
          <w:left w:w="0" w:type="dxa"/>
          <w:right w:w="0" w:type="dxa"/>
        </w:tblCellMar>
        <w:tblLook w:val="0000" w:firstRow="0" w:lastRow="0" w:firstColumn="0" w:lastColumn="0" w:noHBand="0" w:noVBand="0"/>
      </w:tblPr>
      <w:tblGrid>
        <w:gridCol w:w="2162"/>
        <w:gridCol w:w="1870"/>
        <w:gridCol w:w="1698"/>
        <w:gridCol w:w="1698"/>
        <w:gridCol w:w="1693"/>
      </w:tblGrid>
      <w:tr w:rsidR="00D31F7E" w:rsidRPr="006E5FF9" w14:paraId="79A9EA5C" w14:textId="77777777" w:rsidTr="00D31F7E">
        <w:trPr>
          <w:trHeight w:hRule="exact" w:val="81"/>
        </w:trPr>
        <w:tc>
          <w:tcPr>
            <w:tcW w:w="1185" w:type="pct"/>
            <w:tcBorders>
              <w:top w:val="nil"/>
              <w:left w:val="nil"/>
              <w:bottom w:val="double" w:sz="6" w:space="2" w:color="auto"/>
              <w:right w:val="nil"/>
            </w:tcBorders>
            <w:vAlign w:val="bottom"/>
          </w:tcPr>
          <w:p w14:paraId="4C2AD6FE" w14:textId="77777777" w:rsidR="00D31F7E" w:rsidRPr="006E5FF9" w:rsidRDefault="00D31F7E" w:rsidP="00990E42">
            <w:pPr>
              <w:spacing w:after="0" w:line="240" w:lineRule="auto"/>
              <w:rPr>
                <w:rFonts w:ascii="Arial" w:eastAsia="Tahoma" w:hAnsi="Arial" w:cs="Arial"/>
                <w:sz w:val="20"/>
                <w:szCs w:val="20"/>
              </w:rPr>
            </w:pPr>
          </w:p>
        </w:tc>
        <w:tc>
          <w:tcPr>
            <w:tcW w:w="1025" w:type="pct"/>
            <w:tcBorders>
              <w:top w:val="nil"/>
              <w:left w:val="nil"/>
              <w:bottom w:val="double" w:sz="6" w:space="2" w:color="auto"/>
              <w:right w:val="nil"/>
            </w:tcBorders>
            <w:vAlign w:val="bottom"/>
          </w:tcPr>
          <w:p w14:paraId="22869C20" w14:textId="77777777" w:rsidR="00D31F7E" w:rsidRPr="006E5FF9" w:rsidRDefault="00D31F7E" w:rsidP="00990E42">
            <w:pPr>
              <w:spacing w:after="0" w:line="240" w:lineRule="auto"/>
              <w:rPr>
                <w:rFonts w:ascii="Arial" w:eastAsia="Tahoma" w:hAnsi="Arial" w:cs="Arial"/>
                <w:sz w:val="20"/>
                <w:szCs w:val="20"/>
              </w:rPr>
            </w:pPr>
          </w:p>
        </w:tc>
        <w:tc>
          <w:tcPr>
            <w:tcW w:w="931" w:type="pct"/>
            <w:tcBorders>
              <w:top w:val="nil"/>
              <w:left w:val="nil"/>
              <w:bottom w:val="double" w:sz="6" w:space="2" w:color="auto"/>
              <w:right w:val="nil"/>
            </w:tcBorders>
            <w:vAlign w:val="bottom"/>
          </w:tcPr>
          <w:p w14:paraId="6E4CC622" w14:textId="77777777" w:rsidR="00D31F7E" w:rsidRPr="006E5FF9" w:rsidRDefault="00D31F7E" w:rsidP="00990E42">
            <w:pPr>
              <w:spacing w:after="0" w:line="240" w:lineRule="auto"/>
              <w:rPr>
                <w:rFonts w:ascii="Arial" w:eastAsia="Tahoma" w:hAnsi="Arial" w:cs="Arial"/>
                <w:sz w:val="20"/>
                <w:szCs w:val="20"/>
              </w:rPr>
            </w:pPr>
          </w:p>
        </w:tc>
        <w:tc>
          <w:tcPr>
            <w:tcW w:w="931" w:type="pct"/>
            <w:tcBorders>
              <w:top w:val="nil"/>
              <w:left w:val="nil"/>
              <w:bottom w:val="double" w:sz="6" w:space="2" w:color="auto"/>
              <w:right w:val="nil"/>
            </w:tcBorders>
            <w:vAlign w:val="bottom"/>
          </w:tcPr>
          <w:p w14:paraId="125A0BBA" w14:textId="77777777" w:rsidR="00D31F7E" w:rsidRPr="006E5FF9" w:rsidRDefault="00D31F7E" w:rsidP="00990E42">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184712D3" w14:textId="77777777" w:rsidR="00D31F7E" w:rsidRPr="006E5FF9" w:rsidRDefault="00D31F7E" w:rsidP="00990E42">
            <w:pPr>
              <w:spacing w:after="0" w:line="240" w:lineRule="auto"/>
              <w:rPr>
                <w:rFonts w:ascii="Arial" w:eastAsia="Tahoma" w:hAnsi="Arial" w:cs="Arial"/>
                <w:sz w:val="20"/>
                <w:szCs w:val="20"/>
              </w:rPr>
            </w:pPr>
          </w:p>
        </w:tc>
      </w:tr>
      <w:tr w:rsidR="00D31F7E" w:rsidRPr="006E5FF9" w14:paraId="6C4A2972" w14:textId="77777777" w:rsidTr="00D31F7E">
        <w:trPr>
          <w:trHeight w:hRule="exact" w:val="122"/>
        </w:trPr>
        <w:tc>
          <w:tcPr>
            <w:tcW w:w="1185" w:type="pct"/>
            <w:tcBorders>
              <w:top w:val="nil"/>
              <w:left w:val="nil"/>
              <w:bottom w:val="nil"/>
              <w:right w:val="nil"/>
            </w:tcBorders>
            <w:vAlign w:val="bottom"/>
          </w:tcPr>
          <w:p w14:paraId="0690D718"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nil"/>
              <w:bottom w:val="nil"/>
              <w:right w:val="nil"/>
            </w:tcBorders>
            <w:vAlign w:val="bottom"/>
          </w:tcPr>
          <w:p w14:paraId="7D985702"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639224E5"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789E6384"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558862FB"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2CDE5912" w14:textId="77777777" w:rsidTr="00D31F7E">
        <w:trPr>
          <w:trHeight w:val="204"/>
        </w:trPr>
        <w:tc>
          <w:tcPr>
            <w:tcW w:w="2210" w:type="pct"/>
            <w:gridSpan w:val="2"/>
            <w:tcBorders>
              <w:top w:val="nil"/>
              <w:left w:val="nil"/>
              <w:bottom w:val="nil"/>
              <w:right w:val="nil"/>
            </w:tcBorders>
            <w:vAlign w:val="bottom"/>
          </w:tcPr>
          <w:p w14:paraId="7424FAB0"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Correlation</w:t>
            </w:r>
          </w:p>
        </w:tc>
        <w:tc>
          <w:tcPr>
            <w:tcW w:w="931" w:type="pct"/>
            <w:tcBorders>
              <w:top w:val="nil"/>
              <w:left w:val="nil"/>
              <w:bottom w:val="nil"/>
              <w:right w:val="nil"/>
            </w:tcBorders>
            <w:vAlign w:val="bottom"/>
          </w:tcPr>
          <w:p w14:paraId="540C62E5"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7A3AC0C2"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4CBA9476"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5A72C790" w14:textId="77777777" w:rsidTr="00D31F7E">
        <w:trPr>
          <w:trHeight w:val="204"/>
        </w:trPr>
        <w:tc>
          <w:tcPr>
            <w:tcW w:w="2210" w:type="pct"/>
            <w:gridSpan w:val="2"/>
            <w:tcBorders>
              <w:top w:val="nil"/>
              <w:left w:val="nil"/>
              <w:bottom w:val="nil"/>
              <w:right w:val="nil"/>
            </w:tcBorders>
            <w:vAlign w:val="bottom"/>
          </w:tcPr>
          <w:p w14:paraId="690BD816"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t-Statistic</w:t>
            </w:r>
          </w:p>
        </w:tc>
        <w:tc>
          <w:tcPr>
            <w:tcW w:w="931" w:type="pct"/>
            <w:tcBorders>
              <w:top w:val="nil"/>
              <w:left w:val="nil"/>
              <w:bottom w:val="nil"/>
              <w:right w:val="nil"/>
            </w:tcBorders>
            <w:vAlign w:val="bottom"/>
          </w:tcPr>
          <w:p w14:paraId="37D0D498"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6178915A"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16446F69"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52956833" w14:textId="77777777" w:rsidTr="00D31F7E">
        <w:trPr>
          <w:trHeight w:val="204"/>
        </w:trPr>
        <w:tc>
          <w:tcPr>
            <w:tcW w:w="1185" w:type="pct"/>
            <w:tcBorders>
              <w:top w:val="nil"/>
              <w:left w:val="nil"/>
              <w:bottom w:val="single" w:sz="6" w:space="0" w:color="auto"/>
              <w:right w:val="single" w:sz="6" w:space="0" w:color="auto"/>
            </w:tcBorders>
            <w:vAlign w:val="bottom"/>
          </w:tcPr>
          <w:p w14:paraId="005ED6E7"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Probability</w:t>
            </w:r>
          </w:p>
        </w:tc>
        <w:tc>
          <w:tcPr>
            <w:tcW w:w="1025" w:type="pct"/>
            <w:tcBorders>
              <w:top w:val="nil"/>
              <w:left w:val="single" w:sz="6" w:space="0" w:color="auto"/>
              <w:bottom w:val="single" w:sz="6" w:space="0" w:color="auto"/>
              <w:right w:val="nil"/>
            </w:tcBorders>
            <w:vAlign w:val="bottom"/>
          </w:tcPr>
          <w:p w14:paraId="51670B7F"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ROE </w:t>
            </w:r>
          </w:p>
        </w:tc>
        <w:tc>
          <w:tcPr>
            <w:tcW w:w="931" w:type="pct"/>
            <w:tcBorders>
              <w:top w:val="nil"/>
              <w:left w:val="nil"/>
              <w:bottom w:val="single" w:sz="6" w:space="0" w:color="auto"/>
              <w:right w:val="nil"/>
            </w:tcBorders>
            <w:vAlign w:val="bottom"/>
          </w:tcPr>
          <w:p w14:paraId="652AC03F"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RF </w:t>
            </w:r>
          </w:p>
        </w:tc>
        <w:tc>
          <w:tcPr>
            <w:tcW w:w="931" w:type="pct"/>
            <w:tcBorders>
              <w:top w:val="nil"/>
              <w:left w:val="nil"/>
              <w:bottom w:val="single" w:sz="6" w:space="0" w:color="auto"/>
              <w:right w:val="nil"/>
            </w:tcBorders>
            <w:vAlign w:val="bottom"/>
          </w:tcPr>
          <w:p w14:paraId="341E0D46"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SMD </w:t>
            </w:r>
          </w:p>
        </w:tc>
        <w:tc>
          <w:tcPr>
            <w:tcW w:w="928" w:type="pct"/>
            <w:tcBorders>
              <w:top w:val="nil"/>
              <w:left w:val="nil"/>
              <w:bottom w:val="nil"/>
              <w:right w:val="nil"/>
            </w:tcBorders>
            <w:vAlign w:val="bottom"/>
          </w:tcPr>
          <w:p w14:paraId="37765B32"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6110C0D1" w14:textId="77777777" w:rsidTr="00D31F7E">
        <w:trPr>
          <w:trHeight w:val="204"/>
        </w:trPr>
        <w:tc>
          <w:tcPr>
            <w:tcW w:w="1185" w:type="pct"/>
            <w:tcBorders>
              <w:top w:val="single" w:sz="6" w:space="0" w:color="auto"/>
              <w:left w:val="nil"/>
              <w:bottom w:val="nil"/>
              <w:right w:val="single" w:sz="6" w:space="0" w:color="auto"/>
            </w:tcBorders>
            <w:vAlign w:val="bottom"/>
          </w:tcPr>
          <w:p w14:paraId="48CB60F7"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ROE </w:t>
            </w:r>
          </w:p>
        </w:tc>
        <w:tc>
          <w:tcPr>
            <w:tcW w:w="1025" w:type="pct"/>
            <w:tcBorders>
              <w:top w:val="single" w:sz="6" w:space="0" w:color="auto"/>
              <w:left w:val="single" w:sz="6" w:space="0" w:color="auto"/>
              <w:bottom w:val="nil"/>
              <w:right w:val="nil"/>
            </w:tcBorders>
            <w:vAlign w:val="bottom"/>
          </w:tcPr>
          <w:p w14:paraId="3D53C7E9"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1.000000</w:t>
            </w:r>
          </w:p>
        </w:tc>
        <w:tc>
          <w:tcPr>
            <w:tcW w:w="931" w:type="pct"/>
            <w:tcBorders>
              <w:top w:val="single" w:sz="6" w:space="0" w:color="auto"/>
              <w:left w:val="nil"/>
              <w:bottom w:val="nil"/>
              <w:right w:val="nil"/>
            </w:tcBorders>
            <w:vAlign w:val="bottom"/>
          </w:tcPr>
          <w:p w14:paraId="0B6C436C"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single" w:sz="6" w:space="0" w:color="auto"/>
              <w:left w:val="nil"/>
              <w:bottom w:val="nil"/>
              <w:right w:val="nil"/>
            </w:tcBorders>
            <w:vAlign w:val="bottom"/>
          </w:tcPr>
          <w:p w14:paraId="53633B6F"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1575BE43"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71645762" w14:textId="77777777" w:rsidTr="00D31F7E">
        <w:trPr>
          <w:trHeight w:val="204"/>
        </w:trPr>
        <w:tc>
          <w:tcPr>
            <w:tcW w:w="1185" w:type="pct"/>
            <w:tcBorders>
              <w:top w:val="nil"/>
              <w:left w:val="nil"/>
              <w:bottom w:val="nil"/>
              <w:right w:val="single" w:sz="6" w:space="0" w:color="auto"/>
            </w:tcBorders>
            <w:vAlign w:val="bottom"/>
          </w:tcPr>
          <w:p w14:paraId="5AC1FFC5"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5F7E0D58"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31" w:type="pct"/>
            <w:tcBorders>
              <w:top w:val="nil"/>
              <w:left w:val="nil"/>
              <w:bottom w:val="nil"/>
              <w:right w:val="nil"/>
            </w:tcBorders>
            <w:vAlign w:val="bottom"/>
          </w:tcPr>
          <w:p w14:paraId="0F4B9C92"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62C2453C"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273D2FED"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5B9342A8" w14:textId="77777777" w:rsidTr="00D31F7E">
        <w:trPr>
          <w:trHeight w:val="204"/>
        </w:trPr>
        <w:tc>
          <w:tcPr>
            <w:tcW w:w="1185" w:type="pct"/>
            <w:tcBorders>
              <w:top w:val="nil"/>
              <w:left w:val="nil"/>
              <w:bottom w:val="nil"/>
              <w:right w:val="single" w:sz="6" w:space="0" w:color="auto"/>
            </w:tcBorders>
            <w:vAlign w:val="bottom"/>
          </w:tcPr>
          <w:p w14:paraId="317944F6"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14575CAC"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31" w:type="pct"/>
            <w:tcBorders>
              <w:top w:val="nil"/>
              <w:left w:val="nil"/>
              <w:bottom w:val="nil"/>
              <w:right w:val="nil"/>
            </w:tcBorders>
            <w:vAlign w:val="bottom"/>
          </w:tcPr>
          <w:p w14:paraId="4CCC9BB3"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607DF45F"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48D2D71D"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4013E814" w14:textId="77777777" w:rsidTr="00D31F7E">
        <w:trPr>
          <w:trHeight w:val="204"/>
        </w:trPr>
        <w:tc>
          <w:tcPr>
            <w:tcW w:w="1185" w:type="pct"/>
            <w:tcBorders>
              <w:top w:val="nil"/>
              <w:left w:val="nil"/>
              <w:bottom w:val="nil"/>
              <w:right w:val="single" w:sz="6" w:space="0" w:color="auto"/>
            </w:tcBorders>
            <w:vAlign w:val="bottom"/>
          </w:tcPr>
          <w:p w14:paraId="3B71200B"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DE706E1"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4FDFCC61"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57B09721"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7770DE7A"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775BD78C" w14:textId="77777777" w:rsidTr="00D31F7E">
        <w:trPr>
          <w:trHeight w:val="204"/>
        </w:trPr>
        <w:tc>
          <w:tcPr>
            <w:tcW w:w="1185" w:type="pct"/>
            <w:tcBorders>
              <w:top w:val="nil"/>
              <w:left w:val="nil"/>
              <w:bottom w:val="nil"/>
              <w:right w:val="single" w:sz="6" w:space="0" w:color="auto"/>
            </w:tcBorders>
            <w:vAlign w:val="bottom"/>
          </w:tcPr>
          <w:p w14:paraId="4D9F2B36"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RF </w:t>
            </w:r>
          </w:p>
        </w:tc>
        <w:tc>
          <w:tcPr>
            <w:tcW w:w="1025" w:type="pct"/>
            <w:tcBorders>
              <w:top w:val="nil"/>
              <w:left w:val="single" w:sz="6" w:space="0" w:color="auto"/>
              <w:bottom w:val="nil"/>
              <w:right w:val="nil"/>
            </w:tcBorders>
            <w:vAlign w:val="bottom"/>
          </w:tcPr>
          <w:p w14:paraId="6E499686"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lang w:eastAsia="zh-CN"/>
              </w:rPr>
              <w:t>0</w:t>
            </w:r>
            <w:r w:rsidRPr="006E5FF9">
              <w:rPr>
                <w:rFonts w:ascii="Arial" w:eastAsia="Tahoma" w:hAnsi="Arial" w:cs="Arial"/>
                <w:sz w:val="20"/>
                <w:szCs w:val="20"/>
              </w:rPr>
              <w:t>.587941</w:t>
            </w:r>
          </w:p>
        </w:tc>
        <w:tc>
          <w:tcPr>
            <w:tcW w:w="931" w:type="pct"/>
            <w:tcBorders>
              <w:top w:val="nil"/>
              <w:left w:val="nil"/>
              <w:bottom w:val="nil"/>
              <w:right w:val="nil"/>
            </w:tcBorders>
            <w:vAlign w:val="bottom"/>
          </w:tcPr>
          <w:p w14:paraId="31CFDAF5"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1.000000</w:t>
            </w:r>
          </w:p>
        </w:tc>
        <w:tc>
          <w:tcPr>
            <w:tcW w:w="931" w:type="pct"/>
            <w:tcBorders>
              <w:top w:val="nil"/>
              <w:left w:val="nil"/>
              <w:bottom w:val="nil"/>
              <w:right w:val="nil"/>
            </w:tcBorders>
            <w:vAlign w:val="bottom"/>
          </w:tcPr>
          <w:p w14:paraId="0E0FB62F"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4DBA18F2"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79AD1533" w14:textId="77777777" w:rsidTr="00D31F7E">
        <w:trPr>
          <w:trHeight w:val="204"/>
        </w:trPr>
        <w:tc>
          <w:tcPr>
            <w:tcW w:w="1185" w:type="pct"/>
            <w:tcBorders>
              <w:top w:val="nil"/>
              <w:left w:val="nil"/>
              <w:bottom w:val="nil"/>
              <w:right w:val="single" w:sz="6" w:space="0" w:color="auto"/>
            </w:tcBorders>
            <w:vAlign w:val="bottom"/>
          </w:tcPr>
          <w:p w14:paraId="19691BAF"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057CBEF"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0.247859</w:t>
            </w:r>
          </w:p>
        </w:tc>
        <w:tc>
          <w:tcPr>
            <w:tcW w:w="931" w:type="pct"/>
            <w:tcBorders>
              <w:top w:val="nil"/>
              <w:left w:val="nil"/>
              <w:bottom w:val="nil"/>
              <w:right w:val="nil"/>
            </w:tcBorders>
            <w:vAlign w:val="bottom"/>
          </w:tcPr>
          <w:p w14:paraId="318F7D0D"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31" w:type="pct"/>
            <w:tcBorders>
              <w:top w:val="nil"/>
              <w:left w:val="nil"/>
              <w:bottom w:val="nil"/>
              <w:right w:val="nil"/>
            </w:tcBorders>
            <w:vAlign w:val="bottom"/>
          </w:tcPr>
          <w:p w14:paraId="68BD3AA8"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54130B80"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622146A9" w14:textId="77777777" w:rsidTr="00D31F7E">
        <w:trPr>
          <w:trHeight w:val="204"/>
        </w:trPr>
        <w:tc>
          <w:tcPr>
            <w:tcW w:w="1185" w:type="pct"/>
            <w:tcBorders>
              <w:top w:val="nil"/>
              <w:left w:val="nil"/>
              <w:bottom w:val="nil"/>
              <w:right w:val="single" w:sz="6" w:space="0" w:color="auto"/>
            </w:tcBorders>
            <w:vAlign w:val="bottom"/>
          </w:tcPr>
          <w:p w14:paraId="00132E5B"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AE61107"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0.1262</w:t>
            </w:r>
          </w:p>
        </w:tc>
        <w:tc>
          <w:tcPr>
            <w:tcW w:w="931" w:type="pct"/>
            <w:tcBorders>
              <w:top w:val="nil"/>
              <w:left w:val="nil"/>
              <w:bottom w:val="nil"/>
              <w:right w:val="nil"/>
            </w:tcBorders>
            <w:vAlign w:val="bottom"/>
          </w:tcPr>
          <w:p w14:paraId="0B6D68AC"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31" w:type="pct"/>
            <w:tcBorders>
              <w:top w:val="nil"/>
              <w:left w:val="nil"/>
              <w:bottom w:val="nil"/>
              <w:right w:val="nil"/>
            </w:tcBorders>
            <w:vAlign w:val="bottom"/>
          </w:tcPr>
          <w:p w14:paraId="7F5536A4"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3A797F9C"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12653563" w14:textId="77777777" w:rsidTr="00D31F7E">
        <w:trPr>
          <w:trHeight w:val="204"/>
        </w:trPr>
        <w:tc>
          <w:tcPr>
            <w:tcW w:w="1185" w:type="pct"/>
            <w:tcBorders>
              <w:top w:val="nil"/>
              <w:left w:val="nil"/>
              <w:bottom w:val="nil"/>
              <w:right w:val="single" w:sz="6" w:space="0" w:color="auto"/>
            </w:tcBorders>
            <w:vAlign w:val="bottom"/>
          </w:tcPr>
          <w:p w14:paraId="31A09AB6"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95BFF5F"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72F4F280"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3A080AD7"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21DC102C"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15D3A7FC" w14:textId="77777777" w:rsidTr="00D31F7E">
        <w:trPr>
          <w:trHeight w:val="204"/>
        </w:trPr>
        <w:tc>
          <w:tcPr>
            <w:tcW w:w="1185" w:type="pct"/>
            <w:tcBorders>
              <w:top w:val="nil"/>
              <w:left w:val="nil"/>
              <w:bottom w:val="nil"/>
              <w:right w:val="single" w:sz="6" w:space="0" w:color="auto"/>
            </w:tcBorders>
            <w:vAlign w:val="bottom"/>
          </w:tcPr>
          <w:p w14:paraId="4FBDE2CB"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SMD </w:t>
            </w:r>
          </w:p>
        </w:tc>
        <w:tc>
          <w:tcPr>
            <w:tcW w:w="1025" w:type="pct"/>
            <w:tcBorders>
              <w:top w:val="nil"/>
              <w:left w:val="single" w:sz="6" w:space="0" w:color="auto"/>
              <w:bottom w:val="nil"/>
              <w:right w:val="nil"/>
            </w:tcBorders>
            <w:vAlign w:val="bottom"/>
          </w:tcPr>
          <w:p w14:paraId="42B258B1"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w:t>
            </w:r>
            <w:r w:rsidRPr="006E5FF9">
              <w:rPr>
                <w:rFonts w:ascii="Arial" w:eastAsia="Tahoma" w:hAnsi="Arial" w:cs="Arial"/>
                <w:sz w:val="20"/>
                <w:szCs w:val="20"/>
                <w:lang w:eastAsia="zh-CN"/>
              </w:rPr>
              <w:t>0.5</w:t>
            </w:r>
            <w:r w:rsidRPr="006E5FF9">
              <w:rPr>
                <w:rFonts w:ascii="Arial" w:eastAsia="Tahoma" w:hAnsi="Arial" w:cs="Arial"/>
                <w:sz w:val="20"/>
                <w:szCs w:val="20"/>
              </w:rPr>
              <w:t>19634</w:t>
            </w:r>
          </w:p>
        </w:tc>
        <w:tc>
          <w:tcPr>
            <w:tcW w:w="931" w:type="pct"/>
            <w:tcBorders>
              <w:top w:val="nil"/>
              <w:left w:val="nil"/>
              <w:bottom w:val="nil"/>
              <w:right w:val="nil"/>
            </w:tcBorders>
            <w:vAlign w:val="bottom"/>
          </w:tcPr>
          <w:p w14:paraId="020F49B6"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-0.021207</w:t>
            </w:r>
          </w:p>
        </w:tc>
        <w:tc>
          <w:tcPr>
            <w:tcW w:w="931" w:type="pct"/>
            <w:tcBorders>
              <w:top w:val="nil"/>
              <w:left w:val="nil"/>
              <w:bottom w:val="nil"/>
              <w:right w:val="nil"/>
            </w:tcBorders>
            <w:vAlign w:val="bottom"/>
          </w:tcPr>
          <w:p w14:paraId="1F8B76E1"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1.000000</w:t>
            </w:r>
          </w:p>
        </w:tc>
        <w:tc>
          <w:tcPr>
            <w:tcW w:w="928" w:type="pct"/>
            <w:tcBorders>
              <w:top w:val="nil"/>
              <w:left w:val="nil"/>
              <w:bottom w:val="nil"/>
              <w:right w:val="nil"/>
            </w:tcBorders>
            <w:vAlign w:val="bottom"/>
          </w:tcPr>
          <w:p w14:paraId="23E4A67C"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01AE02C7" w14:textId="77777777" w:rsidTr="00D31F7E">
        <w:trPr>
          <w:trHeight w:val="204"/>
        </w:trPr>
        <w:tc>
          <w:tcPr>
            <w:tcW w:w="1185" w:type="pct"/>
            <w:tcBorders>
              <w:top w:val="nil"/>
              <w:left w:val="nil"/>
              <w:bottom w:val="nil"/>
              <w:right w:val="single" w:sz="6" w:space="0" w:color="auto"/>
            </w:tcBorders>
            <w:vAlign w:val="bottom"/>
          </w:tcPr>
          <w:p w14:paraId="73E02637"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9270A9B"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-0.230687</w:t>
            </w:r>
          </w:p>
        </w:tc>
        <w:tc>
          <w:tcPr>
            <w:tcW w:w="931" w:type="pct"/>
            <w:tcBorders>
              <w:top w:val="nil"/>
              <w:left w:val="nil"/>
              <w:bottom w:val="nil"/>
              <w:right w:val="nil"/>
            </w:tcBorders>
            <w:vAlign w:val="bottom"/>
          </w:tcPr>
          <w:p w14:paraId="3FCBE0E4"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-0.249184</w:t>
            </w:r>
          </w:p>
        </w:tc>
        <w:tc>
          <w:tcPr>
            <w:tcW w:w="931" w:type="pct"/>
            <w:tcBorders>
              <w:top w:val="nil"/>
              <w:left w:val="nil"/>
              <w:bottom w:val="nil"/>
              <w:right w:val="nil"/>
            </w:tcBorders>
            <w:vAlign w:val="bottom"/>
          </w:tcPr>
          <w:p w14:paraId="0B7F4FEA"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28" w:type="pct"/>
            <w:tcBorders>
              <w:top w:val="nil"/>
              <w:left w:val="nil"/>
              <w:bottom w:val="nil"/>
              <w:right w:val="nil"/>
            </w:tcBorders>
            <w:vAlign w:val="bottom"/>
          </w:tcPr>
          <w:p w14:paraId="0A91426D"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56A3B2FB" w14:textId="77777777" w:rsidTr="00D31F7E">
        <w:trPr>
          <w:trHeight w:val="204"/>
        </w:trPr>
        <w:tc>
          <w:tcPr>
            <w:tcW w:w="1185" w:type="pct"/>
            <w:tcBorders>
              <w:top w:val="nil"/>
              <w:left w:val="nil"/>
              <w:bottom w:val="nil"/>
              <w:right w:val="single" w:sz="6" w:space="0" w:color="auto"/>
            </w:tcBorders>
            <w:vAlign w:val="bottom"/>
          </w:tcPr>
          <w:p w14:paraId="0BAD4218"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10CD563C"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0.0179</w:t>
            </w:r>
          </w:p>
        </w:tc>
        <w:tc>
          <w:tcPr>
            <w:tcW w:w="931" w:type="pct"/>
            <w:tcBorders>
              <w:top w:val="nil"/>
              <w:left w:val="nil"/>
              <w:bottom w:val="nil"/>
              <w:right w:val="nil"/>
            </w:tcBorders>
            <w:vAlign w:val="bottom"/>
          </w:tcPr>
          <w:p w14:paraId="1F70350F" w14:textId="22C953D0"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0.7036</w:t>
            </w:r>
          </w:p>
        </w:tc>
        <w:tc>
          <w:tcPr>
            <w:tcW w:w="931" w:type="pct"/>
            <w:tcBorders>
              <w:top w:val="nil"/>
              <w:left w:val="nil"/>
              <w:bottom w:val="nil"/>
              <w:right w:val="nil"/>
            </w:tcBorders>
            <w:vAlign w:val="bottom"/>
          </w:tcPr>
          <w:p w14:paraId="2EB04127"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28" w:type="pct"/>
            <w:tcBorders>
              <w:top w:val="nil"/>
              <w:left w:val="nil"/>
              <w:bottom w:val="nil"/>
              <w:right w:val="nil"/>
            </w:tcBorders>
            <w:vAlign w:val="bottom"/>
          </w:tcPr>
          <w:p w14:paraId="7AE24CA8"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1754FCD0" w14:textId="77777777" w:rsidTr="00D31F7E">
        <w:trPr>
          <w:trHeight w:val="204"/>
        </w:trPr>
        <w:tc>
          <w:tcPr>
            <w:tcW w:w="1185" w:type="pct"/>
            <w:tcBorders>
              <w:top w:val="nil"/>
              <w:left w:val="nil"/>
              <w:bottom w:val="nil"/>
              <w:right w:val="single" w:sz="6" w:space="0" w:color="auto"/>
            </w:tcBorders>
            <w:vAlign w:val="bottom"/>
          </w:tcPr>
          <w:p w14:paraId="61161B07"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2817BF33"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7D81807E"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6C2B6113"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1B75F56C"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30C3FDA7" w14:textId="77777777" w:rsidTr="00D31F7E">
        <w:trPr>
          <w:trHeight w:hRule="exact" w:val="81"/>
        </w:trPr>
        <w:tc>
          <w:tcPr>
            <w:tcW w:w="1185" w:type="pct"/>
            <w:tcBorders>
              <w:top w:val="nil"/>
              <w:left w:val="nil"/>
              <w:bottom w:val="double" w:sz="6" w:space="0" w:color="auto"/>
              <w:right w:val="nil"/>
            </w:tcBorders>
            <w:vAlign w:val="bottom"/>
          </w:tcPr>
          <w:p w14:paraId="658C3F86"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nil"/>
              <w:bottom w:val="double" w:sz="6" w:space="0" w:color="auto"/>
              <w:right w:val="nil"/>
            </w:tcBorders>
            <w:vAlign w:val="bottom"/>
          </w:tcPr>
          <w:p w14:paraId="506DE885"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double" w:sz="6" w:space="0" w:color="auto"/>
              <w:right w:val="nil"/>
            </w:tcBorders>
            <w:vAlign w:val="bottom"/>
          </w:tcPr>
          <w:p w14:paraId="39693BBC"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double" w:sz="6" w:space="0" w:color="auto"/>
              <w:right w:val="nil"/>
            </w:tcBorders>
            <w:vAlign w:val="bottom"/>
          </w:tcPr>
          <w:p w14:paraId="15256973"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78ECD568"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4B9B5CA8" w14:textId="77777777" w:rsidTr="00D31F7E">
        <w:trPr>
          <w:trHeight w:hRule="exact" w:val="122"/>
        </w:trPr>
        <w:tc>
          <w:tcPr>
            <w:tcW w:w="1185" w:type="pct"/>
            <w:tcBorders>
              <w:top w:val="nil"/>
              <w:left w:val="nil"/>
              <w:bottom w:val="nil"/>
              <w:right w:val="nil"/>
            </w:tcBorders>
            <w:vAlign w:val="bottom"/>
          </w:tcPr>
          <w:p w14:paraId="69E6C7B5"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nil"/>
              <w:bottom w:val="nil"/>
              <w:right w:val="nil"/>
            </w:tcBorders>
            <w:vAlign w:val="bottom"/>
          </w:tcPr>
          <w:p w14:paraId="55885500"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141B3647"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72FDEEF9"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45AE5262" w14:textId="77777777" w:rsidR="00D31F7E" w:rsidRPr="006E5FF9" w:rsidRDefault="00D31F7E" w:rsidP="00D31F7E">
            <w:pPr>
              <w:spacing w:after="0" w:line="240" w:lineRule="auto"/>
              <w:rPr>
                <w:rFonts w:ascii="Arial" w:eastAsia="Tahoma" w:hAnsi="Arial" w:cs="Arial"/>
                <w:sz w:val="20"/>
                <w:szCs w:val="20"/>
              </w:rPr>
            </w:pPr>
          </w:p>
        </w:tc>
      </w:tr>
    </w:tbl>
    <w:p w14:paraId="223E77D1" w14:textId="77777777" w:rsidR="00E56F63" w:rsidRPr="0013587B" w:rsidRDefault="00E56F63" w:rsidP="005E13CD">
      <w:pPr>
        <w:spacing w:line="240" w:lineRule="auto"/>
        <w:rPr>
          <w:rFonts w:ascii="Arial" w:hAnsi="Arial" w:cs="Arial"/>
          <w:sz w:val="20"/>
          <w:szCs w:val="20"/>
        </w:rPr>
      </w:pPr>
      <w:r w:rsidRPr="0013587B">
        <w:rPr>
          <w:rFonts w:ascii="Arial" w:hAnsi="Arial" w:cs="Arial"/>
          <w:sz w:val="20"/>
          <w:szCs w:val="20"/>
        </w:rPr>
        <w:t>Source: Data Analysis (2025)</w:t>
      </w:r>
    </w:p>
    <w:p w14:paraId="41C4D2C9" w14:textId="7A9E37A3" w:rsidR="009622D5" w:rsidRPr="0013587B" w:rsidRDefault="009622D5" w:rsidP="009622D5">
      <w:pPr>
        <w:pStyle w:val="Caption"/>
        <w:keepNext/>
        <w:spacing w:after="0"/>
        <w:jc w:val="both"/>
        <w:rPr>
          <w:rFonts w:ascii="Arial" w:hAnsi="Arial" w:cs="Arial"/>
          <w:i w:val="0"/>
          <w:color w:val="auto"/>
          <w:sz w:val="20"/>
          <w:szCs w:val="20"/>
        </w:rPr>
      </w:pPr>
      <w:bookmarkStart w:id="12" w:name="_Toc206689015"/>
      <w:r w:rsidRPr="0013587B">
        <w:rPr>
          <w:rFonts w:ascii="Arial" w:hAnsi="Arial" w:cs="Arial"/>
          <w:i w:val="0"/>
          <w:color w:val="auto"/>
          <w:sz w:val="20"/>
          <w:szCs w:val="20"/>
        </w:rPr>
        <w:t xml:space="preserve">The correlation between ROE and the regulatory framework (RF) is 0.588, suggesting a moderate positive relationship; nevertheless, p-value of 0.1262 indicating relationship was statistically insignificant at the predictable 0.05 level. This implies that, while there is a tendency for firms operating under more robust regulatory environments to perform better, the evidence is not strong enough to confirm a meaningful influence (Abbood et al., 2021). Theoretically, an effective regulatory framework promotes transparency, reduces uncertainty, and strengthens investor confidence, which should enhance firm performance (Abbood et al., 2021). However, the insignificance of this relationship reflects implementation gaps, weak enforcement mechanisms, and regulatory burdens that neutralize potential benefits. This contrasts with findings by González et al. (2023), who established a significant link between financial regulation and firm-level performance in emerging markets. Correlation of SMD and ROE was </w:t>
      </w:r>
      <w:r w:rsidRPr="0013587B">
        <w:rPr>
          <w:rFonts w:ascii="Arial" w:hAnsi="Arial" w:cs="Arial"/>
          <w:i w:val="0"/>
          <w:color w:val="auto"/>
          <w:sz w:val="20"/>
          <w:szCs w:val="20"/>
        </w:rPr>
        <w:lastRenderedPageBreak/>
        <w:t xml:space="preserve">-0.520 while p-value was 0.0179, indicating moderate negative and statistical significant relationship. This inverse relationship suggests that as the stock market develops, the return on equity of firm’s decreases. This result is counterintuitive, as well-functioning stock market was generally expects supporting firm performance through increased access to capital and improved liquidity. One possible interpretation is that the Tanzanian stock market experiencing inefficiencies such as low trading volumes, limited investor participation, or speculative activities, which may not effectively support firm growth. This contradicts study by Li et al. (2020, December), argue stock market development positively correlates with firm growth in emerging economies. Therefore, this finding raises concerns about the functional maturity and institutional quality of Tanzania’s stock market. On the existence of multicollinearity, the Pearson correlation values among </w:t>
      </w:r>
      <w:r w:rsidR="00635198" w:rsidRPr="0013587B">
        <w:rPr>
          <w:rFonts w:ascii="Arial" w:hAnsi="Arial" w:cs="Arial"/>
          <w:i w:val="0"/>
          <w:color w:val="auto"/>
          <w:sz w:val="20"/>
          <w:szCs w:val="20"/>
        </w:rPr>
        <w:t xml:space="preserve">RF and SMD </w:t>
      </w:r>
      <w:r w:rsidRPr="0013587B">
        <w:rPr>
          <w:rFonts w:ascii="Arial" w:hAnsi="Arial" w:cs="Arial"/>
          <w:i w:val="0"/>
          <w:color w:val="auto"/>
          <w:sz w:val="20"/>
          <w:szCs w:val="20"/>
        </w:rPr>
        <w:t xml:space="preserve">are all below the critical threshold of 0.80 (Shrestha, 2020). </w:t>
      </w:r>
    </w:p>
    <w:p w14:paraId="7BAE1DC5" w14:textId="77777777" w:rsidR="009622D5" w:rsidRPr="0013587B" w:rsidRDefault="009622D5" w:rsidP="00CF2B1C">
      <w:pPr>
        <w:pStyle w:val="Caption"/>
        <w:keepNext/>
        <w:spacing w:after="0"/>
        <w:jc w:val="both"/>
        <w:rPr>
          <w:rFonts w:ascii="Arial" w:hAnsi="Arial" w:cs="Arial"/>
          <w:b/>
          <w:color w:val="auto"/>
          <w:sz w:val="20"/>
          <w:szCs w:val="20"/>
        </w:rPr>
      </w:pPr>
    </w:p>
    <w:p w14:paraId="7A0B02AB" w14:textId="1E919196" w:rsidR="00D11DE2" w:rsidRPr="0013587B" w:rsidRDefault="004801F2" w:rsidP="00CF2B1C">
      <w:pPr>
        <w:pStyle w:val="Caption"/>
        <w:keepNext/>
        <w:spacing w:after="0"/>
        <w:jc w:val="both"/>
        <w:rPr>
          <w:rFonts w:ascii="Arial" w:hAnsi="Arial" w:cs="Arial"/>
          <w:b/>
          <w:i w:val="0"/>
          <w:color w:val="auto"/>
          <w:sz w:val="20"/>
          <w:szCs w:val="20"/>
        </w:rPr>
      </w:pPr>
      <w:r w:rsidRPr="0013587B">
        <w:rPr>
          <w:rFonts w:ascii="Arial" w:hAnsi="Arial" w:cs="Arial"/>
          <w:b/>
          <w:i w:val="0"/>
          <w:color w:val="auto"/>
          <w:sz w:val="20"/>
          <w:szCs w:val="20"/>
        </w:rPr>
        <w:t xml:space="preserve">Table </w:t>
      </w:r>
      <w:r w:rsidRPr="0013587B">
        <w:rPr>
          <w:rFonts w:ascii="Arial" w:hAnsi="Arial" w:cs="Arial"/>
          <w:b/>
          <w:i w:val="0"/>
          <w:color w:val="auto"/>
          <w:sz w:val="20"/>
          <w:szCs w:val="20"/>
        </w:rPr>
        <w:fldChar w:fldCharType="begin"/>
      </w:r>
      <w:r w:rsidRPr="0013587B">
        <w:rPr>
          <w:rFonts w:ascii="Arial" w:hAnsi="Arial" w:cs="Arial"/>
          <w:b/>
          <w:i w:val="0"/>
          <w:color w:val="auto"/>
          <w:sz w:val="20"/>
          <w:szCs w:val="20"/>
        </w:rPr>
        <w:instrText xml:space="preserve"> SEQ Table \* ARABIC </w:instrText>
      </w:r>
      <w:r w:rsidRPr="0013587B">
        <w:rPr>
          <w:rFonts w:ascii="Arial" w:hAnsi="Arial" w:cs="Arial"/>
          <w:b/>
          <w:i w:val="0"/>
          <w:color w:val="auto"/>
          <w:sz w:val="20"/>
          <w:szCs w:val="20"/>
        </w:rPr>
        <w:fldChar w:fldCharType="separate"/>
      </w:r>
      <w:r w:rsidR="004858E6" w:rsidRPr="0013587B">
        <w:rPr>
          <w:rFonts w:ascii="Arial" w:hAnsi="Arial" w:cs="Arial"/>
          <w:b/>
          <w:i w:val="0"/>
          <w:noProof/>
          <w:color w:val="auto"/>
          <w:sz w:val="20"/>
          <w:szCs w:val="20"/>
        </w:rPr>
        <w:t>3</w:t>
      </w:r>
      <w:r w:rsidRPr="0013587B">
        <w:rPr>
          <w:rFonts w:ascii="Arial" w:hAnsi="Arial" w:cs="Arial"/>
          <w:b/>
          <w:i w:val="0"/>
          <w:color w:val="auto"/>
          <w:sz w:val="20"/>
          <w:szCs w:val="20"/>
        </w:rPr>
        <w:fldChar w:fldCharType="end"/>
      </w:r>
      <w:r w:rsidRPr="0013587B">
        <w:rPr>
          <w:rFonts w:ascii="Arial" w:hAnsi="Arial" w:cs="Arial"/>
          <w:b/>
          <w:i w:val="0"/>
          <w:color w:val="auto"/>
          <w:sz w:val="20"/>
          <w:szCs w:val="20"/>
        </w:rPr>
        <w:t>: Unit Root Test at a Level for RF</w:t>
      </w:r>
      <w:bookmarkEnd w:id="12"/>
    </w:p>
    <w:tbl>
      <w:tblPr>
        <w:tblW w:w="5000" w:type="pct"/>
        <w:tblCellMar>
          <w:left w:w="0" w:type="dxa"/>
          <w:right w:w="0" w:type="dxa"/>
        </w:tblCellMar>
        <w:tblLook w:val="0000" w:firstRow="0" w:lastRow="0" w:firstColumn="0" w:lastColumn="0" w:noHBand="0" w:noVBand="0"/>
      </w:tblPr>
      <w:tblGrid>
        <w:gridCol w:w="2263"/>
        <w:gridCol w:w="1715"/>
        <w:gridCol w:w="1715"/>
        <w:gridCol w:w="1715"/>
        <w:gridCol w:w="1713"/>
      </w:tblGrid>
      <w:tr w:rsidR="00D11DE2" w:rsidRPr="0013587B" w14:paraId="3353F6E4" w14:textId="77777777" w:rsidTr="00632D7D">
        <w:trPr>
          <w:trHeight w:hRule="exact" w:val="81"/>
        </w:trPr>
        <w:tc>
          <w:tcPr>
            <w:tcW w:w="1241" w:type="pct"/>
            <w:tcBorders>
              <w:top w:val="nil"/>
              <w:left w:val="nil"/>
              <w:bottom w:val="double" w:sz="6" w:space="2" w:color="auto"/>
              <w:right w:val="nil"/>
            </w:tcBorders>
            <w:vAlign w:val="bottom"/>
          </w:tcPr>
          <w:p w14:paraId="13724DF7"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325A951"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76DD3ED2"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0BFF98C" w14:textId="77777777" w:rsidR="00D11DE2" w:rsidRPr="0013587B" w:rsidRDefault="00D11DE2" w:rsidP="00CF2B1C">
            <w:pPr>
              <w:spacing w:after="0" w:line="240" w:lineRule="auto"/>
              <w:jc w:val="both"/>
              <w:rPr>
                <w:rFonts w:ascii="Arial" w:hAnsi="Arial" w:cs="Arial"/>
                <w:sz w:val="20"/>
                <w:szCs w:val="20"/>
              </w:rPr>
            </w:pPr>
          </w:p>
        </w:tc>
        <w:tc>
          <w:tcPr>
            <w:tcW w:w="939" w:type="pct"/>
            <w:tcBorders>
              <w:top w:val="nil"/>
              <w:left w:val="nil"/>
              <w:bottom w:val="double" w:sz="6" w:space="2" w:color="auto"/>
              <w:right w:val="nil"/>
            </w:tcBorders>
            <w:vAlign w:val="bottom"/>
          </w:tcPr>
          <w:p w14:paraId="7FD5420D" w14:textId="77777777" w:rsidR="00D11DE2" w:rsidRPr="0013587B" w:rsidRDefault="00D11DE2" w:rsidP="00CF2B1C">
            <w:pPr>
              <w:spacing w:after="0" w:line="240" w:lineRule="auto"/>
              <w:jc w:val="both"/>
              <w:rPr>
                <w:rFonts w:ascii="Arial" w:hAnsi="Arial" w:cs="Arial"/>
                <w:sz w:val="20"/>
                <w:szCs w:val="20"/>
              </w:rPr>
            </w:pPr>
          </w:p>
        </w:tc>
      </w:tr>
      <w:tr w:rsidR="00D11DE2" w:rsidRPr="0013587B" w14:paraId="446EA6ED" w14:textId="77777777" w:rsidTr="00632D7D">
        <w:trPr>
          <w:trHeight w:hRule="exact" w:val="122"/>
        </w:trPr>
        <w:tc>
          <w:tcPr>
            <w:tcW w:w="1241" w:type="pct"/>
            <w:tcBorders>
              <w:top w:val="nil"/>
              <w:left w:val="nil"/>
              <w:bottom w:val="nil"/>
              <w:right w:val="nil"/>
            </w:tcBorders>
            <w:vAlign w:val="bottom"/>
          </w:tcPr>
          <w:p w14:paraId="37336092"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490C8F6A"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1E6AF33"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9DBFB44" w14:textId="77777777" w:rsidR="00D11DE2" w:rsidRPr="0013587B" w:rsidRDefault="00D11DE2" w:rsidP="00CF2B1C">
            <w:pPr>
              <w:spacing w:after="0" w:line="240" w:lineRule="auto"/>
              <w:jc w:val="both"/>
              <w:rPr>
                <w:rFonts w:ascii="Arial" w:hAnsi="Arial" w:cs="Arial"/>
                <w:sz w:val="20"/>
                <w:szCs w:val="20"/>
              </w:rPr>
            </w:pPr>
          </w:p>
        </w:tc>
        <w:tc>
          <w:tcPr>
            <w:tcW w:w="939" w:type="pct"/>
            <w:tcBorders>
              <w:top w:val="nil"/>
              <w:left w:val="nil"/>
              <w:bottom w:val="nil"/>
              <w:right w:val="nil"/>
            </w:tcBorders>
            <w:vAlign w:val="bottom"/>
          </w:tcPr>
          <w:p w14:paraId="57431AF9" w14:textId="77777777" w:rsidR="00D11DE2" w:rsidRPr="0013587B" w:rsidRDefault="00D11DE2" w:rsidP="00CF2B1C">
            <w:pPr>
              <w:spacing w:after="0" w:line="240" w:lineRule="auto"/>
              <w:jc w:val="both"/>
              <w:rPr>
                <w:rFonts w:ascii="Arial" w:hAnsi="Arial" w:cs="Arial"/>
                <w:sz w:val="20"/>
                <w:szCs w:val="20"/>
              </w:rPr>
            </w:pPr>
          </w:p>
        </w:tc>
      </w:tr>
      <w:tr w:rsidR="00D11DE2" w:rsidRPr="0013587B" w14:paraId="57683AB1" w14:textId="77777777" w:rsidTr="00632D7D">
        <w:trPr>
          <w:trHeight w:val="204"/>
        </w:trPr>
        <w:tc>
          <w:tcPr>
            <w:tcW w:w="2181" w:type="pct"/>
            <w:gridSpan w:val="2"/>
            <w:tcBorders>
              <w:top w:val="nil"/>
              <w:left w:val="nil"/>
              <w:bottom w:val="single" w:sz="6" w:space="0" w:color="auto"/>
              <w:right w:val="nil"/>
            </w:tcBorders>
            <w:vAlign w:val="bottom"/>
          </w:tcPr>
          <w:p w14:paraId="6406B2E7" w14:textId="3F2153F7" w:rsidR="00D11DE2" w:rsidRPr="0013587B" w:rsidRDefault="00251960" w:rsidP="005E13CD">
            <w:pPr>
              <w:spacing w:line="240" w:lineRule="auto"/>
              <w:rPr>
                <w:rFonts w:ascii="Arial" w:hAnsi="Arial" w:cs="Arial"/>
                <w:sz w:val="20"/>
                <w:szCs w:val="20"/>
              </w:rPr>
            </w:pPr>
            <w:r w:rsidRPr="0013587B">
              <w:rPr>
                <w:rFonts w:ascii="Arial" w:hAnsi="Arial" w:cs="Arial"/>
                <w:sz w:val="20"/>
                <w:szCs w:val="20"/>
              </w:rPr>
              <w:t>Method</w:t>
            </w:r>
          </w:p>
        </w:tc>
        <w:tc>
          <w:tcPr>
            <w:tcW w:w="940" w:type="pct"/>
            <w:tcBorders>
              <w:top w:val="nil"/>
              <w:left w:val="nil"/>
              <w:bottom w:val="single" w:sz="6" w:space="0" w:color="auto"/>
              <w:right w:val="nil"/>
            </w:tcBorders>
            <w:vAlign w:val="bottom"/>
          </w:tcPr>
          <w:p w14:paraId="700A3BD4"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53A63424" w14:textId="180D195B" w:rsidR="00D11DE2" w:rsidRPr="0013587B" w:rsidRDefault="00251960" w:rsidP="005E13CD">
            <w:pPr>
              <w:spacing w:line="240" w:lineRule="auto"/>
              <w:rPr>
                <w:rFonts w:ascii="Arial" w:hAnsi="Arial" w:cs="Arial"/>
                <w:sz w:val="20"/>
                <w:szCs w:val="20"/>
              </w:rPr>
            </w:pPr>
            <w:r w:rsidRPr="0013587B">
              <w:rPr>
                <w:rFonts w:ascii="Arial" w:hAnsi="Arial" w:cs="Arial"/>
                <w:sz w:val="20"/>
                <w:szCs w:val="20"/>
              </w:rPr>
              <w:t>Statistic</w:t>
            </w:r>
          </w:p>
        </w:tc>
        <w:tc>
          <w:tcPr>
            <w:tcW w:w="939" w:type="pct"/>
            <w:tcBorders>
              <w:top w:val="nil"/>
              <w:left w:val="nil"/>
              <w:bottom w:val="single" w:sz="6" w:space="0" w:color="auto"/>
              <w:right w:val="nil"/>
            </w:tcBorders>
            <w:vAlign w:val="bottom"/>
          </w:tcPr>
          <w:p w14:paraId="2A2B3A4C" w14:textId="38A6CEE8" w:rsidR="00D11DE2" w:rsidRPr="0013587B" w:rsidRDefault="00251960" w:rsidP="005E13CD">
            <w:pPr>
              <w:spacing w:line="240" w:lineRule="auto"/>
              <w:rPr>
                <w:rFonts w:ascii="Arial" w:hAnsi="Arial" w:cs="Arial"/>
                <w:sz w:val="20"/>
                <w:szCs w:val="20"/>
              </w:rPr>
            </w:pPr>
            <w:r w:rsidRPr="0013587B">
              <w:rPr>
                <w:rFonts w:ascii="Arial" w:hAnsi="Arial" w:cs="Arial"/>
                <w:sz w:val="20"/>
                <w:szCs w:val="20"/>
              </w:rPr>
              <w:t>Prob.**</w:t>
            </w:r>
          </w:p>
        </w:tc>
      </w:tr>
      <w:tr w:rsidR="00D11DE2" w:rsidRPr="0013587B" w14:paraId="384B6760" w14:textId="77777777" w:rsidTr="00632D7D">
        <w:trPr>
          <w:trHeight w:val="204"/>
        </w:trPr>
        <w:tc>
          <w:tcPr>
            <w:tcW w:w="3121" w:type="pct"/>
            <w:gridSpan w:val="3"/>
            <w:tcBorders>
              <w:top w:val="nil"/>
              <w:left w:val="nil"/>
              <w:bottom w:val="nil"/>
              <w:right w:val="nil"/>
            </w:tcBorders>
            <w:vAlign w:val="bottom"/>
          </w:tcPr>
          <w:p w14:paraId="54A08446" w14:textId="78A383F1" w:rsidR="00D11DE2" w:rsidRPr="0013587B" w:rsidRDefault="00251960" w:rsidP="005E13CD">
            <w:pPr>
              <w:spacing w:after="0" w:line="240" w:lineRule="auto"/>
              <w:jc w:val="both"/>
              <w:rPr>
                <w:rFonts w:ascii="Arial" w:hAnsi="Arial" w:cs="Arial"/>
                <w:sz w:val="20"/>
                <w:szCs w:val="20"/>
              </w:rPr>
            </w:pPr>
            <w:r w:rsidRPr="0013587B">
              <w:rPr>
                <w:rFonts w:ascii="Arial" w:hAnsi="Arial" w:cs="Arial"/>
                <w:sz w:val="20"/>
                <w:szCs w:val="20"/>
              </w:rPr>
              <w:t>ADF - Fisher Chi-square</w:t>
            </w:r>
          </w:p>
        </w:tc>
        <w:tc>
          <w:tcPr>
            <w:tcW w:w="940" w:type="pct"/>
            <w:tcBorders>
              <w:top w:val="nil"/>
              <w:left w:val="nil"/>
              <w:bottom w:val="nil"/>
              <w:right w:val="nil"/>
            </w:tcBorders>
            <w:vAlign w:val="bottom"/>
          </w:tcPr>
          <w:p w14:paraId="2CFF4174" w14:textId="77777777" w:rsidR="00D11DE2" w:rsidRPr="0013587B" w:rsidRDefault="00D11DE2" w:rsidP="005E13CD">
            <w:pPr>
              <w:spacing w:after="0" w:line="240" w:lineRule="auto"/>
              <w:jc w:val="both"/>
              <w:rPr>
                <w:rFonts w:ascii="Arial" w:hAnsi="Arial" w:cs="Arial"/>
                <w:sz w:val="20"/>
                <w:szCs w:val="20"/>
              </w:rPr>
            </w:pPr>
            <w:r w:rsidRPr="0013587B">
              <w:rPr>
                <w:rFonts w:ascii="Arial" w:hAnsi="Arial" w:cs="Arial"/>
                <w:sz w:val="20"/>
                <w:szCs w:val="20"/>
              </w:rPr>
              <w:t> 69.5253</w:t>
            </w:r>
          </w:p>
        </w:tc>
        <w:tc>
          <w:tcPr>
            <w:tcW w:w="939" w:type="pct"/>
            <w:tcBorders>
              <w:top w:val="nil"/>
              <w:left w:val="nil"/>
              <w:bottom w:val="nil"/>
              <w:right w:val="nil"/>
            </w:tcBorders>
            <w:vAlign w:val="bottom"/>
          </w:tcPr>
          <w:p w14:paraId="577ED8AE" w14:textId="11D544B2" w:rsidR="00D11DE2" w:rsidRPr="0013587B" w:rsidRDefault="007664CE" w:rsidP="005E13CD">
            <w:pPr>
              <w:spacing w:after="0" w:line="240" w:lineRule="auto"/>
              <w:jc w:val="both"/>
              <w:rPr>
                <w:rFonts w:ascii="Arial" w:hAnsi="Arial" w:cs="Arial"/>
                <w:sz w:val="20"/>
                <w:szCs w:val="20"/>
              </w:rPr>
            </w:pPr>
            <w:r w:rsidRPr="0013587B">
              <w:rPr>
                <w:rFonts w:ascii="Arial" w:hAnsi="Arial" w:cs="Arial"/>
                <w:sz w:val="20"/>
                <w:szCs w:val="20"/>
              </w:rPr>
              <w:t> 0.</w:t>
            </w:r>
            <w:r w:rsidR="00D11DE2" w:rsidRPr="0013587B">
              <w:rPr>
                <w:rFonts w:ascii="Arial" w:hAnsi="Arial" w:cs="Arial"/>
                <w:sz w:val="20"/>
                <w:szCs w:val="20"/>
              </w:rPr>
              <w:t>1058</w:t>
            </w:r>
          </w:p>
        </w:tc>
      </w:tr>
      <w:tr w:rsidR="00D11DE2" w:rsidRPr="0013587B" w14:paraId="19241DC1" w14:textId="77777777" w:rsidTr="00632D7D">
        <w:trPr>
          <w:trHeight w:val="204"/>
        </w:trPr>
        <w:tc>
          <w:tcPr>
            <w:tcW w:w="3121" w:type="pct"/>
            <w:gridSpan w:val="3"/>
            <w:tcBorders>
              <w:top w:val="nil"/>
              <w:left w:val="nil"/>
              <w:bottom w:val="nil"/>
              <w:right w:val="nil"/>
            </w:tcBorders>
            <w:vAlign w:val="bottom"/>
          </w:tcPr>
          <w:p w14:paraId="3FC99163" w14:textId="7DEE9E20" w:rsidR="00D11DE2" w:rsidRPr="0013587B" w:rsidRDefault="00251960" w:rsidP="005E13CD">
            <w:pPr>
              <w:spacing w:after="0" w:line="240" w:lineRule="auto"/>
              <w:jc w:val="both"/>
              <w:rPr>
                <w:rFonts w:ascii="Arial" w:hAnsi="Arial" w:cs="Arial"/>
                <w:sz w:val="20"/>
                <w:szCs w:val="20"/>
              </w:rPr>
            </w:pPr>
            <w:r w:rsidRPr="0013587B">
              <w:rPr>
                <w:rFonts w:ascii="Arial" w:hAnsi="Arial" w:cs="Arial"/>
                <w:sz w:val="20"/>
                <w:szCs w:val="20"/>
              </w:rPr>
              <w:t>ADF - Choi Z-stat</w:t>
            </w:r>
          </w:p>
        </w:tc>
        <w:tc>
          <w:tcPr>
            <w:tcW w:w="940" w:type="pct"/>
            <w:tcBorders>
              <w:top w:val="nil"/>
              <w:left w:val="nil"/>
              <w:bottom w:val="nil"/>
              <w:right w:val="nil"/>
            </w:tcBorders>
            <w:vAlign w:val="bottom"/>
          </w:tcPr>
          <w:p w14:paraId="32DB4FB1" w14:textId="7CA4B49E" w:rsidR="00D11DE2" w:rsidRPr="0013587B" w:rsidRDefault="007664CE" w:rsidP="005E13CD">
            <w:pPr>
              <w:spacing w:after="0" w:line="240" w:lineRule="auto"/>
              <w:jc w:val="both"/>
              <w:rPr>
                <w:rFonts w:ascii="Arial" w:hAnsi="Arial" w:cs="Arial"/>
                <w:sz w:val="20"/>
                <w:szCs w:val="20"/>
              </w:rPr>
            </w:pPr>
            <w:r w:rsidRPr="0013587B">
              <w:rPr>
                <w:rFonts w:ascii="Arial" w:hAnsi="Arial" w:cs="Arial"/>
                <w:sz w:val="20"/>
                <w:szCs w:val="20"/>
              </w:rPr>
              <w:t> 0.</w:t>
            </w:r>
            <w:r w:rsidR="00D11DE2" w:rsidRPr="0013587B">
              <w:rPr>
                <w:rFonts w:ascii="Arial" w:hAnsi="Arial" w:cs="Arial"/>
                <w:sz w:val="20"/>
                <w:szCs w:val="20"/>
              </w:rPr>
              <w:t>45911</w:t>
            </w:r>
          </w:p>
        </w:tc>
        <w:tc>
          <w:tcPr>
            <w:tcW w:w="939" w:type="pct"/>
            <w:tcBorders>
              <w:top w:val="nil"/>
              <w:left w:val="nil"/>
              <w:bottom w:val="nil"/>
              <w:right w:val="nil"/>
            </w:tcBorders>
            <w:vAlign w:val="bottom"/>
          </w:tcPr>
          <w:p w14:paraId="228D1324" w14:textId="312389E3" w:rsidR="00D11DE2" w:rsidRPr="0013587B" w:rsidRDefault="007664CE" w:rsidP="005E13CD">
            <w:pPr>
              <w:spacing w:after="0" w:line="240" w:lineRule="auto"/>
              <w:jc w:val="both"/>
              <w:rPr>
                <w:rFonts w:ascii="Arial" w:hAnsi="Arial" w:cs="Arial"/>
                <w:sz w:val="20"/>
                <w:szCs w:val="20"/>
              </w:rPr>
            </w:pPr>
            <w:r w:rsidRPr="0013587B">
              <w:rPr>
                <w:rFonts w:ascii="Arial" w:hAnsi="Arial" w:cs="Arial"/>
                <w:sz w:val="20"/>
                <w:szCs w:val="20"/>
              </w:rPr>
              <w:t> 0.</w:t>
            </w:r>
            <w:r w:rsidR="00D11DE2" w:rsidRPr="0013587B">
              <w:rPr>
                <w:rFonts w:ascii="Arial" w:hAnsi="Arial" w:cs="Arial"/>
                <w:sz w:val="20"/>
                <w:szCs w:val="20"/>
              </w:rPr>
              <w:t>6769</w:t>
            </w:r>
          </w:p>
        </w:tc>
      </w:tr>
      <w:tr w:rsidR="00D11DE2" w:rsidRPr="0013587B" w14:paraId="0E709B1B" w14:textId="77777777" w:rsidTr="00632D7D">
        <w:trPr>
          <w:trHeight w:hRule="exact" w:val="81"/>
        </w:trPr>
        <w:tc>
          <w:tcPr>
            <w:tcW w:w="1241" w:type="pct"/>
            <w:tcBorders>
              <w:top w:val="nil"/>
              <w:left w:val="nil"/>
              <w:bottom w:val="double" w:sz="6" w:space="2" w:color="auto"/>
              <w:right w:val="nil"/>
            </w:tcBorders>
            <w:vAlign w:val="bottom"/>
          </w:tcPr>
          <w:p w14:paraId="19962824"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308EBB4E"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6EB46B16"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1A7D1D56" w14:textId="77777777" w:rsidR="00D11DE2" w:rsidRPr="0013587B" w:rsidRDefault="00D11DE2" w:rsidP="005E13CD">
            <w:pPr>
              <w:spacing w:after="0" w:line="240" w:lineRule="auto"/>
              <w:jc w:val="both"/>
              <w:rPr>
                <w:rFonts w:ascii="Arial" w:hAnsi="Arial" w:cs="Arial"/>
                <w:sz w:val="20"/>
                <w:szCs w:val="20"/>
              </w:rPr>
            </w:pPr>
          </w:p>
        </w:tc>
        <w:tc>
          <w:tcPr>
            <w:tcW w:w="939" w:type="pct"/>
            <w:tcBorders>
              <w:top w:val="nil"/>
              <w:left w:val="nil"/>
              <w:bottom w:val="double" w:sz="6" w:space="2" w:color="auto"/>
              <w:right w:val="nil"/>
            </w:tcBorders>
            <w:vAlign w:val="bottom"/>
          </w:tcPr>
          <w:p w14:paraId="4CDB26E9" w14:textId="77777777" w:rsidR="00D11DE2" w:rsidRPr="0013587B" w:rsidRDefault="00D11DE2" w:rsidP="005E13CD">
            <w:pPr>
              <w:spacing w:after="0" w:line="240" w:lineRule="auto"/>
              <w:jc w:val="both"/>
              <w:rPr>
                <w:rFonts w:ascii="Arial" w:hAnsi="Arial" w:cs="Arial"/>
                <w:sz w:val="20"/>
                <w:szCs w:val="20"/>
              </w:rPr>
            </w:pPr>
          </w:p>
        </w:tc>
      </w:tr>
      <w:tr w:rsidR="00D11DE2" w:rsidRPr="0013587B" w14:paraId="4094681E" w14:textId="77777777" w:rsidTr="00632D7D">
        <w:trPr>
          <w:trHeight w:hRule="exact" w:val="122"/>
        </w:trPr>
        <w:tc>
          <w:tcPr>
            <w:tcW w:w="1241" w:type="pct"/>
            <w:tcBorders>
              <w:top w:val="nil"/>
              <w:left w:val="nil"/>
              <w:bottom w:val="nil"/>
              <w:right w:val="nil"/>
            </w:tcBorders>
            <w:vAlign w:val="bottom"/>
          </w:tcPr>
          <w:p w14:paraId="10FB01D9"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882ADAA"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184CFF58"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5CEC895E" w14:textId="77777777" w:rsidR="00D11DE2" w:rsidRPr="0013587B" w:rsidRDefault="00D11DE2" w:rsidP="005E13CD">
            <w:pPr>
              <w:spacing w:after="0" w:line="240" w:lineRule="auto"/>
              <w:jc w:val="both"/>
              <w:rPr>
                <w:rFonts w:ascii="Arial" w:hAnsi="Arial" w:cs="Arial"/>
                <w:sz w:val="20"/>
                <w:szCs w:val="20"/>
              </w:rPr>
            </w:pPr>
          </w:p>
        </w:tc>
        <w:tc>
          <w:tcPr>
            <w:tcW w:w="939" w:type="pct"/>
            <w:tcBorders>
              <w:top w:val="nil"/>
              <w:left w:val="nil"/>
              <w:bottom w:val="nil"/>
              <w:right w:val="nil"/>
            </w:tcBorders>
            <w:vAlign w:val="bottom"/>
          </w:tcPr>
          <w:p w14:paraId="795EB00A" w14:textId="77777777" w:rsidR="00D11DE2" w:rsidRPr="0013587B" w:rsidRDefault="00D11DE2" w:rsidP="005E13CD">
            <w:pPr>
              <w:spacing w:after="0" w:line="240" w:lineRule="auto"/>
              <w:jc w:val="both"/>
              <w:rPr>
                <w:rFonts w:ascii="Arial" w:hAnsi="Arial" w:cs="Arial"/>
                <w:sz w:val="20"/>
                <w:szCs w:val="20"/>
              </w:rPr>
            </w:pPr>
          </w:p>
        </w:tc>
      </w:tr>
      <w:tr w:rsidR="00D11DE2" w:rsidRPr="0013587B" w14:paraId="6146BF28" w14:textId="77777777" w:rsidTr="00632D7D">
        <w:trPr>
          <w:trHeight w:val="204"/>
        </w:trPr>
        <w:tc>
          <w:tcPr>
            <w:tcW w:w="5000" w:type="pct"/>
            <w:gridSpan w:val="5"/>
            <w:tcBorders>
              <w:top w:val="nil"/>
              <w:left w:val="nil"/>
              <w:bottom w:val="nil"/>
              <w:right w:val="nil"/>
            </w:tcBorders>
            <w:vAlign w:val="bottom"/>
          </w:tcPr>
          <w:p w14:paraId="186B23BD" w14:textId="6E12F421" w:rsidR="00D11DE2" w:rsidRPr="0013587B" w:rsidRDefault="00D11DE2" w:rsidP="005E13CD">
            <w:pPr>
              <w:spacing w:line="240" w:lineRule="auto"/>
              <w:rPr>
                <w:rFonts w:ascii="Arial" w:hAnsi="Arial" w:cs="Arial"/>
                <w:sz w:val="20"/>
                <w:szCs w:val="20"/>
              </w:rPr>
            </w:pPr>
            <w:r w:rsidRPr="0013587B">
              <w:rPr>
                <w:rFonts w:ascii="Arial" w:hAnsi="Arial" w:cs="Arial"/>
                <w:sz w:val="20"/>
                <w:szCs w:val="20"/>
              </w:rPr>
              <w:t>P&lt;5%</w:t>
            </w:r>
          </w:p>
        </w:tc>
      </w:tr>
    </w:tbl>
    <w:p w14:paraId="722055E4" w14:textId="77777777" w:rsidR="00E56F63" w:rsidRDefault="00E56F63" w:rsidP="005E13CD">
      <w:pPr>
        <w:spacing w:after="0" w:line="240" w:lineRule="auto"/>
        <w:jc w:val="both"/>
        <w:rPr>
          <w:rFonts w:ascii="Arial" w:hAnsi="Arial" w:cs="Arial"/>
          <w:sz w:val="20"/>
          <w:szCs w:val="20"/>
        </w:rPr>
      </w:pPr>
      <w:r w:rsidRPr="0013587B">
        <w:rPr>
          <w:rFonts w:ascii="Arial" w:hAnsi="Arial" w:cs="Arial"/>
          <w:sz w:val="20"/>
          <w:szCs w:val="20"/>
        </w:rPr>
        <w:t>Source: Data Analysis (2025)</w:t>
      </w:r>
    </w:p>
    <w:p w14:paraId="10A8D49D" w14:textId="77777777" w:rsidR="007E0362" w:rsidRPr="0013587B" w:rsidRDefault="007E0362" w:rsidP="005E13CD">
      <w:pPr>
        <w:spacing w:after="0" w:line="240" w:lineRule="auto"/>
        <w:jc w:val="both"/>
        <w:rPr>
          <w:rFonts w:ascii="Arial" w:hAnsi="Arial" w:cs="Arial"/>
          <w:sz w:val="20"/>
          <w:szCs w:val="20"/>
        </w:rPr>
      </w:pPr>
    </w:p>
    <w:p w14:paraId="3F036AD9" w14:textId="4966B099" w:rsidR="007E0362" w:rsidRPr="0013587B" w:rsidRDefault="007E0362" w:rsidP="007E0362">
      <w:pPr>
        <w:pStyle w:val="Caption"/>
        <w:keepNext/>
        <w:spacing w:after="0"/>
        <w:jc w:val="both"/>
        <w:rPr>
          <w:rFonts w:ascii="Arial" w:hAnsi="Arial" w:cs="Arial"/>
          <w:b/>
          <w:i w:val="0"/>
          <w:color w:val="auto"/>
          <w:sz w:val="20"/>
          <w:szCs w:val="20"/>
        </w:rPr>
      </w:pPr>
      <w:bookmarkStart w:id="13" w:name="_Toc206689020"/>
      <w:r w:rsidRPr="0013587B">
        <w:rPr>
          <w:rFonts w:ascii="Arial" w:hAnsi="Arial" w:cs="Arial"/>
          <w:b/>
          <w:i w:val="0"/>
          <w:color w:val="auto"/>
          <w:sz w:val="20"/>
          <w:szCs w:val="20"/>
        </w:rPr>
        <w:t xml:space="preserve">Table </w:t>
      </w:r>
      <w:r>
        <w:rPr>
          <w:rFonts w:ascii="Arial" w:hAnsi="Arial" w:cs="Arial"/>
          <w:b/>
          <w:i w:val="0"/>
          <w:color w:val="auto"/>
          <w:sz w:val="20"/>
          <w:szCs w:val="20"/>
        </w:rPr>
        <w:t>4</w:t>
      </w:r>
      <w:r w:rsidRPr="0013587B">
        <w:rPr>
          <w:rFonts w:ascii="Arial" w:hAnsi="Arial" w:cs="Arial"/>
          <w:b/>
          <w:i w:val="0"/>
          <w:color w:val="auto"/>
          <w:sz w:val="20"/>
          <w:szCs w:val="20"/>
        </w:rPr>
        <w:t xml:space="preserve">: </w:t>
      </w:r>
      <w:bookmarkEnd w:id="13"/>
      <w:r w:rsidRPr="0013587B">
        <w:rPr>
          <w:rFonts w:ascii="Arial" w:hAnsi="Arial" w:cs="Arial"/>
          <w:b/>
          <w:i w:val="0"/>
          <w:color w:val="auto"/>
          <w:sz w:val="20"/>
          <w:szCs w:val="20"/>
        </w:rPr>
        <w:t>Unit Root Test of First Difference of RF</w:t>
      </w:r>
    </w:p>
    <w:tbl>
      <w:tblPr>
        <w:tblW w:w="5000" w:type="pct"/>
        <w:tblCellMar>
          <w:left w:w="0" w:type="dxa"/>
          <w:right w:w="0" w:type="dxa"/>
        </w:tblCellMar>
        <w:tblLook w:val="0000" w:firstRow="0" w:lastRow="0" w:firstColumn="0" w:lastColumn="0" w:noHBand="0" w:noVBand="0"/>
      </w:tblPr>
      <w:tblGrid>
        <w:gridCol w:w="2265"/>
        <w:gridCol w:w="1715"/>
        <w:gridCol w:w="1715"/>
        <w:gridCol w:w="1715"/>
        <w:gridCol w:w="1711"/>
      </w:tblGrid>
      <w:tr w:rsidR="007E0362" w:rsidRPr="0013587B" w14:paraId="34AB6EE6" w14:textId="77777777" w:rsidTr="00F44669">
        <w:trPr>
          <w:trHeight w:hRule="exact" w:val="81"/>
        </w:trPr>
        <w:tc>
          <w:tcPr>
            <w:tcW w:w="1242" w:type="pct"/>
            <w:tcBorders>
              <w:top w:val="nil"/>
              <w:left w:val="nil"/>
              <w:bottom w:val="double" w:sz="6" w:space="2" w:color="auto"/>
              <w:right w:val="nil"/>
            </w:tcBorders>
            <w:vAlign w:val="bottom"/>
          </w:tcPr>
          <w:p w14:paraId="390E48BA"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7408C7B5"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0FE2572E"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79372CE4" w14:textId="77777777" w:rsidR="007E0362" w:rsidRPr="0013587B" w:rsidRDefault="007E0362" w:rsidP="00F44669">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54C214F9" w14:textId="77777777" w:rsidR="007E0362" w:rsidRPr="0013587B" w:rsidRDefault="007E0362" w:rsidP="00F44669">
            <w:pPr>
              <w:spacing w:after="0" w:line="240" w:lineRule="auto"/>
              <w:jc w:val="both"/>
              <w:rPr>
                <w:rFonts w:ascii="Arial" w:hAnsi="Arial" w:cs="Arial"/>
                <w:sz w:val="20"/>
                <w:szCs w:val="20"/>
              </w:rPr>
            </w:pPr>
          </w:p>
        </w:tc>
      </w:tr>
      <w:tr w:rsidR="007E0362" w:rsidRPr="0013587B" w14:paraId="50508EE7" w14:textId="77777777" w:rsidTr="00F44669">
        <w:trPr>
          <w:trHeight w:hRule="exact" w:val="122"/>
        </w:trPr>
        <w:tc>
          <w:tcPr>
            <w:tcW w:w="1242" w:type="pct"/>
            <w:tcBorders>
              <w:top w:val="nil"/>
              <w:left w:val="nil"/>
              <w:bottom w:val="nil"/>
              <w:right w:val="nil"/>
            </w:tcBorders>
            <w:vAlign w:val="bottom"/>
          </w:tcPr>
          <w:p w14:paraId="2FCA2A3F"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79C391AB"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5EB844B5"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5E30A9B2" w14:textId="77777777" w:rsidR="007E0362" w:rsidRPr="0013587B" w:rsidRDefault="007E0362" w:rsidP="00F44669">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0BEAF89E" w14:textId="77777777" w:rsidR="007E0362" w:rsidRPr="0013587B" w:rsidRDefault="007E0362" w:rsidP="00F44669">
            <w:pPr>
              <w:spacing w:after="0" w:line="240" w:lineRule="auto"/>
              <w:jc w:val="both"/>
              <w:rPr>
                <w:rFonts w:ascii="Arial" w:hAnsi="Arial" w:cs="Arial"/>
                <w:sz w:val="20"/>
                <w:szCs w:val="20"/>
              </w:rPr>
            </w:pPr>
          </w:p>
        </w:tc>
      </w:tr>
      <w:tr w:rsidR="007E0362" w:rsidRPr="0013587B" w14:paraId="7E5149DF" w14:textId="77777777" w:rsidTr="00F44669">
        <w:trPr>
          <w:trHeight w:val="204"/>
        </w:trPr>
        <w:tc>
          <w:tcPr>
            <w:tcW w:w="2182" w:type="pct"/>
            <w:gridSpan w:val="2"/>
            <w:tcBorders>
              <w:top w:val="nil"/>
              <w:left w:val="nil"/>
              <w:bottom w:val="single" w:sz="6" w:space="0" w:color="auto"/>
              <w:right w:val="nil"/>
            </w:tcBorders>
            <w:vAlign w:val="bottom"/>
          </w:tcPr>
          <w:p w14:paraId="3D871507" w14:textId="77777777" w:rsidR="007E0362" w:rsidRPr="0013587B" w:rsidRDefault="007E0362" w:rsidP="00F44669">
            <w:pPr>
              <w:spacing w:after="0" w:line="240" w:lineRule="auto"/>
              <w:jc w:val="both"/>
              <w:rPr>
                <w:rFonts w:ascii="Arial" w:hAnsi="Arial" w:cs="Arial"/>
                <w:sz w:val="20"/>
                <w:szCs w:val="20"/>
              </w:rPr>
            </w:pPr>
            <w:r w:rsidRPr="0013587B">
              <w:rPr>
                <w:rFonts w:ascii="Arial" w:hAnsi="Arial" w:cs="Arial"/>
                <w:sz w:val="20"/>
                <w:szCs w:val="20"/>
              </w:rPr>
              <w:t>Method</w:t>
            </w:r>
          </w:p>
        </w:tc>
        <w:tc>
          <w:tcPr>
            <w:tcW w:w="940" w:type="pct"/>
            <w:tcBorders>
              <w:top w:val="nil"/>
              <w:left w:val="nil"/>
              <w:bottom w:val="single" w:sz="6" w:space="0" w:color="auto"/>
              <w:right w:val="nil"/>
            </w:tcBorders>
            <w:vAlign w:val="bottom"/>
          </w:tcPr>
          <w:p w14:paraId="023E709C"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3072B397" w14:textId="77777777" w:rsidR="007E0362" w:rsidRPr="0013587B" w:rsidRDefault="007E0362" w:rsidP="00F44669">
            <w:pPr>
              <w:spacing w:after="0" w:line="240" w:lineRule="auto"/>
              <w:jc w:val="both"/>
              <w:rPr>
                <w:rFonts w:ascii="Arial" w:hAnsi="Arial" w:cs="Arial"/>
                <w:sz w:val="20"/>
                <w:szCs w:val="20"/>
              </w:rPr>
            </w:pPr>
            <w:r w:rsidRPr="0013587B">
              <w:rPr>
                <w:rFonts w:ascii="Arial" w:hAnsi="Arial" w:cs="Arial"/>
                <w:sz w:val="20"/>
                <w:szCs w:val="20"/>
              </w:rPr>
              <w:t>Statistic</w:t>
            </w:r>
          </w:p>
        </w:tc>
        <w:tc>
          <w:tcPr>
            <w:tcW w:w="938" w:type="pct"/>
            <w:tcBorders>
              <w:top w:val="nil"/>
              <w:left w:val="nil"/>
              <w:bottom w:val="single" w:sz="6" w:space="0" w:color="auto"/>
              <w:right w:val="nil"/>
            </w:tcBorders>
            <w:vAlign w:val="bottom"/>
          </w:tcPr>
          <w:p w14:paraId="3B60740F" w14:textId="77777777" w:rsidR="007E0362" w:rsidRPr="0013587B" w:rsidRDefault="007E0362" w:rsidP="00F44669">
            <w:pPr>
              <w:spacing w:after="0" w:line="240" w:lineRule="auto"/>
              <w:jc w:val="both"/>
              <w:rPr>
                <w:rFonts w:ascii="Arial" w:hAnsi="Arial" w:cs="Arial"/>
                <w:sz w:val="20"/>
                <w:szCs w:val="20"/>
              </w:rPr>
            </w:pPr>
            <w:r w:rsidRPr="0013587B">
              <w:rPr>
                <w:rFonts w:ascii="Arial" w:hAnsi="Arial" w:cs="Arial"/>
                <w:sz w:val="20"/>
                <w:szCs w:val="20"/>
              </w:rPr>
              <w:t>Prob.**</w:t>
            </w:r>
          </w:p>
        </w:tc>
      </w:tr>
      <w:tr w:rsidR="007E0362" w:rsidRPr="0013587B" w14:paraId="64AA47E2" w14:textId="77777777" w:rsidTr="00F44669">
        <w:trPr>
          <w:trHeight w:val="204"/>
        </w:trPr>
        <w:tc>
          <w:tcPr>
            <w:tcW w:w="3122" w:type="pct"/>
            <w:gridSpan w:val="3"/>
            <w:tcBorders>
              <w:top w:val="nil"/>
              <w:left w:val="nil"/>
              <w:bottom w:val="nil"/>
              <w:right w:val="nil"/>
            </w:tcBorders>
            <w:vAlign w:val="bottom"/>
          </w:tcPr>
          <w:p w14:paraId="0F8BFBD5" w14:textId="77777777" w:rsidR="007E0362" w:rsidRPr="0013587B" w:rsidRDefault="007E0362" w:rsidP="00F44669">
            <w:pPr>
              <w:spacing w:after="0" w:line="240" w:lineRule="auto"/>
              <w:jc w:val="both"/>
              <w:rPr>
                <w:rFonts w:ascii="Arial" w:hAnsi="Arial" w:cs="Arial"/>
                <w:sz w:val="20"/>
                <w:szCs w:val="20"/>
              </w:rPr>
            </w:pPr>
            <w:r w:rsidRPr="0013587B">
              <w:rPr>
                <w:rFonts w:ascii="Arial" w:hAnsi="Arial" w:cs="Arial"/>
                <w:sz w:val="20"/>
                <w:szCs w:val="20"/>
              </w:rPr>
              <w:t>ADF - Fisher Chi-square</w:t>
            </w:r>
          </w:p>
        </w:tc>
        <w:tc>
          <w:tcPr>
            <w:tcW w:w="940" w:type="pct"/>
            <w:tcBorders>
              <w:top w:val="nil"/>
              <w:left w:val="nil"/>
              <w:bottom w:val="nil"/>
              <w:right w:val="nil"/>
            </w:tcBorders>
            <w:vAlign w:val="bottom"/>
          </w:tcPr>
          <w:p w14:paraId="0848CBC3" w14:textId="77777777" w:rsidR="007E0362" w:rsidRPr="0013587B" w:rsidRDefault="007E0362" w:rsidP="00F44669">
            <w:pPr>
              <w:spacing w:after="0" w:line="240" w:lineRule="auto"/>
              <w:jc w:val="both"/>
              <w:rPr>
                <w:rFonts w:ascii="Arial" w:hAnsi="Arial" w:cs="Arial"/>
                <w:sz w:val="20"/>
                <w:szCs w:val="20"/>
              </w:rPr>
            </w:pPr>
            <w:r w:rsidRPr="0013587B">
              <w:rPr>
                <w:rFonts w:ascii="Arial" w:hAnsi="Arial" w:cs="Arial"/>
                <w:sz w:val="20"/>
                <w:szCs w:val="20"/>
              </w:rPr>
              <w:t> 105.495</w:t>
            </w:r>
          </w:p>
        </w:tc>
        <w:tc>
          <w:tcPr>
            <w:tcW w:w="938" w:type="pct"/>
            <w:tcBorders>
              <w:top w:val="nil"/>
              <w:left w:val="nil"/>
              <w:bottom w:val="nil"/>
              <w:right w:val="nil"/>
            </w:tcBorders>
            <w:vAlign w:val="bottom"/>
          </w:tcPr>
          <w:p w14:paraId="6BBD9FD9" w14:textId="77777777" w:rsidR="007E0362" w:rsidRPr="0013587B" w:rsidRDefault="007E0362" w:rsidP="00F44669">
            <w:pPr>
              <w:spacing w:after="0" w:line="240" w:lineRule="auto"/>
              <w:jc w:val="both"/>
              <w:rPr>
                <w:rFonts w:ascii="Arial" w:hAnsi="Arial" w:cs="Arial"/>
                <w:sz w:val="20"/>
                <w:szCs w:val="20"/>
              </w:rPr>
            </w:pPr>
            <w:r w:rsidRPr="0013587B">
              <w:rPr>
                <w:rFonts w:ascii="Arial" w:hAnsi="Arial" w:cs="Arial"/>
                <w:sz w:val="20"/>
                <w:szCs w:val="20"/>
              </w:rPr>
              <w:t> 0.0001</w:t>
            </w:r>
          </w:p>
        </w:tc>
      </w:tr>
      <w:tr w:rsidR="007E0362" w:rsidRPr="0013587B" w14:paraId="25FF5E83" w14:textId="77777777" w:rsidTr="00F44669">
        <w:trPr>
          <w:trHeight w:val="204"/>
        </w:trPr>
        <w:tc>
          <w:tcPr>
            <w:tcW w:w="3122" w:type="pct"/>
            <w:gridSpan w:val="3"/>
            <w:tcBorders>
              <w:top w:val="nil"/>
              <w:left w:val="nil"/>
              <w:bottom w:val="nil"/>
              <w:right w:val="nil"/>
            </w:tcBorders>
            <w:vAlign w:val="bottom"/>
          </w:tcPr>
          <w:p w14:paraId="73949346" w14:textId="77777777" w:rsidR="007E0362" w:rsidRPr="0013587B" w:rsidRDefault="007E0362" w:rsidP="00F44669">
            <w:pPr>
              <w:spacing w:after="0" w:line="240" w:lineRule="auto"/>
              <w:jc w:val="both"/>
              <w:rPr>
                <w:rFonts w:ascii="Arial" w:hAnsi="Arial" w:cs="Arial"/>
                <w:sz w:val="20"/>
                <w:szCs w:val="20"/>
              </w:rPr>
            </w:pPr>
            <w:r w:rsidRPr="0013587B">
              <w:rPr>
                <w:rFonts w:ascii="Arial" w:hAnsi="Arial" w:cs="Arial"/>
                <w:sz w:val="20"/>
                <w:szCs w:val="20"/>
              </w:rPr>
              <w:t>ADF - Choi Z-stat</w:t>
            </w:r>
          </w:p>
        </w:tc>
        <w:tc>
          <w:tcPr>
            <w:tcW w:w="940" w:type="pct"/>
            <w:tcBorders>
              <w:top w:val="nil"/>
              <w:left w:val="nil"/>
              <w:bottom w:val="nil"/>
              <w:right w:val="nil"/>
            </w:tcBorders>
            <w:vAlign w:val="bottom"/>
          </w:tcPr>
          <w:p w14:paraId="25E2CD08" w14:textId="77777777" w:rsidR="007E0362" w:rsidRPr="0013587B" w:rsidRDefault="007E0362" w:rsidP="00F44669">
            <w:pPr>
              <w:spacing w:after="0" w:line="240" w:lineRule="auto"/>
              <w:jc w:val="both"/>
              <w:rPr>
                <w:rFonts w:ascii="Arial" w:hAnsi="Arial" w:cs="Arial"/>
                <w:sz w:val="20"/>
                <w:szCs w:val="20"/>
              </w:rPr>
            </w:pPr>
            <w:r w:rsidRPr="0013587B">
              <w:rPr>
                <w:rFonts w:ascii="Arial" w:hAnsi="Arial" w:cs="Arial"/>
                <w:sz w:val="20"/>
                <w:szCs w:val="20"/>
              </w:rPr>
              <w:t>-3.53686</w:t>
            </w:r>
          </w:p>
        </w:tc>
        <w:tc>
          <w:tcPr>
            <w:tcW w:w="938" w:type="pct"/>
            <w:tcBorders>
              <w:top w:val="nil"/>
              <w:left w:val="nil"/>
              <w:bottom w:val="nil"/>
              <w:right w:val="nil"/>
            </w:tcBorders>
            <w:vAlign w:val="bottom"/>
          </w:tcPr>
          <w:p w14:paraId="08E07544" w14:textId="77777777" w:rsidR="007E0362" w:rsidRPr="0013587B" w:rsidRDefault="007E0362" w:rsidP="00F44669">
            <w:pPr>
              <w:spacing w:after="0" w:line="240" w:lineRule="auto"/>
              <w:jc w:val="both"/>
              <w:rPr>
                <w:rFonts w:ascii="Arial" w:hAnsi="Arial" w:cs="Arial"/>
                <w:sz w:val="20"/>
                <w:szCs w:val="20"/>
              </w:rPr>
            </w:pPr>
            <w:r w:rsidRPr="0013587B">
              <w:rPr>
                <w:rFonts w:ascii="Arial" w:hAnsi="Arial" w:cs="Arial"/>
                <w:sz w:val="20"/>
                <w:szCs w:val="20"/>
              </w:rPr>
              <w:t> 0.0002</w:t>
            </w:r>
          </w:p>
        </w:tc>
      </w:tr>
      <w:tr w:rsidR="007E0362" w:rsidRPr="0013587B" w14:paraId="52A892FE" w14:textId="77777777" w:rsidTr="00F44669">
        <w:trPr>
          <w:trHeight w:hRule="exact" w:val="81"/>
        </w:trPr>
        <w:tc>
          <w:tcPr>
            <w:tcW w:w="1242" w:type="pct"/>
            <w:tcBorders>
              <w:top w:val="nil"/>
              <w:left w:val="nil"/>
              <w:bottom w:val="double" w:sz="6" w:space="2" w:color="auto"/>
              <w:right w:val="nil"/>
            </w:tcBorders>
            <w:vAlign w:val="bottom"/>
          </w:tcPr>
          <w:p w14:paraId="50D992E4"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45E523B9"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02984375"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6608B6A" w14:textId="77777777" w:rsidR="007E0362" w:rsidRPr="0013587B" w:rsidRDefault="007E0362" w:rsidP="00F44669">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60D125EB" w14:textId="77777777" w:rsidR="007E0362" w:rsidRPr="0013587B" w:rsidRDefault="007E0362" w:rsidP="00F44669">
            <w:pPr>
              <w:spacing w:after="0" w:line="240" w:lineRule="auto"/>
              <w:jc w:val="both"/>
              <w:rPr>
                <w:rFonts w:ascii="Arial" w:hAnsi="Arial" w:cs="Arial"/>
                <w:sz w:val="20"/>
                <w:szCs w:val="20"/>
              </w:rPr>
            </w:pPr>
          </w:p>
        </w:tc>
      </w:tr>
      <w:tr w:rsidR="007E0362" w:rsidRPr="0013587B" w14:paraId="0849C21F" w14:textId="77777777" w:rsidTr="00F44669">
        <w:trPr>
          <w:trHeight w:hRule="exact" w:val="122"/>
        </w:trPr>
        <w:tc>
          <w:tcPr>
            <w:tcW w:w="1242" w:type="pct"/>
            <w:tcBorders>
              <w:top w:val="nil"/>
              <w:left w:val="nil"/>
              <w:bottom w:val="nil"/>
              <w:right w:val="nil"/>
            </w:tcBorders>
            <w:vAlign w:val="bottom"/>
          </w:tcPr>
          <w:p w14:paraId="281C0652"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562B4EC8"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567A2413" w14:textId="77777777" w:rsidR="007E0362" w:rsidRPr="0013587B" w:rsidRDefault="007E0362" w:rsidP="00F44669">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6C6C971" w14:textId="77777777" w:rsidR="007E0362" w:rsidRPr="0013587B" w:rsidRDefault="007E0362" w:rsidP="00F44669">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332AB40A" w14:textId="77777777" w:rsidR="007E0362" w:rsidRPr="0013587B" w:rsidRDefault="007E0362" w:rsidP="00F44669">
            <w:pPr>
              <w:spacing w:after="0" w:line="240" w:lineRule="auto"/>
              <w:jc w:val="both"/>
              <w:rPr>
                <w:rFonts w:ascii="Arial" w:hAnsi="Arial" w:cs="Arial"/>
                <w:sz w:val="20"/>
                <w:szCs w:val="20"/>
              </w:rPr>
            </w:pPr>
          </w:p>
        </w:tc>
      </w:tr>
    </w:tbl>
    <w:p w14:paraId="09E2D41B" w14:textId="77777777" w:rsidR="007E0362" w:rsidRDefault="007E0362" w:rsidP="007E0362">
      <w:pPr>
        <w:spacing w:line="240" w:lineRule="auto"/>
        <w:rPr>
          <w:rFonts w:ascii="Arial" w:hAnsi="Arial" w:cs="Arial"/>
          <w:sz w:val="20"/>
          <w:szCs w:val="20"/>
        </w:rPr>
      </w:pPr>
      <w:r w:rsidRPr="0013587B">
        <w:rPr>
          <w:rFonts w:ascii="Arial" w:hAnsi="Arial" w:cs="Arial"/>
          <w:sz w:val="20"/>
          <w:szCs w:val="20"/>
        </w:rPr>
        <w:t>Source: Data Analysis (2025)</w:t>
      </w:r>
    </w:p>
    <w:p w14:paraId="446E772D" w14:textId="77777777" w:rsidR="007E0362" w:rsidRPr="0013587B" w:rsidRDefault="007E0362" w:rsidP="007E0362">
      <w:pPr>
        <w:spacing w:line="240" w:lineRule="auto"/>
        <w:jc w:val="both"/>
        <w:rPr>
          <w:rFonts w:ascii="Arial" w:hAnsi="Arial" w:cs="Arial"/>
          <w:sz w:val="20"/>
          <w:szCs w:val="20"/>
        </w:rPr>
      </w:pPr>
      <w:r w:rsidRPr="0013587B">
        <w:rPr>
          <w:rFonts w:ascii="Arial" w:hAnsi="Arial" w:cs="Arial"/>
          <w:sz w:val="20"/>
          <w:szCs w:val="20"/>
        </w:rPr>
        <w:t>The results from the ADF-Fisher chi-square test</w:t>
      </w:r>
      <w:r>
        <w:rPr>
          <w:rFonts w:ascii="Arial" w:hAnsi="Arial" w:cs="Arial"/>
          <w:sz w:val="20"/>
          <w:szCs w:val="20"/>
        </w:rPr>
        <w:t xml:space="preserve"> in table 3</w:t>
      </w:r>
      <w:r w:rsidRPr="0013587B">
        <w:rPr>
          <w:rFonts w:ascii="Arial" w:hAnsi="Arial" w:cs="Arial"/>
          <w:sz w:val="20"/>
          <w:szCs w:val="20"/>
        </w:rPr>
        <w:t xml:space="preserve"> yielded a statistic of 69.5253 with a probability value of 0.1058, while the ADF-Choi Z-stat showed a value of 0.45911 with a probability of 0.6769. Both p-values exceed the conventional significance threshold of 0.05. This indicates a failure to reject the null hypothesis of a unit root. This implies that the RF variable is non-stationary at level across the panel. Further examination of the intermediate ADF test results for individual cross-sections reinforces this conclusion. Therefore, the panel unit root test findings suggest that the regulatory framework variable is not stationary at level. This non-stationarity implies that differencing was necessary before incorporating the variable into panel regression models to avoid issues of spurious relationships and invalid statistical inferences. For the differencing side</w:t>
      </w:r>
      <w:r>
        <w:rPr>
          <w:rFonts w:ascii="Arial" w:hAnsi="Arial" w:cs="Arial"/>
          <w:sz w:val="20"/>
          <w:szCs w:val="20"/>
        </w:rPr>
        <w:t xml:space="preserve"> in table 4</w:t>
      </w:r>
      <w:r w:rsidRPr="0013587B">
        <w:rPr>
          <w:rFonts w:ascii="Arial" w:hAnsi="Arial" w:cs="Arial"/>
          <w:sz w:val="20"/>
          <w:szCs w:val="20"/>
        </w:rPr>
        <w:t>, the overall panel results yielded a Fisher ADF Chi-square statistic of 105.495 with a corresponding p-value of 0.0001, which is statistically significant at the 1% level. In addition, the Choi Z-statistic was computed as -3.53686, also statistically significant with a p-value of 0.0002. These results jointly provide strong statistical evidence to reject the null hypothesis of a unit root. Consequently, the regulatory framework variable is stationary in its first difference, indicating that it is integrated of order one, that is, I (1).</w:t>
      </w:r>
    </w:p>
    <w:p w14:paraId="3204843C" w14:textId="50D62831" w:rsidR="00D11DE2" w:rsidRPr="0013587B" w:rsidRDefault="004801F2" w:rsidP="00CF2B1C">
      <w:pPr>
        <w:pStyle w:val="Caption"/>
        <w:keepNext/>
        <w:spacing w:after="0"/>
        <w:jc w:val="both"/>
        <w:rPr>
          <w:rFonts w:ascii="Arial" w:hAnsi="Arial" w:cs="Arial"/>
          <w:b/>
          <w:i w:val="0"/>
          <w:color w:val="auto"/>
          <w:sz w:val="20"/>
          <w:szCs w:val="20"/>
        </w:rPr>
      </w:pPr>
      <w:bookmarkStart w:id="14" w:name="_Toc206689016"/>
      <w:r w:rsidRPr="0013587B">
        <w:rPr>
          <w:rFonts w:ascii="Arial" w:hAnsi="Arial" w:cs="Arial"/>
          <w:b/>
          <w:i w:val="0"/>
          <w:color w:val="auto"/>
          <w:sz w:val="20"/>
          <w:szCs w:val="20"/>
        </w:rPr>
        <w:t xml:space="preserve">Table </w:t>
      </w:r>
      <w:r w:rsidR="007E0362">
        <w:rPr>
          <w:rFonts w:ascii="Arial" w:hAnsi="Arial" w:cs="Arial"/>
          <w:b/>
          <w:i w:val="0"/>
          <w:color w:val="auto"/>
          <w:sz w:val="20"/>
          <w:szCs w:val="20"/>
        </w:rPr>
        <w:t>5</w:t>
      </w:r>
      <w:r w:rsidRPr="0013587B">
        <w:rPr>
          <w:rFonts w:ascii="Arial" w:hAnsi="Arial" w:cs="Arial"/>
          <w:b/>
          <w:i w:val="0"/>
          <w:color w:val="auto"/>
          <w:sz w:val="20"/>
          <w:szCs w:val="20"/>
        </w:rPr>
        <w:t>: Unit Root Test at Level for SMD</w:t>
      </w:r>
      <w:bookmarkEnd w:id="14"/>
    </w:p>
    <w:tbl>
      <w:tblPr>
        <w:tblW w:w="5000" w:type="pct"/>
        <w:tblCellMar>
          <w:left w:w="0" w:type="dxa"/>
          <w:right w:w="0" w:type="dxa"/>
        </w:tblCellMar>
        <w:tblLook w:val="0000" w:firstRow="0" w:lastRow="0" w:firstColumn="0" w:lastColumn="0" w:noHBand="0" w:noVBand="0"/>
      </w:tblPr>
      <w:tblGrid>
        <w:gridCol w:w="2796"/>
        <w:gridCol w:w="1095"/>
        <w:gridCol w:w="89"/>
        <w:gridCol w:w="1715"/>
        <w:gridCol w:w="1715"/>
        <w:gridCol w:w="1711"/>
      </w:tblGrid>
      <w:tr w:rsidR="00D11DE2" w:rsidRPr="0013587B" w14:paraId="5C617A5B" w14:textId="77777777" w:rsidTr="00632D7D">
        <w:trPr>
          <w:trHeight w:hRule="exact" w:val="81"/>
        </w:trPr>
        <w:tc>
          <w:tcPr>
            <w:tcW w:w="1533" w:type="pct"/>
            <w:tcBorders>
              <w:top w:val="nil"/>
              <w:left w:val="nil"/>
              <w:bottom w:val="double" w:sz="6" w:space="2" w:color="auto"/>
              <w:right w:val="nil"/>
            </w:tcBorders>
            <w:vAlign w:val="bottom"/>
          </w:tcPr>
          <w:p w14:paraId="7251D0E1" w14:textId="77777777" w:rsidR="00D11DE2" w:rsidRPr="0013587B" w:rsidRDefault="00D11DE2" w:rsidP="00CF2B1C">
            <w:pPr>
              <w:spacing w:after="0" w:line="240" w:lineRule="auto"/>
              <w:jc w:val="both"/>
              <w:rPr>
                <w:rFonts w:ascii="Arial" w:hAnsi="Arial" w:cs="Arial"/>
                <w:sz w:val="20"/>
                <w:szCs w:val="20"/>
              </w:rPr>
            </w:pPr>
          </w:p>
        </w:tc>
        <w:tc>
          <w:tcPr>
            <w:tcW w:w="648" w:type="pct"/>
            <w:gridSpan w:val="2"/>
            <w:tcBorders>
              <w:top w:val="nil"/>
              <w:left w:val="nil"/>
              <w:bottom w:val="double" w:sz="6" w:space="2" w:color="auto"/>
              <w:right w:val="nil"/>
            </w:tcBorders>
            <w:vAlign w:val="bottom"/>
          </w:tcPr>
          <w:p w14:paraId="47C734D5"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4042BB33"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5B147BFA" w14:textId="77777777" w:rsidR="00D11DE2" w:rsidRPr="0013587B" w:rsidRDefault="00D11DE2" w:rsidP="00CF2B1C">
            <w:pPr>
              <w:spacing w:after="0" w:line="240" w:lineRule="auto"/>
              <w:jc w:val="both"/>
              <w:rPr>
                <w:rFonts w:ascii="Arial" w:hAnsi="Arial" w:cs="Arial"/>
                <w:sz w:val="20"/>
                <w:szCs w:val="20"/>
              </w:rPr>
            </w:pPr>
          </w:p>
        </w:tc>
        <w:tc>
          <w:tcPr>
            <w:tcW w:w="939" w:type="pct"/>
            <w:tcBorders>
              <w:top w:val="nil"/>
              <w:left w:val="nil"/>
              <w:bottom w:val="double" w:sz="6" w:space="2" w:color="auto"/>
              <w:right w:val="nil"/>
            </w:tcBorders>
            <w:vAlign w:val="bottom"/>
          </w:tcPr>
          <w:p w14:paraId="3BE5079A" w14:textId="77777777" w:rsidR="00D11DE2" w:rsidRPr="0013587B" w:rsidRDefault="00D11DE2" w:rsidP="00CF2B1C">
            <w:pPr>
              <w:spacing w:after="0" w:line="240" w:lineRule="auto"/>
              <w:jc w:val="both"/>
              <w:rPr>
                <w:rFonts w:ascii="Arial" w:hAnsi="Arial" w:cs="Arial"/>
                <w:sz w:val="20"/>
                <w:szCs w:val="20"/>
              </w:rPr>
            </w:pPr>
          </w:p>
        </w:tc>
      </w:tr>
      <w:tr w:rsidR="00D11DE2" w:rsidRPr="0013587B" w14:paraId="56E25102" w14:textId="77777777" w:rsidTr="00632D7D">
        <w:trPr>
          <w:trHeight w:hRule="exact" w:val="122"/>
        </w:trPr>
        <w:tc>
          <w:tcPr>
            <w:tcW w:w="1533" w:type="pct"/>
            <w:tcBorders>
              <w:top w:val="nil"/>
              <w:left w:val="nil"/>
              <w:bottom w:val="nil"/>
              <w:right w:val="nil"/>
            </w:tcBorders>
            <w:vAlign w:val="bottom"/>
          </w:tcPr>
          <w:p w14:paraId="229FE5FA" w14:textId="77777777" w:rsidR="00D11DE2" w:rsidRPr="0013587B" w:rsidRDefault="00D11DE2" w:rsidP="00CF2B1C">
            <w:pPr>
              <w:spacing w:after="0" w:line="240" w:lineRule="auto"/>
              <w:jc w:val="both"/>
              <w:rPr>
                <w:rFonts w:ascii="Arial" w:hAnsi="Arial" w:cs="Arial"/>
                <w:sz w:val="20"/>
                <w:szCs w:val="20"/>
              </w:rPr>
            </w:pPr>
          </w:p>
        </w:tc>
        <w:tc>
          <w:tcPr>
            <w:tcW w:w="648" w:type="pct"/>
            <w:gridSpan w:val="2"/>
            <w:tcBorders>
              <w:top w:val="nil"/>
              <w:left w:val="nil"/>
              <w:bottom w:val="nil"/>
              <w:right w:val="nil"/>
            </w:tcBorders>
            <w:vAlign w:val="bottom"/>
          </w:tcPr>
          <w:p w14:paraId="6B467764"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95F33CA"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452749F" w14:textId="77777777" w:rsidR="00D11DE2" w:rsidRPr="0013587B" w:rsidRDefault="00D11DE2" w:rsidP="00CF2B1C">
            <w:pPr>
              <w:spacing w:after="0" w:line="240" w:lineRule="auto"/>
              <w:jc w:val="both"/>
              <w:rPr>
                <w:rFonts w:ascii="Arial" w:hAnsi="Arial" w:cs="Arial"/>
                <w:sz w:val="20"/>
                <w:szCs w:val="20"/>
              </w:rPr>
            </w:pPr>
          </w:p>
        </w:tc>
        <w:tc>
          <w:tcPr>
            <w:tcW w:w="939" w:type="pct"/>
            <w:tcBorders>
              <w:top w:val="nil"/>
              <w:left w:val="nil"/>
              <w:bottom w:val="nil"/>
              <w:right w:val="nil"/>
            </w:tcBorders>
            <w:vAlign w:val="bottom"/>
          </w:tcPr>
          <w:p w14:paraId="0A50BFFF" w14:textId="77777777" w:rsidR="00D11DE2" w:rsidRPr="0013587B" w:rsidRDefault="00D11DE2" w:rsidP="00CF2B1C">
            <w:pPr>
              <w:spacing w:after="0" w:line="240" w:lineRule="auto"/>
              <w:jc w:val="both"/>
              <w:rPr>
                <w:rFonts w:ascii="Arial" w:hAnsi="Arial" w:cs="Arial"/>
                <w:sz w:val="20"/>
                <w:szCs w:val="20"/>
              </w:rPr>
            </w:pPr>
          </w:p>
        </w:tc>
      </w:tr>
      <w:tr w:rsidR="00D11DE2" w:rsidRPr="0013587B" w14:paraId="78FA3C0F" w14:textId="77777777" w:rsidTr="00632D7D">
        <w:trPr>
          <w:trHeight w:val="204"/>
        </w:trPr>
        <w:tc>
          <w:tcPr>
            <w:tcW w:w="2181" w:type="pct"/>
            <w:gridSpan w:val="3"/>
            <w:tcBorders>
              <w:top w:val="nil"/>
              <w:left w:val="nil"/>
              <w:bottom w:val="single" w:sz="6" w:space="0" w:color="auto"/>
              <w:right w:val="nil"/>
            </w:tcBorders>
            <w:vAlign w:val="bottom"/>
          </w:tcPr>
          <w:p w14:paraId="434A9C7B" w14:textId="4A2E82C3" w:rsidR="00D11DE2" w:rsidRPr="0013587B" w:rsidRDefault="00CB1672" w:rsidP="005E13CD">
            <w:pPr>
              <w:spacing w:after="0" w:line="240" w:lineRule="auto"/>
              <w:jc w:val="both"/>
              <w:rPr>
                <w:rFonts w:ascii="Arial" w:hAnsi="Arial" w:cs="Arial"/>
                <w:sz w:val="20"/>
                <w:szCs w:val="20"/>
              </w:rPr>
            </w:pPr>
            <w:r w:rsidRPr="0013587B">
              <w:rPr>
                <w:rFonts w:ascii="Arial" w:hAnsi="Arial" w:cs="Arial"/>
                <w:sz w:val="20"/>
                <w:szCs w:val="20"/>
              </w:rPr>
              <w:t>Method</w:t>
            </w:r>
          </w:p>
        </w:tc>
        <w:tc>
          <w:tcPr>
            <w:tcW w:w="940" w:type="pct"/>
            <w:tcBorders>
              <w:top w:val="nil"/>
              <w:left w:val="nil"/>
              <w:bottom w:val="single" w:sz="6" w:space="0" w:color="auto"/>
              <w:right w:val="nil"/>
            </w:tcBorders>
            <w:vAlign w:val="bottom"/>
          </w:tcPr>
          <w:p w14:paraId="206203F6"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6B3EAFB5" w14:textId="432660D6" w:rsidR="00D11DE2" w:rsidRPr="0013587B" w:rsidRDefault="00CB1672" w:rsidP="005E13CD">
            <w:pPr>
              <w:spacing w:after="0" w:line="240" w:lineRule="auto"/>
              <w:jc w:val="both"/>
              <w:rPr>
                <w:rFonts w:ascii="Arial" w:hAnsi="Arial" w:cs="Arial"/>
                <w:sz w:val="20"/>
                <w:szCs w:val="20"/>
              </w:rPr>
            </w:pPr>
            <w:r w:rsidRPr="0013587B">
              <w:rPr>
                <w:rFonts w:ascii="Arial" w:hAnsi="Arial" w:cs="Arial"/>
                <w:sz w:val="20"/>
                <w:szCs w:val="20"/>
              </w:rPr>
              <w:t>Statistic</w:t>
            </w:r>
          </w:p>
        </w:tc>
        <w:tc>
          <w:tcPr>
            <w:tcW w:w="939" w:type="pct"/>
            <w:tcBorders>
              <w:top w:val="nil"/>
              <w:left w:val="nil"/>
              <w:bottom w:val="single" w:sz="6" w:space="0" w:color="auto"/>
              <w:right w:val="nil"/>
            </w:tcBorders>
            <w:vAlign w:val="bottom"/>
          </w:tcPr>
          <w:p w14:paraId="5EE7AD8F" w14:textId="4F11DAB8" w:rsidR="00D11DE2" w:rsidRPr="0013587B" w:rsidRDefault="00CB1672" w:rsidP="005E13CD">
            <w:pPr>
              <w:spacing w:after="0" w:line="240" w:lineRule="auto"/>
              <w:jc w:val="both"/>
              <w:rPr>
                <w:rFonts w:ascii="Arial" w:hAnsi="Arial" w:cs="Arial"/>
                <w:sz w:val="20"/>
                <w:szCs w:val="20"/>
              </w:rPr>
            </w:pPr>
            <w:r w:rsidRPr="0013587B">
              <w:rPr>
                <w:rFonts w:ascii="Arial" w:hAnsi="Arial" w:cs="Arial"/>
                <w:sz w:val="20"/>
                <w:szCs w:val="20"/>
              </w:rPr>
              <w:t>Prob.**</w:t>
            </w:r>
          </w:p>
        </w:tc>
      </w:tr>
      <w:tr w:rsidR="00D11DE2" w:rsidRPr="0013587B" w14:paraId="3F3967B5" w14:textId="77777777" w:rsidTr="00632D7D">
        <w:trPr>
          <w:trHeight w:val="204"/>
        </w:trPr>
        <w:tc>
          <w:tcPr>
            <w:tcW w:w="3121" w:type="pct"/>
            <w:gridSpan w:val="4"/>
            <w:tcBorders>
              <w:top w:val="nil"/>
              <w:left w:val="nil"/>
              <w:bottom w:val="nil"/>
              <w:right w:val="nil"/>
            </w:tcBorders>
            <w:vAlign w:val="bottom"/>
          </w:tcPr>
          <w:p w14:paraId="32DF07FB" w14:textId="0F9B3911" w:rsidR="00D11DE2" w:rsidRPr="0013587B" w:rsidRDefault="00CB1672" w:rsidP="005E13CD">
            <w:pPr>
              <w:spacing w:after="0" w:line="240" w:lineRule="auto"/>
              <w:jc w:val="both"/>
              <w:rPr>
                <w:rFonts w:ascii="Arial" w:hAnsi="Arial" w:cs="Arial"/>
                <w:sz w:val="20"/>
                <w:szCs w:val="20"/>
              </w:rPr>
            </w:pPr>
            <w:r w:rsidRPr="0013587B">
              <w:rPr>
                <w:rFonts w:ascii="Arial" w:hAnsi="Arial" w:cs="Arial"/>
                <w:sz w:val="20"/>
                <w:szCs w:val="20"/>
              </w:rPr>
              <w:t>ADF - Fisher Chi-square</w:t>
            </w:r>
          </w:p>
        </w:tc>
        <w:tc>
          <w:tcPr>
            <w:tcW w:w="940" w:type="pct"/>
            <w:tcBorders>
              <w:top w:val="nil"/>
              <w:left w:val="nil"/>
              <w:bottom w:val="nil"/>
              <w:right w:val="nil"/>
            </w:tcBorders>
            <w:vAlign w:val="bottom"/>
          </w:tcPr>
          <w:p w14:paraId="3141FDD4" w14:textId="3F8A8400" w:rsidR="00D11DE2" w:rsidRPr="0013587B" w:rsidRDefault="00DC7C79" w:rsidP="005E13CD">
            <w:pPr>
              <w:spacing w:after="0" w:line="240" w:lineRule="auto"/>
              <w:jc w:val="both"/>
              <w:rPr>
                <w:rFonts w:ascii="Arial" w:hAnsi="Arial" w:cs="Arial"/>
                <w:sz w:val="20"/>
                <w:szCs w:val="20"/>
              </w:rPr>
            </w:pPr>
            <w:r w:rsidRPr="0013587B">
              <w:rPr>
                <w:rFonts w:ascii="Arial" w:hAnsi="Arial" w:cs="Arial"/>
                <w:sz w:val="20"/>
                <w:szCs w:val="20"/>
              </w:rPr>
              <w:t> 74.</w:t>
            </w:r>
            <w:r w:rsidR="00D11DE2" w:rsidRPr="0013587B">
              <w:rPr>
                <w:rFonts w:ascii="Arial" w:hAnsi="Arial" w:cs="Arial"/>
                <w:sz w:val="20"/>
                <w:szCs w:val="20"/>
              </w:rPr>
              <w:t>6405</w:t>
            </w:r>
          </w:p>
        </w:tc>
        <w:tc>
          <w:tcPr>
            <w:tcW w:w="939" w:type="pct"/>
            <w:tcBorders>
              <w:top w:val="nil"/>
              <w:left w:val="nil"/>
              <w:bottom w:val="nil"/>
              <w:right w:val="nil"/>
            </w:tcBorders>
            <w:vAlign w:val="bottom"/>
          </w:tcPr>
          <w:p w14:paraId="4BB37918" w14:textId="2CBF2C1E" w:rsidR="00D11DE2" w:rsidRPr="0013587B" w:rsidRDefault="00DC7C79" w:rsidP="005E13CD">
            <w:pPr>
              <w:spacing w:after="0" w:line="240" w:lineRule="auto"/>
              <w:jc w:val="both"/>
              <w:rPr>
                <w:rFonts w:ascii="Arial" w:hAnsi="Arial" w:cs="Arial"/>
                <w:sz w:val="20"/>
                <w:szCs w:val="20"/>
              </w:rPr>
            </w:pPr>
            <w:r w:rsidRPr="0013587B">
              <w:rPr>
                <w:rFonts w:ascii="Arial" w:hAnsi="Arial" w:cs="Arial"/>
                <w:sz w:val="20"/>
                <w:szCs w:val="20"/>
              </w:rPr>
              <w:t> 0.</w:t>
            </w:r>
            <w:r w:rsidR="00D11DE2" w:rsidRPr="0013587B">
              <w:rPr>
                <w:rFonts w:ascii="Arial" w:hAnsi="Arial" w:cs="Arial"/>
                <w:sz w:val="20"/>
                <w:szCs w:val="20"/>
              </w:rPr>
              <w:t>0486</w:t>
            </w:r>
          </w:p>
        </w:tc>
      </w:tr>
      <w:tr w:rsidR="00D11DE2" w:rsidRPr="0013587B" w14:paraId="057E1230" w14:textId="77777777" w:rsidTr="00632D7D">
        <w:trPr>
          <w:trHeight w:val="204"/>
        </w:trPr>
        <w:tc>
          <w:tcPr>
            <w:tcW w:w="3121" w:type="pct"/>
            <w:gridSpan w:val="4"/>
            <w:tcBorders>
              <w:top w:val="nil"/>
              <w:left w:val="nil"/>
              <w:bottom w:val="nil"/>
              <w:right w:val="nil"/>
            </w:tcBorders>
            <w:vAlign w:val="bottom"/>
          </w:tcPr>
          <w:p w14:paraId="184C6A5D" w14:textId="670904C4" w:rsidR="00D11DE2" w:rsidRPr="0013587B" w:rsidRDefault="00CB1672" w:rsidP="005E13CD">
            <w:pPr>
              <w:spacing w:after="0" w:line="240" w:lineRule="auto"/>
              <w:jc w:val="both"/>
              <w:rPr>
                <w:rFonts w:ascii="Arial" w:hAnsi="Arial" w:cs="Arial"/>
                <w:sz w:val="20"/>
                <w:szCs w:val="20"/>
              </w:rPr>
            </w:pPr>
            <w:r w:rsidRPr="0013587B">
              <w:rPr>
                <w:rFonts w:ascii="Arial" w:hAnsi="Arial" w:cs="Arial"/>
                <w:sz w:val="20"/>
                <w:szCs w:val="20"/>
              </w:rPr>
              <w:t>ADF - Choi Z-stat</w:t>
            </w:r>
          </w:p>
        </w:tc>
        <w:tc>
          <w:tcPr>
            <w:tcW w:w="940" w:type="pct"/>
            <w:tcBorders>
              <w:top w:val="nil"/>
              <w:left w:val="nil"/>
              <w:bottom w:val="nil"/>
              <w:right w:val="nil"/>
            </w:tcBorders>
            <w:vAlign w:val="bottom"/>
          </w:tcPr>
          <w:p w14:paraId="469942EF" w14:textId="77777777" w:rsidR="00D11DE2" w:rsidRPr="0013587B" w:rsidRDefault="00D11DE2" w:rsidP="005E13CD">
            <w:pPr>
              <w:spacing w:after="0" w:line="240" w:lineRule="auto"/>
              <w:jc w:val="both"/>
              <w:rPr>
                <w:rFonts w:ascii="Arial" w:hAnsi="Arial" w:cs="Arial"/>
                <w:sz w:val="20"/>
                <w:szCs w:val="20"/>
              </w:rPr>
            </w:pPr>
            <w:r w:rsidRPr="0013587B">
              <w:rPr>
                <w:rFonts w:ascii="Arial" w:hAnsi="Arial" w:cs="Arial"/>
                <w:sz w:val="20"/>
                <w:szCs w:val="20"/>
              </w:rPr>
              <w:t xml:space="preserve"> 40.4591</w:t>
            </w:r>
          </w:p>
        </w:tc>
        <w:tc>
          <w:tcPr>
            <w:tcW w:w="939" w:type="pct"/>
            <w:tcBorders>
              <w:top w:val="nil"/>
              <w:left w:val="nil"/>
              <w:bottom w:val="nil"/>
              <w:right w:val="nil"/>
            </w:tcBorders>
            <w:vAlign w:val="bottom"/>
          </w:tcPr>
          <w:p w14:paraId="00A999CE" w14:textId="5F4A7AE6" w:rsidR="00D11DE2" w:rsidRPr="0013587B" w:rsidRDefault="00DC7C79" w:rsidP="005E13CD">
            <w:pPr>
              <w:spacing w:after="0" w:line="240" w:lineRule="auto"/>
              <w:jc w:val="both"/>
              <w:rPr>
                <w:rFonts w:ascii="Arial" w:hAnsi="Arial" w:cs="Arial"/>
                <w:sz w:val="20"/>
                <w:szCs w:val="20"/>
              </w:rPr>
            </w:pPr>
            <w:r w:rsidRPr="0013587B">
              <w:rPr>
                <w:rFonts w:ascii="Arial" w:hAnsi="Arial" w:cs="Arial"/>
                <w:sz w:val="20"/>
                <w:szCs w:val="20"/>
              </w:rPr>
              <w:t xml:space="preserve"> 0.</w:t>
            </w:r>
            <w:r w:rsidR="00D11DE2" w:rsidRPr="0013587B">
              <w:rPr>
                <w:rFonts w:ascii="Arial" w:hAnsi="Arial" w:cs="Arial"/>
                <w:sz w:val="20"/>
                <w:szCs w:val="20"/>
              </w:rPr>
              <w:t>0034</w:t>
            </w:r>
          </w:p>
        </w:tc>
      </w:tr>
      <w:tr w:rsidR="00D11DE2" w:rsidRPr="0013587B" w14:paraId="1ED9223F" w14:textId="77777777" w:rsidTr="00632D7D">
        <w:trPr>
          <w:trHeight w:hRule="exact" w:val="81"/>
        </w:trPr>
        <w:tc>
          <w:tcPr>
            <w:tcW w:w="1533" w:type="pct"/>
            <w:tcBorders>
              <w:top w:val="nil"/>
              <w:left w:val="nil"/>
              <w:bottom w:val="double" w:sz="6" w:space="2" w:color="auto"/>
              <w:right w:val="nil"/>
            </w:tcBorders>
            <w:vAlign w:val="bottom"/>
          </w:tcPr>
          <w:p w14:paraId="508C5E34" w14:textId="77777777" w:rsidR="00D11DE2" w:rsidRPr="0013587B" w:rsidRDefault="00D11DE2" w:rsidP="005E13CD">
            <w:pPr>
              <w:spacing w:after="0" w:line="240" w:lineRule="auto"/>
              <w:jc w:val="both"/>
              <w:rPr>
                <w:rFonts w:ascii="Arial" w:hAnsi="Arial" w:cs="Arial"/>
                <w:sz w:val="20"/>
                <w:szCs w:val="20"/>
              </w:rPr>
            </w:pPr>
          </w:p>
        </w:tc>
        <w:tc>
          <w:tcPr>
            <w:tcW w:w="648" w:type="pct"/>
            <w:gridSpan w:val="2"/>
            <w:tcBorders>
              <w:top w:val="nil"/>
              <w:left w:val="nil"/>
              <w:bottom w:val="double" w:sz="6" w:space="2" w:color="auto"/>
              <w:right w:val="nil"/>
            </w:tcBorders>
            <w:vAlign w:val="bottom"/>
          </w:tcPr>
          <w:p w14:paraId="3406E104"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06F3352B"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3B4B5683" w14:textId="77777777" w:rsidR="00D11DE2" w:rsidRPr="0013587B" w:rsidRDefault="00D11DE2" w:rsidP="005E13CD">
            <w:pPr>
              <w:spacing w:after="0" w:line="240" w:lineRule="auto"/>
              <w:jc w:val="both"/>
              <w:rPr>
                <w:rFonts w:ascii="Arial" w:hAnsi="Arial" w:cs="Arial"/>
                <w:sz w:val="20"/>
                <w:szCs w:val="20"/>
              </w:rPr>
            </w:pPr>
          </w:p>
        </w:tc>
        <w:tc>
          <w:tcPr>
            <w:tcW w:w="939" w:type="pct"/>
            <w:tcBorders>
              <w:top w:val="nil"/>
              <w:left w:val="nil"/>
              <w:bottom w:val="double" w:sz="6" w:space="2" w:color="auto"/>
              <w:right w:val="nil"/>
            </w:tcBorders>
            <w:vAlign w:val="bottom"/>
          </w:tcPr>
          <w:p w14:paraId="5442B9A7" w14:textId="77777777" w:rsidR="00D11DE2" w:rsidRPr="0013587B" w:rsidRDefault="00D11DE2" w:rsidP="005E13CD">
            <w:pPr>
              <w:spacing w:after="0" w:line="240" w:lineRule="auto"/>
              <w:jc w:val="both"/>
              <w:rPr>
                <w:rFonts w:ascii="Arial" w:hAnsi="Arial" w:cs="Arial"/>
                <w:sz w:val="20"/>
                <w:szCs w:val="20"/>
              </w:rPr>
            </w:pPr>
          </w:p>
        </w:tc>
      </w:tr>
      <w:tr w:rsidR="00D11DE2" w:rsidRPr="0013587B" w14:paraId="10D15C34" w14:textId="77777777" w:rsidTr="00632D7D">
        <w:trPr>
          <w:trHeight w:hRule="exact" w:val="122"/>
        </w:trPr>
        <w:tc>
          <w:tcPr>
            <w:tcW w:w="1533" w:type="pct"/>
            <w:tcBorders>
              <w:top w:val="nil"/>
              <w:left w:val="nil"/>
              <w:bottom w:val="nil"/>
              <w:right w:val="nil"/>
            </w:tcBorders>
            <w:vAlign w:val="bottom"/>
          </w:tcPr>
          <w:p w14:paraId="0B0397EB" w14:textId="77777777" w:rsidR="00D11DE2" w:rsidRPr="0013587B" w:rsidRDefault="00D11DE2" w:rsidP="005E13CD">
            <w:pPr>
              <w:spacing w:after="0" w:line="240" w:lineRule="auto"/>
              <w:jc w:val="both"/>
              <w:rPr>
                <w:rFonts w:ascii="Arial" w:hAnsi="Arial" w:cs="Arial"/>
                <w:sz w:val="20"/>
                <w:szCs w:val="20"/>
              </w:rPr>
            </w:pPr>
          </w:p>
        </w:tc>
        <w:tc>
          <w:tcPr>
            <w:tcW w:w="648" w:type="pct"/>
            <w:gridSpan w:val="2"/>
            <w:tcBorders>
              <w:top w:val="nil"/>
              <w:left w:val="nil"/>
              <w:bottom w:val="nil"/>
              <w:right w:val="nil"/>
            </w:tcBorders>
            <w:vAlign w:val="bottom"/>
          </w:tcPr>
          <w:p w14:paraId="23E7BB5C"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C0B799D"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F453090" w14:textId="77777777" w:rsidR="00D11DE2" w:rsidRPr="0013587B" w:rsidRDefault="00D11DE2" w:rsidP="005E13CD">
            <w:pPr>
              <w:spacing w:after="0" w:line="240" w:lineRule="auto"/>
              <w:jc w:val="both"/>
              <w:rPr>
                <w:rFonts w:ascii="Arial" w:hAnsi="Arial" w:cs="Arial"/>
                <w:sz w:val="20"/>
                <w:szCs w:val="20"/>
              </w:rPr>
            </w:pPr>
          </w:p>
        </w:tc>
        <w:tc>
          <w:tcPr>
            <w:tcW w:w="939" w:type="pct"/>
            <w:tcBorders>
              <w:top w:val="nil"/>
              <w:left w:val="nil"/>
              <w:bottom w:val="nil"/>
              <w:right w:val="nil"/>
            </w:tcBorders>
            <w:vAlign w:val="bottom"/>
          </w:tcPr>
          <w:p w14:paraId="0C64C474" w14:textId="77777777" w:rsidR="00D11DE2" w:rsidRPr="0013587B" w:rsidRDefault="00D11DE2" w:rsidP="005E13CD">
            <w:pPr>
              <w:spacing w:after="0" w:line="240" w:lineRule="auto"/>
              <w:jc w:val="both"/>
              <w:rPr>
                <w:rFonts w:ascii="Arial" w:hAnsi="Arial" w:cs="Arial"/>
                <w:sz w:val="20"/>
                <w:szCs w:val="20"/>
              </w:rPr>
            </w:pPr>
          </w:p>
        </w:tc>
      </w:tr>
      <w:tr w:rsidR="00D11DE2" w:rsidRPr="0013587B" w14:paraId="649994D0" w14:textId="77777777" w:rsidTr="00632D7D">
        <w:trPr>
          <w:trHeight w:val="204"/>
        </w:trPr>
        <w:tc>
          <w:tcPr>
            <w:tcW w:w="5000" w:type="pct"/>
            <w:gridSpan w:val="6"/>
            <w:tcBorders>
              <w:top w:val="nil"/>
              <w:left w:val="nil"/>
              <w:bottom w:val="nil"/>
              <w:right w:val="nil"/>
            </w:tcBorders>
            <w:vAlign w:val="bottom"/>
          </w:tcPr>
          <w:p w14:paraId="4ACAE3FF" w14:textId="682C83E8" w:rsidR="00D11DE2" w:rsidRPr="0013587B" w:rsidRDefault="00D11DE2" w:rsidP="005E13CD">
            <w:pPr>
              <w:spacing w:line="240" w:lineRule="auto"/>
              <w:rPr>
                <w:rFonts w:ascii="Arial" w:hAnsi="Arial" w:cs="Arial"/>
                <w:sz w:val="20"/>
                <w:szCs w:val="20"/>
              </w:rPr>
            </w:pPr>
            <w:r w:rsidRPr="0013587B">
              <w:rPr>
                <w:rFonts w:ascii="Arial" w:hAnsi="Arial" w:cs="Arial"/>
                <w:sz w:val="20"/>
                <w:szCs w:val="20"/>
              </w:rPr>
              <w:t>P&lt;5%</w:t>
            </w:r>
          </w:p>
        </w:tc>
      </w:tr>
      <w:tr w:rsidR="00D11DE2" w:rsidRPr="0013587B" w14:paraId="6F060E98" w14:textId="77777777" w:rsidTr="00632D7D">
        <w:trPr>
          <w:trHeight w:val="204"/>
        </w:trPr>
        <w:tc>
          <w:tcPr>
            <w:tcW w:w="2133" w:type="pct"/>
            <w:gridSpan w:val="2"/>
            <w:tcBorders>
              <w:top w:val="nil"/>
              <w:left w:val="nil"/>
              <w:bottom w:val="nil"/>
              <w:right w:val="nil"/>
            </w:tcBorders>
            <w:vAlign w:val="bottom"/>
          </w:tcPr>
          <w:p w14:paraId="72EECDF8" w14:textId="77777777" w:rsidR="00D11DE2" w:rsidRPr="0013587B" w:rsidRDefault="00D11DE2" w:rsidP="005E13CD">
            <w:pPr>
              <w:spacing w:after="0" w:line="240" w:lineRule="auto"/>
              <w:jc w:val="both"/>
              <w:rPr>
                <w:rFonts w:ascii="Arial" w:hAnsi="Arial" w:cs="Arial"/>
                <w:sz w:val="20"/>
                <w:szCs w:val="20"/>
              </w:rPr>
            </w:pPr>
            <w:r w:rsidRPr="0013587B">
              <w:rPr>
                <w:rFonts w:ascii="Arial" w:hAnsi="Arial" w:cs="Arial"/>
                <w:sz w:val="20"/>
                <w:szCs w:val="20"/>
              </w:rPr>
              <w:t>Source: Data Analysis (2025)</w:t>
            </w:r>
          </w:p>
        </w:tc>
        <w:tc>
          <w:tcPr>
            <w:tcW w:w="49" w:type="pct"/>
            <w:tcBorders>
              <w:top w:val="nil"/>
              <w:left w:val="nil"/>
              <w:bottom w:val="nil"/>
              <w:right w:val="nil"/>
            </w:tcBorders>
            <w:vAlign w:val="bottom"/>
          </w:tcPr>
          <w:p w14:paraId="4E609E33"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6BA1F526"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3F469EDA" w14:textId="77777777" w:rsidR="00D11DE2" w:rsidRPr="0013587B" w:rsidRDefault="00D11DE2" w:rsidP="005E13CD">
            <w:pPr>
              <w:spacing w:after="0" w:line="240" w:lineRule="auto"/>
              <w:jc w:val="both"/>
              <w:rPr>
                <w:rFonts w:ascii="Arial" w:hAnsi="Arial" w:cs="Arial"/>
                <w:sz w:val="20"/>
                <w:szCs w:val="20"/>
              </w:rPr>
            </w:pPr>
          </w:p>
        </w:tc>
        <w:tc>
          <w:tcPr>
            <w:tcW w:w="939" w:type="pct"/>
            <w:tcBorders>
              <w:top w:val="nil"/>
              <w:left w:val="nil"/>
              <w:bottom w:val="nil"/>
              <w:right w:val="nil"/>
            </w:tcBorders>
            <w:vAlign w:val="bottom"/>
          </w:tcPr>
          <w:p w14:paraId="1348E857" w14:textId="77777777" w:rsidR="00D11DE2" w:rsidRPr="0013587B" w:rsidRDefault="00D11DE2" w:rsidP="005E13CD">
            <w:pPr>
              <w:spacing w:after="0" w:line="240" w:lineRule="auto"/>
              <w:jc w:val="both"/>
              <w:rPr>
                <w:rFonts w:ascii="Arial" w:hAnsi="Arial" w:cs="Arial"/>
                <w:sz w:val="20"/>
                <w:szCs w:val="20"/>
              </w:rPr>
            </w:pPr>
          </w:p>
        </w:tc>
      </w:tr>
    </w:tbl>
    <w:p w14:paraId="6FD841BE" w14:textId="77777777" w:rsidR="00956A72" w:rsidRPr="0013587B" w:rsidRDefault="00956A72" w:rsidP="005E13CD">
      <w:pPr>
        <w:spacing w:after="0" w:line="240" w:lineRule="auto"/>
        <w:jc w:val="both"/>
        <w:rPr>
          <w:rFonts w:ascii="Arial" w:hAnsi="Arial" w:cs="Arial"/>
          <w:b/>
          <w:sz w:val="20"/>
          <w:szCs w:val="20"/>
        </w:rPr>
      </w:pPr>
    </w:p>
    <w:p w14:paraId="79CB7FB2" w14:textId="5F03BC81" w:rsidR="00E56F63" w:rsidRPr="0013587B" w:rsidRDefault="00B80AA7" w:rsidP="00CF2B1C">
      <w:pPr>
        <w:pStyle w:val="Caption"/>
        <w:keepNext/>
        <w:spacing w:after="0"/>
        <w:jc w:val="both"/>
        <w:rPr>
          <w:rFonts w:ascii="Arial" w:hAnsi="Arial" w:cs="Arial"/>
          <w:b/>
          <w:i w:val="0"/>
          <w:color w:val="auto"/>
          <w:sz w:val="20"/>
          <w:szCs w:val="20"/>
        </w:rPr>
      </w:pPr>
      <w:bookmarkStart w:id="15" w:name="_Toc206689019"/>
      <w:r w:rsidRPr="0013587B">
        <w:rPr>
          <w:rFonts w:ascii="Arial" w:hAnsi="Arial" w:cs="Arial"/>
          <w:b/>
          <w:i w:val="0"/>
          <w:color w:val="auto"/>
          <w:sz w:val="20"/>
          <w:szCs w:val="20"/>
        </w:rPr>
        <w:lastRenderedPageBreak/>
        <w:t xml:space="preserve">Table </w:t>
      </w:r>
      <w:r w:rsidR="007E0362">
        <w:rPr>
          <w:rFonts w:ascii="Arial" w:hAnsi="Arial" w:cs="Arial"/>
          <w:b/>
          <w:i w:val="0"/>
          <w:color w:val="auto"/>
          <w:sz w:val="20"/>
          <w:szCs w:val="20"/>
        </w:rPr>
        <w:t>6</w:t>
      </w:r>
      <w:r w:rsidRPr="0013587B">
        <w:rPr>
          <w:rFonts w:ascii="Arial" w:hAnsi="Arial" w:cs="Arial"/>
          <w:b/>
          <w:i w:val="0"/>
          <w:color w:val="auto"/>
          <w:sz w:val="20"/>
          <w:szCs w:val="20"/>
        </w:rPr>
        <w:t xml:space="preserve">: Unit Root Test </w:t>
      </w:r>
      <w:r w:rsidR="00881EBC" w:rsidRPr="0013587B">
        <w:rPr>
          <w:rFonts w:ascii="Arial" w:hAnsi="Arial" w:cs="Arial"/>
          <w:b/>
          <w:i w:val="0"/>
          <w:color w:val="auto"/>
          <w:sz w:val="20"/>
          <w:szCs w:val="20"/>
        </w:rPr>
        <w:t>of</w:t>
      </w:r>
      <w:r w:rsidRPr="0013587B">
        <w:rPr>
          <w:rFonts w:ascii="Arial" w:hAnsi="Arial" w:cs="Arial"/>
          <w:b/>
          <w:i w:val="0"/>
          <w:color w:val="auto"/>
          <w:sz w:val="20"/>
          <w:szCs w:val="20"/>
        </w:rPr>
        <w:t xml:space="preserve"> First Difference </w:t>
      </w:r>
      <w:r w:rsidR="00881EBC" w:rsidRPr="0013587B">
        <w:rPr>
          <w:rFonts w:ascii="Arial" w:hAnsi="Arial" w:cs="Arial"/>
          <w:b/>
          <w:i w:val="0"/>
          <w:color w:val="auto"/>
          <w:sz w:val="20"/>
          <w:szCs w:val="20"/>
        </w:rPr>
        <w:t xml:space="preserve">of </w:t>
      </w:r>
      <w:r w:rsidRPr="0013587B">
        <w:rPr>
          <w:rFonts w:ascii="Arial" w:hAnsi="Arial" w:cs="Arial"/>
          <w:b/>
          <w:i w:val="0"/>
          <w:color w:val="auto"/>
          <w:sz w:val="20"/>
          <w:szCs w:val="20"/>
        </w:rPr>
        <w:t>SMD</w:t>
      </w:r>
      <w:bookmarkEnd w:id="15"/>
    </w:p>
    <w:tbl>
      <w:tblPr>
        <w:tblW w:w="5000" w:type="pct"/>
        <w:tblCellMar>
          <w:left w:w="0" w:type="dxa"/>
          <w:right w:w="0" w:type="dxa"/>
        </w:tblCellMar>
        <w:tblLook w:val="0000" w:firstRow="0" w:lastRow="0" w:firstColumn="0" w:lastColumn="0" w:noHBand="0" w:noVBand="0"/>
      </w:tblPr>
      <w:tblGrid>
        <w:gridCol w:w="2265"/>
        <w:gridCol w:w="1715"/>
        <w:gridCol w:w="1715"/>
        <w:gridCol w:w="1715"/>
        <w:gridCol w:w="1711"/>
      </w:tblGrid>
      <w:tr w:rsidR="00F1168A" w:rsidRPr="0013587B" w14:paraId="7851BF46" w14:textId="77777777" w:rsidTr="00F1168A">
        <w:trPr>
          <w:trHeight w:hRule="exact" w:val="81"/>
        </w:trPr>
        <w:tc>
          <w:tcPr>
            <w:tcW w:w="1242" w:type="pct"/>
            <w:tcBorders>
              <w:top w:val="nil"/>
              <w:left w:val="nil"/>
              <w:bottom w:val="double" w:sz="6" w:space="2" w:color="auto"/>
              <w:right w:val="nil"/>
            </w:tcBorders>
            <w:vAlign w:val="bottom"/>
          </w:tcPr>
          <w:p w14:paraId="0EEEB712"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76F1D420"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3663BE5F"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B8B07F9" w14:textId="77777777" w:rsidR="00F1168A" w:rsidRPr="0013587B" w:rsidRDefault="00F1168A" w:rsidP="00CF2B1C">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0FBD9D8C" w14:textId="77777777" w:rsidR="00F1168A" w:rsidRPr="0013587B" w:rsidRDefault="00F1168A" w:rsidP="00CF2B1C">
            <w:pPr>
              <w:spacing w:after="0" w:line="240" w:lineRule="auto"/>
              <w:jc w:val="both"/>
              <w:rPr>
                <w:rFonts w:ascii="Arial" w:hAnsi="Arial" w:cs="Arial"/>
                <w:sz w:val="20"/>
                <w:szCs w:val="20"/>
              </w:rPr>
            </w:pPr>
          </w:p>
        </w:tc>
      </w:tr>
      <w:tr w:rsidR="00F1168A" w:rsidRPr="0013587B" w14:paraId="1255B039" w14:textId="77777777" w:rsidTr="00F1168A">
        <w:trPr>
          <w:trHeight w:hRule="exact" w:val="122"/>
        </w:trPr>
        <w:tc>
          <w:tcPr>
            <w:tcW w:w="1242" w:type="pct"/>
            <w:tcBorders>
              <w:top w:val="nil"/>
              <w:left w:val="nil"/>
              <w:bottom w:val="nil"/>
              <w:right w:val="nil"/>
            </w:tcBorders>
            <w:vAlign w:val="bottom"/>
          </w:tcPr>
          <w:p w14:paraId="7323E234"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42A9D5CF"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87C35DA"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02AA2E5" w14:textId="77777777" w:rsidR="00F1168A" w:rsidRPr="0013587B" w:rsidRDefault="00F1168A" w:rsidP="00CF2B1C">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1EB7F599" w14:textId="77777777" w:rsidR="00F1168A" w:rsidRPr="0013587B" w:rsidRDefault="00F1168A" w:rsidP="00CF2B1C">
            <w:pPr>
              <w:spacing w:after="0" w:line="240" w:lineRule="auto"/>
              <w:jc w:val="both"/>
              <w:rPr>
                <w:rFonts w:ascii="Arial" w:hAnsi="Arial" w:cs="Arial"/>
                <w:sz w:val="20"/>
                <w:szCs w:val="20"/>
              </w:rPr>
            </w:pPr>
          </w:p>
        </w:tc>
      </w:tr>
      <w:tr w:rsidR="00F1168A" w:rsidRPr="0013587B" w14:paraId="7EE439FD" w14:textId="77777777" w:rsidTr="00F1168A">
        <w:trPr>
          <w:trHeight w:val="204"/>
        </w:trPr>
        <w:tc>
          <w:tcPr>
            <w:tcW w:w="2182" w:type="pct"/>
            <w:gridSpan w:val="2"/>
            <w:tcBorders>
              <w:top w:val="nil"/>
              <w:left w:val="nil"/>
              <w:bottom w:val="single" w:sz="6" w:space="0" w:color="auto"/>
              <w:right w:val="nil"/>
            </w:tcBorders>
            <w:vAlign w:val="bottom"/>
          </w:tcPr>
          <w:p w14:paraId="7C5632AD" w14:textId="2EC8CAC0" w:rsidR="00F1168A" w:rsidRPr="0013587B" w:rsidRDefault="000E62A4" w:rsidP="005E13CD">
            <w:pPr>
              <w:spacing w:after="0" w:line="240" w:lineRule="auto"/>
              <w:jc w:val="both"/>
              <w:rPr>
                <w:rFonts w:ascii="Arial" w:hAnsi="Arial" w:cs="Arial"/>
                <w:sz w:val="20"/>
                <w:szCs w:val="20"/>
              </w:rPr>
            </w:pPr>
            <w:r w:rsidRPr="0013587B">
              <w:rPr>
                <w:rFonts w:ascii="Arial" w:hAnsi="Arial" w:cs="Arial"/>
                <w:sz w:val="20"/>
                <w:szCs w:val="20"/>
              </w:rPr>
              <w:t>Method</w:t>
            </w:r>
          </w:p>
        </w:tc>
        <w:tc>
          <w:tcPr>
            <w:tcW w:w="940" w:type="pct"/>
            <w:tcBorders>
              <w:top w:val="nil"/>
              <w:left w:val="nil"/>
              <w:bottom w:val="single" w:sz="6" w:space="0" w:color="auto"/>
              <w:right w:val="nil"/>
            </w:tcBorders>
            <w:vAlign w:val="bottom"/>
          </w:tcPr>
          <w:p w14:paraId="11E30AFD"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4E29545E" w14:textId="14F06EF9" w:rsidR="00F1168A" w:rsidRPr="0013587B" w:rsidRDefault="000E62A4" w:rsidP="005E13CD">
            <w:pPr>
              <w:spacing w:after="0" w:line="240" w:lineRule="auto"/>
              <w:jc w:val="both"/>
              <w:rPr>
                <w:rFonts w:ascii="Arial" w:hAnsi="Arial" w:cs="Arial"/>
                <w:sz w:val="20"/>
                <w:szCs w:val="20"/>
              </w:rPr>
            </w:pPr>
            <w:r w:rsidRPr="0013587B">
              <w:rPr>
                <w:rFonts w:ascii="Arial" w:hAnsi="Arial" w:cs="Arial"/>
                <w:sz w:val="20"/>
                <w:szCs w:val="20"/>
              </w:rPr>
              <w:t>Statistic</w:t>
            </w:r>
          </w:p>
        </w:tc>
        <w:tc>
          <w:tcPr>
            <w:tcW w:w="938" w:type="pct"/>
            <w:tcBorders>
              <w:top w:val="nil"/>
              <w:left w:val="nil"/>
              <w:bottom w:val="single" w:sz="6" w:space="0" w:color="auto"/>
              <w:right w:val="nil"/>
            </w:tcBorders>
            <w:vAlign w:val="bottom"/>
          </w:tcPr>
          <w:p w14:paraId="2296666D" w14:textId="00149B61" w:rsidR="00F1168A" w:rsidRPr="0013587B" w:rsidRDefault="000E62A4" w:rsidP="005E13CD">
            <w:pPr>
              <w:spacing w:after="0" w:line="240" w:lineRule="auto"/>
              <w:jc w:val="both"/>
              <w:rPr>
                <w:rFonts w:ascii="Arial" w:hAnsi="Arial" w:cs="Arial"/>
                <w:sz w:val="20"/>
                <w:szCs w:val="20"/>
              </w:rPr>
            </w:pPr>
            <w:r w:rsidRPr="0013587B">
              <w:rPr>
                <w:rFonts w:ascii="Arial" w:hAnsi="Arial" w:cs="Arial"/>
                <w:sz w:val="20"/>
                <w:szCs w:val="20"/>
              </w:rPr>
              <w:t>Prob.**</w:t>
            </w:r>
          </w:p>
        </w:tc>
      </w:tr>
      <w:tr w:rsidR="00F1168A" w:rsidRPr="0013587B" w14:paraId="427BD429" w14:textId="77777777" w:rsidTr="00F1168A">
        <w:trPr>
          <w:trHeight w:val="204"/>
        </w:trPr>
        <w:tc>
          <w:tcPr>
            <w:tcW w:w="3122" w:type="pct"/>
            <w:gridSpan w:val="3"/>
            <w:tcBorders>
              <w:top w:val="nil"/>
              <w:left w:val="nil"/>
              <w:bottom w:val="nil"/>
              <w:right w:val="nil"/>
            </w:tcBorders>
            <w:vAlign w:val="bottom"/>
          </w:tcPr>
          <w:p w14:paraId="14918950" w14:textId="470E04CE" w:rsidR="00F1168A" w:rsidRPr="0013587B" w:rsidRDefault="000E62A4" w:rsidP="005E13CD">
            <w:pPr>
              <w:spacing w:after="0" w:line="240" w:lineRule="auto"/>
              <w:jc w:val="both"/>
              <w:rPr>
                <w:rFonts w:ascii="Arial" w:hAnsi="Arial" w:cs="Arial"/>
                <w:sz w:val="20"/>
                <w:szCs w:val="20"/>
              </w:rPr>
            </w:pPr>
            <w:r w:rsidRPr="0013587B">
              <w:rPr>
                <w:rFonts w:ascii="Arial" w:hAnsi="Arial" w:cs="Arial"/>
                <w:sz w:val="20"/>
                <w:szCs w:val="20"/>
              </w:rPr>
              <w:t>ADF - Fisher Chi-square</w:t>
            </w:r>
          </w:p>
        </w:tc>
        <w:tc>
          <w:tcPr>
            <w:tcW w:w="940" w:type="pct"/>
            <w:tcBorders>
              <w:top w:val="nil"/>
              <w:left w:val="nil"/>
              <w:bottom w:val="nil"/>
              <w:right w:val="nil"/>
            </w:tcBorders>
            <w:vAlign w:val="bottom"/>
          </w:tcPr>
          <w:p w14:paraId="2E4D72D8" w14:textId="77777777" w:rsidR="00F1168A" w:rsidRPr="0013587B" w:rsidRDefault="00F1168A" w:rsidP="005E13CD">
            <w:pPr>
              <w:spacing w:after="0" w:line="240" w:lineRule="auto"/>
              <w:jc w:val="both"/>
              <w:rPr>
                <w:rFonts w:ascii="Arial" w:hAnsi="Arial" w:cs="Arial"/>
                <w:sz w:val="20"/>
                <w:szCs w:val="20"/>
              </w:rPr>
            </w:pPr>
            <w:r w:rsidRPr="0013587B">
              <w:rPr>
                <w:rFonts w:ascii="Arial" w:hAnsi="Arial" w:cs="Arial"/>
                <w:sz w:val="20"/>
                <w:szCs w:val="20"/>
              </w:rPr>
              <w:t> 96.4452</w:t>
            </w:r>
          </w:p>
        </w:tc>
        <w:tc>
          <w:tcPr>
            <w:tcW w:w="938" w:type="pct"/>
            <w:tcBorders>
              <w:top w:val="nil"/>
              <w:left w:val="nil"/>
              <w:bottom w:val="nil"/>
              <w:right w:val="nil"/>
            </w:tcBorders>
            <w:vAlign w:val="bottom"/>
          </w:tcPr>
          <w:p w14:paraId="6C3B8575" w14:textId="6BCF50BA" w:rsidR="00F1168A" w:rsidRPr="0013587B" w:rsidRDefault="00D07CA0" w:rsidP="005E13CD">
            <w:pPr>
              <w:spacing w:after="0" w:line="240" w:lineRule="auto"/>
              <w:jc w:val="both"/>
              <w:rPr>
                <w:rFonts w:ascii="Arial" w:hAnsi="Arial" w:cs="Arial"/>
                <w:sz w:val="20"/>
                <w:szCs w:val="20"/>
              </w:rPr>
            </w:pPr>
            <w:r w:rsidRPr="0013587B">
              <w:rPr>
                <w:rFonts w:ascii="Arial" w:hAnsi="Arial" w:cs="Arial"/>
                <w:sz w:val="20"/>
                <w:szCs w:val="20"/>
              </w:rPr>
              <w:t> 0.</w:t>
            </w:r>
            <w:r w:rsidR="00F1168A" w:rsidRPr="0013587B">
              <w:rPr>
                <w:rFonts w:ascii="Arial" w:hAnsi="Arial" w:cs="Arial"/>
                <w:sz w:val="20"/>
                <w:szCs w:val="20"/>
              </w:rPr>
              <w:t>0006</w:t>
            </w:r>
          </w:p>
        </w:tc>
      </w:tr>
      <w:tr w:rsidR="00F1168A" w:rsidRPr="0013587B" w14:paraId="5DF6ED5D" w14:textId="77777777" w:rsidTr="00F1168A">
        <w:trPr>
          <w:trHeight w:val="204"/>
        </w:trPr>
        <w:tc>
          <w:tcPr>
            <w:tcW w:w="3122" w:type="pct"/>
            <w:gridSpan w:val="3"/>
            <w:tcBorders>
              <w:top w:val="nil"/>
              <w:left w:val="nil"/>
              <w:bottom w:val="nil"/>
              <w:right w:val="nil"/>
            </w:tcBorders>
            <w:vAlign w:val="bottom"/>
          </w:tcPr>
          <w:p w14:paraId="23871013" w14:textId="20A13FAC" w:rsidR="00F1168A" w:rsidRPr="0013587B" w:rsidRDefault="000E62A4" w:rsidP="005E13CD">
            <w:pPr>
              <w:spacing w:after="0" w:line="240" w:lineRule="auto"/>
              <w:jc w:val="both"/>
              <w:rPr>
                <w:rFonts w:ascii="Arial" w:hAnsi="Arial" w:cs="Arial"/>
                <w:sz w:val="20"/>
                <w:szCs w:val="20"/>
              </w:rPr>
            </w:pPr>
            <w:r w:rsidRPr="0013587B">
              <w:rPr>
                <w:rFonts w:ascii="Arial" w:hAnsi="Arial" w:cs="Arial"/>
                <w:sz w:val="20"/>
                <w:szCs w:val="20"/>
              </w:rPr>
              <w:t>ADF - Choi Z-stat</w:t>
            </w:r>
          </w:p>
        </w:tc>
        <w:tc>
          <w:tcPr>
            <w:tcW w:w="940" w:type="pct"/>
            <w:tcBorders>
              <w:top w:val="nil"/>
              <w:left w:val="nil"/>
              <w:bottom w:val="nil"/>
              <w:right w:val="nil"/>
            </w:tcBorders>
            <w:vAlign w:val="bottom"/>
          </w:tcPr>
          <w:p w14:paraId="0F8060F4" w14:textId="28189C7F" w:rsidR="00F1168A" w:rsidRPr="0013587B" w:rsidRDefault="00D07CA0" w:rsidP="005E13CD">
            <w:pPr>
              <w:spacing w:after="0" w:line="240" w:lineRule="auto"/>
              <w:jc w:val="both"/>
              <w:rPr>
                <w:rFonts w:ascii="Arial" w:hAnsi="Arial" w:cs="Arial"/>
                <w:sz w:val="20"/>
                <w:szCs w:val="20"/>
              </w:rPr>
            </w:pPr>
            <w:r w:rsidRPr="0013587B">
              <w:rPr>
                <w:rFonts w:ascii="Arial" w:hAnsi="Arial" w:cs="Arial"/>
                <w:sz w:val="20"/>
                <w:szCs w:val="20"/>
              </w:rPr>
              <w:t>-3.</w:t>
            </w:r>
            <w:r w:rsidR="00F1168A" w:rsidRPr="0013587B">
              <w:rPr>
                <w:rFonts w:ascii="Arial" w:hAnsi="Arial" w:cs="Arial"/>
                <w:sz w:val="20"/>
                <w:szCs w:val="20"/>
              </w:rPr>
              <w:t>22149</w:t>
            </w:r>
          </w:p>
        </w:tc>
        <w:tc>
          <w:tcPr>
            <w:tcW w:w="938" w:type="pct"/>
            <w:tcBorders>
              <w:top w:val="nil"/>
              <w:left w:val="nil"/>
              <w:bottom w:val="nil"/>
              <w:right w:val="nil"/>
            </w:tcBorders>
            <w:vAlign w:val="bottom"/>
          </w:tcPr>
          <w:p w14:paraId="4B141F05" w14:textId="6993D75E" w:rsidR="00F1168A" w:rsidRPr="0013587B" w:rsidRDefault="00D07CA0" w:rsidP="005E13CD">
            <w:pPr>
              <w:spacing w:after="0" w:line="240" w:lineRule="auto"/>
              <w:jc w:val="both"/>
              <w:rPr>
                <w:rFonts w:ascii="Arial" w:hAnsi="Arial" w:cs="Arial"/>
                <w:sz w:val="20"/>
                <w:szCs w:val="20"/>
              </w:rPr>
            </w:pPr>
            <w:r w:rsidRPr="0013587B">
              <w:rPr>
                <w:rFonts w:ascii="Arial" w:hAnsi="Arial" w:cs="Arial"/>
                <w:sz w:val="20"/>
                <w:szCs w:val="20"/>
              </w:rPr>
              <w:t xml:space="preserve"> 0.</w:t>
            </w:r>
            <w:r w:rsidR="00F1168A" w:rsidRPr="0013587B">
              <w:rPr>
                <w:rFonts w:ascii="Arial" w:hAnsi="Arial" w:cs="Arial"/>
                <w:sz w:val="20"/>
                <w:szCs w:val="20"/>
              </w:rPr>
              <w:t>0020</w:t>
            </w:r>
          </w:p>
        </w:tc>
      </w:tr>
      <w:tr w:rsidR="00F1168A" w:rsidRPr="0013587B" w14:paraId="26927719" w14:textId="77777777" w:rsidTr="00F1168A">
        <w:trPr>
          <w:trHeight w:hRule="exact" w:val="81"/>
        </w:trPr>
        <w:tc>
          <w:tcPr>
            <w:tcW w:w="1242" w:type="pct"/>
            <w:tcBorders>
              <w:top w:val="nil"/>
              <w:left w:val="nil"/>
              <w:bottom w:val="double" w:sz="6" w:space="2" w:color="auto"/>
              <w:right w:val="nil"/>
            </w:tcBorders>
            <w:vAlign w:val="bottom"/>
          </w:tcPr>
          <w:p w14:paraId="64FCEDDD"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563E1266"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654A81A"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18C1A725" w14:textId="77777777" w:rsidR="00F1168A" w:rsidRPr="0013587B" w:rsidRDefault="00F1168A" w:rsidP="005E13CD">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5835E4AC" w14:textId="77777777" w:rsidR="00F1168A" w:rsidRPr="0013587B" w:rsidRDefault="00F1168A" w:rsidP="005E13CD">
            <w:pPr>
              <w:spacing w:after="0" w:line="240" w:lineRule="auto"/>
              <w:jc w:val="both"/>
              <w:rPr>
                <w:rFonts w:ascii="Arial" w:hAnsi="Arial" w:cs="Arial"/>
                <w:sz w:val="20"/>
                <w:szCs w:val="20"/>
              </w:rPr>
            </w:pPr>
          </w:p>
        </w:tc>
      </w:tr>
      <w:tr w:rsidR="00F1168A" w:rsidRPr="0013587B" w14:paraId="4BC29A24" w14:textId="77777777" w:rsidTr="00F1168A">
        <w:trPr>
          <w:trHeight w:hRule="exact" w:val="122"/>
        </w:trPr>
        <w:tc>
          <w:tcPr>
            <w:tcW w:w="1242" w:type="pct"/>
            <w:tcBorders>
              <w:top w:val="nil"/>
              <w:left w:val="nil"/>
              <w:bottom w:val="nil"/>
              <w:right w:val="nil"/>
            </w:tcBorders>
            <w:vAlign w:val="bottom"/>
          </w:tcPr>
          <w:p w14:paraId="5BEFC10A"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17CD7700"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405AF0B9"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7BD1CC1C" w14:textId="77777777" w:rsidR="00F1168A" w:rsidRPr="0013587B" w:rsidRDefault="00F1168A" w:rsidP="005E13CD">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3A904562" w14:textId="77777777" w:rsidR="00F1168A" w:rsidRPr="0013587B" w:rsidRDefault="00F1168A" w:rsidP="005E13CD">
            <w:pPr>
              <w:spacing w:after="0" w:line="240" w:lineRule="auto"/>
              <w:jc w:val="both"/>
              <w:rPr>
                <w:rFonts w:ascii="Arial" w:hAnsi="Arial" w:cs="Arial"/>
                <w:sz w:val="20"/>
                <w:szCs w:val="20"/>
              </w:rPr>
            </w:pPr>
          </w:p>
        </w:tc>
      </w:tr>
    </w:tbl>
    <w:p w14:paraId="21A2C7E8" w14:textId="635C6CAB" w:rsidR="009C2049" w:rsidRPr="0013587B" w:rsidRDefault="009C2049" w:rsidP="009C2049">
      <w:pPr>
        <w:spacing w:line="240" w:lineRule="auto"/>
        <w:jc w:val="both"/>
        <w:rPr>
          <w:rFonts w:ascii="Arial" w:hAnsi="Arial" w:cs="Arial"/>
          <w:sz w:val="20"/>
          <w:szCs w:val="20"/>
        </w:rPr>
      </w:pPr>
      <w:r w:rsidRPr="0013587B">
        <w:rPr>
          <w:rFonts w:ascii="Arial" w:hAnsi="Arial" w:cs="Arial"/>
          <w:sz w:val="20"/>
          <w:szCs w:val="20"/>
        </w:rPr>
        <w:t>For the stock market development, the ADF test results at the individual cross-sectional level reveal less than 0.05 p-values, indicating rejection of the null hypothesis of unit root and therefore suggesting stationarity in those specific units. The panel-level ADF Fisher test result remains statistically significant, highlighting that, on average, the time series across units demonstrate stationarity. While several individual cross-sections revealed unit root characteristics, the panel-level evidence is strong enough to conclude that the SMD series is stationary, satisfying the necessary condition for further panel data analysis such as cointegration or regression modeling. This stationarity indicates a mean-reverting behavior of the SMD variable over the observed period and enhances the reliability of subsequent econometric analysis. On the differencing side, the panel-level test result indicates a Fisher ADF Chi-square statistic of 96.4452 with a p-value of 0.0006. This p-value is statistically significant at the 1% level, providing strong evidence to reject the null hypothesis of a unit root. Therefore, it was concluded that the first-differenced SMD variable is stationary across the panel and hence is integrated of order one, that is, I (1). Particularly, the ADF Choi Z-statistic indicates the same result as the ADF Fisher test.</w:t>
      </w:r>
    </w:p>
    <w:p w14:paraId="2CB87112" w14:textId="1DC23D4A" w:rsidR="00DA20A5" w:rsidRPr="0013587B" w:rsidRDefault="00E874BA" w:rsidP="009C2049">
      <w:pPr>
        <w:spacing w:line="240" w:lineRule="auto"/>
        <w:jc w:val="both"/>
        <w:rPr>
          <w:rFonts w:ascii="Arial" w:hAnsi="Arial" w:cs="Arial"/>
          <w:b/>
          <w:sz w:val="20"/>
          <w:szCs w:val="20"/>
        </w:rPr>
      </w:pPr>
      <w:r w:rsidRPr="0013587B">
        <w:rPr>
          <w:rFonts w:ascii="Arial" w:hAnsi="Arial" w:cs="Arial"/>
          <w:b/>
          <w:sz w:val="20"/>
          <w:szCs w:val="20"/>
        </w:rPr>
        <w:t>Table 7. Results from the Method of Estimation</w:t>
      </w:r>
    </w:p>
    <w:tbl>
      <w:tblPr>
        <w:tblStyle w:val="TableGrid"/>
        <w:tblW w:w="0" w:type="auto"/>
        <w:tblLayout w:type="fixed"/>
        <w:tblLook w:val="04A0" w:firstRow="1" w:lastRow="0" w:firstColumn="1" w:lastColumn="0" w:noHBand="0" w:noVBand="1"/>
      </w:tblPr>
      <w:tblGrid>
        <w:gridCol w:w="1129"/>
        <w:gridCol w:w="851"/>
        <w:gridCol w:w="992"/>
        <w:gridCol w:w="1134"/>
        <w:gridCol w:w="992"/>
        <w:gridCol w:w="993"/>
        <w:gridCol w:w="850"/>
        <w:gridCol w:w="1134"/>
        <w:gridCol w:w="992"/>
      </w:tblGrid>
      <w:tr w:rsidR="00DA20A5" w:rsidRPr="006E5FF9" w14:paraId="3BF9B26C" w14:textId="77777777" w:rsidTr="00004BB3">
        <w:tc>
          <w:tcPr>
            <w:tcW w:w="1129" w:type="dxa"/>
            <w:tcBorders>
              <w:bottom w:val="nil"/>
            </w:tcBorders>
          </w:tcPr>
          <w:p w14:paraId="4F390B69" w14:textId="7004FCCA" w:rsidR="00DA20A5" w:rsidRPr="006E5FF9" w:rsidRDefault="00DA20A5" w:rsidP="003C001E">
            <w:pPr>
              <w:jc w:val="center"/>
              <w:rPr>
                <w:rFonts w:ascii="Arial" w:hAnsi="Arial" w:cs="Arial"/>
                <w:b/>
                <w:sz w:val="20"/>
                <w:szCs w:val="20"/>
              </w:rPr>
            </w:pPr>
            <w:r w:rsidRPr="006E5FF9">
              <w:rPr>
                <w:rFonts w:ascii="Arial" w:hAnsi="Arial" w:cs="Arial"/>
                <w:b/>
                <w:sz w:val="20"/>
                <w:szCs w:val="20"/>
              </w:rPr>
              <w:t>Variables</w:t>
            </w:r>
          </w:p>
        </w:tc>
        <w:tc>
          <w:tcPr>
            <w:tcW w:w="7938" w:type="dxa"/>
            <w:gridSpan w:val="8"/>
            <w:tcBorders>
              <w:bottom w:val="single" w:sz="4" w:space="0" w:color="auto"/>
            </w:tcBorders>
          </w:tcPr>
          <w:p w14:paraId="5A77AB76" w14:textId="7CF10D33" w:rsidR="00DA20A5" w:rsidRPr="006E5FF9" w:rsidRDefault="00DA20A5" w:rsidP="003C001E">
            <w:pPr>
              <w:jc w:val="center"/>
              <w:rPr>
                <w:rFonts w:ascii="Arial" w:hAnsi="Arial" w:cs="Arial"/>
                <w:b/>
                <w:sz w:val="20"/>
                <w:szCs w:val="20"/>
              </w:rPr>
            </w:pPr>
            <w:r w:rsidRPr="006E5FF9">
              <w:rPr>
                <w:rFonts w:ascii="Arial" w:hAnsi="Arial" w:cs="Arial"/>
                <w:b/>
                <w:sz w:val="20"/>
                <w:szCs w:val="20"/>
              </w:rPr>
              <w:t xml:space="preserve">Methods for </w:t>
            </w:r>
            <w:r w:rsidR="00BB596F" w:rsidRPr="006E5FF9">
              <w:rPr>
                <w:rFonts w:ascii="Arial" w:hAnsi="Arial" w:cs="Arial"/>
                <w:b/>
                <w:sz w:val="20"/>
                <w:szCs w:val="20"/>
              </w:rPr>
              <w:t>Estimation</w:t>
            </w:r>
          </w:p>
        </w:tc>
      </w:tr>
      <w:tr w:rsidR="00596941" w:rsidRPr="006E5FF9" w14:paraId="1AE2B722" w14:textId="3F90E5F1" w:rsidTr="00004BB3">
        <w:trPr>
          <w:trHeight w:val="445"/>
        </w:trPr>
        <w:tc>
          <w:tcPr>
            <w:tcW w:w="1129" w:type="dxa"/>
            <w:vMerge w:val="restart"/>
            <w:tcBorders>
              <w:top w:val="nil"/>
              <w:left w:val="single" w:sz="4" w:space="0" w:color="auto"/>
              <w:bottom w:val="nil"/>
              <w:right w:val="single" w:sz="4" w:space="0" w:color="auto"/>
            </w:tcBorders>
          </w:tcPr>
          <w:p w14:paraId="753EA9EE" w14:textId="77777777" w:rsidR="00596941" w:rsidRPr="006E5FF9" w:rsidRDefault="00596941" w:rsidP="009C2049">
            <w:pPr>
              <w:jc w:val="both"/>
              <w:rPr>
                <w:rFonts w:ascii="Arial" w:hAnsi="Arial" w:cs="Arial"/>
                <w:sz w:val="20"/>
                <w:szCs w:val="20"/>
              </w:rPr>
            </w:pPr>
          </w:p>
        </w:tc>
        <w:tc>
          <w:tcPr>
            <w:tcW w:w="1843" w:type="dxa"/>
            <w:gridSpan w:val="2"/>
            <w:tcBorders>
              <w:top w:val="single" w:sz="4" w:space="0" w:color="auto"/>
              <w:left w:val="single" w:sz="4" w:space="0" w:color="auto"/>
              <w:bottom w:val="nil"/>
              <w:right w:val="nil"/>
            </w:tcBorders>
          </w:tcPr>
          <w:p w14:paraId="000A015B" w14:textId="54C44375" w:rsidR="00596941" w:rsidRPr="006E5FF9" w:rsidRDefault="00596941" w:rsidP="009C2049">
            <w:pPr>
              <w:jc w:val="both"/>
              <w:rPr>
                <w:rFonts w:ascii="Arial" w:hAnsi="Arial" w:cs="Arial"/>
                <w:sz w:val="20"/>
                <w:szCs w:val="20"/>
              </w:rPr>
            </w:pPr>
            <w:r w:rsidRPr="006E5FF9">
              <w:rPr>
                <w:rFonts w:ascii="Arial" w:hAnsi="Arial" w:cs="Arial"/>
                <w:sz w:val="20"/>
                <w:szCs w:val="20"/>
              </w:rPr>
              <w:t>Pooled OLS</w:t>
            </w:r>
          </w:p>
        </w:tc>
        <w:tc>
          <w:tcPr>
            <w:tcW w:w="2126" w:type="dxa"/>
            <w:gridSpan w:val="2"/>
            <w:tcBorders>
              <w:top w:val="single" w:sz="4" w:space="0" w:color="auto"/>
              <w:left w:val="nil"/>
              <w:bottom w:val="nil"/>
              <w:right w:val="nil"/>
            </w:tcBorders>
          </w:tcPr>
          <w:p w14:paraId="6B5F398E" w14:textId="2E8CB575" w:rsidR="00596941" w:rsidRPr="006E5FF9" w:rsidRDefault="00596941" w:rsidP="00DA20A5">
            <w:pPr>
              <w:jc w:val="both"/>
              <w:rPr>
                <w:rFonts w:ascii="Arial" w:hAnsi="Arial" w:cs="Arial"/>
                <w:sz w:val="20"/>
                <w:szCs w:val="20"/>
              </w:rPr>
            </w:pPr>
            <w:r w:rsidRPr="006E5FF9">
              <w:rPr>
                <w:rFonts w:ascii="Arial" w:hAnsi="Arial" w:cs="Arial"/>
                <w:sz w:val="20"/>
                <w:szCs w:val="20"/>
              </w:rPr>
              <w:t>Fixed Effect</w:t>
            </w:r>
          </w:p>
        </w:tc>
        <w:tc>
          <w:tcPr>
            <w:tcW w:w="1843" w:type="dxa"/>
            <w:gridSpan w:val="2"/>
            <w:tcBorders>
              <w:top w:val="single" w:sz="4" w:space="0" w:color="auto"/>
              <w:left w:val="nil"/>
              <w:bottom w:val="nil"/>
              <w:right w:val="nil"/>
            </w:tcBorders>
          </w:tcPr>
          <w:p w14:paraId="6F160447" w14:textId="676395D9" w:rsidR="00596941" w:rsidRPr="006E5FF9" w:rsidRDefault="00596941" w:rsidP="00DA20A5">
            <w:pPr>
              <w:jc w:val="both"/>
              <w:rPr>
                <w:rFonts w:ascii="Arial" w:hAnsi="Arial" w:cs="Arial"/>
                <w:sz w:val="20"/>
                <w:szCs w:val="20"/>
              </w:rPr>
            </w:pPr>
            <w:r w:rsidRPr="006E5FF9">
              <w:rPr>
                <w:rFonts w:ascii="Arial" w:hAnsi="Arial" w:cs="Arial"/>
                <w:sz w:val="20"/>
                <w:szCs w:val="20"/>
              </w:rPr>
              <w:t>Hausman Fixed Effect</w:t>
            </w:r>
          </w:p>
        </w:tc>
        <w:tc>
          <w:tcPr>
            <w:tcW w:w="2126" w:type="dxa"/>
            <w:gridSpan w:val="2"/>
            <w:tcBorders>
              <w:top w:val="single" w:sz="4" w:space="0" w:color="auto"/>
              <w:left w:val="nil"/>
              <w:bottom w:val="nil"/>
              <w:right w:val="single" w:sz="4" w:space="0" w:color="auto"/>
            </w:tcBorders>
          </w:tcPr>
          <w:p w14:paraId="2F83B9A1" w14:textId="15911F12" w:rsidR="00596941" w:rsidRPr="006E5FF9" w:rsidRDefault="00596941" w:rsidP="00DA20A5">
            <w:pPr>
              <w:jc w:val="both"/>
              <w:rPr>
                <w:rFonts w:ascii="Arial" w:hAnsi="Arial" w:cs="Arial"/>
                <w:sz w:val="20"/>
                <w:szCs w:val="20"/>
              </w:rPr>
            </w:pPr>
            <w:r w:rsidRPr="006E5FF9">
              <w:rPr>
                <w:rFonts w:ascii="Arial" w:hAnsi="Arial" w:cs="Arial"/>
                <w:sz w:val="20"/>
                <w:szCs w:val="20"/>
              </w:rPr>
              <w:t>Random Effect</w:t>
            </w:r>
          </w:p>
        </w:tc>
      </w:tr>
      <w:tr w:rsidR="00596941" w:rsidRPr="006E5FF9" w14:paraId="65A3E01E" w14:textId="713657A6" w:rsidTr="00004BB3">
        <w:trPr>
          <w:trHeight w:val="416"/>
        </w:trPr>
        <w:tc>
          <w:tcPr>
            <w:tcW w:w="1129" w:type="dxa"/>
            <w:vMerge/>
            <w:tcBorders>
              <w:top w:val="nil"/>
              <w:left w:val="single" w:sz="4" w:space="0" w:color="auto"/>
              <w:bottom w:val="nil"/>
              <w:right w:val="single" w:sz="4" w:space="0" w:color="auto"/>
            </w:tcBorders>
          </w:tcPr>
          <w:p w14:paraId="3D880753" w14:textId="77777777" w:rsidR="00596941" w:rsidRPr="006E5FF9" w:rsidRDefault="00596941" w:rsidP="009C2049">
            <w:pPr>
              <w:jc w:val="both"/>
              <w:rPr>
                <w:rFonts w:ascii="Arial" w:hAnsi="Arial" w:cs="Arial"/>
                <w:sz w:val="20"/>
                <w:szCs w:val="20"/>
              </w:rPr>
            </w:pPr>
          </w:p>
        </w:tc>
        <w:tc>
          <w:tcPr>
            <w:tcW w:w="851" w:type="dxa"/>
            <w:tcBorders>
              <w:top w:val="nil"/>
              <w:left w:val="single" w:sz="4" w:space="0" w:color="auto"/>
              <w:bottom w:val="single" w:sz="4" w:space="0" w:color="auto"/>
              <w:right w:val="nil"/>
            </w:tcBorders>
          </w:tcPr>
          <w:p w14:paraId="268DE03C" w14:textId="29ECBE4D" w:rsidR="00596941" w:rsidRPr="006E5FF9" w:rsidRDefault="00596941" w:rsidP="009C2049">
            <w:pPr>
              <w:jc w:val="both"/>
              <w:rPr>
                <w:rFonts w:ascii="Arial" w:hAnsi="Arial" w:cs="Arial"/>
                <w:sz w:val="20"/>
                <w:szCs w:val="20"/>
              </w:rPr>
            </w:pPr>
            <w:r w:rsidRPr="006E5FF9">
              <w:rPr>
                <w:rFonts w:ascii="Arial" w:hAnsi="Arial" w:cs="Arial"/>
                <w:sz w:val="20"/>
                <w:szCs w:val="20"/>
              </w:rPr>
              <w:t>Coef.</w:t>
            </w:r>
          </w:p>
        </w:tc>
        <w:tc>
          <w:tcPr>
            <w:tcW w:w="992" w:type="dxa"/>
            <w:tcBorders>
              <w:top w:val="nil"/>
              <w:left w:val="nil"/>
              <w:bottom w:val="single" w:sz="4" w:space="0" w:color="auto"/>
              <w:right w:val="nil"/>
            </w:tcBorders>
          </w:tcPr>
          <w:p w14:paraId="62167A13" w14:textId="51BFF9CF" w:rsidR="00596941" w:rsidRPr="006E5FF9" w:rsidRDefault="00596941" w:rsidP="009C2049">
            <w:pPr>
              <w:jc w:val="both"/>
              <w:rPr>
                <w:rFonts w:ascii="Arial" w:hAnsi="Arial" w:cs="Arial"/>
                <w:sz w:val="20"/>
                <w:szCs w:val="20"/>
              </w:rPr>
            </w:pPr>
            <w:r w:rsidRPr="006E5FF9">
              <w:rPr>
                <w:rFonts w:ascii="Arial" w:hAnsi="Arial" w:cs="Arial"/>
                <w:sz w:val="20"/>
                <w:szCs w:val="20"/>
              </w:rPr>
              <w:t>p-value</w:t>
            </w:r>
          </w:p>
        </w:tc>
        <w:tc>
          <w:tcPr>
            <w:tcW w:w="1134" w:type="dxa"/>
            <w:tcBorders>
              <w:top w:val="nil"/>
              <w:left w:val="nil"/>
              <w:bottom w:val="single" w:sz="4" w:space="0" w:color="auto"/>
              <w:right w:val="nil"/>
            </w:tcBorders>
          </w:tcPr>
          <w:p w14:paraId="2BE0128C" w14:textId="66D73120" w:rsidR="00596941" w:rsidRPr="006E5FF9" w:rsidRDefault="00596941" w:rsidP="00DA20A5">
            <w:pPr>
              <w:jc w:val="both"/>
              <w:rPr>
                <w:rFonts w:ascii="Arial" w:hAnsi="Arial" w:cs="Arial"/>
                <w:sz w:val="20"/>
                <w:szCs w:val="20"/>
              </w:rPr>
            </w:pPr>
            <w:r w:rsidRPr="006E5FF9">
              <w:rPr>
                <w:rFonts w:ascii="Arial" w:hAnsi="Arial" w:cs="Arial"/>
                <w:sz w:val="20"/>
                <w:szCs w:val="20"/>
              </w:rPr>
              <w:t>Coef.</w:t>
            </w:r>
          </w:p>
        </w:tc>
        <w:tc>
          <w:tcPr>
            <w:tcW w:w="992" w:type="dxa"/>
            <w:tcBorders>
              <w:top w:val="nil"/>
              <w:left w:val="nil"/>
              <w:bottom w:val="single" w:sz="4" w:space="0" w:color="auto"/>
              <w:right w:val="nil"/>
            </w:tcBorders>
          </w:tcPr>
          <w:p w14:paraId="76A7CBAC" w14:textId="2F76CBFF" w:rsidR="00596941" w:rsidRPr="006E5FF9" w:rsidRDefault="00596941" w:rsidP="00DA20A5">
            <w:pPr>
              <w:jc w:val="both"/>
              <w:rPr>
                <w:rFonts w:ascii="Arial" w:hAnsi="Arial" w:cs="Arial"/>
                <w:sz w:val="20"/>
                <w:szCs w:val="20"/>
              </w:rPr>
            </w:pPr>
            <w:r w:rsidRPr="006E5FF9">
              <w:rPr>
                <w:rFonts w:ascii="Arial" w:hAnsi="Arial" w:cs="Arial"/>
                <w:sz w:val="20"/>
                <w:szCs w:val="20"/>
              </w:rPr>
              <w:t>p-value</w:t>
            </w:r>
          </w:p>
        </w:tc>
        <w:tc>
          <w:tcPr>
            <w:tcW w:w="993" w:type="dxa"/>
            <w:tcBorders>
              <w:top w:val="nil"/>
              <w:left w:val="nil"/>
              <w:bottom w:val="single" w:sz="4" w:space="0" w:color="auto"/>
              <w:right w:val="nil"/>
            </w:tcBorders>
          </w:tcPr>
          <w:p w14:paraId="4E3459E7" w14:textId="7891E1C9" w:rsidR="00596941" w:rsidRPr="006E5FF9" w:rsidRDefault="00596941" w:rsidP="00DA20A5">
            <w:pPr>
              <w:jc w:val="both"/>
              <w:rPr>
                <w:rFonts w:ascii="Arial" w:hAnsi="Arial" w:cs="Arial"/>
                <w:sz w:val="20"/>
                <w:szCs w:val="20"/>
              </w:rPr>
            </w:pPr>
            <w:r w:rsidRPr="006E5FF9">
              <w:rPr>
                <w:rFonts w:ascii="Arial" w:hAnsi="Arial" w:cs="Arial"/>
                <w:sz w:val="20"/>
                <w:szCs w:val="20"/>
              </w:rPr>
              <w:t>Coef.</w:t>
            </w:r>
          </w:p>
        </w:tc>
        <w:tc>
          <w:tcPr>
            <w:tcW w:w="850" w:type="dxa"/>
            <w:tcBorders>
              <w:top w:val="nil"/>
              <w:left w:val="nil"/>
              <w:bottom w:val="single" w:sz="4" w:space="0" w:color="auto"/>
              <w:right w:val="nil"/>
            </w:tcBorders>
          </w:tcPr>
          <w:p w14:paraId="247A73CF" w14:textId="79E63E64" w:rsidR="00596941" w:rsidRPr="006E5FF9" w:rsidRDefault="00596941" w:rsidP="00DA20A5">
            <w:pPr>
              <w:jc w:val="both"/>
              <w:rPr>
                <w:rFonts w:ascii="Arial" w:hAnsi="Arial" w:cs="Arial"/>
                <w:sz w:val="20"/>
                <w:szCs w:val="20"/>
              </w:rPr>
            </w:pPr>
            <w:r w:rsidRPr="006E5FF9">
              <w:rPr>
                <w:rFonts w:ascii="Arial" w:hAnsi="Arial" w:cs="Arial"/>
                <w:sz w:val="20"/>
                <w:szCs w:val="20"/>
              </w:rPr>
              <w:t>p-value</w:t>
            </w:r>
          </w:p>
        </w:tc>
        <w:tc>
          <w:tcPr>
            <w:tcW w:w="1134" w:type="dxa"/>
            <w:tcBorders>
              <w:top w:val="nil"/>
              <w:left w:val="nil"/>
              <w:bottom w:val="single" w:sz="4" w:space="0" w:color="auto"/>
              <w:right w:val="nil"/>
            </w:tcBorders>
          </w:tcPr>
          <w:p w14:paraId="4969D2FA" w14:textId="079AEFDB" w:rsidR="00596941" w:rsidRPr="006E5FF9" w:rsidRDefault="00596941" w:rsidP="00DA20A5">
            <w:pPr>
              <w:jc w:val="both"/>
              <w:rPr>
                <w:rFonts w:ascii="Arial" w:hAnsi="Arial" w:cs="Arial"/>
                <w:sz w:val="20"/>
                <w:szCs w:val="20"/>
              </w:rPr>
            </w:pPr>
            <w:r w:rsidRPr="006E5FF9">
              <w:rPr>
                <w:rFonts w:ascii="Arial" w:hAnsi="Arial" w:cs="Arial"/>
                <w:sz w:val="20"/>
                <w:szCs w:val="20"/>
              </w:rPr>
              <w:t>Coef.</w:t>
            </w:r>
          </w:p>
        </w:tc>
        <w:tc>
          <w:tcPr>
            <w:tcW w:w="992" w:type="dxa"/>
            <w:tcBorders>
              <w:top w:val="nil"/>
              <w:left w:val="nil"/>
              <w:bottom w:val="single" w:sz="4" w:space="0" w:color="auto"/>
              <w:right w:val="single" w:sz="4" w:space="0" w:color="auto"/>
            </w:tcBorders>
          </w:tcPr>
          <w:p w14:paraId="76988639" w14:textId="0F62EB9B" w:rsidR="00596941" w:rsidRPr="006E5FF9" w:rsidRDefault="00596941" w:rsidP="00DA20A5">
            <w:pPr>
              <w:jc w:val="both"/>
              <w:rPr>
                <w:rFonts w:ascii="Arial" w:hAnsi="Arial" w:cs="Arial"/>
                <w:sz w:val="20"/>
                <w:szCs w:val="20"/>
              </w:rPr>
            </w:pPr>
            <w:r w:rsidRPr="006E5FF9">
              <w:rPr>
                <w:rFonts w:ascii="Arial" w:hAnsi="Arial" w:cs="Arial"/>
                <w:sz w:val="20"/>
                <w:szCs w:val="20"/>
              </w:rPr>
              <w:t>p-value</w:t>
            </w:r>
          </w:p>
        </w:tc>
      </w:tr>
      <w:tr w:rsidR="00596941" w:rsidRPr="006E5FF9" w14:paraId="2F2AC223" w14:textId="2823EA2A" w:rsidTr="00004BB3">
        <w:trPr>
          <w:trHeight w:val="324"/>
        </w:trPr>
        <w:tc>
          <w:tcPr>
            <w:tcW w:w="1129" w:type="dxa"/>
            <w:tcBorders>
              <w:top w:val="nil"/>
              <w:left w:val="single" w:sz="4" w:space="0" w:color="auto"/>
              <w:bottom w:val="nil"/>
              <w:right w:val="nil"/>
            </w:tcBorders>
          </w:tcPr>
          <w:p w14:paraId="2DC31AB5" w14:textId="467B0B13" w:rsidR="00596941" w:rsidRPr="006E5FF9" w:rsidRDefault="00596941" w:rsidP="00C902FE">
            <w:pPr>
              <w:jc w:val="both"/>
              <w:rPr>
                <w:rFonts w:ascii="Arial" w:hAnsi="Arial" w:cs="Arial"/>
                <w:sz w:val="20"/>
                <w:szCs w:val="20"/>
              </w:rPr>
            </w:pPr>
            <w:r w:rsidRPr="006E5FF9">
              <w:rPr>
                <w:rFonts w:ascii="Arial" w:hAnsi="Arial" w:cs="Arial"/>
                <w:sz w:val="20"/>
                <w:szCs w:val="20"/>
              </w:rPr>
              <w:t>RF</w:t>
            </w:r>
          </w:p>
        </w:tc>
        <w:tc>
          <w:tcPr>
            <w:tcW w:w="851" w:type="dxa"/>
            <w:tcBorders>
              <w:top w:val="single" w:sz="4" w:space="0" w:color="auto"/>
              <w:left w:val="nil"/>
              <w:bottom w:val="nil"/>
              <w:right w:val="nil"/>
            </w:tcBorders>
          </w:tcPr>
          <w:p w14:paraId="30E46B38" w14:textId="3A766856" w:rsidR="00596941" w:rsidRPr="006E5FF9" w:rsidRDefault="00596941" w:rsidP="00C902FE">
            <w:pPr>
              <w:jc w:val="both"/>
              <w:rPr>
                <w:rFonts w:ascii="Arial" w:hAnsi="Arial" w:cs="Arial"/>
                <w:sz w:val="20"/>
                <w:szCs w:val="20"/>
              </w:rPr>
            </w:pPr>
            <w:r w:rsidRPr="006E5FF9">
              <w:rPr>
                <w:rFonts w:ascii="Arial" w:hAnsi="Arial" w:cs="Arial"/>
                <w:sz w:val="20"/>
                <w:szCs w:val="20"/>
              </w:rPr>
              <w:t>3.9411</w:t>
            </w:r>
          </w:p>
        </w:tc>
        <w:tc>
          <w:tcPr>
            <w:tcW w:w="992" w:type="dxa"/>
            <w:tcBorders>
              <w:top w:val="single" w:sz="4" w:space="0" w:color="auto"/>
              <w:left w:val="nil"/>
              <w:bottom w:val="nil"/>
              <w:right w:val="nil"/>
            </w:tcBorders>
          </w:tcPr>
          <w:p w14:paraId="2F93A89C" w14:textId="102E99C3" w:rsidR="00596941" w:rsidRPr="006E5FF9" w:rsidRDefault="00596941" w:rsidP="00C902FE">
            <w:pPr>
              <w:jc w:val="both"/>
              <w:rPr>
                <w:rFonts w:ascii="Arial" w:hAnsi="Arial" w:cs="Arial"/>
                <w:sz w:val="20"/>
                <w:szCs w:val="20"/>
              </w:rPr>
            </w:pPr>
            <w:r w:rsidRPr="006E5FF9">
              <w:rPr>
                <w:rFonts w:ascii="Arial" w:hAnsi="Arial" w:cs="Arial"/>
                <w:sz w:val="20"/>
                <w:szCs w:val="20"/>
              </w:rPr>
              <w:t>0.0323</w:t>
            </w:r>
          </w:p>
        </w:tc>
        <w:tc>
          <w:tcPr>
            <w:tcW w:w="1134" w:type="dxa"/>
            <w:tcBorders>
              <w:top w:val="single" w:sz="4" w:space="0" w:color="auto"/>
              <w:left w:val="nil"/>
              <w:bottom w:val="nil"/>
              <w:right w:val="nil"/>
            </w:tcBorders>
          </w:tcPr>
          <w:p w14:paraId="45F2188A" w14:textId="329887DC" w:rsidR="00596941" w:rsidRPr="006E5FF9" w:rsidRDefault="00596941" w:rsidP="00C902FE">
            <w:pPr>
              <w:jc w:val="both"/>
              <w:rPr>
                <w:rFonts w:ascii="Arial" w:hAnsi="Arial" w:cs="Arial"/>
                <w:sz w:val="20"/>
                <w:szCs w:val="20"/>
              </w:rPr>
            </w:pPr>
            <w:r w:rsidRPr="006E5FF9">
              <w:rPr>
                <w:rFonts w:ascii="Arial" w:hAnsi="Arial" w:cs="Arial"/>
                <w:sz w:val="20"/>
                <w:szCs w:val="20"/>
              </w:rPr>
              <w:t>-2.6813</w:t>
            </w:r>
          </w:p>
        </w:tc>
        <w:tc>
          <w:tcPr>
            <w:tcW w:w="992" w:type="dxa"/>
            <w:tcBorders>
              <w:top w:val="single" w:sz="4" w:space="0" w:color="auto"/>
              <w:left w:val="nil"/>
              <w:bottom w:val="nil"/>
              <w:right w:val="nil"/>
            </w:tcBorders>
          </w:tcPr>
          <w:p w14:paraId="621D4580" w14:textId="3855F336" w:rsidR="00596941" w:rsidRPr="006E5FF9" w:rsidRDefault="00596941" w:rsidP="00C902FE">
            <w:pPr>
              <w:jc w:val="both"/>
              <w:rPr>
                <w:rFonts w:ascii="Arial" w:hAnsi="Arial" w:cs="Arial"/>
                <w:sz w:val="20"/>
                <w:szCs w:val="20"/>
              </w:rPr>
            </w:pPr>
            <w:r w:rsidRPr="006E5FF9">
              <w:rPr>
                <w:rFonts w:ascii="Arial" w:hAnsi="Arial" w:cs="Arial"/>
                <w:sz w:val="20"/>
                <w:szCs w:val="20"/>
              </w:rPr>
              <w:t>0.0303</w:t>
            </w:r>
          </w:p>
        </w:tc>
        <w:tc>
          <w:tcPr>
            <w:tcW w:w="993" w:type="dxa"/>
            <w:tcBorders>
              <w:top w:val="single" w:sz="4" w:space="0" w:color="auto"/>
              <w:left w:val="nil"/>
              <w:bottom w:val="nil"/>
              <w:right w:val="nil"/>
            </w:tcBorders>
          </w:tcPr>
          <w:p w14:paraId="73A42DC3" w14:textId="1DA5336F" w:rsidR="00596941" w:rsidRPr="006E5FF9" w:rsidRDefault="00596941" w:rsidP="00C902FE">
            <w:pPr>
              <w:jc w:val="both"/>
              <w:rPr>
                <w:rFonts w:ascii="Arial" w:hAnsi="Arial" w:cs="Arial"/>
                <w:sz w:val="20"/>
                <w:szCs w:val="20"/>
              </w:rPr>
            </w:pPr>
            <w:r w:rsidRPr="006E5FF9">
              <w:rPr>
                <w:rFonts w:ascii="Arial" w:hAnsi="Arial" w:cs="Arial"/>
                <w:sz w:val="20"/>
                <w:szCs w:val="20"/>
              </w:rPr>
              <w:t>2.4412</w:t>
            </w:r>
          </w:p>
        </w:tc>
        <w:tc>
          <w:tcPr>
            <w:tcW w:w="850" w:type="dxa"/>
            <w:tcBorders>
              <w:top w:val="single" w:sz="4" w:space="0" w:color="auto"/>
              <w:left w:val="nil"/>
              <w:bottom w:val="nil"/>
              <w:right w:val="nil"/>
            </w:tcBorders>
          </w:tcPr>
          <w:p w14:paraId="4AE747DE" w14:textId="009DA474" w:rsidR="00596941" w:rsidRPr="006E5FF9" w:rsidRDefault="00596941" w:rsidP="00C902FE">
            <w:pPr>
              <w:jc w:val="both"/>
              <w:rPr>
                <w:rFonts w:ascii="Arial" w:hAnsi="Arial" w:cs="Arial"/>
                <w:sz w:val="20"/>
                <w:szCs w:val="20"/>
              </w:rPr>
            </w:pPr>
            <w:r w:rsidRPr="006E5FF9">
              <w:rPr>
                <w:rFonts w:ascii="Arial" w:hAnsi="Arial" w:cs="Arial"/>
                <w:sz w:val="20"/>
                <w:szCs w:val="20"/>
              </w:rPr>
              <w:t>0.7488</w:t>
            </w:r>
          </w:p>
        </w:tc>
        <w:tc>
          <w:tcPr>
            <w:tcW w:w="1134" w:type="dxa"/>
            <w:tcBorders>
              <w:top w:val="single" w:sz="4" w:space="0" w:color="auto"/>
              <w:left w:val="nil"/>
              <w:bottom w:val="nil"/>
              <w:right w:val="nil"/>
            </w:tcBorders>
          </w:tcPr>
          <w:p w14:paraId="7C7C848D" w14:textId="0DDF0092" w:rsidR="00596941" w:rsidRPr="006E5FF9" w:rsidRDefault="00596941" w:rsidP="00C902FE">
            <w:pPr>
              <w:jc w:val="both"/>
              <w:rPr>
                <w:rFonts w:ascii="Arial" w:hAnsi="Arial" w:cs="Arial"/>
                <w:sz w:val="20"/>
                <w:szCs w:val="20"/>
              </w:rPr>
            </w:pPr>
            <w:r w:rsidRPr="006E5FF9">
              <w:rPr>
                <w:rFonts w:ascii="Arial" w:hAnsi="Arial" w:cs="Arial"/>
                <w:sz w:val="20"/>
                <w:szCs w:val="20"/>
              </w:rPr>
              <w:t>9.2313</w:t>
            </w:r>
          </w:p>
        </w:tc>
        <w:tc>
          <w:tcPr>
            <w:tcW w:w="992" w:type="dxa"/>
            <w:tcBorders>
              <w:top w:val="single" w:sz="4" w:space="0" w:color="auto"/>
              <w:left w:val="nil"/>
              <w:bottom w:val="nil"/>
              <w:right w:val="single" w:sz="4" w:space="0" w:color="auto"/>
            </w:tcBorders>
          </w:tcPr>
          <w:p w14:paraId="1E95E462" w14:textId="017987D9" w:rsidR="00596941" w:rsidRPr="006E5FF9" w:rsidRDefault="00596941" w:rsidP="00C902FE">
            <w:pPr>
              <w:jc w:val="both"/>
              <w:rPr>
                <w:rFonts w:ascii="Arial" w:hAnsi="Arial" w:cs="Arial"/>
                <w:sz w:val="20"/>
                <w:szCs w:val="20"/>
              </w:rPr>
            </w:pPr>
            <w:r w:rsidRPr="006E5FF9">
              <w:rPr>
                <w:rFonts w:ascii="Arial" w:hAnsi="Arial" w:cs="Arial"/>
                <w:sz w:val="20"/>
                <w:szCs w:val="20"/>
              </w:rPr>
              <w:t>0.894</w:t>
            </w:r>
          </w:p>
        </w:tc>
      </w:tr>
      <w:tr w:rsidR="00596941" w:rsidRPr="006E5FF9" w14:paraId="05F00920" w14:textId="77777777" w:rsidTr="00004BB3">
        <w:trPr>
          <w:trHeight w:val="324"/>
        </w:trPr>
        <w:tc>
          <w:tcPr>
            <w:tcW w:w="1129" w:type="dxa"/>
            <w:tcBorders>
              <w:top w:val="nil"/>
              <w:left w:val="single" w:sz="4" w:space="0" w:color="auto"/>
              <w:bottom w:val="nil"/>
              <w:right w:val="nil"/>
            </w:tcBorders>
          </w:tcPr>
          <w:p w14:paraId="49B147D2" w14:textId="498F2367" w:rsidR="00596941" w:rsidRPr="006E5FF9" w:rsidRDefault="00596941" w:rsidP="00C902FE">
            <w:pPr>
              <w:jc w:val="both"/>
              <w:rPr>
                <w:rFonts w:ascii="Arial" w:hAnsi="Arial" w:cs="Arial"/>
                <w:sz w:val="20"/>
                <w:szCs w:val="20"/>
              </w:rPr>
            </w:pPr>
            <w:r w:rsidRPr="006E5FF9">
              <w:rPr>
                <w:rFonts w:ascii="Arial" w:hAnsi="Arial" w:cs="Arial"/>
                <w:sz w:val="20"/>
                <w:szCs w:val="20"/>
              </w:rPr>
              <w:t>SMD</w:t>
            </w:r>
          </w:p>
        </w:tc>
        <w:tc>
          <w:tcPr>
            <w:tcW w:w="851" w:type="dxa"/>
            <w:tcBorders>
              <w:top w:val="nil"/>
              <w:left w:val="nil"/>
              <w:bottom w:val="nil"/>
              <w:right w:val="nil"/>
            </w:tcBorders>
          </w:tcPr>
          <w:p w14:paraId="311D14D0" w14:textId="76AAA910" w:rsidR="00596941" w:rsidRPr="006E5FF9" w:rsidRDefault="00596941" w:rsidP="00C902FE">
            <w:pPr>
              <w:jc w:val="both"/>
              <w:rPr>
                <w:rFonts w:ascii="Arial" w:hAnsi="Arial" w:cs="Arial"/>
                <w:sz w:val="20"/>
                <w:szCs w:val="20"/>
              </w:rPr>
            </w:pPr>
            <w:r w:rsidRPr="006E5FF9">
              <w:rPr>
                <w:rFonts w:ascii="Arial" w:hAnsi="Arial" w:cs="Arial"/>
                <w:sz w:val="20"/>
                <w:szCs w:val="20"/>
              </w:rPr>
              <w:t>2.4412</w:t>
            </w:r>
          </w:p>
        </w:tc>
        <w:tc>
          <w:tcPr>
            <w:tcW w:w="992" w:type="dxa"/>
            <w:tcBorders>
              <w:top w:val="nil"/>
              <w:left w:val="nil"/>
              <w:bottom w:val="nil"/>
              <w:right w:val="nil"/>
            </w:tcBorders>
          </w:tcPr>
          <w:p w14:paraId="43B43B04" w14:textId="1DFC3040" w:rsidR="00596941" w:rsidRPr="006E5FF9" w:rsidRDefault="00596941" w:rsidP="00C902FE">
            <w:pPr>
              <w:jc w:val="both"/>
              <w:rPr>
                <w:rFonts w:ascii="Arial" w:hAnsi="Arial" w:cs="Arial"/>
                <w:sz w:val="20"/>
                <w:szCs w:val="20"/>
              </w:rPr>
            </w:pPr>
            <w:r w:rsidRPr="006E5FF9">
              <w:rPr>
                <w:rFonts w:ascii="Arial" w:hAnsi="Arial" w:cs="Arial"/>
                <w:sz w:val="20"/>
                <w:szCs w:val="20"/>
              </w:rPr>
              <w:t>0.0488</w:t>
            </w:r>
          </w:p>
        </w:tc>
        <w:tc>
          <w:tcPr>
            <w:tcW w:w="1134" w:type="dxa"/>
            <w:tcBorders>
              <w:top w:val="nil"/>
              <w:left w:val="nil"/>
              <w:bottom w:val="nil"/>
              <w:right w:val="nil"/>
            </w:tcBorders>
          </w:tcPr>
          <w:p w14:paraId="7448DEEB" w14:textId="32E883BE" w:rsidR="00596941" w:rsidRPr="006E5FF9" w:rsidRDefault="00596941" w:rsidP="00C902FE">
            <w:pPr>
              <w:jc w:val="both"/>
              <w:rPr>
                <w:rFonts w:ascii="Arial" w:hAnsi="Arial" w:cs="Arial"/>
                <w:sz w:val="20"/>
                <w:szCs w:val="20"/>
              </w:rPr>
            </w:pPr>
            <w:r w:rsidRPr="006E5FF9">
              <w:rPr>
                <w:rFonts w:ascii="Arial" w:hAnsi="Arial" w:cs="Arial"/>
                <w:sz w:val="20"/>
                <w:szCs w:val="20"/>
              </w:rPr>
              <w:t>1.3211</w:t>
            </w:r>
          </w:p>
        </w:tc>
        <w:tc>
          <w:tcPr>
            <w:tcW w:w="992" w:type="dxa"/>
            <w:tcBorders>
              <w:top w:val="nil"/>
              <w:left w:val="nil"/>
              <w:bottom w:val="nil"/>
              <w:right w:val="nil"/>
            </w:tcBorders>
          </w:tcPr>
          <w:p w14:paraId="2A9CCEBD" w14:textId="1D4CD5A7" w:rsidR="00596941" w:rsidRPr="006E5FF9" w:rsidRDefault="00596941" w:rsidP="00C902FE">
            <w:pPr>
              <w:jc w:val="both"/>
              <w:rPr>
                <w:rFonts w:ascii="Arial" w:hAnsi="Arial" w:cs="Arial"/>
                <w:sz w:val="20"/>
                <w:szCs w:val="20"/>
              </w:rPr>
            </w:pPr>
            <w:r w:rsidRPr="006E5FF9">
              <w:rPr>
                <w:rFonts w:ascii="Arial" w:hAnsi="Arial" w:cs="Arial"/>
                <w:sz w:val="20"/>
                <w:szCs w:val="20"/>
              </w:rPr>
              <w:t>0.5502</w:t>
            </w:r>
          </w:p>
        </w:tc>
        <w:tc>
          <w:tcPr>
            <w:tcW w:w="993" w:type="dxa"/>
            <w:tcBorders>
              <w:top w:val="nil"/>
              <w:left w:val="nil"/>
              <w:bottom w:val="nil"/>
              <w:right w:val="nil"/>
            </w:tcBorders>
          </w:tcPr>
          <w:p w14:paraId="5CB3FBC1" w14:textId="1B5184B0" w:rsidR="00596941" w:rsidRPr="006E5FF9" w:rsidRDefault="00596941" w:rsidP="00C902FE">
            <w:pPr>
              <w:jc w:val="both"/>
              <w:rPr>
                <w:rFonts w:ascii="Arial" w:hAnsi="Arial" w:cs="Arial"/>
                <w:sz w:val="20"/>
                <w:szCs w:val="20"/>
              </w:rPr>
            </w:pPr>
            <w:r w:rsidRPr="006E5FF9">
              <w:rPr>
                <w:rFonts w:ascii="Arial" w:hAnsi="Arial" w:cs="Arial"/>
                <w:sz w:val="20"/>
                <w:szCs w:val="20"/>
              </w:rPr>
              <w:t>3.9411</w:t>
            </w:r>
          </w:p>
        </w:tc>
        <w:tc>
          <w:tcPr>
            <w:tcW w:w="850" w:type="dxa"/>
            <w:tcBorders>
              <w:top w:val="nil"/>
              <w:left w:val="nil"/>
              <w:bottom w:val="nil"/>
              <w:right w:val="nil"/>
            </w:tcBorders>
          </w:tcPr>
          <w:p w14:paraId="7FCE05CF" w14:textId="1344D31E" w:rsidR="00596941" w:rsidRPr="006E5FF9" w:rsidRDefault="00596941" w:rsidP="00C902FE">
            <w:pPr>
              <w:jc w:val="both"/>
              <w:rPr>
                <w:rFonts w:ascii="Arial" w:hAnsi="Arial" w:cs="Arial"/>
                <w:sz w:val="20"/>
                <w:szCs w:val="20"/>
              </w:rPr>
            </w:pPr>
            <w:r w:rsidRPr="006E5FF9">
              <w:rPr>
                <w:rFonts w:ascii="Arial" w:hAnsi="Arial" w:cs="Arial"/>
                <w:sz w:val="20"/>
                <w:szCs w:val="20"/>
              </w:rPr>
              <w:t>0.0323</w:t>
            </w:r>
          </w:p>
        </w:tc>
        <w:tc>
          <w:tcPr>
            <w:tcW w:w="1134" w:type="dxa"/>
            <w:tcBorders>
              <w:top w:val="nil"/>
              <w:left w:val="nil"/>
              <w:bottom w:val="nil"/>
              <w:right w:val="nil"/>
            </w:tcBorders>
          </w:tcPr>
          <w:p w14:paraId="1DC1C937" w14:textId="1EA88A2C" w:rsidR="00596941" w:rsidRPr="006E5FF9" w:rsidRDefault="00596941" w:rsidP="00C902FE">
            <w:pPr>
              <w:jc w:val="both"/>
              <w:rPr>
                <w:rFonts w:ascii="Arial" w:hAnsi="Arial" w:cs="Arial"/>
                <w:sz w:val="20"/>
                <w:szCs w:val="20"/>
              </w:rPr>
            </w:pPr>
            <w:r w:rsidRPr="006E5FF9">
              <w:rPr>
                <w:rFonts w:ascii="Arial" w:hAnsi="Arial" w:cs="Arial"/>
                <w:sz w:val="20"/>
                <w:szCs w:val="20"/>
              </w:rPr>
              <w:t>2.6711</w:t>
            </w:r>
          </w:p>
        </w:tc>
        <w:tc>
          <w:tcPr>
            <w:tcW w:w="992" w:type="dxa"/>
            <w:tcBorders>
              <w:top w:val="nil"/>
              <w:left w:val="nil"/>
              <w:bottom w:val="nil"/>
              <w:right w:val="single" w:sz="4" w:space="0" w:color="auto"/>
            </w:tcBorders>
          </w:tcPr>
          <w:p w14:paraId="2E5115ED" w14:textId="48CF97AF" w:rsidR="00596941" w:rsidRPr="006E5FF9" w:rsidRDefault="00596941" w:rsidP="00C902FE">
            <w:pPr>
              <w:jc w:val="both"/>
              <w:rPr>
                <w:rFonts w:ascii="Arial" w:hAnsi="Arial" w:cs="Arial"/>
                <w:sz w:val="20"/>
                <w:szCs w:val="20"/>
              </w:rPr>
            </w:pPr>
            <w:r w:rsidRPr="006E5FF9">
              <w:rPr>
                <w:rFonts w:ascii="Arial" w:hAnsi="Arial" w:cs="Arial"/>
                <w:sz w:val="20"/>
                <w:szCs w:val="20"/>
              </w:rPr>
              <w:t>0.065</w:t>
            </w:r>
          </w:p>
        </w:tc>
      </w:tr>
      <w:tr w:rsidR="00596941" w:rsidRPr="006E5FF9" w14:paraId="4034FADF" w14:textId="77777777" w:rsidTr="00004BB3">
        <w:trPr>
          <w:trHeight w:val="324"/>
        </w:trPr>
        <w:tc>
          <w:tcPr>
            <w:tcW w:w="1129" w:type="dxa"/>
            <w:tcBorders>
              <w:top w:val="nil"/>
              <w:left w:val="single" w:sz="4" w:space="0" w:color="auto"/>
              <w:bottom w:val="single" w:sz="4" w:space="0" w:color="auto"/>
              <w:right w:val="nil"/>
            </w:tcBorders>
          </w:tcPr>
          <w:p w14:paraId="3E1F7709" w14:textId="4B892606" w:rsidR="00596941" w:rsidRPr="006E5FF9" w:rsidRDefault="00596941" w:rsidP="00C902FE">
            <w:pPr>
              <w:jc w:val="both"/>
              <w:rPr>
                <w:rFonts w:ascii="Arial" w:hAnsi="Arial" w:cs="Arial"/>
                <w:sz w:val="20"/>
                <w:szCs w:val="20"/>
              </w:rPr>
            </w:pPr>
            <w:r w:rsidRPr="006E5FF9">
              <w:rPr>
                <w:rFonts w:ascii="Arial" w:hAnsi="Arial" w:cs="Arial"/>
                <w:sz w:val="20"/>
                <w:szCs w:val="20"/>
              </w:rPr>
              <w:t>C</w:t>
            </w:r>
          </w:p>
        </w:tc>
        <w:tc>
          <w:tcPr>
            <w:tcW w:w="851" w:type="dxa"/>
            <w:tcBorders>
              <w:top w:val="nil"/>
              <w:left w:val="nil"/>
              <w:bottom w:val="single" w:sz="4" w:space="0" w:color="auto"/>
              <w:right w:val="nil"/>
            </w:tcBorders>
          </w:tcPr>
          <w:p w14:paraId="58265C6D" w14:textId="384D2463" w:rsidR="00596941" w:rsidRPr="006E5FF9" w:rsidRDefault="00596941" w:rsidP="00C902FE">
            <w:pPr>
              <w:jc w:val="both"/>
              <w:rPr>
                <w:rFonts w:ascii="Arial" w:hAnsi="Arial" w:cs="Arial"/>
                <w:sz w:val="20"/>
                <w:szCs w:val="20"/>
              </w:rPr>
            </w:pPr>
            <w:r w:rsidRPr="006E5FF9">
              <w:rPr>
                <w:rFonts w:ascii="Arial" w:hAnsi="Arial" w:cs="Arial"/>
                <w:sz w:val="20"/>
                <w:szCs w:val="20"/>
              </w:rPr>
              <w:t>0.1826</w:t>
            </w:r>
          </w:p>
        </w:tc>
        <w:tc>
          <w:tcPr>
            <w:tcW w:w="992" w:type="dxa"/>
            <w:tcBorders>
              <w:top w:val="nil"/>
              <w:left w:val="nil"/>
              <w:bottom w:val="single" w:sz="4" w:space="0" w:color="auto"/>
              <w:right w:val="nil"/>
            </w:tcBorders>
          </w:tcPr>
          <w:p w14:paraId="52B4985D" w14:textId="47AEF107" w:rsidR="00596941" w:rsidRPr="006E5FF9" w:rsidRDefault="00596941" w:rsidP="00C902FE">
            <w:pPr>
              <w:jc w:val="both"/>
              <w:rPr>
                <w:rFonts w:ascii="Arial" w:hAnsi="Arial" w:cs="Arial"/>
                <w:sz w:val="20"/>
                <w:szCs w:val="20"/>
              </w:rPr>
            </w:pPr>
            <w:r w:rsidRPr="006E5FF9">
              <w:rPr>
                <w:rFonts w:ascii="Arial" w:hAnsi="Arial" w:cs="Arial"/>
                <w:sz w:val="20"/>
                <w:szCs w:val="20"/>
              </w:rPr>
              <w:t>0.0000</w:t>
            </w:r>
          </w:p>
        </w:tc>
        <w:tc>
          <w:tcPr>
            <w:tcW w:w="1134" w:type="dxa"/>
            <w:tcBorders>
              <w:top w:val="nil"/>
              <w:left w:val="nil"/>
              <w:bottom w:val="single" w:sz="4" w:space="0" w:color="auto"/>
              <w:right w:val="nil"/>
            </w:tcBorders>
          </w:tcPr>
          <w:p w14:paraId="75460EA9" w14:textId="3D20FD07" w:rsidR="00596941" w:rsidRPr="006E5FF9" w:rsidRDefault="00596941" w:rsidP="00C902FE">
            <w:pPr>
              <w:jc w:val="both"/>
              <w:rPr>
                <w:rFonts w:ascii="Arial" w:hAnsi="Arial" w:cs="Arial"/>
                <w:sz w:val="20"/>
                <w:szCs w:val="20"/>
              </w:rPr>
            </w:pPr>
            <w:r w:rsidRPr="006E5FF9">
              <w:rPr>
                <w:rFonts w:ascii="Arial" w:hAnsi="Arial" w:cs="Arial"/>
                <w:sz w:val="20"/>
                <w:szCs w:val="20"/>
              </w:rPr>
              <w:t>0.1465</w:t>
            </w:r>
          </w:p>
        </w:tc>
        <w:tc>
          <w:tcPr>
            <w:tcW w:w="992" w:type="dxa"/>
            <w:tcBorders>
              <w:top w:val="nil"/>
              <w:left w:val="nil"/>
              <w:bottom w:val="single" w:sz="4" w:space="0" w:color="auto"/>
              <w:right w:val="nil"/>
            </w:tcBorders>
          </w:tcPr>
          <w:p w14:paraId="1BAD524C" w14:textId="2811C7C3" w:rsidR="00596941" w:rsidRPr="006E5FF9" w:rsidRDefault="00596941" w:rsidP="00C902FE">
            <w:pPr>
              <w:jc w:val="both"/>
              <w:rPr>
                <w:rFonts w:ascii="Arial" w:hAnsi="Arial" w:cs="Arial"/>
                <w:sz w:val="20"/>
                <w:szCs w:val="20"/>
              </w:rPr>
            </w:pPr>
            <w:r w:rsidRPr="006E5FF9">
              <w:rPr>
                <w:rFonts w:ascii="Arial" w:hAnsi="Arial" w:cs="Arial"/>
                <w:sz w:val="20"/>
                <w:szCs w:val="20"/>
              </w:rPr>
              <w:t>0.0000</w:t>
            </w:r>
          </w:p>
        </w:tc>
        <w:tc>
          <w:tcPr>
            <w:tcW w:w="993" w:type="dxa"/>
            <w:tcBorders>
              <w:top w:val="nil"/>
              <w:left w:val="nil"/>
              <w:bottom w:val="single" w:sz="4" w:space="0" w:color="auto"/>
              <w:right w:val="nil"/>
            </w:tcBorders>
          </w:tcPr>
          <w:p w14:paraId="633AEC79" w14:textId="2C5C3329" w:rsidR="00596941" w:rsidRPr="006E5FF9" w:rsidRDefault="00596941" w:rsidP="00C902FE">
            <w:pPr>
              <w:jc w:val="both"/>
              <w:rPr>
                <w:rFonts w:ascii="Arial" w:hAnsi="Arial" w:cs="Arial"/>
                <w:sz w:val="20"/>
                <w:szCs w:val="20"/>
              </w:rPr>
            </w:pPr>
            <w:r w:rsidRPr="006E5FF9">
              <w:rPr>
                <w:rFonts w:ascii="Arial" w:hAnsi="Arial" w:cs="Arial"/>
                <w:sz w:val="20"/>
                <w:szCs w:val="20"/>
              </w:rPr>
              <w:t>0.1826</w:t>
            </w:r>
          </w:p>
        </w:tc>
        <w:tc>
          <w:tcPr>
            <w:tcW w:w="850" w:type="dxa"/>
            <w:tcBorders>
              <w:top w:val="nil"/>
              <w:left w:val="nil"/>
              <w:bottom w:val="single" w:sz="4" w:space="0" w:color="auto"/>
              <w:right w:val="nil"/>
            </w:tcBorders>
          </w:tcPr>
          <w:p w14:paraId="668EC701" w14:textId="5EF794E0" w:rsidR="00596941" w:rsidRPr="006E5FF9" w:rsidRDefault="00596941" w:rsidP="00C902FE">
            <w:pPr>
              <w:jc w:val="both"/>
              <w:rPr>
                <w:rFonts w:ascii="Arial" w:hAnsi="Arial" w:cs="Arial"/>
                <w:sz w:val="20"/>
                <w:szCs w:val="20"/>
              </w:rPr>
            </w:pPr>
            <w:r w:rsidRPr="006E5FF9">
              <w:rPr>
                <w:rFonts w:ascii="Arial" w:hAnsi="Arial" w:cs="Arial"/>
                <w:sz w:val="20"/>
                <w:szCs w:val="20"/>
              </w:rPr>
              <w:t>0.0000</w:t>
            </w:r>
          </w:p>
        </w:tc>
        <w:tc>
          <w:tcPr>
            <w:tcW w:w="1134" w:type="dxa"/>
            <w:tcBorders>
              <w:top w:val="nil"/>
              <w:left w:val="nil"/>
              <w:bottom w:val="single" w:sz="4" w:space="0" w:color="auto"/>
              <w:right w:val="nil"/>
            </w:tcBorders>
          </w:tcPr>
          <w:p w14:paraId="0E756488" w14:textId="46D1DE83" w:rsidR="00596941" w:rsidRPr="006E5FF9" w:rsidRDefault="00596941" w:rsidP="00C902FE">
            <w:pPr>
              <w:jc w:val="both"/>
              <w:rPr>
                <w:rFonts w:ascii="Arial" w:hAnsi="Arial" w:cs="Arial"/>
                <w:sz w:val="20"/>
                <w:szCs w:val="20"/>
              </w:rPr>
            </w:pPr>
            <w:r w:rsidRPr="006E5FF9">
              <w:rPr>
                <w:rFonts w:ascii="Arial" w:hAnsi="Arial" w:cs="Arial"/>
                <w:sz w:val="20"/>
                <w:szCs w:val="20"/>
              </w:rPr>
              <w:t>0.1909</w:t>
            </w:r>
          </w:p>
        </w:tc>
        <w:tc>
          <w:tcPr>
            <w:tcW w:w="992" w:type="dxa"/>
            <w:tcBorders>
              <w:top w:val="nil"/>
              <w:left w:val="nil"/>
              <w:bottom w:val="single" w:sz="4" w:space="0" w:color="auto"/>
              <w:right w:val="single" w:sz="4" w:space="0" w:color="auto"/>
            </w:tcBorders>
          </w:tcPr>
          <w:p w14:paraId="489E6FDA" w14:textId="5E609A35" w:rsidR="00596941" w:rsidRPr="006E5FF9" w:rsidRDefault="00596941" w:rsidP="00C902FE">
            <w:pPr>
              <w:jc w:val="both"/>
              <w:rPr>
                <w:rFonts w:ascii="Arial" w:hAnsi="Arial" w:cs="Arial"/>
                <w:sz w:val="20"/>
                <w:szCs w:val="20"/>
              </w:rPr>
            </w:pPr>
            <w:r w:rsidRPr="006E5FF9">
              <w:rPr>
                <w:rFonts w:ascii="Arial" w:hAnsi="Arial" w:cs="Arial"/>
                <w:sz w:val="20"/>
                <w:szCs w:val="20"/>
              </w:rPr>
              <w:t>0.000</w:t>
            </w:r>
          </w:p>
        </w:tc>
      </w:tr>
    </w:tbl>
    <w:p w14:paraId="2FA7494F" w14:textId="77777777" w:rsidR="00DA20A5" w:rsidRPr="006E5FF9" w:rsidRDefault="00DA20A5" w:rsidP="009C2049">
      <w:pPr>
        <w:spacing w:line="240" w:lineRule="auto"/>
        <w:jc w:val="both"/>
        <w:rPr>
          <w:rFonts w:ascii="Arial" w:hAnsi="Arial" w:cs="Arial"/>
          <w:sz w:val="24"/>
          <w:szCs w:val="24"/>
        </w:rPr>
      </w:pPr>
    </w:p>
    <w:p w14:paraId="62208263" w14:textId="432F9AE2" w:rsidR="007A0F08" w:rsidRPr="0013587B" w:rsidRDefault="00CB00FC" w:rsidP="00CB00FC">
      <w:pPr>
        <w:jc w:val="both"/>
        <w:rPr>
          <w:rFonts w:ascii="Arial" w:hAnsi="Arial" w:cs="Arial"/>
          <w:sz w:val="20"/>
          <w:szCs w:val="20"/>
        </w:rPr>
      </w:pPr>
      <w:bookmarkStart w:id="16" w:name="_Toc206689022"/>
      <w:r w:rsidRPr="0013587B">
        <w:rPr>
          <w:rFonts w:ascii="Arial" w:hAnsi="Arial" w:cs="Arial"/>
          <w:sz w:val="20"/>
          <w:szCs w:val="20"/>
        </w:rPr>
        <w:t xml:space="preserve">For </w:t>
      </w:r>
      <w:r w:rsidR="00E87002" w:rsidRPr="0013587B">
        <w:rPr>
          <w:rFonts w:ascii="Arial" w:hAnsi="Arial" w:cs="Arial"/>
          <w:sz w:val="20"/>
          <w:szCs w:val="20"/>
        </w:rPr>
        <w:t>Pooled OLS Regression Model</w:t>
      </w:r>
      <w:bookmarkEnd w:id="16"/>
      <w:r w:rsidRPr="0013587B">
        <w:rPr>
          <w:rFonts w:ascii="Arial" w:hAnsi="Arial" w:cs="Arial"/>
          <w:sz w:val="20"/>
          <w:szCs w:val="20"/>
        </w:rPr>
        <w:t>, t</w:t>
      </w:r>
      <w:r w:rsidR="007A0F08" w:rsidRPr="0013587B">
        <w:rPr>
          <w:rFonts w:ascii="Arial" w:hAnsi="Arial" w:cs="Arial"/>
          <w:sz w:val="20"/>
          <w:szCs w:val="20"/>
        </w:rPr>
        <w:t xml:space="preserve">he regulatory framework (RF) variable shows a statistically significant and positive relationship with ROE (coefficient or β = 3.9411, p = 0.0323). This implies that a strong and supportive regulatory environment contributes significantly to firm performance. The positive impact stems from increased investor confidence, market transparency, and reduced transaction costs associated with effective regulatory structure. This result is consistent with the findings of </w:t>
      </w:r>
      <w:r w:rsidR="00DC307D" w:rsidRPr="00DC307D">
        <w:rPr>
          <w:rFonts w:ascii="Arial" w:hAnsi="Arial" w:cs="Arial"/>
          <w:sz w:val="20"/>
          <w:szCs w:val="20"/>
        </w:rPr>
        <w:t>Chen</w:t>
      </w:r>
      <w:r w:rsidR="00DC307D">
        <w:rPr>
          <w:rFonts w:ascii="Arial" w:hAnsi="Arial" w:cs="Arial"/>
          <w:sz w:val="20"/>
          <w:szCs w:val="20"/>
        </w:rPr>
        <w:t xml:space="preserve"> et al.</w:t>
      </w:r>
      <w:r w:rsidR="00DC307D" w:rsidRPr="00DC307D">
        <w:rPr>
          <w:rFonts w:ascii="Arial" w:hAnsi="Arial" w:cs="Arial"/>
          <w:sz w:val="20"/>
          <w:szCs w:val="20"/>
        </w:rPr>
        <w:t xml:space="preserve"> </w:t>
      </w:r>
      <w:r w:rsidR="00DC307D">
        <w:rPr>
          <w:rFonts w:ascii="Arial" w:hAnsi="Arial" w:cs="Arial"/>
          <w:sz w:val="20"/>
          <w:szCs w:val="20"/>
        </w:rPr>
        <w:t>(2022)</w:t>
      </w:r>
      <w:r w:rsidR="007A0F08" w:rsidRPr="0013587B">
        <w:rPr>
          <w:rFonts w:ascii="Arial" w:hAnsi="Arial" w:cs="Arial"/>
          <w:sz w:val="20"/>
          <w:szCs w:val="20"/>
        </w:rPr>
        <w:t xml:space="preserve"> who argue that sound legal and regulatory frameworks are critical determinants of firm-level financial outcomes, particularly in emerging markets. Similarly, studies by Demirgüç-Kunt and Levine (2018) highlight that well-structured financial regulations enhance market efficiency, reduce information asymmetries, and ultimately support firm performance. Therefore, the implication for Tanzania is clear: efforts to enhance regulatory institutions are likely to yield substantial benefits in terms of corporate profitability and investor returns.</w:t>
      </w:r>
      <w:r w:rsidR="00635198" w:rsidRPr="0013587B">
        <w:rPr>
          <w:rFonts w:ascii="Arial" w:hAnsi="Arial" w:cs="Arial"/>
          <w:sz w:val="20"/>
          <w:szCs w:val="20"/>
        </w:rPr>
        <w:t xml:space="preserve"> </w:t>
      </w:r>
      <w:r w:rsidR="007A0F08" w:rsidRPr="0013587B">
        <w:rPr>
          <w:rFonts w:ascii="Arial" w:hAnsi="Arial" w:cs="Arial"/>
          <w:sz w:val="20"/>
          <w:szCs w:val="20"/>
        </w:rPr>
        <w:t>On the side of the stock market development (SMD), it has a small but statistically significant positive coefficient (β =2.4412, p = 0.0488), indicating that the development and superiority of the stock market positively influence the performance of firms listed on the exchange. Even though the effect size appears minimal, its statistical significance implies that policies geared toward improving liquidity, increasing market capitalization, and attracting more listings enhance firm performance. This result aligns with empirical findings by</w:t>
      </w:r>
      <w:r w:rsidR="001F7D3E" w:rsidRPr="001F7D3E">
        <w:t xml:space="preserve"> </w:t>
      </w:r>
      <w:r w:rsidR="001F7D3E" w:rsidRPr="001F7D3E">
        <w:rPr>
          <w:rFonts w:ascii="Arial" w:hAnsi="Arial" w:cs="Arial"/>
          <w:sz w:val="20"/>
          <w:szCs w:val="20"/>
        </w:rPr>
        <w:t>Tong et al. (2025)</w:t>
      </w:r>
      <w:r w:rsidR="001F7D3E">
        <w:rPr>
          <w:rFonts w:ascii="Arial" w:hAnsi="Arial" w:cs="Arial"/>
          <w:sz w:val="20"/>
          <w:szCs w:val="20"/>
        </w:rPr>
        <w:t>,</w:t>
      </w:r>
      <w:r w:rsidR="001F7D3E" w:rsidRPr="001F7D3E">
        <w:rPr>
          <w:rFonts w:ascii="Arial" w:hAnsi="Arial" w:cs="Arial"/>
          <w:sz w:val="20"/>
          <w:szCs w:val="20"/>
        </w:rPr>
        <w:t xml:space="preserve"> </w:t>
      </w:r>
      <w:r w:rsidR="007A0F08" w:rsidRPr="0013587B">
        <w:rPr>
          <w:rFonts w:ascii="Arial" w:hAnsi="Arial" w:cs="Arial"/>
          <w:sz w:val="20"/>
          <w:szCs w:val="20"/>
        </w:rPr>
        <w:t xml:space="preserve">Ngong et al. (2022), who showed that stock market development positively affects long-term growth and firm profitability in emerging economies. Similarly, the study by </w:t>
      </w:r>
      <w:r w:rsidR="00752EBE">
        <w:rPr>
          <w:rFonts w:ascii="Arial" w:hAnsi="Arial" w:cs="Arial"/>
          <w:sz w:val="20"/>
          <w:szCs w:val="20"/>
        </w:rPr>
        <w:t xml:space="preserve">Temba </w:t>
      </w:r>
      <w:r w:rsidR="00752EBE" w:rsidRPr="00752EBE">
        <w:rPr>
          <w:rFonts w:ascii="Arial" w:hAnsi="Arial" w:cs="Arial"/>
          <w:sz w:val="20"/>
          <w:szCs w:val="20"/>
        </w:rPr>
        <w:t xml:space="preserve">(2025) </w:t>
      </w:r>
      <w:r w:rsidR="007A0F08" w:rsidRPr="0013587B">
        <w:rPr>
          <w:rFonts w:ascii="Arial" w:hAnsi="Arial" w:cs="Arial"/>
          <w:sz w:val="20"/>
          <w:szCs w:val="20"/>
        </w:rPr>
        <w:t xml:space="preserve">emphasized that dynamic capital markets contribute to the mobilization of capital, investment diversification, and better corporate governance, which all support stronger financial performance. In the Tanzanian context, the implication is that </w:t>
      </w:r>
      <w:r w:rsidR="007A0F08" w:rsidRPr="0013587B">
        <w:rPr>
          <w:rFonts w:ascii="Arial" w:hAnsi="Arial" w:cs="Arial"/>
          <w:sz w:val="20"/>
          <w:szCs w:val="20"/>
        </w:rPr>
        <w:lastRenderedPageBreak/>
        <w:t xml:space="preserve">continued reforms and modernization of the stock exchange infrastructure may further stimulate economic performance and attract foreign investment. </w:t>
      </w:r>
    </w:p>
    <w:p w14:paraId="10BE203F" w14:textId="29B6B2F1" w:rsidR="00774D70" w:rsidRPr="0013587B" w:rsidRDefault="00292C9D" w:rsidP="004A589C">
      <w:pPr>
        <w:jc w:val="both"/>
        <w:rPr>
          <w:rFonts w:ascii="Arial" w:hAnsi="Arial" w:cs="Arial"/>
          <w:sz w:val="20"/>
          <w:szCs w:val="20"/>
        </w:rPr>
      </w:pPr>
      <w:r w:rsidRPr="0013587B">
        <w:rPr>
          <w:rFonts w:ascii="Arial" w:hAnsi="Arial" w:cs="Arial"/>
          <w:sz w:val="20"/>
          <w:szCs w:val="20"/>
        </w:rPr>
        <w:t xml:space="preserve">For, Fixed Effects Panel Data Regression Results, </w:t>
      </w:r>
      <w:r w:rsidR="00774D70" w:rsidRPr="0013587B">
        <w:rPr>
          <w:rFonts w:ascii="Arial" w:hAnsi="Arial" w:cs="Arial"/>
          <w:sz w:val="20"/>
          <w:szCs w:val="20"/>
        </w:rPr>
        <w:t xml:space="preserve">SMD exhibits a negative coefficient (β = -2.6813) but remains statistically significant (p = 0.0303). This finding suggests that in the Tanzanian context, accelerated stock market development does not immediately translate into better firm performance. This negative relationship could be due to market inefficiencies, low investor participation, or weak integration between the stock market and real sector performance. Similar concerns were raised by </w:t>
      </w:r>
      <w:r w:rsidR="00774D70" w:rsidRPr="00AE105C">
        <w:rPr>
          <w:rFonts w:ascii="Arial" w:hAnsi="Arial" w:cs="Arial"/>
          <w:sz w:val="20"/>
          <w:szCs w:val="20"/>
        </w:rPr>
        <w:t>Zhao et al. (2025),</w:t>
      </w:r>
      <w:r w:rsidR="00774D70" w:rsidRPr="0013587B">
        <w:rPr>
          <w:rFonts w:ascii="Arial" w:hAnsi="Arial" w:cs="Arial"/>
          <w:sz w:val="20"/>
          <w:szCs w:val="20"/>
        </w:rPr>
        <w:t xml:space="preserve"> who noted that stock market liberalization without sufficient institutional support leads to volatility and speculative behavior that undermines firm-level outcomes. Moreover, this indicates that the development of the Tanzanian stock market is still in its formative stages and not yet robust enough to serve as a stable financing platform for listed firms compared with developed countries' stock markets. Moreover, the RF variable, although showing a positive coefficient (β = 1.3211), is statistically insignificant (p = 0.5502). This implies that, within the study period, regulatory quality and structure did not exert a statistically meaningful effect on the financial performance of listed firms. While the result deviates from the study of Li et al. (2024) which posit that sound regulatory environments foster firm growth and reflect challenges in the implementation of financial regulations in Tanzania.</w:t>
      </w:r>
      <w:r w:rsidR="00635198" w:rsidRPr="0013587B">
        <w:rPr>
          <w:rFonts w:ascii="Arial" w:hAnsi="Arial" w:cs="Arial"/>
          <w:sz w:val="20"/>
          <w:szCs w:val="20"/>
        </w:rPr>
        <w:t xml:space="preserve"> T</w:t>
      </w:r>
      <w:r w:rsidR="00774D70" w:rsidRPr="0013587B">
        <w:rPr>
          <w:rFonts w:ascii="Arial" w:hAnsi="Arial" w:cs="Arial"/>
          <w:sz w:val="20"/>
          <w:szCs w:val="20"/>
        </w:rPr>
        <w:t>he</w:t>
      </w:r>
      <w:r w:rsidR="00635198" w:rsidRPr="0013587B">
        <w:rPr>
          <w:rFonts w:ascii="Arial" w:hAnsi="Arial" w:cs="Arial"/>
          <w:sz w:val="20"/>
          <w:szCs w:val="20"/>
        </w:rPr>
        <w:t xml:space="preserve"> r</w:t>
      </w:r>
      <w:r w:rsidR="00774D70" w:rsidRPr="0013587B">
        <w:rPr>
          <w:rFonts w:ascii="Arial" w:hAnsi="Arial" w:cs="Arial"/>
          <w:sz w:val="20"/>
          <w:szCs w:val="20"/>
        </w:rPr>
        <w:t xml:space="preserve">esult implies that regulatory institutions in Tanzania may require reforms to improve effectiveness and alignment with international best practices. </w:t>
      </w:r>
    </w:p>
    <w:p w14:paraId="543A63C0" w14:textId="69EBC1B9" w:rsidR="00615E26" w:rsidRPr="0013587B" w:rsidRDefault="0017105D" w:rsidP="00615E26">
      <w:pPr>
        <w:jc w:val="both"/>
        <w:rPr>
          <w:rFonts w:ascii="Arial" w:hAnsi="Arial" w:cs="Arial"/>
          <w:sz w:val="20"/>
          <w:szCs w:val="20"/>
        </w:rPr>
      </w:pPr>
      <w:r w:rsidRPr="0013587B">
        <w:rPr>
          <w:rFonts w:ascii="Arial" w:hAnsi="Arial" w:cs="Arial"/>
          <w:sz w:val="20"/>
          <w:szCs w:val="20"/>
        </w:rPr>
        <w:t xml:space="preserve">For Hausman Fixed Effects Model Result, </w:t>
      </w:r>
      <w:r w:rsidR="00615E26" w:rsidRPr="0013587B">
        <w:rPr>
          <w:rFonts w:ascii="Arial" w:hAnsi="Arial" w:cs="Arial"/>
          <w:sz w:val="20"/>
          <w:szCs w:val="20"/>
        </w:rPr>
        <w:t>t</w:t>
      </w:r>
      <w:r w:rsidR="00E573D4" w:rsidRPr="0013587B">
        <w:rPr>
          <w:rFonts w:ascii="Arial" w:hAnsi="Arial" w:cs="Arial"/>
          <w:sz w:val="20"/>
          <w:szCs w:val="20"/>
        </w:rPr>
        <w:t>he stock market development (SMD) variable presents a positive but statistically insignificant relationship with ROE (β = 2.4412, p = 0.7488). Although theoretically, a more developed stock market should improve firm performance by easing access to capital, promoting liquidity, and enhancing investor confidence, the insignificance suggests that Tanzania’s stock market has not yet developed to the point where it substantively impacts firm-level financial performance. Bai et al. (2025) similarly noted that in emerging economies, underdeveloped capital markets often fail to serve as effective catalysts for firm growth due to illiquidity, low participation, and limited product diversity. This implies that while reforms toward market development are ongoing in Tanzania, their direct financial benefits to firms remain limited, and complementary structural changes are needed to make the stock market a more effective driver of profitability. The regulatory framework (RF) variable shows a positive and statistically significant coefficient (β = 3.9411, p = 0.0323), indicating that regulatory structure has a strong and favorable influence on firm performance. This result reinforces the view that efficient legal and institutional environments create certainty, lower transaction costs, and improve transparency, all of which are conducive to higher returns on equity. These findings resonate with those of Kizys et al. (2021), who found a positive link between strong investor protection laws and firm valuation. Similarly, Demirgüç-Kunt and Levine (2018) argue that regulatory efficiency is critical in enhancing market functionality and firm-level outcomes, particularly in developing economies.</w:t>
      </w:r>
    </w:p>
    <w:p w14:paraId="3ED582E9" w14:textId="045279ED" w:rsidR="00596941" w:rsidRDefault="00615E26" w:rsidP="00F864DD">
      <w:pPr>
        <w:jc w:val="both"/>
        <w:rPr>
          <w:rFonts w:ascii="Arial" w:hAnsi="Arial" w:cs="Arial"/>
          <w:sz w:val="20"/>
          <w:szCs w:val="20"/>
        </w:rPr>
      </w:pPr>
      <w:r w:rsidRPr="0013587B">
        <w:rPr>
          <w:rFonts w:ascii="Arial" w:hAnsi="Arial" w:cs="Arial"/>
          <w:sz w:val="20"/>
          <w:szCs w:val="20"/>
        </w:rPr>
        <w:t xml:space="preserve">For </w:t>
      </w:r>
      <w:bookmarkStart w:id="17" w:name="_Toc206689025"/>
      <w:r w:rsidRPr="0013587B">
        <w:rPr>
          <w:rFonts w:ascii="Arial" w:hAnsi="Arial" w:cs="Arial"/>
          <w:sz w:val="20"/>
          <w:szCs w:val="20"/>
        </w:rPr>
        <w:t xml:space="preserve">Random Effects Model Results, </w:t>
      </w:r>
      <w:bookmarkEnd w:id="17"/>
      <w:r w:rsidR="00E573D4" w:rsidRPr="0013587B">
        <w:rPr>
          <w:rFonts w:ascii="Arial" w:hAnsi="Arial" w:cs="Arial"/>
          <w:sz w:val="20"/>
          <w:szCs w:val="20"/>
        </w:rPr>
        <w:t xml:space="preserve">Stock market development (SMD) is positively signed (β = 9.2313) but statistically insignificant (p = 0.8943). This suggests that despite some positive association, Tanzania’s stock market development has not had a measurable impact on firm profitability during the period studied. Theoretically, a developed stock market should facilitate access to capital, improve liquidity, and enhance investor confidence, which in turn improves firm performance (Ngong et al., 2022). However, the insignificance found in this model aligns with Chitundu (2022), who emphasizes that the economic benefits of stock market development in emerging markets are conditional on institutional quality, investor participation, and market depth, all of which are still underdeveloped in Tanzania. The regulatory framework (RF) shows a positive coefficient (β = 2.6711) and is borderline statistically significant (p = 0.0654). Although not meeting the conventional 5% threshold, the result suggests that improved regulation is positively associated with higher ROE. This finding resounds with the works of Yi and Latiff (2024), who emphasize the role of strong institutional frameworks in enhancing market efficiency and firm performance. The intercept (C), with a positive and highly significant coefficient (β = 0.1909, p = 0.0003), indicates that in the absence of the explanatory variables, firms on average maintain </w:t>
      </w:r>
      <w:r w:rsidR="00E573D4" w:rsidRPr="0013587B">
        <w:rPr>
          <w:rFonts w:ascii="Arial" w:hAnsi="Arial" w:cs="Arial"/>
          <w:sz w:val="20"/>
          <w:szCs w:val="20"/>
        </w:rPr>
        <w:lastRenderedPageBreak/>
        <w:t>a positive baseline level of ROE. This confirms the presence of intrinsic firm-level capabilities or structural advantages unrelated to the modeled variables that support profitability.</w:t>
      </w:r>
    </w:p>
    <w:p w14:paraId="73387E83" w14:textId="2111AD3A" w:rsidR="00911703" w:rsidRPr="0013587B" w:rsidRDefault="00911703" w:rsidP="00F864DD">
      <w:pPr>
        <w:jc w:val="both"/>
        <w:rPr>
          <w:rFonts w:ascii="Arial" w:hAnsi="Arial" w:cs="Arial"/>
          <w:sz w:val="20"/>
          <w:szCs w:val="20"/>
        </w:rPr>
      </w:pPr>
      <w:r w:rsidRPr="00911703">
        <w:rPr>
          <w:rFonts w:ascii="Arial" w:hAnsi="Arial" w:cs="Arial"/>
          <w:sz w:val="20"/>
          <w:szCs w:val="20"/>
        </w:rPr>
        <w:t>The</w:t>
      </w:r>
      <w:r>
        <w:rPr>
          <w:rFonts w:ascii="Arial" w:hAnsi="Arial" w:cs="Arial"/>
          <w:sz w:val="20"/>
          <w:szCs w:val="20"/>
        </w:rPr>
        <w:t>refore,</w:t>
      </w:r>
      <w:r w:rsidRPr="00911703">
        <w:rPr>
          <w:rFonts w:ascii="Arial" w:hAnsi="Arial" w:cs="Arial"/>
          <w:sz w:val="20"/>
          <w:szCs w:val="20"/>
        </w:rPr>
        <w:t xml:space="preserve"> findings of the study reveal a significant positive relationship between stock market development (SMD) and return on equity (ROE), as evidenced by the Pooled OLS coefficient of 2.4412 with a p-value of 0.0488, and a similarly positive result under the Hausman fixed effect model (Coef. = 3.9411, p = 0.0323). This suggests that improvements in stock market development contribute meaningfully to the financial performance of firms in Tanzania. The results align with the Institutional Theory, which posits t</w:t>
      </w:r>
      <w:r>
        <w:rPr>
          <w:rFonts w:ascii="Arial" w:hAnsi="Arial" w:cs="Arial"/>
          <w:sz w:val="20"/>
          <w:szCs w:val="20"/>
        </w:rPr>
        <w:t xml:space="preserve">hat institutional structures </w:t>
      </w:r>
      <w:r w:rsidRPr="00911703">
        <w:rPr>
          <w:rFonts w:ascii="Arial" w:hAnsi="Arial" w:cs="Arial"/>
          <w:sz w:val="20"/>
          <w:szCs w:val="20"/>
        </w:rPr>
        <w:t>such as w</w:t>
      </w:r>
      <w:r>
        <w:rPr>
          <w:rFonts w:ascii="Arial" w:hAnsi="Arial" w:cs="Arial"/>
          <w:sz w:val="20"/>
          <w:szCs w:val="20"/>
        </w:rPr>
        <w:t xml:space="preserve">ell-developed financial markets </w:t>
      </w:r>
      <w:r w:rsidRPr="00911703">
        <w:rPr>
          <w:rFonts w:ascii="Arial" w:hAnsi="Arial" w:cs="Arial"/>
          <w:sz w:val="20"/>
          <w:szCs w:val="20"/>
        </w:rPr>
        <w:t>create formal mechanisms that enhance transparency, access to capital</w:t>
      </w:r>
      <w:r>
        <w:rPr>
          <w:rFonts w:ascii="Arial" w:hAnsi="Arial" w:cs="Arial"/>
          <w:sz w:val="20"/>
          <w:szCs w:val="20"/>
        </w:rPr>
        <w:t xml:space="preserve"> and investor confidence and hence</w:t>
      </w:r>
      <w:r w:rsidRPr="00911703">
        <w:rPr>
          <w:rFonts w:ascii="Arial" w:hAnsi="Arial" w:cs="Arial"/>
          <w:sz w:val="20"/>
          <w:szCs w:val="20"/>
        </w:rPr>
        <w:t xml:space="preserve"> leading to better firm performance (North, 1990). Conversely, the regulatory framework (RF) shows mixed results: while the Pooled OLS model indicates a significant positive relationship (Coef. = 3.9411, p = 0.0323), the Fixed Effect model reveals a negative coefficient (Coef. = -2.6813, p = 0.0303). These results reinforce the Institutional Theory argument that effective and stable institutions</w:t>
      </w:r>
      <w:r>
        <w:rPr>
          <w:rFonts w:ascii="Arial" w:hAnsi="Arial" w:cs="Arial"/>
          <w:sz w:val="20"/>
          <w:szCs w:val="20"/>
        </w:rPr>
        <w:t xml:space="preserve"> </w:t>
      </w:r>
      <w:r w:rsidRPr="00911703">
        <w:rPr>
          <w:rFonts w:ascii="Arial" w:hAnsi="Arial" w:cs="Arial"/>
          <w:sz w:val="20"/>
          <w:szCs w:val="20"/>
        </w:rPr>
        <w:t>particularly regulatory bodies</w:t>
      </w:r>
      <w:r>
        <w:rPr>
          <w:rFonts w:ascii="Arial" w:hAnsi="Arial" w:cs="Arial"/>
          <w:sz w:val="20"/>
          <w:szCs w:val="20"/>
        </w:rPr>
        <w:t xml:space="preserve"> </w:t>
      </w:r>
      <w:r w:rsidRPr="00911703">
        <w:rPr>
          <w:rFonts w:ascii="Arial" w:hAnsi="Arial" w:cs="Arial"/>
          <w:sz w:val="20"/>
          <w:szCs w:val="20"/>
        </w:rPr>
        <w:t>are essential for enabling firms to operate efficiently and generate sustainable returns on equity in emerging markets like Tanzania.</w:t>
      </w:r>
    </w:p>
    <w:p w14:paraId="784AE7B2" w14:textId="0058AD38" w:rsidR="00E56F63" w:rsidRPr="0013587B" w:rsidRDefault="003A3338" w:rsidP="005E13CD">
      <w:pPr>
        <w:pStyle w:val="Caption"/>
        <w:keepNext/>
        <w:jc w:val="both"/>
        <w:rPr>
          <w:rFonts w:ascii="Arial" w:hAnsi="Arial" w:cs="Arial"/>
          <w:b/>
          <w:i w:val="0"/>
          <w:color w:val="auto"/>
          <w:sz w:val="20"/>
          <w:szCs w:val="20"/>
        </w:rPr>
      </w:pPr>
      <w:bookmarkStart w:id="18" w:name="_Toc206689026"/>
      <w:r w:rsidRPr="0013587B">
        <w:rPr>
          <w:rFonts w:ascii="Arial" w:hAnsi="Arial" w:cs="Arial"/>
          <w:b/>
          <w:i w:val="0"/>
          <w:color w:val="auto"/>
          <w:sz w:val="20"/>
          <w:szCs w:val="20"/>
        </w:rPr>
        <w:t xml:space="preserve">Table </w:t>
      </w:r>
      <w:r w:rsidR="00D71C10">
        <w:rPr>
          <w:rFonts w:ascii="Arial" w:hAnsi="Arial" w:cs="Arial"/>
          <w:b/>
          <w:i w:val="0"/>
          <w:color w:val="auto"/>
          <w:sz w:val="20"/>
          <w:szCs w:val="20"/>
        </w:rPr>
        <w:t>8</w:t>
      </w:r>
      <w:r w:rsidRPr="0013587B">
        <w:rPr>
          <w:rFonts w:ascii="Arial" w:hAnsi="Arial" w:cs="Arial"/>
          <w:b/>
          <w:i w:val="0"/>
          <w:color w:val="auto"/>
          <w:sz w:val="20"/>
          <w:szCs w:val="20"/>
        </w:rPr>
        <w:t>: Correlated Random Effects - Hausman Test Result</w:t>
      </w:r>
      <w:bookmarkEnd w:id="18"/>
    </w:p>
    <w:tbl>
      <w:tblPr>
        <w:tblW w:w="5000" w:type="pct"/>
        <w:tblCellMar>
          <w:left w:w="0" w:type="dxa"/>
          <w:right w:w="0" w:type="dxa"/>
        </w:tblCellMar>
        <w:tblLook w:val="0000" w:firstRow="0" w:lastRow="0" w:firstColumn="0" w:lastColumn="0" w:noHBand="0" w:noVBand="0"/>
      </w:tblPr>
      <w:tblGrid>
        <w:gridCol w:w="2815"/>
        <w:gridCol w:w="1540"/>
        <w:gridCol w:w="1687"/>
        <w:gridCol w:w="1687"/>
        <w:gridCol w:w="1392"/>
      </w:tblGrid>
      <w:tr w:rsidR="004A57F3" w:rsidRPr="0013587B" w14:paraId="34329E9F" w14:textId="77777777" w:rsidTr="00411093">
        <w:trPr>
          <w:trHeight w:hRule="exact" w:val="81"/>
        </w:trPr>
        <w:tc>
          <w:tcPr>
            <w:tcW w:w="1543" w:type="pct"/>
            <w:tcBorders>
              <w:top w:val="nil"/>
              <w:left w:val="nil"/>
              <w:bottom w:val="double" w:sz="6" w:space="2" w:color="auto"/>
              <w:right w:val="nil"/>
            </w:tcBorders>
            <w:vAlign w:val="bottom"/>
          </w:tcPr>
          <w:p w14:paraId="6CA78B0D"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728E676F"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5C22F4F3"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441BF035"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7EDB0A99"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33764470" w14:textId="77777777" w:rsidTr="00411093">
        <w:trPr>
          <w:trHeight w:hRule="exact" w:val="122"/>
        </w:trPr>
        <w:tc>
          <w:tcPr>
            <w:tcW w:w="1543" w:type="pct"/>
            <w:tcBorders>
              <w:top w:val="nil"/>
              <w:left w:val="nil"/>
              <w:bottom w:val="nil"/>
              <w:right w:val="nil"/>
            </w:tcBorders>
            <w:vAlign w:val="bottom"/>
          </w:tcPr>
          <w:p w14:paraId="14FC0A2A"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241E9CEA"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5768490"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6EC8740F"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B1944EF"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7532F721" w14:textId="77777777" w:rsidTr="00411093">
        <w:trPr>
          <w:trHeight w:val="204"/>
        </w:trPr>
        <w:tc>
          <w:tcPr>
            <w:tcW w:w="2387" w:type="pct"/>
            <w:gridSpan w:val="2"/>
            <w:tcBorders>
              <w:top w:val="nil"/>
              <w:left w:val="nil"/>
              <w:bottom w:val="nil"/>
              <w:right w:val="nil"/>
            </w:tcBorders>
            <w:vAlign w:val="bottom"/>
          </w:tcPr>
          <w:p w14:paraId="5B2C5EB1" w14:textId="5044E691" w:rsidR="004A57F3" w:rsidRPr="0013587B" w:rsidRDefault="00974268" w:rsidP="00276823">
            <w:pPr>
              <w:spacing w:line="240" w:lineRule="auto"/>
              <w:rPr>
                <w:rFonts w:ascii="Arial" w:hAnsi="Arial" w:cs="Arial"/>
                <w:sz w:val="20"/>
                <w:szCs w:val="20"/>
              </w:rPr>
            </w:pPr>
            <w:r w:rsidRPr="0013587B">
              <w:rPr>
                <w:rFonts w:ascii="Arial" w:hAnsi="Arial" w:cs="Arial"/>
                <w:sz w:val="20"/>
                <w:szCs w:val="20"/>
              </w:rPr>
              <w:t>Test Summary</w:t>
            </w:r>
          </w:p>
        </w:tc>
        <w:tc>
          <w:tcPr>
            <w:tcW w:w="925" w:type="pct"/>
            <w:tcBorders>
              <w:top w:val="nil"/>
              <w:left w:val="nil"/>
              <w:bottom w:val="nil"/>
              <w:right w:val="nil"/>
            </w:tcBorders>
            <w:vAlign w:val="bottom"/>
          </w:tcPr>
          <w:p w14:paraId="50399C9E" w14:textId="3E3F926E" w:rsidR="004A57F3" w:rsidRPr="0013587B" w:rsidRDefault="006D397E" w:rsidP="00276823">
            <w:pPr>
              <w:spacing w:line="240" w:lineRule="auto"/>
              <w:rPr>
                <w:rFonts w:ascii="Arial" w:hAnsi="Arial" w:cs="Arial"/>
                <w:sz w:val="20"/>
                <w:szCs w:val="20"/>
              </w:rPr>
            </w:pPr>
            <w:r w:rsidRPr="0013587B">
              <w:rPr>
                <w:rFonts w:ascii="Arial" w:hAnsi="Arial" w:cs="Arial"/>
                <w:sz w:val="20"/>
                <w:szCs w:val="20"/>
              </w:rPr>
              <w:t xml:space="preserve">Chi-Sq. </w:t>
            </w:r>
            <w:r w:rsidR="00974268" w:rsidRPr="0013587B">
              <w:rPr>
                <w:rFonts w:ascii="Arial" w:hAnsi="Arial" w:cs="Arial"/>
                <w:sz w:val="20"/>
                <w:szCs w:val="20"/>
              </w:rPr>
              <w:t>Statistic</w:t>
            </w:r>
          </w:p>
        </w:tc>
        <w:tc>
          <w:tcPr>
            <w:tcW w:w="925" w:type="pct"/>
            <w:tcBorders>
              <w:top w:val="nil"/>
              <w:left w:val="nil"/>
              <w:bottom w:val="nil"/>
              <w:right w:val="nil"/>
            </w:tcBorders>
            <w:vAlign w:val="bottom"/>
          </w:tcPr>
          <w:p w14:paraId="4D3A3DF4" w14:textId="155D7AE0" w:rsidR="004A57F3" w:rsidRPr="0013587B" w:rsidRDefault="00974268" w:rsidP="00276823">
            <w:pPr>
              <w:spacing w:line="240" w:lineRule="auto"/>
              <w:rPr>
                <w:rFonts w:ascii="Arial" w:hAnsi="Arial" w:cs="Arial"/>
                <w:sz w:val="20"/>
                <w:szCs w:val="20"/>
              </w:rPr>
            </w:pPr>
            <w:r w:rsidRPr="0013587B">
              <w:rPr>
                <w:rFonts w:ascii="Arial" w:hAnsi="Arial" w:cs="Arial"/>
                <w:sz w:val="20"/>
                <w:szCs w:val="20"/>
              </w:rPr>
              <w:t>Chi-Sq. d.f.</w:t>
            </w:r>
          </w:p>
        </w:tc>
        <w:tc>
          <w:tcPr>
            <w:tcW w:w="763" w:type="pct"/>
            <w:tcBorders>
              <w:top w:val="nil"/>
              <w:left w:val="nil"/>
              <w:bottom w:val="nil"/>
              <w:right w:val="nil"/>
            </w:tcBorders>
            <w:vAlign w:val="bottom"/>
          </w:tcPr>
          <w:p w14:paraId="4E678A56" w14:textId="1DE18196" w:rsidR="004A57F3" w:rsidRPr="0013587B" w:rsidRDefault="00974268" w:rsidP="00276823">
            <w:pPr>
              <w:spacing w:line="240" w:lineRule="auto"/>
              <w:rPr>
                <w:rFonts w:ascii="Arial" w:hAnsi="Arial" w:cs="Arial"/>
                <w:sz w:val="20"/>
                <w:szCs w:val="20"/>
              </w:rPr>
            </w:pPr>
            <w:r w:rsidRPr="0013587B">
              <w:rPr>
                <w:rFonts w:ascii="Arial" w:hAnsi="Arial" w:cs="Arial"/>
                <w:sz w:val="20"/>
                <w:szCs w:val="20"/>
              </w:rPr>
              <w:t>Prob.</w:t>
            </w:r>
          </w:p>
        </w:tc>
      </w:tr>
      <w:tr w:rsidR="004A57F3" w:rsidRPr="0013587B" w14:paraId="709AAA3E" w14:textId="77777777" w:rsidTr="00411093">
        <w:trPr>
          <w:trHeight w:hRule="exact" w:val="81"/>
        </w:trPr>
        <w:tc>
          <w:tcPr>
            <w:tcW w:w="1543" w:type="pct"/>
            <w:tcBorders>
              <w:top w:val="nil"/>
              <w:left w:val="nil"/>
              <w:bottom w:val="double" w:sz="6" w:space="2" w:color="auto"/>
              <w:right w:val="nil"/>
            </w:tcBorders>
            <w:vAlign w:val="bottom"/>
          </w:tcPr>
          <w:p w14:paraId="3F3FB0CA"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096DFC58"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5B766FF8"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69B2592E"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7A141C9D"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37DA7126" w14:textId="77777777" w:rsidTr="00411093">
        <w:trPr>
          <w:trHeight w:hRule="exact" w:val="122"/>
        </w:trPr>
        <w:tc>
          <w:tcPr>
            <w:tcW w:w="1543" w:type="pct"/>
            <w:tcBorders>
              <w:top w:val="nil"/>
              <w:left w:val="nil"/>
              <w:bottom w:val="nil"/>
              <w:right w:val="nil"/>
            </w:tcBorders>
            <w:vAlign w:val="bottom"/>
          </w:tcPr>
          <w:p w14:paraId="78820C6C"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30238DD6"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5F05154B"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610ED42E"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0EEE52C"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5FEA5F5F" w14:textId="77777777" w:rsidTr="00411093">
        <w:trPr>
          <w:trHeight w:val="204"/>
        </w:trPr>
        <w:tc>
          <w:tcPr>
            <w:tcW w:w="2387" w:type="pct"/>
            <w:gridSpan w:val="2"/>
            <w:tcBorders>
              <w:top w:val="nil"/>
              <w:left w:val="nil"/>
              <w:bottom w:val="nil"/>
              <w:right w:val="nil"/>
            </w:tcBorders>
            <w:vAlign w:val="bottom"/>
          </w:tcPr>
          <w:p w14:paraId="52338011" w14:textId="1FB932CC" w:rsidR="004A57F3" w:rsidRPr="0013587B" w:rsidRDefault="00974268" w:rsidP="00276823">
            <w:pPr>
              <w:spacing w:line="240" w:lineRule="auto"/>
              <w:rPr>
                <w:rFonts w:ascii="Arial" w:hAnsi="Arial" w:cs="Arial"/>
                <w:sz w:val="20"/>
                <w:szCs w:val="20"/>
              </w:rPr>
            </w:pPr>
            <w:r w:rsidRPr="0013587B">
              <w:rPr>
                <w:rFonts w:ascii="Arial" w:hAnsi="Arial" w:cs="Arial"/>
                <w:sz w:val="20"/>
                <w:szCs w:val="20"/>
              </w:rPr>
              <w:t>Cross-section random</w:t>
            </w:r>
          </w:p>
        </w:tc>
        <w:tc>
          <w:tcPr>
            <w:tcW w:w="925" w:type="pct"/>
            <w:tcBorders>
              <w:top w:val="nil"/>
              <w:left w:val="nil"/>
              <w:bottom w:val="nil"/>
              <w:right w:val="nil"/>
            </w:tcBorders>
            <w:vAlign w:val="bottom"/>
          </w:tcPr>
          <w:p w14:paraId="1CC4EE09"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2.406508</w:t>
            </w:r>
          </w:p>
        </w:tc>
        <w:tc>
          <w:tcPr>
            <w:tcW w:w="925" w:type="pct"/>
            <w:tcBorders>
              <w:top w:val="nil"/>
              <w:left w:val="nil"/>
              <w:bottom w:val="nil"/>
              <w:right w:val="nil"/>
            </w:tcBorders>
            <w:vAlign w:val="bottom"/>
          </w:tcPr>
          <w:p w14:paraId="49EC8B49" w14:textId="50A77E2B" w:rsidR="004A57F3" w:rsidRPr="0013587B" w:rsidRDefault="002C224D" w:rsidP="00276823">
            <w:pPr>
              <w:spacing w:after="0" w:line="240" w:lineRule="auto"/>
              <w:jc w:val="both"/>
              <w:rPr>
                <w:rFonts w:ascii="Arial" w:hAnsi="Arial" w:cs="Arial"/>
                <w:sz w:val="20"/>
                <w:szCs w:val="20"/>
              </w:rPr>
            </w:pPr>
            <w:r w:rsidRPr="0013587B">
              <w:rPr>
                <w:rFonts w:ascii="Arial" w:hAnsi="Arial" w:cs="Arial"/>
                <w:sz w:val="20"/>
                <w:szCs w:val="20"/>
              </w:rPr>
              <w:t xml:space="preserve">        </w:t>
            </w:r>
            <w:r w:rsidR="004A57F3" w:rsidRPr="0013587B">
              <w:rPr>
                <w:rFonts w:ascii="Arial" w:hAnsi="Arial" w:cs="Arial"/>
                <w:sz w:val="20"/>
                <w:szCs w:val="20"/>
              </w:rPr>
              <w:t>4</w:t>
            </w:r>
          </w:p>
        </w:tc>
        <w:tc>
          <w:tcPr>
            <w:tcW w:w="763" w:type="pct"/>
            <w:tcBorders>
              <w:top w:val="nil"/>
              <w:left w:val="nil"/>
              <w:bottom w:val="nil"/>
              <w:right w:val="nil"/>
            </w:tcBorders>
            <w:vAlign w:val="bottom"/>
          </w:tcPr>
          <w:p w14:paraId="12A85C52" w14:textId="0A4B588D" w:rsidR="004A57F3" w:rsidRPr="0013587B" w:rsidRDefault="00F35A8A" w:rsidP="00276823">
            <w:pPr>
              <w:spacing w:after="0" w:line="240" w:lineRule="auto"/>
              <w:jc w:val="both"/>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0015</w:t>
            </w:r>
          </w:p>
        </w:tc>
      </w:tr>
      <w:tr w:rsidR="004A57F3" w:rsidRPr="0013587B" w14:paraId="68DF7BA5" w14:textId="77777777" w:rsidTr="00411093">
        <w:trPr>
          <w:trHeight w:hRule="exact" w:val="81"/>
        </w:trPr>
        <w:tc>
          <w:tcPr>
            <w:tcW w:w="1543" w:type="pct"/>
            <w:tcBorders>
              <w:top w:val="nil"/>
              <w:left w:val="nil"/>
              <w:bottom w:val="double" w:sz="6" w:space="2" w:color="auto"/>
              <w:right w:val="nil"/>
            </w:tcBorders>
            <w:vAlign w:val="bottom"/>
          </w:tcPr>
          <w:p w14:paraId="3D59B872"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3605CDB3"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17B10F2A"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7E9F8E81"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4A2AD94F"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68261E55" w14:textId="77777777" w:rsidTr="00411093">
        <w:trPr>
          <w:trHeight w:hRule="exact" w:val="122"/>
        </w:trPr>
        <w:tc>
          <w:tcPr>
            <w:tcW w:w="1543" w:type="pct"/>
            <w:tcBorders>
              <w:top w:val="nil"/>
              <w:left w:val="nil"/>
              <w:bottom w:val="nil"/>
              <w:right w:val="nil"/>
            </w:tcBorders>
            <w:vAlign w:val="bottom"/>
          </w:tcPr>
          <w:p w14:paraId="609761E0"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2A92AEA9"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58434C87"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8DBCDA8"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36D6E1E"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655E64EC" w14:textId="77777777" w:rsidTr="00411093">
        <w:trPr>
          <w:trHeight w:val="204"/>
        </w:trPr>
        <w:tc>
          <w:tcPr>
            <w:tcW w:w="1543" w:type="pct"/>
            <w:tcBorders>
              <w:top w:val="nil"/>
              <w:left w:val="nil"/>
              <w:bottom w:val="nil"/>
              <w:right w:val="nil"/>
            </w:tcBorders>
            <w:vAlign w:val="bottom"/>
          </w:tcPr>
          <w:p w14:paraId="19668DE1"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0E5DB2E7"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3BA50A4E"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58929A1"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3A0ED06B"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08DADFE5" w14:textId="77777777" w:rsidTr="00411093">
        <w:trPr>
          <w:trHeight w:val="204"/>
        </w:trPr>
        <w:tc>
          <w:tcPr>
            <w:tcW w:w="5000" w:type="pct"/>
            <w:gridSpan w:val="5"/>
            <w:tcBorders>
              <w:top w:val="nil"/>
              <w:left w:val="nil"/>
              <w:bottom w:val="nil"/>
              <w:right w:val="nil"/>
            </w:tcBorders>
            <w:vAlign w:val="bottom"/>
          </w:tcPr>
          <w:p w14:paraId="71529995" w14:textId="4BF09F7C" w:rsidR="004A57F3" w:rsidRPr="0013587B" w:rsidRDefault="009740A8" w:rsidP="00276823">
            <w:pPr>
              <w:spacing w:line="240" w:lineRule="auto"/>
              <w:rPr>
                <w:rFonts w:ascii="Arial" w:hAnsi="Arial" w:cs="Arial"/>
                <w:sz w:val="20"/>
                <w:szCs w:val="20"/>
              </w:rPr>
            </w:pPr>
            <w:r w:rsidRPr="0013587B">
              <w:rPr>
                <w:rFonts w:ascii="Arial" w:hAnsi="Arial" w:cs="Arial"/>
                <w:sz w:val="20"/>
                <w:szCs w:val="20"/>
              </w:rPr>
              <w:t>Cross-section random effects test comparisons:</w:t>
            </w:r>
          </w:p>
        </w:tc>
      </w:tr>
      <w:tr w:rsidR="004A57F3" w:rsidRPr="0013587B" w14:paraId="10219112" w14:textId="77777777" w:rsidTr="00411093">
        <w:trPr>
          <w:trHeight w:val="204"/>
        </w:trPr>
        <w:tc>
          <w:tcPr>
            <w:tcW w:w="1543" w:type="pct"/>
            <w:tcBorders>
              <w:top w:val="nil"/>
              <w:left w:val="nil"/>
              <w:bottom w:val="nil"/>
              <w:right w:val="nil"/>
            </w:tcBorders>
            <w:vAlign w:val="bottom"/>
          </w:tcPr>
          <w:p w14:paraId="4FCC03EC"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60BF4342"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484229B"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7C304FCC"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64724DDA"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3E0F9EA2" w14:textId="77777777" w:rsidTr="00411093">
        <w:trPr>
          <w:trHeight w:val="204"/>
        </w:trPr>
        <w:tc>
          <w:tcPr>
            <w:tcW w:w="1543" w:type="pct"/>
            <w:tcBorders>
              <w:top w:val="nil"/>
              <w:left w:val="nil"/>
              <w:bottom w:val="nil"/>
              <w:right w:val="nil"/>
            </w:tcBorders>
            <w:vAlign w:val="bottom"/>
          </w:tcPr>
          <w:p w14:paraId="72C71017"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Variable</w:t>
            </w:r>
          </w:p>
        </w:tc>
        <w:tc>
          <w:tcPr>
            <w:tcW w:w="844" w:type="pct"/>
            <w:tcBorders>
              <w:top w:val="nil"/>
              <w:left w:val="nil"/>
              <w:bottom w:val="nil"/>
              <w:right w:val="nil"/>
            </w:tcBorders>
            <w:vAlign w:val="bottom"/>
          </w:tcPr>
          <w:p w14:paraId="59C1372B"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Fixed  </w:t>
            </w:r>
          </w:p>
        </w:tc>
        <w:tc>
          <w:tcPr>
            <w:tcW w:w="925" w:type="pct"/>
            <w:tcBorders>
              <w:top w:val="nil"/>
              <w:left w:val="nil"/>
              <w:bottom w:val="nil"/>
              <w:right w:val="nil"/>
            </w:tcBorders>
            <w:vAlign w:val="bottom"/>
          </w:tcPr>
          <w:p w14:paraId="646E4D5A"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Random </w:t>
            </w:r>
          </w:p>
        </w:tc>
        <w:tc>
          <w:tcPr>
            <w:tcW w:w="925" w:type="pct"/>
            <w:tcBorders>
              <w:top w:val="nil"/>
              <w:left w:val="nil"/>
              <w:bottom w:val="nil"/>
              <w:right w:val="nil"/>
            </w:tcBorders>
            <w:vAlign w:val="bottom"/>
          </w:tcPr>
          <w:p w14:paraId="769A62A3"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Var(Diff.) </w:t>
            </w:r>
          </w:p>
        </w:tc>
        <w:tc>
          <w:tcPr>
            <w:tcW w:w="763" w:type="pct"/>
            <w:tcBorders>
              <w:top w:val="nil"/>
              <w:left w:val="nil"/>
              <w:bottom w:val="nil"/>
              <w:right w:val="nil"/>
            </w:tcBorders>
            <w:vAlign w:val="bottom"/>
          </w:tcPr>
          <w:p w14:paraId="1BC70B77"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Prob. </w:t>
            </w:r>
          </w:p>
        </w:tc>
      </w:tr>
      <w:tr w:rsidR="004A57F3" w:rsidRPr="0013587B" w14:paraId="38C31821" w14:textId="77777777" w:rsidTr="00411093">
        <w:trPr>
          <w:trHeight w:hRule="exact" w:val="81"/>
        </w:trPr>
        <w:tc>
          <w:tcPr>
            <w:tcW w:w="1543" w:type="pct"/>
            <w:tcBorders>
              <w:top w:val="nil"/>
              <w:left w:val="nil"/>
              <w:bottom w:val="double" w:sz="6" w:space="2" w:color="auto"/>
              <w:right w:val="nil"/>
            </w:tcBorders>
            <w:vAlign w:val="bottom"/>
          </w:tcPr>
          <w:p w14:paraId="784594D9"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206C4D88"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75E72841"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40003B40"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63EDE6FB"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28BCE439" w14:textId="77777777" w:rsidTr="00411093">
        <w:trPr>
          <w:trHeight w:hRule="exact" w:val="122"/>
        </w:trPr>
        <w:tc>
          <w:tcPr>
            <w:tcW w:w="1543" w:type="pct"/>
            <w:tcBorders>
              <w:top w:val="nil"/>
              <w:left w:val="nil"/>
              <w:bottom w:val="nil"/>
              <w:right w:val="nil"/>
            </w:tcBorders>
            <w:vAlign w:val="bottom"/>
          </w:tcPr>
          <w:p w14:paraId="2F8187E0"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174666B5"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2DEE86D"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3C8759B1"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2F88A8B5"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748BD13E" w14:textId="77777777" w:rsidTr="00411093">
        <w:trPr>
          <w:trHeight w:val="204"/>
        </w:trPr>
        <w:tc>
          <w:tcPr>
            <w:tcW w:w="1543" w:type="pct"/>
            <w:tcBorders>
              <w:top w:val="nil"/>
              <w:left w:val="nil"/>
              <w:bottom w:val="nil"/>
              <w:right w:val="nil"/>
            </w:tcBorders>
            <w:vAlign w:val="bottom"/>
          </w:tcPr>
          <w:p w14:paraId="3F8F4463" w14:textId="77777777" w:rsidR="004A57F3" w:rsidRPr="0013587B" w:rsidRDefault="004A57F3" w:rsidP="00276823">
            <w:pPr>
              <w:spacing w:line="240" w:lineRule="auto"/>
              <w:rPr>
                <w:rFonts w:ascii="Arial" w:hAnsi="Arial" w:cs="Arial"/>
                <w:sz w:val="20"/>
                <w:szCs w:val="20"/>
              </w:rPr>
            </w:pPr>
            <w:r w:rsidRPr="0013587B">
              <w:rPr>
                <w:rFonts w:ascii="Arial" w:hAnsi="Arial" w:cs="Arial"/>
                <w:sz w:val="20"/>
                <w:szCs w:val="20"/>
              </w:rPr>
              <w:t>SMD</w:t>
            </w:r>
          </w:p>
        </w:tc>
        <w:tc>
          <w:tcPr>
            <w:tcW w:w="844" w:type="pct"/>
            <w:tcBorders>
              <w:top w:val="nil"/>
              <w:left w:val="nil"/>
              <w:bottom w:val="nil"/>
              <w:right w:val="nil"/>
            </w:tcBorders>
            <w:vAlign w:val="bottom"/>
          </w:tcPr>
          <w:p w14:paraId="763F672C" w14:textId="6D4CFF74" w:rsidR="004A57F3" w:rsidRPr="0013587B" w:rsidRDefault="00EC1325"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260000</w:t>
            </w:r>
          </w:p>
        </w:tc>
        <w:tc>
          <w:tcPr>
            <w:tcW w:w="925" w:type="pct"/>
            <w:tcBorders>
              <w:top w:val="nil"/>
              <w:left w:val="nil"/>
              <w:bottom w:val="nil"/>
              <w:right w:val="nil"/>
            </w:tcBorders>
            <w:vAlign w:val="bottom"/>
          </w:tcPr>
          <w:p w14:paraId="796601AF" w14:textId="337B7056" w:rsidR="004A57F3" w:rsidRPr="0013587B" w:rsidRDefault="00130510"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240000</w:t>
            </w:r>
          </w:p>
        </w:tc>
        <w:tc>
          <w:tcPr>
            <w:tcW w:w="925" w:type="pct"/>
            <w:tcBorders>
              <w:top w:val="nil"/>
              <w:left w:val="nil"/>
              <w:bottom w:val="nil"/>
              <w:right w:val="nil"/>
            </w:tcBorders>
            <w:vAlign w:val="bottom"/>
          </w:tcPr>
          <w:p w14:paraId="595B9CC5" w14:textId="55C84D9A" w:rsidR="004A57F3" w:rsidRPr="0013587B" w:rsidRDefault="00E72674"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000000</w:t>
            </w:r>
          </w:p>
        </w:tc>
        <w:tc>
          <w:tcPr>
            <w:tcW w:w="763" w:type="pct"/>
            <w:tcBorders>
              <w:top w:val="nil"/>
              <w:left w:val="nil"/>
              <w:bottom w:val="nil"/>
              <w:right w:val="nil"/>
            </w:tcBorders>
            <w:vAlign w:val="bottom"/>
          </w:tcPr>
          <w:p w14:paraId="2A9A17B2" w14:textId="77777777" w:rsidR="004A57F3" w:rsidRPr="0013587B" w:rsidRDefault="004A57F3" w:rsidP="00276823">
            <w:pPr>
              <w:spacing w:line="240" w:lineRule="auto"/>
              <w:rPr>
                <w:rFonts w:ascii="Arial" w:hAnsi="Arial" w:cs="Arial"/>
                <w:sz w:val="20"/>
                <w:szCs w:val="20"/>
              </w:rPr>
            </w:pPr>
            <w:r w:rsidRPr="0013587B">
              <w:rPr>
                <w:rFonts w:ascii="Arial" w:hAnsi="Arial" w:cs="Arial"/>
                <w:sz w:val="20"/>
                <w:szCs w:val="20"/>
              </w:rPr>
              <w:t>0.0224</w:t>
            </w:r>
          </w:p>
        </w:tc>
      </w:tr>
      <w:tr w:rsidR="004A57F3" w:rsidRPr="0013587B" w14:paraId="5AC3EAB2" w14:textId="77777777" w:rsidTr="00411093">
        <w:trPr>
          <w:trHeight w:val="204"/>
        </w:trPr>
        <w:tc>
          <w:tcPr>
            <w:tcW w:w="1543" w:type="pct"/>
            <w:tcBorders>
              <w:top w:val="nil"/>
              <w:left w:val="nil"/>
              <w:bottom w:val="nil"/>
              <w:right w:val="nil"/>
            </w:tcBorders>
            <w:vAlign w:val="bottom"/>
          </w:tcPr>
          <w:p w14:paraId="32E71F9A" w14:textId="77777777" w:rsidR="004A57F3" w:rsidRPr="0013587B" w:rsidRDefault="004A57F3" w:rsidP="00276823">
            <w:pPr>
              <w:spacing w:line="240" w:lineRule="auto"/>
              <w:rPr>
                <w:rFonts w:ascii="Arial" w:hAnsi="Arial" w:cs="Arial"/>
                <w:sz w:val="20"/>
                <w:szCs w:val="20"/>
              </w:rPr>
            </w:pPr>
            <w:r w:rsidRPr="0013587B">
              <w:rPr>
                <w:rFonts w:ascii="Arial" w:hAnsi="Arial" w:cs="Arial"/>
                <w:sz w:val="20"/>
                <w:szCs w:val="20"/>
              </w:rPr>
              <w:t>RF</w:t>
            </w:r>
          </w:p>
        </w:tc>
        <w:tc>
          <w:tcPr>
            <w:tcW w:w="844" w:type="pct"/>
            <w:tcBorders>
              <w:top w:val="nil"/>
              <w:left w:val="nil"/>
              <w:bottom w:val="nil"/>
              <w:right w:val="nil"/>
            </w:tcBorders>
            <w:vAlign w:val="bottom"/>
          </w:tcPr>
          <w:p w14:paraId="67B415F5" w14:textId="451B9858" w:rsidR="004A57F3" w:rsidRPr="0013587B" w:rsidRDefault="00EC1325"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520000</w:t>
            </w:r>
          </w:p>
        </w:tc>
        <w:tc>
          <w:tcPr>
            <w:tcW w:w="925" w:type="pct"/>
            <w:tcBorders>
              <w:top w:val="nil"/>
              <w:left w:val="nil"/>
              <w:bottom w:val="nil"/>
              <w:right w:val="nil"/>
            </w:tcBorders>
            <w:vAlign w:val="bottom"/>
          </w:tcPr>
          <w:p w14:paraId="02BB4EFE" w14:textId="034B24DA" w:rsidR="004A57F3" w:rsidRPr="0013587B" w:rsidRDefault="00130510"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130000</w:t>
            </w:r>
          </w:p>
        </w:tc>
        <w:tc>
          <w:tcPr>
            <w:tcW w:w="925" w:type="pct"/>
            <w:tcBorders>
              <w:top w:val="nil"/>
              <w:left w:val="nil"/>
              <w:bottom w:val="nil"/>
              <w:right w:val="nil"/>
            </w:tcBorders>
            <w:vAlign w:val="bottom"/>
          </w:tcPr>
          <w:p w14:paraId="66D22AD5" w14:textId="0BBE848B" w:rsidR="004A57F3" w:rsidRPr="0013587B" w:rsidRDefault="00E72674"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000000</w:t>
            </w:r>
          </w:p>
        </w:tc>
        <w:tc>
          <w:tcPr>
            <w:tcW w:w="763" w:type="pct"/>
            <w:tcBorders>
              <w:top w:val="nil"/>
              <w:left w:val="nil"/>
              <w:bottom w:val="nil"/>
              <w:right w:val="nil"/>
            </w:tcBorders>
            <w:vAlign w:val="bottom"/>
          </w:tcPr>
          <w:p w14:paraId="27C20EF1" w14:textId="77777777" w:rsidR="004A57F3" w:rsidRPr="0013587B" w:rsidRDefault="004A57F3" w:rsidP="00276823">
            <w:pPr>
              <w:spacing w:line="240" w:lineRule="auto"/>
              <w:rPr>
                <w:rFonts w:ascii="Arial" w:hAnsi="Arial" w:cs="Arial"/>
                <w:sz w:val="20"/>
                <w:szCs w:val="20"/>
              </w:rPr>
            </w:pPr>
            <w:r w:rsidRPr="0013587B">
              <w:rPr>
                <w:rFonts w:ascii="Arial" w:hAnsi="Arial" w:cs="Arial"/>
                <w:sz w:val="20"/>
                <w:szCs w:val="20"/>
              </w:rPr>
              <w:t>0.0141</w:t>
            </w:r>
          </w:p>
        </w:tc>
      </w:tr>
      <w:tr w:rsidR="004A57F3" w:rsidRPr="0013587B" w14:paraId="2E79667D" w14:textId="77777777" w:rsidTr="00411093">
        <w:trPr>
          <w:trHeight w:hRule="exact" w:val="81"/>
        </w:trPr>
        <w:tc>
          <w:tcPr>
            <w:tcW w:w="1543" w:type="pct"/>
            <w:tcBorders>
              <w:top w:val="nil"/>
              <w:left w:val="nil"/>
              <w:bottom w:val="double" w:sz="6" w:space="2" w:color="auto"/>
              <w:right w:val="nil"/>
            </w:tcBorders>
            <w:vAlign w:val="bottom"/>
          </w:tcPr>
          <w:p w14:paraId="40CD635D"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2269B3AA"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4C1E422B"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3FDD5B6A"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2A08CBA6"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5B9902D5" w14:textId="77777777" w:rsidTr="00411093">
        <w:trPr>
          <w:trHeight w:hRule="exact" w:val="122"/>
        </w:trPr>
        <w:tc>
          <w:tcPr>
            <w:tcW w:w="1543" w:type="pct"/>
            <w:tcBorders>
              <w:top w:val="nil"/>
              <w:left w:val="nil"/>
              <w:bottom w:val="nil"/>
              <w:right w:val="nil"/>
            </w:tcBorders>
            <w:vAlign w:val="bottom"/>
          </w:tcPr>
          <w:p w14:paraId="025D9252"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5AC2FD26"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5767ED7"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DECB508"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6CE9ACD9"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78ABE133" w14:textId="77777777" w:rsidTr="00411093">
        <w:trPr>
          <w:trHeight w:val="204"/>
        </w:trPr>
        <w:tc>
          <w:tcPr>
            <w:tcW w:w="1543" w:type="pct"/>
            <w:tcBorders>
              <w:top w:val="nil"/>
              <w:left w:val="nil"/>
              <w:bottom w:val="nil"/>
              <w:right w:val="nil"/>
            </w:tcBorders>
            <w:vAlign w:val="bottom"/>
          </w:tcPr>
          <w:p w14:paraId="180E84EA"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000DCF31"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CD23789"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17A9471C"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419B119"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6491E67F" w14:textId="77777777" w:rsidTr="00411093">
        <w:trPr>
          <w:trHeight w:hRule="exact" w:val="81"/>
        </w:trPr>
        <w:tc>
          <w:tcPr>
            <w:tcW w:w="1543" w:type="pct"/>
            <w:tcBorders>
              <w:top w:val="nil"/>
              <w:left w:val="nil"/>
              <w:bottom w:val="double" w:sz="6" w:space="2" w:color="auto"/>
              <w:right w:val="nil"/>
            </w:tcBorders>
            <w:vAlign w:val="bottom"/>
          </w:tcPr>
          <w:p w14:paraId="74EB488D"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014B4023"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3EE83C62"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6E6141E2"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24296EF1"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587648AC" w14:textId="77777777" w:rsidTr="00411093">
        <w:trPr>
          <w:trHeight w:hRule="exact" w:val="122"/>
        </w:trPr>
        <w:tc>
          <w:tcPr>
            <w:tcW w:w="1543" w:type="pct"/>
            <w:tcBorders>
              <w:top w:val="nil"/>
              <w:left w:val="nil"/>
              <w:bottom w:val="nil"/>
              <w:right w:val="nil"/>
            </w:tcBorders>
            <w:vAlign w:val="bottom"/>
          </w:tcPr>
          <w:p w14:paraId="4C4472E6"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78F8B672"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787C2BE5"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EACF364"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C021F44"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3B53C0C8" w14:textId="77777777" w:rsidTr="00411093">
        <w:trPr>
          <w:trHeight w:val="204"/>
        </w:trPr>
        <w:tc>
          <w:tcPr>
            <w:tcW w:w="1543" w:type="pct"/>
            <w:tcBorders>
              <w:top w:val="nil"/>
              <w:left w:val="nil"/>
              <w:bottom w:val="nil"/>
              <w:right w:val="nil"/>
            </w:tcBorders>
            <w:vAlign w:val="bottom"/>
          </w:tcPr>
          <w:p w14:paraId="4CCEC793" w14:textId="1360A27F" w:rsidR="004A57F3" w:rsidRPr="0013587B" w:rsidRDefault="00A64AB7" w:rsidP="00276823">
            <w:pPr>
              <w:spacing w:line="240" w:lineRule="auto"/>
              <w:rPr>
                <w:rFonts w:ascii="Arial" w:hAnsi="Arial" w:cs="Arial"/>
                <w:sz w:val="20"/>
                <w:szCs w:val="20"/>
              </w:rPr>
            </w:pPr>
            <w:r w:rsidRPr="0013587B">
              <w:rPr>
                <w:rFonts w:ascii="Arial" w:hAnsi="Arial" w:cs="Arial"/>
                <w:sz w:val="20"/>
                <w:szCs w:val="20"/>
              </w:rPr>
              <w:t>Variable</w:t>
            </w:r>
          </w:p>
        </w:tc>
        <w:tc>
          <w:tcPr>
            <w:tcW w:w="844" w:type="pct"/>
            <w:tcBorders>
              <w:top w:val="nil"/>
              <w:left w:val="nil"/>
              <w:bottom w:val="nil"/>
              <w:right w:val="nil"/>
            </w:tcBorders>
            <w:vAlign w:val="bottom"/>
          </w:tcPr>
          <w:p w14:paraId="33CB2B1E" w14:textId="76D88B79" w:rsidR="004A57F3" w:rsidRPr="0013587B" w:rsidRDefault="00A64AB7" w:rsidP="00276823">
            <w:pPr>
              <w:spacing w:line="240" w:lineRule="auto"/>
              <w:rPr>
                <w:rFonts w:ascii="Arial" w:hAnsi="Arial" w:cs="Arial"/>
                <w:sz w:val="20"/>
                <w:szCs w:val="20"/>
              </w:rPr>
            </w:pPr>
            <w:r w:rsidRPr="0013587B">
              <w:rPr>
                <w:rFonts w:ascii="Arial" w:hAnsi="Arial" w:cs="Arial"/>
                <w:sz w:val="20"/>
                <w:szCs w:val="20"/>
              </w:rPr>
              <w:t>Coefficient</w:t>
            </w:r>
          </w:p>
        </w:tc>
        <w:tc>
          <w:tcPr>
            <w:tcW w:w="925" w:type="pct"/>
            <w:tcBorders>
              <w:top w:val="nil"/>
              <w:left w:val="nil"/>
              <w:bottom w:val="nil"/>
              <w:right w:val="nil"/>
            </w:tcBorders>
            <w:vAlign w:val="bottom"/>
          </w:tcPr>
          <w:p w14:paraId="1441FA23" w14:textId="57A2B4C4" w:rsidR="004A57F3" w:rsidRPr="0013587B" w:rsidRDefault="00A64AB7" w:rsidP="00276823">
            <w:pPr>
              <w:spacing w:line="240" w:lineRule="auto"/>
              <w:rPr>
                <w:rFonts w:ascii="Arial" w:hAnsi="Arial" w:cs="Arial"/>
                <w:sz w:val="20"/>
                <w:szCs w:val="20"/>
              </w:rPr>
            </w:pPr>
            <w:r w:rsidRPr="0013587B">
              <w:rPr>
                <w:rFonts w:ascii="Arial" w:hAnsi="Arial" w:cs="Arial"/>
                <w:sz w:val="20"/>
                <w:szCs w:val="20"/>
              </w:rPr>
              <w:t>Std. Error</w:t>
            </w:r>
          </w:p>
        </w:tc>
        <w:tc>
          <w:tcPr>
            <w:tcW w:w="925" w:type="pct"/>
            <w:tcBorders>
              <w:top w:val="nil"/>
              <w:left w:val="nil"/>
              <w:bottom w:val="nil"/>
              <w:right w:val="nil"/>
            </w:tcBorders>
            <w:vAlign w:val="bottom"/>
          </w:tcPr>
          <w:p w14:paraId="4225DB32" w14:textId="77FB911B" w:rsidR="004A57F3" w:rsidRPr="0013587B" w:rsidRDefault="00A64AB7" w:rsidP="00276823">
            <w:pPr>
              <w:spacing w:line="240" w:lineRule="auto"/>
              <w:rPr>
                <w:rFonts w:ascii="Arial" w:hAnsi="Arial" w:cs="Arial"/>
                <w:sz w:val="20"/>
                <w:szCs w:val="20"/>
              </w:rPr>
            </w:pPr>
            <w:r w:rsidRPr="0013587B">
              <w:rPr>
                <w:rFonts w:ascii="Arial" w:hAnsi="Arial" w:cs="Arial"/>
                <w:sz w:val="20"/>
                <w:szCs w:val="20"/>
              </w:rPr>
              <w:t>t-Statistic</w:t>
            </w:r>
          </w:p>
        </w:tc>
        <w:tc>
          <w:tcPr>
            <w:tcW w:w="763" w:type="pct"/>
            <w:tcBorders>
              <w:top w:val="nil"/>
              <w:left w:val="nil"/>
              <w:bottom w:val="nil"/>
              <w:right w:val="nil"/>
            </w:tcBorders>
            <w:vAlign w:val="bottom"/>
          </w:tcPr>
          <w:p w14:paraId="4156D5C5" w14:textId="703A268A" w:rsidR="004A57F3" w:rsidRPr="0013587B" w:rsidRDefault="00A64AB7" w:rsidP="00276823">
            <w:pPr>
              <w:spacing w:line="240" w:lineRule="auto"/>
              <w:rPr>
                <w:rFonts w:ascii="Arial" w:hAnsi="Arial" w:cs="Arial"/>
                <w:sz w:val="20"/>
                <w:szCs w:val="20"/>
              </w:rPr>
            </w:pPr>
            <w:r w:rsidRPr="0013587B">
              <w:rPr>
                <w:rFonts w:ascii="Arial" w:hAnsi="Arial" w:cs="Arial"/>
                <w:sz w:val="20"/>
                <w:szCs w:val="20"/>
              </w:rPr>
              <w:t xml:space="preserve">Prob.  </w:t>
            </w:r>
          </w:p>
        </w:tc>
      </w:tr>
      <w:tr w:rsidR="004A57F3" w:rsidRPr="0013587B" w14:paraId="2F0E5CF0" w14:textId="77777777" w:rsidTr="00411093">
        <w:trPr>
          <w:trHeight w:hRule="exact" w:val="81"/>
        </w:trPr>
        <w:tc>
          <w:tcPr>
            <w:tcW w:w="1543" w:type="pct"/>
            <w:tcBorders>
              <w:top w:val="nil"/>
              <w:left w:val="nil"/>
              <w:bottom w:val="double" w:sz="6" w:space="2" w:color="auto"/>
              <w:right w:val="nil"/>
            </w:tcBorders>
            <w:vAlign w:val="bottom"/>
          </w:tcPr>
          <w:p w14:paraId="171786CF"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7C9B77FB"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7356CEA4"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64427086"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63E3A3C3"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5F5081EE" w14:textId="77777777" w:rsidTr="00411093">
        <w:trPr>
          <w:trHeight w:hRule="exact" w:val="122"/>
        </w:trPr>
        <w:tc>
          <w:tcPr>
            <w:tcW w:w="1543" w:type="pct"/>
            <w:tcBorders>
              <w:top w:val="nil"/>
              <w:left w:val="nil"/>
              <w:bottom w:val="nil"/>
              <w:right w:val="nil"/>
            </w:tcBorders>
            <w:vAlign w:val="bottom"/>
          </w:tcPr>
          <w:p w14:paraId="551028A5"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67F42A64"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1D0B201D"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EDBAD95"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C9F1E0B"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08FE5412" w14:textId="77777777" w:rsidTr="00411093">
        <w:trPr>
          <w:trHeight w:val="204"/>
        </w:trPr>
        <w:tc>
          <w:tcPr>
            <w:tcW w:w="1543" w:type="pct"/>
            <w:tcBorders>
              <w:top w:val="nil"/>
              <w:left w:val="nil"/>
              <w:bottom w:val="nil"/>
              <w:right w:val="nil"/>
            </w:tcBorders>
            <w:vAlign w:val="bottom"/>
          </w:tcPr>
          <w:p w14:paraId="2E9583EB" w14:textId="65B46224" w:rsidR="004A57F3" w:rsidRPr="0013587B" w:rsidRDefault="0018390A" w:rsidP="00276823">
            <w:pPr>
              <w:spacing w:line="240" w:lineRule="auto"/>
              <w:rPr>
                <w:rFonts w:ascii="Arial" w:hAnsi="Arial" w:cs="Arial"/>
                <w:sz w:val="20"/>
                <w:szCs w:val="20"/>
              </w:rPr>
            </w:pPr>
            <w:r w:rsidRPr="0013587B">
              <w:rPr>
                <w:rFonts w:ascii="Arial" w:hAnsi="Arial" w:cs="Arial"/>
                <w:sz w:val="20"/>
                <w:szCs w:val="20"/>
              </w:rPr>
              <w:t>C</w:t>
            </w:r>
          </w:p>
        </w:tc>
        <w:tc>
          <w:tcPr>
            <w:tcW w:w="844" w:type="pct"/>
            <w:tcBorders>
              <w:top w:val="nil"/>
              <w:left w:val="nil"/>
              <w:bottom w:val="nil"/>
              <w:right w:val="nil"/>
            </w:tcBorders>
            <w:vAlign w:val="bottom"/>
          </w:tcPr>
          <w:p w14:paraId="38F29CE6" w14:textId="43B5BD5E" w:rsidR="004A57F3" w:rsidRPr="0013587B" w:rsidRDefault="00B16B79"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141965</w:t>
            </w:r>
          </w:p>
        </w:tc>
        <w:tc>
          <w:tcPr>
            <w:tcW w:w="925" w:type="pct"/>
            <w:tcBorders>
              <w:top w:val="nil"/>
              <w:left w:val="nil"/>
              <w:bottom w:val="nil"/>
              <w:right w:val="nil"/>
            </w:tcBorders>
            <w:vAlign w:val="bottom"/>
          </w:tcPr>
          <w:p w14:paraId="4E79E4D1" w14:textId="6BCD8E78" w:rsidR="004A57F3" w:rsidRPr="0013587B" w:rsidRDefault="0018390A"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106981</w:t>
            </w:r>
          </w:p>
        </w:tc>
        <w:tc>
          <w:tcPr>
            <w:tcW w:w="925" w:type="pct"/>
            <w:tcBorders>
              <w:top w:val="nil"/>
              <w:left w:val="nil"/>
              <w:bottom w:val="nil"/>
              <w:right w:val="nil"/>
            </w:tcBorders>
            <w:vAlign w:val="bottom"/>
          </w:tcPr>
          <w:p w14:paraId="354C07C8" w14:textId="02E74241" w:rsidR="004A57F3" w:rsidRPr="0013587B" w:rsidRDefault="0018390A" w:rsidP="00276823">
            <w:pPr>
              <w:spacing w:line="240" w:lineRule="auto"/>
              <w:rPr>
                <w:rFonts w:ascii="Arial" w:hAnsi="Arial" w:cs="Arial"/>
                <w:sz w:val="20"/>
                <w:szCs w:val="20"/>
              </w:rPr>
            </w:pPr>
            <w:r w:rsidRPr="0013587B">
              <w:rPr>
                <w:rFonts w:ascii="Arial" w:hAnsi="Arial" w:cs="Arial"/>
                <w:sz w:val="20"/>
                <w:szCs w:val="20"/>
              </w:rPr>
              <w:t>1.</w:t>
            </w:r>
            <w:r w:rsidR="004A57F3" w:rsidRPr="0013587B">
              <w:rPr>
                <w:rFonts w:ascii="Arial" w:hAnsi="Arial" w:cs="Arial"/>
                <w:sz w:val="20"/>
                <w:szCs w:val="20"/>
              </w:rPr>
              <w:t>327011</w:t>
            </w:r>
          </w:p>
        </w:tc>
        <w:tc>
          <w:tcPr>
            <w:tcW w:w="763" w:type="pct"/>
            <w:tcBorders>
              <w:top w:val="nil"/>
              <w:left w:val="nil"/>
              <w:bottom w:val="nil"/>
              <w:right w:val="nil"/>
            </w:tcBorders>
            <w:vAlign w:val="bottom"/>
          </w:tcPr>
          <w:p w14:paraId="40D3660A" w14:textId="751D03E7" w:rsidR="004A57F3" w:rsidRPr="0013587B" w:rsidRDefault="0018390A" w:rsidP="00276823">
            <w:pPr>
              <w:spacing w:line="240" w:lineRule="auto"/>
              <w:rPr>
                <w:rFonts w:ascii="Arial" w:hAnsi="Arial" w:cs="Arial"/>
                <w:sz w:val="20"/>
                <w:szCs w:val="20"/>
              </w:rPr>
            </w:pPr>
            <w:r w:rsidRPr="0013587B">
              <w:rPr>
                <w:rFonts w:ascii="Arial" w:hAnsi="Arial" w:cs="Arial"/>
                <w:sz w:val="20"/>
                <w:szCs w:val="20"/>
              </w:rPr>
              <w:t>0.0000</w:t>
            </w:r>
          </w:p>
        </w:tc>
      </w:tr>
      <w:tr w:rsidR="004A57F3" w:rsidRPr="0013587B" w14:paraId="4CDAC40D" w14:textId="77777777" w:rsidTr="00411093">
        <w:trPr>
          <w:trHeight w:val="204"/>
        </w:trPr>
        <w:tc>
          <w:tcPr>
            <w:tcW w:w="1543" w:type="pct"/>
            <w:tcBorders>
              <w:top w:val="nil"/>
              <w:left w:val="nil"/>
              <w:bottom w:val="nil"/>
              <w:right w:val="nil"/>
            </w:tcBorders>
            <w:vAlign w:val="bottom"/>
          </w:tcPr>
          <w:p w14:paraId="45610E3F"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SMD</w:t>
            </w:r>
          </w:p>
        </w:tc>
        <w:tc>
          <w:tcPr>
            <w:tcW w:w="844" w:type="pct"/>
            <w:tcBorders>
              <w:top w:val="nil"/>
              <w:left w:val="nil"/>
              <w:bottom w:val="nil"/>
              <w:right w:val="nil"/>
            </w:tcBorders>
            <w:vAlign w:val="bottom"/>
          </w:tcPr>
          <w:p w14:paraId="376C71E3" w14:textId="18683222" w:rsidR="004A57F3" w:rsidRPr="0013587B" w:rsidRDefault="00B16B79" w:rsidP="00276823">
            <w:pPr>
              <w:spacing w:line="240" w:lineRule="auto"/>
              <w:rPr>
                <w:rFonts w:ascii="Arial" w:hAnsi="Arial" w:cs="Arial"/>
                <w:sz w:val="20"/>
                <w:szCs w:val="20"/>
              </w:rPr>
            </w:pPr>
            <w:r w:rsidRPr="0013587B">
              <w:rPr>
                <w:rFonts w:ascii="Arial" w:hAnsi="Arial" w:cs="Arial"/>
                <w:sz w:val="20"/>
                <w:szCs w:val="20"/>
              </w:rPr>
              <w:t>-2.</w:t>
            </w:r>
            <w:r w:rsidR="004A57F3" w:rsidRPr="0013587B">
              <w:rPr>
                <w:rFonts w:ascii="Arial" w:hAnsi="Arial" w:cs="Arial"/>
                <w:sz w:val="20"/>
                <w:szCs w:val="20"/>
              </w:rPr>
              <w:t>68E-13</w:t>
            </w:r>
          </w:p>
        </w:tc>
        <w:tc>
          <w:tcPr>
            <w:tcW w:w="925" w:type="pct"/>
            <w:tcBorders>
              <w:top w:val="nil"/>
              <w:left w:val="nil"/>
              <w:bottom w:val="nil"/>
              <w:right w:val="nil"/>
            </w:tcBorders>
            <w:vAlign w:val="bottom"/>
          </w:tcPr>
          <w:p w14:paraId="5659D3A0"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7.17E-12</w:t>
            </w:r>
          </w:p>
        </w:tc>
        <w:tc>
          <w:tcPr>
            <w:tcW w:w="925" w:type="pct"/>
            <w:tcBorders>
              <w:top w:val="nil"/>
              <w:left w:val="nil"/>
              <w:bottom w:val="nil"/>
              <w:right w:val="nil"/>
            </w:tcBorders>
            <w:vAlign w:val="bottom"/>
          </w:tcPr>
          <w:p w14:paraId="4F1889E0"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-0.037334</w:t>
            </w:r>
          </w:p>
        </w:tc>
        <w:tc>
          <w:tcPr>
            <w:tcW w:w="763" w:type="pct"/>
            <w:tcBorders>
              <w:top w:val="nil"/>
              <w:left w:val="nil"/>
              <w:bottom w:val="nil"/>
              <w:right w:val="nil"/>
            </w:tcBorders>
            <w:vAlign w:val="bottom"/>
          </w:tcPr>
          <w:p w14:paraId="7B6E2DAA"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0.0270</w:t>
            </w:r>
          </w:p>
        </w:tc>
      </w:tr>
      <w:tr w:rsidR="004A57F3" w:rsidRPr="0013587B" w14:paraId="73DEC3EF" w14:textId="77777777" w:rsidTr="00411093">
        <w:trPr>
          <w:trHeight w:val="204"/>
        </w:trPr>
        <w:tc>
          <w:tcPr>
            <w:tcW w:w="1543" w:type="pct"/>
            <w:tcBorders>
              <w:top w:val="nil"/>
              <w:left w:val="nil"/>
              <w:bottom w:val="nil"/>
              <w:right w:val="nil"/>
            </w:tcBorders>
            <w:vAlign w:val="bottom"/>
          </w:tcPr>
          <w:p w14:paraId="7F9FF2C5"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RF</w:t>
            </w:r>
          </w:p>
        </w:tc>
        <w:tc>
          <w:tcPr>
            <w:tcW w:w="844" w:type="pct"/>
            <w:tcBorders>
              <w:top w:val="nil"/>
              <w:left w:val="nil"/>
              <w:bottom w:val="nil"/>
              <w:right w:val="nil"/>
            </w:tcBorders>
            <w:vAlign w:val="bottom"/>
          </w:tcPr>
          <w:p w14:paraId="36317DC8" w14:textId="0827FFCB" w:rsidR="004A57F3" w:rsidRPr="0013587B" w:rsidRDefault="00B16B79" w:rsidP="00276823">
            <w:pPr>
              <w:spacing w:line="240" w:lineRule="auto"/>
              <w:rPr>
                <w:rFonts w:ascii="Arial" w:hAnsi="Arial" w:cs="Arial"/>
                <w:sz w:val="20"/>
                <w:szCs w:val="20"/>
              </w:rPr>
            </w:pPr>
            <w:r w:rsidRPr="0013587B">
              <w:rPr>
                <w:rFonts w:ascii="Arial" w:hAnsi="Arial" w:cs="Arial"/>
                <w:sz w:val="20"/>
                <w:szCs w:val="20"/>
              </w:rPr>
              <w:t>1.3</w:t>
            </w:r>
            <w:r w:rsidR="004A57F3" w:rsidRPr="0013587B">
              <w:rPr>
                <w:rFonts w:ascii="Arial" w:hAnsi="Arial" w:cs="Arial"/>
                <w:sz w:val="20"/>
                <w:szCs w:val="20"/>
              </w:rPr>
              <w:t>2E-11</w:t>
            </w:r>
          </w:p>
        </w:tc>
        <w:tc>
          <w:tcPr>
            <w:tcW w:w="925" w:type="pct"/>
            <w:tcBorders>
              <w:top w:val="nil"/>
              <w:left w:val="nil"/>
              <w:bottom w:val="nil"/>
              <w:right w:val="nil"/>
            </w:tcBorders>
            <w:vAlign w:val="bottom"/>
          </w:tcPr>
          <w:p w14:paraId="23B33235"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2.20E-11</w:t>
            </w:r>
          </w:p>
        </w:tc>
        <w:tc>
          <w:tcPr>
            <w:tcW w:w="925" w:type="pct"/>
            <w:tcBorders>
              <w:top w:val="nil"/>
              <w:left w:val="nil"/>
              <w:bottom w:val="nil"/>
              <w:right w:val="nil"/>
            </w:tcBorders>
            <w:vAlign w:val="bottom"/>
          </w:tcPr>
          <w:p w14:paraId="2C99D8D9"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0.599360</w:t>
            </w:r>
          </w:p>
        </w:tc>
        <w:tc>
          <w:tcPr>
            <w:tcW w:w="763" w:type="pct"/>
            <w:tcBorders>
              <w:top w:val="nil"/>
              <w:left w:val="nil"/>
              <w:bottom w:val="nil"/>
              <w:right w:val="nil"/>
            </w:tcBorders>
            <w:vAlign w:val="bottom"/>
          </w:tcPr>
          <w:p w14:paraId="2520BC26"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0.0102</w:t>
            </w:r>
          </w:p>
        </w:tc>
      </w:tr>
      <w:tr w:rsidR="004A57F3" w:rsidRPr="0013587B" w14:paraId="31B414E8" w14:textId="77777777" w:rsidTr="00411093">
        <w:trPr>
          <w:trHeight w:hRule="exact" w:val="81"/>
        </w:trPr>
        <w:tc>
          <w:tcPr>
            <w:tcW w:w="1543" w:type="pct"/>
            <w:tcBorders>
              <w:top w:val="nil"/>
              <w:left w:val="nil"/>
              <w:bottom w:val="double" w:sz="6" w:space="2" w:color="auto"/>
              <w:right w:val="nil"/>
            </w:tcBorders>
            <w:vAlign w:val="bottom"/>
          </w:tcPr>
          <w:p w14:paraId="0A8F6513"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3A254685"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430F3422"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394FD1B2"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462C6F3B"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62C9C927" w14:textId="77777777" w:rsidTr="00411093">
        <w:trPr>
          <w:trHeight w:hRule="exact" w:val="122"/>
        </w:trPr>
        <w:tc>
          <w:tcPr>
            <w:tcW w:w="1543" w:type="pct"/>
            <w:tcBorders>
              <w:top w:val="nil"/>
              <w:left w:val="nil"/>
              <w:bottom w:val="nil"/>
              <w:right w:val="nil"/>
            </w:tcBorders>
            <w:vAlign w:val="bottom"/>
          </w:tcPr>
          <w:p w14:paraId="6492E664"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729D698F"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1BE78DFC"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1D3EB9EA"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0A6F16C9" w14:textId="77777777" w:rsidR="004A57F3" w:rsidRPr="0013587B" w:rsidRDefault="004A57F3" w:rsidP="00276823">
            <w:pPr>
              <w:spacing w:after="0" w:line="240" w:lineRule="auto"/>
              <w:jc w:val="both"/>
              <w:rPr>
                <w:rFonts w:ascii="Arial" w:hAnsi="Arial" w:cs="Arial"/>
                <w:sz w:val="20"/>
                <w:szCs w:val="20"/>
              </w:rPr>
            </w:pPr>
          </w:p>
        </w:tc>
      </w:tr>
    </w:tbl>
    <w:p w14:paraId="0158F9B5" w14:textId="628F922E" w:rsidR="00C911E7" w:rsidRPr="0013587B" w:rsidRDefault="00E573D4" w:rsidP="005E13CD">
      <w:pPr>
        <w:spacing w:after="0" w:line="240" w:lineRule="auto"/>
        <w:jc w:val="both"/>
        <w:rPr>
          <w:rFonts w:ascii="Arial" w:hAnsi="Arial" w:cs="Arial"/>
          <w:sz w:val="20"/>
          <w:szCs w:val="20"/>
        </w:rPr>
      </w:pPr>
      <w:r w:rsidRPr="0013587B">
        <w:rPr>
          <w:rFonts w:ascii="Arial" w:hAnsi="Arial" w:cs="Arial"/>
          <w:sz w:val="20"/>
          <w:szCs w:val="20"/>
        </w:rPr>
        <w:t xml:space="preserve">The coefficient for SMD (β = -2.68E-13) is negative and significant (p = 0.0270), suggesting an inverse relationship between stock market development and ROE. This result indicates that despite ongoing market development in Tanzania, firms are not yet efficiently leveraging market-based financing mechanisms for profitability growth. This aligns with the study by Kapingura and Alagidede (2021), which found that the benefits of stock market development in Sub-Saharan African countries are often delayed due to inefficiencies and limited investor confidence. For the regulatory framework (RF), the coefficient (β = 1.32E-11) is positively significant (p = 0.0102), indicating that effective regulatory systems are positively linked to improved firm performance. This result confirms the crucial role played by </w:t>
      </w:r>
      <w:r w:rsidRPr="0013587B">
        <w:rPr>
          <w:rFonts w:ascii="Arial" w:hAnsi="Arial" w:cs="Arial"/>
          <w:sz w:val="20"/>
          <w:szCs w:val="20"/>
        </w:rPr>
        <w:lastRenderedPageBreak/>
        <w:t xml:space="preserve">governance, legal frameworks, and enforcement mechanisms in building a robust investment climate that contributes to financial growth </w:t>
      </w:r>
      <w:r w:rsidRPr="00AE105C">
        <w:rPr>
          <w:rFonts w:ascii="Arial" w:hAnsi="Arial" w:cs="Arial"/>
          <w:sz w:val="20"/>
          <w:szCs w:val="20"/>
        </w:rPr>
        <w:t>(</w:t>
      </w:r>
      <w:r w:rsidR="00AE105C" w:rsidRPr="00AE105C">
        <w:rPr>
          <w:rFonts w:ascii="Arial" w:hAnsi="Arial" w:cs="Arial"/>
          <w:sz w:val="20"/>
          <w:szCs w:val="20"/>
        </w:rPr>
        <w:t>Iheonu</w:t>
      </w:r>
      <w:r w:rsidR="00AE105C">
        <w:rPr>
          <w:rFonts w:ascii="Arial" w:hAnsi="Arial" w:cs="Arial"/>
          <w:sz w:val="20"/>
          <w:szCs w:val="20"/>
        </w:rPr>
        <w:t xml:space="preserve"> et al.</w:t>
      </w:r>
      <w:r w:rsidR="00AE105C" w:rsidRPr="00AE105C">
        <w:rPr>
          <w:rFonts w:ascii="Arial" w:hAnsi="Arial" w:cs="Arial"/>
          <w:sz w:val="20"/>
          <w:szCs w:val="20"/>
        </w:rPr>
        <w:t>, 2020).</w:t>
      </w:r>
      <w:r w:rsidRPr="0013587B">
        <w:rPr>
          <w:rFonts w:ascii="Arial" w:hAnsi="Arial" w:cs="Arial"/>
          <w:sz w:val="20"/>
          <w:szCs w:val="20"/>
        </w:rPr>
        <w:t xml:space="preserve"> </w:t>
      </w:r>
    </w:p>
    <w:p w14:paraId="5FFCF68C" w14:textId="77777777" w:rsidR="0009173B" w:rsidRPr="006E5FF9" w:rsidRDefault="0009173B" w:rsidP="005E13CD">
      <w:pPr>
        <w:spacing w:after="0" w:line="240" w:lineRule="auto"/>
        <w:jc w:val="both"/>
        <w:rPr>
          <w:rFonts w:ascii="Arial" w:hAnsi="Arial" w:cs="Arial"/>
          <w:sz w:val="24"/>
          <w:szCs w:val="24"/>
        </w:rPr>
      </w:pPr>
    </w:p>
    <w:p w14:paraId="068B4309" w14:textId="35FEA41F" w:rsidR="0009173B" w:rsidRPr="0013587B" w:rsidRDefault="00E573D4" w:rsidP="005E13CD">
      <w:pPr>
        <w:spacing w:after="0" w:line="240" w:lineRule="auto"/>
        <w:jc w:val="both"/>
        <w:rPr>
          <w:rFonts w:ascii="Arial" w:hAnsi="Arial" w:cs="Arial"/>
          <w:b/>
        </w:rPr>
      </w:pPr>
      <w:r w:rsidRPr="0013587B">
        <w:rPr>
          <w:rFonts w:ascii="Arial" w:hAnsi="Arial" w:cs="Arial"/>
          <w:b/>
        </w:rPr>
        <w:t>5. Conclusion</w:t>
      </w:r>
    </w:p>
    <w:p w14:paraId="0F991DF8" w14:textId="6F4C798A" w:rsidR="008E3793" w:rsidRDefault="00A16A86" w:rsidP="005E13CD">
      <w:pPr>
        <w:spacing w:after="0" w:line="240" w:lineRule="auto"/>
        <w:jc w:val="both"/>
        <w:rPr>
          <w:rFonts w:ascii="Arial" w:hAnsi="Arial" w:cs="Arial"/>
          <w:sz w:val="20"/>
          <w:szCs w:val="20"/>
        </w:rPr>
      </w:pPr>
      <w:r w:rsidRPr="0013587B">
        <w:rPr>
          <w:rFonts w:ascii="Arial" w:hAnsi="Arial" w:cs="Arial"/>
          <w:sz w:val="20"/>
          <w:szCs w:val="20"/>
        </w:rPr>
        <w:t>Study examined</w:t>
      </w:r>
      <w:r w:rsidR="002C5E5E" w:rsidRPr="0013587B">
        <w:rPr>
          <w:rFonts w:ascii="Arial" w:hAnsi="Arial" w:cs="Arial"/>
          <w:sz w:val="20"/>
          <w:szCs w:val="20"/>
        </w:rPr>
        <w:t xml:space="preserve"> the determinants of stock market financial performance in Tanzania in a case of 28 listed firms’ panel data.</w:t>
      </w:r>
      <w:r w:rsidRPr="0013587B">
        <w:rPr>
          <w:rFonts w:ascii="Arial" w:hAnsi="Arial" w:cs="Arial"/>
          <w:sz w:val="20"/>
          <w:szCs w:val="20"/>
        </w:rPr>
        <w:t xml:space="preserve"> The findings of the study reveal that both the regulatory framework (RF) and stock market development (SMD) have significant effects on the performance of firms in Tanzania. The results from the fixed effect model indicate that improvements in the regulatory framework have a negative but significant impact on firm performance, suggesting that excessive and rigid regulations hinder market efficiency. Conversely, stock market development demonstrates a positive and significant influence, implying that a well-developed stock market enhances firm performance by improving access to capital, investor confidence, and liquidity.</w:t>
      </w:r>
      <w:r w:rsidR="000B5059">
        <w:rPr>
          <w:rFonts w:ascii="Arial" w:hAnsi="Arial" w:cs="Arial"/>
          <w:sz w:val="20"/>
          <w:szCs w:val="20"/>
        </w:rPr>
        <w:t xml:space="preserve"> Therefore, </w:t>
      </w:r>
      <w:r w:rsidR="002902E1">
        <w:rPr>
          <w:rFonts w:ascii="Arial" w:hAnsi="Arial" w:cs="Arial"/>
          <w:sz w:val="20"/>
          <w:szCs w:val="20"/>
        </w:rPr>
        <w:t>paper</w:t>
      </w:r>
      <w:r w:rsidR="000B5059">
        <w:rPr>
          <w:rFonts w:ascii="Arial" w:hAnsi="Arial" w:cs="Arial"/>
          <w:sz w:val="20"/>
          <w:szCs w:val="20"/>
        </w:rPr>
        <w:t xml:space="preserve"> </w:t>
      </w:r>
      <w:r w:rsidR="000B5059" w:rsidRPr="000B5059">
        <w:rPr>
          <w:rFonts w:ascii="Arial" w:hAnsi="Arial" w:cs="Arial"/>
          <w:sz w:val="20"/>
          <w:szCs w:val="20"/>
        </w:rPr>
        <w:t xml:space="preserve">recommended </w:t>
      </w:r>
      <w:r w:rsidR="000B5059">
        <w:rPr>
          <w:rFonts w:ascii="Arial" w:hAnsi="Arial" w:cs="Arial"/>
          <w:sz w:val="20"/>
          <w:szCs w:val="20"/>
        </w:rPr>
        <w:t>to</w:t>
      </w:r>
      <w:r w:rsidR="000B5059" w:rsidRPr="000B5059">
        <w:rPr>
          <w:rFonts w:ascii="Arial" w:hAnsi="Arial" w:cs="Arial"/>
          <w:sz w:val="20"/>
          <w:szCs w:val="20"/>
        </w:rPr>
        <w:t xml:space="preserve"> policymakers and regulatory authorities strik</w:t>
      </w:r>
      <w:r w:rsidR="000B5059">
        <w:rPr>
          <w:rFonts w:ascii="Arial" w:hAnsi="Arial" w:cs="Arial"/>
          <w:sz w:val="20"/>
          <w:szCs w:val="20"/>
        </w:rPr>
        <w:t>ing</w:t>
      </w:r>
      <w:r w:rsidR="000B5059" w:rsidRPr="000B5059">
        <w:rPr>
          <w:rFonts w:ascii="Arial" w:hAnsi="Arial" w:cs="Arial"/>
          <w:sz w:val="20"/>
          <w:szCs w:val="20"/>
        </w:rPr>
        <w:t xml:space="preserve"> a balance between maintaining effective regulations and ensuring flexi</w:t>
      </w:r>
      <w:r w:rsidR="000B5059">
        <w:rPr>
          <w:rFonts w:ascii="Arial" w:hAnsi="Arial" w:cs="Arial"/>
          <w:sz w:val="20"/>
          <w:szCs w:val="20"/>
        </w:rPr>
        <w:t>bility to promote market growth since s</w:t>
      </w:r>
      <w:r w:rsidR="000B5059" w:rsidRPr="000B5059">
        <w:rPr>
          <w:rFonts w:ascii="Arial" w:hAnsi="Arial" w:cs="Arial"/>
          <w:sz w:val="20"/>
          <w:szCs w:val="20"/>
        </w:rPr>
        <w:t>implifying compliance procedures and ensuring transparency help firms operate more efficiently. Additionally, efforts should be made to enhance stock market infrastructure, broaden financial literacy, and encourage more listings and investor participation.</w:t>
      </w:r>
    </w:p>
    <w:p w14:paraId="6E6DFDD4" w14:textId="77777777" w:rsidR="00F44669" w:rsidRDefault="00F44669" w:rsidP="005E13CD">
      <w:pPr>
        <w:spacing w:after="0" w:line="240" w:lineRule="auto"/>
        <w:jc w:val="both"/>
        <w:rPr>
          <w:rFonts w:ascii="Arial" w:hAnsi="Arial" w:cs="Arial"/>
          <w:sz w:val="20"/>
          <w:szCs w:val="20"/>
        </w:rPr>
      </w:pPr>
    </w:p>
    <w:p w14:paraId="6A0AC9F5" w14:textId="001F7C01" w:rsidR="000B5059" w:rsidRDefault="000B5059" w:rsidP="005E13CD">
      <w:pPr>
        <w:spacing w:after="0" w:line="240" w:lineRule="auto"/>
        <w:jc w:val="both"/>
        <w:rPr>
          <w:rFonts w:ascii="Arial" w:hAnsi="Arial" w:cs="Arial"/>
          <w:sz w:val="20"/>
          <w:szCs w:val="20"/>
        </w:rPr>
      </w:pPr>
      <w:r w:rsidRPr="000B5059">
        <w:rPr>
          <w:rFonts w:ascii="Arial" w:hAnsi="Arial" w:cs="Arial"/>
          <w:sz w:val="20"/>
          <w:szCs w:val="20"/>
        </w:rPr>
        <w:t xml:space="preserve"> </w:t>
      </w:r>
    </w:p>
    <w:p w14:paraId="5748E2A8" w14:textId="30CE2C3D" w:rsidR="008E3793" w:rsidRPr="008E3793" w:rsidRDefault="008E3793" w:rsidP="005E13CD">
      <w:pPr>
        <w:spacing w:after="0" w:line="240" w:lineRule="auto"/>
        <w:jc w:val="both"/>
        <w:rPr>
          <w:rFonts w:ascii="Arial" w:hAnsi="Arial" w:cs="Arial"/>
          <w:b/>
        </w:rPr>
      </w:pPr>
      <w:r w:rsidRPr="008E3793">
        <w:rPr>
          <w:rFonts w:ascii="Arial" w:hAnsi="Arial" w:cs="Arial"/>
          <w:b/>
        </w:rPr>
        <w:t>6. Limitations and Further Recommendation of Future Study</w:t>
      </w:r>
    </w:p>
    <w:p w14:paraId="5CF8513C" w14:textId="18092C82" w:rsidR="008E3793" w:rsidRDefault="008E3793" w:rsidP="005E13CD">
      <w:pPr>
        <w:spacing w:after="0" w:line="240" w:lineRule="auto"/>
        <w:jc w:val="both"/>
        <w:rPr>
          <w:rFonts w:ascii="Arial" w:hAnsi="Arial" w:cs="Arial"/>
          <w:sz w:val="20"/>
          <w:szCs w:val="20"/>
        </w:rPr>
      </w:pPr>
      <w:r w:rsidRPr="008E3793">
        <w:rPr>
          <w:rFonts w:ascii="Arial" w:hAnsi="Arial" w:cs="Arial"/>
          <w:sz w:val="20"/>
          <w:szCs w:val="20"/>
        </w:rPr>
        <w:t>One of key methodological constraints is on the study relied on alternative panel regression models, namely, fixed and random effects models, which are limited on their capacity to capture long-run equilibrium relationships and do not account for the dynamic interdependencies that panel cointegration and ARDL models are designed to address. Secondly, the research focused solely on listed companies on DSE and excluding non-listed firms. Moreover, the study used financial performance indicators known as ROE since it is main trading component of DSE without including return on investment. Future studies are therefore encouraged to address the existing limitation by employing larger and more balanced panel datasets, which would allow for the effective application of panel cointegration and ARDL methodologies for examining long-run relationships of variables and understand dynamic interactions over time. Additionally, future research should incorporate listed companies of DSE on Tanzania without excluding non-listed firms. Lastly, Future research should incorporate the several financial performance indicators like return on investment.</w:t>
      </w:r>
    </w:p>
    <w:p w14:paraId="210CA646" w14:textId="77777777" w:rsidR="00CD3CEA" w:rsidRPr="00740879" w:rsidRDefault="00CD3CEA" w:rsidP="00CD3CEA">
      <w:pPr>
        <w:rPr>
          <w:highlight w:val="yellow"/>
        </w:rPr>
      </w:pPr>
      <w:r w:rsidRPr="00740879">
        <w:rPr>
          <w:highlight w:val="yellow"/>
        </w:rPr>
        <w:t>Disclaimer (Artificial intelligence)</w:t>
      </w:r>
    </w:p>
    <w:p w14:paraId="7D539A8D" w14:textId="77777777" w:rsidR="00CD3CEA" w:rsidRPr="00740879" w:rsidRDefault="00CD3CEA" w:rsidP="00CD3CEA">
      <w:pPr>
        <w:rPr>
          <w:highlight w:val="yellow"/>
        </w:rPr>
      </w:pPr>
      <w:r w:rsidRPr="00740879">
        <w:rPr>
          <w:highlight w:val="yellow"/>
        </w:rPr>
        <w:t xml:space="preserve">Option 1: </w:t>
      </w:r>
    </w:p>
    <w:p w14:paraId="0B5D0C3C" w14:textId="77777777" w:rsidR="00CD3CEA" w:rsidRPr="00740879" w:rsidRDefault="00CD3CEA" w:rsidP="00CD3CE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BAB1AC3" w14:textId="77777777" w:rsidR="00CD3CEA" w:rsidRPr="00740879" w:rsidRDefault="00CD3CEA" w:rsidP="00CD3CEA">
      <w:pPr>
        <w:rPr>
          <w:highlight w:val="yellow"/>
        </w:rPr>
      </w:pPr>
      <w:r w:rsidRPr="00740879">
        <w:rPr>
          <w:highlight w:val="yellow"/>
        </w:rPr>
        <w:t xml:space="preserve">Option 2: </w:t>
      </w:r>
    </w:p>
    <w:p w14:paraId="3E2E70D3" w14:textId="77777777" w:rsidR="00CD3CEA" w:rsidRPr="00740879" w:rsidRDefault="00CD3CEA" w:rsidP="00CD3CE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AB1B28" w14:textId="77777777" w:rsidR="00CD3CEA" w:rsidRPr="00740879" w:rsidRDefault="00CD3CEA" w:rsidP="00CD3CEA">
      <w:pPr>
        <w:rPr>
          <w:highlight w:val="yellow"/>
        </w:rPr>
      </w:pPr>
      <w:r w:rsidRPr="00740879">
        <w:rPr>
          <w:highlight w:val="yellow"/>
        </w:rPr>
        <w:t>Details of the AI usage are given below:</w:t>
      </w:r>
    </w:p>
    <w:p w14:paraId="2A61F7CB" w14:textId="49BE27E5" w:rsidR="00BD0FFD" w:rsidRPr="00BD0FFD" w:rsidRDefault="00CD3CEA" w:rsidP="00BD0FFD">
      <w:pPr>
        <w:rPr>
          <w:highlight w:val="yellow"/>
        </w:rPr>
      </w:pPr>
      <w:r w:rsidRPr="00740879">
        <w:rPr>
          <w:highlight w:val="yellow"/>
        </w:rPr>
        <w:t>1.</w:t>
      </w:r>
      <w:r w:rsidR="00BD0FFD" w:rsidRPr="00BD0FFD">
        <w:rPr>
          <w:highlight w:val="yellow"/>
        </w:rPr>
        <w:t xml:space="preserve"> Option 1: </w:t>
      </w:r>
    </w:p>
    <w:p w14:paraId="0B6C0310" w14:textId="77777777" w:rsidR="00BD0FFD" w:rsidRPr="00BD0FFD" w:rsidRDefault="00BD0FFD" w:rsidP="00BD0FFD">
      <w:pPr>
        <w:rPr>
          <w:highlight w:val="yellow"/>
        </w:rPr>
      </w:pPr>
      <w:r w:rsidRPr="00BD0FFD">
        <w:rPr>
          <w:highlight w:val="yellow"/>
        </w:rPr>
        <w:t xml:space="preserve">Author(s) hereby declare that NO generative AI technologies such as Large Language Models (ChatGPT, COPILOT, etc.) and text-to-image generators have been used during the writing or editing of this manuscript. </w:t>
      </w:r>
    </w:p>
    <w:p w14:paraId="7E28BD43" w14:textId="77777777" w:rsidR="00CD3CEA" w:rsidRPr="00740879" w:rsidRDefault="00CD3CEA" w:rsidP="00CD3CEA">
      <w:pPr>
        <w:rPr>
          <w:highlight w:val="yellow"/>
        </w:rPr>
      </w:pPr>
      <w:r w:rsidRPr="00740879">
        <w:rPr>
          <w:highlight w:val="yellow"/>
        </w:rPr>
        <w:lastRenderedPageBreak/>
        <w:t>2.</w:t>
      </w:r>
    </w:p>
    <w:p w14:paraId="7BF1B1F7" w14:textId="77777777" w:rsidR="00CD3CEA" w:rsidRPr="00D047BB" w:rsidRDefault="00CD3CEA" w:rsidP="00CD3CEA">
      <w:r w:rsidRPr="00740879">
        <w:rPr>
          <w:highlight w:val="yellow"/>
        </w:rPr>
        <w:t>3.</w:t>
      </w:r>
    </w:p>
    <w:p w14:paraId="254CAC3A" w14:textId="77777777" w:rsidR="00CD3CEA" w:rsidRPr="0013587B" w:rsidRDefault="00CD3CEA" w:rsidP="005E13CD">
      <w:pPr>
        <w:spacing w:after="0" w:line="240" w:lineRule="auto"/>
        <w:jc w:val="both"/>
        <w:rPr>
          <w:rFonts w:ascii="Arial" w:hAnsi="Arial" w:cs="Arial"/>
          <w:sz w:val="20"/>
          <w:szCs w:val="20"/>
        </w:rPr>
      </w:pPr>
    </w:p>
    <w:p w14:paraId="434624FB" w14:textId="6140D07F" w:rsidR="00E56F63" w:rsidRPr="0013587B" w:rsidRDefault="000940CF" w:rsidP="000940CF">
      <w:pPr>
        <w:rPr>
          <w:rFonts w:ascii="Arial" w:hAnsi="Arial" w:cs="Arial"/>
          <w:b/>
        </w:rPr>
      </w:pPr>
      <w:bookmarkStart w:id="19" w:name="_Toc207714097"/>
      <w:bookmarkStart w:id="20" w:name="_Toc208584859"/>
      <w:r w:rsidRPr="0013587B">
        <w:rPr>
          <w:rFonts w:ascii="Arial" w:hAnsi="Arial" w:cs="Arial"/>
          <w:b/>
        </w:rPr>
        <w:t>References</w:t>
      </w:r>
      <w:bookmarkEnd w:id="19"/>
      <w:bookmarkEnd w:id="20"/>
    </w:p>
    <w:p w14:paraId="274ED852" w14:textId="77777777" w:rsidR="00292A40" w:rsidRPr="0013587B" w:rsidRDefault="00292A40" w:rsidP="005E13CD">
      <w:pPr>
        <w:spacing w:after="0" w:line="240" w:lineRule="auto"/>
        <w:ind w:left="720" w:hanging="720"/>
        <w:jc w:val="both"/>
        <w:rPr>
          <w:rFonts w:ascii="Arial" w:hAnsi="Arial" w:cs="Arial"/>
          <w:sz w:val="20"/>
          <w:szCs w:val="20"/>
        </w:rPr>
      </w:pPr>
      <w:bookmarkStart w:id="21" w:name="_GoBack"/>
      <w:r w:rsidRPr="0013587B">
        <w:rPr>
          <w:rFonts w:ascii="Arial" w:hAnsi="Arial" w:cs="Arial"/>
          <w:sz w:val="20"/>
          <w:szCs w:val="20"/>
        </w:rPr>
        <w:t>Abbood, A. D., Hasan, A. A., &amp; Bara’a, A. A. (2021). Pearson coefficient matrix for studying the correlation of community detection scores in multi-objective evolutionary algorithm. </w:t>
      </w:r>
      <w:r w:rsidRPr="0013587B">
        <w:rPr>
          <w:rFonts w:ascii="Arial" w:hAnsi="Arial" w:cs="Arial"/>
          <w:i/>
          <w:iCs/>
          <w:sz w:val="20"/>
          <w:szCs w:val="20"/>
        </w:rPr>
        <w:t>Periodicals of Engineering and Natural Sciences (PEN)</w:t>
      </w:r>
      <w:r w:rsidRPr="0013587B">
        <w:rPr>
          <w:rFonts w:ascii="Arial" w:hAnsi="Arial" w:cs="Arial"/>
          <w:sz w:val="20"/>
          <w:szCs w:val="20"/>
        </w:rPr>
        <w:t>, </w:t>
      </w:r>
      <w:r w:rsidRPr="0013587B">
        <w:rPr>
          <w:rFonts w:ascii="Arial" w:hAnsi="Arial" w:cs="Arial"/>
          <w:i/>
          <w:iCs/>
          <w:sz w:val="20"/>
          <w:szCs w:val="20"/>
        </w:rPr>
        <w:t>9</w:t>
      </w:r>
      <w:r w:rsidRPr="0013587B">
        <w:rPr>
          <w:rFonts w:ascii="Arial" w:hAnsi="Arial" w:cs="Arial"/>
          <w:sz w:val="20"/>
          <w:szCs w:val="20"/>
        </w:rPr>
        <w:t>(3), 796-807.</w:t>
      </w:r>
    </w:p>
    <w:p w14:paraId="16CD9A48"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Al-Hiyari, A., &amp; Kolsi, M. C. (2024). How do stock market participants value ESG performance? Evidence from Middle Eastern and North African Countries. </w:t>
      </w:r>
      <w:r w:rsidRPr="0013587B">
        <w:rPr>
          <w:rFonts w:ascii="Arial" w:hAnsi="Arial" w:cs="Arial"/>
          <w:i/>
          <w:iCs/>
          <w:sz w:val="20"/>
          <w:szCs w:val="20"/>
        </w:rPr>
        <w:t>Global Business Review</w:t>
      </w:r>
      <w:r w:rsidRPr="0013587B">
        <w:rPr>
          <w:rFonts w:ascii="Arial" w:hAnsi="Arial" w:cs="Arial"/>
          <w:sz w:val="20"/>
          <w:szCs w:val="20"/>
        </w:rPr>
        <w:t>, </w:t>
      </w:r>
      <w:r w:rsidRPr="0013587B">
        <w:rPr>
          <w:rFonts w:ascii="Arial" w:hAnsi="Arial" w:cs="Arial"/>
          <w:i/>
          <w:iCs/>
          <w:sz w:val="20"/>
          <w:szCs w:val="20"/>
        </w:rPr>
        <w:t>25</w:t>
      </w:r>
      <w:r w:rsidRPr="0013587B">
        <w:rPr>
          <w:rFonts w:ascii="Arial" w:hAnsi="Arial" w:cs="Arial"/>
          <w:sz w:val="20"/>
          <w:szCs w:val="20"/>
        </w:rPr>
        <w:t>(4), 934-956.</w:t>
      </w:r>
    </w:p>
    <w:p w14:paraId="68A4837C"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Alobaid, R. O. H., Qasem, A., &amp; Al-Qadasi, A. A. (2024). Corporate social responsibility, ownership structure, and firm investment efficiency: Evidence from the Saudi stock market. </w:t>
      </w:r>
      <w:r w:rsidRPr="0013587B">
        <w:rPr>
          <w:rFonts w:ascii="Arial" w:hAnsi="Arial" w:cs="Arial"/>
          <w:i/>
          <w:iCs/>
          <w:sz w:val="20"/>
          <w:szCs w:val="20"/>
        </w:rPr>
        <w:t>Sustainability</w:t>
      </w:r>
      <w:r w:rsidRPr="0013587B">
        <w:rPr>
          <w:rFonts w:ascii="Arial" w:hAnsi="Arial" w:cs="Arial"/>
          <w:sz w:val="20"/>
          <w:szCs w:val="20"/>
        </w:rPr>
        <w:t>, </w:t>
      </w:r>
      <w:r w:rsidRPr="0013587B">
        <w:rPr>
          <w:rFonts w:ascii="Arial" w:hAnsi="Arial" w:cs="Arial"/>
          <w:i/>
          <w:iCs/>
          <w:sz w:val="20"/>
          <w:szCs w:val="20"/>
        </w:rPr>
        <w:t>16</w:t>
      </w:r>
      <w:r w:rsidRPr="0013587B">
        <w:rPr>
          <w:rFonts w:ascii="Arial" w:hAnsi="Arial" w:cs="Arial"/>
          <w:sz w:val="20"/>
          <w:szCs w:val="20"/>
        </w:rPr>
        <w:t>(15), 6584.</w:t>
      </w:r>
    </w:p>
    <w:p w14:paraId="0A552941" w14:textId="77777777" w:rsidR="00292A40" w:rsidRPr="0013587B" w:rsidRDefault="00292A40" w:rsidP="007D052F">
      <w:pPr>
        <w:spacing w:after="0" w:line="240" w:lineRule="auto"/>
        <w:ind w:left="720" w:hanging="720"/>
        <w:jc w:val="both"/>
        <w:rPr>
          <w:rFonts w:ascii="Arial" w:hAnsi="Arial" w:cs="Arial"/>
          <w:b/>
          <w:bCs/>
          <w:sz w:val="20"/>
          <w:szCs w:val="20"/>
          <w:u w:val="single"/>
        </w:rPr>
      </w:pPr>
      <w:r w:rsidRPr="0013587B">
        <w:rPr>
          <w:rFonts w:ascii="Arial" w:hAnsi="Arial" w:cs="Arial"/>
          <w:sz w:val="20"/>
          <w:szCs w:val="20"/>
        </w:rPr>
        <w:t>Álvarez-Otero, S. (2022).A European Empirical Study of Institutional Differences in IPOs Anomalies. </w:t>
      </w:r>
      <w:r w:rsidRPr="0013587B">
        <w:rPr>
          <w:rFonts w:ascii="Arial" w:hAnsi="Arial" w:cs="Arial"/>
          <w:i/>
          <w:iCs/>
          <w:sz w:val="20"/>
          <w:szCs w:val="20"/>
        </w:rPr>
        <w:t>Journal of Risk and Financial Management</w:t>
      </w:r>
      <w:r w:rsidRPr="0013587B">
        <w:rPr>
          <w:rFonts w:ascii="Arial" w:hAnsi="Arial" w:cs="Arial"/>
          <w:sz w:val="20"/>
          <w:szCs w:val="20"/>
        </w:rPr>
        <w:t>, </w:t>
      </w:r>
      <w:r w:rsidRPr="0013587B">
        <w:rPr>
          <w:rFonts w:ascii="Arial" w:hAnsi="Arial" w:cs="Arial"/>
          <w:i/>
          <w:iCs/>
          <w:sz w:val="20"/>
          <w:szCs w:val="20"/>
        </w:rPr>
        <w:t>16</w:t>
      </w:r>
      <w:r w:rsidRPr="0013587B">
        <w:rPr>
          <w:rFonts w:ascii="Arial" w:hAnsi="Arial" w:cs="Arial"/>
          <w:sz w:val="20"/>
          <w:szCs w:val="20"/>
        </w:rPr>
        <w:t>(1), DOI:</w:t>
      </w:r>
      <w:hyperlink r:id="rId8" w:tgtFrame="https://www.researchgate.net/publication/_blank" w:history="1">
        <w:r w:rsidRPr="0013587B">
          <w:rPr>
            <w:rStyle w:val="Hyperlink"/>
            <w:rFonts w:ascii="Arial" w:hAnsi="Arial" w:cs="Arial"/>
            <w:color w:val="auto"/>
            <w:sz w:val="20"/>
            <w:szCs w:val="20"/>
          </w:rPr>
          <w:t>10.3390/jrfm16010008</w:t>
        </w:r>
      </w:hyperlink>
    </w:p>
    <w:p w14:paraId="001C6A19" w14:textId="77777777" w:rsidR="00292A40" w:rsidRPr="00963D58" w:rsidRDefault="00292A40" w:rsidP="00963D58">
      <w:pPr>
        <w:spacing w:after="0" w:line="240" w:lineRule="auto"/>
        <w:ind w:left="720" w:hanging="720"/>
        <w:jc w:val="both"/>
        <w:rPr>
          <w:rFonts w:ascii="Arial" w:hAnsi="Arial" w:cs="Arial"/>
          <w:sz w:val="20"/>
          <w:szCs w:val="20"/>
        </w:rPr>
      </w:pPr>
      <w:r w:rsidRPr="00963D58">
        <w:rPr>
          <w:rFonts w:ascii="Arial" w:hAnsi="Arial" w:cs="Arial"/>
          <w:sz w:val="20"/>
          <w:szCs w:val="20"/>
        </w:rPr>
        <w:t xml:space="preserve">Asongu, S. A., Adegboye, A., &amp; Nnanna, J. (2020). </w:t>
      </w:r>
      <w:r w:rsidRPr="00963D58">
        <w:rPr>
          <w:rFonts w:ascii="Arial" w:hAnsi="Arial" w:cs="Arial"/>
          <w:i/>
          <w:iCs/>
          <w:sz w:val="20"/>
          <w:szCs w:val="20"/>
        </w:rPr>
        <w:t>Promoting female economic inclusion for tax performance in Sub-Saharan Africa.</w:t>
      </w:r>
      <w:r w:rsidRPr="00963D58">
        <w:rPr>
          <w:rFonts w:ascii="Arial" w:hAnsi="Arial" w:cs="Arial"/>
          <w:sz w:val="20"/>
          <w:szCs w:val="20"/>
        </w:rPr>
        <w:t xml:space="preserve"> Working Paper. </w:t>
      </w:r>
    </w:p>
    <w:p w14:paraId="5D1EFF7F"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 xml:space="preserve">Azeez, B. A., &amp; Obalade, A. A. (2018). Macroeconomic determinants of stock market development in Nigeria: (1981-2017). Acta </w:t>
      </w:r>
      <w:r w:rsidRPr="0013587B">
        <w:rPr>
          <w:rFonts w:ascii="Arial" w:hAnsi="Arial" w:cs="Arial"/>
          <w:i/>
          <w:iCs/>
          <w:sz w:val="20"/>
          <w:szCs w:val="20"/>
        </w:rPr>
        <w:t>UniversitatisDanubius.Œconomica</w:t>
      </w:r>
      <w:r w:rsidRPr="0013587B">
        <w:rPr>
          <w:rFonts w:ascii="Arial" w:hAnsi="Arial" w:cs="Arial"/>
          <w:sz w:val="20"/>
          <w:szCs w:val="20"/>
        </w:rPr>
        <w:t>, </w:t>
      </w:r>
      <w:r w:rsidRPr="0013587B">
        <w:rPr>
          <w:rFonts w:ascii="Arial" w:hAnsi="Arial" w:cs="Arial"/>
          <w:i/>
          <w:iCs/>
          <w:sz w:val="20"/>
          <w:szCs w:val="20"/>
        </w:rPr>
        <w:t>15</w:t>
      </w:r>
      <w:r w:rsidRPr="0013587B">
        <w:rPr>
          <w:rFonts w:ascii="Arial" w:hAnsi="Arial" w:cs="Arial"/>
          <w:sz w:val="20"/>
          <w:szCs w:val="20"/>
        </w:rPr>
        <w:t>(1).</w:t>
      </w:r>
    </w:p>
    <w:p w14:paraId="093C90BF"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Bai, M., Zhang, D., &amp; Yang, J. (2025). Total Factor Productivity (TFP) and Financial Markets. </w:t>
      </w:r>
      <w:r w:rsidRPr="0013587B">
        <w:rPr>
          <w:rFonts w:ascii="Arial" w:hAnsi="Arial" w:cs="Arial"/>
          <w:i/>
          <w:iCs/>
          <w:sz w:val="20"/>
          <w:szCs w:val="20"/>
        </w:rPr>
        <w:t>American Business Review</w:t>
      </w:r>
      <w:r w:rsidRPr="0013587B">
        <w:rPr>
          <w:rFonts w:ascii="Arial" w:hAnsi="Arial" w:cs="Arial"/>
          <w:sz w:val="20"/>
          <w:szCs w:val="20"/>
        </w:rPr>
        <w:t>, </w:t>
      </w:r>
      <w:r w:rsidRPr="0013587B">
        <w:rPr>
          <w:rFonts w:ascii="Arial" w:hAnsi="Arial" w:cs="Arial"/>
          <w:i/>
          <w:iCs/>
          <w:sz w:val="20"/>
          <w:szCs w:val="20"/>
        </w:rPr>
        <w:t>28</w:t>
      </w:r>
      <w:r w:rsidRPr="0013587B">
        <w:rPr>
          <w:rFonts w:ascii="Arial" w:hAnsi="Arial" w:cs="Arial"/>
          <w:sz w:val="20"/>
          <w:szCs w:val="20"/>
        </w:rPr>
        <w:t>(1), 9.</w:t>
      </w:r>
    </w:p>
    <w:p w14:paraId="73899692"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Chang, L., Li, W., &amp; Lu, X. (2015). Government engagement, environmental policy, and environmental performance: Evidence from the most polluting Chinese listed firms. </w:t>
      </w:r>
      <w:r w:rsidRPr="0013587B">
        <w:rPr>
          <w:rFonts w:ascii="Arial" w:hAnsi="Arial" w:cs="Arial"/>
          <w:i/>
          <w:iCs/>
          <w:sz w:val="20"/>
          <w:szCs w:val="20"/>
        </w:rPr>
        <w:t>Business Strategy and the Environment</w:t>
      </w:r>
      <w:r w:rsidRPr="0013587B">
        <w:rPr>
          <w:rFonts w:ascii="Arial" w:hAnsi="Arial" w:cs="Arial"/>
          <w:sz w:val="20"/>
          <w:szCs w:val="20"/>
        </w:rPr>
        <w:t>, </w:t>
      </w:r>
      <w:r w:rsidRPr="0013587B">
        <w:rPr>
          <w:rFonts w:ascii="Arial" w:hAnsi="Arial" w:cs="Arial"/>
          <w:i/>
          <w:iCs/>
          <w:sz w:val="20"/>
          <w:szCs w:val="20"/>
        </w:rPr>
        <w:t>24</w:t>
      </w:r>
      <w:r w:rsidRPr="0013587B">
        <w:rPr>
          <w:rFonts w:ascii="Arial" w:hAnsi="Arial" w:cs="Arial"/>
          <w:sz w:val="20"/>
          <w:szCs w:val="20"/>
        </w:rPr>
        <w:t>(1), 1-19.</w:t>
      </w:r>
    </w:p>
    <w:p w14:paraId="00625F2C" w14:textId="77777777" w:rsidR="00292A40" w:rsidRDefault="00292A40" w:rsidP="0077544E">
      <w:pPr>
        <w:spacing w:after="0" w:line="240" w:lineRule="auto"/>
        <w:ind w:left="720" w:hanging="720"/>
        <w:jc w:val="both"/>
        <w:rPr>
          <w:rFonts w:ascii="Arial" w:hAnsi="Arial" w:cs="Arial"/>
          <w:sz w:val="20"/>
          <w:szCs w:val="20"/>
        </w:rPr>
      </w:pPr>
      <w:r w:rsidRPr="00DC307D">
        <w:rPr>
          <w:rFonts w:ascii="Arial" w:hAnsi="Arial" w:cs="Arial"/>
          <w:sz w:val="20"/>
          <w:szCs w:val="20"/>
        </w:rPr>
        <w:t>Chen, R. R., El Ghoul, S., Guedhami, O., Pittman, J., &amp; Yang, Y. (2022). Tax avoidance and equity pricing: The importance of countries’ legal institutions and disclosure regulations. </w:t>
      </w:r>
      <w:r w:rsidRPr="00DC307D">
        <w:rPr>
          <w:rFonts w:ascii="Arial" w:hAnsi="Arial" w:cs="Arial"/>
          <w:i/>
          <w:iCs/>
          <w:sz w:val="20"/>
          <w:szCs w:val="20"/>
        </w:rPr>
        <w:t>Available at SSRN 3914068</w:t>
      </w:r>
      <w:r w:rsidRPr="00DC307D">
        <w:rPr>
          <w:rFonts w:ascii="Arial" w:hAnsi="Arial" w:cs="Arial"/>
          <w:sz w:val="20"/>
          <w:szCs w:val="20"/>
        </w:rPr>
        <w:t>.</w:t>
      </w:r>
    </w:p>
    <w:p w14:paraId="58E9BF79"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Chindengwike, J. D. (2024). Influence Of Dividend Pay-Out On The Share Price Volatility From Manufacturing Companies Listed At Dar es Salaam Stock Exchange. </w:t>
      </w:r>
      <w:r w:rsidRPr="0013587B">
        <w:rPr>
          <w:rFonts w:ascii="Arial" w:hAnsi="Arial" w:cs="Arial"/>
          <w:i/>
          <w:iCs/>
          <w:sz w:val="20"/>
          <w:szCs w:val="20"/>
        </w:rPr>
        <w:t>African Banking and Finance Review Journal</w:t>
      </w:r>
      <w:r w:rsidRPr="0013587B">
        <w:rPr>
          <w:rFonts w:ascii="Arial" w:hAnsi="Arial" w:cs="Arial"/>
          <w:sz w:val="20"/>
          <w:szCs w:val="20"/>
        </w:rPr>
        <w:t>, </w:t>
      </w:r>
      <w:r w:rsidRPr="0013587B">
        <w:rPr>
          <w:rFonts w:ascii="Arial" w:hAnsi="Arial" w:cs="Arial"/>
          <w:i/>
          <w:iCs/>
          <w:sz w:val="20"/>
          <w:szCs w:val="20"/>
        </w:rPr>
        <w:t>15</w:t>
      </w:r>
      <w:r w:rsidRPr="0013587B">
        <w:rPr>
          <w:rFonts w:ascii="Arial" w:hAnsi="Arial" w:cs="Arial"/>
          <w:sz w:val="20"/>
          <w:szCs w:val="20"/>
        </w:rPr>
        <w:t>(15), 242-256.</w:t>
      </w:r>
    </w:p>
    <w:p w14:paraId="1A637069"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Chindengwike, J. D. (2024). Nexus between financial leverage and dividend payout from manufacturing firms listed at Dar es Salaam stock exchange, Tanzania. </w:t>
      </w:r>
      <w:r w:rsidRPr="0013587B">
        <w:rPr>
          <w:rFonts w:ascii="Arial" w:hAnsi="Arial" w:cs="Arial"/>
          <w:i/>
          <w:iCs/>
          <w:sz w:val="20"/>
          <w:szCs w:val="20"/>
        </w:rPr>
        <w:t>Cogent Business &amp; Management</w:t>
      </w:r>
      <w:r w:rsidRPr="0013587B">
        <w:rPr>
          <w:rFonts w:ascii="Arial" w:hAnsi="Arial" w:cs="Arial"/>
          <w:sz w:val="20"/>
          <w:szCs w:val="20"/>
        </w:rPr>
        <w:t>, </w:t>
      </w:r>
      <w:r w:rsidRPr="0013587B">
        <w:rPr>
          <w:rFonts w:ascii="Arial" w:hAnsi="Arial" w:cs="Arial"/>
          <w:i/>
          <w:iCs/>
          <w:sz w:val="20"/>
          <w:szCs w:val="20"/>
        </w:rPr>
        <w:t>11</w:t>
      </w:r>
      <w:r w:rsidRPr="0013587B">
        <w:rPr>
          <w:rFonts w:ascii="Arial" w:hAnsi="Arial" w:cs="Arial"/>
          <w:sz w:val="20"/>
          <w:szCs w:val="20"/>
        </w:rPr>
        <w:t>(1), 2292345.</w:t>
      </w:r>
    </w:p>
    <w:p w14:paraId="73DC19C6"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Chitundu, J. T. (2022). A Study of the Factors Contributing to the Development of Tanzania Derivatives Markets. </w:t>
      </w:r>
      <w:r w:rsidRPr="0013587B">
        <w:rPr>
          <w:rFonts w:ascii="Arial" w:hAnsi="Arial" w:cs="Arial"/>
          <w:i/>
          <w:iCs/>
          <w:sz w:val="20"/>
          <w:szCs w:val="20"/>
        </w:rPr>
        <w:t>Global Journal of Economics and Trade</w:t>
      </w:r>
      <w:r w:rsidRPr="0013587B">
        <w:rPr>
          <w:rFonts w:ascii="Arial" w:hAnsi="Arial" w:cs="Arial"/>
          <w:sz w:val="20"/>
          <w:szCs w:val="20"/>
        </w:rPr>
        <w:t>, </w:t>
      </w:r>
      <w:r w:rsidRPr="0013587B">
        <w:rPr>
          <w:rFonts w:ascii="Arial" w:hAnsi="Arial" w:cs="Arial"/>
          <w:i/>
          <w:iCs/>
          <w:sz w:val="20"/>
          <w:szCs w:val="20"/>
        </w:rPr>
        <w:t>1</w:t>
      </w:r>
      <w:r w:rsidRPr="0013587B">
        <w:rPr>
          <w:rFonts w:ascii="Arial" w:hAnsi="Arial" w:cs="Arial"/>
          <w:sz w:val="20"/>
          <w:szCs w:val="20"/>
        </w:rPr>
        <w:t>(1), 52-64.</w:t>
      </w:r>
    </w:p>
    <w:p w14:paraId="5DD5B285" w14:textId="77777777" w:rsidR="00292A40" w:rsidRDefault="00292A40" w:rsidP="0077544E">
      <w:pPr>
        <w:spacing w:after="0" w:line="240" w:lineRule="auto"/>
        <w:ind w:left="720" w:hanging="720"/>
        <w:jc w:val="both"/>
        <w:rPr>
          <w:rFonts w:ascii="Arial" w:hAnsi="Arial" w:cs="Arial"/>
          <w:sz w:val="20"/>
          <w:szCs w:val="20"/>
        </w:rPr>
      </w:pPr>
      <w:r w:rsidRPr="00292A40">
        <w:rPr>
          <w:rFonts w:ascii="Arial" w:hAnsi="Arial" w:cs="Arial"/>
          <w:sz w:val="20"/>
          <w:szCs w:val="20"/>
        </w:rPr>
        <w:t xml:space="preserve">Dar es Salaam Stock Exchange. (2023). </w:t>
      </w:r>
      <w:r w:rsidRPr="00292A40">
        <w:rPr>
          <w:rFonts w:ascii="Arial" w:hAnsi="Arial" w:cs="Arial"/>
          <w:i/>
          <w:iCs/>
          <w:sz w:val="20"/>
          <w:szCs w:val="20"/>
        </w:rPr>
        <w:t>DSE market report 2023</w:t>
      </w:r>
      <w:r w:rsidRPr="00292A40">
        <w:rPr>
          <w:rFonts w:ascii="Arial" w:hAnsi="Arial" w:cs="Arial"/>
          <w:sz w:val="20"/>
          <w:szCs w:val="20"/>
        </w:rPr>
        <w:t xml:space="preserve">. Dar es Salaam Stock Exchange. </w:t>
      </w:r>
      <w:hyperlink r:id="rId9" w:tgtFrame="_new" w:history="1">
        <w:r w:rsidRPr="00292A40">
          <w:rPr>
            <w:rStyle w:val="Hyperlink"/>
            <w:rFonts w:ascii="Arial" w:hAnsi="Arial" w:cs="Arial"/>
            <w:sz w:val="20"/>
            <w:szCs w:val="20"/>
          </w:rPr>
          <w:t>https://www.dse.co.tz/</w:t>
        </w:r>
      </w:hyperlink>
    </w:p>
    <w:p w14:paraId="6A2E803D"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Demir, S. (2022). Comparison of normality tests in terms of sample sizes under different skewness and Kurtosis coefficients. </w:t>
      </w:r>
      <w:r w:rsidRPr="0013587B">
        <w:rPr>
          <w:rFonts w:ascii="Arial" w:hAnsi="Arial" w:cs="Arial"/>
          <w:i/>
          <w:iCs/>
          <w:sz w:val="20"/>
          <w:szCs w:val="20"/>
        </w:rPr>
        <w:t>International Journal of Assessment Tools in Education</w:t>
      </w:r>
      <w:r w:rsidRPr="0013587B">
        <w:rPr>
          <w:rFonts w:ascii="Arial" w:hAnsi="Arial" w:cs="Arial"/>
          <w:sz w:val="20"/>
          <w:szCs w:val="20"/>
        </w:rPr>
        <w:t>, </w:t>
      </w:r>
      <w:r w:rsidRPr="0013587B">
        <w:rPr>
          <w:rFonts w:ascii="Arial" w:hAnsi="Arial" w:cs="Arial"/>
          <w:i/>
          <w:iCs/>
          <w:sz w:val="20"/>
          <w:szCs w:val="20"/>
        </w:rPr>
        <w:t>9</w:t>
      </w:r>
      <w:r w:rsidRPr="0013587B">
        <w:rPr>
          <w:rFonts w:ascii="Arial" w:hAnsi="Arial" w:cs="Arial"/>
          <w:sz w:val="20"/>
          <w:szCs w:val="20"/>
        </w:rPr>
        <w:t>(2), 397-409.</w:t>
      </w:r>
    </w:p>
    <w:p w14:paraId="14FAA1E5"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 xml:space="preserve">Demirgüç-Kunt, A., &amp; Levine, R. (2018). </w:t>
      </w:r>
      <w:r w:rsidRPr="0013587B">
        <w:rPr>
          <w:rFonts w:ascii="Arial" w:hAnsi="Arial" w:cs="Arial"/>
          <w:i/>
          <w:iCs/>
          <w:sz w:val="20"/>
          <w:szCs w:val="20"/>
        </w:rPr>
        <w:t>Finance and inequality</w:t>
      </w:r>
      <w:r w:rsidRPr="0013587B">
        <w:rPr>
          <w:rFonts w:ascii="Arial" w:hAnsi="Arial" w:cs="Arial"/>
          <w:sz w:val="20"/>
          <w:szCs w:val="20"/>
        </w:rPr>
        <w:t>. In Handbook of Finance and Development (pp. 25–64). Edward Elgar Publishing.</w:t>
      </w:r>
    </w:p>
    <w:p w14:paraId="6E2179B9"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González, L. O., Santomil, P. D., &amp; Hoyt, R. E. (2023). The impact of ERM on insurer performance under the Solvency II regulatory framework. </w:t>
      </w:r>
      <w:r w:rsidRPr="0013587B">
        <w:rPr>
          <w:rFonts w:ascii="Arial" w:hAnsi="Arial" w:cs="Arial"/>
          <w:i/>
          <w:iCs/>
          <w:sz w:val="20"/>
          <w:szCs w:val="20"/>
        </w:rPr>
        <w:t>The European Journal of Finance</w:t>
      </w:r>
      <w:r w:rsidRPr="0013587B">
        <w:rPr>
          <w:rFonts w:ascii="Arial" w:hAnsi="Arial" w:cs="Arial"/>
          <w:sz w:val="20"/>
          <w:szCs w:val="20"/>
        </w:rPr>
        <w:t>, </w:t>
      </w:r>
      <w:r w:rsidRPr="0013587B">
        <w:rPr>
          <w:rFonts w:ascii="Arial" w:hAnsi="Arial" w:cs="Arial"/>
          <w:i/>
          <w:iCs/>
          <w:sz w:val="20"/>
          <w:szCs w:val="20"/>
        </w:rPr>
        <w:t>29</w:t>
      </w:r>
      <w:r w:rsidRPr="0013587B">
        <w:rPr>
          <w:rFonts w:ascii="Arial" w:hAnsi="Arial" w:cs="Arial"/>
          <w:sz w:val="20"/>
          <w:szCs w:val="20"/>
        </w:rPr>
        <w:t>(4), 419-443.</w:t>
      </w:r>
    </w:p>
    <w:p w14:paraId="15479C81" w14:textId="77777777" w:rsidR="00292A40" w:rsidRDefault="00292A40" w:rsidP="0077544E">
      <w:pPr>
        <w:spacing w:after="0" w:line="240" w:lineRule="auto"/>
        <w:ind w:left="720" w:hanging="720"/>
        <w:jc w:val="both"/>
        <w:rPr>
          <w:rFonts w:ascii="Arial" w:hAnsi="Arial" w:cs="Arial"/>
          <w:sz w:val="20"/>
          <w:szCs w:val="20"/>
        </w:rPr>
      </w:pPr>
      <w:r w:rsidRPr="00CE7BAE">
        <w:rPr>
          <w:rFonts w:ascii="Arial" w:hAnsi="Arial" w:cs="Arial"/>
          <w:sz w:val="20"/>
          <w:szCs w:val="20"/>
        </w:rPr>
        <w:t>Huang, C. L., &amp; Sugianto, L. F. (2024). The scorching temperatures shock effect on firms’ performance: a global perspective. </w:t>
      </w:r>
      <w:r w:rsidRPr="00CE7BAE">
        <w:rPr>
          <w:rFonts w:ascii="Arial" w:hAnsi="Arial" w:cs="Arial"/>
          <w:i/>
          <w:iCs/>
          <w:sz w:val="20"/>
          <w:szCs w:val="20"/>
        </w:rPr>
        <w:t>Review of Quantitative Finance and Accounting</w:t>
      </w:r>
      <w:r w:rsidRPr="00CE7BAE">
        <w:rPr>
          <w:rFonts w:ascii="Arial" w:hAnsi="Arial" w:cs="Arial"/>
          <w:sz w:val="20"/>
          <w:szCs w:val="20"/>
        </w:rPr>
        <w:t>, </w:t>
      </w:r>
      <w:r w:rsidRPr="00CE7BAE">
        <w:rPr>
          <w:rFonts w:ascii="Arial" w:hAnsi="Arial" w:cs="Arial"/>
          <w:i/>
          <w:iCs/>
          <w:sz w:val="20"/>
          <w:szCs w:val="20"/>
        </w:rPr>
        <w:t>62</w:t>
      </w:r>
      <w:r w:rsidRPr="00CE7BAE">
        <w:rPr>
          <w:rFonts w:ascii="Arial" w:hAnsi="Arial" w:cs="Arial"/>
          <w:sz w:val="20"/>
          <w:szCs w:val="20"/>
        </w:rPr>
        <w:t>(4), 1651-1732.</w:t>
      </w:r>
    </w:p>
    <w:p w14:paraId="774BC2B9" w14:textId="77777777" w:rsidR="00292A40" w:rsidRDefault="00292A40" w:rsidP="0077544E">
      <w:pPr>
        <w:spacing w:after="0" w:line="240" w:lineRule="auto"/>
        <w:ind w:left="720" w:hanging="720"/>
        <w:jc w:val="both"/>
        <w:rPr>
          <w:rFonts w:ascii="Arial" w:hAnsi="Arial" w:cs="Arial"/>
          <w:sz w:val="20"/>
          <w:szCs w:val="20"/>
        </w:rPr>
      </w:pPr>
      <w:r w:rsidRPr="00AE105C">
        <w:rPr>
          <w:rFonts w:ascii="Arial" w:hAnsi="Arial" w:cs="Arial"/>
          <w:sz w:val="20"/>
          <w:szCs w:val="20"/>
        </w:rPr>
        <w:t xml:space="preserve">Iheonu, C. O., Asongu, S. A., </w:t>
      </w:r>
      <w:proofErr w:type="spellStart"/>
      <w:r w:rsidRPr="00AE105C">
        <w:rPr>
          <w:rFonts w:ascii="Arial" w:hAnsi="Arial" w:cs="Arial"/>
          <w:sz w:val="20"/>
          <w:szCs w:val="20"/>
        </w:rPr>
        <w:t>Odo</w:t>
      </w:r>
      <w:proofErr w:type="spellEnd"/>
      <w:r w:rsidRPr="00AE105C">
        <w:rPr>
          <w:rFonts w:ascii="Arial" w:hAnsi="Arial" w:cs="Arial"/>
          <w:sz w:val="20"/>
          <w:szCs w:val="20"/>
        </w:rPr>
        <w:t xml:space="preserve">, K. O., &amp; </w:t>
      </w:r>
      <w:proofErr w:type="spellStart"/>
      <w:r w:rsidRPr="00AE105C">
        <w:rPr>
          <w:rFonts w:ascii="Arial" w:hAnsi="Arial" w:cs="Arial"/>
          <w:sz w:val="20"/>
          <w:szCs w:val="20"/>
        </w:rPr>
        <w:t>Ojiem</w:t>
      </w:r>
      <w:proofErr w:type="spellEnd"/>
      <w:r w:rsidRPr="00AE105C">
        <w:rPr>
          <w:rFonts w:ascii="Arial" w:hAnsi="Arial" w:cs="Arial"/>
          <w:sz w:val="20"/>
          <w:szCs w:val="20"/>
        </w:rPr>
        <w:t>, P. K. (2020). Financial sector development and Investment in selected countries of the Economic Community of West African States: empirical evidence using heterogeneous panel data method. </w:t>
      </w:r>
      <w:r w:rsidRPr="00AE105C">
        <w:rPr>
          <w:rFonts w:ascii="Arial" w:hAnsi="Arial" w:cs="Arial"/>
          <w:i/>
          <w:iCs/>
          <w:sz w:val="20"/>
          <w:szCs w:val="20"/>
        </w:rPr>
        <w:t>Financial Innovation</w:t>
      </w:r>
      <w:r w:rsidRPr="00AE105C">
        <w:rPr>
          <w:rFonts w:ascii="Arial" w:hAnsi="Arial" w:cs="Arial"/>
          <w:sz w:val="20"/>
          <w:szCs w:val="20"/>
        </w:rPr>
        <w:t>, </w:t>
      </w:r>
      <w:r w:rsidRPr="00AE105C">
        <w:rPr>
          <w:rFonts w:ascii="Arial" w:hAnsi="Arial" w:cs="Arial"/>
          <w:i/>
          <w:iCs/>
          <w:sz w:val="20"/>
          <w:szCs w:val="20"/>
        </w:rPr>
        <w:t>6</w:t>
      </w:r>
      <w:r w:rsidRPr="00AE105C">
        <w:rPr>
          <w:rFonts w:ascii="Arial" w:hAnsi="Arial" w:cs="Arial"/>
          <w:sz w:val="20"/>
          <w:szCs w:val="20"/>
        </w:rPr>
        <w:t>(1), 29.</w:t>
      </w:r>
    </w:p>
    <w:p w14:paraId="307A2673"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Imbens, G. W. (2021). Statistical significance, p-values, and the reporting of uncertainty. </w:t>
      </w:r>
      <w:r w:rsidRPr="0013587B">
        <w:rPr>
          <w:rFonts w:ascii="Arial" w:hAnsi="Arial" w:cs="Arial"/>
          <w:i/>
          <w:iCs/>
          <w:sz w:val="20"/>
          <w:szCs w:val="20"/>
        </w:rPr>
        <w:t>Journal of Economic Perspectives</w:t>
      </w:r>
      <w:r w:rsidRPr="0013587B">
        <w:rPr>
          <w:rFonts w:ascii="Arial" w:hAnsi="Arial" w:cs="Arial"/>
          <w:sz w:val="20"/>
          <w:szCs w:val="20"/>
        </w:rPr>
        <w:t>, </w:t>
      </w:r>
      <w:r w:rsidRPr="0013587B">
        <w:rPr>
          <w:rFonts w:ascii="Arial" w:hAnsi="Arial" w:cs="Arial"/>
          <w:i/>
          <w:iCs/>
          <w:sz w:val="20"/>
          <w:szCs w:val="20"/>
        </w:rPr>
        <w:t>35</w:t>
      </w:r>
      <w:r w:rsidRPr="0013587B">
        <w:rPr>
          <w:rFonts w:ascii="Arial" w:hAnsi="Arial" w:cs="Arial"/>
          <w:sz w:val="20"/>
          <w:szCs w:val="20"/>
        </w:rPr>
        <w:t>(3), 157-174.</w:t>
      </w:r>
    </w:p>
    <w:p w14:paraId="5921CB57" w14:textId="77777777" w:rsidR="00292A40" w:rsidRDefault="00292A40" w:rsidP="0077544E">
      <w:pPr>
        <w:spacing w:after="0" w:line="240" w:lineRule="auto"/>
        <w:ind w:left="720" w:hanging="720"/>
        <w:jc w:val="both"/>
        <w:rPr>
          <w:rFonts w:ascii="Arial" w:hAnsi="Arial" w:cs="Arial"/>
          <w:sz w:val="20"/>
          <w:szCs w:val="20"/>
        </w:rPr>
      </w:pPr>
      <w:r w:rsidRPr="00E91E1B">
        <w:rPr>
          <w:rFonts w:ascii="Arial" w:hAnsi="Arial" w:cs="Arial"/>
          <w:sz w:val="20"/>
          <w:szCs w:val="20"/>
        </w:rPr>
        <w:t xml:space="preserve">Jain, D., Bhatnagar, S., </w:t>
      </w:r>
      <w:proofErr w:type="spellStart"/>
      <w:r w:rsidRPr="00E91E1B">
        <w:rPr>
          <w:rFonts w:ascii="Arial" w:hAnsi="Arial" w:cs="Arial"/>
          <w:sz w:val="20"/>
          <w:szCs w:val="20"/>
        </w:rPr>
        <w:t>Rathi</w:t>
      </w:r>
      <w:proofErr w:type="spellEnd"/>
      <w:r w:rsidRPr="00E91E1B">
        <w:rPr>
          <w:rFonts w:ascii="Arial" w:hAnsi="Arial" w:cs="Arial"/>
          <w:sz w:val="20"/>
          <w:szCs w:val="20"/>
        </w:rPr>
        <w:t xml:space="preserve">, V., </w:t>
      </w:r>
      <w:proofErr w:type="spellStart"/>
      <w:r w:rsidRPr="00E91E1B">
        <w:rPr>
          <w:rFonts w:ascii="Arial" w:hAnsi="Arial" w:cs="Arial"/>
          <w:sz w:val="20"/>
          <w:szCs w:val="20"/>
        </w:rPr>
        <w:t>Sachdeva</w:t>
      </w:r>
      <w:proofErr w:type="spellEnd"/>
      <w:r w:rsidRPr="00E91E1B">
        <w:rPr>
          <w:rFonts w:ascii="Arial" w:hAnsi="Arial" w:cs="Arial"/>
          <w:sz w:val="20"/>
          <w:szCs w:val="20"/>
        </w:rPr>
        <w:t xml:space="preserve">, K., </w:t>
      </w:r>
      <w:proofErr w:type="spellStart"/>
      <w:r w:rsidRPr="00E91E1B">
        <w:rPr>
          <w:rFonts w:ascii="Arial" w:hAnsi="Arial" w:cs="Arial"/>
          <w:sz w:val="20"/>
          <w:szCs w:val="20"/>
        </w:rPr>
        <w:t>Tewani</w:t>
      </w:r>
      <w:proofErr w:type="spellEnd"/>
      <w:r w:rsidRPr="00E91E1B">
        <w:rPr>
          <w:rFonts w:ascii="Arial" w:hAnsi="Arial" w:cs="Arial"/>
          <w:sz w:val="20"/>
          <w:szCs w:val="20"/>
        </w:rPr>
        <w:t>, A., &amp; Sharma, G. (2025). Principal component regression approach for measuring the impact of built environment variables on multiple air pollutants in Delhi. </w:t>
      </w:r>
      <w:r w:rsidRPr="00E91E1B">
        <w:rPr>
          <w:rFonts w:ascii="Arial" w:hAnsi="Arial" w:cs="Arial"/>
          <w:i/>
          <w:iCs/>
          <w:sz w:val="20"/>
          <w:szCs w:val="20"/>
        </w:rPr>
        <w:t>Discover Atmosphere</w:t>
      </w:r>
      <w:r w:rsidRPr="00E91E1B">
        <w:rPr>
          <w:rFonts w:ascii="Arial" w:hAnsi="Arial" w:cs="Arial"/>
          <w:sz w:val="20"/>
          <w:szCs w:val="20"/>
        </w:rPr>
        <w:t>, </w:t>
      </w:r>
      <w:r w:rsidRPr="00E91E1B">
        <w:rPr>
          <w:rFonts w:ascii="Arial" w:hAnsi="Arial" w:cs="Arial"/>
          <w:i/>
          <w:iCs/>
          <w:sz w:val="20"/>
          <w:szCs w:val="20"/>
        </w:rPr>
        <w:t>3</w:t>
      </w:r>
      <w:r w:rsidRPr="00E91E1B">
        <w:rPr>
          <w:rFonts w:ascii="Arial" w:hAnsi="Arial" w:cs="Arial"/>
          <w:sz w:val="20"/>
          <w:szCs w:val="20"/>
        </w:rPr>
        <w:t>(1), 2.</w:t>
      </w:r>
    </w:p>
    <w:p w14:paraId="00829FFA"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lastRenderedPageBreak/>
        <w:t>Kang, E., &amp; Hwang, H. J. (2023).The importance of anonymity and confidentiality for conducting survey research. </w:t>
      </w:r>
      <w:r w:rsidRPr="0013587B">
        <w:rPr>
          <w:rFonts w:ascii="Arial" w:hAnsi="Arial" w:cs="Arial"/>
          <w:i/>
          <w:iCs/>
          <w:sz w:val="20"/>
          <w:szCs w:val="20"/>
        </w:rPr>
        <w:t>Journal of Research adn Publication Ethics</w:t>
      </w:r>
      <w:r w:rsidRPr="0013587B">
        <w:rPr>
          <w:rFonts w:ascii="Arial" w:hAnsi="Arial" w:cs="Arial"/>
          <w:sz w:val="20"/>
          <w:szCs w:val="20"/>
        </w:rPr>
        <w:t>, </w:t>
      </w:r>
      <w:r w:rsidRPr="0013587B">
        <w:rPr>
          <w:rFonts w:ascii="Arial" w:hAnsi="Arial" w:cs="Arial"/>
          <w:i/>
          <w:iCs/>
          <w:sz w:val="20"/>
          <w:szCs w:val="20"/>
        </w:rPr>
        <w:t>4</w:t>
      </w:r>
      <w:r w:rsidRPr="0013587B">
        <w:rPr>
          <w:rFonts w:ascii="Arial" w:hAnsi="Arial" w:cs="Arial"/>
          <w:sz w:val="20"/>
          <w:szCs w:val="20"/>
        </w:rPr>
        <w:t>(1), 1-7.</w:t>
      </w:r>
    </w:p>
    <w:p w14:paraId="2E3FE55B"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Kapaya, S. M. (2020). Stock market development and economic growth in Tanzania: an ARDL and bound testing approach. </w:t>
      </w:r>
      <w:r w:rsidRPr="0013587B">
        <w:rPr>
          <w:rFonts w:ascii="Arial" w:hAnsi="Arial" w:cs="Arial"/>
          <w:i/>
          <w:iCs/>
          <w:sz w:val="20"/>
          <w:szCs w:val="20"/>
        </w:rPr>
        <w:t>Review of Economics and Political Science</w:t>
      </w:r>
      <w:r w:rsidRPr="0013587B">
        <w:rPr>
          <w:rFonts w:ascii="Arial" w:hAnsi="Arial" w:cs="Arial"/>
          <w:sz w:val="20"/>
          <w:szCs w:val="20"/>
        </w:rPr>
        <w:t>, </w:t>
      </w:r>
      <w:r w:rsidRPr="0013587B">
        <w:rPr>
          <w:rFonts w:ascii="Arial" w:hAnsi="Arial" w:cs="Arial"/>
          <w:i/>
          <w:iCs/>
          <w:sz w:val="20"/>
          <w:szCs w:val="20"/>
        </w:rPr>
        <w:t>5</w:t>
      </w:r>
      <w:r w:rsidRPr="0013587B">
        <w:rPr>
          <w:rFonts w:ascii="Arial" w:hAnsi="Arial" w:cs="Arial"/>
          <w:sz w:val="20"/>
          <w:szCs w:val="20"/>
        </w:rPr>
        <w:t>(3), 187-206.</w:t>
      </w:r>
    </w:p>
    <w:p w14:paraId="644E9BFD"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 xml:space="preserve">Kapingura, F. M., &amp; Alagidede, I. P. (2021). Stock Market Development and Economic Growth in Sub-Saharan Africa. </w:t>
      </w:r>
      <w:r w:rsidRPr="0013587B">
        <w:rPr>
          <w:rFonts w:ascii="Arial" w:hAnsi="Arial" w:cs="Arial"/>
          <w:i/>
          <w:iCs/>
          <w:sz w:val="20"/>
          <w:szCs w:val="20"/>
        </w:rPr>
        <w:t>International Journal of Finance &amp; Economics</w:t>
      </w:r>
      <w:r w:rsidRPr="0013587B">
        <w:rPr>
          <w:rFonts w:ascii="Arial" w:hAnsi="Arial" w:cs="Arial"/>
          <w:sz w:val="20"/>
          <w:szCs w:val="20"/>
        </w:rPr>
        <w:t xml:space="preserve">, </w:t>
      </w:r>
      <w:r w:rsidRPr="0013587B">
        <w:rPr>
          <w:rFonts w:ascii="Arial" w:hAnsi="Arial" w:cs="Arial"/>
          <w:i/>
          <w:iCs/>
          <w:sz w:val="20"/>
          <w:szCs w:val="20"/>
        </w:rPr>
        <w:t>26</w:t>
      </w:r>
      <w:r w:rsidRPr="0013587B">
        <w:rPr>
          <w:rFonts w:ascii="Arial" w:hAnsi="Arial" w:cs="Arial"/>
          <w:sz w:val="20"/>
          <w:szCs w:val="20"/>
        </w:rPr>
        <w:t>(1), 763–778. https://doi.org/10.1002/ijfe.1797</w:t>
      </w:r>
    </w:p>
    <w:p w14:paraId="36C32CA3"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Kizys, R., Tzouvanas, P., &amp;Donadelli, M. (2021).From COVID-19 herd immunity to investor herding in international stock markets: The role of government and regulatory restrictions. </w:t>
      </w:r>
      <w:r w:rsidRPr="0013587B">
        <w:rPr>
          <w:rFonts w:ascii="Arial" w:hAnsi="Arial" w:cs="Arial"/>
          <w:i/>
          <w:iCs/>
          <w:sz w:val="20"/>
          <w:szCs w:val="20"/>
        </w:rPr>
        <w:t>International Review of Financial Analysis</w:t>
      </w:r>
      <w:r w:rsidRPr="0013587B">
        <w:rPr>
          <w:rFonts w:ascii="Arial" w:hAnsi="Arial" w:cs="Arial"/>
          <w:sz w:val="20"/>
          <w:szCs w:val="20"/>
        </w:rPr>
        <w:t>, </w:t>
      </w:r>
      <w:r w:rsidRPr="0013587B">
        <w:rPr>
          <w:rFonts w:ascii="Arial" w:hAnsi="Arial" w:cs="Arial"/>
          <w:i/>
          <w:iCs/>
          <w:sz w:val="20"/>
          <w:szCs w:val="20"/>
        </w:rPr>
        <w:t>74</w:t>
      </w:r>
      <w:r w:rsidRPr="0013587B">
        <w:rPr>
          <w:rFonts w:ascii="Arial" w:hAnsi="Arial" w:cs="Arial"/>
          <w:sz w:val="20"/>
          <w:szCs w:val="20"/>
        </w:rPr>
        <w:t>, 101663.</w:t>
      </w:r>
    </w:p>
    <w:p w14:paraId="789444C6"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Lai, Y., &amp; Hu, Y. (2021).A study of systemic risk of global stock markets under COVID-19 based on complex financial networks. </w:t>
      </w:r>
      <w:r w:rsidRPr="0013587B">
        <w:rPr>
          <w:rFonts w:ascii="Arial" w:hAnsi="Arial" w:cs="Arial"/>
          <w:i/>
          <w:iCs/>
          <w:sz w:val="20"/>
          <w:szCs w:val="20"/>
        </w:rPr>
        <w:t>Physica A: Statistical Mechanics and its Applications</w:t>
      </w:r>
      <w:r w:rsidRPr="0013587B">
        <w:rPr>
          <w:rFonts w:ascii="Arial" w:hAnsi="Arial" w:cs="Arial"/>
          <w:sz w:val="20"/>
          <w:szCs w:val="20"/>
        </w:rPr>
        <w:t>, </w:t>
      </w:r>
      <w:r w:rsidRPr="0013587B">
        <w:rPr>
          <w:rFonts w:ascii="Arial" w:hAnsi="Arial" w:cs="Arial"/>
          <w:i/>
          <w:iCs/>
          <w:sz w:val="20"/>
          <w:szCs w:val="20"/>
        </w:rPr>
        <w:t>566</w:t>
      </w:r>
      <w:r w:rsidRPr="0013587B">
        <w:rPr>
          <w:rFonts w:ascii="Arial" w:hAnsi="Arial" w:cs="Arial"/>
          <w:sz w:val="20"/>
          <w:szCs w:val="20"/>
        </w:rPr>
        <w:t>, 125613.</w:t>
      </w:r>
    </w:p>
    <w:p w14:paraId="6B1F5EC8"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Levitt, H. M., Morrill, Z., Collins, K. M., &amp;Rizo, J. L. (2021). The methodological integrity of critical qualitative research: Principles to support design and research review. </w:t>
      </w:r>
      <w:r w:rsidRPr="0013587B">
        <w:rPr>
          <w:rFonts w:ascii="Arial" w:hAnsi="Arial" w:cs="Arial"/>
          <w:i/>
          <w:iCs/>
          <w:sz w:val="20"/>
          <w:szCs w:val="20"/>
        </w:rPr>
        <w:t>Journal of Counseling Psychology</w:t>
      </w:r>
      <w:r w:rsidRPr="0013587B">
        <w:rPr>
          <w:rFonts w:ascii="Arial" w:hAnsi="Arial" w:cs="Arial"/>
          <w:sz w:val="20"/>
          <w:szCs w:val="20"/>
        </w:rPr>
        <w:t>, </w:t>
      </w:r>
      <w:r w:rsidRPr="0013587B">
        <w:rPr>
          <w:rFonts w:ascii="Arial" w:hAnsi="Arial" w:cs="Arial"/>
          <w:i/>
          <w:iCs/>
          <w:sz w:val="20"/>
          <w:szCs w:val="20"/>
        </w:rPr>
        <w:t>68</w:t>
      </w:r>
      <w:r w:rsidRPr="0013587B">
        <w:rPr>
          <w:rFonts w:ascii="Arial" w:hAnsi="Arial" w:cs="Arial"/>
          <w:sz w:val="20"/>
          <w:szCs w:val="20"/>
        </w:rPr>
        <w:t>(3), 357.</w:t>
      </w:r>
    </w:p>
    <w:p w14:paraId="2D840C6D"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Li, Q., Zhan, K., Jiang, H., Li, T., &amp; Zhang, Y. (2024). Impact of financial regulation on labor income share: Evidence from China. </w:t>
      </w:r>
      <w:r w:rsidRPr="0013587B">
        <w:rPr>
          <w:rFonts w:ascii="Arial" w:hAnsi="Arial" w:cs="Arial"/>
          <w:i/>
          <w:iCs/>
          <w:sz w:val="20"/>
          <w:szCs w:val="20"/>
        </w:rPr>
        <w:t>Pacific-Basin Finance Journal</w:t>
      </w:r>
      <w:r w:rsidRPr="0013587B">
        <w:rPr>
          <w:rFonts w:ascii="Arial" w:hAnsi="Arial" w:cs="Arial"/>
          <w:sz w:val="20"/>
          <w:szCs w:val="20"/>
        </w:rPr>
        <w:t>, </w:t>
      </w:r>
      <w:r w:rsidRPr="0013587B">
        <w:rPr>
          <w:rFonts w:ascii="Arial" w:hAnsi="Arial" w:cs="Arial"/>
          <w:i/>
          <w:iCs/>
          <w:sz w:val="20"/>
          <w:szCs w:val="20"/>
        </w:rPr>
        <w:t>88</w:t>
      </w:r>
      <w:r w:rsidRPr="0013587B">
        <w:rPr>
          <w:rFonts w:ascii="Arial" w:hAnsi="Arial" w:cs="Arial"/>
          <w:sz w:val="20"/>
          <w:szCs w:val="20"/>
        </w:rPr>
        <w:t>, 102538.</w:t>
      </w:r>
    </w:p>
    <w:p w14:paraId="3DDD8F7C"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Li, Z., Deng, G., &amp; Che, H. (2020, December). Patent-based predictive ROE on increasing investment performance of China Stock Market. In </w:t>
      </w:r>
      <w:r w:rsidRPr="0013587B">
        <w:rPr>
          <w:rFonts w:ascii="Arial" w:hAnsi="Arial" w:cs="Arial"/>
          <w:i/>
          <w:iCs/>
          <w:sz w:val="20"/>
          <w:szCs w:val="20"/>
        </w:rPr>
        <w:t>2020 IEEE 6th international conference on computer and communications (ICCC)</w:t>
      </w:r>
      <w:r w:rsidRPr="0013587B">
        <w:rPr>
          <w:rFonts w:ascii="Arial" w:hAnsi="Arial" w:cs="Arial"/>
          <w:sz w:val="20"/>
          <w:szCs w:val="20"/>
        </w:rPr>
        <w:t> (pp. 2176-2180). IEEE.</w:t>
      </w:r>
    </w:p>
    <w:p w14:paraId="77D6525F" w14:textId="77777777" w:rsidR="00292A40" w:rsidRPr="0013587B" w:rsidRDefault="00292A40" w:rsidP="007D052F">
      <w:pPr>
        <w:spacing w:after="0" w:line="240" w:lineRule="auto"/>
        <w:ind w:left="720" w:hanging="720"/>
        <w:jc w:val="both"/>
        <w:rPr>
          <w:rFonts w:ascii="Arial" w:hAnsi="Arial" w:cs="Arial"/>
          <w:sz w:val="20"/>
          <w:szCs w:val="20"/>
          <w:lang w:val="en-GB"/>
        </w:rPr>
      </w:pPr>
      <w:r w:rsidRPr="0013587B">
        <w:rPr>
          <w:rFonts w:ascii="Arial" w:hAnsi="Arial" w:cs="Arial"/>
          <w:sz w:val="20"/>
          <w:szCs w:val="20"/>
          <w:lang w:val="en-GB"/>
        </w:rPr>
        <w:t xml:space="preserve">Madhani, P. M. (2016). The impact of legal and regulatory environment: A study of corporate governance and disclosure practices of firms listed on Bombay Stock Exchange. </w:t>
      </w:r>
      <w:r w:rsidRPr="0013587B">
        <w:rPr>
          <w:rFonts w:ascii="Arial" w:hAnsi="Arial" w:cs="Arial"/>
          <w:i/>
          <w:iCs/>
          <w:sz w:val="20"/>
          <w:szCs w:val="20"/>
          <w:lang w:val="en-GB"/>
        </w:rPr>
        <w:t>The IUP Journal of Corporate Governance, 15(2), 7-36.</w:t>
      </w:r>
    </w:p>
    <w:p w14:paraId="74230DE7"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Matore, E. M., &amp; Khairani, A. Z. (2020). The pattern of skewness and kurtosis using mean score and logit in measuring adversity quotient (AQ) for normality testing. </w:t>
      </w:r>
      <w:r w:rsidRPr="0013587B">
        <w:rPr>
          <w:rFonts w:ascii="Arial" w:hAnsi="Arial" w:cs="Arial"/>
          <w:i/>
          <w:iCs/>
          <w:sz w:val="20"/>
          <w:szCs w:val="20"/>
        </w:rPr>
        <w:t>International Journal of Future Generation Communication and Networking</w:t>
      </w:r>
      <w:r w:rsidRPr="0013587B">
        <w:rPr>
          <w:rFonts w:ascii="Arial" w:hAnsi="Arial" w:cs="Arial"/>
          <w:sz w:val="20"/>
          <w:szCs w:val="20"/>
        </w:rPr>
        <w:t>, </w:t>
      </w:r>
      <w:r w:rsidRPr="0013587B">
        <w:rPr>
          <w:rFonts w:ascii="Arial" w:hAnsi="Arial" w:cs="Arial"/>
          <w:i/>
          <w:iCs/>
          <w:sz w:val="20"/>
          <w:szCs w:val="20"/>
        </w:rPr>
        <w:t>13</w:t>
      </w:r>
      <w:r w:rsidRPr="0013587B">
        <w:rPr>
          <w:rFonts w:ascii="Arial" w:hAnsi="Arial" w:cs="Arial"/>
          <w:sz w:val="20"/>
          <w:szCs w:val="20"/>
        </w:rPr>
        <w:t>(1), 688-702.</w:t>
      </w:r>
    </w:p>
    <w:p w14:paraId="7FD95FCF" w14:textId="77777777" w:rsidR="00292A40" w:rsidRPr="0013587B" w:rsidRDefault="00292A40" w:rsidP="007D052F">
      <w:pPr>
        <w:spacing w:after="0" w:line="240" w:lineRule="auto"/>
        <w:ind w:left="720" w:hanging="720"/>
        <w:jc w:val="both"/>
        <w:rPr>
          <w:rFonts w:ascii="Arial" w:hAnsi="Arial" w:cs="Arial"/>
          <w:sz w:val="20"/>
          <w:szCs w:val="20"/>
          <w:lang w:val="en-GB"/>
        </w:rPr>
      </w:pPr>
      <w:r w:rsidRPr="0013587B">
        <w:rPr>
          <w:rFonts w:ascii="Arial" w:hAnsi="Arial" w:cs="Arial"/>
          <w:sz w:val="20"/>
          <w:szCs w:val="20"/>
        </w:rPr>
        <w:t>Montolio, D., Trillas, F., &amp; Trujillo-Baute, E. (201</w:t>
      </w:r>
      <w:r>
        <w:rPr>
          <w:rFonts w:ascii="Arial" w:hAnsi="Arial" w:cs="Arial"/>
          <w:sz w:val="20"/>
          <w:szCs w:val="20"/>
        </w:rPr>
        <w:t>5</w:t>
      </w:r>
      <w:r w:rsidRPr="0013587B">
        <w:rPr>
          <w:rFonts w:ascii="Arial" w:hAnsi="Arial" w:cs="Arial"/>
          <w:sz w:val="20"/>
          <w:szCs w:val="20"/>
        </w:rPr>
        <w:t>).Regulatory environment and firm performance in EU telecommunications services. </w:t>
      </w:r>
      <w:r w:rsidRPr="0013587B">
        <w:rPr>
          <w:rFonts w:ascii="Arial" w:hAnsi="Arial" w:cs="Arial"/>
          <w:i/>
          <w:iCs/>
          <w:sz w:val="20"/>
          <w:szCs w:val="20"/>
        </w:rPr>
        <w:t>Review of Network Economics</w:t>
      </w:r>
      <w:r w:rsidRPr="0013587B">
        <w:rPr>
          <w:rFonts w:ascii="Arial" w:hAnsi="Arial" w:cs="Arial"/>
          <w:sz w:val="20"/>
          <w:szCs w:val="20"/>
        </w:rPr>
        <w:t>, </w:t>
      </w:r>
      <w:r w:rsidRPr="0013587B">
        <w:rPr>
          <w:rFonts w:ascii="Arial" w:hAnsi="Arial" w:cs="Arial"/>
          <w:i/>
          <w:iCs/>
          <w:sz w:val="20"/>
          <w:szCs w:val="20"/>
        </w:rPr>
        <w:t>13</w:t>
      </w:r>
      <w:r w:rsidRPr="0013587B">
        <w:rPr>
          <w:rFonts w:ascii="Arial" w:hAnsi="Arial" w:cs="Arial"/>
          <w:sz w:val="20"/>
          <w:szCs w:val="20"/>
        </w:rPr>
        <w:t>(3), 271-302.</w:t>
      </w:r>
    </w:p>
    <w:p w14:paraId="513D8302"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Mwakabumbe, C. (2024). Investment Planning and Decision-Making among Individual Investors in Emerging Markets: Evidence from the Dar es Salaam Stock Exchange, Tanzania. </w:t>
      </w:r>
      <w:r w:rsidRPr="0013587B">
        <w:rPr>
          <w:rFonts w:ascii="Arial" w:hAnsi="Arial" w:cs="Arial"/>
          <w:i/>
          <w:iCs/>
          <w:sz w:val="20"/>
          <w:szCs w:val="20"/>
        </w:rPr>
        <w:t>East Africa Journal of Social and Applied Sciences (EAJ-SAS)</w:t>
      </w:r>
      <w:r w:rsidRPr="0013587B">
        <w:rPr>
          <w:rFonts w:ascii="Arial" w:hAnsi="Arial" w:cs="Arial"/>
          <w:sz w:val="20"/>
          <w:szCs w:val="20"/>
        </w:rPr>
        <w:t>, </w:t>
      </w:r>
      <w:r w:rsidRPr="0013587B">
        <w:rPr>
          <w:rFonts w:ascii="Arial" w:hAnsi="Arial" w:cs="Arial"/>
          <w:i/>
          <w:iCs/>
          <w:sz w:val="20"/>
          <w:szCs w:val="20"/>
        </w:rPr>
        <w:t>6</w:t>
      </w:r>
      <w:r w:rsidRPr="0013587B">
        <w:rPr>
          <w:rFonts w:ascii="Arial" w:hAnsi="Arial" w:cs="Arial"/>
          <w:sz w:val="20"/>
          <w:szCs w:val="20"/>
        </w:rPr>
        <w:t>(1), 15-26.</w:t>
      </w:r>
    </w:p>
    <w:p w14:paraId="3FD7B27A" w14:textId="77777777" w:rsidR="00292A40" w:rsidRPr="0013587B" w:rsidRDefault="00292A40" w:rsidP="007D052F">
      <w:pPr>
        <w:spacing w:after="0" w:line="240" w:lineRule="auto"/>
        <w:ind w:left="720" w:hanging="720"/>
        <w:jc w:val="both"/>
        <w:rPr>
          <w:rFonts w:ascii="Arial" w:hAnsi="Arial" w:cs="Arial"/>
          <w:sz w:val="20"/>
          <w:szCs w:val="20"/>
          <w:lang w:val="en-GB"/>
        </w:rPr>
      </w:pPr>
      <w:r w:rsidRPr="0013587B">
        <w:rPr>
          <w:rFonts w:ascii="Arial" w:hAnsi="Arial" w:cs="Arial"/>
          <w:sz w:val="20"/>
          <w:szCs w:val="20"/>
        </w:rPr>
        <w:t>Mwenda, B. (2023). Are risk management disclosures relevant to firm's profitability? A Tanzanian case. </w:t>
      </w:r>
      <w:r w:rsidRPr="0013587B">
        <w:rPr>
          <w:rFonts w:ascii="Arial" w:hAnsi="Arial" w:cs="Arial"/>
          <w:i/>
          <w:iCs/>
          <w:sz w:val="20"/>
          <w:szCs w:val="20"/>
        </w:rPr>
        <w:t>Kompartemen: Jurnal IlmiahAkuntansi</w:t>
      </w:r>
      <w:r w:rsidRPr="0013587B">
        <w:rPr>
          <w:rFonts w:ascii="Arial" w:hAnsi="Arial" w:cs="Arial"/>
          <w:sz w:val="20"/>
          <w:szCs w:val="20"/>
        </w:rPr>
        <w:t>, </w:t>
      </w:r>
      <w:r w:rsidRPr="0013587B">
        <w:rPr>
          <w:rFonts w:ascii="Arial" w:hAnsi="Arial" w:cs="Arial"/>
          <w:i/>
          <w:iCs/>
          <w:sz w:val="20"/>
          <w:szCs w:val="20"/>
        </w:rPr>
        <w:t>21</w:t>
      </w:r>
      <w:r w:rsidRPr="0013587B">
        <w:rPr>
          <w:rFonts w:ascii="Arial" w:hAnsi="Arial" w:cs="Arial"/>
          <w:sz w:val="20"/>
          <w:szCs w:val="20"/>
        </w:rPr>
        <w:t>(1), 1-16.</w:t>
      </w:r>
    </w:p>
    <w:p w14:paraId="50E6C87D"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Mwenda, B., Ndiege, B. O., &amp;Pastory, D. (2021). Impact of Listing on Performance of Firms Listed At Dar es Salaam Stock Exchange, Tanzania. </w:t>
      </w:r>
      <w:r w:rsidRPr="0013587B">
        <w:rPr>
          <w:rFonts w:ascii="Arial" w:hAnsi="Arial" w:cs="Arial"/>
          <w:i/>
          <w:iCs/>
          <w:sz w:val="20"/>
          <w:szCs w:val="20"/>
        </w:rPr>
        <w:t>African Journal of Applied Research</w:t>
      </w:r>
      <w:r w:rsidRPr="0013587B">
        <w:rPr>
          <w:rFonts w:ascii="Arial" w:hAnsi="Arial" w:cs="Arial"/>
          <w:sz w:val="20"/>
          <w:szCs w:val="20"/>
        </w:rPr>
        <w:t>, </w:t>
      </w:r>
      <w:r w:rsidRPr="0013587B">
        <w:rPr>
          <w:rFonts w:ascii="Arial" w:hAnsi="Arial" w:cs="Arial"/>
          <w:i/>
          <w:iCs/>
          <w:sz w:val="20"/>
          <w:szCs w:val="20"/>
        </w:rPr>
        <w:t>7</w:t>
      </w:r>
      <w:r w:rsidRPr="0013587B">
        <w:rPr>
          <w:rFonts w:ascii="Arial" w:hAnsi="Arial" w:cs="Arial"/>
          <w:sz w:val="20"/>
          <w:szCs w:val="20"/>
        </w:rPr>
        <w:t>(2), 13-29.</w:t>
      </w:r>
    </w:p>
    <w:p w14:paraId="40A638E7"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Mwenda, B., Ngollo, M., &amp;Mwasota, A. (2023).Effects of macroeconomic variables on performance of listed firms at Dar es Salaam stock exchange, Tanzania.</w:t>
      </w:r>
    </w:p>
    <w:p w14:paraId="43E1D96C"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Ngong, C. A., Thaddeus, K. J., Asah, L. T., Ibe, G. I., &amp; Onwumere, J. U. J. (2022). Stock market development and agricultural growth of emerging economies in Africa. </w:t>
      </w:r>
      <w:r w:rsidRPr="0013587B">
        <w:rPr>
          <w:rFonts w:ascii="Arial" w:hAnsi="Arial" w:cs="Arial"/>
          <w:i/>
          <w:iCs/>
          <w:sz w:val="20"/>
          <w:szCs w:val="20"/>
        </w:rPr>
        <w:t>Journal of Capital Markets Studies</w:t>
      </w:r>
      <w:r w:rsidRPr="0013587B">
        <w:rPr>
          <w:rFonts w:ascii="Arial" w:hAnsi="Arial" w:cs="Arial"/>
          <w:sz w:val="20"/>
          <w:szCs w:val="20"/>
        </w:rPr>
        <w:t>, </w:t>
      </w:r>
      <w:r w:rsidRPr="0013587B">
        <w:rPr>
          <w:rFonts w:ascii="Arial" w:hAnsi="Arial" w:cs="Arial"/>
          <w:i/>
          <w:iCs/>
          <w:sz w:val="20"/>
          <w:szCs w:val="20"/>
        </w:rPr>
        <w:t>6</w:t>
      </w:r>
      <w:r w:rsidRPr="0013587B">
        <w:rPr>
          <w:rFonts w:ascii="Arial" w:hAnsi="Arial" w:cs="Arial"/>
          <w:sz w:val="20"/>
          <w:szCs w:val="20"/>
        </w:rPr>
        <w:t>(2), 185-202.</w:t>
      </w:r>
    </w:p>
    <w:p w14:paraId="4A5EE677"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 xml:space="preserve">North, D. C. (1990). </w:t>
      </w:r>
      <w:r w:rsidRPr="0013587B">
        <w:rPr>
          <w:rFonts w:ascii="Arial" w:hAnsi="Arial" w:cs="Arial"/>
          <w:i/>
          <w:iCs/>
          <w:sz w:val="20"/>
          <w:szCs w:val="20"/>
        </w:rPr>
        <w:t>Institutions, Institutional Change and Economic Performance</w:t>
      </w:r>
      <w:r w:rsidRPr="0013587B">
        <w:rPr>
          <w:rFonts w:ascii="Arial" w:hAnsi="Arial" w:cs="Arial"/>
          <w:sz w:val="20"/>
          <w:szCs w:val="20"/>
        </w:rPr>
        <w:t>. Cambridge University Press.</w:t>
      </w:r>
    </w:p>
    <w:p w14:paraId="35BC4217"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Olawale, A. (2024). The impact of capital market on the economic growth of Nigeria. </w:t>
      </w:r>
      <w:r w:rsidRPr="0013587B">
        <w:rPr>
          <w:rFonts w:ascii="Arial" w:hAnsi="Arial" w:cs="Arial"/>
          <w:i/>
          <w:iCs/>
          <w:sz w:val="20"/>
          <w:szCs w:val="20"/>
        </w:rPr>
        <w:t>GSC Advanced Research and Reviews</w:t>
      </w:r>
      <w:r w:rsidRPr="0013587B">
        <w:rPr>
          <w:rFonts w:ascii="Arial" w:hAnsi="Arial" w:cs="Arial"/>
          <w:sz w:val="20"/>
          <w:szCs w:val="20"/>
        </w:rPr>
        <w:t>, </w:t>
      </w:r>
      <w:r w:rsidRPr="0013587B">
        <w:rPr>
          <w:rFonts w:ascii="Arial" w:hAnsi="Arial" w:cs="Arial"/>
          <w:i/>
          <w:iCs/>
          <w:sz w:val="20"/>
          <w:szCs w:val="20"/>
        </w:rPr>
        <w:t>21</w:t>
      </w:r>
      <w:r w:rsidRPr="0013587B">
        <w:rPr>
          <w:rFonts w:ascii="Arial" w:hAnsi="Arial" w:cs="Arial"/>
          <w:sz w:val="20"/>
          <w:szCs w:val="20"/>
        </w:rPr>
        <w:t>, 013-026.</w:t>
      </w:r>
    </w:p>
    <w:p w14:paraId="1240448D" w14:textId="77777777" w:rsidR="00292A40"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Shrestha, N. (2020). Detecting multicollinearity in regression analysis. </w:t>
      </w:r>
      <w:r w:rsidRPr="0013587B">
        <w:rPr>
          <w:rFonts w:ascii="Arial" w:hAnsi="Arial" w:cs="Arial"/>
          <w:i/>
          <w:iCs/>
          <w:sz w:val="20"/>
          <w:szCs w:val="20"/>
        </w:rPr>
        <w:t>American journal of applied mathematics and statistics</w:t>
      </w:r>
      <w:r w:rsidRPr="0013587B">
        <w:rPr>
          <w:rFonts w:ascii="Arial" w:hAnsi="Arial" w:cs="Arial"/>
          <w:sz w:val="20"/>
          <w:szCs w:val="20"/>
        </w:rPr>
        <w:t>, </w:t>
      </w:r>
      <w:r w:rsidRPr="0013587B">
        <w:rPr>
          <w:rFonts w:ascii="Arial" w:hAnsi="Arial" w:cs="Arial"/>
          <w:i/>
          <w:iCs/>
          <w:sz w:val="20"/>
          <w:szCs w:val="20"/>
        </w:rPr>
        <w:t>8</w:t>
      </w:r>
      <w:r w:rsidRPr="0013587B">
        <w:rPr>
          <w:rFonts w:ascii="Arial" w:hAnsi="Arial" w:cs="Arial"/>
          <w:sz w:val="20"/>
          <w:szCs w:val="20"/>
        </w:rPr>
        <w:t>(2), 39-42.</w:t>
      </w:r>
    </w:p>
    <w:p w14:paraId="469280AE" w14:textId="77777777" w:rsidR="00292A40" w:rsidRDefault="00292A40" w:rsidP="0077544E">
      <w:pPr>
        <w:spacing w:after="0" w:line="240" w:lineRule="auto"/>
        <w:ind w:left="720" w:hanging="720"/>
        <w:jc w:val="both"/>
        <w:rPr>
          <w:rFonts w:ascii="Arial" w:hAnsi="Arial" w:cs="Arial"/>
          <w:sz w:val="20"/>
          <w:szCs w:val="20"/>
        </w:rPr>
      </w:pPr>
      <w:r w:rsidRPr="00752EBE">
        <w:rPr>
          <w:rFonts w:ascii="Arial" w:hAnsi="Arial" w:cs="Arial"/>
          <w:sz w:val="20"/>
          <w:szCs w:val="20"/>
        </w:rPr>
        <w:t>Temba, G. I. (2025). The Influence of Regulatory, Political, and Market Environmental Factors on Liquidity Challenges in Tanzanian Commercial Banks. </w:t>
      </w:r>
      <w:r w:rsidRPr="00752EBE">
        <w:rPr>
          <w:rFonts w:ascii="Arial" w:hAnsi="Arial" w:cs="Arial"/>
          <w:i/>
          <w:iCs/>
          <w:sz w:val="20"/>
          <w:szCs w:val="20"/>
        </w:rPr>
        <w:t>The Accountancy and Business Review</w:t>
      </w:r>
      <w:r w:rsidRPr="00752EBE">
        <w:rPr>
          <w:rFonts w:ascii="Arial" w:hAnsi="Arial" w:cs="Arial"/>
          <w:sz w:val="20"/>
          <w:szCs w:val="20"/>
        </w:rPr>
        <w:t>, </w:t>
      </w:r>
      <w:r w:rsidRPr="00752EBE">
        <w:rPr>
          <w:rFonts w:ascii="Arial" w:hAnsi="Arial" w:cs="Arial"/>
          <w:i/>
          <w:iCs/>
          <w:sz w:val="20"/>
          <w:szCs w:val="20"/>
        </w:rPr>
        <w:t>17</w:t>
      </w:r>
      <w:r w:rsidRPr="00752EBE">
        <w:rPr>
          <w:rFonts w:ascii="Arial" w:hAnsi="Arial" w:cs="Arial"/>
          <w:sz w:val="20"/>
          <w:szCs w:val="20"/>
        </w:rPr>
        <w:t>(1).</w:t>
      </w:r>
    </w:p>
    <w:p w14:paraId="7D5F7A89" w14:textId="77777777" w:rsidR="00292A40" w:rsidRDefault="00292A40" w:rsidP="007D052F">
      <w:pPr>
        <w:spacing w:after="0" w:line="240" w:lineRule="auto"/>
        <w:ind w:left="720" w:hanging="720"/>
        <w:jc w:val="both"/>
        <w:rPr>
          <w:rFonts w:ascii="Arial" w:hAnsi="Arial" w:cs="Arial"/>
          <w:sz w:val="20"/>
          <w:szCs w:val="20"/>
        </w:rPr>
      </w:pPr>
      <w:r w:rsidRPr="00712F89">
        <w:rPr>
          <w:rFonts w:ascii="Arial" w:hAnsi="Arial" w:cs="Arial"/>
          <w:sz w:val="20"/>
          <w:szCs w:val="20"/>
        </w:rPr>
        <w:t>Tong, Z., Li, B., &amp; Yang, L. (2025). Digital transformation, carbon performance and financial performance: Empirical evidence from the Chinese stock market. </w:t>
      </w:r>
      <w:r w:rsidRPr="00712F89">
        <w:rPr>
          <w:rFonts w:ascii="Arial" w:hAnsi="Arial" w:cs="Arial"/>
          <w:i/>
          <w:iCs/>
          <w:sz w:val="20"/>
          <w:szCs w:val="20"/>
        </w:rPr>
        <w:t>Environment, Development and Sustainability</w:t>
      </w:r>
      <w:r w:rsidRPr="00712F89">
        <w:rPr>
          <w:rFonts w:ascii="Arial" w:hAnsi="Arial" w:cs="Arial"/>
          <w:sz w:val="20"/>
          <w:szCs w:val="20"/>
        </w:rPr>
        <w:t>, </w:t>
      </w:r>
      <w:r w:rsidRPr="00712F89">
        <w:rPr>
          <w:rFonts w:ascii="Arial" w:hAnsi="Arial" w:cs="Arial"/>
          <w:i/>
          <w:iCs/>
          <w:sz w:val="20"/>
          <w:szCs w:val="20"/>
        </w:rPr>
        <w:t>27</w:t>
      </w:r>
      <w:r w:rsidRPr="00712F89">
        <w:rPr>
          <w:rFonts w:ascii="Arial" w:hAnsi="Arial" w:cs="Arial"/>
          <w:sz w:val="20"/>
          <w:szCs w:val="20"/>
        </w:rPr>
        <w:t>(7), 17129-17146.</w:t>
      </w:r>
    </w:p>
    <w:p w14:paraId="52ECC61D" w14:textId="77777777" w:rsidR="00292A40" w:rsidRPr="0013587B" w:rsidRDefault="00292A40" w:rsidP="007D052F">
      <w:pPr>
        <w:spacing w:after="0" w:line="240" w:lineRule="auto"/>
        <w:ind w:left="720" w:hanging="720"/>
        <w:jc w:val="both"/>
        <w:rPr>
          <w:rFonts w:ascii="Arial" w:hAnsi="Arial" w:cs="Arial"/>
          <w:i/>
          <w:iCs/>
          <w:sz w:val="20"/>
          <w:szCs w:val="20"/>
        </w:rPr>
      </w:pPr>
      <w:r w:rsidRPr="0013587B">
        <w:rPr>
          <w:rFonts w:ascii="Arial" w:hAnsi="Arial" w:cs="Arial"/>
          <w:iCs/>
          <w:sz w:val="20"/>
          <w:szCs w:val="20"/>
        </w:rPr>
        <w:t>Turner, P. (2020). Critical values for the Durbin-Watson test in large samples.</w:t>
      </w:r>
      <w:r w:rsidRPr="0013587B">
        <w:rPr>
          <w:rFonts w:ascii="Arial" w:hAnsi="Arial" w:cs="Arial"/>
          <w:i/>
          <w:iCs/>
          <w:sz w:val="20"/>
          <w:szCs w:val="20"/>
        </w:rPr>
        <w:t> Applied Economics Letters, 27(18), 1495-1499.</w:t>
      </w:r>
    </w:p>
    <w:p w14:paraId="6079398C"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lastRenderedPageBreak/>
        <w:t>Utouh, H., &amp; Tile, A. (2023). The Nexus between Foreign Direct Investment and Nominal Exchange Rate, Real GDP, and Capital Stock in Tanzania. </w:t>
      </w:r>
      <w:r w:rsidRPr="0013587B">
        <w:rPr>
          <w:rFonts w:ascii="Arial" w:hAnsi="Arial" w:cs="Arial"/>
          <w:i/>
          <w:iCs/>
          <w:sz w:val="20"/>
          <w:szCs w:val="20"/>
        </w:rPr>
        <w:t>Acta Scientiarum Polonorum. Oeconomia</w:t>
      </w:r>
      <w:r w:rsidRPr="0013587B">
        <w:rPr>
          <w:rFonts w:ascii="Arial" w:hAnsi="Arial" w:cs="Arial"/>
          <w:sz w:val="20"/>
          <w:szCs w:val="20"/>
        </w:rPr>
        <w:t>, </w:t>
      </w:r>
      <w:r w:rsidRPr="0013587B">
        <w:rPr>
          <w:rFonts w:ascii="Arial" w:hAnsi="Arial" w:cs="Arial"/>
          <w:i/>
          <w:iCs/>
          <w:sz w:val="20"/>
          <w:szCs w:val="20"/>
        </w:rPr>
        <w:t>22</w:t>
      </w:r>
      <w:r w:rsidRPr="0013587B">
        <w:rPr>
          <w:rFonts w:ascii="Arial" w:hAnsi="Arial" w:cs="Arial"/>
          <w:sz w:val="20"/>
          <w:szCs w:val="20"/>
        </w:rPr>
        <w:t>(1), 73-87.</w:t>
      </w:r>
    </w:p>
    <w:p w14:paraId="25A1A918" w14:textId="77777777" w:rsidR="00292A40" w:rsidRPr="0013587B"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Wooldridge, J. M. (2023). Simple approaches to nonlinear difference-in-differences with panel data. </w:t>
      </w:r>
      <w:r w:rsidRPr="0013587B">
        <w:rPr>
          <w:rFonts w:ascii="Arial" w:hAnsi="Arial" w:cs="Arial"/>
          <w:i/>
          <w:iCs/>
          <w:sz w:val="20"/>
          <w:szCs w:val="20"/>
        </w:rPr>
        <w:t>The Econometrics Journal</w:t>
      </w:r>
      <w:r w:rsidRPr="0013587B">
        <w:rPr>
          <w:rFonts w:ascii="Arial" w:hAnsi="Arial" w:cs="Arial"/>
          <w:sz w:val="20"/>
          <w:szCs w:val="20"/>
        </w:rPr>
        <w:t>, </w:t>
      </w:r>
      <w:r w:rsidRPr="0013587B">
        <w:rPr>
          <w:rFonts w:ascii="Arial" w:hAnsi="Arial" w:cs="Arial"/>
          <w:i/>
          <w:iCs/>
          <w:sz w:val="20"/>
          <w:szCs w:val="20"/>
        </w:rPr>
        <w:t>26</w:t>
      </w:r>
      <w:r w:rsidRPr="0013587B">
        <w:rPr>
          <w:rFonts w:ascii="Arial" w:hAnsi="Arial" w:cs="Arial"/>
          <w:sz w:val="20"/>
          <w:szCs w:val="20"/>
        </w:rPr>
        <w:t>(3), C31-C66.</w:t>
      </w:r>
    </w:p>
    <w:p w14:paraId="45E0D383" w14:textId="77777777" w:rsidR="00292A40" w:rsidRDefault="00292A40" w:rsidP="007D052F">
      <w:pPr>
        <w:spacing w:after="0" w:line="240" w:lineRule="auto"/>
        <w:ind w:left="720" w:hanging="720"/>
        <w:jc w:val="both"/>
        <w:rPr>
          <w:rFonts w:ascii="Arial" w:hAnsi="Arial" w:cs="Arial"/>
          <w:sz w:val="20"/>
          <w:szCs w:val="20"/>
        </w:rPr>
      </w:pPr>
      <w:r w:rsidRPr="0013587B">
        <w:rPr>
          <w:rFonts w:ascii="Arial" w:hAnsi="Arial" w:cs="Arial"/>
          <w:sz w:val="20"/>
          <w:szCs w:val="20"/>
        </w:rPr>
        <w:t>Yadav, S. K. (2023). Referencing and Avoiding Plagiarism. In </w:t>
      </w:r>
      <w:r w:rsidRPr="0013587B">
        <w:rPr>
          <w:rFonts w:ascii="Arial" w:hAnsi="Arial" w:cs="Arial"/>
          <w:i/>
          <w:iCs/>
          <w:sz w:val="20"/>
          <w:szCs w:val="20"/>
        </w:rPr>
        <w:t>Research and Publication Ethics</w:t>
      </w:r>
      <w:r w:rsidRPr="0013587B">
        <w:rPr>
          <w:rFonts w:ascii="Arial" w:hAnsi="Arial" w:cs="Arial"/>
          <w:sz w:val="20"/>
          <w:szCs w:val="20"/>
        </w:rPr>
        <w:t> (pp. 205-227). Cham: Springer International Publishing.</w:t>
      </w:r>
    </w:p>
    <w:p w14:paraId="5D1F219A" w14:textId="77777777" w:rsidR="00292A40" w:rsidRPr="0013587B" w:rsidRDefault="00292A40" w:rsidP="007D052F">
      <w:pPr>
        <w:spacing w:after="0" w:line="240" w:lineRule="auto"/>
        <w:ind w:left="720" w:hanging="720"/>
        <w:jc w:val="both"/>
        <w:rPr>
          <w:rFonts w:ascii="Arial" w:hAnsi="Arial" w:cs="Arial"/>
          <w:sz w:val="20"/>
          <w:szCs w:val="20"/>
        </w:rPr>
      </w:pPr>
      <w:r w:rsidRPr="00B80ABD">
        <w:rPr>
          <w:rFonts w:ascii="Arial" w:hAnsi="Arial" w:cs="Arial"/>
          <w:sz w:val="20"/>
          <w:szCs w:val="20"/>
        </w:rPr>
        <w:t>Yahaya, P. D. O. A. (2025). Board independence and earnings management.</w:t>
      </w:r>
    </w:p>
    <w:p w14:paraId="0E59090F" w14:textId="77777777" w:rsidR="00292A40" w:rsidRDefault="00292A40" w:rsidP="0077544E">
      <w:pPr>
        <w:spacing w:after="0" w:line="240" w:lineRule="auto"/>
        <w:ind w:left="720" w:hanging="720"/>
        <w:jc w:val="both"/>
        <w:rPr>
          <w:rFonts w:ascii="Arial" w:hAnsi="Arial" w:cs="Arial"/>
          <w:sz w:val="20"/>
          <w:szCs w:val="20"/>
        </w:rPr>
      </w:pPr>
      <w:r w:rsidRPr="0013587B">
        <w:rPr>
          <w:rFonts w:ascii="Arial" w:hAnsi="Arial" w:cs="Arial"/>
          <w:sz w:val="20"/>
          <w:szCs w:val="20"/>
        </w:rPr>
        <w:t>Yi, C., &amp; Latiff, A. R. B. A. (2024). The Role of Regulatory Frameworks in Shaping the Firm Value of Cross-Listed Companies: A Comparative Analysis. </w:t>
      </w:r>
      <w:r w:rsidRPr="0013587B">
        <w:rPr>
          <w:rFonts w:ascii="Arial" w:hAnsi="Arial" w:cs="Arial"/>
          <w:i/>
          <w:iCs/>
          <w:sz w:val="20"/>
          <w:szCs w:val="20"/>
        </w:rPr>
        <w:t>Journal of Digitainability, Realism &amp; Mastery (DREAM)</w:t>
      </w:r>
      <w:r w:rsidRPr="0013587B">
        <w:rPr>
          <w:rFonts w:ascii="Arial" w:hAnsi="Arial" w:cs="Arial"/>
          <w:sz w:val="20"/>
          <w:szCs w:val="20"/>
        </w:rPr>
        <w:t>, </w:t>
      </w:r>
      <w:r w:rsidRPr="0013587B">
        <w:rPr>
          <w:rFonts w:ascii="Arial" w:hAnsi="Arial" w:cs="Arial"/>
          <w:i/>
          <w:iCs/>
          <w:sz w:val="20"/>
          <w:szCs w:val="20"/>
        </w:rPr>
        <w:t>3</w:t>
      </w:r>
      <w:r w:rsidRPr="0013587B">
        <w:rPr>
          <w:rFonts w:ascii="Arial" w:hAnsi="Arial" w:cs="Arial"/>
          <w:sz w:val="20"/>
          <w:szCs w:val="20"/>
        </w:rPr>
        <w:t>(04), 10-25.</w:t>
      </w:r>
    </w:p>
    <w:p w14:paraId="08BD3E73" w14:textId="77777777" w:rsidR="00292A40" w:rsidRDefault="00292A40" w:rsidP="00963D58">
      <w:pPr>
        <w:spacing w:after="0" w:line="240" w:lineRule="auto"/>
        <w:ind w:left="720" w:hanging="720"/>
        <w:jc w:val="both"/>
        <w:rPr>
          <w:rFonts w:ascii="Arial" w:hAnsi="Arial" w:cs="Arial"/>
          <w:sz w:val="20"/>
          <w:szCs w:val="20"/>
        </w:rPr>
      </w:pPr>
      <w:r w:rsidRPr="00963D58">
        <w:rPr>
          <w:rFonts w:ascii="Arial" w:hAnsi="Arial" w:cs="Arial"/>
          <w:sz w:val="20"/>
          <w:szCs w:val="20"/>
        </w:rPr>
        <w:t xml:space="preserve">Zhao, C., </w:t>
      </w:r>
      <w:proofErr w:type="gramStart"/>
      <w:r w:rsidRPr="00963D58">
        <w:rPr>
          <w:rFonts w:ascii="Arial" w:hAnsi="Arial" w:cs="Arial"/>
          <w:sz w:val="20"/>
          <w:szCs w:val="20"/>
        </w:rPr>
        <w:t>Cai</w:t>
      </w:r>
      <w:proofErr w:type="gramEnd"/>
      <w:r w:rsidRPr="00963D58">
        <w:rPr>
          <w:rFonts w:ascii="Arial" w:hAnsi="Arial" w:cs="Arial"/>
          <w:sz w:val="20"/>
          <w:szCs w:val="20"/>
        </w:rPr>
        <w:t xml:space="preserve">, J., &amp; Yang, S. (2025). A hybrid stock prediction method based on periodic/non-periodic features analyses. </w:t>
      </w:r>
      <w:r w:rsidRPr="00963D58">
        <w:rPr>
          <w:rFonts w:ascii="Arial" w:hAnsi="Arial" w:cs="Arial"/>
          <w:i/>
          <w:iCs/>
          <w:sz w:val="20"/>
          <w:szCs w:val="20"/>
        </w:rPr>
        <w:t>EPJ Data Science, 14</w:t>
      </w:r>
      <w:r w:rsidRPr="00963D58">
        <w:rPr>
          <w:rFonts w:ascii="Arial" w:hAnsi="Arial" w:cs="Arial"/>
          <w:sz w:val="20"/>
          <w:szCs w:val="20"/>
        </w:rPr>
        <w:t xml:space="preserve">(1), </w:t>
      </w:r>
      <w:hyperlink r:id="rId10" w:history="1">
        <w:r w:rsidRPr="006806A7">
          <w:rPr>
            <w:rStyle w:val="Hyperlink"/>
            <w:rFonts w:ascii="Arial" w:hAnsi="Arial" w:cs="Arial"/>
            <w:sz w:val="20"/>
            <w:szCs w:val="20"/>
          </w:rPr>
          <w:t>https://doi.org/10.1140/epjds/s13688-024-00517-7</w:t>
        </w:r>
      </w:hyperlink>
    </w:p>
    <w:bookmarkEnd w:id="21"/>
    <w:p w14:paraId="61DBA088" w14:textId="36BDCF6C" w:rsidR="00413B92" w:rsidRDefault="00413B92" w:rsidP="005E13CD">
      <w:pPr>
        <w:spacing w:line="240" w:lineRule="auto"/>
      </w:pPr>
    </w:p>
    <w:sectPr w:rsidR="00413B92" w:rsidSect="005E13CD">
      <w:headerReference w:type="even" r:id="rId11"/>
      <w:headerReference w:type="default" r:id="rId12"/>
      <w:footerReference w:type="default" r:id="rId13"/>
      <w:headerReference w:type="first" r:id="rId14"/>
      <w:pgSz w:w="12240" w:h="15840"/>
      <w:pgMar w:top="1701"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31D03" w14:textId="77777777" w:rsidR="007101EC" w:rsidRDefault="007101EC" w:rsidP="00AB0D1E">
      <w:pPr>
        <w:spacing w:after="0" w:line="240" w:lineRule="auto"/>
      </w:pPr>
      <w:r>
        <w:separator/>
      </w:r>
    </w:p>
  </w:endnote>
  <w:endnote w:type="continuationSeparator" w:id="0">
    <w:p w14:paraId="75B503E3" w14:textId="77777777" w:rsidR="007101EC" w:rsidRDefault="007101EC" w:rsidP="00AB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977307"/>
      <w:docPartObj>
        <w:docPartGallery w:val="Page Numbers (Bottom of Page)"/>
        <w:docPartUnique/>
      </w:docPartObj>
    </w:sdtPr>
    <w:sdtEndPr>
      <w:rPr>
        <w:noProof/>
      </w:rPr>
    </w:sdtEndPr>
    <w:sdtContent>
      <w:p w14:paraId="6A241D2D" w14:textId="7D635626" w:rsidR="00F44669" w:rsidRDefault="00F44669">
        <w:pPr>
          <w:pStyle w:val="Footer"/>
          <w:jc w:val="center"/>
        </w:pPr>
        <w:r>
          <w:fldChar w:fldCharType="begin"/>
        </w:r>
        <w:r>
          <w:instrText xml:space="preserve"> PAGE   \* MERGEFORMAT </w:instrText>
        </w:r>
        <w:r>
          <w:fldChar w:fldCharType="separate"/>
        </w:r>
        <w:r w:rsidR="00292A40">
          <w:rPr>
            <w:noProof/>
          </w:rPr>
          <w:t>13</w:t>
        </w:r>
        <w:r>
          <w:rPr>
            <w:noProof/>
          </w:rPr>
          <w:fldChar w:fldCharType="end"/>
        </w:r>
      </w:p>
    </w:sdtContent>
  </w:sdt>
  <w:p w14:paraId="12D7E85D" w14:textId="77777777" w:rsidR="00F44669" w:rsidRDefault="00F44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BAB28" w14:textId="77777777" w:rsidR="007101EC" w:rsidRDefault="007101EC" w:rsidP="00AB0D1E">
      <w:pPr>
        <w:spacing w:after="0" w:line="240" w:lineRule="auto"/>
      </w:pPr>
      <w:r>
        <w:separator/>
      </w:r>
    </w:p>
  </w:footnote>
  <w:footnote w:type="continuationSeparator" w:id="0">
    <w:p w14:paraId="1958EFC4" w14:textId="77777777" w:rsidR="007101EC" w:rsidRDefault="007101EC" w:rsidP="00AB0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FD68" w14:textId="5825BC6A" w:rsidR="00F44669" w:rsidRDefault="007101EC">
    <w:pPr>
      <w:pStyle w:val="Header"/>
    </w:pPr>
    <w:r>
      <w:rPr>
        <w:noProof/>
      </w:rPr>
      <w:pict w14:anchorId="623CF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37813" o:spid="_x0000_s2050"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FA5C4" w14:textId="3FAEDCF0" w:rsidR="00F44669" w:rsidRDefault="007101EC">
    <w:pPr>
      <w:pStyle w:val="Header"/>
    </w:pPr>
    <w:r>
      <w:rPr>
        <w:noProof/>
      </w:rPr>
      <w:pict w14:anchorId="5FE06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37814" o:spid="_x0000_s2051" type="#_x0000_t136" style="position:absolute;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AD0C" w14:textId="28228440" w:rsidR="00F44669" w:rsidRDefault="007101EC">
    <w:pPr>
      <w:pStyle w:val="Header"/>
    </w:pPr>
    <w:r>
      <w:rPr>
        <w:noProof/>
      </w:rPr>
      <w:pict w14:anchorId="63A0B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37812" o:spid="_x0000_s2049" type="#_x0000_t136" style="position:absolute;margin-left:0;margin-top:0;width:541.4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DE1BE3"/>
    <w:multiLevelType w:val="singleLevel"/>
    <w:tmpl w:val="C1DE1BE3"/>
    <w:lvl w:ilvl="0">
      <w:start w:val="1"/>
      <w:numFmt w:val="decimal"/>
      <w:lvlText w:val="%1."/>
      <w:lvlJc w:val="left"/>
      <w:pPr>
        <w:tabs>
          <w:tab w:val="num" w:pos="425"/>
        </w:tabs>
        <w:ind w:left="425" w:hanging="425"/>
      </w:pPr>
      <w:rPr>
        <w:rFonts w:hint="default"/>
      </w:rPr>
    </w:lvl>
  </w:abstractNum>
  <w:abstractNum w:abstractNumId="1" w15:restartNumberingAfterBreak="0">
    <w:nsid w:val="DDB3E72D"/>
    <w:multiLevelType w:val="singleLevel"/>
    <w:tmpl w:val="DDB3E72D"/>
    <w:lvl w:ilvl="0">
      <w:start w:val="1"/>
      <w:numFmt w:val="decimal"/>
      <w:lvlText w:val="%1."/>
      <w:lvlJc w:val="left"/>
      <w:pPr>
        <w:tabs>
          <w:tab w:val="num" w:pos="425"/>
        </w:tabs>
        <w:ind w:left="425" w:hanging="425"/>
      </w:pPr>
      <w:rPr>
        <w:rFonts w:hint="default"/>
      </w:rPr>
    </w:lvl>
  </w:abstractNum>
  <w:abstractNum w:abstractNumId="2" w15:restartNumberingAfterBreak="0">
    <w:nsid w:val="1CEC521F"/>
    <w:multiLevelType w:val="hybridMultilevel"/>
    <w:tmpl w:val="5D5C1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C7374"/>
    <w:multiLevelType w:val="hybridMultilevel"/>
    <w:tmpl w:val="CE04F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61CEE"/>
    <w:multiLevelType w:val="hybridMultilevel"/>
    <w:tmpl w:val="24B24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870C8"/>
    <w:multiLevelType w:val="hybridMultilevel"/>
    <w:tmpl w:val="4DD0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39"/>
    <w:rsid w:val="00000560"/>
    <w:rsid w:val="000025D5"/>
    <w:rsid w:val="00004BB3"/>
    <w:rsid w:val="00006B6E"/>
    <w:rsid w:val="0001003E"/>
    <w:rsid w:val="00012878"/>
    <w:rsid w:val="000138D0"/>
    <w:rsid w:val="00015EA1"/>
    <w:rsid w:val="00016B83"/>
    <w:rsid w:val="00016D4A"/>
    <w:rsid w:val="00020943"/>
    <w:rsid w:val="00022A88"/>
    <w:rsid w:val="00022B44"/>
    <w:rsid w:val="00023CD4"/>
    <w:rsid w:val="00023E6F"/>
    <w:rsid w:val="00023F99"/>
    <w:rsid w:val="00027B4E"/>
    <w:rsid w:val="00030329"/>
    <w:rsid w:val="000310C6"/>
    <w:rsid w:val="00033D00"/>
    <w:rsid w:val="00037A37"/>
    <w:rsid w:val="0004188D"/>
    <w:rsid w:val="0004251A"/>
    <w:rsid w:val="000471A8"/>
    <w:rsid w:val="00056B90"/>
    <w:rsid w:val="000600A0"/>
    <w:rsid w:val="00060223"/>
    <w:rsid w:val="0006669C"/>
    <w:rsid w:val="00071892"/>
    <w:rsid w:val="00071D1B"/>
    <w:rsid w:val="0007208B"/>
    <w:rsid w:val="00072176"/>
    <w:rsid w:val="00077945"/>
    <w:rsid w:val="0008241A"/>
    <w:rsid w:val="00082DF5"/>
    <w:rsid w:val="00084323"/>
    <w:rsid w:val="000844D3"/>
    <w:rsid w:val="00084EDB"/>
    <w:rsid w:val="00085565"/>
    <w:rsid w:val="00086174"/>
    <w:rsid w:val="00087B99"/>
    <w:rsid w:val="0009173B"/>
    <w:rsid w:val="00091970"/>
    <w:rsid w:val="00091F8D"/>
    <w:rsid w:val="000940CF"/>
    <w:rsid w:val="00094453"/>
    <w:rsid w:val="00094ACB"/>
    <w:rsid w:val="00095E09"/>
    <w:rsid w:val="00095E5E"/>
    <w:rsid w:val="000A17FE"/>
    <w:rsid w:val="000A2667"/>
    <w:rsid w:val="000A268A"/>
    <w:rsid w:val="000A46E1"/>
    <w:rsid w:val="000B1054"/>
    <w:rsid w:val="000B1C8B"/>
    <w:rsid w:val="000B3CF9"/>
    <w:rsid w:val="000B4018"/>
    <w:rsid w:val="000B5059"/>
    <w:rsid w:val="000B69BA"/>
    <w:rsid w:val="000C0971"/>
    <w:rsid w:val="000C0D2A"/>
    <w:rsid w:val="000C1ECE"/>
    <w:rsid w:val="000C2840"/>
    <w:rsid w:val="000C2886"/>
    <w:rsid w:val="000C43A5"/>
    <w:rsid w:val="000C6E57"/>
    <w:rsid w:val="000D0266"/>
    <w:rsid w:val="000D13AC"/>
    <w:rsid w:val="000D31BE"/>
    <w:rsid w:val="000D48D2"/>
    <w:rsid w:val="000D6B2B"/>
    <w:rsid w:val="000D6B4E"/>
    <w:rsid w:val="000D7A2F"/>
    <w:rsid w:val="000E19E4"/>
    <w:rsid w:val="000E2CFF"/>
    <w:rsid w:val="000E4F61"/>
    <w:rsid w:val="000E62A4"/>
    <w:rsid w:val="000E66CF"/>
    <w:rsid w:val="000F22D4"/>
    <w:rsid w:val="000F37CD"/>
    <w:rsid w:val="000F3A7C"/>
    <w:rsid w:val="000F3B73"/>
    <w:rsid w:val="000F6941"/>
    <w:rsid w:val="000F734E"/>
    <w:rsid w:val="000F7F19"/>
    <w:rsid w:val="00100D17"/>
    <w:rsid w:val="00102FE1"/>
    <w:rsid w:val="00105D3B"/>
    <w:rsid w:val="00105E78"/>
    <w:rsid w:val="00106491"/>
    <w:rsid w:val="001070AF"/>
    <w:rsid w:val="0010739C"/>
    <w:rsid w:val="00107C8B"/>
    <w:rsid w:val="00110DFE"/>
    <w:rsid w:val="0011127D"/>
    <w:rsid w:val="001118B2"/>
    <w:rsid w:val="001159E1"/>
    <w:rsid w:val="00116420"/>
    <w:rsid w:val="001165B4"/>
    <w:rsid w:val="00116F4D"/>
    <w:rsid w:val="001177F8"/>
    <w:rsid w:val="0011799E"/>
    <w:rsid w:val="001200E5"/>
    <w:rsid w:val="0012046F"/>
    <w:rsid w:val="00122D85"/>
    <w:rsid w:val="001241D0"/>
    <w:rsid w:val="001246E9"/>
    <w:rsid w:val="00124A1B"/>
    <w:rsid w:val="00125349"/>
    <w:rsid w:val="00126E44"/>
    <w:rsid w:val="00127976"/>
    <w:rsid w:val="00130510"/>
    <w:rsid w:val="00130ED2"/>
    <w:rsid w:val="001311DC"/>
    <w:rsid w:val="00131814"/>
    <w:rsid w:val="00134335"/>
    <w:rsid w:val="00134B95"/>
    <w:rsid w:val="00134EEC"/>
    <w:rsid w:val="001352E7"/>
    <w:rsid w:val="0013558B"/>
    <w:rsid w:val="0013587B"/>
    <w:rsid w:val="00136588"/>
    <w:rsid w:val="00136DBF"/>
    <w:rsid w:val="00137B9C"/>
    <w:rsid w:val="00137CAE"/>
    <w:rsid w:val="00140A1C"/>
    <w:rsid w:val="00142803"/>
    <w:rsid w:val="00142930"/>
    <w:rsid w:val="0014460A"/>
    <w:rsid w:val="001466C0"/>
    <w:rsid w:val="00151B4C"/>
    <w:rsid w:val="0015344A"/>
    <w:rsid w:val="001542E6"/>
    <w:rsid w:val="0015657F"/>
    <w:rsid w:val="00157B2D"/>
    <w:rsid w:val="00160C08"/>
    <w:rsid w:val="00163CAD"/>
    <w:rsid w:val="0016426B"/>
    <w:rsid w:val="001661C6"/>
    <w:rsid w:val="00167D5D"/>
    <w:rsid w:val="0017105D"/>
    <w:rsid w:val="001722C9"/>
    <w:rsid w:val="001754B2"/>
    <w:rsid w:val="00175748"/>
    <w:rsid w:val="00175919"/>
    <w:rsid w:val="001762B1"/>
    <w:rsid w:val="0018078A"/>
    <w:rsid w:val="001814EB"/>
    <w:rsid w:val="00183385"/>
    <w:rsid w:val="0018390A"/>
    <w:rsid w:val="00186B34"/>
    <w:rsid w:val="0018744D"/>
    <w:rsid w:val="00187F34"/>
    <w:rsid w:val="001926DE"/>
    <w:rsid w:val="00193255"/>
    <w:rsid w:val="00193689"/>
    <w:rsid w:val="0019452F"/>
    <w:rsid w:val="001A19ED"/>
    <w:rsid w:val="001A28CC"/>
    <w:rsid w:val="001A4559"/>
    <w:rsid w:val="001A47A7"/>
    <w:rsid w:val="001A60DB"/>
    <w:rsid w:val="001A6297"/>
    <w:rsid w:val="001B79BE"/>
    <w:rsid w:val="001B7FEF"/>
    <w:rsid w:val="001C0376"/>
    <w:rsid w:val="001C168D"/>
    <w:rsid w:val="001C2170"/>
    <w:rsid w:val="001C2E7E"/>
    <w:rsid w:val="001C3D6A"/>
    <w:rsid w:val="001C437E"/>
    <w:rsid w:val="001C62A8"/>
    <w:rsid w:val="001C6C7D"/>
    <w:rsid w:val="001D2993"/>
    <w:rsid w:val="001D361A"/>
    <w:rsid w:val="001D4AD1"/>
    <w:rsid w:val="001D6C7A"/>
    <w:rsid w:val="001D78EF"/>
    <w:rsid w:val="001E0CAC"/>
    <w:rsid w:val="001E2BBC"/>
    <w:rsid w:val="001F0146"/>
    <w:rsid w:val="001F0258"/>
    <w:rsid w:val="001F0289"/>
    <w:rsid w:val="001F046E"/>
    <w:rsid w:val="001F16C4"/>
    <w:rsid w:val="001F7D3E"/>
    <w:rsid w:val="00200EE1"/>
    <w:rsid w:val="0020506A"/>
    <w:rsid w:val="0020638D"/>
    <w:rsid w:val="00206423"/>
    <w:rsid w:val="0020718F"/>
    <w:rsid w:val="00207A7D"/>
    <w:rsid w:val="00211003"/>
    <w:rsid w:val="00213344"/>
    <w:rsid w:val="00214753"/>
    <w:rsid w:val="00214DBE"/>
    <w:rsid w:val="002156F2"/>
    <w:rsid w:val="002201C6"/>
    <w:rsid w:val="00223490"/>
    <w:rsid w:val="002250B1"/>
    <w:rsid w:val="002267D2"/>
    <w:rsid w:val="002306D9"/>
    <w:rsid w:val="00231F64"/>
    <w:rsid w:val="002342C9"/>
    <w:rsid w:val="00234CD5"/>
    <w:rsid w:val="00244604"/>
    <w:rsid w:val="00245B6A"/>
    <w:rsid w:val="0024675F"/>
    <w:rsid w:val="00251960"/>
    <w:rsid w:val="002532D2"/>
    <w:rsid w:val="00260EAE"/>
    <w:rsid w:val="00262587"/>
    <w:rsid w:val="00263678"/>
    <w:rsid w:val="00266E25"/>
    <w:rsid w:val="00267338"/>
    <w:rsid w:val="00267EEB"/>
    <w:rsid w:val="002709A4"/>
    <w:rsid w:val="00272059"/>
    <w:rsid w:val="002749BA"/>
    <w:rsid w:val="0027519B"/>
    <w:rsid w:val="00276823"/>
    <w:rsid w:val="00280DAC"/>
    <w:rsid w:val="002818DA"/>
    <w:rsid w:val="00281F90"/>
    <w:rsid w:val="00283694"/>
    <w:rsid w:val="00284207"/>
    <w:rsid w:val="0028781B"/>
    <w:rsid w:val="002902E1"/>
    <w:rsid w:val="0029201E"/>
    <w:rsid w:val="00292A40"/>
    <w:rsid w:val="00292C9D"/>
    <w:rsid w:val="00295F76"/>
    <w:rsid w:val="002A0103"/>
    <w:rsid w:val="002A07A1"/>
    <w:rsid w:val="002A1C51"/>
    <w:rsid w:val="002A3C78"/>
    <w:rsid w:val="002A545B"/>
    <w:rsid w:val="002A581A"/>
    <w:rsid w:val="002A5B07"/>
    <w:rsid w:val="002A6678"/>
    <w:rsid w:val="002A66B1"/>
    <w:rsid w:val="002A67C6"/>
    <w:rsid w:val="002A6EB3"/>
    <w:rsid w:val="002A6F66"/>
    <w:rsid w:val="002B0933"/>
    <w:rsid w:val="002B0D30"/>
    <w:rsid w:val="002B16DD"/>
    <w:rsid w:val="002B29D0"/>
    <w:rsid w:val="002B2B51"/>
    <w:rsid w:val="002B332B"/>
    <w:rsid w:val="002B34CD"/>
    <w:rsid w:val="002B4484"/>
    <w:rsid w:val="002B4A49"/>
    <w:rsid w:val="002B4D70"/>
    <w:rsid w:val="002B5E10"/>
    <w:rsid w:val="002B6478"/>
    <w:rsid w:val="002B766A"/>
    <w:rsid w:val="002C1687"/>
    <w:rsid w:val="002C1ED5"/>
    <w:rsid w:val="002C224D"/>
    <w:rsid w:val="002C4539"/>
    <w:rsid w:val="002C5E5E"/>
    <w:rsid w:val="002D10DD"/>
    <w:rsid w:val="002D29AE"/>
    <w:rsid w:val="002D29CC"/>
    <w:rsid w:val="002D4098"/>
    <w:rsid w:val="002D4C4B"/>
    <w:rsid w:val="002E6EFF"/>
    <w:rsid w:val="002F12CD"/>
    <w:rsid w:val="002F206F"/>
    <w:rsid w:val="002F332E"/>
    <w:rsid w:val="002F35A7"/>
    <w:rsid w:val="002F3B26"/>
    <w:rsid w:val="002F6A72"/>
    <w:rsid w:val="002F7541"/>
    <w:rsid w:val="00300AEB"/>
    <w:rsid w:val="00300B1A"/>
    <w:rsid w:val="00300BE8"/>
    <w:rsid w:val="0030263F"/>
    <w:rsid w:val="00302B7D"/>
    <w:rsid w:val="0030373B"/>
    <w:rsid w:val="003046A7"/>
    <w:rsid w:val="003079AD"/>
    <w:rsid w:val="0031394E"/>
    <w:rsid w:val="00314485"/>
    <w:rsid w:val="00320EBE"/>
    <w:rsid w:val="00321611"/>
    <w:rsid w:val="00325318"/>
    <w:rsid w:val="00325C98"/>
    <w:rsid w:val="00326AE1"/>
    <w:rsid w:val="00326B19"/>
    <w:rsid w:val="00331E90"/>
    <w:rsid w:val="003344E6"/>
    <w:rsid w:val="003375EF"/>
    <w:rsid w:val="00340A33"/>
    <w:rsid w:val="00341A66"/>
    <w:rsid w:val="00342F19"/>
    <w:rsid w:val="0034331F"/>
    <w:rsid w:val="00344302"/>
    <w:rsid w:val="003448CF"/>
    <w:rsid w:val="00352219"/>
    <w:rsid w:val="00354F0B"/>
    <w:rsid w:val="003550F1"/>
    <w:rsid w:val="00356F90"/>
    <w:rsid w:val="003600B9"/>
    <w:rsid w:val="003621AD"/>
    <w:rsid w:val="00362305"/>
    <w:rsid w:val="00364369"/>
    <w:rsid w:val="00365A12"/>
    <w:rsid w:val="00365F42"/>
    <w:rsid w:val="0037208C"/>
    <w:rsid w:val="00374578"/>
    <w:rsid w:val="00375C9A"/>
    <w:rsid w:val="00376E3E"/>
    <w:rsid w:val="00376EAA"/>
    <w:rsid w:val="003817B3"/>
    <w:rsid w:val="003841EE"/>
    <w:rsid w:val="00385070"/>
    <w:rsid w:val="0038564F"/>
    <w:rsid w:val="00390D83"/>
    <w:rsid w:val="003A0102"/>
    <w:rsid w:val="003A0D94"/>
    <w:rsid w:val="003A2A87"/>
    <w:rsid w:val="003A3338"/>
    <w:rsid w:val="003A5107"/>
    <w:rsid w:val="003B11D2"/>
    <w:rsid w:val="003B174E"/>
    <w:rsid w:val="003B2A89"/>
    <w:rsid w:val="003B35FB"/>
    <w:rsid w:val="003C001E"/>
    <w:rsid w:val="003C0261"/>
    <w:rsid w:val="003C05D5"/>
    <w:rsid w:val="003C5B90"/>
    <w:rsid w:val="003C64ED"/>
    <w:rsid w:val="003D064A"/>
    <w:rsid w:val="003D0722"/>
    <w:rsid w:val="003D246F"/>
    <w:rsid w:val="003D24EC"/>
    <w:rsid w:val="003D49CA"/>
    <w:rsid w:val="003D59C6"/>
    <w:rsid w:val="003D5F25"/>
    <w:rsid w:val="003D76CD"/>
    <w:rsid w:val="003D7D37"/>
    <w:rsid w:val="003E1189"/>
    <w:rsid w:val="003E1CE1"/>
    <w:rsid w:val="003E3C28"/>
    <w:rsid w:val="003E4491"/>
    <w:rsid w:val="003E63C9"/>
    <w:rsid w:val="003E793B"/>
    <w:rsid w:val="003E7ACC"/>
    <w:rsid w:val="003F1D00"/>
    <w:rsid w:val="003F1F99"/>
    <w:rsid w:val="003F2189"/>
    <w:rsid w:val="003F317E"/>
    <w:rsid w:val="003F4082"/>
    <w:rsid w:val="003F4E33"/>
    <w:rsid w:val="003F51B5"/>
    <w:rsid w:val="003F5627"/>
    <w:rsid w:val="004016FF"/>
    <w:rsid w:val="004036E7"/>
    <w:rsid w:val="00404A58"/>
    <w:rsid w:val="00404DB2"/>
    <w:rsid w:val="00407495"/>
    <w:rsid w:val="004076C0"/>
    <w:rsid w:val="00407D15"/>
    <w:rsid w:val="00411093"/>
    <w:rsid w:val="00413B92"/>
    <w:rsid w:val="00413C16"/>
    <w:rsid w:val="00416235"/>
    <w:rsid w:val="004173CA"/>
    <w:rsid w:val="00422627"/>
    <w:rsid w:val="004229AC"/>
    <w:rsid w:val="00424668"/>
    <w:rsid w:val="0042489B"/>
    <w:rsid w:val="00426913"/>
    <w:rsid w:val="00427439"/>
    <w:rsid w:val="00432759"/>
    <w:rsid w:val="00432C6C"/>
    <w:rsid w:val="00433FE6"/>
    <w:rsid w:val="00436F8A"/>
    <w:rsid w:val="004425F6"/>
    <w:rsid w:val="00445084"/>
    <w:rsid w:val="00446B6D"/>
    <w:rsid w:val="004471A8"/>
    <w:rsid w:val="0044782D"/>
    <w:rsid w:val="004536C9"/>
    <w:rsid w:val="00453FEE"/>
    <w:rsid w:val="00454677"/>
    <w:rsid w:val="00454BAD"/>
    <w:rsid w:val="004612A5"/>
    <w:rsid w:val="00461873"/>
    <w:rsid w:val="0046252C"/>
    <w:rsid w:val="00465323"/>
    <w:rsid w:val="00465552"/>
    <w:rsid w:val="0047317E"/>
    <w:rsid w:val="00473CD0"/>
    <w:rsid w:val="004763C5"/>
    <w:rsid w:val="004801F2"/>
    <w:rsid w:val="00480B1F"/>
    <w:rsid w:val="004812BB"/>
    <w:rsid w:val="00483410"/>
    <w:rsid w:val="00484104"/>
    <w:rsid w:val="00484DCA"/>
    <w:rsid w:val="004858E6"/>
    <w:rsid w:val="0048603B"/>
    <w:rsid w:val="0048738E"/>
    <w:rsid w:val="00492A9D"/>
    <w:rsid w:val="004946E2"/>
    <w:rsid w:val="004953CC"/>
    <w:rsid w:val="00496128"/>
    <w:rsid w:val="00496781"/>
    <w:rsid w:val="004A013A"/>
    <w:rsid w:val="004A239D"/>
    <w:rsid w:val="004A4920"/>
    <w:rsid w:val="004A57F3"/>
    <w:rsid w:val="004A589C"/>
    <w:rsid w:val="004B2504"/>
    <w:rsid w:val="004B2892"/>
    <w:rsid w:val="004B2B14"/>
    <w:rsid w:val="004B534B"/>
    <w:rsid w:val="004B6025"/>
    <w:rsid w:val="004B6B7B"/>
    <w:rsid w:val="004B7016"/>
    <w:rsid w:val="004B7284"/>
    <w:rsid w:val="004B73DA"/>
    <w:rsid w:val="004C062E"/>
    <w:rsid w:val="004C2CA2"/>
    <w:rsid w:val="004C348F"/>
    <w:rsid w:val="004C40BF"/>
    <w:rsid w:val="004C52AE"/>
    <w:rsid w:val="004C5E55"/>
    <w:rsid w:val="004D003C"/>
    <w:rsid w:val="004D091C"/>
    <w:rsid w:val="004D43EB"/>
    <w:rsid w:val="004D5217"/>
    <w:rsid w:val="004D6867"/>
    <w:rsid w:val="004E2210"/>
    <w:rsid w:val="004E3295"/>
    <w:rsid w:val="004F169F"/>
    <w:rsid w:val="004F2045"/>
    <w:rsid w:val="004F2F02"/>
    <w:rsid w:val="004F515F"/>
    <w:rsid w:val="004F6487"/>
    <w:rsid w:val="0050050B"/>
    <w:rsid w:val="005024B7"/>
    <w:rsid w:val="005026B8"/>
    <w:rsid w:val="00502B7A"/>
    <w:rsid w:val="005055A7"/>
    <w:rsid w:val="0050571C"/>
    <w:rsid w:val="00512440"/>
    <w:rsid w:val="00517657"/>
    <w:rsid w:val="005222E6"/>
    <w:rsid w:val="00522D6F"/>
    <w:rsid w:val="00526719"/>
    <w:rsid w:val="00533176"/>
    <w:rsid w:val="00535604"/>
    <w:rsid w:val="00537555"/>
    <w:rsid w:val="00537918"/>
    <w:rsid w:val="00540A42"/>
    <w:rsid w:val="00542BB2"/>
    <w:rsid w:val="00544987"/>
    <w:rsid w:val="00547026"/>
    <w:rsid w:val="005524BC"/>
    <w:rsid w:val="0055429E"/>
    <w:rsid w:val="00556CD5"/>
    <w:rsid w:val="00557295"/>
    <w:rsid w:val="0056081F"/>
    <w:rsid w:val="005618AB"/>
    <w:rsid w:val="0056427C"/>
    <w:rsid w:val="00564A17"/>
    <w:rsid w:val="0056660A"/>
    <w:rsid w:val="00566CA7"/>
    <w:rsid w:val="00570291"/>
    <w:rsid w:val="0057062A"/>
    <w:rsid w:val="0057152B"/>
    <w:rsid w:val="00571F95"/>
    <w:rsid w:val="00572475"/>
    <w:rsid w:val="0057287E"/>
    <w:rsid w:val="005728EC"/>
    <w:rsid w:val="005736C8"/>
    <w:rsid w:val="00573931"/>
    <w:rsid w:val="00576285"/>
    <w:rsid w:val="00577D50"/>
    <w:rsid w:val="005814BE"/>
    <w:rsid w:val="0058204E"/>
    <w:rsid w:val="00583910"/>
    <w:rsid w:val="00584EB9"/>
    <w:rsid w:val="00584FE3"/>
    <w:rsid w:val="005878A9"/>
    <w:rsid w:val="005924B6"/>
    <w:rsid w:val="00593F71"/>
    <w:rsid w:val="00594B7E"/>
    <w:rsid w:val="0059649A"/>
    <w:rsid w:val="00596941"/>
    <w:rsid w:val="005970AE"/>
    <w:rsid w:val="005A04AB"/>
    <w:rsid w:val="005A04EB"/>
    <w:rsid w:val="005A1CB4"/>
    <w:rsid w:val="005A3523"/>
    <w:rsid w:val="005A7F23"/>
    <w:rsid w:val="005B5007"/>
    <w:rsid w:val="005C1601"/>
    <w:rsid w:val="005C4FE8"/>
    <w:rsid w:val="005C5D66"/>
    <w:rsid w:val="005C7108"/>
    <w:rsid w:val="005C7278"/>
    <w:rsid w:val="005C76B9"/>
    <w:rsid w:val="005D1719"/>
    <w:rsid w:val="005D611C"/>
    <w:rsid w:val="005E13CD"/>
    <w:rsid w:val="005E1651"/>
    <w:rsid w:val="005E1E81"/>
    <w:rsid w:val="005E1F43"/>
    <w:rsid w:val="005E3023"/>
    <w:rsid w:val="005E51E2"/>
    <w:rsid w:val="005E7327"/>
    <w:rsid w:val="005F5B5F"/>
    <w:rsid w:val="005F6891"/>
    <w:rsid w:val="005F701D"/>
    <w:rsid w:val="005F7CEF"/>
    <w:rsid w:val="0060045D"/>
    <w:rsid w:val="00600D36"/>
    <w:rsid w:val="0060285B"/>
    <w:rsid w:val="00602F5F"/>
    <w:rsid w:val="006035E6"/>
    <w:rsid w:val="00614BDE"/>
    <w:rsid w:val="00615E26"/>
    <w:rsid w:val="00616574"/>
    <w:rsid w:val="00616D9D"/>
    <w:rsid w:val="006178D1"/>
    <w:rsid w:val="0061793A"/>
    <w:rsid w:val="006206A8"/>
    <w:rsid w:val="00620ECA"/>
    <w:rsid w:val="006215C4"/>
    <w:rsid w:val="00623A7A"/>
    <w:rsid w:val="00623BE1"/>
    <w:rsid w:val="0062405D"/>
    <w:rsid w:val="006246B5"/>
    <w:rsid w:val="00626735"/>
    <w:rsid w:val="00626D2D"/>
    <w:rsid w:val="0063094C"/>
    <w:rsid w:val="00630BE5"/>
    <w:rsid w:val="00632D7D"/>
    <w:rsid w:val="0063500F"/>
    <w:rsid w:val="00635198"/>
    <w:rsid w:val="00635362"/>
    <w:rsid w:val="00635E26"/>
    <w:rsid w:val="00641437"/>
    <w:rsid w:val="006416EC"/>
    <w:rsid w:val="0064554E"/>
    <w:rsid w:val="00647F16"/>
    <w:rsid w:val="00650F8C"/>
    <w:rsid w:val="0065113B"/>
    <w:rsid w:val="00653DA2"/>
    <w:rsid w:val="00654063"/>
    <w:rsid w:val="006550C7"/>
    <w:rsid w:val="006627DC"/>
    <w:rsid w:val="006672EF"/>
    <w:rsid w:val="006718BB"/>
    <w:rsid w:val="00671E60"/>
    <w:rsid w:val="0067440B"/>
    <w:rsid w:val="00674B8F"/>
    <w:rsid w:val="00675CDE"/>
    <w:rsid w:val="00676FC8"/>
    <w:rsid w:val="006811F8"/>
    <w:rsid w:val="00683390"/>
    <w:rsid w:val="00684723"/>
    <w:rsid w:val="0068472D"/>
    <w:rsid w:val="0068597D"/>
    <w:rsid w:val="006861A1"/>
    <w:rsid w:val="00692C81"/>
    <w:rsid w:val="006932B8"/>
    <w:rsid w:val="006933AE"/>
    <w:rsid w:val="0069365D"/>
    <w:rsid w:val="00697456"/>
    <w:rsid w:val="006A0776"/>
    <w:rsid w:val="006A18AE"/>
    <w:rsid w:val="006A1F62"/>
    <w:rsid w:val="006A3994"/>
    <w:rsid w:val="006A5DF0"/>
    <w:rsid w:val="006A707A"/>
    <w:rsid w:val="006A7390"/>
    <w:rsid w:val="006B0205"/>
    <w:rsid w:val="006B04C7"/>
    <w:rsid w:val="006B09EB"/>
    <w:rsid w:val="006B1B65"/>
    <w:rsid w:val="006B2162"/>
    <w:rsid w:val="006B404B"/>
    <w:rsid w:val="006B4771"/>
    <w:rsid w:val="006B7480"/>
    <w:rsid w:val="006B75DC"/>
    <w:rsid w:val="006B783E"/>
    <w:rsid w:val="006C1A11"/>
    <w:rsid w:val="006C31F5"/>
    <w:rsid w:val="006C3F95"/>
    <w:rsid w:val="006C4CE0"/>
    <w:rsid w:val="006C58C4"/>
    <w:rsid w:val="006C6621"/>
    <w:rsid w:val="006C6A16"/>
    <w:rsid w:val="006C7C0A"/>
    <w:rsid w:val="006D3267"/>
    <w:rsid w:val="006D397E"/>
    <w:rsid w:val="006D3DF1"/>
    <w:rsid w:val="006D4F6C"/>
    <w:rsid w:val="006D5B79"/>
    <w:rsid w:val="006E115B"/>
    <w:rsid w:val="006E4D1B"/>
    <w:rsid w:val="006E5FF9"/>
    <w:rsid w:val="006E71F9"/>
    <w:rsid w:val="006F0C21"/>
    <w:rsid w:val="006F0EEF"/>
    <w:rsid w:val="006F2193"/>
    <w:rsid w:val="006F3807"/>
    <w:rsid w:val="006F601D"/>
    <w:rsid w:val="00700CEE"/>
    <w:rsid w:val="007054C6"/>
    <w:rsid w:val="00707268"/>
    <w:rsid w:val="00707968"/>
    <w:rsid w:val="00707F30"/>
    <w:rsid w:val="007101EC"/>
    <w:rsid w:val="007122BD"/>
    <w:rsid w:val="00712789"/>
    <w:rsid w:val="00712A91"/>
    <w:rsid w:val="00712F89"/>
    <w:rsid w:val="007147EE"/>
    <w:rsid w:val="00715F72"/>
    <w:rsid w:val="007176A5"/>
    <w:rsid w:val="00720D0C"/>
    <w:rsid w:val="007228F1"/>
    <w:rsid w:val="00723A1A"/>
    <w:rsid w:val="0072438A"/>
    <w:rsid w:val="00724A34"/>
    <w:rsid w:val="007253E5"/>
    <w:rsid w:val="00736034"/>
    <w:rsid w:val="00737375"/>
    <w:rsid w:val="00746176"/>
    <w:rsid w:val="007508E1"/>
    <w:rsid w:val="007512ED"/>
    <w:rsid w:val="0075160A"/>
    <w:rsid w:val="00752EBE"/>
    <w:rsid w:val="00760268"/>
    <w:rsid w:val="00762ABF"/>
    <w:rsid w:val="007655F9"/>
    <w:rsid w:val="007664CE"/>
    <w:rsid w:val="0077171A"/>
    <w:rsid w:val="0077284C"/>
    <w:rsid w:val="00774D70"/>
    <w:rsid w:val="0077544E"/>
    <w:rsid w:val="00775458"/>
    <w:rsid w:val="0077550F"/>
    <w:rsid w:val="00782221"/>
    <w:rsid w:val="007822D5"/>
    <w:rsid w:val="00782993"/>
    <w:rsid w:val="007855B1"/>
    <w:rsid w:val="0078648F"/>
    <w:rsid w:val="00786C53"/>
    <w:rsid w:val="00790842"/>
    <w:rsid w:val="00790A31"/>
    <w:rsid w:val="007924A2"/>
    <w:rsid w:val="007935F8"/>
    <w:rsid w:val="00797FC6"/>
    <w:rsid w:val="007A0F08"/>
    <w:rsid w:val="007A28C8"/>
    <w:rsid w:val="007A3106"/>
    <w:rsid w:val="007A43C4"/>
    <w:rsid w:val="007A5453"/>
    <w:rsid w:val="007A595F"/>
    <w:rsid w:val="007A6D47"/>
    <w:rsid w:val="007B2201"/>
    <w:rsid w:val="007B2FED"/>
    <w:rsid w:val="007B30F2"/>
    <w:rsid w:val="007B5192"/>
    <w:rsid w:val="007B5D07"/>
    <w:rsid w:val="007B5F21"/>
    <w:rsid w:val="007B67E7"/>
    <w:rsid w:val="007C21AC"/>
    <w:rsid w:val="007C45F7"/>
    <w:rsid w:val="007C57DB"/>
    <w:rsid w:val="007D052F"/>
    <w:rsid w:val="007D2364"/>
    <w:rsid w:val="007D2E70"/>
    <w:rsid w:val="007D402C"/>
    <w:rsid w:val="007D5DCF"/>
    <w:rsid w:val="007D6333"/>
    <w:rsid w:val="007E0362"/>
    <w:rsid w:val="007F10EE"/>
    <w:rsid w:val="007F3DE8"/>
    <w:rsid w:val="008004B7"/>
    <w:rsid w:val="008004F6"/>
    <w:rsid w:val="008016C6"/>
    <w:rsid w:val="0080225A"/>
    <w:rsid w:val="00803E7C"/>
    <w:rsid w:val="00806F98"/>
    <w:rsid w:val="008105C9"/>
    <w:rsid w:val="0081173C"/>
    <w:rsid w:val="00814178"/>
    <w:rsid w:val="00814857"/>
    <w:rsid w:val="00815EC3"/>
    <w:rsid w:val="00817ECF"/>
    <w:rsid w:val="008201E1"/>
    <w:rsid w:val="00820354"/>
    <w:rsid w:val="00821ECE"/>
    <w:rsid w:val="00822928"/>
    <w:rsid w:val="0082294E"/>
    <w:rsid w:val="00825790"/>
    <w:rsid w:val="00826B60"/>
    <w:rsid w:val="00831541"/>
    <w:rsid w:val="0083573A"/>
    <w:rsid w:val="00836713"/>
    <w:rsid w:val="008437AA"/>
    <w:rsid w:val="0084599D"/>
    <w:rsid w:val="00846B27"/>
    <w:rsid w:val="00846C73"/>
    <w:rsid w:val="0085019D"/>
    <w:rsid w:val="0085400F"/>
    <w:rsid w:val="00855E36"/>
    <w:rsid w:val="00856F3E"/>
    <w:rsid w:val="0086319D"/>
    <w:rsid w:val="008653C0"/>
    <w:rsid w:val="00867395"/>
    <w:rsid w:val="008679B5"/>
    <w:rsid w:val="00867BB4"/>
    <w:rsid w:val="0087126E"/>
    <w:rsid w:val="00873B4C"/>
    <w:rsid w:val="00873F48"/>
    <w:rsid w:val="0087465E"/>
    <w:rsid w:val="00875FED"/>
    <w:rsid w:val="00881EBC"/>
    <w:rsid w:val="00883116"/>
    <w:rsid w:val="0088315D"/>
    <w:rsid w:val="00884971"/>
    <w:rsid w:val="0088502F"/>
    <w:rsid w:val="00890663"/>
    <w:rsid w:val="00890A01"/>
    <w:rsid w:val="008912D4"/>
    <w:rsid w:val="00891806"/>
    <w:rsid w:val="00891B48"/>
    <w:rsid w:val="008949BB"/>
    <w:rsid w:val="00894ACD"/>
    <w:rsid w:val="00895AAE"/>
    <w:rsid w:val="0089606C"/>
    <w:rsid w:val="008A05C0"/>
    <w:rsid w:val="008A0BAF"/>
    <w:rsid w:val="008A138A"/>
    <w:rsid w:val="008A48A9"/>
    <w:rsid w:val="008A4BC7"/>
    <w:rsid w:val="008A57F8"/>
    <w:rsid w:val="008A5D82"/>
    <w:rsid w:val="008B0D98"/>
    <w:rsid w:val="008B2FBB"/>
    <w:rsid w:val="008C1D9B"/>
    <w:rsid w:val="008C455C"/>
    <w:rsid w:val="008C4FA9"/>
    <w:rsid w:val="008C50E8"/>
    <w:rsid w:val="008C604B"/>
    <w:rsid w:val="008D30FB"/>
    <w:rsid w:val="008D4B76"/>
    <w:rsid w:val="008D6214"/>
    <w:rsid w:val="008D670B"/>
    <w:rsid w:val="008D7669"/>
    <w:rsid w:val="008E0DAD"/>
    <w:rsid w:val="008E2010"/>
    <w:rsid w:val="008E371A"/>
    <w:rsid w:val="008E3793"/>
    <w:rsid w:val="008E4A51"/>
    <w:rsid w:val="008E78B1"/>
    <w:rsid w:val="008F0C02"/>
    <w:rsid w:val="008F21DC"/>
    <w:rsid w:val="008F2DE8"/>
    <w:rsid w:val="008F3427"/>
    <w:rsid w:val="008F6093"/>
    <w:rsid w:val="009053A8"/>
    <w:rsid w:val="00906D72"/>
    <w:rsid w:val="00906EB0"/>
    <w:rsid w:val="00907EA3"/>
    <w:rsid w:val="00911703"/>
    <w:rsid w:val="00913D9A"/>
    <w:rsid w:val="0092031A"/>
    <w:rsid w:val="0092347E"/>
    <w:rsid w:val="009241F8"/>
    <w:rsid w:val="00925A9D"/>
    <w:rsid w:val="009277DB"/>
    <w:rsid w:val="0093017B"/>
    <w:rsid w:val="00932DA3"/>
    <w:rsid w:val="00934813"/>
    <w:rsid w:val="009349E6"/>
    <w:rsid w:val="00936392"/>
    <w:rsid w:val="009363E8"/>
    <w:rsid w:val="009366D2"/>
    <w:rsid w:val="00940C46"/>
    <w:rsid w:val="00944C17"/>
    <w:rsid w:val="0094657F"/>
    <w:rsid w:val="009468FF"/>
    <w:rsid w:val="0095223F"/>
    <w:rsid w:val="009553F7"/>
    <w:rsid w:val="00956A72"/>
    <w:rsid w:val="00956BE1"/>
    <w:rsid w:val="00956DC6"/>
    <w:rsid w:val="00960CD1"/>
    <w:rsid w:val="009622D5"/>
    <w:rsid w:val="009624CA"/>
    <w:rsid w:val="00963D58"/>
    <w:rsid w:val="00964CC6"/>
    <w:rsid w:val="009665E3"/>
    <w:rsid w:val="00970344"/>
    <w:rsid w:val="00972353"/>
    <w:rsid w:val="009740A8"/>
    <w:rsid w:val="00974268"/>
    <w:rsid w:val="00974585"/>
    <w:rsid w:val="00975051"/>
    <w:rsid w:val="009763F5"/>
    <w:rsid w:val="00976D3D"/>
    <w:rsid w:val="00977627"/>
    <w:rsid w:val="009810BE"/>
    <w:rsid w:val="009837B0"/>
    <w:rsid w:val="00985EBF"/>
    <w:rsid w:val="00990E42"/>
    <w:rsid w:val="00991096"/>
    <w:rsid w:val="00991443"/>
    <w:rsid w:val="009A05F1"/>
    <w:rsid w:val="009A15BC"/>
    <w:rsid w:val="009A1662"/>
    <w:rsid w:val="009A4247"/>
    <w:rsid w:val="009A57B3"/>
    <w:rsid w:val="009B126A"/>
    <w:rsid w:val="009B2183"/>
    <w:rsid w:val="009B2D58"/>
    <w:rsid w:val="009B419E"/>
    <w:rsid w:val="009B6E43"/>
    <w:rsid w:val="009B7887"/>
    <w:rsid w:val="009C1642"/>
    <w:rsid w:val="009C2049"/>
    <w:rsid w:val="009C5F1E"/>
    <w:rsid w:val="009D02DF"/>
    <w:rsid w:val="009D254C"/>
    <w:rsid w:val="009D4A2F"/>
    <w:rsid w:val="009E1E24"/>
    <w:rsid w:val="009E2FCB"/>
    <w:rsid w:val="009E40E1"/>
    <w:rsid w:val="009E5173"/>
    <w:rsid w:val="009E6A76"/>
    <w:rsid w:val="009F0E66"/>
    <w:rsid w:val="009F19FC"/>
    <w:rsid w:val="009F50C4"/>
    <w:rsid w:val="009F52EA"/>
    <w:rsid w:val="009F64D9"/>
    <w:rsid w:val="009F6BE9"/>
    <w:rsid w:val="00A01D2D"/>
    <w:rsid w:val="00A03E12"/>
    <w:rsid w:val="00A1115A"/>
    <w:rsid w:val="00A12E06"/>
    <w:rsid w:val="00A14467"/>
    <w:rsid w:val="00A14655"/>
    <w:rsid w:val="00A14F79"/>
    <w:rsid w:val="00A16A86"/>
    <w:rsid w:val="00A171A4"/>
    <w:rsid w:val="00A249B5"/>
    <w:rsid w:val="00A2646A"/>
    <w:rsid w:val="00A2693A"/>
    <w:rsid w:val="00A32167"/>
    <w:rsid w:val="00A32D95"/>
    <w:rsid w:val="00A33A89"/>
    <w:rsid w:val="00A351AD"/>
    <w:rsid w:val="00A35348"/>
    <w:rsid w:val="00A37C68"/>
    <w:rsid w:val="00A41CDB"/>
    <w:rsid w:val="00A430F0"/>
    <w:rsid w:val="00A4311D"/>
    <w:rsid w:val="00A44972"/>
    <w:rsid w:val="00A464BF"/>
    <w:rsid w:val="00A4719D"/>
    <w:rsid w:val="00A47EE3"/>
    <w:rsid w:val="00A5542A"/>
    <w:rsid w:val="00A55D58"/>
    <w:rsid w:val="00A6188C"/>
    <w:rsid w:val="00A624FD"/>
    <w:rsid w:val="00A625F4"/>
    <w:rsid w:val="00A62987"/>
    <w:rsid w:val="00A63223"/>
    <w:rsid w:val="00A64AB7"/>
    <w:rsid w:val="00A66D01"/>
    <w:rsid w:val="00A67663"/>
    <w:rsid w:val="00A67706"/>
    <w:rsid w:val="00A67792"/>
    <w:rsid w:val="00A70787"/>
    <w:rsid w:val="00A71D1F"/>
    <w:rsid w:val="00A754B0"/>
    <w:rsid w:val="00A7697E"/>
    <w:rsid w:val="00A813B6"/>
    <w:rsid w:val="00A825A6"/>
    <w:rsid w:val="00A84A0B"/>
    <w:rsid w:val="00A84CBA"/>
    <w:rsid w:val="00A84CFF"/>
    <w:rsid w:val="00A857AB"/>
    <w:rsid w:val="00A873F0"/>
    <w:rsid w:val="00A930AF"/>
    <w:rsid w:val="00A93EAE"/>
    <w:rsid w:val="00A94BFB"/>
    <w:rsid w:val="00A94F9D"/>
    <w:rsid w:val="00A957CC"/>
    <w:rsid w:val="00A96ED1"/>
    <w:rsid w:val="00AA0D0A"/>
    <w:rsid w:val="00AA183E"/>
    <w:rsid w:val="00AA32D0"/>
    <w:rsid w:val="00AA3B1B"/>
    <w:rsid w:val="00AA4783"/>
    <w:rsid w:val="00AA6134"/>
    <w:rsid w:val="00AA6AA6"/>
    <w:rsid w:val="00AA7420"/>
    <w:rsid w:val="00AA7C20"/>
    <w:rsid w:val="00AB0D1E"/>
    <w:rsid w:val="00AB0EA3"/>
    <w:rsid w:val="00AB134A"/>
    <w:rsid w:val="00AB1475"/>
    <w:rsid w:val="00AB4476"/>
    <w:rsid w:val="00AB7966"/>
    <w:rsid w:val="00AC09F8"/>
    <w:rsid w:val="00AC15C3"/>
    <w:rsid w:val="00AC1EE2"/>
    <w:rsid w:val="00AC58C1"/>
    <w:rsid w:val="00AC684F"/>
    <w:rsid w:val="00AD118F"/>
    <w:rsid w:val="00AD1EA4"/>
    <w:rsid w:val="00AD39C2"/>
    <w:rsid w:val="00AD3E49"/>
    <w:rsid w:val="00AD4447"/>
    <w:rsid w:val="00AD53B6"/>
    <w:rsid w:val="00AD5D9A"/>
    <w:rsid w:val="00AD6B65"/>
    <w:rsid w:val="00AD7303"/>
    <w:rsid w:val="00AE102B"/>
    <w:rsid w:val="00AE105C"/>
    <w:rsid w:val="00AE24CE"/>
    <w:rsid w:val="00AE7098"/>
    <w:rsid w:val="00AF7083"/>
    <w:rsid w:val="00B02940"/>
    <w:rsid w:val="00B04854"/>
    <w:rsid w:val="00B0540B"/>
    <w:rsid w:val="00B06038"/>
    <w:rsid w:val="00B06873"/>
    <w:rsid w:val="00B071CF"/>
    <w:rsid w:val="00B11316"/>
    <w:rsid w:val="00B12F56"/>
    <w:rsid w:val="00B13F16"/>
    <w:rsid w:val="00B147D7"/>
    <w:rsid w:val="00B1603C"/>
    <w:rsid w:val="00B16B79"/>
    <w:rsid w:val="00B20F25"/>
    <w:rsid w:val="00B21611"/>
    <w:rsid w:val="00B21718"/>
    <w:rsid w:val="00B22AE4"/>
    <w:rsid w:val="00B23C3F"/>
    <w:rsid w:val="00B2451F"/>
    <w:rsid w:val="00B252B8"/>
    <w:rsid w:val="00B273CD"/>
    <w:rsid w:val="00B30488"/>
    <w:rsid w:val="00B3200C"/>
    <w:rsid w:val="00B331D6"/>
    <w:rsid w:val="00B33E2E"/>
    <w:rsid w:val="00B34962"/>
    <w:rsid w:val="00B4265D"/>
    <w:rsid w:val="00B44C57"/>
    <w:rsid w:val="00B47235"/>
    <w:rsid w:val="00B524F7"/>
    <w:rsid w:val="00B527B5"/>
    <w:rsid w:val="00B54015"/>
    <w:rsid w:val="00B6130E"/>
    <w:rsid w:val="00B64FB0"/>
    <w:rsid w:val="00B6513E"/>
    <w:rsid w:val="00B6647C"/>
    <w:rsid w:val="00B664F7"/>
    <w:rsid w:val="00B66C3D"/>
    <w:rsid w:val="00B67CC2"/>
    <w:rsid w:val="00B72CC3"/>
    <w:rsid w:val="00B72E56"/>
    <w:rsid w:val="00B734B4"/>
    <w:rsid w:val="00B737FC"/>
    <w:rsid w:val="00B74B1B"/>
    <w:rsid w:val="00B80AA7"/>
    <w:rsid w:val="00B80ABD"/>
    <w:rsid w:val="00B81E79"/>
    <w:rsid w:val="00B82D4C"/>
    <w:rsid w:val="00B850E7"/>
    <w:rsid w:val="00B86964"/>
    <w:rsid w:val="00B90F61"/>
    <w:rsid w:val="00B92067"/>
    <w:rsid w:val="00B92E75"/>
    <w:rsid w:val="00B95587"/>
    <w:rsid w:val="00B97E5A"/>
    <w:rsid w:val="00BA09DA"/>
    <w:rsid w:val="00BA2019"/>
    <w:rsid w:val="00BA4A4D"/>
    <w:rsid w:val="00BA4FBB"/>
    <w:rsid w:val="00BA5A61"/>
    <w:rsid w:val="00BB1CDA"/>
    <w:rsid w:val="00BB23B6"/>
    <w:rsid w:val="00BB4ED8"/>
    <w:rsid w:val="00BB596F"/>
    <w:rsid w:val="00BB6C9C"/>
    <w:rsid w:val="00BC17FA"/>
    <w:rsid w:val="00BC23D2"/>
    <w:rsid w:val="00BC2EC7"/>
    <w:rsid w:val="00BC30AB"/>
    <w:rsid w:val="00BC5D91"/>
    <w:rsid w:val="00BC72FC"/>
    <w:rsid w:val="00BC7BCC"/>
    <w:rsid w:val="00BD038F"/>
    <w:rsid w:val="00BD0FFD"/>
    <w:rsid w:val="00BD22EA"/>
    <w:rsid w:val="00BD2B19"/>
    <w:rsid w:val="00BD77D5"/>
    <w:rsid w:val="00BE33B9"/>
    <w:rsid w:val="00BE5A9E"/>
    <w:rsid w:val="00BE76D2"/>
    <w:rsid w:val="00BF016A"/>
    <w:rsid w:val="00BF2B34"/>
    <w:rsid w:val="00BF3463"/>
    <w:rsid w:val="00BF37E8"/>
    <w:rsid w:val="00BF5798"/>
    <w:rsid w:val="00BF74F1"/>
    <w:rsid w:val="00C033B4"/>
    <w:rsid w:val="00C0427D"/>
    <w:rsid w:val="00C05146"/>
    <w:rsid w:val="00C06F6F"/>
    <w:rsid w:val="00C11C5A"/>
    <w:rsid w:val="00C12D9B"/>
    <w:rsid w:val="00C14039"/>
    <w:rsid w:val="00C15E08"/>
    <w:rsid w:val="00C16DCD"/>
    <w:rsid w:val="00C2590E"/>
    <w:rsid w:val="00C25C1D"/>
    <w:rsid w:val="00C2635B"/>
    <w:rsid w:val="00C329AA"/>
    <w:rsid w:val="00C342C8"/>
    <w:rsid w:val="00C376A3"/>
    <w:rsid w:val="00C42619"/>
    <w:rsid w:val="00C42AB8"/>
    <w:rsid w:val="00C42C9A"/>
    <w:rsid w:val="00C437D7"/>
    <w:rsid w:val="00C439E7"/>
    <w:rsid w:val="00C44590"/>
    <w:rsid w:val="00C44DC5"/>
    <w:rsid w:val="00C45DF4"/>
    <w:rsid w:val="00C46F79"/>
    <w:rsid w:val="00C47560"/>
    <w:rsid w:val="00C517FB"/>
    <w:rsid w:val="00C54761"/>
    <w:rsid w:val="00C56BEB"/>
    <w:rsid w:val="00C61B15"/>
    <w:rsid w:val="00C62CB3"/>
    <w:rsid w:val="00C63DA4"/>
    <w:rsid w:val="00C70ADB"/>
    <w:rsid w:val="00C73665"/>
    <w:rsid w:val="00C73CA5"/>
    <w:rsid w:val="00C75C1F"/>
    <w:rsid w:val="00C766E2"/>
    <w:rsid w:val="00C76A0A"/>
    <w:rsid w:val="00C77A3F"/>
    <w:rsid w:val="00C77E06"/>
    <w:rsid w:val="00C81DE6"/>
    <w:rsid w:val="00C820D6"/>
    <w:rsid w:val="00C835F3"/>
    <w:rsid w:val="00C85053"/>
    <w:rsid w:val="00C85A7B"/>
    <w:rsid w:val="00C867B3"/>
    <w:rsid w:val="00C875A6"/>
    <w:rsid w:val="00C902FE"/>
    <w:rsid w:val="00C9051A"/>
    <w:rsid w:val="00C90A91"/>
    <w:rsid w:val="00C911E7"/>
    <w:rsid w:val="00C941E7"/>
    <w:rsid w:val="00C94ECE"/>
    <w:rsid w:val="00C9758C"/>
    <w:rsid w:val="00CA1DB0"/>
    <w:rsid w:val="00CA2C07"/>
    <w:rsid w:val="00CA3AC4"/>
    <w:rsid w:val="00CA5845"/>
    <w:rsid w:val="00CA5D7B"/>
    <w:rsid w:val="00CB00FC"/>
    <w:rsid w:val="00CB0D03"/>
    <w:rsid w:val="00CB1672"/>
    <w:rsid w:val="00CB38D2"/>
    <w:rsid w:val="00CB464B"/>
    <w:rsid w:val="00CB4D90"/>
    <w:rsid w:val="00CC05F6"/>
    <w:rsid w:val="00CC1DAA"/>
    <w:rsid w:val="00CC3F4A"/>
    <w:rsid w:val="00CD26E3"/>
    <w:rsid w:val="00CD3CEA"/>
    <w:rsid w:val="00CD3F0E"/>
    <w:rsid w:val="00CD5A1C"/>
    <w:rsid w:val="00CD6C96"/>
    <w:rsid w:val="00CE19F9"/>
    <w:rsid w:val="00CE1D09"/>
    <w:rsid w:val="00CE2D48"/>
    <w:rsid w:val="00CE30F2"/>
    <w:rsid w:val="00CE421E"/>
    <w:rsid w:val="00CE4E4E"/>
    <w:rsid w:val="00CE6920"/>
    <w:rsid w:val="00CE7BAE"/>
    <w:rsid w:val="00CF0FC4"/>
    <w:rsid w:val="00CF287B"/>
    <w:rsid w:val="00CF2B1C"/>
    <w:rsid w:val="00CF35E8"/>
    <w:rsid w:val="00CF40C2"/>
    <w:rsid w:val="00CF4470"/>
    <w:rsid w:val="00CF4A0B"/>
    <w:rsid w:val="00CF5613"/>
    <w:rsid w:val="00CF5B7E"/>
    <w:rsid w:val="00CF6AD0"/>
    <w:rsid w:val="00D00A6A"/>
    <w:rsid w:val="00D015CF"/>
    <w:rsid w:val="00D02803"/>
    <w:rsid w:val="00D03F8D"/>
    <w:rsid w:val="00D06B33"/>
    <w:rsid w:val="00D07CA0"/>
    <w:rsid w:val="00D10D6C"/>
    <w:rsid w:val="00D11DE2"/>
    <w:rsid w:val="00D1212F"/>
    <w:rsid w:val="00D12558"/>
    <w:rsid w:val="00D1296D"/>
    <w:rsid w:val="00D12CBA"/>
    <w:rsid w:val="00D13932"/>
    <w:rsid w:val="00D13A68"/>
    <w:rsid w:val="00D152B7"/>
    <w:rsid w:val="00D1599A"/>
    <w:rsid w:val="00D16CC0"/>
    <w:rsid w:val="00D20A21"/>
    <w:rsid w:val="00D20A6E"/>
    <w:rsid w:val="00D22F3E"/>
    <w:rsid w:val="00D236FD"/>
    <w:rsid w:val="00D25880"/>
    <w:rsid w:val="00D2630F"/>
    <w:rsid w:val="00D265AA"/>
    <w:rsid w:val="00D26B14"/>
    <w:rsid w:val="00D31F7E"/>
    <w:rsid w:val="00D336BE"/>
    <w:rsid w:val="00D35766"/>
    <w:rsid w:val="00D35B74"/>
    <w:rsid w:val="00D37192"/>
    <w:rsid w:val="00D37604"/>
    <w:rsid w:val="00D42304"/>
    <w:rsid w:val="00D443F2"/>
    <w:rsid w:val="00D44FAD"/>
    <w:rsid w:val="00D478C7"/>
    <w:rsid w:val="00D50627"/>
    <w:rsid w:val="00D513CA"/>
    <w:rsid w:val="00D55BF5"/>
    <w:rsid w:val="00D567B2"/>
    <w:rsid w:val="00D57144"/>
    <w:rsid w:val="00D61452"/>
    <w:rsid w:val="00D61586"/>
    <w:rsid w:val="00D637DE"/>
    <w:rsid w:val="00D6381A"/>
    <w:rsid w:val="00D64BE7"/>
    <w:rsid w:val="00D710A8"/>
    <w:rsid w:val="00D71C10"/>
    <w:rsid w:val="00D71C32"/>
    <w:rsid w:val="00D72272"/>
    <w:rsid w:val="00D722FD"/>
    <w:rsid w:val="00D72696"/>
    <w:rsid w:val="00D730CE"/>
    <w:rsid w:val="00D742CD"/>
    <w:rsid w:val="00D7560B"/>
    <w:rsid w:val="00D75BF8"/>
    <w:rsid w:val="00D77372"/>
    <w:rsid w:val="00D7737F"/>
    <w:rsid w:val="00D80AE7"/>
    <w:rsid w:val="00D84920"/>
    <w:rsid w:val="00D866BF"/>
    <w:rsid w:val="00D86989"/>
    <w:rsid w:val="00D87856"/>
    <w:rsid w:val="00D9090B"/>
    <w:rsid w:val="00D90EE3"/>
    <w:rsid w:val="00D952AA"/>
    <w:rsid w:val="00D97019"/>
    <w:rsid w:val="00DA20A5"/>
    <w:rsid w:val="00DA2DC3"/>
    <w:rsid w:val="00DA320E"/>
    <w:rsid w:val="00DA3681"/>
    <w:rsid w:val="00DA3F99"/>
    <w:rsid w:val="00DA5ACA"/>
    <w:rsid w:val="00DB01B5"/>
    <w:rsid w:val="00DB3F2C"/>
    <w:rsid w:val="00DB4D1F"/>
    <w:rsid w:val="00DB5A44"/>
    <w:rsid w:val="00DB61EF"/>
    <w:rsid w:val="00DC1413"/>
    <w:rsid w:val="00DC145A"/>
    <w:rsid w:val="00DC2BD2"/>
    <w:rsid w:val="00DC307D"/>
    <w:rsid w:val="00DC3771"/>
    <w:rsid w:val="00DC3D8A"/>
    <w:rsid w:val="00DC42C6"/>
    <w:rsid w:val="00DC481F"/>
    <w:rsid w:val="00DC4C9E"/>
    <w:rsid w:val="00DC59B6"/>
    <w:rsid w:val="00DC66E7"/>
    <w:rsid w:val="00DC6821"/>
    <w:rsid w:val="00DC7C79"/>
    <w:rsid w:val="00DD1586"/>
    <w:rsid w:val="00DD1A16"/>
    <w:rsid w:val="00DD249B"/>
    <w:rsid w:val="00DD72B2"/>
    <w:rsid w:val="00DE29EC"/>
    <w:rsid w:val="00DE6F38"/>
    <w:rsid w:val="00DF42E9"/>
    <w:rsid w:val="00DF5370"/>
    <w:rsid w:val="00DF7F14"/>
    <w:rsid w:val="00E02900"/>
    <w:rsid w:val="00E0330A"/>
    <w:rsid w:val="00E0698F"/>
    <w:rsid w:val="00E1006E"/>
    <w:rsid w:val="00E106C8"/>
    <w:rsid w:val="00E111CF"/>
    <w:rsid w:val="00E1269F"/>
    <w:rsid w:val="00E12FD4"/>
    <w:rsid w:val="00E142DA"/>
    <w:rsid w:val="00E146C7"/>
    <w:rsid w:val="00E1623F"/>
    <w:rsid w:val="00E23C78"/>
    <w:rsid w:val="00E2433E"/>
    <w:rsid w:val="00E25512"/>
    <w:rsid w:val="00E25E1A"/>
    <w:rsid w:val="00E3108A"/>
    <w:rsid w:val="00E318C7"/>
    <w:rsid w:val="00E33290"/>
    <w:rsid w:val="00E33892"/>
    <w:rsid w:val="00E34A5D"/>
    <w:rsid w:val="00E375A3"/>
    <w:rsid w:val="00E41115"/>
    <w:rsid w:val="00E439C4"/>
    <w:rsid w:val="00E44699"/>
    <w:rsid w:val="00E44FAD"/>
    <w:rsid w:val="00E461BB"/>
    <w:rsid w:val="00E46FF0"/>
    <w:rsid w:val="00E54AD0"/>
    <w:rsid w:val="00E54BA9"/>
    <w:rsid w:val="00E56F63"/>
    <w:rsid w:val="00E573D4"/>
    <w:rsid w:val="00E6768D"/>
    <w:rsid w:val="00E67DB0"/>
    <w:rsid w:val="00E72175"/>
    <w:rsid w:val="00E72674"/>
    <w:rsid w:val="00E72F7F"/>
    <w:rsid w:val="00E74920"/>
    <w:rsid w:val="00E768C4"/>
    <w:rsid w:val="00E77904"/>
    <w:rsid w:val="00E80184"/>
    <w:rsid w:val="00E808D2"/>
    <w:rsid w:val="00E81270"/>
    <w:rsid w:val="00E82676"/>
    <w:rsid w:val="00E854BB"/>
    <w:rsid w:val="00E87002"/>
    <w:rsid w:val="00E874BA"/>
    <w:rsid w:val="00E8775E"/>
    <w:rsid w:val="00E90D3A"/>
    <w:rsid w:val="00E91911"/>
    <w:rsid w:val="00E91AB2"/>
    <w:rsid w:val="00E91E1B"/>
    <w:rsid w:val="00E9210F"/>
    <w:rsid w:val="00E92C42"/>
    <w:rsid w:val="00EA1317"/>
    <w:rsid w:val="00EA2D67"/>
    <w:rsid w:val="00EA3178"/>
    <w:rsid w:val="00EA6232"/>
    <w:rsid w:val="00EB040A"/>
    <w:rsid w:val="00EB0FFF"/>
    <w:rsid w:val="00EB5AFE"/>
    <w:rsid w:val="00EB694F"/>
    <w:rsid w:val="00EB6B5C"/>
    <w:rsid w:val="00EB7733"/>
    <w:rsid w:val="00EB7EE1"/>
    <w:rsid w:val="00EC02F6"/>
    <w:rsid w:val="00EC1325"/>
    <w:rsid w:val="00EC18CF"/>
    <w:rsid w:val="00EC268D"/>
    <w:rsid w:val="00EC3622"/>
    <w:rsid w:val="00EC6BBF"/>
    <w:rsid w:val="00EC703B"/>
    <w:rsid w:val="00ED377C"/>
    <w:rsid w:val="00ED4821"/>
    <w:rsid w:val="00ED61A7"/>
    <w:rsid w:val="00ED7239"/>
    <w:rsid w:val="00EE4562"/>
    <w:rsid w:val="00EF0179"/>
    <w:rsid w:val="00EF295A"/>
    <w:rsid w:val="00EF32F7"/>
    <w:rsid w:val="00EF4F1D"/>
    <w:rsid w:val="00EF6562"/>
    <w:rsid w:val="00F02903"/>
    <w:rsid w:val="00F10C11"/>
    <w:rsid w:val="00F1168A"/>
    <w:rsid w:val="00F11B3E"/>
    <w:rsid w:val="00F12EAF"/>
    <w:rsid w:val="00F13523"/>
    <w:rsid w:val="00F16393"/>
    <w:rsid w:val="00F16805"/>
    <w:rsid w:val="00F16CCE"/>
    <w:rsid w:val="00F17217"/>
    <w:rsid w:val="00F20085"/>
    <w:rsid w:val="00F212C8"/>
    <w:rsid w:val="00F21D40"/>
    <w:rsid w:val="00F21DF6"/>
    <w:rsid w:val="00F26DC1"/>
    <w:rsid w:val="00F26E35"/>
    <w:rsid w:val="00F27CA6"/>
    <w:rsid w:val="00F304C1"/>
    <w:rsid w:val="00F314F4"/>
    <w:rsid w:val="00F34088"/>
    <w:rsid w:val="00F346FE"/>
    <w:rsid w:val="00F35862"/>
    <w:rsid w:val="00F35A8A"/>
    <w:rsid w:val="00F3601F"/>
    <w:rsid w:val="00F44669"/>
    <w:rsid w:val="00F4503E"/>
    <w:rsid w:val="00F519AE"/>
    <w:rsid w:val="00F51ECE"/>
    <w:rsid w:val="00F532CB"/>
    <w:rsid w:val="00F56BE1"/>
    <w:rsid w:val="00F6241F"/>
    <w:rsid w:val="00F63FE8"/>
    <w:rsid w:val="00F64E64"/>
    <w:rsid w:val="00F669D3"/>
    <w:rsid w:val="00F71B31"/>
    <w:rsid w:val="00F740B5"/>
    <w:rsid w:val="00F76066"/>
    <w:rsid w:val="00F76887"/>
    <w:rsid w:val="00F800D9"/>
    <w:rsid w:val="00F83155"/>
    <w:rsid w:val="00F84B97"/>
    <w:rsid w:val="00F854AF"/>
    <w:rsid w:val="00F8561C"/>
    <w:rsid w:val="00F864DD"/>
    <w:rsid w:val="00F93727"/>
    <w:rsid w:val="00F94293"/>
    <w:rsid w:val="00F96AB5"/>
    <w:rsid w:val="00FA394D"/>
    <w:rsid w:val="00FA4C4D"/>
    <w:rsid w:val="00FA5624"/>
    <w:rsid w:val="00FA6156"/>
    <w:rsid w:val="00FB2B0F"/>
    <w:rsid w:val="00FB301F"/>
    <w:rsid w:val="00FB4D67"/>
    <w:rsid w:val="00FB5EE1"/>
    <w:rsid w:val="00FB64AB"/>
    <w:rsid w:val="00FB6553"/>
    <w:rsid w:val="00FB6D5A"/>
    <w:rsid w:val="00FC00CC"/>
    <w:rsid w:val="00FC05C3"/>
    <w:rsid w:val="00FC2970"/>
    <w:rsid w:val="00FC319F"/>
    <w:rsid w:val="00FC3FD8"/>
    <w:rsid w:val="00FC424D"/>
    <w:rsid w:val="00FC5933"/>
    <w:rsid w:val="00FC59C6"/>
    <w:rsid w:val="00FC78CA"/>
    <w:rsid w:val="00FD1DBC"/>
    <w:rsid w:val="00FD4EBE"/>
    <w:rsid w:val="00FD77C4"/>
    <w:rsid w:val="00FE07EB"/>
    <w:rsid w:val="00FE25C1"/>
    <w:rsid w:val="00FE27AD"/>
    <w:rsid w:val="00FE42A7"/>
    <w:rsid w:val="00FE5999"/>
    <w:rsid w:val="00FE65A7"/>
    <w:rsid w:val="00FE6B26"/>
    <w:rsid w:val="00FF2F0C"/>
    <w:rsid w:val="00FF59DE"/>
    <w:rsid w:val="00FF6492"/>
    <w:rsid w:val="00FF7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D4D1A9"/>
  <w15:chartTrackingRefBased/>
  <w15:docId w15:val="{0E236525-3FB9-4D05-AA25-98F43F36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FFD"/>
  </w:style>
  <w:style w:type="paragraph" w:styleId="Heading1">
    <w:name w:val="heading 1"/>
    <w:basedOn w:val="Normal"/>
    <w:next w:val="Normal"/>
    <w:link w:val="Heading1Char"/>
    <w:uiPriority w:val="9"/>
    <w:qFormat/>
    <w:rsid w:val="00925A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5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4A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5A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F4A0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40A1C"/>
    <w:rPr>
      <w:color w:val="0563C1" w:themeColor="hyperlink"/>
      <w:u w:val="single"/>
    </w:rPr>
  </w:style>
  <w:style w:type="paragraph" w:styleId="Header">
    <w:name w:val="header"/>
    <w:basedOn w:val="Normal"/>
    <w:link w:val="HeaderChar"/>
    <w:uiPriority w:val="99"/>
    <w:unhideWhenUsed/>
    <w:rsid w:val="00AB0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1E"/>
  </w:style>
  <w:style w:type="paragraph" w:styleId="Footer">
    <w:name w:val="footer"/>
    <w:basedOn w:val="Normal"/>
    <w:link w:val="FooterChar"/>
    <w:uiPriority w:val="99"/>
    <w:unhideWhenUsed/>
    <w:rsid w:val="00AB0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1E"/>
  </w:style>
  <w:style w:type="paragraph" w:styleId="TOCHeading">
    <w:name w:val="TOC Heading"/>
    <w:basedOn w:val="Heading1"/>
    <w:next w:val="Normal"/>
    <w:uiPriority w:val="39"/>
    <w:unhideWhenUsed/>
    <w:qFormat/>
    <w:rsid w:val="00C05146"/>
    <w:pPr>
      <w:outlineLvl w:val="9"/>
    </w:pPr>
  </w:style>
  <w:style w:type="paragraph" w:styleId="TOC1">
    <w:name w:val="toc 1"/>
    <w:basedOn w:val="Normal"/>
    <w:next w:val="Normal"/>
    <w:autoRedefine/>
    <w:uiPriority w:val="39"/>
    <w:unhideWhenUsed/>
    <w:rsid w:val="00C05146"/>
    <w:pPr>
      <w:spacing w:after="100"/>
    </w:pPr>
  </w:style>
  <w:style w:type="paragraph" w:styleId="TOC2">
    <w:name w:val="toc 2"/>
    <w:basedOn w:val="Normal"/>
    <w:next w:val="Normal"/>
    <w:autoRedefine/>
    <w:uiPriority w:val="39"/>
    <w:unhideWhenUsed/>
    <w:rsid w:val="00C05146"/>
    <w:pPr>
      <w:spacing w:after="100"/>
      <w:ind w:left="220"/>
    </w:pPr>
  </w:style>
  <w:style w:type="paragraph" w:styleId="TOC3">
    <w:name w:val="toc 3"/>
    <w:basedOn w:val="Normal"/>
    <w:next w:val="Normal"/>
    <w:autoRedefine/>
    <w:uiPriority w:val="39"/>
    <w:unhideWhenUsed/>
    <w:rsid w:val="00C05146"/>
    <w:pPr>
      <w:spacing w:after="100"/>
      <w:ind w:left="440"/>
    </w:pPr>
  </w:style>
  <w:style w:type="paragraph" w:styleId="TOC4">
    <w:name w:val="toc 4"/>
    <w:basedOn w:val="Normal"/>
    <w:next w:val="Normal"/>
    <w:autoRedefine/>
    <w:uiPriority w:val="39"/>
    <w:unhideWhenUsed/>
    <w:rsid w:val="00C05146"/>
    <w:pPr>
      <w:spacing w:after="100"/>
      <w:ind w:left="660"/>
    </w:pPr>
    <w:rPr>
      <w:rFonts w:eastAsiaTheme="minorEastAsia"/>
    </w:rPr>
  </w:style>
  <w:style w:type="paragraph" w:styleId="TOC5">
    <w:name w:val="toc 5"/>
    <w:basedOn w:val="Normal"/>
    <w:next w:val="Normal"/>
    <w:autoRedefine/>
    <w:uiPriority w:val="39"/>
    <w:unhideWhenUsed/>
    <w:rsid w:val="00C05146"/>
    <w:pPr>
      <w:spacing w:after="100"/>
      <w:ind w:left="880"/>
    </w:pPr>
    <w:rPr>
      <w:rFonts w:eastAsiaTheme="minorEastAsia"/>
    </w:rPr>
  </w:style>
  <w:style w:type="paragraph" w:styleId="TOC6">
    <w:name w:val="toc 6"/>
    <w:basedOn w:val="Normal"/>
    <w:next w:val="Normal"/>
    <w:autoRedefine/>
    <w:uiPriority w:val="39"/>
    <w:unhideWhenUsed/>
    <w:rsid w:val="00C05146"/>
    <w:pPr>
      <w:spacing w:after="100"/>
      <w:ind w:left="1100"/>
    </w:pPr>
    <w:rPr>
      <w:rFonts w:eastAsiaTheme="minorEastAsia"/>
    </w:rPr>
  </w:style>
  <w:style w:type="paragraph" w:styleId="TOC7">
    <w:name w:val="toc 7"/>
    <w:basedOn w:val="Normal"/>
    <w:next w:val="Normal"/>
    <w:autoRedefine/>
    <w:uiPriority w:val="39"/>
    <w:unhideWhenUsed/>
    <w:rsid w:val="00C05146"/>
    <w:pPr>
      <w:spacing w:after="100"/>
      <w:ind w:left="1320"/>
    </w:pPr>
    <w:rPr>
      <w:rFonts w:eastAsiaTheme="minorEastAsia"/>
    </w:rPr>
  </w:style>
  <w:style w:type="paragraph" w:styleId="TOC8">
    <w:name w:val="toc 8"/>
    <w:basedOn w:val="Normal"/>
    <w:next w:val="Normal"/>
    <w:autoRedefine/>
    <w:uiPriority w:val="39"/>
    <w:unhideWhenUsed/>
    <w:rsid w:val="00C05146"/>
    <w:pPr>
      <w:spacing w:after="100"/>
      <w:ind w:left="1540"/>
    </w:pPr>
    <w:rPr>
      <w:rFonts w:eastAsiaTheme="minorEastAsia"/>
    </w:rPr>
  </w:style>
  <w:style w:type="paragraph" w:styleId="TOC9">
    <w:name w:val="toc 9"/>
    <w:basedOn w:val="Normal"/>
    <w:next w:val="Normal"/>
    <w:autoRedefine/>
    <w:uiPriority w:val="39"/>
    <w:unhideWhenUsed/>
    <w:rsid w:val="00C05146"/>
    <w:pPr>
      <w:spacing w:after="100"/>
      <w:ind w:left="1760"/>
    </w:pPr>
    <w:rPr>
      <w:rFonts w:eastAsiaTheme="minorEastAsia"/>
    </w:rPr>
  </w:style>
  <w:style w:type="paragraph" w:styleId="TableofFigures">
    <w:name w:val="table of figures"/>
    <w:basedOn w:val="Normal"/>
    <w:next w:val="Normal"/>
    <w:uiPriority w:val="99"/>
    <w:unhideWhenUsed/>
    <w:rsid w:val="00157B2D"/>
    <w:pPr>
      <w:spacing w:after="0"/>
      <w:ind w:left="440" w:hanging="440"/>
    </w:pPr>
    <w:rPr>
      <w:rFonts w:cstheme="minorHAnsi"/>
      <w:b/>
      <w:bCs/>
      <w:sz w:val="20"/>
      <w:szCs w:val="20"/>
    </w:rPr>
  </w:style>
  <w:style w:type="paragraph" w:styleId="Caption">
    <w:name w:val="caption"/>
    <w:basedOn w:val="Normal"/>
    <w:next w:val="Normal"/>
    <w:uiPriority w:val="35"/>
    <w:unhideWhenUsed/>
    <w:qFormat/>
    <w:rsid w:val="001B7FEF"/>
    <w:pPr>
      <w:spacing w:after="200" w:line="240" w:lineRule="auto"/>
    </w:pPr>
    <w:rPr>
      <w:i/>
      <w:iCs/>
      <w:color w:val="44546A" w:themeColor="text2"/>
      <w:sz w:val="18"/>
      <w:szCs w:val="18"/>
    </w:rPr>
  </w:style>
  <w:style w:type="paragraph" w:styleId="ListParagraph">
    <w:name w:val="List Paragraph"/>
    <w:basedOn w:val="Normal"/>
    <w:uiPriority w:val="34"/>
    <w:qFormat/>
    <w:rsid w:val="00AA183E"/>
    <w:pPr>
      <w:ind w:left="720"/>
      <w:contextualSpacing/>
    </w:pPr>
  </w:style>
  <w:style w:type="table" w:styleId="TableGrid">
    <w:name w:val="Table Grid"/>
    <w:basedOn w:val="TableNormal"/>
    <w:uiPriority w:val="39"/>
    <w:rsid w:val="00B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0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7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390/jrfm1601000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40/epjds/s13688-024-00517-7" TargetMode="External"/><Relationship Id="rId4" Type="http://schemas.openxmlformats.org/officeDocument/2006/relationships/settings" Target="settings.xml"/><Relationship Id="rId9" Type="http://schemas.openxmlformats.org/officeDocument/2006/relationships/hyperlink" Target="https://www.dse.co.t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E41ABC-F409-4C84-86A4-5D789CE3E940}">
  <we:reference id="wa200000368" version="1.0.0.0" store="en-US" storeType="OMEX"/>
  <we:alternateReferences>
    <we:reference id="wa200000368" version="1.0.0.0" store="en-US" storeType="OMEX"/>
  </we:alternateReferences>
  <we:properties>
    <we:property name="documentId" value="&quot;31d82aedad02228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02BA-D0D1-4407-AD68-A4B1AB6A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3394</TotalTime>
  <Pages>13</Pages>
  <Words>7137</Words>
  <Characters>40682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872</cp:revision>
  <dcterms:created xsi:type="dcterms:W3CDTF">2025-08-26T14:44:00Z</dcterms:created>
  <dcterms:modified xsi:type="dcterms:W3CDTF">2025-11-05T07:38:00Z</dcterms:modified>
</cp:coreProperties>
</file>