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1E816" w14:textId="457B7C95" w:rsidR="00E56F63" w:rsidRPr="005F3D85" w:rsidRDefault="00B11109" w:rsidP="00DB3477">
      <w:pPr>
        <w:spacing w:after="0" w:line="240" w:lineRule="auto"/>
        <w:jc w:val="center"/>
        <w:rPr>
          <w:rFonts w:ascii="Arial" w:hAnsi="Arial" w:cs="Arial"/>
          <w:b/>
          <w:sz w:val="36"/>
          <w:szCs w:val="36"/>
        </w:rPr>
      </w:pPr>
      <w:r w:rsidRPr="005F3D85">
        <w:rPr>
          <w:rFonts w:ascii="Arial" w:hAnsi="Arial" w:cs="Arial"/>
          <w:b/>
          <w:sz w:val="36"/>
          <w:szCs w:val="36"/>
        </w:rPr>
        <w:t>The Effects of Stock Exchange Market on Firms’ Performance in Tanzania</w:t>
      </w:r>
    </w:p>
    <w:p w14:paraId="3DAC3E1E" w14:textId="347D5526" w:rsidR="00E56F63" w:rsidRDefault="00DB3477" w:rsidP="004666E2">
      <w:pPr>
        <w:spacing w:after="0" w:line="240" w:lineRule="auto"/>
        <w:rPr>
          <w:rFonts w:ascii="Arial" w:hAnsi="Arial" w:cs="Arial"/>
          <w:b/>
        </w:rPr>
      </w:pPr>
      <w:bookmarkStart w:id="0" w:name="_Toc207714001"/>
      <w:bookmarkStart w:id="1" w:name="_Toc208584759"/>
      <w:r w:rsidRPr="005F3D85">
        <w:rPr>
          <w:rFonts w:ascii="Arial" w:hAnsi="Arial" w:cs="Arial"/>
          <w:b/>
        </w:rPr>
        <w:t>Abstract</w:t>
      </w:r>
      <w:bookmarkEnd w:id="0"/>
      <w:bookmarkEnd w:id="1"/>
    </w:p>
    <w:p w14:paraId="391CB200" w14:textId="580EDB96" w:rsidR="00D07A49" w:rsidRPr="005F3D85" w:rsidRDefault="00D07A49" w:rsidP="004666E2">
      <w:pPr>
        <w:spacing w:after="0" w:line="240" w:lineRule="auto"/>
        <w:jc w:val="both"/>
        <w:rPr>
          <w:rFonts w:ascii="Arial" w:hAnsi="Arial" w:cs="Arial"/>
          <w:sz w:val="20"/>
          <w:szCs w:val="20"/>
        </w:rPr>
      </w:pPr>
      <w:r w:rsidRPr="005F3D85">
        <w:rPr>
          <w:rFonts w:ascii="Arial" w:hAnsi="Arial" w:cs="Arial"/>
          <w:b/>
          <w:sz w:val="20"/>
          <w:szCs w:val="20"/>
        </w:rPr>
        <w:t>Aim</w:t>
      </w:r>
      <w:r w:rsidR="00337E1D" w:rsidRPr="005F3D85">
        <w:rPr>
          <w:rFonts w:ascii="Arial" w:hAnsi="Arial" w:cs="Arial"/>
          <w:b/>
          <w:sz w:val="20"/>
          <w:szCs w:val="20"/>
        </w:rPr>
        <w:t>s</w:t>
      </w:r>
      <w:r w:rsidRPr="005F3D85">
        <w:rPr>
          <w:rFonts w:ascii="Arial" w:hAnsi="Arial" w:cs="Arial"/>
          <w:b/>
          <w:sz w:val="20"/>
          <w:szCs w:val="20"/>
        </w:rPr>
        <w:t>:</w:t>
      </w:r>
      <w:r w:rsidRPr="005F3D85">
        <w:rPr>
          <w:rFonts w:ascii="Arial" w:hAnsi="Arial" w:cs="Arial"/>
          <w:sz w:val="20"/>
          <w:szCs w:val="20"/>
        </w:rPr>
        <w:t xml:space="preserve"> </w:t>
      </w:r>
      <w:r w:rsidR="00502B7A" w:rsidRPr="005F3D85">
        <w:rPr>
          <w:rFonts w:ascii="Arial" w:hAnsi="Arial" w:cs="Arial"/>
          <w:sz w:val="20"/>
          <w:szCs w:val="20"/>
        </w:rPr>
        <w:t>S</w:t>
      </w:r>
      <w:r w:rsidR="00E56F63" w:rsidRPr="005F3D85">
        <w:rPr>
          <w:rFonts w:ascii="Arial" w:hAnsi="Arial" w:cs="Arial"/>
          <w:sz w:val="20"/>
          <w:szCs w:val="20"/>
        </w:rPr>
        <w:t>tudy</w:t>
      </w:r>
      <w:r w:rsidR="00502B7A" w:rsidRPr="005F3D85">
        <w:rPr>
          <w:rFonts w:ascii="Arial" w:hAnsi="Arial" w:cs="Arial"/>
          <w:sz w:val="20"/>
          <w:szCs w:val="20"/>
        </w:rPr>
        <w:t xml:space="preserve"> </w:t>
      </w:r>
      <w:r w:rsidR="00E56F63" w:rsidRPr="005F3D85">
        <w:rPr>
          <w:rFonts w:ascii="Arial" w:hAnsi="Arial" w:cs="Arial"/>
          <w:sz w:val="20"/>
          <w:szCs w:val="20"/>
        </w:rPr>
        <w:t xml:space="preserve">examined </w:t>
      </w:r>
      <w:r w:rsidR="00B72CC3" w:rsidRPr="005F3D85">
        <w:rPr>
          <w:rFonts w:ascii="Arial" w:hAnsi="Arial" w:cs="Arial"/>
          <w:sz w:val="20"/>
          <w:szCs w:val="20"/>
        </w:rPr>
        <w:t>effect</w:t>
      </w:r>
      <w:r w:rsidR="003D5F25" w:rsidRPr="005F3D85">
        <w:rPr>
          <w:rFonts w:ascii="Arial" w:hAnsi="Arial" w:cs="Arial"/>
          <w:sz w:val="20"/>
          <w:szCs w:val="20"/>
        </w:rPr>
        <w:t>s</w:t>
      </w:r>
      <w:r w:rsidR="00B72CC3" w:rsidRPr="005F3D85">
        <w:rPr>
          <w:rFonts w:ascii="Arial" w:hAnsi="Arial" w:cs="Arial"/>
          <w:sz w:val="20"/>
          <w:szCs w:val="20"/>
        </w:rPr>
        <w:t xml:space="preserve"> of stock exchange</w:t>
      </w:r>
      <w:r w:rsidR="003D5F25" w:rsidRPr="005F3D85">
        <w:rPr>
          <w:rFonts w:ascii="Arial" w:hAnsi="Arial" w:cs="Arial"/>
          <w:sz w:val="20"/>
          <w:szCs w:val="20"/>
        </w:rPr>
        <w:t xml:space="preserve"> Market on Firms’ Performance</w:t>
      </w:r>
      <w:r w:rsidR="00B72CC3" w:rsidRPr="005F3D85">
        <w:rPr>
          <w:rFonts w:ascii="Arial" w:hAnsi="Arial" w:cs="Arial"/>
          <w:sz w:val="20"/>
          <w:szCs w:val="20"/>
        </w:rPr>
        <w:t xml:space="preserve"> </w:t>
      </w:r>
      <w:r w:rsidR="00E56F63" w:rsidRPr="005F3D85">
        <w:rPr>
          <w:rFonts w:ascii="Arial" w:hAnsi="Arial" w:cs="Arial"/>
          <w:sz w:val="20"/>
          <w:szCs w:val="20"/>
        </w:rPr>
        <w:t>in Tanzania, focusing on key market variables potentially</w:t>
      </w:r>
      <w:r w:rsidR="00160C08" w:rsidRPr="005F3D85">
        <w:rPr>
          <w:rFonts w:ascii="Arial" w:hAnsi="Arial" w:cs="Arial"/>
          <w:sz w:val="20"/>
          <w:szCs w:val="20"/>
        </w:rPr>
        <w:t xml:space="preserve"> in influencing</w:t>
      </w:r>
      <w:r w:rsidR="00E56F63" w:rsidRPr="005F3D85">
        <w:rPr>
          <w:rFonts w:ascii="Arial" w:hAnsi="Arial" w:cs="Arial"/>
          <w:sz w:val="20"/>
          <w:szCs w:val="20"/>
        </w:rPr>
        <w:t xml:space="preserve"> firm profitability.</w:t>
      </w:r>
      <w:r w:rsidR="00EB5AFE" w:rsidRPr="005F3D85">
        <w:rPr>
          <w:rFonts w:ascii="Arial" w:hAnsi="Arial" w:cs="Arial"/>
          <w:sz w:val="20"/>
          <w:szCs w:val="20"/>
        </w:rPr>
        <w:t xml:space="preserve"> </w:t>
      </w:r>
      <w:r w:rsidR="00E56F63" w:rsidRPr="005F3D85">
        <w:rPr>
          <w:rFonts w:ascii="Arial" w:hAnsi="Arial" w:cs="Arial"/>
          <w:sz w:val="20"/>
          <w:szCs w:val="20"/>
        </w:rPr>
        <w:t>In the context of a developing financial sector, Tanzanian firms face challenges in leveraging stock exchange mechanisms for optimal performance, raising concerns about the actual impact of stock market dynamics on returns.</w:t>
      </w:r>
      <w:r w:rsidR="00D443F2" w:rsidRPr="005F3D85">
        <w:rPr>
          <w:rFonts w:ascii="Arial" w:hAnsi="Arial" w:cs="Arial"/>
          <w:sz w:val="20"/>
          <w:szCs w:val="20"/>
        </w:rPr>
        <w:t xml:space="preserve"> </w:t>
      </w:r>
      <w:r w:rsidR="00E56F63" w:rsidRPr="005F3D85">
        <w:rPr>
          <w:rFonts w:ascii="Arial" w:hAnsi="Arial" w:cs="Arial"/>
          <w:sz w:val="20"/>
          <w:szCs w:val="20"/>
        </w:rPr>
        <w:t xml:space="preserve">The </w:t>
      </w:r>
      <w:r w:rsidR="003D5F25" w:rsidRPr="005F3D85">
        <w:rPr>
          <w:rFonts w:ascii="Arial" w:hAnsi="Arial" w:cs="Arial"/>
          <w:sz w:val="20"/>
          <w:szCs w:val="20"/>
        </w:rPr>
        <w:t>general</w:t>
      </w:r>
      <w:r w:rsidR="00E56F63" w:rsidRPr="005F3D85">
        <w:rPr>
          <w:rFonts w:ascii="Arial" w:hAnsi="Arial" w:cs="Arial"/>
          <w:sz w:val="20"/>
          <w:szCs w:val="20"/>
        </w:rPr>
        <w:t xml:space="preserve"> objective of study was to </w:t>
      </w:r>
      <w:r w:rsidR="003D5F25" w:rsidRPr="005F3D85">
        <w:rPr>
          <w:rFonts w:ascii="Arial" w:hAnsi="Arial" w:cs="Arial"/>
          <w:sz w:val="20"/>
          <w:szCs w:val="20"/>
        </w:rPr>
        <w:t>examine</w:t>
      </w:r>
      <w:r w:rsidR="008F173A" w:rsidRPr="005F3D85">
        <w:rPr>
          <w:rFonts w:ascii="Arial" w:hAnsi="Arial" w:cs="Arial"/>
          <w:sz w:val="20"/>
          <w:szCs w:val="20"/>
        </w:rPr>
        <w:t xml:space="preserve"> how share price (SP) and</w:t>
      </w:r>
      <w:r w:rsidR="00E56F63" w:rsidRPr="005F3D85">
        <w:rPr>
          <w:rFonts w:ascii="Arial" w:hAnsi="Arial" w:cs="Arial"/>
          <w:sz w:val="20"/>
          <w:szCs w:val="20"/>
        </w:rPr>
        <w:t xml:space="preserve"> credit risk management (CRM) affect the performance of listed </w:t>
      </w:r>
      <w:r w:rsidR="003D5F25" w:rsidRPr="005F3D85">
        <w:rPr>
          <w:rFonts w:ascii="Arial" w:hAnsi="Arial" w:cs="Arial"/>
          <w:sz w:val="20"/>
          <w:szCs w:val="20"/>
        </w:rPr>
        <w:t>companies</w:t>
      </w:r>
      <w:r w:rsidR="00E56F63" w:rsidRPr="005F3D85">
        <w:rPr>
          <w:rFonts w:ascii="Arial" w:hAnsi="Arial" w:cs="Arial"/>
          <w:sz w:val="20"/>
          <w:szCs w:val="20"/>
        </w:rPr>
        <w:t xml:space="preserve">, measured by return on equity (ROE). </w:t>
      </w:r>
      <w:r w:rsidR="001D78EF" w:rsidRPr="005F3D85">
        <w:rPr>
          <w:rFonts w:ascii="Arial" w:hAnsi="Arial" w:cs="Arial"/>
          <w:sz w:val="20"/>
          <w:szCs w:val="20"/>
        </w:rPr>
        <w:t>S</w:t>
      </w:r>
      <w:r w:rsidR="00C820D6" w:rsidRPr="005F3D85">
        <w:rPr>
          <w:rFonts w:ascii="Arial" w:hAnsi="Arial" w:cs="Arial"/>
          <w:sz w:val="20"/>
          <w:szCs w:val="20"/>
        </w:rPr>
        <w:t>tudy</w:t>
      </w:r>
      <w:r w:rsidR="001D78EF" w:rsidRPr="005F3D85">
        <w:rPr>
          <w:rFonts w:ascii="Arial" w:hAnsi="Arial" w:cs="Arial"/>
          <w:sz w:val="20"/>
          <w:szCs w:val="20"/>
        </w:rPr>
        <w:t xml:space="preserve"> </w:t>
      </w:r>
      <w:r w:rsidR="00C820D6" w:rsidRPr="005F3D85">
        <w:rPr>
          <w:rFonts w:ascii="Arial" w:hAnsi="Arial" w:cs="Arial"/>
          <w:sz w:val="20"/>
          <w:szCs w:val="20"/>
        </w:rPr>
        <w:t>employed Efficient Market Hypothesis Model.</w:t>
      </w:r>
    </w:p>
    <w:p w14:paraId="7CCC60F5" w14:textId="34121576" w:rsidR="00337E1D" w:rsidRPr="005F3D85" w:rsidRDefault="00D07A49" w:rsidP="004666E2">
      <w:pPr>
        <w:spacing w:after="0" w:line="240" w:lineRule="auto"/>
        <w:jc w:val="both"/>
        <w:rPr>
          <w:rFonts w:ascii="Arial" w:hAnsi="Arial" w:cs="Arial"/>
          <w:sz w:val="20"/>
          <w:szCs w:val="20"/>
        </w:rPr>
      </w:pPr>
      <w:r w:rsidRPr="005F3D85">
        <w:rPr>
          <w:rFonts w:ascii="Arial" w:hAnsi="Arial" w:cs="Arial"/>
          <w:b/>
          <w:sz w:val="20"/>
          <w:szCs w:val="20"/>
        </w:rPr>
        <w:t>S</w:t>
      </w:r>
      <w:r w:rsidR="00337E1D" w:rsidRPr="005F3D85">
        <w:rPr>
          <w:rFonts w:ascii="Arial" w:hAnsi="Arial" w:cs="Arial"/>
          <w:b/>
          <w:sz w:val="20"/>
          <w:szCs w:val="20"/>
        </w:rPr>
        <w:t>t</w:t>
      </w:r>
      <w:r w:rsidRPr="005F3D85">
        <w:rPr>
          <w:rFonts w:ascii="Arial" w:hAnsi="Arial" w:cs="Arial"/>
          <w:b/>
          <w:sz w:val="20"/>
          <w:szCs w:val="20"/>
        </w:rPr>
        <w:t>udy Design</w:t>
      </w:r>
      <w:r w:rsidR="00337E1D" w:rsidRPr="005F3D85">
        <w:rPr>
          <w:rFonts w:ascii="Arial" w:hAnsi="Arial" w:cs="Arial"/>
          <w:b/>
          <w:sz w:val="20"/>
          <w:szCs w:val="20"/>
        </w:rPr>
        <w:t>:</w:t>
      </w:r>
      <w:r w:rsidR="00337E1D" w:rsidRPr="005F3D85">
        <w:rPr>
          <w:rFonts w:ascii="Arial" w:hAnsi="Arial" w:cs="Arial"/>
          <w:sz w:val="20"/>
          <w:szCs w:val="20"/>
        </w:rPr>
        <w:t xml:space="preserve"> </w:t>
      </w:r>
      <w:r w:rsidR="001D78EF" w:rsidRPr="005F3D85">
        <w:rPr>
          <w:rFonts w:ascii="Arial" w:hAnsi="Arial" w:cs="Arial"/>
          <w:sz w:val="20"/>
          <w:szCs w:val="20"/>
        </w:rPr>
        <w:t>S</w:t>
      </w:r>
      <w:r w:rsidR="00E56F63" w:rsidRPr="005F3D85">
        <w:rPr>
          <w:rFonts w:ascii="Arial" w:hAnsi="Arial" w:cs="Arial"/>
          <w:sz w:val="20"/>
          <w:szCs w:val="20"/>
        </w:rPr>
        <w:t>tudy</w:t>
      </w:r>
      <w:r w:rsidR="001D78EF" w:rsidRPr="005F3D85">
        <w:rPr>
          <w:rFonts w:ascii="Arial" w:hAnsi="Arial" w:cs="Arial"/>
          <w:sz w:val="20"/>
          <w:szCs w:val="20"/>
        </w:rPr>
        <w:t xml:space="preserve"> </w:t>
      </w:r>
      <w:r w:rsidR="00D37192" w:rsidRPr="005F3D85">
        <w:rPr>
          <w:rFonts w:ascii="Arial" w:hAnsi="Arial" w:cs="Arial"/>
          <w:sz w:val="20"/>
          <w:szCs w:val="20"/>
        </w:rPr>
        <w:t>used</w:t>
      </w:r>
      <w:r w:rsidR="00E56F63" w:rsidRPr="005F3D85">
        <w:rPr>
          <w:rFonts w:ascii="Arial" w:hAnsi="Arial" w:cs="Arial"/>
          <w:sz w:val="20"/>
          <w:szCs w:val="20"/>
        </w:rPr>
        <w:t xml:space="preserve"> explanatory research design</w:t>
      </w:r>
      <w:r w:rsidR="001E066D" w:rsidRPr="005F3D85">
        <w:rPr>
          <w:rFonts w:ascii="Arial" w:hAnsi="Arial" w:cs="Arial"/>
          <w:sz w:val="20"/>
          <w:szCs w:val="20"/>
        </w:rPr>
        <w:t>.</w:t>
      </w:r>
    </w:p>
    <w:p w14:paraId="6673B254" w14:textId="77777777" w:rsidR="00337E1D" w:rsidRPr="005F3D85" w:rsidRDefault="00337E1D" w:rsidP="004666E2">
      <w:pPr>
        <w:spacing w:after="0" w:line="240" w:lineRule="auto"/>
        <w:jc w:val="both"/>
        <w:rPr>
          <w:rFonts w:ascii="Arial" w:hAnsi="Arial" w:cs="Arial"/>
          <w:sz w:val="20"/>
          <w:szCs w:val="20"/>
        </w:rPr>
      </w:pPr>
      <w:r w:rsidRPr="005F3D85">
        <w:rPr>
          <w:rFonts w:ascii="Arial" w:hAnsi="Arial" w:cs="Arial"/>
          <w:b/>
          <w:sz w:val="20"/>
          <w:szCs w:val="20"/>
        </w:rPr>
        <w:t>Methodology:</w:t>
      </w:r>
      <w:r w:rsidRPr="005F3D85">
        <w:rPr>
          <w:rFonts w:ascii="Arial" w:hAnsi="Arial" w:cs="Arial"/>
          <w:sz w:val="20"/>
          <w:szCs w:val="20"/>
        </w:rPr>
        <w:t xml:space="preserve"> Study used</w:t>
      </w:r>
      <w:r w:rsidR="00E56F63" w:rsidRPr="005F3D85">
        <w:rPr>
          <w:rFonts w:ascii="Arial" w:hAnsi="Arial" w:cs="Arial"/>
          <w:sz w:val="20"/>
          <w:szCs w:val="20"/>
        </w:rPr>
        <w:t xml:space="preserve"> sec</w:t>
      </w:r>
      <w:r w:rsidR="00D37192" w:rsidRPr="005F3D85">
        <w:rPr>
          <w:rFonts w:ascii="Arial" w:hAnsi="Arial" w:cs="Arial"/>
          <w:sz w:val="20"/>
          <w:szCs w:val="20"/>
        </w:rPr>
        <w:t>ondary panel data</w:t>
      </w:r>
      <w:r w:rsidR="00B44C57" w:rsidRPr="005F3D85">
        <w:rPr>
          <w:rFonts w:ascii="Arial" w:hAnsi="Arial" w:cs="Arial"/>
          <w:sz w:val="20"/>
          <w:szCs w:val="20"/>
        </w:rPr>
        <w:t xml:space="preserve"> of 140 observation</w:t>
      </w:r>
      <w:r w:rsidR="00D37192" w:rsidRPr="005F3D85">
        <w:rPr>
          <w:rFonts w:ascii="Arial" w:hAnsi="Arial" w:cs="Arial"/>
          <w:sz w:val="20"/>
          <w:szCs w:val="20"/>
        </w:rPr>
        <w:t xml:space="preserve"> f</w:t>
      </w:r>
      <w:r w:rsidR="001159E1" w:rsidRPr="005F3D85">
        <w:rPr>
          <w:rFonts w:ascii="Arial" w:hAnsi="Arial" w:cs="Arial"/>
          <w:sz w:val="20"/>
          <w:szCs w:val="20"/>
        </w:rPr>
        <w:t>o</w:t>
      </w:r>
      <w:r w:rsidR="00D37192" w:rsidRPr="005F3D85">
        <w:rPr>
          <w:rFonts w:ascii="Arial" w:hAnsi="Arial" w:cs="Arial"/>
          <w:sz w:val="20"/>
          <w:szCs w:val="20"/>
        </w:rPr>
        <w:t>r</w:t>
      </w:r>
      <w:r w:rsidR="001159E1" w:rsidRPr="005F3D85">
        <w:rPr>
          <w:rFonts w:ascii="Arial" w:hAnsi="Arial" w:cs="Arial"/>
          <w:sz w:val="20"/>
          <w:szCs w:val="20"/>
        </w:rPr>
        <w:t xml:space="preserve"> a sample </w:t>
      </w:r>
      <w:r w:rsidR="00E56F63" w:rsidRPr="005F3D85">
        <w:rPr>
          <w:rFonts w:ascii="Arial" w:hAnsi="Arial" w:cs="Arial"/>
          <w:sz w:val="20"/>
          <w:szCs w:val="20"/>
        </w:rPr>
        <w:t xml:space="preserve">of 28 </w:t>
      </w:r>
      <w:r w:rsidR="00D37192" w:rsidRPr="005F3D85">
        <w:rPr>
          <w:rFonts w:ascii="Arial" w:hAnsi="Arial" w:cs="Arial"/>
          <w:sz w:val="20"/>
          <w:szCs w:val="20"/>
        </w:rPr>
        <w:t xml:space="preserve">listed </w:t>
      </w:r>
      <w:r w:rsidR="00E56F63" w:rsidRPr="005F3D85">
        <w:rPr>
          <w:rFonts w:ascii="Arial" w:hAnsi="Arial" w:cs="Arial"/>
          <w:sz w:val="20"/>
          <w:szCs w:val="20"/>
        </w:rPr>
        <w:t xml:space="preserve">firms </w:t>
      </w:r>
      <w:r w:rsidR="00E92C42" w:rsidRPr="005F3D85">
        <w:rPr>
          <w:rFonts w:ascii="Arial" w:hAnsi="Arial" w:cs="Arial"/>
          <w:sz w:val="20"/>
          <w:szCs w:val="20"/>
        </w:rPr>
        <w:t xml:space="preserve">on Dar es Salaam Stock Exchange since </w:t>
      </w:r>
      <w:r w:rsidR="00E56F63" w:rsidRPr="005F3D85">
        <w:rPr>
          <w:rFonts w:ascii="Arial" w:hAnsi="Arial" w:cs="Arial"/>
          <w:sz w:val="20"/>
          <w:szCs w:val="20"/>
        </w:rPr>
        <w:t>2020-2024. Data were analysed using panel regression models</w:t>
      </w:r>
      <w:r w:rsidR="00D06B33" w:rsidRPr="005F3D85">
        <w:rPr>
          <w:rFonts w:ascii="Arial" w:hAnsi="Arial" w:cs="Arial"/>
          <w:sz w:val="20"/>
          <w:szCs w:val="20"/>
        </w:rPr>
        <w:t>,</w:t>
      </w:r>
      <w:r w:rsidR="00E56F63" w:rsidRPr="005F3D85">
        <w:rPr>
          <w:rFonts w:ascii="Arial" w:hAnsi="Arial" w:cs="Arial"/>
          <w:sz w:val="20"/>
          <w:szCs w:val="20"/>
        </w:rPr>
        <w:t xml:space="preserve"> </w:t>
      </w:r>
      <w:r w:rsidR="00D37192" w:rsidRPr="005F3D85">
        <w:rPr>
          <w:rFonts w:ascii="Arial" w:hAnsi="Arial" w:cs="Arial"/>
          <w:sz w:val="20"/>
          <w:szCs w:val="20"/>
        </w:rPr>
        <w:t>fixed</w:t>
      </w:r>
      <w:r w:rsidR="00E56F63" w:rsidRPr="005F3D85">
        <w:rPr>
          <w:rFonts w:ascii="Arial" w:hAnsi="Arial" w:cs="Arial"/>
          <w:sz w:val="20"/>
          <w:szCs w:val="20"/>
        </w:rPr>
        <w:t xml:space="preserve"> effects model recommended </w:t>
      </w:r>
      <w:r w:rsidR="00D37192" w:rsidRPr="005F3D85">
        <w:rPr>
          <w:rFonts w:ascii="Arial" w:hAnsi="Arial" w:cs="Arial"/>
          <w:sz w:val="20"/>
          <w:szCs w:val="20"/>
        </w:rPr>
        <w:t>from Hausman test</w:t>
      </w:r>
      <w:r w:rsidR="00E56F63" w:rsidRPr="005F3D85">
        <w:rPr>
          <w:rFonts w:ascii="Arial" w:hAnsi="Arial" w:cs="Arial"/>
          <w:sz w:val="20"/>
          <w:szCs w:val="20"/>
        </w:rPr>
        <w:t xml:space="preserve"> and other model diagnostics. Ethical considerations were observed using publicly available financial data.</w:t>
      </w:r>
    </w:p>
    <w:p w14:paraId="3560C1B8" w14:textId="59CBF342" w:rsidR="00061BA5" w:rsidRPr="005F3D85" w:rsidRDefault="00337E1D" w:rsidP="004666E2">
      <w:pPr>
        <w:spacing w:after="0" w:line="240" w:lineRule="auto"/>
        <w:jc w:val="both"/>
        <w:rPr>
          <w:rFonts w:ascii="Arial" w:hAnsi="Arial" w:cs="Arial"/>
          <w:sz w:val="20"/>
          <w:szCs w:val="20"/>
        </w:rPr>
      </w:pPr>
      <w:r w:rsidRPr="005F3D85">
        <w:rPr>
          <w:rFonts w:ascii="Arial" w:hAnsi="Arial" w:cs="Arial"/>
          <w:b/>
          <w:sz w:val="20"/>
          <w:szCs w:val="20"/>
        </w:rPr>
        <w:t>Results:</w:t>
      </w:r>
      <w:r w:rsidRPr="005F3D85">
        <w:rPr>
          <w:rFonts w:ascii="Arial" w:hAnsi="Arial" w:cs="Arial"/>
          <w:sz w:val="20"/>
          <w:szCs w:val="20"/>
        </w:rPr>
        <w:t xml:space="preserve"> </w:t>
      </w:r>
      <w:r w:rsidR="00E56F63" w:rsidRPr="005F3D85">
        <w:rPr>
          <w:rFonts w:ascii="Arial" w:hAnsi="Arial" w:cs="Arial"/>
          <w:sz w:val="20"/>
          <w:szCs w:val="20"/>
        </w:rPr>
        <w:t xml:space="preserve">Findings from fixed effects model revealed </w:t>
      </w:r>
      <w:r w:rsidR="004E2210" w:rsidRPr="005F3D85">
        <w:rPr>
          <w:rFonts w:ascii="Arial" w:hAnsi="Arial" w:cs="Arial"/>
          <w:sz w:val="20"/>
          <w:szCs w:val="20"/>
        </w:rPr>
        <w:t xml:space="preserve">credit risk management has </w:t>
      </w:r>
      <w:r w:rsidR="00D37192" w:rsidRPr="005F3D85">
        <w:rPr>
          <w:rFonts w:ascii="Arial" w:hAnsi="Arial" w:cs="Arial"/>
          <w:sz w:val="20"/>
          <w:szCs w:val="20"/>
        </w:rPr>
        <w:t>positive</w:t>
      </w:r>
      <w:r w:rsidR="0022427E" w:rsidRPr="005F3D85">
        <w:rPr>
          <w:rFonts w:ascii="Arial" w:hAnsi="Arial" w:cs="Arial"/>
          <w:sz w:val="20"/>
          <w:szCs w:val="20"/>
        </w:rPr>
        <w:t xml:space="preserve"> (β = 3.04E-16) significant at the 5% level (p = 0.0436). Significant</w:t>
      </w:r>
      <w:r w:rsidR="00D37192" w:rsidRPr="005F3D85">
        <w:rPr>
          <w:rFonts w:ascii="Arial" w:hAnsi="Arial" w:cs="Arial"/>
          <w:sz w:val="20"/>
          <w:szCs w:val="20"/>
        </w:rPr>
        <w:t xml:space="preserve"> effect</w:t>
      </w:r>
      <w:r w:rsidR="00E56F63" w:rsidRPr="005F3D85">
        <w:rPr>
          <w:rFonts w:ascii="Arial" w:hAnsi="Arial" w:cs="Arial"/>
          <w:sz w:val="20"/>
          <w:szCs w:val="20"/>
        </w:rPr>
        <w:t>, w</w:t>
      </w:r>
      <w:r w:rsidR="00D37192" w:rsidRPr="005F3D85">
        <w:rPr>
          <w:rFonts w:ascii="Arial" w:hAnsi="Arial" w:cs="Arial"/>
          <w:sz w:val="20"/>
          <w:szCs w:val="20"/>
        </w:rPr>
        <w:t>here</w:t>
      </w:r>
      <w:r w:rsidR="00E56F63" w:rsidRPr="005F3D85">
        <w:rPr>
          <w:rFonts w:ascii="Arial" w:hAnsi="Arial" w:cs="Arial"/>
          <w:sz w:val="20"/>
          <w:szCs w:val="20"/>
        </w:rPr>
        <w:t xml:space="preserve"> share price</w:t>
      </w:r>
      <w:r w:rsidR="00577AA1" w:rsidRPr="005F3D85">
        <w:rPr>
          <w:rFonts w:ascii="Arial" w:hAnsi="Arial" w:cs="Arial"/>
          <w:sz w:val="20"/>
          <w:szCs w:val="20"/>
        </w:rPr>
        <w:t xml:space="preserve"> also</w:t>
      </w:r>
      <w:r w:rsidR="00E56F63" w:rsidRPr="005F3D85">
        <w:rPr>
          <w:rFonts w:ascii="Arial" w:hAnsi="Arial" w:cs="Arial"/>
          <w:sz w:val="20"/>
          <w:szCs w:val="20"/>
        </w:rPr>
        <w:t xml:space="preserve"> exhibited positive insignificant relationship</w:t>
      </w:r>
      <w:r w:rsidR="0022427E" w:rsidRPr="005F3D85">
        <w:rPr>
          <w:rFonts w:ascii="Arial" w:hAnsi="Arial" w:cs="Arial"/>
          <w:sz w:val="20"/>
          <w:szCs w:val="20"/>
        </w:rPr>
        <w:t xml:space="preserve"> (β = 2.26E-05),</w:t>
      </w:r>
      <w:r w:rsidR="00061BA5" w:rsidRPr="005F3D85">
        <w:rPr>
          <w:rFonts w:ascii="Arial" w:hAnsi="Arial" w:cs="Arial"/>
          <w:sz w:val="20"/>
          <w:szCs w:val="20"/>
        </w:rPr>
        <w:t xml:space="preserve"> (p = 0.6648)</w:t>
      </w:r>
      <w:r w:rsidR="0022427E" w:rsidRPr="005F3D85">
        <w:rPr>
          <w:rFonts w:ascii="Arial" w:hAnsi="Arial" w:cs="Arial"/>
          <w:sz w:val="20"/>
          <w:szCs w:val="20"/>
        </w:rPr>
        <w:t>.</w:t>
      </w:r>
      <w:r w:rsidR="00061BA5" w:rsidRPr="005F3D85">
        <w:rPr>
          <w:rFonts w:ascii="Arial" w:hAnsi="Arial" w:cs="Arial"/>
          <w:sz w:val="20"/>
          <w:szCs w:val="20"/>
        </w:rPr>
        <w:t xml:space="preserve"> </w:t>
      </w:r>
    </w:p>
    <w:p w14:paraId="1E1BF446" w14:textId="6BEE335A" w:rsidR="00350208" w:rsidRDefault="00337E1D" w:rsidP="004666E2">
      <w:pPr>
        <w:spacing w:after="0" w:line="240" w:lineRule="auto"/>
        <w:jc w:val="both"/>
        <w:rPr>
          <w:rFonts w:ascii="Arial" w:hAnsi="Arial" w:cs="Arial"/>
          <w:sz w:val="20"/>
          <w:szCs w:val="20"/>
        </w:rPr>
      </w:pPr>
      <w:r w:rsidRPr="005F3D85">
        <w:rPr>
          <w:rFonts w:ascii="Arial" w:hAnsi="Arial" w:cs="Arial"/>
          <w:b/>
          <w:sz w:val="20"/>
          <w:szCs w:val="20"/>
        </w:rPr>
        <w:t>Conclusion:</w:t>
      </w:r>
      <w:r w:rsidRPr="005F3D85">
        <w:rPr>
          <w:rFonts w:ascii="Arial" w:hAnsi="Arial" w:cs="Arial"/>
          <w:sz w:val="20"/>
          <w:szCs w:val="20"/>
        </w:rPr>
        <w:t xml:space="preserve"> </w:t>
      </w:r>
      <w:r w:rsidR="00350208" w:rsidRPr="005F3D85">
        <w:rPr>
          <w:rFonts w:ascii="Arial" w:hAnsi="Arial" w:cs="Arial"/>
          <w:sz w:val="20"/>
          <w:szCs w:val="20"/>
        </w:rPr>
        <w:t>It is recommended that firms strengthen their credit risk management practices by adopting modern risk assessment tools, enhancing internal control systems and ensuring adherence to sound financial policies. Regulators and market participants should also promote transparency and investor confidence to stabilize share prices and encourage long-term investments. Furthermore, firms should focus on improving financial management strategies and corporate governance to minimize risks and enhance sustainable growth in the Tanzanian stock market.</w:t>
      </w:r>
    </w:p>
    <w:p w14:paraId="2C34E2C8" w14:textId="77777777" w:rsidR="00B11109" w:rsidRPr="005F3D85" w:rsidRDefault="00B11109" w:rsidP="004666E2">
      <w:pPr>
        <w:spacing w:after="0" w:line="240" w:lineRule="auto"/>
        <w:jc w:val="both"/>
        <w:rPr>
          <w:rFonts w:ascii="Arial" w:hAnsi="Arial" w:cs="Arial"/>
          <w:sz w:val="20"/>
          <w:szCs w:val="20"/>
        </w:rPr>
      </w:pPr>
    </w:p>
    <w:p w14:paraId="1CFF4CA6" w14:textId="714534CB" w:rsidR="005C7BD6" w:rsidRPr="005F3D85" w:rsidRDefault="007221B4" w:rsidP="005C7BD6">
      <w:pPr>
        <w:spacing w:after="0" w:line="360" w:lineRule="auto"/>
        <w:jc w:val="both"/>
        <w:rPr>
          <w:rFonts w:ascii="Arial" w:hAnsi="Arial" w:cs="Arial"/>
          <w:i/>
          <w:sz w:val="20"/>
          <w:szCs w:val="20"/>
        </w:rPr>
      </w:pPr>
      <w:r w:rsidRPr="005F3D85">
        <w:rPr>
          <w:rFonts w:ascii="Arial" w:hAnsi="Arial" w:cs="Arial"/>
          <w:i/>
          <w:sz w:val="20"/>
          <w:szCs w:val="20"/>
        </w:rPr>
        <w:t>Key</w:t>
      </w:r>
      <w:r w:rsidR="0084599D" w:rsidRPr="005F3D85">
        <w:rPr>
          <w:rFonts w:ascii="Arial" w:hAnsi="Arial" w:cs="Arial"/>
          <w:i/>
          <w:sz w:val="20"/>
          <w:szCs w:val="20"/>
        </w:rPr>
        <w:t>words:</w:t>
      </w:r>
      <w:r w:rsidR="0084599D" w:rsidRPr="005F3D85">
        <w:rPr>
          <w:rFonts w:ascii="Arial" w:hAnsi="Arial" w:cs="Arial"/>
          <w:sz w:val="20"/>
          <w:szCs w:val="20"/>
        </w:rPr>
        <w:t xml:space="preserve"> </w:t>
      </w:r>
      <w:r w:rsidR="0084599D" w:rsidRPr="005F3D85">
        <w:rPr>
          <w:rFonts w:ascii="Arial" w:hAnsi="Arial" w:cs="Arial"/>
          <w:i/>
          <w:sz w:val="20"/>
          <w:szCs w:val="20"/>
        </w:rPr>
        <w:t>Stock Exchange, Share Price, Credit Risk Management</w:t>
      </w:r>
      <w:r w:rsidRPr="005F3D85">
        <w:rPr>
          <w:rFonts w:ascii="Arial" w:hAnsi="Arial" w:cs="Arial"/>
          <w:i/>
          <w:sz w:val="20"/>
          <w:szCs w:val="20"/>
        </w:rPr>
        <w:t xml:space="preserve"> and Firm’s Performance</w:t>
      </w:r>
    </w:p>
    <w:p w14:paraId="014B6526" w14:textId="77777777" w:rsidR="005C7BD6" w:rsidRPr="005F3D85" w:rsidRDefault="005C7BD6" w:rsidP="00757614">
      <w:pPr>
        <w:spacing w:after="0" w:line="240" w:lineRule="auto"/>
        <w:jc w:val="both"/>
        <w:rPr>
          <w:rFonts w:ascii="Arial" w:hAnsi="Arial" w:cs="Arial"/>
        </w:rPr>
      </w:pPr>
    </w:p>
    <w:p w14:paraId="0D7DB80F" w14:textId="71B18267" w:rsidR="0084599D" w:rsidRPr="005F3D85" w:rsidRDefault="005C7BD6" w:rsidP="005C7BD6">
      <w:pPr>
        <w:spacing w:after="0" w:line="240" w:lineRule="auto"/>
        <w:jc w:val="both"/>
        <w:rPr>
          <w:rFonts w:ascii="Arial" w:hAnsi="Arial" w:cs="Arial"/>
          <w:b/>
        </w:rPr>
      </w:pPr>
      <w:r w:rsidRPr="005F3D85">
        <w:rPr>
          <w:rFonts w:ascii="Arial" w:hAnsi="Arial" w:cs="Arial"/>
          <w:b/>
        </w:rPr>
        <w:t>1. Introduction</w:t>
      </w:r>
      <w:r w:rsidR="0084599D" w:rsidRPr="005F3D85">
        <w:rPr>
          <w:rFonts w:ascii="Arial" w:hAnsi="Arial" w:cs="Arial"/>
          <w:b/>
        </w:rPr>
        <w:t xml:space="preserve"> </w:t>
      </w:r>
    </w:p>
    <w:p w14:paraId="2EAE0CE2" w14:textId="528641F3" w:rsidR="00B33E2E" w:rsidRPr="005F3D85" w:rsidRDefault="00E56F63" w:rsidP="00757614">
      <w:pPr>
        <w:spacing w:after="0" w:line="240" w:lineRule="auto"/>
        <w:jc w:val="both"/>
        <w:rPr>
          <w:rFonts w:ascii="Arial" w:hAnsi="Arial" w:cs="Arial"/>
          <w:sz w:val="20"/>
          <w:szCs w:val="20"/>
        </w:rPr>
      </w:pPr>
      <w:r w:rsidRPr="005F3D85">
        <w:rPr>
          <w:rFonts w:ascii="Arial" w:hAnsi="Arial" w:cs="Arial"/>
          <w:sz w:val="20"/>
          <w:szCs w:val="20"/>
        </w:rPr>
        <w:t>Investment decision</w:t>
      </w:r>
      <w:r w:rsidR="00EE4562" w:rsidRPr="005F3D85">
        <w:rPr>
          <w:rFonts w:ascii="Arial" w:hAnsi="Arial" w:cs="Arial"/>
          <w:sz w:val="20"/>
          <w:szCs w:val="20"/>
        </w:rPr>
        <w:t>s</w:t>
      </w:r>
      <w:r w:rsidRPr="005F3D85">
        <w:rPr>
          <w:rFonts w:ascii="Arial" w:hAnsi="Arial" w:cs="Arial"/>
          <w:sz w:val="20"/>
          <w:szCs w:val="20"/>
        </w:rPr>
        <w:t xml:space="preserve"> and financing decision</w:t>
      </w:r>
      <w:r w:rsidR="00EE4562" w:rsidRPr="005F3D85">
        <w:rPr>
          <w:rFonts w:ascii="Arial" w:hAnsi="Arial" w:cs="Arial"/>
          <w:sz w:val="20"/>
          <w:szCs w:val="20"/>
        </w:rPr>
        <w:t>s</w:t>
      </w:r>
      <w:r w:rsidRPr="005F3D85">
        <w:rPr>
          <w:rFonts w:ascii="Arial" w:hAnsi="Arial" w:cs="Arial"/>
          <w:sz w:val="20"/>
          <w:szCs w:val="20"/>
        </w:rPr>
        <w:t xml:space="preserve"> are very important aspects to be considered among firms (Chindengiwke, 2024). For firms, identifying strong, effective, and productive areas for investment is crucial. One of the effective investment and financing areas used by firms and other investors is</w:t>
      </w:r>
      <w:r w:rsidR="00EE4562" w:rsidRPr="005F3D85">
        <w:rPr>
          <w:rFonts w:ascii="Arial" w:hAnsi="Arial" w:cs="Arial"/>
          <w:sz w:val="20"/>
          <w:szCs w:val="20"/>
        </w:rPr>
        <w:t xml:space="preserve"> the</w:t>
      </w:r>
      <w:r w:rsidRPr="005F3D85">
        <w:rPr>
          <w:rFonts w:ascii="Arial" w:hAnsi="Arial" w:cs="Arial"/>
          <w:sz w:val="20"/>
          <w:szCs w:val="20"/>
        </w:rPr>
        <w:t xml:space="preserve"> stock exchange market (Álvarez-Otero, 2022). The global financial landscape has witnessed the evolution of stock exchange markets as critical components of modern economies (Zhang et al., 2021). The capital infusion through bid-ask spreads </w:t>
      </w:r>
      <w:r w:rsidR="00EE4562" w:rsidRPr="005F3D85">
        <w:rPr>
          <w:rFonts w:ascii="Arial" w:hAnsi="Arial" w:cs="Arial"/>
          <w:sz w:val="20"/>
          <w:szCs w:val="20"/>
        </w:rPr>
        <w:t>is</w:t>
      </w:r>
      <w:r w:rsidRPr="005F3D85">
        <w:rPr>
          <w:rFonts w:ascii="Arial" w:hAnsi="Arial" w:cs="Arial"/>
          <w:sz w:val="20"/>
          <w:szCs w:val="20"/>
        </w:rPr>
        <w:t xml:space="preserve"> also considered in </w:t>
      </w:r>
      <w:r w:rsidR="00EE4562" w:rsidRPr="005F3D85">
        <w:rPr>
          <w:rFonts w:ascii="Arial" w:hAnsi="Arial" w:cs="Arial"/>
          <w:sz w:val="20"/>
          <w:szCs w:val="20"/>
        </w:rPr>
        <w:t xml:space="preserve">the </w:t>
      </w:r>
      <w:r w:rsidRPr="005F3D85">
        <w:rPr>
          <w:rFonts w:ascii="Arial" w:hAnsi="Arial" w:cs="Arial"/>
          <w:sz w:val="20"/>
          <w:szCs w:val="20"/>
        </w:rPr>
        <w:t>exchanging of securities in</w:t>
      </w:r>
      <w:r w:rsidR="00EE4562" w:rsidRPr="005F3D85">
        <w:rPr>
          <w:rFonts w:ascii="Arial" w:hAnsi="Arial" w:cs="Arial"/>
          <w:sz w:val="20"/>
          <w:szCs w:val="20"/>
        </w:rPr>
        <w:t xml:space="preserve"> the</w:t>
      </w:r>
      <w:r w:rsidRPr="005F3D85">
        <w:rPr>
          <w:rFonts w:ascii="Arial" w:hAnsi="Arial" w:cs="Arial"/>
          <w:sz w:val="20"/>
          <w:szCs w:val="20"/>
        </w:rPr>
        <w:t xml:space="preserve"> stock exchange market (Hearn, 2021).</w:t>
      </w:r>
      <w:r w:rsidR="00B33E2E" w:rsidRPr="005F3D85">
        <w:rPr>
          <w:rFonts w:ascii="Arial" w:hAnsi="Arial" w:cs="Arial"/>
          <w:sz w:val="20"/>
          <w:szCs w:val="20"/>
        </w:rPr>
        <w:t xml:space="preserve"> </w:t>
      </w:r>
      <w:r w:rsidRPr="005F3D85">
        <w:rPr>
          <w:rFonts w:ascii="Arial" w:hAnsi="Arial" w:cs="Arial"/>
          <w:sz w:val="20"/>
          <w:szCs w:val="20"/>
        </w:rPr>
        <w:t>The effect</w:t>
      </w:r>
      <w:r w:rsidR="00480B1F" w:rsidRPr="005F3D85">
        <w:rPr>
          <w:rFonts w:ascii="Arial" w:hAnsi="Arial" w:cs="Arial"/>
          <w:sz w:val="20"/>
          <w:szCs w:val="20"/>
        </w:rPr>
        <w:t>s</w:t>
      </w:r>
      <w:r w:rsidRPr="005F3D85">
        <w:rPr>
          <w:rFonts w:ascii="Arial" w:hAnsi="Arial" w:cs="Arial"/>
          <w:sz w:val="20"/>
          <w:szCs w:val="20"/>
        </w:rPr>
        <w:t xml:space="preserve"> of stock exchange markets in enhancing financial</w:t>
      </w:r>
      <w:r w:rsidR="00C376A3" w:rsidRPr="005F3D85">
        <w:rPr>
          <w:rFonts w:ascii="Arial" w:hAnsi="Arial" w:cs="Arial"/>
          <w:sz w:val="20"/>
          <w:szCs w:val="20"/>
        </w:rPr>
        <w:t xml:space="preserve"> and non- financial</w:t>
      </w:r>
      <w:r w:rsidRPr="005F3D85">
        <w:rPr>
          <w:rFonts w:ascii="Arial" w:hAnsi="Arial" w:cs="Arial"/>
          <w:sz w:val="20"/>
          <w:szCs w:val="20"/>
        </w:rPr>
        <w:t xml:space="preserve"> performance of listed companies ha</w:t>
      </w:r>
      <w:r w:rsidR="00C376A3" w:rsidRPr="005F3D85">
        <w:rPr>
          <w:rFonts w:ascii="Arial" w:hAnsi="Arial" w:cs="Arial"/>
          <w:sz w:val="20"/>
          <w:szCs w:val="20"/>
        </w:rPr>
        <w:t>ve</w:t>
      </w:r>
      <w:r w:rsidRPr="005F3D85">
        <w:rPr>
          <w:rFonts w:ascii="Arial" w:hAnsi="Arial" w:cs="Arial"/>
          <w:sz w:val="20"/>
          <w:szCs w:val="20"/>
        </w:rPr>
        <w:t xml:space="preserve"> been subject of extensive </w:t>
      </w:r>
      <w:r w:rsidR="00C376A3" w:rsidRPr="005F3D85">
        <w:rPr>
          <w:rFonts w:ascii="Arial" w:hAnsi="Arial" w:cs="Arial"/>
          <w:sz w:val="20"/>
          <w:szCs w:val="20"/>
        </w:rPr>
        <w:t>investigation</w:t>
      </w:r>
      <w:r w:rsidRPr="005F3D85">
        <w:rPr>
          <w:rFonts w:ascii="Arial" w:hAnsi="Arial" w:cs="Arial"/>
          <w:sz w:val="20"/>
          <w:szCs w:val="20"/>
        </w:rPr>
        <w:t xml:space="preserve"> and debate worldwide (Al-Hiyari </w:t>
      </w:r>
      <w:r w:rsidR="009241F8" w:rsidRPr="005F3D85">
        <w:rPr>
          <w:rFonts w:ascii="Arial" w:hAnsi="Arial" w:cs="Arial"/>
          <w:sz w:val="20"/>
          <w:szCs w:val="20"/>
        </w:rPr>
        <w:t>and</w:t>
      </w:r>
      <w:r w:rsidRPr="005F3D85">
        <w:rPr>
          <w:rFonts w:ascii="Arial" w:hAnsi="Arial" w:cs="Arial"/>
          <w:sz w:val="20"/>
          <w:szCs w:val="20"/>
        </w:rPr>
        <w:t xml:space="preserve"> Kolsi, 2024). In developed countries, countries established stock exchanges like NYSE, NASDAQ, LSE</w:t>
      </w:r>
      <w:r w:rsidR="00EE4562" w:rsidRPr="005F3D85">
        <w:rPr>
          <w:rFonts w:ascii="Arial" w:hAnsi="Arial" w:cs="Arial"/>
          <w:sz w:val="20"/>
          <w:szCs w:val="20"/>
        </w:rPr>
        <w:t>,</w:t>
      </w:r>
      <w:r w:rsidRPr="005F3D85">
        <w:rPr>
          <w:rFonts w:ascii="Arial" w:hAnsi="Arial" w:cs="Arial"/>
          <w:sz w:val="20"/>
          <w:szCs w:val="20"/>
        </w:rPr>
        <w:t xml:space="preserve"> and TSE to play pivotal roles in capital formation, providing companies with access to diverse investor base and enabling efficient price discovery decline (Álvarez-Otero, 2022).</w:t>
      </w:r>
    </w:p>
    <w:p w14:paraId="5D2D3DEE" w14:textId="77777777" w:rsidR="00543EA8" w:rsidRDefault="004953CC" w:rsidP="00757614">
      <w:pPr>
        <w:spacing w:after="0" w:line="240" w:lineRule="auto"/>
        <w:jc w:val="both"/>
        <w:rPr>
          <w:rFonts w:ascii="Arial" w:hAnsi="Arial" w:cs="Arial"/>
          <w:sz w:val="20"/>
          <w:szCs w:val="20"/>
        </w:rPr>
      </w:pPr>
      <w:r w:rsidRPr="005F3D85">
        <w:rPr>
          <w:rFonts w:ascii="Arial" w:hAnsi="Arial" w:cs="Arial"/>
          <w:sz w:val="20"/>
          <w:szCs w:val="20"/>
        </w:rPr>
        <w:t xml:space="preserve">In </w:t>
      </w:r>
      <w:r w:rsidR="00C376A3" w:rsidRPr="005F3D85">
        <w:rPr>
          <w:rFonts w:ascii="Arial" w:hAnsi="Arial" w:cs="Arial"/>
          <w:sz w:val="20"/>
          <w:szCs w:val="20"/>
        </w:rPr>
        <w:t xml:space="preserve">Tanzania, Dar es Salaam Stock Exchange </w:t>
      </w:r>
      <w:r w:rsidR="00E56F63" w:rsidRPr="005F3D85">
        <w:rPr>
          <w:rFonts w:ascii="Arial" w:hAnsi="Arial" w:cs="Arial"/>
          <w:sz w:val="20"/>
          <w:szCs w:val="20"/>
        </w:rPr>
        <w:t xml:space="preserve">serves as primary platform for trading securities like equities and bonds. DSE played </w:t>
      </w:r>
      <w:r w:rsidR="00C376A3" w:rsidRPr="005F3D85">
        <w:rPr>
          <w:rFonts w:ascii="Arial" w:hAnsi="Arial" w:cs="Arial"/>
          <w:sz w:val="20"/>
          <w:szCs w:val="20"/>
        </w:rPr>
        <w:t>fundamental</w:t>
      </w:r>
      <w:r w:rsidR="00E56F63" w:rsidRPr="005F3D85">
        <w:rPr>
          <w:rFonts w:ascii="Arial" w:hAnsi="Arial" w:cs="Arial"/>
          <w:sz w:val="20"/>
          <w:szCs w:val="20"/>
        </w:rPr>
        <w:t xml:space="preserve"> role in mobilizing capital and facilitating investment in the country. Despite aim mentioned in National </w:t>
      </w:r>
      <w:r w:rsidR="007A43C4" w:rsidRPr="005F3D85">
        <w:rPr>
          <w:rFonts w:ascii="Arial" w:hAnsi="Arial" w:cs="Arial"/>
          <w:sz w:val="20"/>
          <w:szCs w:val="20"/>
        </w:rPr>
        <w:t>Five-Year</w:t>
      </w:r>
      <w:r w:rsidR="00E56F63" w:rsidRPr="005F3D85">
        <w:rPr>
          <w:rFonts w:ascii="Arial" w:hAnsi="Arial" w:cs="Arial"/>
          <w:sz w:val="20"/>
          <w:szCs w:val="20"/>
        </w:rPr>
        <w:t xml:space="preserve"> Development Plan III (2020/2025) of listing more than 35 firms, since it</w:t>
      </w:r>
      <w:r w:rsidR="007147EE" w:rsidRPr="005F3D85">
        <w:rPr>
          <w:rFonts w:ascii="Arial" w:hAnsi="Arial" w:cs="Arial"/>
          <w:sz w:val="20"/>
          <w:szCs w:val="20"/>
        </w:rPr>
        <w:t>s</w:t>
      </w:r>
      <w:r w:rsidR="00E56F63" w:rsidRPr="005F3D85">
        <w:rPr>
          <w:rFonts w:ascii="Arial" w:hAnsi="Arial" w:cs="Arial"/>
          <w:sz w:val="20"/>
          <w:szCs w:val="20"/>
        </w:rPr>
        <w:t xml:space="preserve"> establishment in 1998, DSE </w:t>
      </w:r>
      <w:r w:rsidR="007147EE" w:rsidRPr="005F3D85">
        <w:rPr>
          <w:rFonts w:ascii="Arial" w:hAnsi="Arial" w:cs="Arial"/>
          <w:sz w:val="20"/>
          <w:szCs w:val="20"/>
        </w:rPr>
        <w:t xml:space="preserve">has </w:t>
      </w:r>
      <w:r w:rsidR="007A43C4" w:rsidRPr="005F3D85">
        <w:rPr>
          <w:rFonts w:ascii="Arial" w:hAnsi="Arial" w:cs="Arial"/>
          <w:sz w:val="20"/>
          <w:szCs w:val="20"/>
        </w:rPr>
        <w:t>succeeded</w:t>
      </w:r>
      <w:r w:rsidR="00E56F63" w:rsidRPr="005F3D85">
        <w:rPr>
          <w:rFonts w:ascii="Arial" w:hAnsi="Arial" w:cs="Arial"/>
          <w:sz w:val="20"/>
          <w:szCs w:val="20"/>
        </w:rPr>
        <w:t xml:space="preserve"> </w:t>
      </w:r>
      <w:r w:rsidR="007147EE" w:rsidRPr="005F3D85">
        <w:rPr>
          <w:rFonts w:ascii="Arial" w:hAnsi="Arial" w:cs="Arial"/>
          <w:sz w:val="20"/>
          <w:szCs w:val="20"/>
        </w:rPr>
        <w:t>in</w:t>
      </w:r>
      <w:r w:rsidR="00E56F63" w:rsidRPr="005F3D85">
        <w:rPr>
          <w:rFonts w:ascii="Arial" w:hAnsi="Arial" w:cs="Arial"/>
          <w:sz w:val="20"/>
          <w:szCs w:val="20"/>
        </w:rPr>
        <w:t xml:space="preserve"> list</w:t>
      </w:r>
      <w:r w:rsidR="007147EE" w:rsidRPr="005F3D85">
        <w:rPr>
          <w:rFonts w:ascii="Arial" w:hAnsi="Arial" w:cs="Arial"/>
          <w:sz w:val="20"/>
          <w:szCs w:val="20"/>
        </w:rPr>
        <w:t>ing</w:t>
      </w:r>
      <w:r w:rsidR="00E56F63" w:rsidRPr="005F3D85">
        <w:rPr>
          <w:rFonts w:ascii="Arial" w:hAnsi="Arial" w:cs="Arial"/>
          <w:sz w:val="20"/>
          <w:szCs w:val="20"/>
        </w:rPr>
        <w:t xml:space="preserve"> only 28 firms</w:t>
      </w:r>
      <w:r w:rsidR="007147EE" w:rsidRPr="005F3D85">
        <w:rPr>
          <w:rFonts w:ascii="Arial" w:hAnsi="Arial" w:cs="Arial"/>
          <w:sz w:val="20"/>
          <w:szCs w:val="20"/>
        </w:rPr>
        <w:t>;</w:t>
      </w:r>
      <w:r w:rsidR="00E56F63" w:rsidRPr="005F3D85">
        <w:rPr>
          <w:rFonts w:ascii="Arial" w:hAnsi="Arial" w:cs="Arial"/>
          <w:sz w:val="20"/>
          <w:szCs w:val="20"/>
        </w:rPr>
        <w:t xml:space="preserve"> out of the 28 companies</w:t>
      </w:r>
      <w:r w:rsidR="007147EE" w:rsidRPr="005F3D85">
        <w:rPr>
          <w:rFonts w:ascii="Arial" w:hAnsi="Arial" w:cs="Arial"/>
          <w:sz w:val="20"/>
          <w:szCs w:val="20"/>
        </w:rPr>
        <w:t>,</w:t>
      </w:r>
      <w:r w:rsidR="00E56F63" w:rsidRPr="005F3D85">
        <w:rPr>
          <w:rFonts w:ascii="Arial" w:hAnsi="Arial" w:cs="Arial"/>
          <w:sz w:val="20"/>
          <w:szCs w:val="20"/>
        </w:rPr>
        <w:t xml:space="preserve"> 22</w:t>
      </w:r>
      <w:r w:rsidR="00C376A3" w:rsidRPr="005F3D85">
        <w:rPr>
          <w:rFonts w:ascii="Arial" w:hAnsi="Arial" w:cs="Arial"/>
          <w:sz w:val="20"/>
          <w:szCs w:val="20"/>
        </w:rPr>
        <w:t xml:space="preserve"> represent</w:t>
      </w:r>
      <w:r w:rsidR="00E56F63" w:rsidRPr="005F3D85">
        <w:rPr>
          <w:rFonts w:ascii="Arial" w:hAnsi="Arial" w:cs="Arial"/>
          <w:sz w:val="20"/>
          <w:szCs w:val="20"/>
        </w:rPr>
        <w:t xml:space="preserve"> local companies</w:t>
      </w:r>
      <w:r w:rsidR="007147EE" w:rsidRPr="005F3D85">
        <w:rPr>
          <w:rFonts w:ascii="Arial" w:hAnsi="Arial" w:cs="Arial"/>
          <w:sz w:val="20"/>
          <w:szCs w:val="20"/>
        </w:rPr>
        <w:t>,</w:t>
      </w:r>
      <w:r w:rsidR="00E56F63" w:rsidRPr="005F3D85">
        <w:rPr>
          <w:rFonts w:ascii="Arial" w:hAnsi="Arial" w:cs="Arial"/>
          <w:sz w:val="20"/>
          <w:szCs w:val="20"/>
        </w:rPr>
        <w:t xml:space="preserve"> </w:t>
      </w:r>
      <w:r w:rsidR="007147EE" w:rsidRPr="005F3D85">
        <w:rPr>
          <w:rFonts w:ascii="Arial" w:hAnsi="Arial" w:cs="Arial"/>
          <w:sz w:val="20"/>
          <w:szCs w:val="20"/>
        </w:rPr>
        <w:t xml:space="preserve">the </w:t>
      </w:r>
      <w:r w:rsidR="00E56F63" w:rsidRPr="005F3D85">
        <w:rPr>
          <w:rFonts w:ascii="Arial" w:hAnsi="Arial" w:cs="Arial"/>
          <w:sz w:val="20"/>
          <w:szCs w:val="20"/>
        </w:rPr>
        <w:t xml:space="preserve">other 6 </w:t>
      </w:r>
      <w:r w:rsidR="00C376A3" w:rsidRPr="005F3D85">
        <w:rPr>
          <w:rFonts w:ascii="Arial" w:hAnsi="Arial" w:cs="Arial"/>
          <w:sz w:val="20"/>
          <w:szCs w:val="20"/>
        </w:rPr>
        <w:t>represents</w:t>
      </w:r>
      <w:r w:rsidR="00E56F63" w:rsidRPr="005F3D85">
        <w:rPr>
          <w:rFonts w:ascii="Arial" w:hAnsi="Arial" w:cs="Arial"/>
          <w:sz w:val="20"/>
          <w:szCs w:val="20"/>
        </w:rPr>
        <w:t xml:space="preserve"> cross</w:t>
      </w:r>
      <w:r w:rsidR="007147EE" w:rsidRPr="005F3D85">
        <w:rPr>
          <w:rFonts w:ascii="Arial" w:hAnsi="Arial" w:cs="Arial"/>
          <w:sz w:val="20"/>
          <w:szCs w:val="20"/>
        </w:rPr>
        <w:t>-</w:t>
      </w:r>
      <w:r w:rsidR="00E56F63" w:rsidRPr="005F3D85">
        <w:rPr>
          <w:rFonts w:ascii="Arial" w:hAnsi="Arial" w:cs="Arial"/>
          <w:sz w:val="20"/>
          <w:szCs w:val="20"/>
        </w:rPr>
        <w:t>listed firms (DSE, 2024).</w:t>
      </w:r>
      <w:r w:rsidR="00C3352E" w:rsidRPr="005F3D85">
        <w:rPr>
          <w:rFonts w:ascii="Arial" w:hAnsi="Arial" w:cs="Arial"/>
          <w:sz w:val="20"/>
          <w:szCs w:val="20"/>
        </w:rPr>
        <w:t xml:space="preserve"> </w:t>
      </w:r>
      <w:r w:rsidR="00E56F63" w:rsidRPr="005F3D85">
        <w:rPr>
          <w:rFonts w:ascii="Arial" w:hAnsi="Arial" w:cs="Arial"/>
          <w:sz w:val="20"/>
          <w:szCs w:val="20"/>
        </w:rPr>
        <w:t xml:space="preserve">However, DSE is </w:t>
      </w:r>
      <w:r w:rsidR="00F84B97" w:rsidRPr="005F3D85">
        <w:rPr>
          <w:rFonts w:ascii="Arial" w:hAnsi="Arial" w:cs="Arial"/>
          <w:sz w:val="20"/>
          <w:szCs w:val="20"/>
        </w:rPr>
        <w:t>moderately</w:t>
      </w:r>
      <w:r w:rsidR="00E56F63" w:rsidRPr="005F3D85">
        <w:rPr>
          <w:rFonts w:ascii="Arial" w:hAnsi="Arial" w:cs="Arial"/>
          <w:sz w:val="20"/>
          <w:szCs w:val="20"/>
        </w:rPr>
        <w:t xml:space="preserve"> small compared to other exchanges in the region, with limited number of listed companies</w:t>
      </w:r>
      <w:r w:rsidR="007147EE" w:rsidRPr="005F3D85">
        <w:rPr>
          <w:rFonts w:ascii="Arial" w:hAnsi="Arial" w:cs="Arial"/>
          <w:sz w:val="20"/>
          <w:szCs w:val="20"/>
        </w:rPr>
        <w:t>.</w:t>
      </w:r>
    </w:p>
    <w:p w14:paraId="1A8AF7E6" w14:textId="77777777" w:rsidR="00543EA8" w:rsidRDefault="00543EA8" w:rsidP="00757614">
      <w:pPr>
        <w:spacing w:after="0" w:line="240" w:lineRule="auto"/>
        <w:jc w:val="both"/>
        <w:rPr>
          <w:rFonts w:ascii="Arial" w:hAnsi="Arial" w:cs="Arial"/>
          <w:sz w:val="20"/>
          <w:szCs w:val="20"/>
        </w:rPr>
      </w:pPr>
    </w:p>
    <w:p w14:paraId="09D4ADA5" w14:textId="0E20CCBC" w:rsidR="00C3352E" w:rsidRPr="005F3D85" w:rsidRDefault="00543EA8" w:rsidP="00757614">
      <w:pPr>
        <w:spacing w:after="0" w:line="240" w:lineRule="auto"/>
        <w:jc w:val="both"/>
        <w:rPr>
          <w:rFonts w:ascii="Arial" w:hAnsi="Arial" w:cs="Arial"/>
          <w:sz w:val="20"/>
          <w:szCs w:val="20"/>
        </w:rPr>
      </w:pPr>
      <w:r w:rsidRPr="00543EA8">
        <w:rPr>
          <w:rFonts w:ascii="Arial" w:hAnsi="Arial" w:cs="Arial"/>
          <w:sz w:val="20"/>
          <w:szCs w:val="20"/>
        </w:rPr>
        <w:t>In emerging markets, the efficiency of credit risk management systems remains central to sustaining firm performance, as it influences both operational stability and market perception (Sarjono &amp; Suprapto, 2020). Credit risk management practices ensure that firms minimize losses from default, improve liquidity and enhance profitability which in turn strengthens investor confidence and supports positive movements in share price (Mwangi &amp; Wambua, 2021).</w:t>
      </w:r>
      <w:r>
        <w:rPr>
          <w:rFonts w:ascii="Arial" w:hAnsi="Arial" w:cs="Arial"/>
          <w:sz w:val="20"/>
          <w:szCs w:val="20"/>
        </w:rPr>
        <w:t xml:space="preserve"> </w:t>
      </w:r>
      <w:r w:rsidRPr="00543EA8">
        <w:rPr>
          <w:rFonts w:ascii="Arial" w:hAnsi="Arial" w:cs="Arial"/>
          <w:sz w:val="20"/>
          <w:szCs w:val="20"/>
        </w:rPr>
        <w:t xml:space="preserve">Moreover, fluctuations in share prices serve as a reflection of </w:t>
      </w:r>
      <w:r w:rsidRPr="00543EA8">
        <w:rPr>
          <w:rFonts w:ascii="Arial" w:hAnsi="Arial" w:cs="Arial"/>
          <w:sz w:val="20"/>
          <w:szCs w:val="20"/>
        </w:rPr>
        <w:lastRenderedPageBreak/>
        <w:t xml:space="preserve">investors’ expectations regarding a firm’s financial </w:t>
      </w:r>
      <w:r>
        <w:rPr>
          <w:rFonts w:ascii="Arial" w:hAnsi="Arial" w:cs="Arial"/>
          <w:sz w:val="20"/>
          <w:szCs w:val="20"/>
        </w:rPr>
        <w:t>performance</w:t>
      </w:r>
      <w:r w:rsidRPr="00543EA8">
        <w:rPr>
          <w:rFonts w:ascii="Arial" w:hAnsi="Arial" w:cs="Arial"/>
          <w:sz w:val="20"/>
          <w:szCs w:val="20"/>
        </w:rPr>
        <w:t xml:space="preserve"> and governance quality. When markets function efficiently</w:t>
      </w:r>
      <w:r>
        <w:rPr>
          <w:rFonts w:ascii="Arial" w:hAnsi="Arial" w:cs="Arial"/>
          <w:sz w:val="20"/>
          <w:szCs w:val="20"/>
        </w:rPr>
        <w:t xml:space="preserve"> </w:t>
      </w:r>
      <w:r w:rsidRPr="00543EA8">
        <w:rPr>
          <w:rFonts w:ascii="Arial" w:hAnsi="Arial" w:cs="Arial"/>
          <w:sz w:val="20"/>
          <w:szCs w:val="20"/>
        </w:rPr>
        <w:t>as posited by the Efficient Market Hypothesis these price movements incorporate all available information including a firm’s risk profile and management efficiency, ultimately affecting performance indicators such as Return on Equity (ROE) (Lim &amp; Brooks, 2023). Recent studies have confirmed that share price behavior is an essential predictor of firm profitability and that firms with better risk management practices tend to exhibit superior ROE performance (Jagirani et al., 2023</w:t>
      </w:r>
      <w:r>
        <w:rPr>
          <w:rFonts w:ascii="Arial" w:hAnsi="Arial" w:cs="Arial"/>
          <w:sz w:val="20"/>
          <w:szCs w:val="20"/>
        </w:rPr>
        <w:t xml:space="preserve">). </w:t>
      </w:r>
      <w:r w:rsidR="00E56F63" w:rsidRPr="005F3D85">
        <w:rPr>
          <w:rFonts w:ascii="Arial" w:hAnsi="Arial" w:cs="Arial"/>
          <w:sz w:val="20"/>
          <w:szCs w:val="20"/>
        </w:rPr>
        <w:t xml:space="preserve">Capital Market and Security Authority (2024) report that there is decreased financial performance of the domestic listed companies. Additionally, DSE financial report (2024) observes the continuation of </w:t>
      </w:r>
      <w:r w:rsidR="007147EE" w:rsidRPr="005F3D85">
        <w:rPr>
          <w:rFonts w:ascii="Arial" w:hAnsi="Arial" w:cs="Arial"/>
          <w:sz w:val="20"/>
          <w:szCs w:val="20"/>
        </w:rPr>
        <w:t xml:space="preserve">the </w:t>
      </w:r>
      <w:r w:rsidR="00E56F63" w:rsidRPr="005F3D85">
        <w:rPr>
          <w:rFonts w:ascii="Arial" w:hAnsi="Arial" w:cs="Arial"/>
          <w:sz w:val="20"/>
          <w:szCs w:val="20"/>
        </w:rPr>
        <w:t>declin</w:t>
      </w:r>
      <w:r w:rsidR="007147EE" w:rsidRPr="005F3D85">
        <w:rPr>
          <w:rFonts w:ascii="Arial" w:hAnsi="Arial" w:cs="Arial"/>
          <w:sz w:val="20"/>
          <w:szCs w:val="20"/>
        </w:rPr>
        <w:t>e</w:t>
      </w:r>
      <w:r w:rsidR="00E56F63" w:rsidRPr="005F3D85">
        <w:rPr>
          <w:rFonts w:ascii="Arial" w:hAnsi="Arial" w:cs="Arial"/>
          <w:sz w:val="20"/>
          <w:szCs w:val="20"/>
        </w:rPr>
        <w:t xml:space="preserve"> of total market capitalization by -6.8% and volatility in share prices. Moreover, there is limited investor participation in Tanzania (Chindengwike, 2024).</w:t>
      </w:r>
    </w:p>
    <w:p w14:paraId="47606BF1" w14:textId="77777777" w:rsidR="00C3352E" w:rsidRPr="005F3D85" w:rsidRDefault="00C3352E" w:rsidP="00757614">
      <w:pPr>
        <w:spacing w:after="0" w:line="240" w:lineRule="auto"/>
        <w:jc w:val="both"/>
        <w:rPr>
          <w:rFonts w:ascii="Arial" w:hAnsi="Arial" w:cs="Arial"/>
          <w:sz w:val="20"/>
          <w:szCs w:val="20"/>
        </w:rPr>
      </w:pPr>
    </w:p>
    <w:p w14:paraId="06E1F833" w14:textId="77C75A63" w:rsidR="00E56F63" w:rsidRDefault="00E56F63" w:rsidP="00757614">
      <w:pPr>
        <w:spacing w:after="0" w:line="240" w:lineRule="auto"/>
        <w:jc w:val="both"/>
        <w:rPr>
          <w:rFonts w:ascii="Arial" w:hAnsi="Arial" w:cs="Arial"/>
          <w:sz w:val="20"/>
          <w:szCs w:val="20"/>
        </w:rPr>
      </w:pPr>
      <w:r w:rsidRPr="005F3D85">
        <w:rPr>
          <w:rFonts w:ascii="Arial" w:hAnsi="Arial" w:cs="Arial"/>
          <w:sz w:val="20"/>
          <w:szCs w:val="20"/>
        </w:rPr>
        <w:t xml:space="preserve">Listed companies on the DSE represent various sectors of the Tanzanian economy, including banking, telecommunications, manufacturing, and agriculture (Mwenda et al. 2021). </w:t>
      </w:r>
      <w:r w:rsidR="00F84B97" w:rsidRPr="005F3D85">
        <w:rPr>
          <w:rFonts w:ascii="Arial" w:hAnsi="Arial" w:cs="Arial"/>
          <w:sz w:val="20"/>
          <w:szCs w:val="20"/>
        </w:rPr>
        <w:t>P</w:t>
      </w:r>
      <w:r w:rsidRPr="005F3D85">
        <w:rPr>
          <w:rFonts w:ascii="Arial" w:hAnsi="Arial" w:cs="Arial"/>
          <w:sz w:val="20"/>
          <w:szCs w:val="20"/>
        </w:rPr>
        <w:t xml:space="preserve">erformance of these </w:t>
      </w:r>
      <w:r w:rsidR="00F84B97" w:rsidRPr="005F3D85">
        <w:rPr>
          <w:rFonts w:ascii="Arial" w:hAnsi="Arial" w:cs="Arial"/>
          <w:sz w:val="20"/>
          <w:szCs w:val="20"/>
        </w:rPr>
        <w:t>companies</w:t>
      </w:r>
      <w:r w:rsidRPr="005F3D85">
        <w:rPr>
          <w:rFonts w:ascii="Arial" w:hAnsi="Arial" w:cs="Arial"/>
          <w:sz w:val="20"/>
          <w:szCs w:val="20"/>
        </w:rPr>
        <w:t xml:space="preserve"> influenced by both domestic and external factors, including economic growth, regulatory changes, and global market trends (Mwenda, 2023). While the DSE </w:t>
      </w:r>
      <w:r w:rsidR="00F84B97" w:rsidRPr="005F3D85">
        <w:rPr>
          <w:rFonts w:ascii="Arial" w:hAnsi="Arial" w:cs="Arial"/>
          <w:sz w:val="20"/>
          <w:szCs w:val="20"/>
        </w:rPr>
        <w:t>offers</w:t>
      </w:r>
      <w:r w:rsidRPr="005F3D85">
        <w:rPr>
          <w:rFonts w:ascii="Arial" w:hAnsi="Arial" w:cs="Arial"/>
          <w:sz w:val="20"/>
          <w:szCs w:val="20"/>
        </w:rPr>
        <w:t xml:space="preserve"> a platform for </w:t>
      </w:r>
      <w:r w:rsidR="00022A88" w:rsidRPr="005F3D85">
        <w:rPr>
          <w:rFonts w:ascii="Arial" w:hAnsi="Arial" w:cs="Arial"/>
          <w:sz w:val="20"/>
          <w:szCs w:val="20"/>
        </w:rPr>
        <w:t>firms</w:t>
      </w:r>
      <w:r w:rsidRPr="005F3D85">
        <w:rPr>
          <w:rFonts w:ascii="Arial" w:hAnsi="Arial" w:cs="Arial"/>
          <w:sz w:val="20"/>
          <w:szCs w:val="20"/>
        </w:rPr>
        <w:t xml:space="preserve"> to raise capital, access to funding remains a challenge for listed firms</w:t>
      </w:r>
      <w:r w:rsidR="00022A88" w:rsidRPr="005F3D85">
        <w:rPr>
          <w:rFonts w:ascii="Arial" w:hAnsi="Arial" w:cs="Arial"/>
          <w:sz w:val="20"/>
          <w:szCs w:val="20"/>
        </w:rPr>
        <w:t xml:space="preserve"> (DSE, 2024)</w:t>
      </w:r>
      <w:r w:rsidRPr="005F3D85">
        <w:rPr>
          <w:rFonts w:ascii="Arial" w:hAnsi="Arial" w:cs="Arial"/>
          <w:sz w:val="20"/>
          <w:szCs w:val="20"/>
        </w:rPr>
        <w:t>.</w:t>
      </w:r>
      <w:r w:rsidR="00C3352E" w:rsidRPr="005F3D85">
        <w:rPr>
          <w:rFonts w:ascii="Arial" w:hAnsi="Arial" w:cs="Arial"/>
          <w:sz w:val="20"/>
          <w:szCs w:val="20"/>
        </w:rPr>
        <w:t xml:space="preserve"> </w:t>
      </w:r>
      <w:r w:rsidRPr="005F3D85">
        <w:rPr>
          <w:rFonts w:ascii="Arial" w:hAnsi="Arial" w:cs="Arial"/>
          <w:sz w:val="20"/>
          <w:szCs w:val="20"/>
        </w:rPr>
        <w:t>Additionally, this study employ</w:t>
      </w:r>
      <w:r w:rsidR="00CF287B" w:rsidRPr="005F3D85">
        <w:rPr>
          <w:rFonts w:ascii="Arial" w:hAnsi="Arial" w:cs="Arial"/>
          <w:sz w:val="20"/>
          <w:szCs w:val="20"/>
        </w:rPr>
        <w:t>ed</w:t>
      </w:r>
      <w:r w:rsidR="007147EE" w:rsidRPr="005F3D85">
        <w:rPr>
          <w:rFonts w:ascii="Arial" w:hAnsi="Arial" w:cs="Arial"/>
          <w:sz w:val="20"/>
          <w:szCs w:val="20"/>
        </w:rPr>
        <w:t xml:space="preserve"> an</w:t>
      </w:r>
      <w:r w:rsidRPr="005F3D85">
        <w:rPr>
          <w:rFonts w:ascii="Arial" w:hAnsi="Arial" w:cs="Arial"/>
          <w:sz w:val="20"/>
          <w:szCs w:val="20"/>
        </w:rPr>
        <w:t xml:space="preserve"> approach that incorporates uses of panel data through secondary sources from all listed firms that </w:t>
      </w:r>
      <w:r w:rsidR="00CD3F0E" w:rsidRPr="005F3D85">
        <w:rPr>
          <w:rFonts w:ascii="Arial" w:hAnsi="Arial" w:cs="Arial"/>
          <w:sz w:val="20"/>
          <w:szCs w:val="20"/>
        </w:rPr>
        <w:t>were</w:t>
      </w:r>
      <w:r w:rsidRPr="005F3D85">
        <w:rPr>
          <w:rFonts w:ascii="Arial" w:hAnsi="Arial" w:cs="Arial"/>
          <w:sz w:val="20"/>
          <w:szCs w:val="20"/>
        </w:rPr>
        <w:t xml:space="preserve"> quantitatively </w:t>
      </w:r>
      <w:r w:rsidR="007A43C4" w:rsidRPr="005F3D85">
        <w:rPr>
          <w:rFonts w:ascii="Arial" w:hAnsi="Arial" w:cs="Arial"/>
          <w:sz w:val="20"/>
          <w:szCs w:val="20"/>
        </w:rPr>
        <w:t>analyzed,</w:t>
      </w:r>
      <w:r w:rsidRPr="005F3D85">
        <w:rPr>
          <w:rFonts w:ascii="Arial" w:hAnsi="Arial" w:cs="Arial"/>
          <w:sz w:val="20"/>
          <w:szCs w:val="20"/>
        </w:rPr>
        <w:t xml:space="preserve"> while previous studies such as Chindengiwke (2024), Chindengiwke (2023),</w:t>
      </w:r>
      <w:r w:rsidR="007147EE" w:rsidRPr="005F3D85">
        <w:rPr>
          <w:rFonts w:ascii="Arial" w:hAnsi="Arial" w:cs="Arial"/>
          <w:sz w:val="20"/>
          <w:szCs w:val="20"/>
        </w:rPr>
        <w:t xml:space="preserve"> and</w:t>
      </w:r>
      <w:r w:rsidRPr="005F3D85">
        <w:rPr>
          <w:rFonts w:ascii="Arial" w:hAnsi="Arial" w:cs="Arial"/>
          <w:sz w:val="20"/>
          <w:szCs w:val="20"/>
        </w:rPr>
        <w:t xml:space="preserve"> Lusiana (2020) utilized time series data only in specific single firms. Moreover, the study used </w:t>
      </w:r>
      <w:r w:rsidR="00214DBE" w:rsidRPr="005F3D85">
        <w:rPr>
          <w:rFonts w:ascii="Arial" w:hAnsi="Arial" w:cs="Arial"/>
          <w:sz w:val="20"/>
          <w:szCs w:val="20"/>
        </w:rPr>
        <w:t xml:space="preserve">a </w:t>
      </w:r>
      <w:r w:rsidRPr="005F3D85">
        <w:rPr>
          <w:rFonts w:ascii="Arial" w:hAnsi="Arial" w:cs="Arial"/>
          <w:sz w:val="20"/>
          <w:szCs w:val="20"/>
        </w:rPr>
        <w:t>large sample size compared with previous studie</w:t>
      </w:r>
      <w:r w:rsidR="00214DBE" w:rsidRPr="005F3D85">
        <w:rPr>
          <w:rFonts w:ascii="Arial" w:hAnsi="Arial" w:cs="Arial"/>
          <w:sz w:val="20"/>
          <w:szCs w:val="20"/>
        </w:rPr>
        <w:t>s</w:t>
      </w:r>
      <w:r w:rsidRPr="005F3D85">
        <w:rPr>
          <w:rFonts w:ascii="Arial" w:hAnsi="Arial" w:cs="Arial"/>
          <w:sz w:val="20"/>
          <w:szCs w:val="20"/>
        </w:rPr>
        <w:t xml:space="preserve"> like Chindengiwke (2024), Koleosho</w:t>
      </w:r>
      <w:r w:rsidR="001177F8" w:rsidRPr="005F3D85">
        <w:rPr>
          <w:rFonts w:ascii="Arial" w:hAnsi="Arial" w:cs="Arial"/>
          <w:sz w:val="20"/>
          <w:szCs w:val="20"/>
        </w:rPr>
        <w:t xml:space="preserve"> et al</w:t>
      </w:r>
      <w:r w:rsidRPr="005F3D85">
        <w:rPr>
          <w:rFonts w:ascii="Arial" w:hAnsi="Arial" w:cs="Arial"/>
          <w:sz w:val="20"/>
          <w:szCs w:val="20"/>
        </w:rPr>
        <w:t>. (2022), Kizys</w:t>
      </w:r>
      <w:r w:rsidR="001177F8" w:rsidRPr="005F3D85">
        <w:rPr>
          <w:rFonts w:ascii="Arial" w:hAnsi="Arial" w:cs="Arial"/>
          <w:sz w:val="20"/>
          <w:szCs w:val="20"/>
        </w:rPr>
        <w:t xml:space="preserve"> et al.</w:t>
      </w:r>
      <w:r w:rsidRPr="005F3D85">
        <w:rPr>
          <w:rFonts w:ascii="Arial" w:hAnsi="Arial" w:cs="Arial"/>
          <w:sz w:val="20"/>
          <w:szCs w:val="20"/>
        </w:rPr>
        <w:t xml:space="preserve"> (2021)</w:t>
      </w:r>
      <w:r w:rsidR="00214DBE" w:rsidRPr="005F3D85">
        <w:rPr>
          <w:rFonts w:ascii="Arial" w:hAnsi="Arial" w:cs="Arial"/>
          <w:sz w:val="20"/>
          <w:szCs w:val="20"/>
        </w:rPr>
        <w:t>,</w:t>
      </w:r>
      <w:r w:rsidRPr="005F3D85">
        <w:rPr>
          <w:rFonts w:ascii="Arial" w:hAnsi="Arial" w:cs="Arial"/>
          <w:sz w:val="20"/>
          <w:szCs w:val="20"/>
        </w:rPr>
        <w:t xml:space="preserve"> and Kiptoo et </w:t>
      </w:r>
      <w:r w:rsidR="007A43C4" w:rsidRPr="005F3D85">
        <w:rPr>
          <w:rFonts w:ascii="Arial" w:hAnsi="Arial" w:cs="Arial"/>
          <w:sz w:val="20"/>
          <w:szCs w:val="20"/>
        </w:rPr>
        <w:t>al. (2021),</w:t>
      </w:r>
      <w:r w:rsidR="00214DBE" w:rsidRPr="005F3D85">
        <w:rPr>
          <w:rFonts w:ascii="Arial" w:hAnsi="Arial" w:cs="Arial"/>
          <w:sz w:val="20"/>
          <w:szCs w:val="20"/>
        </w:rPr>
        <w:t xml:space="preserve"> which</w:t>
      </w:r>
      <w:r w:rsidRPr="005F3D85">
        <w:rPr>
          <w:rFonts w:ascii="Arial" w:hAnsi="Arial" w:cs="Arial"/>
          <w:sz w:val="20"/>
          <w:szCs w:val="20"/>
        </w:rPr>
        <w:t xml:space="preserve"> ha</w:t>
      </w:r>
      <w:r w:rsidR="00214DBE" w:rsidRPr="005F3D85">
        <w:rPr>
          <w:rFonts w:ascii="Arial" w:hAnsi="Arial" w:cs="Arial"/>
          <w:sz w:val="20"/>
          <w:szCs w:val="20"/>
        </w:rPr>
        <w:t>d</w:t>
      </w:r>
      <w:r w:rsidRPr="005F3D85">
        <w:rPr>
          <w:rFonts w:ascii="Arial" w:hAnsi="Arial" w:cs="Arial"/>
          <w:sz w:val="20"/>
          <w:szCs w:val="20"/>
        </w:rPr>
        <w:t xml:space="preserve"> </w:t>
      </w:r>
      <w:r w:rsidR="00214DBE" w:rsidRPr="005F3D85">
        <w:rPr>
          <w:rFonts w:ascii="Arial" w:hAnsi="Arial" w:cs="Arial"/>
          <w:sz w:val="20"/>
          <w:szCs w:val="20"/>
        </w:rPr>
        <w:t>smaller</w:t>
      </w:r>
      <w:r w:rsidRPr="005F3D85">
        <w:rPr>
          <w:rFonts w:ascii="Arial" w:hAnsi="Arial" w:cs="Arial"/>
          <w:sz w:val="20"/>
          <w:szCs w:val="20"/>
        </w:rPr>
        <w:t xml:space="preserve"> sample size</w:t>
      </w:r>
      <w:r w:rsidR="00214DBE" w:rsidRPr="005F3D85">
        <w:rPr>
          <w:rFonts w:ascii="Arial" w:hAnsi="Arial" w:cs="Arial"/>
          <w:sz w:val="20"/>
          <w:szCs w:val="20"/>
        </w:rPr>
        <w:t>s</w:t>
      </w:r>
      <w:r w:rsidRPr="005F3D85">
        <w:rPr>
          <w:rFonts w:ascii="Arial" w:hAnsi="Arial" w:cs="Arial"/>
          <w:sz w:val="20"/>
          <w:szCs w:val="20"/>
        </w:rPr>
        <w:t xml:space="preserve">. </w:t>
      </w:r>
      <w:r w:rsidR="00BB6C9C" w:rsidRPr="005F3D85">
        <w:rPr>
          <w:rFonts w:ascii="Arial" w:hAnsi="Arial" w:cs="Arial"/>
          <w:sz w:val="20"/>
          <w:szCs w:val="20"/>
        </w:rPr>
        <w:t>A</w:t>
      </w:r>
      <w:r w:rsidRPr="005F3D85">
        <w:rPr>
          <w:rFonts w:ascii="Arial" w:hAnsi="Arial" w:cs="Arial"/>
          <w:sz w:val="20"/>
          <w:szCs w:val="20"/>
        </w:rPr>
        <w:t>ddition</w:t>
      </w:r>
      <w:r w:rsidR="00BB6C9C" w:rsidRPr="005F3D85">
        <w:rPr>
          <w:rFonts w:ascii="Arial" w:hAnsi="Arial" w:cs="Arial"/>
          <w:sz w:val="20"/>
          <w:szCs w:val="20"/>
        </w:rPr>
        <w:t xml:space="preserve">al </w:t>
      </w:r>
      <w:r w:rsidRPr="005F3D85">
        <w:rPr>
          <w:rFonts w:ascii="Arial" w:hAnsi="Arial" w:cs="Arial"/>
          <w:sz w:val="20"/>
          <w:szCs w:val="20"/>
        </w:rPr>
        <w:t>to the gap covered in this study, study used the Efficient Market Hypothesis Theory developed by Louis Bachelier (1900)</w:t>
      </w:r>
      <w:r w:rsidR="00214DBE" w:rsidRPr="005F3D85">
        <w:rPr>
          <w:rFonts w:ascii="Arial" w:hAnsi="Arial" w:cs="Arial"/>
          <w:sz w:val="20"/>
          <w:szCs w:val="20"/>
        </w:rPr>
        <w:t xml:space="preserve"> and</w:t>
      </w:r>
      <w:r w:rsidRPr="005F3D85">
        <w:rPr>
          <w:rFonts w:ascii="Arial" w:hAnsi="Arial" w:cs="Arial"/>
          <w:sz w:val="20"/>
          <w:szCs w:val="20"/>
        </w:rPr>
        <w:t xml:space="preserve"> formalized by Fama in 1960 to 1970</w:t>
      </w:r>
      <w:r w:rsidR="00885418">
        <w:rPr>
          <w:rFonts w:ascii="Arial" w:hAnsi="Arial" w:cs="Arial"/>
          <w:sz w:val="20"/>
          <w:szCs w:val="20"/>
        </w:rPr>
        <w:t xml:space="preserve">. </w:t>
      </w:r>
      <w:r w:rsidR="00885418" w:rsidRPr="00885418">
        <w:rPr>
          <w:rFonts w:ascii="Arial" w:hAnsi="Arial" w:cs="Arial"/>
          <w:sz w:val="20"/>
          <w:szCs w:val="20"/>
        </w:rPr>
        <w:t>Study used the Efficient Market Hypothesis which postulates that financial markets are informationally efficient and that share prices fully reflect all available information relevant to a firm’s value (Fama, 1970). This theoretical aspect, the performance of firms measured in this study through Return on Equity as influenced by how efficiently the market processes information about internal management practices such as credit risk management and external indicators such as share price performance.</w:t>
      </w:r>
    </w:p>
    <w:p w14:paraId="31701A41" w14:textId="77777777" w:rsidR="00885418" w:rsidRDefault="00885418" w:rsidP="00757614">
      <w:pPr>
        <w:spacing w:after="0" w:line="240" w:lineRule="auto"/>
        <w:jc w:val="both"/>
        <w:rPr>
          <w:rFonts w:ascii="Arial" w:hAnsi="Arial" w:cs="Arial"/>
          <w:sz w:val="20"/>
          <w:szCs w:val="20"/>
        </w:rPr>
      </w:pPr>
    </w:p>
    <w:p w14:paraId="5EC450E3" w14:textId="36146610" w:rsidR="00885418" w:rsidRPr="005F3D85" w:rsidRDefault="00885418" w:rsidP="00885418">
      <w:pPr>
        <w:spacing w:after="0" w:line="240" w:lineRule="auto"/>
        <w:jc w:val="both"/>
        <w:rPr>
          <w:rFonts w:ascii="Arial" w:hAnsi="Arial" w:cs="Arial"/>
          <w:sz w:val="20"/>
          <w:szCs w:val="20"/>
        </w:rPr>
      </w:pPr>
      <w:r w:rsidRPr="00885418">
        <w:rPr>
          <w:rFonts w:ascii="Arial" w:hAnsi="Arial" w:cs="Arial"/>
          <w:sz w:val="20"/>
          <w:szCs w:val="20"/>
        </w:rPr>
        <w:t>According to efficient market hypothesis, when firms implement credit risk management practices, information becomes publicly observable through financial statements and investor communication that makes adjustments in share prices and accurately represent firm value and profit</w:t>
      </w:r>
      <w:r w:rsidR="007078A6">
        <w:rPr>
          <w:rFonts w:ascii="Arial" w:hAnsi="Arial" w:cs="Arial"/>
          <w:sz w:val="20"/>
          <w:szCs w:val="20"/>
        </w:rPr>
        <w:t xml:space="preserve">ability expectations (Jagirani et al., </w:t>
      </w:r>
      <w:r w:rsidRPr="00885418">
        <w:rPr>
          <w:rFonts w:ascii="Arial" w:hAnsi="Arial" w:cs="Arial"/>
          <w:sz w:val="20"/>
          <w:szCs w:val="20"/>
        </w:rPr>
        <w:t>2023).</w:t>
      </w:r>
      <w:r>
        <w:rPr>
          <w:rFonts w:ascii="Arial" w:hAnsi="Arial" w:cs="Arial"/>
          <w:sz w:val="20"/>
          <w:szCs w:val="20"/>
        </w:rPr>
        <w:t xml:space="preserve"> </w:t>
      </w:r>
      <w:r w:rsidRPr="00885418">
        <w:rPr>
          <w:rFonts w:ascii="Arial" w:hAnsi="Arial" w:cs="Arial"/>
          <w:sz w:val="20"/>
          <w:szCs w:val="20"/>
        </w:rPr>
        <w:t>Empirical studies evidenced this linkage, showing that strong credit risk management reduces the possibility of default, enhances asset quality and improves financial performance</w:t>
      </w:r>
      <w:r w:rsidR="007078A6">
        <w:rPr>
          <w:rFonts w:ascii="Arial" w:hAnsi="Arial" w:cs="Arial"/>
          <w:sz w:val="20"/>
          <w:szCs w:val="20"/>
        </w:rPr>
        <w:t xml:space="preserve"> which is</w:t>
      </w:r>
      <w:r w:rsidRPr="00885418">
        <w:rPr>
          <w:rFonts w:ascii="Arial" w:hAnsi="Arial" w:cs="Arial"/>
          <w:sz w:val="20"/>
          <w:szCs w:val="20"/>
        </w:rPr>
        <w:t xml:space="preserve"> reflected in stronger market valuations (Mwangi &amp; Wambua, 2021). In contrast, ineffective risk management increases uncertainty and volatility, lowering investor confidence and share valuation. As share prices incorporate investors’ collective assessment of firms’ future profitability, serve as a real-time indicator of managerial efficiency and firm stability (Ismail &amp; Obiedallah, 2022).</w:t>
      </w:r>
    </w:p>
    <w:p w14:paraId="0EE1E1A3" w14:textId="77777777" w:rsidR="005C7BD6" w:rsidRPr="005F3D85" w:rsidRDefault="005C7BD6" w:rsidP="00757614">
      <w:pPr>
        <w:spacing w:after="0" w:line="240" w:lineRule="auto"/>
        <w:jc w:val="both"/>
        <w:rPr>
          <w:rFonts w:ascii="Arial" w:hAnsi="Arial" w:cs="Arial"/>
          <w:sz w:val="24"/>
          <w:szCs w:val="24"/>
        </w:rPr>
      </w:pPr>
    </w:p>
    <w:p w14:paraId="107716FC" w14:textId="10607DCB" w:rsidR="00BF37E8" w:rsidRPr="005F3D85" w:rsidRDefault="00CE4FF5" w:rsidP="004666E2">
      <w:pPr>
        <w:spacing w:after="0" w:line="240" w:lineRule="auto"/>
        <w:rPr>
          <w:rFonts w:ascii="Arial" w:hAnsi="Arial" w:cs="Arial"/>
          <w:b/>
        </w:rPr>
      </w:pPr>
      <w:bookmarkStart w:id="2" w:name="_Toc208584779"/>
      <w:bookmarkStart w:id="3" w:name="_Toc207714023"/>
      <w:r w:rsidRPr="005F3D85">
        <w:rPr>
          <w:rFonts w:ascii="Arial" w:hAnsi="Arial" w:cs="Arial"/>
          <w:b/>
        </w:rPr>
        <w:t>2. Literature Review</w:t>
      </w:r>
      <w:bookmarkEnd w:id="2"/>
    </w:p>
    <w:p w14:paraId="5A0429D8" w14:textId="01EC8FF6" w:rsidR="00DA2DC3" w:rsidRPr="00392AAA" w:rsidRDefault="00CE4FF5" w:rsidP="004666E2">
      <w:pPr>
        <w:spacing w:after="0" w:line="240" w:lineRule="auto"/>
        <w:rPr>
          <w:rFonts w:ascii="Arial" w:hAnsi="Arial" w:cs="Arial"/>
          <w:b/>
          <w:sz w:val="20"/>
          <w:szCs w:val="20"/>
        </w:rPr>
      </w:pPr>
      <w:bookmarkStart w:id="4" w:name="_Toc208584788"/>
      <w:bookmarkEnd w:id="3"/>
      <w:r w:rsidRPr="00392AAA">
        <w:rPr>
          <w:rFonts w:ascii="Arial" w:hAnsi="Arial" w:cs="Arial"/>
          <w:b/>
          <w:sz w:val="20"/>
          <w:szCs w:val="20"/>
        </w:rPr>
        <w:t>2.1</w:t>
      </w:r>
      <w:r w:rsidR="00DA2DC3" w:rsidRPr="00392AAA">
        <w:rPr>
          <w:rFonts w:ascii="Arial" w:hAnsi="Arial" w:cs="Arial"/>
          <w:b/>
          <w:sz w:val="20"/>
          <w:szCs w:val="20"/>
        </w:rPr>
        <w:t>. Efficient Market Hypothesis Theory</w:t>
      </w:r>
      <w:bookmarkEnd w:id="4"/>
    </w:p>
    <w:p w14:paraId="630D979C" w14:textId="6B5B8D22" w:rsidR="0083573A" w:rsidRPr="005F3D85" w:rsidRDefault="00E56F63" w:rsidP="004666E2">
      <w:pPr>
        <w:spacing w:after="0" w:line="240" w:lineRule="auto"/>
        <w:jc w:val="both"/>
        <w:rPr>
          <w:rFonts w:ascii="Arial" w:hAnsi="Arial" w:cs="Arial"/>
          <w:sz w:val="20"/>
          <w:szCs w:val="20"/>
        </w:rPr>
      </w:pPr>
      <w:r w:rsidRPr="005F3D85">
        <w:rPr>
          <w:rFonts w:ascii="Arial" w:hAnsi="Arial" w:cs="Arial"/>
          <w:sz w:val="20"/>
          <w:szCs w:val="20"/>
        </w:rPr>
        <w:t>The theory</w:t>
      </w:r>
      <w:r w:rsidR="00D20A6E" w:rsidRPr="005F3D85">
        <w:rPr>
          <w:rFonts w:ascii="Arial" w:hAnsi="Arial" w:cs="Arial"/>
          <w:sz w:val="20"/>
          <w:szCs w:val="20"/>
        </w:rPr>
        <w:t xml:space="preserve"> used</w:t>
      </w:r>
      <w:r w:rsidRPr="005F3D85">
        <w:rPr>
          <w:rFonts w:ascii="Arial" w:hAnsi="Arial" w:cs="Arial"/>
          <w:sz w:val="20"/>
          <w:szCs w:val="20"/>
        </w:rPr>
        <w:t xml:space="preserve"> in financial economics suggest</w:t>
      </w:r>
      <w:r w:rsidR="00D20A6E" w:rsidRPr="005F3D85">
        <w:rPr>
          <w:rFonts w:ascii="Arial" w:hAnsi="Arial" w:cs="Arial"/>
          <w:sz w:val="20"/>
          <w:szCs w:val="20"/>
        </w:rPr>
        <w:t xml:space="preserve">ed </w:t>
      </w:r>
      <w:r w:rsidRPr="005F3D85">
        <w:rPr>
          <w:rFonts w:ascii="Arial" w:hAnsi="Arial" w:cs="Arial"/>
          <w:sz w:val="20"/>
          <w:szCs w:val="20"/>
        </w:rPr>
        <w:t>that financial market</w:t>
      </w:r>
      <w:r w:rsidR="00D20A6E" w:rsidRPr="005F3D85">
        <w:rPr>
          <w:rFonts w:ascii="Arial" w:hAnsi="Arial" w:cs="Arial"/>
          <w:sz w:val="20"/>
          <w:szCs w:val="20"/>
        </w:rPr>
        <w:t xml:space="preserve"> is </w:t>
      </w:r>
      <w:r w:rsidRPr="005F3D85">
        <w:rPr>
          <w:rFonts w:ascii="Arial" w:hAnsi="Arial" w:cs="Arial"/>
          <w:sz w:val="20"/>
          <w:szCs w:val="20"/>
        </w:rPr>
        <w:t>efficient in processing and reflect</w:t>
      </w:r>
      <w:r w:rsidR="00D20A6E" w:rsidRPr="005F3D85">
        <w:rPr>
          <w:rFonts w:ascii="Arial" w:hAnsi="Arial" w:cs="Arial"/>
          <w:sz w:val="20"/>
          <w:szCs w:val="20"/>
        </w:rPr>
        <w:t>s</w:t>
      </w:r>
      <w:r w:rsidRPr="005F3D85">
        <w:rPr>
          <w:rFonts w:ascii="Arial" w:hAnsi="Arial" w:cs="Arial"/>
          <w:sz w:val="20"/>
          <w:szCs w:val="20"/>
        </w:rPr>
        <w:t xml:space="preserve"> </w:t>
      </w:r>
      <w:r w:rsidR="00D20A6E" w:rsidRPr="005F3D85">
        <w:rPr>
          <w:rFonts w:ascii="Arial" w:hAnsi="Arial" w:cs="Arial"/>
          <w:sz w:val="20"/>
          <w:szCs w:val="20"/>
        </w:rPr>
        <w:t>availability of</w:t>
      </w:r>
      <w:r w:rsidRPr="005F3D85">
        <w:rPr>
          <w:rFonts w:ascii="Arial" w:hAnsi="Arial" w:cs="Arial"/>
          <w:sz w:val="20"/>
          <w:szCs w:val="20"/>
        </w:rPr>
        <w:t xml:space="preserve"> </w:t>
      </w:r>
      <w:r w:rsidR="00BC23D2" w:rsidRPr="005F3D85">
        <w:rPr>
          <w:rFonts w:ascii="Arial" w:hAnsi="Arial" w:cs="Arial"/>
          <w:sz w:val="20"/>
          <w:szCs w:val="20"/>
        </w:rPr>
        <w:t>information.</w:t>
      </w:r>
      <w:r w:rsidR="002F35A7" w:rsidRPr="005F3D85">
        <w:rPr>
          <w:rFonts w:ascii="Arial" w:hAnsi="Arial" w:cs="Arial"/>
          <w:sz w:val="20"/>
          <w:szCs w:val="20"/>
        </w:rPr>
        <w:t xml:space="preserve"> </w:t>
      </w:r>
      <w:r w:rsidRPr="005F3D85">
        <w:rPr>
          <w:rFonts w:ascii="Arial" w:hAnsi="Arial" w:cs="Arial"/>
          <w:sz w:val="20"/>
          <w:szCs w:val="20"/>
        </w:rPr>
        <w:t xml:space="preserve">The theory originated the work of </w:t>
      </w:r>
      <w:r w:rsidR="00BC23D2" w:rsidRPr="005F3D85">
        <w:rPr>
          <w:rFonts w:ascii="Arial" w:hAnsi="Arial" w:cs="Arial"/>
          <w:sz w:val="20"/>
          <w:szCs w:val="20"/>
        </w:rPr>
        <w:t>an earlier economist</w:t>
      </w:r>
      <w:r w:rsidRPr="005F3D85">
        <w:rPr>
          <w:rFonts w:ascii="Arial" w:hAnsi="Arial" w:cs="Arial"/>
          <w:sz w:val="20"/>
          <w:szCs w:val="20"/>
        </w:rPr>
        <w:t xml:space="preserve"> known as Louis Bachelier </w:t>
      </w:r>
      <w:r w:rsidR="00BC23D2" w:rsidRPr="005F3D85">
        <w:rPr>
          <w:rFonts w:ascii="Arial" w:hAnsi="Arial" w:cs="Arial"/>
          <w:sz w:val="20"/>
          <w:szCs w:val="20"/>
        </w:rPr>
        <w:t>(1900),</w:t>
      </w:r>
      <w:r w:rsidRPr="005F3D85">
        <w:rPr>
          <w:rFonts w:ascii="Arial" w:hAnsi="Arial" w:cs="Arial"/>
          <w:sz w:val="20"/>
          <w:szCs w:val="20"/>
        </w:rPr>
        <w:t xml:space="preserve"> who theorized that asset prices follow a random walk. The theory was formalized by Fama </w:t>
      </w:r>
      <w:r w:rsidR="00BC23D2" w:rsidRPr="005F3D85">
        <w:rPr>
          <w:rFonts w:ascii="Arial" w:hAnsi="Arial" w:cs="Arial"/>
          <w:sz w:val="20"/>
          <w:szCs w:val="20"/>
        </w:rPr>
        <w:t>from</w:t>
      </w:r>
      <w:r w:rsidRPr="005F3D85">
        <w:rPr>
          <w:rFonts w:ascii="Arial" w:hAnsi="Arial" w:cs="Arial"/>
          <w:sz w:val="20"/>
          <w:szCs w:val="20"/>
        </w:rPr>
        <w:t xml:space="preserve"> 1960 to 1970 in his seminal paper known as </w:t>
      </w:r>
      <w:r w:rsidR="00F4503E" w:rsidRPr="005F3D85">
        <w:rPr>
          <w:rFonts w:ascii="Arial" w:hAnsi="Arial" w:cs="Arial"/>
          <w:sz w:val="20"/>
          <w:szCs w:val="20"/>
        </w:rPr>
        <w:t>e</w:t>
      </w:r>
      <w:r w:rsidRPr="005F3D85">
        <w:rPr>
          <w:rFonts w:ascii="Arial" w:hAnsi="Arial" w:cs="Arial"/>
          <w:sz w:val="20"/>
          <w:szCs w:val="20"/>
        </w:rPr>
        <w:t xml:space="preserve">fficient </w:t>
      </w:r>
      <w:r w:rsidR="00F4503E" w:rsidRPr="005F3D85">
        <w:rPr>
          <w:rFonts w:ascii="Arial" w:hAnsi="Arial" w:cs="Arial"/>
          <w:sz w:val="20"/>
          <w:szCs w:val="20"/>
        </w:rPr>
        <w:t>c</w:t>
      </w:r>
      <w:r w:rsidRPr="005F3D85">
        <w:rPr>
          <w:rFonts w:ascii="Arial" w:hAnsi="Arial" w:cs="Arial"/>
          <w:sz w:val="20"/>
          <w:szCs w:val="20"/>
        </w:rPr>
        <w:t xml:space="preserve">apital </w:t>
      </w:r>
      <w:r w:rsidR="00F4503E" w:rsidRPr="005F3D85">
        <w:rPr>
          <w:rFonts w:ascii="Arial" w:hAnsi="Arial" w:cs="Arial"/>
          <w:sz w:val="20"/>
          <w:szCs w:val="20"/>
        </w:rPr>
        <w:t>m</w:t>
      </w:r>
      <w:r w:rsidRPr="005F3D85">
        <w:rPr>
          <w:rFonts w:ascii="Arial" w:hAnsi="Arial" w:cs="Arial"/>
          <w:sz w:val="20"/>
          <w:szCs w:val="20"/>
        </w:rPr>
        <w:t>arkets. The idea behind EMH is that in an efficient market, asset prices reflect</w:t>
      </w:r>
      <w:r w:rsidR="00F4503E" w:rsidRPr="005F3D85">
        <w:rPr>
          <w:rFonts w:ascii="Arial" w:hAnsi="Arial" w:cs="Arial"/>
          <w:sz w:val="20"/>
          <w:szCs w:val="20"/>
        </w:rPr>
        <w:t>s</w:t>
      </w:r>
      <w:r w:rsidRPr="005F3D85">
        <w:rPr>
          <w:rFonts w:ascii="Arial" w:hAnsi="Arial" w:cs="Arial"/>
          <w:sz w:val="20"/>
          <w:szCs w:val="20"/>
        </w:rPr>
        <w:t xml:space="preserve"> available information, and is </w:t>
      </w:r>
      <w:r w:rsidR="00CF4470" w:rsidRPr="005F3D85">
        <w:rPr>
          <w:rFonts w:ascii="Arial" w:hAnsi="Arial" w:cs="Arial"/>
          <w:sz w:val="20"/>
          <w:szCs w:val="20"/>
        </w:rPr>
        <w:t>not possible</w:t>
      </w:r>
      <w:r w:rsidRPr="005F3D85">
        <w:rPr>
          <w:rFonts w:ascii="Arial" w:hAnsi="Arial" w:cs="Arial"/>
          <w:sz w:val="20"/>
          <w:szCs w:val="20"/>
        </w:rPr>
        <w:t xml:space="preserve"> consistently outperform the market</w:t>
      </w:r>
      <w:r w:rsidR="00CF4470" w:rsidRPr="005F3D85">
        <w:rPr>
          <w:rFonts w:ascii="Arial" w:hAnsi="Arial" w:cs="Arial"/>
          <w:sz w:val="20"/>
          <w:szCs w:val="20"/>
        </w:rPr>
        <w:t>s</w:t>
      </w:r>
      <w:r w:rsidRPr="005F3D85">
        <w:rPr>
          <w:rFonts w:ascii="Arial" w:hAnsi="Arial" w:cs="Arial"/>
          <w:sz w:val="20"/>
          <w:szCs w:val="20"/>
        </w:rPr>
        <w:t xml:space="preserve"> through stock selection </w:t>
      </w:r>
      <w:r w:rsidR="00CF4470" w:rsidRPr="005F3D85">
        <w:rPr>
          <w:rFonts w:ascii="Arial" w:hAnsi="Arial" w:cs="Arial"/>
          <w:sz w:val="20"/>
          <w:szCs w:val="20"/>
        </w:rPr>
        <w:t>and</w:t>
      </w:r>
      <w:r w:rsidRPr="005F3D85">
        <w:rPr>
          <w:rFonts w:ascii="Arial" w:hAnsi="Arial" w:cs="Arial"/>
          <w:sz w:val="20"/>
          <w:szCs w:val="20"/>
        </w:rPr>
        <w:t xml:space="preserve"> market timing.</w:t>
      </w:r>
      <w:r w:rsidR="00C62AB7" w:rsidRPr="005F3D85">
        <w:rPr>
          <w:rFonts w:ascii="Arial" w:hAnsi="Arial" w:cs="Arial"/>
          <w:sz w:val="20"/>
          <w:szCs w:val="20"/>
        </w:rPr>
        <w:t xml:space="preserve"> </w:t>
      </w:r>
      <w:r w:rsidRPr="005F3D85">
        <w:rPr>
          <w:rFonts w:ascii="Arial" w:hAnsi="Arial" w:cs="Arial"/>
          <w:sz w:val="20"/>
          <w:szCs w:val="20"/>
        </w:rPr>
        <w:t xml:space="preserve">Among strengths </w:t>
      </w:r>
      <w:r w:rsidR="00CF4470" w:rsidRPr="005F3D85">
        <w:rPr>
          <w:rFonts w:ascii="Arial" w:hAnsi="Arial" w:cs="Arial"/>
          <w:sz w:val="20"/>
          <w:szCs w:val="20"/>
        </w:rPr>
        <w:t>in</w:t>
      </w:r>
      <w:r w:rsidRPr="005F3D85">
        <w:rPr>
          <w:rFonts w:ascii="Arial" w:hAnsi="Arial" w:cs="Arial"/>
          <w:sz w:val="20"/>
          <w:szCs w:val="20"/>
        </w:rPr>
        <w:t xml:space="preserve"> EMH </w:t>
      </w:r>
      <w:r w:rsidR="00BC23D2" w:rsidRPr="005F3D85">
        <w:rPr>
          <w:rFonts w:ascii="Arial" w:hAnsi="Arial" w:cs="Arial"/>
          <w:sz w:val="20"/>
          <w:szCs w:val="20"/>
        </w:rPr>
        <w:t>are</w:t>
      </w:r>
      <w:r w:rsidRPr="005F3D85">
        <w:rPr>
          <w:rFonts w:ascii="Arial" w:hAnsi="Arial" w:cs="Arial"/>
          <w:sz w:val="20"/>
          <w:szCs w:val="20"/>
        </w:rPr>
        <w:t xml:space="preserve"> its ability to explain the random nature of price changes, its emphasis on the rapid incorporation of information into prices, and its contribution to portfolio management strategies, such as index investing. It also challenges the notion of consistent </w:t>
      </w:r>
      <w:r w:rsidR="00BC23D2" w:rsidRPr="005F3D85">
        <w:rPr>
          <w:rFonts w:ascii="Arial" w:hAnsi="Arial" w:cs="Arial"/>
          <w:sz w:val="20"/>
          <w:szCs w:val="20"/>
        </w:rPr>
        <w:t>outperformance</w:t>
      </w:r>
      <w:r w:rsidRPr="005F3D85">
        <w:rPr>
          <w:rFonts w:ascii="Arial" w:hAnsi="Arial" w:cs="Arial"/>
          <w:sz w:val="20"/>
          <w:szCs w:val="20"/>
        </w:rPr>
        <w:t xml:space="preserve"> of markets by investors, promoting the importance of diversification (Chindengiwke, 2023).</w:t>
      </w:r>
      <w:r w:rsidR="00E63B8A" w:rsidRPr="005F3D85">
        <w:rPr>
          <w:rFonts w:ascii="Arial" w:hAnsi="Arial" w:cs="Arial"/>
          <w:sz w:val="20"/>
          <w:szCs w:val="20"/>
        </w:rPr>
        <w:t xml:space="preserve"> </w:t>
      </w:r>
      <w:r w:rsidRPr="005F3D85">
        <w:rPr>
          <w:rFonts w:ascii="Arial" w:hAnsi="Arial" w:cs="Arial"/>
          <w:sz w:val="20"/>
          <w:szCs w:val="20"/>
        </w:rPr>
        <w:t xml:space="preserve">Although EMH provides a useful benchmark for evaluating market efficiency and guiding investment strategies, the EMH has </w:t>
      </w:r>
      <w:r w:rsidR="00BC23D2" w:rsidRPr="005F3D85">
        <w:rPr>
          <w:rFonts w:ascii="Arial" w:hAnsi="Arial" w:cs="Arial"/>
          <w:sz w:val="20"/>
          <w:szCs w:val="20"/>
        </w:rPr>
        <w:t>weaknesses.</w:t>
      </w:r>
      <w:r w:rsidRPr="005F3D85">
        <w:rPr>
          <w:rFonts w:ascii="Arial" w:hAnsi="Arial" w:cs="Arial"/>
          <w:sz w:val="20"/>
          <w:szCs w:val="20"/>
        </w:rPr>
        <w:t xml:space="preserve"> The weakness of </w:t>
      </w:r>
      <w:r w:rsidR="00BC23D2" w:rsidRPr="005F3D85">
        <w:rPr>
          <w:rFonts w:ascii="Arial" w:hAnsi="Arial" w:cs="Arial"/>
          <w:sz w:val="20"/>
          <w:szCs w:val="20"/>
        </w:rPr>
        <w:t>EMH is</w:t>
      </w:r>
      <w:r w:rsidRPr="005F3D85">
        <w:rPr>
          <w:rFonts w:ascii="Arial" w:hAnsi="Arial" w:cs="Arial"/>
          <w:sz w:val="20"/>
          <w:szCs w:val="20"/>
        </w:rPr>
        <w:t xml:space="preserve"> explained by Olawale (2024)</w:t>
      </w:r>
      <w:r w:rsidR="00A171A4" w:rsidRPr="005F3D85">
        <w:rPr>
          <w:rFonts w:ascii="Arial" w:hAnsi="Arial" w:cs="Arial"/>
          <w:sz w:val="20"/>
          <w:szCs w:val="20"/>
        </w:rPr>
        <w:t>; markets</w:t>
      </w:r>
      <w:r w:rsidRPr="005F3D85">
        <w:rPr>
          <w:rFonts w:ascii="Arial" w:hAnsi="Arial" w:cs="Arial"/>
          <w:sz w:val="20"/>
          <w:szCs w:val="20"/>
        </w:rPr>
        <w:t xml:space="preserve"> are not always perfectly efficient due to </w:t>
      </w:r>
      <w:r w:rsidR="00BC23D2" w:rsidRPr="005F3D85">
        <w:rPr>
          <w:rFonts w:ascii="Arial" w:hAnsi="Arial" w:cs="Arial"/>
          <w:sz w:val="20"/>
          <w:szCs w:val="20"/>
        </w:rPr>
        <w:t>behavioral</w:t>
      </w:r>
      <w:r w:rsidRPr="005F3D85">
        <w:rPr>
          <w:rFonts w:ascii="Arial" w:hAnsi="Arial" w:cs="Arial"/>
          <w:sz w:val="20"/>
          <w:szCs w:val="20"/>
        </w:rPr>
        <w:t xml:space="preserve"> biases, information asymmetries, and irrational investor </w:t>
      </w:r>
      <w:r w:rsidR="00BC23D2" w:rsidRPr="005F3D85">
        <w:rPr>
          <w:rFonts w:ascii="Arial" w:hAnsi="Arial" w:cs="Arial"/>
          <w:sz w:val="20"/>
          <w:szCs w:val="20"/>
        </w:rPr>
        <w:t>behavior.</w:t>
      </w:r>
      <w:r w:rsidRPr="005F3D85">
        <w:rPr>
          <w:rFonts w:ascii="Arial" w:hAnsi="Arial" w:cs="Arial"/>
          <w:sz w:val="20"/>
          <w:szCs w:val="20"/>
        </w:rPr>
        <w:t xml:space="preserve"> Olawale (2024) added that anomalies like the January effect and momentum strategies challenge EMH's assumptions. </w:t>
      </w:r>
    </w:p>
    <w:p w14:paraId="6991DB29" w14:textId="77777777" w:rsidR="004666E2" w:rsidRPr="005F3D85" w:rsidRDefault="004666E2" w:rsidP="004666E2">
      <w:pPr>
        <w:spacing w:after="0" w:line="240" w:lineRule="auto"/>
        <w:jc w:val="both"/>
        <w:rPr>
          <w:rFonts w:ascii="Arial" w:hAnsi="Arial" w:cs="Arial"/>
          <w:sz w:val="24"/>
          <w:szCs w:val="24"/>
        </w:rPr>
      </w:pPr>
    </w:p>
    <w:p w14:paraId="644BFD23" w14:textId="3148EAFD" w:rsidR="00CF4470" w:rsidRPr="00392AAA" w:rsidRDefault="00CF4470" w:rsidP="004666E2">
      <w:pPr>
        <w:spacing w:after="0" w:line="240" w:lineRule="auto"/>
        <w:rPr>
          <w:rFonts w:ascii="Arial" w:hAnsi="Arial" w:cs="Arial"/>
          <w:b/>
          <w:sz w:val="20"/>
          <w:szCs w:val="20"/>
        </w:rPr>
      </w:pPr>
      <w:bookmarkStart w:id="5" w:name="_Toc208584789"/>
      <w:r w:rsidRPr="00392AAA">
        <w:rPr>
          <w:rFonts w:ascii="Arial" w:hAnsi="Arial" w:cs="Arial"/>
          <w:b/>
          <w:sz w:val="20"/>
          <w:szCs w:val="20"/>
        </w:rPr>
        <w:t>2.</w:t>
      </w:r>
      <w:r w:rsidR="00CE4FF5" w:rsidRPr="00392AAA">
        <w:rPr>
          <w:rFonts w:ascii="Arial" w:hAnsi="Arial" w:cs="Arial"/>
          <w:b/>
          <w:sz w:val="20"/>
          <w:szCs w:val="20"/>
        </w:rPr>
        <w:t>2</w:t>
      </w:r>
      <w:r w:rsidRPr="00392AAA">
        <w:rPr>
          <w:rFonts w:ascii="Arial" w:hAnsi="Arial" w:cs="Arial"/>
          <w:b/>
          <w:sz w:val="20"/>
          <w:szCs w:val="20"/>
        </w:rPr>
        <w:t xml:space="preserve"> Empirical Literature Review</w:t>
      </w:r>
      <w:bookmarkEnd w:id="5"/>
    </w:p>
    <w:p w14:paraId="34EB61D1" w14:textId="2FF7764E" w:rsidR="006B7480" w:rsidRPr="005F3D85" w:rsidRDefault="00D637DE" w:rsidP="004666E2">
      <w:pPr>
        <w:spacing w:after="0" w:line="240" w:lineRule="auto"/>
        <w:jc w:val="both"/>
        <w:rPr>
          <w:rFonts w:ascii="Arial" w:hAnsi="Arial" w:cs="Arial"/>
          <w:sz w:val="20"/>
          <w:szCs w:val="20"/>
        </w:rPr>
      </w:pPr>
      <w:r w:rsidRPr="005F3D85">
        <w:rPr>
          <w:rFonts w:ascii="Arial" w:hAnsi="Arial" w:cs="Arial"/>
          <w:sz w:val="20"/>
          <w:szCs w:val="20"/>
        </w:rPr>
        <w:t>S</w:t>
      </w:r>
      <w:r w:rsidR="00E56F63" w:rsidRPr="005F3D85">
        <w:rPr>
          <w:rFonts w:ascii="Arial" w:hAnsi="Arial" w:cs="Arial"/>
          <w:sz w:val="20"/>
          <w:szCs w:val="20"/>
        </w:rPr>
        <w:t>tudy</w:t>
      </w:r>
      <w:r w:rsidRPr="005F3D85">
        <w:rPr>
          <w:rFonts w:ascii="Arial" w:hAnsi="Arial" w:cs="Arial"/>
          <w:sz w:val="20"/>
          <w:szCs w:val="20"/>
        </w:rPr>
        <w:t xml:space="preserve"> </w:t>
      </w:r>
      <w:r w:rsidR="00BC23D2" w:rsidRPr="005F3D85">
        <w:rPr>
          <w:rFonts w:ascii="Arial" w:hAnsi="Arial" w:cs="Arial"/>
          <w:sz w:val="20"/>
          <w:szCs w:val="20"/>
        </w:rPr>
        <w:t>by</w:t>
      </w:r>
      <w:r w:rsidR="00E56F63" w:rsidRPr="005F3D85">
        <w:rPr>
          <w:rFonts w:ascii="Arial" w:hAnsi="Arial" w:cs="Arial"/>
          <w:sz w:val="20"/>
          <w:szCs w:val="20"/>
        </w:rPr>
        <w:t xml:space="preserve"> Chindengiwke (2024) evaluated relationship</w:t>
      </w:r>
      <w:r w:rsidR="00626D2D" w:rsidRPr="005F3D85">
        <w:rPr>
          <w:rFonts w:ascii="Arial" w:hAnsi="Arial" w:cs="Arial"/>
          <w:sz w:val="20"/>
          <w:szCs w:val="20"/>
        </w:rPr>
        <w:t>s</w:t>
      </w:r>
      <w:r w:rsidR="00E56F63" w:rsidRPr="005F3D85">
        <w:rPr>
          <w:rFonts w:ascii="Arial" w:hAnsi="Arial" w:cs="Arial"/>
          <w:sz w:val="20"/>
          <w:szCs w:val="20"/>
        </w:rPr>
        <w:t xml:space="preserve"> between dividend distribution and price volatility among industrial </w:t>
      </w:r>
      <w:r w:rsidR="00626D2D" w:rsidRPr="005F3D85">
        <w:rPr>
          <w:rFonts w:ascii="Arial" w:hAnsi="Arial" w:cs="Arial"/>
          <w:sz w:val="20"/>
          <w:szCs w:val="20"/>
        </w:rPr>
        <w:t xml:space="preserve">listed firms in </w:t>
      </w:r>
      <w:r w:rsidR="00E56F63" w:rsidRPr="005F3D85">
        <w:rPr>
          <w:rFonts w:ascii="Arial" w:hAnsi="Arial" w:cs="Arial"/>
          <w:sz w:val="20"/>
          <w:szCs w:val="20"/>
        </w:rPr>
        <w:t xml:space="preserve">DSE. The study utilized purposeful sampling and </w:t>
      </w:r>
      <w:r w:rsidR="00BC23D2" w:rsidRPr="005F3D85">
        <w:rPr>
          <w:rFonts w:ascii="Arial" w:hAnsi="Arial" w:cs="Arial"/>
          <w:sz w:val="20"/>
          <w:szCs w:val="20"/>
        </w:rPr>
        <w:t>adopted</w:t>
      </w:r>
      <w:r w:rsidR="00E56F63" w:rsidRPr="005F3D85">
        <w:rPr>
          <w:rFonts w:ascii="Arial" w:hAnsi="Arial" w:cs="Arial"/>
          <w:sz w:val="20"/>
          <w:szCs w:val="20"/>
        </w:rPr>
        <w:t xml:space="preserve"> a time series data combined quantitative research approach</w:t>
      </w:r>
      <w:r w:rsidR="00077945" w:rsidRPr="005F3D85">
        <w:rPr>
          <w:rFonts w:ascii="Arial" w:hAnsi="Arial" w:cs="Arial"/>
          <w:sz w:val="20"/>
          <w:szCs w:val="20"/>
        </w:rPr>
        <w:t>es</w:t>
      </w:r>
      <w:r w:rsidR="00E56F63" w:rsidRPr="005F3D85">
        <w:rPr>
          <w:rFonts w:ascii="Arial" w:hAnsi="Arial" w:cs="Arial"/>
          <w:sz w:val="20"/>
          <w:szCs w:val="20"/>
        </w:rPr>
        <w:t>. Seventy annual observations formed the ba</w:t>
      </w:r>
      <w:r w:rsidR="00077945" w:rsidRPr="005F3D85">
        <w:rPr>
          <w:rFonts w:ascii="Arial" w:hAnsi="Arial" w:cs="Arial"/>
          <w:sz w:val="20"/>
          <w:szCs w:val="20"/>
        </w:rPr>
        <w:t xml:space="preserve">sis of the analysis. </w:t>
      </w:r>
      <w:r w:rsidRPr="005F3D85">
        <w:rPr>
          <w:rFonts w:ascii="Arial" w:hAnsi="Arial" w:cs="Arial"/>
          <w:sz w:val="20"/>
          <w:szCs w:val="20"/>
        </w:rPr>
        <w:t>R</w:t>
      </w:r>
      <w:r w:rsidR="00077945" w:rsidRPr="005F3D85">
        <w:rPr>
          <w:rFonts w:ascii="Arial" w:hAnsi="Arial" w:cs="Arial"/>
          <w:sz w:val="20"/>
          <w:szCs w:val="20"/>
        </w:rPr>
        <w:t>esult</w:t>
      </w:r>
      <w:r w:rsidRPr="005F3D85">
        <w:rPr>
          <w:rFonts w:ascii="Arial" w:hAnsi="Arial" w:cs="Arial"/>
          <w:sz w:val="20"/>
          <w:szCs w:val="20"/>
        </w:rPr>
        <w:t xml:space="preserve"> </w:t>
      </w:r>
      <w:r w:rsidR="00E56F63" w:rsidRPr="005F3D85">
        <w:rPr>
          <w:rFonts w:ascii="Arial" w:hAnsi="Arial" w:cs="Arial"/>
          <w:sz w:val="20"/>
          <w:szCs w:val="20"/>
        </w:rPr>
        <w:t>indicates positive correlation</w:t>
      </w:r>
      <w:r w:rsidR="00077945" w:rsidRPr="005F3D85">
        <w:rPr>
          <w:rFonts w:ascii="Arial" w:hAnsi="Arial" w:cs="Arial"/>
          <w:sz w:val="20"/>
          <w:szCs w:val="20"/>
        </w:rPr>
        <w:t>s</w:t>
      </w:r>
      <w:r w:rsidR="00E56F63" w:rsidRPr="005F3D85">
        <w:rPr>
          <w:rFonts w:ascii="Arial" w:hAnsi="Arial" w:cs="Arial"/>
          <w:sz w:val="20"/>
          <w:szCs w:val="20"/>
        </w:rPr>
        <w:t xml:space="preserve"> between dividend</w:t>
      </w:r>
      <w:r w:rsidR="00077945" w:rsidRPr="005F3D85">
        <w:rPr>
          <w:rFonts w:ascii="Arial" w:hAnsi="Arial" w:cs="Arial"/>
          <w:sz w:val="20"/>
          <w:szCs w:val="20"/>
        </w:rPr>
        <w:t>s</w:t>
      </w:r>
      <w:r w:rsidR="00E56F63" w:rsidRPr="005F3D85">
        <w:rPr>
          <w:rFonts w:ascii="Arial" w:hAnsi="Arial" w:cs="Arial"/>
          <w:sz w:val="20"/>
          <w:szCs w:val="20"/>
        </w:rPr>
        <w:t xml:space="preserve"> payment ratio and price volatility</w:t>
      </w:r>
      <w:r w:rsidR="00077945" w:rsidRPr="005F3D85">
        <w:rPr>
          <w:rFonts w:ascii="Arial" w:hAnsi="Arial" w:cs="Arial"/>
          <w:sz w:val="20"/>
          <w:szCs w:val="20"/>
        </w:rPr>
        <w:t xml:space="preserve"> of shares</w:t>
      </w:r>
      <w:r w:rsidR="00E56F63" w:rsidRPr="005F3D85">
        <w:rPr>
          <w:rFonts w:ascii="Arial" w:hAnsi="Arial" w:cs="Arial"/>
          <w:sz w:val="20"/>
          <w:szCs w:val="20"/>
        </w:rPr>
        <w:t>.</w:t>
      </w:r>
      <w:r w:rsidR="00CE4FF5" w:rsidRPr="005F3D85">
        <w:rPr>
          <w:rFonts w:ascii="Arial" w:hAnsi="Arial" w:cs="Arial"/>
          <w:sz w:val="20"/>
          <w:szCs w:val="20"/>
        </w:rPr>
        <w:t xml:space="preserve"> </w:t>
      </w:r>
      <w:r w:rsidRPr="005F3D85">
        <w:rPr>
          <w:rFonts w:ascii="Arial" w:hAnsi="Arial" w:cs="Arial"/>
          <w:sz w:val="20"/>
          <w:szCs w:val="20"/>
        </w:rPr>
        <w:t xml:space="preserve">Additionally, </w:t>
      </w:r>
      <w:r w:rsidR="00E56F63" w:rsidRPr="005F3D85">
        <w:rPr>
          <w:rFonts w:ascii="Arial" w:hAnsi="Arial" w:cs="Arial"/>
          <w:sz w:val="20"/>
          <w:szCs w:val="20"/>
        </w:rPr>
        <w:t>Chindengiwke (2023) on relationship</w:t>
      </w:r>
      <w:r w:rsidR="00077945" w:rsidRPr="005F3D85">
        <w:rPr>
          <w:rFonts w:ascii="Arial" w:hAnsi="Arial" w:cs="Arial"/>
          <w:sz w:val="20"/>
          <w:szCs w:val="20"/>
        </w:rPr>
        <w:t>s</w:t>
      </w:r>
      <w:r w:rsidR="00E56F63" w:rsidRPr="005F3D85">
        <w:rPr>
          <w:rFonts w:ascii="Arial" w:hAnsi="Arial" w:cs="Arial"/>
          <w:sz w:val="20"/>
          <w:szCs w:val="20"/>
        </w:rPr>
        <w:t xml:space="preserve"> between Tanzania composite stock price</w:t>
      </w:r>
      <w:r w:rsidR="00077945" w:rsidRPr="005F3D85">
        <w:rPr>
          <w:rFonts w:ascii="Arial" w:hAnsi="Arial" w:cs="Arial"/>
          <w:sz w:val="20"/>
          <w:szCs w:val="20"/>
        </w:rPr>
        <w:t>s</w:t>
      </w:r>
      <w:r w:rsidR="00E56F63" w:rsidRPr="005F3D85">
        <w:rPr>
          <w:rFonts w:ascii="Arial" w:hAnsi="Arial" w:cs="Arial"/>
          <w:sz w:val="20"/>
          <w:szCs w:val="20"/>
        </w:rPr>
        <w:t xml:space="preserve"> index and exchange rate</w:t>
      </w:r>
      <w:r w:rsidR="00077945" w:rsidRPr="005F3D85">
        <w:rPr>
          <w:rFonts w:ascii="Arial" w:hAnsi="Arial" w:cs="Arial"/>
          <w:sz w:val="20"/>
          <w:szCs w:val="20"/>
        </w:rPr>
        <w:t>s</w:t>
      </w:r>
      <w:r w:rsidR="00E56F63" w:rsidRPr="005F3D85">
        <w:rPr>
          <w:rFonts w:ascii="Arial" w:hAnsi="Arial" w:cs="Arial"/>
          <w:sz w:val="20"/>
          <w:szCs w:val="20"/>
        </w:rPr>
        <w:t xml:space="preserve">, </w:t>
      </w:r>
      <w:r w:rsidR="00077945" w:rsidRPr="005F3D85">
        <w:rPr>
          <w:rFonts w:ascii="Arial" w:hAnsi="Arial" w:cs="Arial"/>
          <w:sz w:val="20"/>
          <w:szCs w:val="20"/>
        </w:rPr>
        <w:t xml:space="preserve">was </w:t>
      </w:r>
      <w:r w:rsidR="00E56F63" w:rsidRPr="005F3D85">
        <w:rPr>
          <w:rFonts w:ascii="Arial" w:hAnsi="Arial" w:cs="Arial"/>
          <w:sz w:val="20"/>
          <w:szCs w:val="20"/>
        </w:rPr>
        <w:t xml:space="preserve">grounded in </w:t>
      </w:r>
      <w:r w:rsidR="00077945" w:rsidRPr="005F3D85">
        <w:rPr>
          <w:rFonts w:ascii="Arial" w:hAnsi="Arial" w:cs="Arial"/>
          <w:sz w:val="20"/>
          <w:szCs w:val="20"/>
        </w:rPr>
        <w:t>EMH. Secondary data</w:t>
      </w:r>
      <w:r w:rsidR="00E56F63" w:rsidRPr="005F3D85">
        <w:rPr>
          <w:rFonts w:ascii="Arial" w:hAnsi="Arial" w:cs="Arial"/>
          <w:sz w:val="20"/>
          <w:szCs w:val="20"/>
        </w:rPr>
        <w:t xml:space="preserve"> were sourced from Bank of Tanzania and D</w:t>
      </w:r>
      <w:r w:rsidR="00077945" w:rsidRPr="005F3D85">
        <w:rPr>
          <w:rFonts w:ascii="Arial" w:hAnsi="Arial" w:cs="Arial"/>
          <w:sz w:val="20"/>
          <w:szCs w:val="20"/>
        </w:rPr>
        <w:t>SE</w:t>
      </w:r>
      <w:r w:rsidR="00E56F63" w:rsidRPr="005F3D85">
        <w:rPr>
          <w:rFonts w:ascii="Arial" w:hAnsi="Arial" w:cs="Arial"/>
          <w:sz w:val="20"/>
          <w:szCs w:val="20"/>
        </w:rPr>
        <w:t xml:space="preserve">. </w:t>
      </w:r>
      <w:r w:rsidR="00077945" w:rsidRPr="005F3D85">
        <w:rPr>
          <w:rFonts w:ascii="Arial" w:hAnsi="Arial" w:cs="Arial"/>
          <w:sz w:val="20"/>
          <w:szCs w:val="20"/>
        </w:rPr>
        <w:t>S</w:t>
      </w:r>
      <w:r w:rsidR="00E56F63" w:rsidRPr="005F3D85">
        <w:rPr>
          <w:rFonts w:ascii="Arial" w:hAnsi="Arial" w:cs="Arial"/>
          <w:sz w:val="20"/>
          <w:szCs w:val="20"/>
        </w:rPr>
        <w:t>tudy</w:t>
      </w:r>
      <w:r w:rsidR="00077945" w:rsidRPr="005F3D85">
        <w:rPr>
          <w:rFonts w:ascii="Arial" w:hAnsi="Arial" w:cs="Arial"/>
          <w:sz w:val="20"/>
          <w:szCs w:val="20"/>
        </w:rPr>
        <w:t xml:space="preserve"> employed ARDL </w:t>
      </w:r>
      <w:r w:rsidR="00E56F63" w:rsidRPr="005F3D85">
        <w:rPr>
          <w:rFonts w:ascii="Arial" w:hAnsi="Arial" w:cs="Arial"/>
          <w:sz w:val="20"/>
          <w:szCs w:val="20"/>
        </w:rPr>
        <w:t xml:space="preserve">model </w:t>
      </w:r>
      <w:r w:rsidR="00BE5A9E" w:rsidRPr="005F3D85">
        <w:rPr>
          <w:rFonts w:ascii="Arial" w:hAnsi="Arial" w:cs="Arial"/>
          <w:sz w:val="20"/>
          <w:szCs w:val="20"/>
        </w:rPr>
        <w:t>and</w:t>
      </w:r>
      <w:r w:rsidR="00E56F63" w:rsidRPr="005F3D85">
        <w:rPr>
          <w:rFonts w:ascii="Arial" w:hAnsi="Arial" w:cs="Arial"/>
          <w:sz w:val="20"/>
          <w:szCs w:val="20"/>
        </w:rPr>
        <w:t xml:space="preserve"> </w:t>
      </w:r>
      <w:r w:rsidR="00F212C8" w:rsidRPr="005F3D85">
        <w:rPr>
          <w:rFonts w:ascii="Arial" w:hAnsi="Arial" w:cs="Arial"/>
          <w:sz w:val="20"/>
          <w:szCs w:val="20"/>
        </w:rPr>
        <w:t>analyze</w:t>
      </w:r>
      <w:r w:rsidR="00BE5A9E" w:rsidRPr="005F3D85">
        <w:rPr>
          <w:rFonts w:ascii="Arial" w:hAnsi="Arial" w:cs="Arial"/>
          <w:sz w:val="20"/>
          <w:szCs w:val="20"/>
        </w:rPr>
        <w:t>d</w:t>
      </w:r>
      <w:r w:rsidR="00E56F63" w:rsidRPr="005F3D85">
        <w:rPr>
          <w:rFonts w:ascii="Arial" w:hAnsi="Arial" w:cs="Arial"/>
          <w:sz w:val="20"/>
          <w:szCs w:val="20"/>
        </w:rPr>
        <w:t xml:space="preserve"> time series data. </w:t>
      </w:r>
      <w:r w:rsidRPr="005F3D85">
        <w:rPr>
          <w:rFonts w:ascii="Arial" w:hAnsi="Arial" w:cs="Arial"/>
          <w:sz w:val="20"/>
          <w:szCs w:val="20"/>
        </w:rPr>
        <w:t>F</w:t>
      </w:r>
      <w:r w:rsidR="00E56F63" w:rsidRPr="005F3D85">
        <w:rPr>
          <w:rFonts w:ascii="Arial" w:hAnsi="Arial" w:cs="Arial"/>
          <w:sz w:val="20"/>
          <w:szCs w:val="20"/>
        </w:rPr>
        <w:t>indings</w:t>
      </w:r>
      <w:r w:rsidRPr="005F3D85">
        <w:rPr>
          <w:rFonts w:ascii="Arial" w:hAnsi="Arial" w:cs="Arial"/>
          <w:sz w:val="20"/>
          <w:szCs w:val="20"/>
        </w:rPr>
        <w:t xml:space="preserve"> </w:t>
      </w:r>
      <w:r w:rsidR="00E56F63" w:rsidRPr="005F3D85">
        <w:rPr>
          <w:rFonts w:ascii="Arial" w:hAnsi="Arial" w:cs="Arial"/>
          <w:sz w:val="20"/>
          <w:szCs w:val="20"/>
        </w:rPr>
        <w:t>reveal</w:t>
      </w:r>
      <w:r w:rsidR="00BE5A9E" w:rsidRPr="005F3D85">
        <w:rPr>
          <w:rFonts w:ascii="Arial" w:hAnsi="Arial" w:cs="Arial"/>
          <w:sz w:val="20"/>
          <w:szCs w:val="20"/>
        </w:rPr>
        <w:t>s</w:t>
      </w:r>
      <w:r w:rsidR="00E56F63" w:rsidRPr="005F3D85">
        <w:rPr>
          <w:rFonts w:ascii="Arial" w:hAnsi="Arial" w:cs="Arial"/>
          <w:sz w:val="20"/>
          <w:szCs w:val="20"/>
        </w:rPr>
        <w:t xml:space="preserve"> composite stock price</w:t>
      </w:r>
      <w:r w:rsidR="00BE5A9E" w:rsidRPr="005F3D85">
        <w:rPr>
          <w:rFonts w:ascii="Arial" w:hAnsi="Arial" w:cs="Arial"/>
          <w:sz w:val="20"/>
          <w:szCs w:val="20"/>
        </w:rPr>
        <w:t>s</w:t>
      </w:r>
      <w:r w:rsidR="00E56F63" w:rsidRPr="005F3D85">
        <w:rPr>
          <w:rFonts w:ascii="Arial" w:hAnsi="Arial" w:cs="Arial"/>
          <w:sz w:val="20"/>
          <w:szCs w:val="20"/>
        </w:rPr>
        <w:t xml:space="preserve"> index </w:t>
      </w:r>
      <w:r w:rsidR="00BE5A9E" w:rsidRPr="005F3D85">
        <w:rPr>
          <w:rFonts w:ascii="Arial" w:hAnsi="Arial" w:cs="Arial"/>
          <w:sz w:val="20"/>
          <w:szCs w:val="20"/>
        </w:rPr>
        <w:t>was</w:t>
      </w:r>
      <w:r w:rsidR="00E56F63" w:rsidRPr="005F3D85">
        <w:rPr>
          <w:rFonts w:ascii="Arial" w:hAnsi="Arial" w:cs="Arial"/>
          <w:sz w:val="20"/>
          <w:szCs w:val="20"/>
        </w:rPr>
        <w:t xml:space="preserve"> significant impact </w:t>
      </w:r>
      <w:r w:rsidR="00BE5A9E" w:rsidRPr="005F3D85">
        <w:rPr>
          <w:rFonts w:ascii="Arial" w:hAnsi="Arial" w:cs="Arial"/>
          <w:sz w:val="20"/>
          <w:szCs w:val="20"/>
        </w:rPr>
        <w:t>to</w:t>
      </w:r>
      <w:r w:rsidR="00E56F63" w:rsidRPr="005F3D85">
        <w:rPr>
          <w:rFonts w:ascii="Arial" w:hAnsi="Arial" w:cs="Arial"/>
          <w:sz w:val="20"/>
          <w:szCs w:val="20"/>
        </w:rPr>
        <w:t xml:space="preserve"> exchange rate.</w:t>
      </w:r>
      <w:r w:rsidR="00CE4FF5" w:rsidRPr="005F3D85">
        <w:rPr>
          <w:rFonts w:ascii="Arial" w:hAnsi="Arial" w:cs="Arial"/>
          <w:sz w:val="20"/>
          <w:szCs w:val="20"/>
        </w:rPr>
        <w:t xml:space="preserve"> </w:t>
      </w:r>
      <w:r w:rsidR="00E56F63" w:rsidRPr="005F3D85">
        <w:rPr>
          <w:rFonts w:ascii="Arial" w:hAnsi="Arial" w:cs="Arial"/>
          <w:sz w:val="20"/>
          <w:szCs w:val="20"/>
        </w:rPr>
        <w:t>Another study was conducted by Wakaba (2023) on the impact of dividend</w:t>
      </w:r>
      <w:r w:rsidR="000F3B73" w:rsidRPr="005F3D85">
        <w:rPr>
          <w:rFonts w:ascii="Arial" w:hAnsi="Arial" w:cs="Arial"/>
          <w:sz w:val="20"/>
          <w:szCs w:val="20"/>
        </w:rPr>
        <w:t>s</w:t>
      </w:r>
      <w:r w:rsidR="00E56F63" w:rsidRPr="005F3D85">
        <w:rPr>
          <w:rFonts w:ascii="Arial" w:hAnsi="Arial" w:cs="Arial"/>
          <w:sz w:val="20"/>
          <w:szCs w:val="20"/>
        </w:rPr>
        <w:t xml:space="preserve"> policy on price volatility among </w:t>
      </w:r>
      <w:r w:rsidR="00F94293" w:rsidRPr="005F3D85">
        <w:rPr>
          <w:rFonts w:ascii="Arial" w:hAnsi="Arial" w:cs="Arial"/>
          <w:sz w:val="20"/>
          <w:szCs w:val="20"/>
        </w:rPr>
        <w:t>shares of industrial</w:t>
      </w:r>
      <w:r w:rsidR="00E56F63" w:rsidRPr="005F3D85">
        <w:rPr>
          <w:rFonts w:ascii="Arial" w:hAnsi="Arial" w:cs="Arial"/>
          <w:sz w:val="20"/>
          <w:szCs w:val="20"/>
        </w:rPr>
        <w:t xml:space="preserve"> and allied </w:t>
      </w:r>
      <w:r w:rsidR="00F94293" w:rsidRPr="005F3D85">
        <w:rPr>
          <w:rFonts w:ascii="Arial" w:hAnsi="Arial" w:cs="Arial"/>
          <w:sz w:val="20"/>
          <w:szCs w:val="20"/>
        </w:rPr>
        <w:t>firms</w:t>
      </w:r>
      <w:r w:rsidR="00E56F63" w:rsidRPr="005F3D85">
        <w:rPr>
          <w:rFonts w:ascii="Arial" w:hAnsi="Arial" w:cs="Arial"/>
          <w:sz w:val="20"/>
          <w:szCs w:val="20"/>
        </w:rPr>
        <w:t xml:space="preserve"> listed on the NSE. The study utilizes </w:t>
      </w:r>
      <w:r w:rsidR="00A73B5B" w:rsidRPr="005F3D85">
        <w:rPr>
          <w:rFonts w:ascii="Arial" w:hAnsi="Arial" w:cs="Arial"/>
          <w:sz w:val="20"/>
          <w:szCs w:val="20"/>
        </w:rPr>
        <w:t>d</w:t>
      </w:r>
      <w:r w:rsidR="00DB4D1F" w:rsidRPr="005F3D85">
        <w:rPr>
          <w:rFonts w:ascii="Arial" w:hAnsi="Arial" w:cs="Arial"/>
          <w:sz w:val="20"/>
          <w:szCs w:val="20"/>
        </w:rPr>
        <w:t>ata from s</w:t>
      </w:r>
      <w:r w:rsidR="00E56F63" w:rsidRPr="005F3D85">
        <w:rPr>
          <w:rFonts w:ascii="Arial" w:hAnsi="Arial" w:cs="Arial"/>
          <w:sz w:val="20"/>
          <w:szCs w:val="20"/>
        </w:rPr>
        <w:t>econdary</w:t>
      </w:r>
      <w:r w:rsidR="00DB4D1F" w:rsidRPr="005F3D85">
        <w:rPr>
          <w:rFonts w:ascii="Arial" w:hAnsi="Arial" w:cs="Arial"/>
          <w:sz w:val="20"/>
          <w:szCs w:val="20"/>
        </w:rPr>
        <w:t xml:space="preserve"> sources</w:t>
      </w:r>
      <w:r w:rsidR="00E56F63" w:rsidRPr="005F3D85">
        <w:rPr>
          <w:rFonts w:ascii="Arial" w:hAnsi="Arial" w:cs="Arial"/>
          <w:sz w:val="20"/>
          <w:szCs w:val="20"/>
        </w:rPr>
        <w:t xml:space="preserve"> </w:t>
      </w:r>
      <w:r w:rsidR="00697456" w:rsidRPr="005F3D85">
        <w:rPr>
          <w:rFonts w:ascii="Arial" w:hAnsi="Arial" w:cs="Arial"/>
          <w:sz w:val="20"/>
          <w:szCs w:val="20"/>
        </w:rPr>
        <w:t>gathered</w:t>
      </w:r>
      <w:r w:rsidR="00E56F63" w:rsidRPr="005F3D85">
        <w:rPr>
          <w:rFonts w:ascii="Arial" w:hAnsi="Arial" w:cs="Arial"/>
          <w:sz w:val="20"/>
          <w:szCs w:val="20"/>
        </w:rPr>
        <w:t xml:space="preserve"> from </w:t>
      </w:r>
      <w:r w:rsidR="00697456" w:rsidRPr="005F3D85">
        <w:rPr>
          <w:rFonts w:ascii="Arial" w:hAnsi="Arial" w:cs="Arial"/>
          <w:sz w:val="20"/>
          <w:szCs w:val="20"/>
        </w:rPr>
        <w:t xml:space="preserve">company’s </w:t>
      </w:r>
      <w:r w:rsidR="00E56F63" w:rsidRPr="005F3D85">
        <w:rPr>
          <w:rFonts w:ascii="Arial" w:hAnsi="Arial" w:cs="Arial"/>
          <w:sz w:val="20"/>
          <w:szCs w:val="20"/>
        </w:rPr>
        <w:t xml:space="preserve">financial statements. </w:t>
      </w:r>
      <w:r w:rsidR="00697456" w:rsidRPr="005F3D85">
        <w:rPr>
          <w:rFonts w:ascii="Arial" w:hAnsi="Arial" w:cs="Arial"/>
          <w:sz w:val="20"/>
          <w:szCs w:val="20"/>
        </w:rPr>
        <w:t>F</w:t>
      </w:r>
      <w:r w:rsidR="00E56F63" w:rsidRPr="005F3D85">
        <w:rPr>
          <w:rFonts w:ascii="Arial" w:hAnsi="Arial" w:cs="Arial"/>
          <w:sz w:val="20"/>
          <w:szCs w:val="20"/>
        </w:rPr>
        <w:t>inding</w:t>
      </w:r>
      <w:r w:rsidR="00697456" w:rsidRPr="005F3D85">
        <w:rPr>
          <w:rFonts w:ascii="Arial" w:hAnsi="Arial" w:cs="Arial"/>
          <w:sz w:val="20"/>
          <w:szCs w:val="20"/>
        </w:rPr>
        <w:t xml:space="preserve"> </w:t>
      </w:r>
      <w:r w:rsidR="00E56F63" w:rsidRPr="005F3D85">
        <w:rPr>
          <w:rFonts w:ascii="Arial" w:hAnsi="Arial" w:cs="Arial"/>
          <w:sz w:val="20"/>
          <w:szCs w:val="20"/>
        </w:rPr>
        <w:t>indicate</w:t>
      </w:r>
      <w:r w:rsidR="00697456" w:rsidRPr="005F3D85">
        <w:rPr>
          <w:rFonts w:ascii="Arial" w:hAnsi="Arial" w:cs="Arial"/>
          <w:sz w:val="20"/>
          <w:szCs w:val="20"/>
        </w:rPr>
        <w:t>s</w:t>
      </w:r>
      <w:r w:rsidR="00E56F63" w:rsidRPr="005F3D85">
        <w:rPr>
          <w:rFonts w:ascii="Arial" w:hAnsi="Arial" w:cs="Arial"/>
          <w:sz w:val="20"/>
          <w:szCs w:val="20"/>
        </w:rPr>
        <w:t xml:space="preserve"> that dividend </w:t>
      </w:r>
      <w:r w:rsidR="00BC23D2" w:rsidRPr="005F3D85">
        <w:rPr>
          <w:rFonts w:ascii="Arial" w:hAnsi="Arial" w:cs="Arial"/>
          <w:sz w:val="20"/>
          <w:szCs w:val="20"/>
        </w:rPr>
        <w:t>payout</w:t>
      </w:r>
      <w:r w:rsidR="00E56F63" w:rsidRPr="005F3D85">
        <w:rPr>
          <w:rFonts w:ascii="Arial" w:hAnsi="Arial" w:cs="Arial"/>
          <w:sz w:val="20"/>
          <w:szCs w:val="20"/>
        </w:rPr>
        <w:t xml:space="preserve"> ratio exhibits</w:t>
      </w:r>
      <w:r w:rsidR="006F0C21" w:rsidRPr="005F3D85">
        <w:rPr>
          <w:rFonts w:ascii="Arial" w:hAnsi="Arial" w:cs="Arial"/>
          <w:sz w:val="20"/>
          <w:szCs w:val="20"/>
        </w:rPr>
        <w:t xml:space="preserve"> positive but insignificants </w:t>
      </w:r>
      <w:r w:rsidR="00E56F63" w:rsidRPr="005F3D85">
        <w:rPr>
          <w:rFonts w:ascii="Arial" w:hAnsi="Arial" w:cs="Arial"/>
          <w:sz w:val="20"/>
          <w:szCs w:val="20"/>
        </w:rPr>
        <w:t>relationship.</w:t>
      </w:r>
    </w:p>
    <w:p w14:paraId="7401BE35" w14:textId="77777777" w:rsidR="000E280F" w:rsidRPr="005F3D85" w:rsidRDefault="000E280F" w:rsidP="004666E2">
      <w:pPr>
        <w:spacing w:after="0" w:line="240" w:lineRule="auto"/>
        <w:jc w:val="both"/>
        <w:rPr>
          <w:rFonts w:ascii="Arial" w:hAnsi="Arial" w:cs="Arial"/>
          <w:sz w:val="20"/>
          <w:szCs w:val="20"/>
        </w:rPr>
      </w:pPr>
    </w:p>
    <w:p w14:paraId="646BB1F9" w14:textId="549110A4" w:rsidR="00CE4FF5" w:rsidRPr="005F3D85" w:rsidRDefault="00496781" w:rsidP="00757614">
      <w:pPr>
        <w:spacing w:after="0" w:line="240" w:lineRule="auto"/>
        <w:jc w:val="both"/>
        <w:rPr>
          <w:rFonts w:ascii="Arial" w:hAnsi="Arial" w:cs="Arial"/>
          <w:sz w:val="20"/>
          <w:szCs w:val="20"/>
        </w:rPr>
      </w:pPr>
      <w:r w:rsidRPr="005F3D85">
        <w:rPr>
          <w:rFonts w:ascii="Arial" w:hAnsi="Arial" w:cs="Arial"/>
          <w:sz w:val="20"/>
          <w:szCs w:val="20"/>
        </w:rPr>
        <w:t>S</w:t>
      </w:r>
      <w:r w:rsidR="00E56F63" w:rsidRPr="005F3D85">
        <w:rPr>
          <w:rFonts w:ascii="Arial" w:hAnsi="Arial" w:cs="Arial"/>
          <w:sz w:val="20"/>
          <w:szCs w:val="20"/>
        </w:rPr>
        <w:t>tudy</w:t>
      </w:r>
      <w:r w:rsidRPr="005F3D85">
        <w:rPr>
          <w:rFonts w:ascii="Arial" w:hAnsi="Arial" w:cs="Arial"/>
          <w:sz w:val="20"/>
          <w:szCs w:val="20"/>
        </w:rPr>
        <w:t xml:space="preserve"> </w:t>
      </w:r>
      <w:r w:rsidR="00BC23D2" w:rsidRPr="005F3D85">
        <w:rPr>
          <w:rFonts w:ascii="Arial" w:hAnsi="Arial" w:cs="Arial"/>
          <w:sz w:val="20"/>
          <w:szCs w:val="20"/>
        </w:rPr>
        <w:t>by</w:t>
      </w:r>
      <w:r w:rsidR="00E56F63" w:rsidRPr="005F3D85">
        <w:rPr>
          <w:rFonts w:ascii="Arial" w:hAnsi="Arial" w:cs="Arial"/>
          <w:sz w:val="20"/>
          <w:szCs w:val="20"/>
        </w:rPr>
        <w:t xml:space="preserve"> </w:t>
      </w:r>
      <w:r w:rsidRPr="005F3D85">
        <w:rPr>
          <w:rFonts w:ascii="Arial" w:hAnsi="Arial" w:cs="Arial"/>
          <w:sz w:val="20"/>
          <w:szCs w:val="20"/>
        </w:rPr>
        <w:t>Koleosho et al.</w:t>
      </w:r>
      <w:r w:rsidR="00E56F63" w:rsidRPr="005F3D85">
        <w:rPr>
          <w:rFonts w:ascii="Arial" w:hAnsi="Arial" w:cs="Arial"/>
          <w:sz w:val="20"/>
          <w:szCs w:val="20"/>
        </w:rPr>
        <w:t xml:space="preserve"> (2022) investigated impact</w:t>
      </w:r>
      <w:r w:rsidRPr="005F3D85">
        <w:rPr>
          <w:rFonts w:ascii="Arial" w:hAnsi="Arial" w:cs="Arial"/>
          <w:sz w:val="20"/>
          <w:szCs w:val="20"/>
        </w:rPr>
        <w:t>s</w:t>
      </w:r>
      <w:r w:rsidR="00E56F63" w:rsidRPr="005F3D85">
        <w:rPr>
          <w:rFonts w:ascii="Arial" w:hAnsi="Arial" w:cs="Arial"/>
          <w:sz w:val="20"/>
          <w:szCs w:val="20"/>
        </w:rPr>
        <w:t xml:space="preserve"> of dividend</w:t>
      </w:r>
      <w:r w:rsidRPr="005F3D85">
        <w:rPr>
          <w:rFonts w:ascii="Arial" w:hAnsi="Arial" w:cs="Arial"/>
          <w:sz w:val="20"/>
          <w:szCs w:val="20"/>
        </w:rPr>
        <w:t>s</w:t>
      </w:r>
      <w:r w:rsidR="00E56F63" w:rsidRPr="005F3D85">
        <w:rPr>
          <w:rFonts w:ascii="Arial" w:hAnsi="Arial" w:cs="Arial"/>
          <w:sz w:val="20"/>
          <w:szCs w:val="20"/>
        </w:rPr>
        <w:t xml:space="preserve"> policy on price volatility </w:t>
      </w:r>
      <w:r w:rsidRPr="005F3D85">
        <w:rPr>
          <w:rFonts w:ascii="Arial" w:hAnsi="Arial" w:cs="Arial"/>
          <w:sz w:val="20"/>
          <w:szCs w:val="20"/>
        </w:rPr>
        <w:t xml:space="preserve">of shares </w:t>
      </w:r>
      <w:r w:rsidR="00E56F63" w:rsidRPr="005F3D85">
        <w:rPr>
          <w:rFonts w:ascii="Arial" w:hAnsi="Arial" w:cs="Arial"/>
          <w:sz w:val="20"/>
          <w:szCs w:val="20"/>
        </w:rPr>
        <w:t xml:space="preserve">among selected </w:t>
      </w:r>
      <w:r w:rsidRPr="005F3D85">
        <w:rPr>
          <w:rFonts w:ascii="Arial" w:hAnsi="Arial" w:cs="Arial"/>
          <w:sz w:val="20"/>
          <w:szCs w:val="20"/>
        </w:rPr>
        <w:t>firms</w:t>
      </w:r>
      <w:r w:rsidR="00E56F63" w:rsidRPr="005F3D85">
        <w:rPr>
          <w:rFonts w:ascii="Arial" w:hAnsi="Arial" w:cs="Arial"/>
          <w:sz w:val="20"/>
          <w:szCs w:val="20"/>
        </w:rPr>
        <w:t xml:space="preserve"> listed </w:t>
      </w:r>
      <w:r w:rsidRPr="005F3D85">
        <w:rPr>
          <w:rFonts w:ascii="Arial" w:hAnsi="Arial" w:cs="Arial"/>
          <w:sz w:val="20"/>
          <w:szCs w:val="20"/>
        </w:rPr>
        <w:t>in NE</w:t>
      </w:r>
      <w:r w:rsidR="00AA32D0" w:rsidRPr="005F3D85">
        <w:rPr>
          <w:rFonts w:ascii="Arial" w:hAnsi="Arial" w:cs="Arial"/>
          <w:sz w:val="20"/>
          <w:szCs w:val="20"/>
        </w:rPr>
        <w:t>. S</w:t>
      </w:r>
      <w:r w:rsidR="00E56F63" w:rsidRPr="005F3D85">
        <w:rPr>
          <w:rFonts w:ascii="Arial" w:hAnsi="Arial" w:cs="Arial"/>
          <w:sz w:val="20"/>
          <w:szCs w:val="20"/>
        </w:rPr>
        <w:t>tudy</w:t>
      </w:r>
      <w:r w:rsidR="00AA32D0" w:rsidRPr="005F3D85">
        <w:rPr>
          <w:rFonts w:ascii="Arial" w:hAnsi="Arial" w:cs="Arial"/>
          <w:sz w:val="20"/>
          <w:szCs w:val="20"/>
        </w:rPr>
        <w:t xml:space="preserve"> </w:t>
      </w:r>
      <w:r w:rsidR="00E56F63" w:rsidRPr="005F3D85">
        <w:rPr>
          <w:rFonts w:ascii="Arial" w:hAnsi="Arial" w:cs="Arial"/>
          <w:sz w:val="20"/>
          <w:szCs w:val="20"/>
        </w:rPr>
        <w:t>utilized EGARCH model to measure volatility. A random sampl</w:t>
      </w:r>
      <w:r w:rsidR="00AA32D0" w:rsidRPr="005F3D85">
        <w:rPr>
          <w:rFonts w:ascii="Arial" w:hAnsi="Arial" w:cs="Arial"/>
          <w:sz w:val="20"/>
          <w:szCs w:val="20"/>
        </w:rPr>
        <w:t>ing</w:t>
      </w:r>
      <w:r w:rsidR="00E56F63" w:rsidRPr="005F3D85">
        <w:rPr>
          <w:rFonts w:ascii="Arial" w:hAnsi="Arial" w:cs="Arial"/>
          <w:sz w:val="20"/>
          <w:szCs w:val="20"/>
        </w:rPr>
        <w:t xml:space="preserve"> of 49 </w:t>
      </w:r>
      <w:r w:rsidR="00AA32D0" w:rsidRPr="005F3D85">
        <w:rPr>
          <w:rFonts w:ascii="Arial" w:hAnsi="Arial" w:cs="Arial"/>
          <w:sz w:val="20"/>
          <w:szCs w:val="20"/>
        </w:rPr>
        <w:t>firms</w:t>
      </w:r>
      <w:r w:rsidR="00E56F63" w:rsidRPr="005F3D85">
        <w:rPr>
          <w:rFonts w:ascii="Arial" w:hAnsi="Arial" w:cs="Arial"/>
          <w:sz w:val="20"/>
          <w:szCs w:val="20"/>
        </w:rPr>
        <w:t xml:space="preserve"> from 162 listed </w:t>
      </w:r>
      <w:r w:rsidR="00AA32D0" w:rsidRPr="005F3D85">
        <w:rPr>
          <w:rFonts w:ascii="Arial" w:hAnsi="Arial" w:cs="Arial"/>
          <w:sz w:val="20"/>
          <w:szCs w:val="20"/>
        </w:rPr>
        <w:t>in</w:t>
      </w:r>
      <w:r w:rsidR="00E56F63" w:rsidRPr="005F3D85">
        <w:rPr>
          <w:rFonts w:ascii="Arial" w:hAnsi="Arial" w:cs="Arial"/>
          <w:sz w:val="20"/>
          <w:szCs w:val="20"/>
        </w:rPr>
        <w:t xml:space="preserve"> NE during 2010 to 2020 was </w:t>
      </w:r>
      <w:r w:rsidR="00AA32D0" w:rsidRPr="005F3D85">
        <w:rPr>
          <w:rFonts w:ascii="Arial" w:hAnsi="Arial" w:cs="Arial"/>
          <w:sz w:val="20"/>
          <w:szCs w:val="20"/>
        </w:rPr>
        <w:t>chosen</w:t>
      </w:r>
      <w:r w:rsidR="00E56F63" w:rsidRPr="005F3D85">
        <w:rPr>
          <w:rFonts w:ascii="Arial" w:hAnsi="Arial" w:cs="Arial"/>
          <w:sz w:val="20"/>
          <w:szCs w:val="20"/>
        </w:rPr>
        <w:t xml:space="preserve"> for panel analysis. </w:t>
      </w:r>
      <w:r w:rsidR="00AA32D0" w:rsidRPr="005F3D85">
        <w:rPr>
          <w:rFonts w:ascii="Arial" w:hAnsi="Arial" w:cs="Arial"/>
          <w:sz w:val="20"/>
          <w:szCs w:val="20"/>
        </w:rPr>
        <w:t>F</w:t>
      </w:r>
      <w:r w:rsidR="00E56F63" w:rsidRPr="005F3D85">
        <w:rPr>
          <w:rFonts w:ascii="Arial" w:hAnsi="Arial" w:cs="Arial"/>
          <w:sz w:val="20"/>
          <w:szCs w:val="20"/>
        </w:rPr>
        <w:t>indings</w:t>
      </w:r>
      <w:r w:rsidR="00AA32D0" w:rsidRPr="005F3D85">
        <w:rPr>
          <w:rFonts w:ascii="Arial" w:hAnsi="Arial" w:cs="Arial"/>
          <w:sz w:val="20"/>
          <w:szCs w:val="20"/>
        </w:rPr>
        <w:t xml:space="preserve"> </w:t>
      </w:r>
      <w:r w:rsidR="00E56F63" w:rsidRPr="005F3D85">
        <w:rPr>
          <w:rFonts w:ascii="Arial" w:hAnsi="Arial" w:cs="Arial"/>
          <w:sz w:val="20"/>
          <w:szCs w:val="20"/>
        </w:rPr>
        <w:t>revealed that dividend</w:t>
      </w:r>
      <w:r w:rsidR="00AA32D0" w:rsidRPr="005F3D85">
        <w:rPr>
          <w:rFonts w:ascii="Arial" w:hAnsi="Arial" w:cs="Arial"/>
          <w:sz w:val="20"/>
          <w:szCs w:val="20"/>
        </w:rPr>
        <w:t>s</w:t>
      </w:r>
      <w:r w:rsidR="00E56F63" w:rsidRPr="005F3D85">
        <w:rPr>
          <w:rFonts w:ascii="Arial" w:hAnsi="Arial" w:cs="Arial"/>
          <w:sz w:val="20"/>
          <w:szCs w:val="20"/>
        </w:rPr>
        <w:t xml:space="preserve"> policy has significant negative relationship</w:t>
      </w:r>
      <w:r w:rsidR="00AA32D0" w:rsidRPr="005F3D85">
        <w:rPr>
          <w:rFonts w:ascii="Arial" w:hAnsi="Arial" w:cs="Arial"/>
          <w:sz w:val="20"/>
          <w:szCs w:val="20"/>
        </w:rPr>
        <w:t>s</w:t>
      </w:r>
      <w:r w:rsidR="00E56F63" w:rsidRPr="005F3D85">
        <w:rPr>
          <w:rFonts w:ascii="Arial" w:hAnsi="Arial" w:cs="Arial"/>
          <w:sz w:val="20"/>
          <w:szCs w:val="20"/>
        </w:rPr>
        <w:t xml:space="preserve"> with share price volatility.</w:t>
      </w:r>
      <w:r w:rsidR="00CE4FF5" w:rsidRPr="005F3D85">
        <w:rPr>
          <w:rFonts w:ascii="Arial" w:hAnsi="Arial" w:cs="Arial"/>
          <w:sz w:val="20"/>
          <w:szCs w:val="20"/>
        </w:rPr>
        <w:t xml:space="preserve"> </w:t>
      </w:r>
      <w:r w:rsidR="00E56F63" w:rsidRPr="005F3D85">
        <w:rPr>
          <w:rFonts w:ascii="Arial" w:hAnsi="Arial" w:cs="Arial"/>
          <w:sz w:val="20"/>
          <w:szCs w:val="20"/>
        </w:rPr>
        <w:t>Saputra (2022) examined the influence of ROA, ROE, and PER on stock</w:t>
      </w:r>
      <w:r w:rsidR="00E375A3" w:rsidRPr="005F3D85">
        <w:rPr>
          <w:rFonts w:ascii="Arial" w:hAnsi="Arial" w:cs="Arial"/>
          <w:sz w:val="20"/>
          <w:szCs w:val="20"/>
        </w:rPr>
        <w:t>s</w:t>
      </w:r>
      <w:r w:rsidR="00E56F63" w:rsidRPr="005F3D85">
        <w:rPr>
          <w:rFonts w:ascii="Arial" w:hAnsi="Arial" w:cs="Arial"/>
          <w:sz w:val="20"/>
          <w:szCs w:val="20"/>
        </w:rPr>
        <w:t xml:space="preserve"> price</w:t>
      </w:r>
      <w:r w:rsidR="00E375A3" w:rsidRPr="005F3D85">
        <w:rPr>
          <w:rFonts w:ascii="Arial" w:hAnsi="Arial" w:cs="Arial"/>
          <w:sz w:val="20"/>
          <w:szCs w:val="20"/>
        </w:rPr>
        <w:t xml:space="preserve"> of coal companies listed in </w:t>
      </w:r>
      <w:r w:rsidR="00E56F63" w:rsidRPr="005F3D85">
        <w:rPr>
          <w:rFonts w:ascii="Arial" w:hAnsi="Arial" w:cs="Arial"/>
          <w:sz w:val="20"/>
          <w:szCs w:val="20"/>
        </w:rPr>
        <w:t>ISE for period</w:t>
      </w:r>
      <w:r w:rsidR="0028781B" w:rsidRPr="005F3D85">
        <w:rPr>
          <w:rFonts w:ascii="Arial" w:hAnsi="Arial" w:cs="Arial"/>
          <w:sz w:val="20"/>
          <w:szCs w:val="20"/>
        </w:rPr>
        <w:t xml:space="preserve"> from </w:t>
      </w:r>
      <w:r w:rsidR="00E56F63" w:rsidRPr="005F3D85">
        <w:rPr>
          <w:rFonts w:ascii="Arial" w:hAnsi="Arial" w:cs="Arial"/>
          <w:sz w:val="20"/>
          <w:szCs w:val="20"/>
        </w:rPr>
        <w:t xml:space="preserve">2018 </w:t>
      </w:r>
      <w:r w:rsidR="0028781B" w:rsidRPr="005F3D85">
        <w:rPr>
          <w:rFonts w:ascii="Arial" w:hAnsi="Arial" w:cs="Arial"/>
          <w:sz w:val="20"/>
          <w:szCs w:val="20"/>
        </w:rPr>
        <w:t xml:space="preserve">- 2021. </w:t>
      </w:r>
      <w:r w:rsidR="00894ACD" w:rsidRPr="005F3D85">
        <w:rPr>
          <w:rFonts w:ascii="Arial" w:hAnsi="Arial" w:cs="Arial"/>
          <w:sz w:val="20"/>
          <w:szCs w:val="20"/>
        </w:rPr>
        <w:t>S</w:t>
      </w:r>
      <w:r w:rsidR="00E56F63" w:rsidRPr="005F3D85">
        <w:rPr>
          <w:rFonts w:ascii="Arial" w:hAnsi="Arial" w:cs="Arial"/>
          <w:sz w:val="20"/>
          <w:szCs w:val="20"/>
        </w:rPr>
        <w:t>tudy</w:t>
      </w:r>
      <w:r w:rsidR="00894ACD" w:rsidRPr="005F3D85">
        <w:rPr>
          <w:rFonts w:ascii="Arial" w:hAnsi="Arial" w:cs="Arial"/>
          <w:sz w:val="20"/>
          <w:szCs w:val="20"/>
        </w:rPr>
        <w:t xml:space="preserve"> </w:t>
      </w:r>
      <w:r w:rsidR="00E56F63" w:rsidRPr="005F3D85">
        <w:rPr>
          <w:rFonts w:ascii="Arial" w:hAnsi="Arial" w:cs="Arial"/>
          <w:sz w:val="20"/>
          <w:szCs w:val="20"/>
        </w:rPr>
        <w:t>found ROA not affect</w:t>
      </w:r>
      <w:r w:rsidR="00DD1A16" w:rsidRPr="005F3D85">
        <w:rPr>
          <w:rFonts w:ascii="Arial" w:hAnsi="Arial" w:cs="Arial"/>
          <w:sz w:val="20"/>
          <w:szCs w:val="20"/>
        </w:rPr>
        <w:t>s</w:t>
      </w:r>
      <w:r w:rsidR="00E56F63" w:rsidRPr="005F3D85">
        <w:rPr>
          <w:rFonts w:ascii="Arial" w:hAnsi="Arial" w:cs="Arial"/>
          <w:sz w:val="20"/>
          <w:szCs w:val="20"/>
        </w:rPr>
        <w:t xml:space="preserve"> stock </w:t>
      </w:r>
      <w:r w:rsidR="00BC23D2" w:rsidRPr="005F3D85">
        <w:rPr>
          <w:rFonts w:ascii="Arial" w:hAnsi="Arial" w:cs="Arial"/>
          <w:sz w:val="20"/>
          <w:szCs w:val="20"/>
        </w:rPr>
        <w:t>price,</w:t>
      </w:r>
      <w:r w:rsidR="00E56F63" w:rsidRPr="005F3D85">
        <w:rPr>
          <w:rFonts w:ascii="Arial" w:hAnsi="Arial" w:cs="Arial"/>
          <w:sz w:val="20"/>
          <w:szCs w:val="20"/>
        </w:rPr>
        <w:t xml:space="preserve"> and neither ROE nor PER has significant impact</w:t>
      </w:r>
      <w:r w:rsidR="00DD1A16" w:rsidRPr="005F3D85">
        <w:rPr>
          <w:rFonts w:ascii="Arial" w:hAnsi="Arial" w:cs="Arial"/>
          <w:sz w:val="20"/>
          <w:szCs w:val="20"/>
        </w:rPr>
        <w:t>s</w:t>
      </w:r>
      <w:r w:rsidR="00E56F63" w:rsidRPr="005F3D85">
        <w:rPr>
          <w:rFonts w:ascii="Arial" w:hAnsi="Arial" w:cs="Arial"/>
          <w:sz w:val="20"/>
          <w:szCs w:val="20"/>
        </w:rPr>
        <w:t xml:space="preserve"> </w:t>
      </w:r>
      <w:r w:rsidR="008E78B1" w:rsidRPr="005F3D85">
        <w:rPr>
          <w:rFonts w:ascii="Arial" w:hAnsi="Arial" w:cs="Arial"/>
          <w:sz w:val="20"/>
          <w:szCs w:val="20"/>
        </w:rPr>
        <w:t>to</w:t>
      </w:r>
      <w:r w:rsidR="00E56F63" w:rsidRPr="005F3D85">
        <w:rPr>
          <w:rFonts w:ascii="Arial" w:hAnsi="Arial" w:cs="Arial"/>
          <w:sz w:val="20"/>
          <w:szCs w:val="20"/>
        </w:rPr>
        <w:t xml:space="preserve"> stock price.</w:t>
      </w:r>
      <w:r w:rsidR="00CE4FF5" w:rsidRPr="005F3D85">
        <w:rPr>
          <w:rFonts w:ascii="Arial" w:hAnsi="Arial" w:cs="Arial"/>
          <w:sz w:val="20"/>
          <w:szCs w:val="20"/>
        </w:rPr>
        <w:t xml:space="preserve"> </w:t>
      </w:r>
      <w:r w:rsidR="00E56F63" w:rsidRPr="005F3D85">
        <w:rPr>
          <w:rFonts w:ascii="Arial" w:hAnsi="Arial" w:cs="Arial"/>
          <w:sz w:val="20"/>
          <w:szCs w:val="20"/>
        </w:rPr>
        <w:t xml:space="preserve">Another study </w:t>
      </w:r>
      <w:r w:rsidR="00BC23D2" w:rsidRPr="005F3D85">
        <w:rPr>
          <w:rFonts w:ascii="Arial" w:hAnsi="Arial" w:cs="Arial"/>
          <w:sz w:val="20"/>
          <w:szCs w:val="20"/>
        </w:rPr>
        <w:t>by</w:t>
      </w:r>
      <w:r w:rsidR="00E56F63" w:rsidRPr="005F3D85">
        <w:rPr>
          <w:rFonts w:ascii="Arial" w:hAnsi="Arial" w:cs="Arial"/>
          <w:sz w:val="20"/>
          <w:szCs w:val="20"/>
        </w:rPr>
        <w:t xml:space="preserve"> Lusiana (2020) examined sources of profitability for </w:t>
      </w:r>
      <w:r w:rsidR="00107C8B" w:rsidRPr="005F3D85">
        <w:rPr>
          <w:rFonts w:ascii="Arial" w:hAnsi="Arial" w:cs="Arial"/>
          <w:sz w:val="20"/>
          <w:szCs w:val="20"/>
        </w:rPr>
        <w:t>enterprises</w:t>
      </w:r>
      <w:r w:rsidR="00E56F63" w:rsidRPr="005F3D85">
        <w:rPr>
          <w:rFonts w:ascii="Arial" w:hAnsi="Arial" w:cs="Arial"/>
          <w:sz w:val="20"/>
          <w:szCs w:val="20"/>
        </w:rPr>
        <w:t xml:space="preserve"> in food and beverage sector</w:t>
      </w:r>
      <w:r w:rsidR="00107C8B" w:rsidRPr="005F3D85">
        <w:rPr>
          <w:rFonts w:ascii="Arial" w:hAnsi="Arial" w:cs="Arial"/>
          <w:sz w:val="20"/>
          <w:szCs w:val="20"/>
        </w:rPr>
        <w:t>s</w:t>
      </w:r>
      <w:r w:rsidR="00E56F63" w:rsidRPr="005F3D85">
        <w:rPr>
          <w:rFonts w:ascii="Arial" w:hAnsi="Arial" w:cs="Arial"/>
          <w:sz w:val="20"/>
          <w:szCs w:val="20"/>
        </w:rPr>
        <w:t xml:space="preserve"> listed </w:t>
      </w:r>
      <w:r w:rsidR="00107C8B" w:rsidRPr="005F3D85">
        <w:rPr>
          <w:rFonts w:ascii="Arial" w:hAnsi="Arial" w:cs="Arial"/>
          <w:sz w:val="20"/>
          <w:szCs w:val="20"/>
        </w:rPr>
        <w:t>in</w:t>
      </w:r>
      <w:r w:rsidR="00E56F63" w:rsidRPr="005F3D85">
        <w:rPr>
          <w:rFonts w:ascii="Arial" w:hAnsi="Arial" w:cs="Arial"/>
          <w:sz w:val="20"/>
          <w:szCs w:val="20"/>
        </w:rPr>
        <w:t xml:space="preserve"> ISE, focusing on ROE and EPS as</w:t>
      </w:r>
      <w:r w:rsidR="00A73B5B" w:rsidRPr="005F3D85">
        <w:rPr>
          <w:rFonts w:ascii="Arial" w:hAnsi="Arial" w:cs="Arial"/>
          <w:sz w:val="20"/>
          <w:szCs w:val="20"/>
        </w:rPr>
        <w:t xml:space="preserve"> indicators of company strength</w:t>
      </w:r>
      <w:r w:rsidR="00E56F63" w:rsidRPr="005F3D85">
        <w:rPr>
          <w:rFonts w:ascii="Arial" w:hAnsi="Arial" w:cs="Arial"/>
          <w:sz w:val="20"/>
          <w:szCs w:val="20"/>
        </w:rPr>
        <w:t>. It use</w:t>
      </w:r>
      <w:r w:rsidR="00A73B5B" w:rsidRPr="005F3D85">
        <w:rPr>
          <w:rFonts w:ascii="Arial" w:hAnsi="Arial" w:cs="Arial"/>
          <w:sz w:val="20"/>
          <w:szCs w:val="20"/>
        </w:rPr>
        <w:t>d</w:t>
      </w:r>
      <w:r w:rsidR="00E56F63" w:rsidRPr="005F3D85">
        <w:rPr>
          <w:rFonts w:ascii="Arial" w:hAnsi="Arial" w:cs="Arial"/>
          <w:sz w:val="20"/>
          <w:szCs w:val="20"/>
        </w:rPr>
        <w:t xml:space="preserve"> </w:t>
      </w:r>
      <w:r w:rsidR="00107C8B" w:rsidRPr="005F3D85">
        <w:rPr>
          <w:rFonts w:ascii="Arial" w:hAnsi="Arial" w:cs="Arial"/>
          <w:sz w:val="20"/>
          <w:szCs w:val="20"/>
        </w:rPr>
        <w:t xml:space="preserve">data in the form of </w:t>
      </w:r>
      <w:r w:rsidR="00E56F63" w:rsidRPr="005F3D85">
        <w:rPr>
          <w:rFonts w:ascii="Arial" w:hAnsi="Arial" w:cs="Arial"/>
          <w:sz w:val="20"/>
          <w:szCs w:val="20"/>
        </w:rPr>
        <w:t xml:space="preserve">time series from 2015 </w:t>
      </w:r>
      <w:r w:rsidR="00A73B5B" w:rsidRPr="005F3D85">
        <w:rPr>
          <w:rFonts w:ascii="Arial" w:hAnsi="Arial" w:cs="Arial"/>
          <w:sz w:val="20"/>
          <w:szCs w:val="20"/>
        </w:rPr>
        <w:t xml:space="preserve">– 2018. </w:t>
      </w:r>
      <w:r w:rsidR="00F21D40" w:rsidRPr="005F3D85">
        <w:rPr>
          <w:rFonts w:ascii="Arial" w:hAnsi="Arial" w:cs="Arial"/>
          <w:sz w:val="20"/>
          <w:szCs w:val="20"/>
        </w:rPr>
        <w:t>R</w:t>
      </w:r>
      <w:r w:rsidR="00E56F63" w:rsidRPr="005F3D85">
        <w:rPr>
          <w:rFonts w:ascii="Arial" w:hAnsi="Arial" w:cs="Arial"/>
          <w:sz w:val="20"/>
          <w:szCs w:val="20"/>
        </w:rPr>
        <w:t>esults</w:t>
      </w:r>
      <w:r w:rsidR="00F21D40" w:rsidRPr="005F3D85">
        <w:rPr>
          <w:rFonts w:ascii="Arial" w:hAnsi="Arial" w:cs="Arial"/>
          <w:sz w:val="20"/>
          <w:szCs w:val="20"/>
        </w:rPr>
        <w:t xml:space="preserve"> </w:t>
      </w:r>
      <w:r w:rsidR="00E56F63" w:rsidRPr="005F3D85">
        <w:rPr>
          <w:rFonts w:ascii="Arial" w:hAnsi="Arial" w:cs="Arial"/>
          <w:sz w:val="20"/>
          <w:szCs w:val="20"/>
        </w:rPr>
        <w:t>indicate that ROE</w:t>
      </w:r>
      <w:r w:rsidR="00F21D40" w:rsidRPr="005F3D85">
        <w:rPr>
          <w:rFonts w:ascii="Arial" w:hAnsi="Arial" w:cs="Arial"/>
          <w:sz w:val="20"/>
          <w:szCs w:val="20"/>
        </w:rPr>
        <w:t xml:space="preserve"> shows </w:t>
      </w:r>
      <w:r w:rsidR="00E56F63" w:rsidRPr="005F3D85">
        <w:rPr>
          <w:rFonts w:ascii="Arial" w:hAnsi="Arial" w:cs="Arial"/>
          <w:sz w:val="20"/>
          <w:szCs w:val="20"/>
        </w:rPr>
        <w:t>positive and significant impact</w:t>
      </w:r>
      <w:r w:rsidR="00F21D40" w:rsidRPr="005F3D85">
        <w:rPr>
          <w:rFonts w:ascii="Arial" w:hAnsi="Arial" w:cs="Arial"/>
          <w:sz w:val="20"/>
          <w:szCs w:val="20"/>
        </w:rPr>
        <w:t>s</w:t>
      </w:r>
      <w:r w:rsidR="00A73B5B" w:rsidRPr="005F3D85">
        <w:rPr>
          <w:rFonts w:ascii="Arial" w:hAnsi="Arial" w:cs="Arial"/>
          <w:sz w:val="20"/>
          <w:szCs w:val="20"/>
        </w:rPr>
        <w:t xml:space="preserve"> on stock prices</w:t>
      </w:r>
      <w:r w:rsidR="00E56F63" w:rsidRPr="005F3D85">
        <w:rPr>
          <w:rFonts w:ascii="Arial" w:hAnsi="Arial" w:cs="Arial"/>
          <w:sz w:val="20"/>
          <w:szCs w:val="20"/>
        </w:rPr>
        <w:t>.</w:t>
      </w:r>
      <w:r w:rsidR="00343590" w:rsidRPr="005F3D85">
        <w:rPr>
          <w:rFonts w:ascii="Arial" w:hAnsi="Arial" w:cs="Arial"/>
          <w:sz w:val="20"/>
          <w:szCs w:val="20"/>
        </w:rPr>
        <w:t xml:space="preserve"> </w:t>
      </w:r>
      <w:r w:rsidR="0006669C" w:rsidRPr="005F3D85">
        <w:rPr>
          <w:rFonts w:ascii="Arial" w:hAnsi="Arial" w:cs="Arial"/>
          <w:sz w:val="20"/>
          <w:szCs w:val="20"/>
        </w:rPr>
        <w:t xml:space="preserve">Jiang et al. </w:t>
      </w:r>
      <w:r w:rsidR="006B04C7" w:rsidRPr="005F3D85">
        <w:rPr>
          <w:rFonts w:ascii="Arial" w:hAnsi="Arial" w:cs="Arial"/>
          <w:sz w:val="20"/>
          <w:szCs w:val="20"/>
        </w:rPr>
        <w:t xml:space="preserve">(2025) assessed the earnings management and price informativeness in </w:t>
      </w:r>
      <w:r w:rsidR="00BC23D2" w:rsidRPr="005F3D85">
        <w:rPr>
          <w:rFonts w:ascii="Arial" w:hAnsi="Arial" w:cs="Arial"/>
          <w:sz w:val="20"/>
          <w:szCs w:val="20"/>
        </w:rPr>
        <w:t>a global</w:t>
      </w:r>
      <w:r w:rsidR="006B04C7" w:rsidRPr="005F3D85">
        <w:rPr>
          <w:rFonts w:ascii="Arial" w:hAnsi="Arial" w:cs="Arial"/>
          <w:sz w:val="20"/>
          <w:szCs w:val="20"/>
        </w:rPr>
        <w:t xml:space="preserve"> sample. </w:t>
      </w:r>
      <w:r w:rsidR="00894ACD" w:rsidRPr="005F3D85">
        <w:rPr>
          <w:rFonts w:ascii="Arial" w:hAnsi="Arial" w:cs="Arial"/>
          <w:sz w:val="20"/>
          <w:szCs w:val="20"/>
        </w:rPr>
        <w:t>F</w:t>
      </w:r>
      <w:r w:rsidR="006B04C7" w:rsidRPr="005F3D85">
        <w:rPr>
          <w:rFonts w:ascii="Arial" w:hAnsi="Arial" w:cs="Arial"/>
          <w:sz w:val="20"/>
          <w:szCs w:val="20"/>
        </w:rPr>
        <w:t>indings</w:t>
      </w:r>
      <w:r w:rsidR="00894ACD" w:rsidRPr="005F3D85">
        <w:rPr>
          <w:rFonts w:ascii="Arial" w:hAnsi="Arial" w:cs="Arial"/>
          <w:sz w:val="20"/>
          <w:szCs w:val="20"/>
        </w:rPr>
        <w:t xml:space="preserve"> </w:t>
      </w:r>
      <w:r w:rsidR="00BC23D2" w:rsidRPr="005F3D85">
        <w:rPr>
          <w:rFonts w:ascii="Arial" w:hAnsi="Arial" w:cs="Arial"/>
          <w:sz w:val="20"/>
          <w:szCs w:val="20"/>
        </w:rPr>
        <w:t>show</w:t>
      </w:r>
      <w:r w:rsidR="006B04C7" w:rsidRPr="005F3D85">
        <w:rPr>
          <w:rFonts w:ascii="Arial" w:hAnsi="Arial" w:cs="Arial"/>
          <w:sz w:val="20"/>
          <w:szCs w:val="20"/>
        </w:rPr>
        <w:t xml:space="preserve"> that greater price informativeness correlates with stronger predictive power of prices for future performance and constrains opportunistic reporting. </w:t>
      </w:r>
      <w:r w:rsidR="00F6241F" w:rsidRPr="005F3D85">
        <w:rPr>
          <w:rFonts w:ascii="Arial" w:hAnsi="Arial" w:cs="Arial"/>
          <w:sz w:val="20"/>
          <w:szCs w:val="20"/>
        </w:rPr>
        <w:t>Gil-Alana et al</w:t>
      </w:r>
      <w:r w:rsidR="002342C9" w:rsidRPr="005F3D85">
        <w:rPr>
          <w:rFonts w:ascii="Arial" w:hAnsi="Arial" w:cs="Arial"/>
          <w:sz w:val="20"/>
          <w:szCs w:val="20"/>
        </w:rPr>
        <w:t>.</w:t>
      </w:r>
      <w:r w:rsidR="00F6241F" w:rsidRPr="005F3D85">
        <w:rPr>
          <w:rFonts w:ascii="Arial" w:hAnsi="Arial" w:cs="Arial"/>
          <w:sz w:val="20"/>
          <w:szCs w:val="20"/>
        </w:rPr>
        <w:t xml:space="preserve"> (2025) </w:t>
      </w:r>
      <w:r w:rsidR="006B04C7" w:rsidRPr="005F3D85">
        <w:rPr>
          <w:rFonts w:ascii="Arial" w:hAnsi="Arial" w:cs="Arial"/>
          <w:sz w:val="20"/>
          <w:szCs w:val="20"/>
        </w:rPr>
        <w:t>evaluated impact</w:t>
      </w:r>
      <w:r w:rsidR="001C0376" w:rsidRPr="005F3D85">
        <w:rPr>
          <w:rFonts w:ascii="Arial" w:hAnsi="Arial" w:cs="Arial"/>
          <w:sz w:val="20"/>
          <w:szCs w:val="20"/>
        </w:rPr>
        <w:t>s</w:t>
      </w:r>
      <w:r w:rsidR="006B04C7" w:rsidRPr="005F3D85">
        <w:rPr>
          <w:rFonts w:ascii="Arial" w:hAnsi="Arial" w:cs="Arial"/>
          <w:sz w:val="20"/>
          <w:szCs w:val="20"/>
        </w:rPr>
        <w:t xml:space="preserve"> of social media activities on stock price informativeness</w:t>
      </w:r>
      <w:r w:rsidR="001C0376" w:rsidRPr="005F3D85">
        <w:rPr>
          <w:rFonts w:ascii="Arial" w:hAnsi="Arial" w:cs="Arial"/>
          <w:sz w:val="20"/>
          <w:szCs w:val="20"/>
        </w:rPr>
        <w:t xml:space="preserve"> for </w:t>
      </w:r>
      <w:r w:rsidR="006B04C7" w:rsidRPr="005F3D85">
        <w:rPr>
          <w:rFonts w:ascii="Arial" w:hAnsi="Arial" w:cs="Arial"/>
          <w:sz w:val="20"/>
          <w:szCs w:val="20"/>
        </w:rPr>
        <w:t>49 countries.</w:t>
      </w:r>
      <w:r w:rsidR="001C0376" w:rsidRPr="005F3D85">
        <w:rPr>
          <w:rFonts w:ascii="Arial" w:hAnsi="Arial" w:cs="Arial"/>
          <w:sz w:val="20"/>
          <w:szCs w:val="20"/>
        </w:rPr>
        <w:t xml:space="preserve"> </w:t>
      </w:r>
      <w:r w:rsidR="00894ACD" w:rsidRPr="005F3D85">
        <w:rPr>
          <w:rFonts w:ascii="Arial" w:hAnsi="Arial" w:cs="Arial"/>
          <w:sz w:val="20"/>
          <w:szCs w:val="20"/>
        </w:rPr>
        <w:t>P</w:t>
      </w:r>
      <w:r w:rsidR="00BC23D2" w:rsidRPr="005F3D85">
        <w:rPr>
          <w:rFonts w:ascii="Arial" w:hAnsi="Arial" w:cs="Arial"/>
          <w:sz w:val="20"/>
          <w:szCs w:val="20"/>
        </w:rPr>
        <w:t>anel</w:t>
      </w:r>
      <w:r w:rsidR="00894ACD" w:rsidRPr="005F3D85">
        <w:rPr>
          <w:rFonts w:ascii="Arial" w:hAnsi="Arial" w:cs="Arial"/>
          <w:sz w:val="20"/>
          <w:szCs w:val="20"/>
        </w:rPr>
        <w:t xml:space="preserve"> </w:t>
      </w:r>
      <w:r w:rsidR="006B04C7" w:rsidRPr="005F3D85">
        <w:rPr>
          <w:rFonts w:ascii="Arial" w:hAnsi="Arial" w:cs="Arial"/>
          <w:sz w:val="20"/>
          <w:szCs w:val="20"/>
        </w:rPr>
        <w:t xml:space="preserve">of 231,462 </w:t>
      </w:r>
      <w:r w:rsidR="00BC23D2" w:rsidRPr="005F3D85">
        <w:rPr>
          <w:rFonts w:ascii="Arial" w:hAnsi="Arial" w:cs="Arial"/>
          <w:sz w:val="20"/>
          <w:szCs w:val="20"/>
        </w:rPr>
        <w:t>firm-years</w:t>
      </w:r>
      <w:r w:rsidR="006B04C7" w:rsidRPr="005F3D85">
        <w:rPr>
          <w:rFonts w:ascii="Arial" w:hAnsi="Arial" w:cs="Arial"/>
          <w:sz w:val="20"/>
          <w:szCs w:val="20"/>
        </w:rPr>
        <w:t xml:space="preserve"> examining social media intensity and idiosyncratic return variation. </w:t>
      </w:r>
      <w:r w:rsidR="00894ACD" w:rsidRPr="005F3D85">
        <w:rPr>
          <w:rFonts w:ascii="Arial" w:hAnsi="Arial" w:cs="Arial"/>
          <w:sz w:val="20"/>
          <w:szCs w:val="20"/>
        </w:rPr>
        <w:t>F</w:t>
      </w:r>
      <w:r w:rsidR="006B04C7" w:rsidRPr="005F3D85">
        <w:rPr>
          <w:rFonts w:ascii="Arial" w:hAnsi="Arial" w:cs="Arial"/>
          <w:sz w:val="20"/>
          <w:szCs w:val="20"/>
        </w:rPr>
        <w:t>indings</w:t>
      </w:r>
      <w:r w:rsidR="00894ACD" w:rsidRPr="005F3D85">
        <w:rPr>
          <w:rFonts w:ascii="Arial" w:hAnsi="Arial" w:cs="Arial"/>
          <w:sz w:val="20"/>
          <w:szCs w:val="20"/>
        </w:rPr>
        <w:t xml:space="preserve"> </w:t>
      </w:r>
      <w:r w:rsidR="00BC23D2" w:rsidRPr="005F3D85">
        <w:rPr>
          <w:rFonts w:ascii="Arial" w:hAnsi="Arial" w:cs="Arial"/>
          <w:sz w:val="20"/>
          <w:szCs w:val="20"/>
        </w:rPr>
        <w:t>show</w:t>
      </w:r>
      <w:r w:rsidR="006B04C7" w:rsidRPr="005F3D85">
        <w:rPr>
          <w:rFonts w:ascii="Arial" w:hAnsi="Arial" w:cs="Arial"/>
          <w:sz w:val="20"/>
          <w:szCs w:val="20"/>
        </w:rPr>
        <w:t xml:space="preserve"> that social media improves price </w:t>
      </w:r>
      <w:r w:rsidR="00BC23D2" w:rsidRPr="005F3D85">
        <w:rPr>
          <w:rFonts w:ascii="Arial" w:hAnsi="Arial" w:cs="Arial"/>
          <w:sz w:val="20"/>
          <w:szCs w:val="20"/>
        </w:rPr>
        <w:t>informativeness,</w:t>
      </w:r>
      <w:r w:rsidR="006B04C7" w:rsidRPr="005F3D85">
        <w:rPr>
          <w:rFonts w:ascii="Arial" w:hAnsi="Arial" w:cs="Arial"/>
          <w:sz w:val="20"/>
          <w:szCs w:val="20"/>
        </w:rPr>
        <w:t xml:space="preserve"> which prior research links to better investment and performance outcomes. </w:t>
      </w:r>
      <w:r w:rsidR="00CF35E8" w:rsidRPr="005F3D85">
        <w:rPr>
          <w:rFonts w:ascii="Arial" w:hAnsi="Arial" w:cs="Arial"/>
          <w:sz w:val="20"/>
          <w:szCs w:val="20"/>
        </w:rPr>
        <w:t xml:space="preserve">Mugenda (2023) </w:t>
      </w:r>
      <w:r w:rsidR="006B04C7" w:rsidRPr="005F3D85">
        <w:rPr>
          <w:rFonts w:ascii="Arial" w:hAnsi="Arial" w:cs="Arial"/>
          <w:sz w:val="20"/>
          <w:szCs w:val="20"/>
        </w:rPr>
        <w:t xml:space="preserve">examined how </w:t>
      </w:r>
      <w:r w:rsidR="00BC23D2" w:rsidRPr="005F3D85">
        <w:rPr>
          <w:rFonts w:ascii="Arial" w:hAnsi="Arial" w:cs="Arial"/>
          <w:sz w:val="20"/>
          <w:szCs w:val="20"/>
        </w:rPr>
        <w:t>stock</w:t>
      </w:r>
      <w:r w:rsidR="006B04C7" w:rsidRPr="005F3D85">
        <w:rPr>
          <w:rFonts w:ascii="Arial" w:hAnsi="Arial" w:cs="Arial"/>
          <w:sz w:val="20"/>
          <w:szCs w:val="20"/>
        </w:rPr>
        <w:t xml:space="preserve"> market reacts to dividend </w:t>
      </w:r>
      <w:r w:rsidR="00BC23D2" w:rsidRPr="005F3D85">
        <w:rPr>
          <w:rFonts w:ascii="Arial" w:hAnsi="Arial" w:cs="Arial"/>
          <w:sz w:val="20"/>
          <w:szCs w:val="20"/>
        </w:rPr>
        <w:t>announcements,</w:t>
      </w:r>
      <w:r w:rsidR="006B04C7" w:rsidRPr="005F3D85">
        <w:rPr>
          <w:rFonts w:ascii="Arial" w:hAnsi="Arial" w:cs="Arial"/>
          <w:sz w:val="20"/>
          <w:szCs w:val="20"/>
        </w:rPr>
        <w:t xml:space="preserve"> evidenced from </w:t>
      </w:r>
      <w:r w:rsidR="00BC23D2" w:rsidRPr="005F3D85">
        <w:rPr>
          <w:rFonts w:ascii="Arial" w:hAnsi="Arial" w:cs="Arial"/>
          <w:sz w:val="20"/>
          <w:szCs w:val="20"/>
        </w:rPr>
        <w:t>Kenyan</w:t>
      </w:r>
      <w:r w:rsidR="006B04C7" w:rsidRPr="005F3D85">
        <w:rPr>
          <w:rFonts w:ascii="Arial" w:hAnsi="Arial" w:cs="Arial"/>
          <w:sz w:val="20"/>
          <w:szCs w:val="20"/>
        </w:rPr>
        <w:t xml:space="preserve"> listed firms. </w:t>
      </w:r>
      <w:r w:rsidR="00894ACD" w:rsidRPr="005F3D85">
        <w:rPr>
          <w:rFonts w:ascii="Arial" w:hAnsi="Arial" w:cs="Arial"/>
          <w:sz w:val="20"/>
          <w:szCs w:val="20"/>
        </w:rPr>
        <w:t>F</w:t>
      </w:r>
      <w:r w:rsidR="006B04C7" w:rsidRPr="005F3D85">
        <w:rPr>
          <w:rFonts w:ascii="Arial" w:hAnsi="Arial" w:cs="Arial"/>
          <w:sz w:val="20"/>
          <w:szCs w:val="20"/>
        </w:rPr>
        <w:t>indings</w:t>
      </w:r>
      <w:r w:rsidR="00894ACD" w:rsidRPr="005F3D85">
        <w:rPr>
          <w:rFonts w:ascii="Arial" w:hAnsi="Arial" w:cs="Arial"/>
          <w:sz w:val="20"/>
          <w:szCs w:val="20"/>
        </w:rPr>
        <w:t xml:space="preserve"> </w:t>
      </w:r>
      <w:r w:rsidR="006B04C7" w:rsidRPr="005F3D85">
        <w:rPr>
          <w:rFonts w:ascii="Arial" w:hAnsi="Arial" w:cs="Arial"/>
          <w:sz w:val="20"/>
          <w:szCs w:val="20"/>
        </w:rPr>
        <w:t>show significant abnormal returns around announcements</w:t>
      </w:r>
      <w:r w:rsidR="00263678" w:rsidRPr="005F3D85">
        <w:rPr>
          <w:rFonts w:ascii="Arial" w:hAnsi="Arial" w:cs="Arial"/>
          <w:sz w:val="20"/>
          <w:szCs w:val="20"/>
        </w:rPr>
        <w:t>, indicating</w:t>
      </w:r>
      <w:r w:rsidR="006B04C7" w:rsidRPr="005F3D85">
        <w:rPr>
          <w:rFonts w:ascii="Arial" w:hAnsi="Arial" w:cs="Arial"/>
          <w:sz w:val="20"/>
          <w:szCs w:val="20"/>
        </w:rPr>
        <w:t xml:space="preserve"> prices quickly embed value-relevant</w:t>
      </w:r>
      <w:r w:rsidR="000E280F" w:rsidRPr="005F3D85">
        <w:rPr>
          <w:rFonts w:ascii="Arial" w:hAnsi="Arial" w:cs="Arial"/>
          <w:sz w:val="20"/>
          <w:szCs w:val="20"/>
        </w:rPr>
        <w:t xml:space="preserve"> </w:t>
      </w:r>
      <w:r w:rsidR="006B04C7" w:rsidRPr="005F3D85">
        <w:rPr>
          <w:rFonts w:ascii="Arial" w:hAnsi="Arial" w:cs="Arial"/>
          <w:sz w:val="20"/>
          <w:szCs w:val="20"/>
        </w:rPr>
        <w:t xml:space="preserve">information, with implications for financing costs and performance. </w:t>
      </w:r>
    </w:p>
    <w:p w14:paraId="7948129B" w14:textId="4DED2428" w:rsidR="000A17FE" w:rsidRPr="005F3D85" w:rsidRDefault="00142930" w:rsidP="00757614">
      <w:pPr>
        <w:spacing w:after="0" w:line="240" w:lineRule="auto"/>
        <w:jc w:val="both"/>
        <w:rPr>
          <w:rFonts w:ascii="Arial" w:hAnsi="Arial" w:cs="Arial"/>
          <w:sz w:val="20"/>
          <w:szCs w:val="20"/>
        </w:rPr>
      </w:pPr>
      <w:r w:rsidRPr="005F3D85">
        <w:rPr>
          <w:rFonts w:ascii="Arial" w:hAnsi="Arial" w:cs="Arial"/>
          <w:sz w:val="20"/>
          <w:szCs w:val="20"/>
        </w:rPr>
        <w:t xml:space="preserve">Temba et al. </w:t>
      </w:r>
      <w:r w:rsidR="00E56F63" w:rsidRPr="005F3D85">
        <w:rPr>
          <w:rFonts w:ascii="Arial" w:hAnsi="Arial" w:cs="Arial"/>
          <w:sz w:val="20"/>
          <w:szCs w:val="20"/>
        </w:rPr>
        <w:t>(2024) investigated influence</w:t>
      </w:r>
      <w:r w:rsidRPr="005F3D85">
        <w:rPr>
          <w:rFonts w:ascii="Arial" w:hAnsi="Arial" w:cs="Arial"/>
          <w:sz w:val="20"/>
          <w:szCs w:val="20"/>
        </w:rPr>
        <w:t>s</w:t>
      </w:r>
      <w:r w:rsidR="00E56F63" w:rsidRPr="005F3D85">
        <w:rPr>
          <w:rFonts w:ascii="Arial" w:hAnsi="Arial" w:cs="Arial"/>
          <w:sz w:val="20"/>
          <w:szCs w:val="20"/>
        </w:rPr>
        <w:t xml:space="preserve"> of credit risk</w:t>
      </w:r>
      <w:r w:rsidRPr="005F3D85">
        <w:rPr>
          <w:rFonts w:ascii="Arial" w:hAnsi="Arial" w:cs="Arial"/>
          <w:sz w:val="20"/>
          <w:szCs w:val="20"/>
        </w:rPr>
        <w:t>s</w:t>
      </w:r>
      <w:r w:rsidR="00E56F63" w:rsidRPr="005F3D85">
        <w:rPr>
          <w:rFonts w:ascii="Arial" w:hAnsi="Arial" w:cs="Arial"/>
          <w:sz w:val="20"/>
          <w:szCs w:val="20"/>
        </w:rPr>
        <w:t xml:space="preserve"> management practices on</w:t>
      </w:r>
      <w:r w:rsidRPr="005F3D85">
        <w:rPr>
          <w:rFonts w:ascii="Arial" w:hAnsi="Arial" w:cs="Arial"/>
          <w:sz w:val="20"/>
          <w:szCs w:val="20"/>
        </w:rPr>
        <w:t xml:space="preserve"> monetary </w:t>
      </w:r>
      <w:r w:rsidR="00E56F63" w:rsidRPr="005F3D85">
        <w:rPr>
          <w:rFonts w:ascii="Arial" w:hAnsi="Arial" w:cs="Arial"/>
          <w:sz w:val="20"/>
          <w:szCs w:val="20"/>
        </w:rPr>
        <w:t xml:space="preserve">performance of banks </w:t>
      </w:r>
      <w:r w:rsidRPr="005F3D85">
        <w:rPr>
          <w:rFonts w:ascii="Arial" w:hAnsi="Arial" w:cs="Arial"/>
          <w:sz w:val="20"/>
          <w:szCs w:val="20"/>
        </w:rPr>
        <w:t>of Tanzania. S</w:t>
      </w:r>
      <w:r w:rsidR="00E56F63" w:rsidRPr="005F3D85">
        <w:rPr>
          <w:rFonts w:ascii="Arial" w:hAnsi="Arial" w:cs="Arial"/>
          <w:sz w:val="20"/>
          <w:szCs w:val="20"/>
        </w:rPr>
        <w:t>tudy</w:t>
      </w:r>
      <w:r w:rsidRPr="005F3D85">
        <w:rPr>
          <w:rFonts w:ascii="Arial" w:hAnsi="Arial" w:cs="Arial"/>
          <w:sz w:val="20"/>
          <w:szCs w:val="20"/>
        </w:rPr>
        <w:t xml:space="preserve"> </w:t>
      </w:r>
      <w:r w:rsidR="00E56F63" w:rsidRPr="005F3D85">
        <w:rPr>
          <w:rFonts w:ascii="Arial" w:hAnsi="Arial" w:cs="Arial"/>
          <w:sz w:val="20"/>
          <w:szCs w:val="20"/>
        </w:rPr>
        <w:t>draws on Pyle’s (1997) Risk Management Theory and employs multiple</w:t>
      </w:r>
      <w:r w:rsidRPr="005F3D85">
        <w:rPr>
          <w:rFonts w:ascii="Arial" w:hAnsi="Arial" w:cs="Arial"/>
          <w:sz w:val="20"/>
          <w:szCs w:val="20"/>
        </w:rPr>
        <w:t xml:space="preserve">s </w:t>
      </w:r>
      <w:r w:rsidR="00E56F63" w:rsidRPr="005F3D85">
        <w:rPr>
          <w:rFonts w:ascii="Arial" w:hAnsi="Arial" w:cs="Arial"/>
          <w:sz w:val="20"/>
          <w:szCs w:val="20"/>
        </w:rPr>
        <w:t xml:space="preserve">regression </w:t>
      </w:r>
      <w:r w:rsidRPr="005F3D85">
        <w:rPr>
          <w:rFonts w:ascii="Arial" w:hAnsi="Arial" w:cs="Arial"/>
          <w:sz w:val="20"/>
          <w:szCs w:val="20"/>
        </w:rPr>
        <w:t>methods</w:t>
      </w:r>
      <w:r w:rsidR="00E56F63" w:rsidRPr="005F3D85">
        <w:rPr>
          <w:rFonts w:ascii="Arial" w:hAnsi="Arial" w:cs="Arial"/>
          <w:sz w:val="20"/>
          <w:szCs w:val="20"/>
        </w:rPr>
        <w:t xml:space="preserve"> to </w:t>
      </w:r>
      <w:r w:rsidR="00571F95" w:rsidRPr="005F3D85">
        <w:rPr>
          <w:rFonts w:ascii="Arial" w:hAnsi="Arial" w:cs="Arial"/>
          <w:sz w:val="20"/>
          <w:szCs w:val="20"/>
        </w:rPr>
        <w:t>analyze</w:t>
      </w:r>
      <w:r w:rsidRPr="005F3D85">
        <w:rPr>
          <w:rFonts w:ascii="Arial" w:hAnsi="Arial" w:cs="Arial"/>
          <w:sz w:val="20"/>
          <w:szCs w:val="20"/>
        </w:rPr>
        <w:t xml:space="preserve"> </w:t>
      </w:r>
      <w:r w:rsidR="00E56F63" w:rsidRPr="005F3D85">
        <w:rPr>
          <w:rFonts w:ascii="Arial" w:hAnsi="Arial" w:cs="Arial"/>
          <w:sz w:val="20"/>
          <w:szCs w:val="20"/>
        </w:rPr>
        <w:t>data</w:t>
      </w:r>
      <w:r w:rsidRPr="005F3D85">
        <w:rPr>
          <w:rFonts w:ascii="Arial" w:hAnsi="Arial" w:cs="Arial"/>
          <w:sz w:val="20"/>
          <w:szCs w:val="20"/>
        </w:rPr>
        <w:t xml:space="preserve">. </w:t>
      </w:r>
      <w:r w:rsidR="0067440B" w:rsidRPr="005F3D85">
        <w:rPr>
          <w:rFonts w:ascii="Arial" w:hAnsi="Arial" w:cs="Arial"/>
          <w:sz w:val="20"/>
          <w:szCs w:val="20"/>
        </w:rPr>
        <w:t>R</w:t>
      </w:r>
      <w:r w:rsidR="00E56F63" w:rsidRPr="005F3D85">
        <w:rPr>
          <w:rFonts w:ascii="Arial" w:hAnsi="Arial" w:cs="Arial"/>
          <w:sz w:val="20"/>
          <w:szCs w:val="20"/>
        </w:rPr>
        <w:t>esult</w:t>
      </w:r>
      <w:r w:rsidR="0067440B" w:rsidRPr="005F3D85">
        <w:rPr>
          <w:rFonts w:ascii="Arial" w:hAnsi="Arial" w:cs="Arial"/>
          <w:sz w:val="20"/>
          <w:szCs w:val="20"/>
        </w:rPr>
        <w:t xml:space="preserve"> </w:t>
      </w:r>
      <w:r w:rsidR="00E56F63" w:rsidRPr="005F3D85">
        <w:rPr>
          <w:rFonts w:ascii="Arial" w:hAnsi="Arial" w:cs="Arial"/>
          <w:sz w:val="20"/>
          <w:szCs w:val="20"/>
        </w:rPr>
        <w:t>indicate</w:t>
      </w:r>
      <w:r w:rsidR="0067440B" w:rsidRPr="005F3D85">
        <w:rPr>
          <w:rFonts w:ascii="Arial" w:hAnsi="Arial" w:cs="Arial"/>
          <w:sz w:val="20"/>
          <w:szCs w:val="20"/>
        </w:rPr>
        <w:t xml:space="preserve">s </w:t>
      </w:r>
      <w:r w:rsidR="002A6EB3" w:rsidRPr="005F3D85">
        <w:rPr>
          <w:rFonts w:ascii="Arial" w:hAnsi="Arial" w:cs="Arial"/>
          <w:sz w:val="20"/>
          <w:szCs w:val="20"/>
        </w:rPr>
        <w:t xml:space="preserve">credit risk show </w:t>
      </w:r>
      <w:r w:rsidR="00263678" w:rsidRPr="005F3D85">
        <w:rPr>
          <w:rFonts w:ascii="Arial" w:hAnsi="Arial" w:cs="Arial"/>
          <w:sz w:val="20"/>
          <w:szCs w:val="20"/>
        </w:rPr>
        <w:t>positive impact</w:t>
      </w:r>
      <w:r w:rsidR="002A6EB3" w:rsidRPr="005F3D85">
        <w:rPr>
          <w:rFonts w:ascii="Arial" w:hAnsi="Arial" w:cs="Arial"/>
          <w:sz w:val="20"/>
          <w:szCs w:val="20"/>
        </w:rPr>
        <w:t xml:space="preserve"> to business </w:t>
      </w:r>
      <w:r w:rsidR="00E56F63" w:rsidRPr="005F3D85">
        <w:rPr>
          <w:rFonts w:ascii="Arial" w:hAnsi="Arial" w:cs="Arial"/>
          <w:sz w:val="20"/>
          <w:szCs w:val="20"/>
        </w:rPr>
        <w:t>performance.</w:t>
      </w:r>
      <w:r w:rsidR="00CE4FF5" w:rsidRPr="005F3D85">
        <w:rPr>
          <w:rFonts w:ascii="Arial" w:hAnsi="Arial" w:cs="Arial"/>
          <w:sz w:val="20"/>
          <w:szCs w:val="20"/>
        </w:rPr>
        <w:t xml:space="preserve"> </w:t>
      </w:r>
      <w:r w:rsidR="00E56F63" w:rsidRPr="005F3D85">
        <w:rPr>
          <w:rFonts w:ascii="Arial" w:hAnsi="Arial" w:cs="Arial"/>
          <w:sz w:val="20"/>
          <w:szCs w:val="20"/>
        </w:rPr>
        <w:t xml:space="preserve">Mwenda (2023) explores significance of </w:t>
      </w:r>
      <w:r w:rsidR="00DF7F14" w:rsidRPr="005F3D85">
        <w:rPr>
          <w:rFonts w:ascii="Arial" w:hAnsi="Arial" w:cs="Arial"/>
          <w:sz w:val="20"/>
          <w:szCs w:val="20"/>
        </w:rPr>
        <w:t xml:space="preserve">management </w:t>
      </w:r>
      <w:r w:rsidR="00E56F63" w:rsidRPr="005F3D85">
        <w:rPr>
          <w:rFonts w:ascii="Arial" w:hAnsi="Arial" w:cs="Arial"/>
          <w:sz w:val="20"/>
          <w:szCs w:val="20"/>
        </w:rPr>
        <w:t>risk</w:t>
      </w:r>
      <w:r w:rsidR="00DF7F14" w:rsidRPr="005F3D85">
        <w:rPr>
          <w:rFonts w:ascii="Arial" w:hAnsi="Arial" w:cs="Arial"/>
          <w:sz w:val="20"/>
          <w:szCs w:val="20"/>
        </w:rPr>
        <w:t xml:space="preserve"> </w:t>
      </w:r>
      <w:r w:rsidR="00D22F3E" w:rsidRPr="005F3D85">
        <w:rPr>
          <w:rFonts w:ascii="Arial" w:hAnsi="Arial" w:cs="Arial"/>
          <w:sz w:val="20"/>
          <w:szCs w:val="20"/>
        </w:rPr>
        <w:t xml:space="preserve">disclosure </w:t>
      </w:r>
      <w:r w:rsidR="00E56F63" w:rsidRPr="005F3D85">
        <w:rPr>
          <w:rFonts w:ascii="Arial" w:hAnsi="Arial" w:cs="Arial"/>
          <w:sz w:val="20"/>
          <w:szCs w:val="20"/>
        </w:rPr>
        <w:t>relation</w:t>
      </w:r>
      <w:r w:rsidR="00D22F3E" w:rsidRPr="005F3D85">
        <w:rPr>
          <w:rFonts w:ascii="Arial" w:hAnsi="Arial" w:cs="Arial"/>
          <w:sz w:val="20"/>
          <w:szCs w:val="20"/>
        </w:rPr>
        <w:t>s</w:t>
      </w:r>
      <w:r w:rsidR="00DF7F14" w:rsidRPr="005F3D85">
        <w:rPr>
          <w:rFonts w:ascii="Arial" w:hAnsi="Arial" w:cs="Arial"/>
          <w:sz w:val="20"/>
          <w:szCs w:val="20"/>
        </w:rPr>
        <w:t xml:space="preserve"> on </w:t>
      </w:r>
      <w:r w:rsidR="00E56F63" w:rsidRPr="005F3D85">
        <w:rPr>
          <w:rFonts w:ascii="Arial" w:hAnsi="Arial" w:cs="Arial"/>
          <w:sz w:val="20"/>
          <w:szCs w:val="20"/>
        </w:rPr>
        <w:t>profitab</w:t>
      </w:r>
      <w:r w:rsidR="00DF7F14" w:rsidRPr="005F3D85">
        <w:rPr>
          <w:rFonts w:ascii="Arial" w:hAnsi="Arial" w:cs="Arial"/>
          <w:sz w:val="20"/>
          <w:szCs w:val="20"/>
        </w:rPr>
        <w:t xml:space="preserve">le business of Tanzania. </w:t>
      </w:r>
      <w:r w:rsidR="00623A7A" w:rsidRPr="005F3D85">
        <w:rPr>
          <w:rFonts w:ascii="Arial" w:hAnsi="Arial" w:cs="Arial"/>
          <w:sz w:val="20"/>
          <w:szCs w:val="20"/>
        </w:rPr>
        <w:t>Mixed-methods</w:t>
      </w:r>
      <w:r w:rsidR="00E56F63" w:rsidRPr="005F3D85">
        <w:rPr>
          <w:rFonts w:ascii="Arial" w:hAnsi="Arial" w:cs="Arial"/>
          <w:sz w:val="20"/>
          <w:szCs w:val="20"/>
        </w:rPr>
        <w:t xml:space="preserve"> design was </w:t>
      </w:r>
      <w:r w:rsidR="00623A7A" w:rsidRPr="005F3D85">
        <w:rPr>
          <w:rFonts w:ascii="Arial" w:hAnsi="Arial" w:cs="Arial"/>
          <w:sz w:val="20"/>
          <w:szCs w:val="20"/>
        </w:rPr>
        <w:t>engaged</w:t>
      </w:r>
      <w:r w:rsidR="00E56F63" w:rsidRPr="005F3D85">
        <w:rPr>
          <w:rFonts w:ascii="Arial" w:hAnsi="Arial" w:cs="Arial"/>
          <w:sz w:val="20"/>
          <w:szCs w:val="20"/>
        </w:rPr>
        <w:t xml:space="preserve">, </w:t>
      </w:r>
      <w:r w:rsidR="002A581A" w:rsidRPr="005F3D85">
        <w:rPr>
          <w:rFonts w:ascii="Arial" w:hAnsi="Arial" w:cs="Arial"/>
          <w:sz w:val="20"/>
          <w:szCs w:val="20"/>
        </w:rPr>
        <w:t>adding</w:t>
      </w:r>
      <w:r w:rsidR="00623A7A" w:rsidRPr="005F3D85">
        <w:rPr>
          <w:rFonts w:ascii="Arial" w:hAnsi="Arial" w:cs="Arial"/>
          <w:sz w:val="20"/>
          <w:szCs w:val="20"/>
        </w:rPr>
        <w:t xml:space="preserve"> qualitatively and </w:t>
      </w:r>
      <w:r w:rsidR="00E56F63" w:rsidRPr="005F3D85">
        <w:rPr>
          <w:rFonts w:ascii="Arial" w:hAnsi="Arial" w:cs="Arial"/>
          <w:sz w:val="20"/>
          <w:szCs w:val="20"/>
        </w:rPr>
        <w:t>qua</w:t>
      </w:r>
      <w:r w:rsidR="00623A7A" w:rsidRPr="005F3D85">
        <w:rPr>
          <w:rFonts w:ascii="Arial" w:hAnsi="Arial" w:cs="Arial"/>
          <w:sz w:val="20"/>
          <w:szCs w:val="20"/>
        </w:rPr>
        <w:t>nt</w:t>
      </w:r>
      <w:r w:rsidR="00E56F63" w:rsidRPr="005F3D85">
        <w:rPr>
          <w:rFonts w:ascii="Arial" w:hAnsi="Arial" w:cs="Arial"/>
          <w:sz w:val="20"/>
          <w:szCs w:val="20"/>
        </w:rPr>
        <w:t>itative</w:t>
      </w:r>
      <w:r w:rsidR="00623A7A" w:rsidRPr="005F3D85">
        <w:rPr>
          <w:rFonts w:ascii="Arial" w:hAnsi="Arial" w:cs="Arial"/>
          <w:sz w:val="20"/>
          <w:szCs w:val="20"/>
        </w:rPr>
        <w:t>ly</w:t>
      </w:r>
      <w:r w:rsidR="00E56F63" w:rsidRPr="005F3D85">
        <w:rPr>
          <w:rFonts w:ascii="Arial" w:hAnsi="Arial" w:cs="Arial"/>
          <w:sz w:val="20"/>
          <w:szCs w:val="20"/>
        </w:rPr>
        <w:t>.</w:t>
      </w:r>
      <w:r w:rsidR="00A32167" w:rsidRPr="005F3D85">
        <w:rPr>
          <w:rFonts w:ascii="Arial" w:hAnsi="Arial" w:cs="Arial"/>
          <w:sz w:val="20"/>
          <w:szCs w:val="20"/>
        </w:rPr>
        <w:t xml:space="preserve"> Data from s</w:t>
      </w:r>
      <w:r w:rsidR="00E56F63" w:rsidRPr="005F3D85">
        <w:rPr>
          <w:rFonts w:ascii="Arial" w:hAnsi="Arial" w:cs="Arial"/>
          <w:sz w:val="20"/>
          <w:szCs w:val="20"/>
        </w:rPr>
        <w:t>econdary</w:t>
      </w:r>
      <w:r w:rsidR="00A32167" w:rsidRPr="005F3D85">
        <w:rPr>
          <w:rFonts w:ascii="Arial" w:hAnsi="Arial" w:cs="Arial"/>
          <w:sz w:val="20"/>
          <w:szCs w:val="20"/>
        </w:rPr>
        <w:t xml:space="preserve"> </w:t>
      </w:r>
      <w:r w:rsidR="00E56F63" w:rsidRPr="005F3D85">
        <w:rPr>
          <w:rFonts w:ascii="Arial" w:hAnsi="Arial" w:cs="Arial"/>
          <w:sz w:val="20"/>
          <w:szCs w:val="20"/>
        </w:rPr>
        <w:t>source</w:t>
      </w:r>
      <w:r w:rsidR="00A32167" w:rsidRPr="005F3D85">
        <w:rPr>
          <w:rFonts w:ascii="Arial" w:hAnsi="Arial" w:cs="Arial"/>
          <w:sz w:val="20"/>
          <w:szCs w:val="20"/>
        </w:rPr>
        <w:t xml:space="preserve"> were available through company’s annual reports </w:t>
      </w:r>
      <w:r w:rsidR="00E56F63" w:rsidRPr="005F3D85">
        <w:rPr>
          <w:rFonts w:ascii="Arial" w:hAnsi="Arial" w:cs="Arial"/>
          <w:sz w:val="20"/>
          <w:szCs w:val="20"/>
        </w:rPr>
        <w:t xml:space="preserve">on </w:t>
      </w:r>
      <w:r w:rsidR="00FC5933" w:rsidRPr="005F3D85">
        <w:rPr>
          <w:rFonts w:ascii="Arial" w:hAnsi="Arial" w:cs="Arial"/>
          <w:sz w:val="20"/>
          <w:szCs w:val="20"/>
        </w:rPr>
        <w:t>DSE for the period 2010-2021. F</w:t>
      </w:r>
      <w:r w:rsidR="00E56F63" w:rsidRPr="005F3D85">
        <w:rPr>
          <w:rFonts w:ascii="Arial" w:hAnsi="Arial" w:cs="Arial"/>
          <w:sz w:val="20"/>
          <w:szCs w:val="20"/>
        </w:rPr>
        <w:t>indings</w:t>
      </w:r>
      <w:r w:rsidR="00FC5933" w:rsidRPr="005F3D85">
        <w:rPr>
          <w:rFonts w:ascii="Arial" w:hAnsi="Arial" w:cs="Arial"/>
          <w:sz w:val="20"/>
          <w:szCs w:val="20"/>
        </w:rPr>
        <w:t xml:space="preserve"> reveal management risk </w:t>
      </w:r>
      <w:r w:rsidR="00E56F63" w:rsidRPr="005F3D85">
        <w:rPr>
          <w:rFonts w:ascii="Arial" w:hAnsi="Arial" w:cs="Arial"/>
          <w:sz w:val="20"/>
          <w:szCs w:val="20"/>
        </w:rPr>
        <w:t>disclosure</w:t>
      </w:r>
      <w:r w:rsidR="00FC5933" w:rsidRPr="005F3D85">
        <w:rPr>
          <w:rFonts w:ascii="Arial" w:hAnsi="Arial" w:cs="Arial"/>
          <w:sz w:val="20"/>
          <w:szCs w:val="20"/>
        </w:rPr>
        <w:t>s</w:t>
      </w:r>
      <w:r w:rsidR="00E56F63" w:rsidRPr="005F3D85">
        <w:rPr>
          <w:rFonts w:ascii="Arial" w:hAnsi="Arial" w:cs="Arial"/>
          <w:sz w:val="20"/>
          <w:szCs w:val="20"/>
        </w:rPr>
        <w:t xml:space="preserve"> positively influences ROA.</w:t>
      </w:r>
      <w:r w:rsidR="00CE4FF5" w:rsidRPr="005F3D85">
        <w:rPr>
          <w:rFonts w:ascii="Arial" w:hAnsi="Arial" w:cs="Arial"/>
          <w:sz w:val="20"/>
          <w:szCs w:val="20"/>
        </w:rPr>
        <w:t xml:space="preserve"> </w:t>
      </w:r>
      <w:r w:rsidR="00E56F63" w:rsidRPr="005F3D85">
        <w:rPr>
          <w:rFonts w:ascii="Arial" w:hAnsi="Arial" w:cs="Arial"/>
          <w:sz w:val="20"/>
          <w:szCs w:val="20"/>
        </w:rPr>
        <w:t>King and Iwedi (2023)</w:t>
      </w:r>
      <w:r w:rsidR="00407495" w:rsidRPr="005F3D85">
        <w:rPr>
          <w:rFonts w:ascii="Arial" w:hAnsi="Arial" w:cs="Arial"/>
          <w:sz w:val="20"/>
          <w:szCs w:val="20"/>
        </w:rPr>
        <w:t xml:space="preserve"> examined </w:t>
      </w:r>
      <w:r w:rsidR="00E56F63" w:rsidRPr="005F3D85">
        <w:rPr>
          <w:rFonts w:ascii="Arial" w:hAnsi="Arial" w:cs="Arial"/>
          <w:sz w:val="20"/>
          <w:szCs w:val="20"/>
        </w:rPr>
        <w:t>relationship</w:t>
      </w:r>
      <w:r w:rsidR="00407495" w:rsidRPr="005F3D85">
        <w:rPr>
          <w:rFonts w:ascii="Arial" w:hAnsi="Arial" w:cs="Arial"/>
          <w:sz w:val="20"/>
          <w:szCs w:val="20"/>
        </w:rPr>
        <w:t xml:space="preserve">s of liquidity </w:t>
      </w:r>
      <w:r w:rsidR="00E56F63" w:rsidRPr="005F3D85">
        <w:rPr>
          <w:rFonts w:ascii="Arial" w:hAnsi="Arial" w:cs="Arial"/>
          <w:sz w:val="20"/>
          <w:szCs w:val="20"/>
        </w:rPr>
        <w:t>management</w:t>
      </w:r>
      <w:r w:rsidR="00407495" w:rsidRPr="005F3D85">
        <w:rPr>
          <w:rFonts w:ascii="Arial" w:hAnsi="Arial" w:cs="Arial"/>
          <w:sz w:val="20"/>
          <w:szCs w:val="20"/>
        </w:rPr>
        <w:t xml:space="preserve"> risk</w:t>
      </w:r>
      <w:r w:rsidR="00E56F63" w:rsidRPr="005F3D85">
        <w:rPr>
          <w:rFonts w:ascii="Arial" w:hAnsi="Arial" w:cs="Arial"/>
          <w:sz w:val="20"/>
          <w:szCs w:val="20"/>
        </w:rPr>
        <w:t xml:space="preserve"> practices and profitabil</w:t>
      </w:r>
      <w:r w:rsidR="00407495" w:rsidRPr="005F3D85">
        <w:rPr>
          <w:rFonts w:ascii="Arial" w:hAnsi="Arial" w:cs="Arial"/>
          <w:sz w:val="20"/>
          <w:szCs w:val="20"/>
        </w:rPr>
        <w:t xml:space="preserve">ity in </w:t>
      </w:r>
      <w:r w:rsidR="00E56F63" w:rsidRPr="005F3D85">
        <w:rPr>
          <w:rFonts w:ascii="Arial" w:hAnsi="Arial" w:cs="Arial"/>
          <w:sz w:val="20"/>
          <w:szCs w:val="20"/>
        </w:rPr>
        <w:t xml:space="preserve">banking institutions </w:t>
      </w:r>
      <w:r w:rsidR="00407495" w:rsidRPr="005F3D85">
        <w:rPr>
          <w:rFonts w:ascii="Arial" w:hAnsi="Arial" w:cs="Arial"/>
          <w:sz w:val="20"/>
          <w:szCs w:val="20"/>
        </w:rPr>
        <w:t xml:space="preserve">of </w:t>
      </w:r>
      <w:r w:rsidR="00E56F63" w:rsidRPr="005F3D85">
        <w:rPr>
          <w:rFonts w:ascii="Arial" w:hAnsi="Arial" w:cs="Arial"/>
          <w:sz w:val="20"/>
          <w:szCs w:val="20"/>
        </w:rPr>
        <w:t xml:space="preserve">Nigeria, utilizing Liquidity Preference Theory as the theoretical framework. The research adopted a time series methodology. The descriptive and OLS analysis was used. The findings from the descriptive statistics indicate a positive correlation between fluctuations in the average net profit across the banks </w:t>
      </w:r>
      <w:r w:rsidR="00263678" w:rsidRPr="005F3D85">
        <w:rPr>
          <w:rFonts w:ascii="Arial" w:hAnsi="Arial" w:cs="Arial"/>
          <w:sz w:val="20"/>
          <w:szCs w:val="20"/>
        </w:rPr>
        <w:t>analyzed.</w:t>
      </w:r>
      <w:r w:rsidR="00F94A23" w:rsidRPr="005F3D85">
        <w:rPr>
          <w:rFonts w:ascii="Arial" w:hAnsi="Arial" w:cs="Arial"/>
          <w:sz w:val="20"/>
          <w:szCs w:val="20"/>
        </w:rPr>
        <w:t xml:space="preserve"> </w:t>
      </w:r>
      <w:r w:rsidR="00407495" w:rsidRPr="005F3D85">
        <w:rPr>
          <w:rFonts w:ascii="Arial" w:hAnsi="Arial" w:cs="Arial"/>
          <w:sz w:val="20"/>
          <w:szCs w:val="20"/>
        </w:rPr>
        <w:t xml:space="preserve">Nestory et al. </w:t>
      </w:r>
      <w:r w:rsidR="00E56F63" w:rsidRPr="005F3D85">
        <w:rPr>
          <w:rFonts w:ascii="Arial" w:hAnsi="Arial" w:cs="Arial"/>
          <w:sz w:val="20"/>
          <w:szCs w:val="20"/>
        </w:rPr>
        <w:t>(2023)</w:t>
      </w:r>
      <w:r w:rsidR="00407495" w:rsidRPr="005F3D85">
        <w:rPr>
          <w:rFonts w:ascii="Arial" w:hAnsi="Arial" w:cs="Arial"/>
          <w:sz w:val="20"/>
          <w:szCs w:val="20"/>
        </w:rPr>
        <w:t xml:space="preserve"> assessed </w:t>
      </w:r>
      <w:r w:rsidR="00E56F63" w:rsidRPr="005F3D85">
        <w:rPr>
          <w:rFonts w:ascii="Arial" w:hAnsi="Arial" w:cs="Arial"/>
          <w:sz w:val="20"/>
          <w:szCs w:val="20"/>
        </w:rPr>
        <w:t>relationship</w:t>
      </w:r>
      <w:r w:rsidR="00407495" w:rsidRPr="005F3D85">
        <w:rPr>
          <w:rFonts w:ascii="Arial" w:hAnsi="Arial" w:cs="Arial"/>
          <w:sz w:val="20"/>
          <w:szCs w:val="20"/>
        </w:rPr>
        <w:t xml:space="preserve">s of </w:t>
      </w:r>
      <w:r w:rsidR="00E56F63" w:rsidRPr="005F3D85">
        <w:rPr>
          <w:rFonts w:ascii="Arial" w:hAnsi="Arial" w:cs="Arial"/>
          <w:sz w:val="20"/>
          <w:szCs w:val="20"/>
        </w:rPr>
        <w:t>management</w:t>
      </w:r>
      <w:r w:rsidR="00407495" w:rsidRPr="005F3D85">
        <w:rPr>
          <w:rFonts w:ascii="Arial" w:hAnsi="Arial" w:cs="Arial"/>
          <w:sz w:val="20"/>
          <w:szCs w:val="20"/>
        </w:rPr>
        <w:t xml:space="preserve"> risk practices on performance of public institutions. </w:t>
      </w:r>
      <w:r w:rsidR="006933AE" w:rsidRPr="005F3D85">
        <w:rPr>
          <w:rFonts w:ascii="Arial" w:hAnsi="Arial" w:cs="Arial"/>
          <w:sz w:val="20"/>
          <w:szCs w:val="20"/>
        </w:rPr>
        <w:t>Results</w:t>
      </w:r>
      <w:r w:rsidR="00E56F63" w:rsidRPr="005F3D85">
        <w:rPr>
          <w:rFonts w:ascii="Arial" w:hAnsi="Arial" w:cs="Arial"/>
          <w:sz w:val="20"/>
          <w:szCs w:val="20"/>
        </w:rPr>
        <w:t xml:space="preserve"> indicate that risk management processes significantly and positively influence organizational performance</w:t>
      </w:r>
      <w:r w:rsidR="006933AE" w:rsidRPr="005F3D85">
        <w:rPr>
          <w:rFonts w:ascii="Arial" w:hAnsi="Arial" w:cs="Arial"/>
          <w:sz w:val="20"/>
          <w:szCs w:val="20"/>
        </w:rPr>
        <w:t>s</w:t>
      </w:r>
      <w:r w:rsidR="00E56F63" w:rsidRPr="005F3D85">
        <w:rPr>
          <w:rFonts w:ascii="Arial" w:hAnsi="Arial" w:cs="Arial"/>
          <w:sz w:val="20"/>
          <w:szCs w:val="20"/>
        </w:rPr>
        <w:t>.</w:t>
      </w:r>
      <w:r w:rsidR="00CE4FF5" w:rsidRPr="005F3D85">
        <w:rPr>
          <w:rFonts w:ascii="Arial" w:hAnsi="Arial" w:cs="Arial"/>
          <w:sz w:val="20"/>
          <w:szCs w:val="20"/>
        </w:rPr>
        <w:t xml:space="preserve"> </w:t>
      </w:r>
      <w:r w:rsidR="00B92067" w:rsidRPr="005F3D85">
        <w:rPr>
          <w:rFonts w:ascii="Arial" w:hAnsi="Arial" w:cs="Arial"/>
          <w:sz w:val="20"/>
          <w:szCs w:val="20"/>
        </w:rPr>
        <w:t xml:space="preserve">Al Zaidanin and Al Zaidanin </w:t>
      </w:r>
      <w:r w:rsidR="00E56F63" w:rsidRPr="005F3D85">
        <w:rPr>
          <w:rFonts w:ascii="Arial" w:hAnsi="Arial" w:cs="Arial"/>
          <w:sz w:val="20"/>
          <w:szCs w:val="20"/>
        </w:rPr>
        <w:t>(2021) investigated influence</w:t>
      </w:r>
      <w:r w:rsidR="00B92067" w:rsidRPr="005F3D85">
        <w:rPr>
          <w:rFonts w:ascii="Arial" w:hAnsi="Arial" w:cs="Arial"/>
          <w:sz w:val="20"/>
          <w:szCs w:val="20"/>
        </w:rPr>
        <w:t xml:space="preserve">s of credit </w:t>
      </w:r>
      <w:r w:rsidR="00E56F63" w:rsidRPr="005F3D85">
        <w:rPr>
          <w:rFonts w:ascii="Arial" w:hAnsi="Arial" w:cs="Arial"/>
          <w:sz w:val="20"/>
          <w:szCs w:val="20"/>
        </w:rPr>
        <w:t>risk</w:t>
      </w:r>
      <w:r w:rsidR="00B92067" w:rsidRPr="005F3D85">
        <w:rPr>
          <w:rFonts w:ascii="Arial" w:hAnsi="Arial" w:cs="Arial"/>
          <w:sz w:val="20"/>
          <w:szCs w:val="20"/>
        </w:rPr>
        <w:t xml:space="preserve">s management on performances of commercial banks of </w:t>
      </w:r>
      <w:r w:rsidR="00F94A23" w:rsidRPr="005F3D85">
        <w:rPr>
          <w:rFonts w:ascii="Arial" w:hAnsi="Arial" w:cs="Arial"/>
          <w:sz w:val="20"/>
          <w:szCs w:val="20"/>
        </w:rPr>
        <w:t xml:space="preserve">UAE. </w:t>
      </w:r>
      <w:r w:rsidR="00976D3D" w:rsidRPr="005F3D85">
        <w:rPr>
          <w:rFonts w:ascii="Arial" w:hAnsi="Arial" w:cs="Arial"/>
          <w:sz w:val="20"/>
          <w:szCs w:val="20"/>
        </w:rPr>
        <w:t>S</w:t>
      </w:r>
      <w:r w:rsidR="00E56F63" w:rsidRPr="005F3D85">
        <w:rPr>
          <w:rFonts w:ascii="Arial" w:hAnsi="Arial" w:cs="Arial"/>
          <w:sz w:val="20"/>
          <w:szCs w:val="20"/>
        </w:rPr>
        <w:t>tudy</w:t>
      </w:r>
      <w:r w:rsidR="00976D3D" w:rsidRPr="005F3D85">
        <w:rPr>
          <w:rFonts w:ascii="Arial" w:hAnsi="Arial" w:cs="Arial"/>
          <w:sz w:val="20"/>
          <w:szCs w:val="20"/>
        </w:rPr>
        <w:t xml:space="preserve"> </w:t>
      </w:r>
      <w:r w:rsidR="00E56F63" w:rsidRPr="005F3D85">
        <w:rPr>
          <w:rFonts w:ascii="Arial" w:hAnsi="Arial" w:cs="Arial"/>
          <w:sz w:val="20"/>
          <w:szCs w:val="20"/>
        </w:rPr>
        <w:t>utilized panel data from sixteen UAE commercial banks cover</w:t>
      </w:r>
      <w:r w:rsidR="00B92067" w:rsidRPr="005F3D85">
        <w:rPr>
          <w:rFonts w:ascii="Arial" w:hAnsi="Arial" w:cs="Arial"/>
          <w:sz w:val="20"/>
          <w:szCs w:val="20"/>
        </w:rPr>
        <w:t>age</w:t>
      </w:r>
      <w:r w:rsidR="00E56F63" w:rsidRPr="005F3D85">
        <w:rPr>
          <w:rFonts w:ascii="Arial" w:hAnsi="Arial" w:cs="Arial"/>
          <w:sz w:val="20"/>
          <w:szCs w:val="20"/>
        </w:rPr>
        <w:t xml:space="preserve"> period </w:t>
      </w:r>
      <w:r w:rsidR="00B92067" w:rsidRPr="005F3D85">
        <w:rPr>
          <w:rFonts w:ascii="Arial" w:hAnsi="Arial" w:cs="Arial"/>
          <w:sz w:val="20"/>
          <w:szCs w:val="20"/>
        </w:rPr>
        <w:t>for 2013-2019</w:t>
      </w:r>
      <w:r w:rsidR="00427439" w:rsidRPr="005F3D85">
        <w:rPr>
          <w:rFonts w:ascii="Arial" w:hAnsi="Arial" w:cs="Arial"/>
          <w:sz w:val="20"/>
          <w:szCs w:val="20"/>
        </w:rPr>
        <w:t xml:space="preserve">. </w:t>
      </w:r>
      <w:r w:rsidR="00626735" w:rsidRPr="005F3D85">
        <w:rPr>
          <w:rFonts w:ascii="Arial" w:hAnsi="Arial" w:cs="Arial"/>
          <w:sz w:val="20"/>
          <w:szCs w:val="20"/>
        </w:rPr>
        <w:t>R</w:t>
      </w:r>
      <w:r w:rsidR="00E56F63" w:rsidRPr="005F3D85">
        <w:rPr>
          <w:rFonts w:ascii="Arial" w:hAnsi="Arial" w:cs="Arial"/>
          <w:sz w:val="20"/>
          <w:szCs w:val="20"/>
        </w:rPr>
        <w:t>egression</w:t>
      </w:r>
      <w:r w:rsidR="00626735" w:rsidRPr="005F3D85">
        <w:rPr>
          <w:rFonts w:ascii="Arial" w:hAnsi="Arial" w:cs="Arial"/>
          <w:sz w:val="20"/>
          <w:szCs w:val="20"/>
        </w:rPr>
        <w:t xml:space="preserve"> </w:t>
      </w:r>
      <w:r w:rsidR="00086174" w:rsidRPr="005F3D85">
        <w:rPr>
          <w:rFonts w:ascii="Arial" w:hAnsi="Arial" w:cs="Arial"/>
          <w:sz w:val="20"/>
          <w:szCs w:val="20"/>
        </w:rPr>
        <w:t xml:space="preserve">model revealed management </w:t>
      </w:r>
      <w:r w:rsidR="00E56F63" w:rsidRPr="005F3D85">
        <w:rPr>
          <w:rFonts w:ascii="Arial" w:hAnsi="Arial" w:cs="Arial"/>
          <w:sz w:val="20"/>
          <w:szCs w:val="20"/>
        </w:rPr>
        <w:t>credit risk</w:t>
      </w:r>
      <w:r w:rsidR="00086174" w:rsidRPr="005F3D85">
        <w:rPr>
          <w:rFonts w:ascii="Arial" w:hAnsi="Arial" w:cs="Arial"/>
          <w:sz w:val="20"/>
          <w:szCs w:val="20"/>
        </w:rPr>
        <w:t xml:space="preserve"> show </w:t>
      </w:r>
      <w:r w:rsidR="00263678" w:rsidRPr="005F3D85">
        <w:rPr>
          <w:rFonts w:ascii="Arial" w:hAnsi="Arial" w:cs="Arial"/>
          <w:sz w:val="20"/>
          <w:szCs w:val="20"/>
        </w:rPr>
        <w:t>significant</w:t>
      </w:r>
      <w:r w:rsidR="00E56F63" w:rsidRPr="005F3D85">
        <w:rPr>
          <w:rFonts w:ascii="Arial" w:hAnsi="Arial" w:cs="Arial"/>
          <w:sz w:val="20"/>
          <w:szCs w:val="20"/>
        </w:rPr>
        <w:t xml:space="preserve"> negative effect</w:t>
      </w:r>
      <w:r w:rsidR="00086174" w:rsidRPr="005F3D85">
        <w:rPr>
          <w:rFonts w:ascii="Arial" w:hAnsi="Arial" w:cs="Arial"/>
          <w:sz w:val="20"/>
          <w:szCs w:val="20"/>
        </w:rPr>
        <w:t xml:space="preserve">s to profitable </w:t>
      </w:r>
      <w:r w:rsidR="00E56F63" w:rsidRPr="005F3D85">
        <w:rPr>
          <w:rFonts w:ascii="Arial" w:hAnsi="Arial" w:cs="Arial"/>
          <w:sz w:val="20"/>
          <w:szCs w:val="20"/>
        </w:rPr>
        <w:t>bank</w:t>
      </w:r>
      <w:r w:rsidR="00086174" w:rsidRPr="005F3D85">
        <w:rPr>
          <w:rFonts w:ascii="Arial" w:hAnsi="Arial" w:cs="Arial"/>
          <w:sz w:val="20"/>
          <w:szCs w:val="20"/>
        </w:rPr>
        <w:t>s</w:t>
      </w:r>
      <w:r w:rsidR="00E56F63" w:rsidRPr="005F3D85">
        <w:rPr>
          <w:rFonts w:ascii="Arial" w:hAnsi="Arial" w:cs="Arial"/>
          <w:sz w:val="20"/>
          <w:szCs w:val="20"/>
        </w:rPr>
        <w:t>.</w:t>
      </w:r>
      <w:r w:rsidR="00CE4FF5" w:rsidRPr="005F3D85">
        <w:rPr>
          <w:rFonts w:ascii="Arial" w:hAnsi="Arial" w:cs="Arial"/>
          <w:sz w:val="20"/>
          <w:szCs w:val="20"/>
        </w:rPr>
        <w:t xml:space="preserve"> </w:t>
      </w:r>
      <w:r w:rsidR="008004F6" w:rsidRPr="005F3D85">
        <w:rPr>
          <w:rFonts w:ascii="Arial" w:hAnsi="Arial" w:cs="Arial"/>
          <w:sz w:val="20"/>
          <w:szCs w:val="20"/>
        </w:rPr>
        <w:t xml:space="preserve">Kiptoo et al. (2021) examined </w:t>
      </w:r>
      <w:r w:rsidR="00E56F63" w:rsidRPr="005F3D85">
        <w:rPr>
          <w:rFonts w:ascii="Arial" w:hAnsi="Arial" w:cs="Arial"/>
          <w:sz w:val="20"/>
          <w:szCs w:val="20"/>
        </w:rPr>
        <w:t>connection</w:t>
      </w:r>
      <w:r w:rsidR="008004F6" w:rsidRPr="005F3D85">
        <w:rPr>
          <w:rFonts w:ascii="Arial" w:hAnsi="Arial" w:cs="Arial"/>
          <w:sz w:val="20"/>
          <w:szCs w:val="20"/>
        </w:rPr>
        <w:t>s of management</w:t>
      </w:r>
      <w:r w:rsidR="00E56F63" w:rsidRPr="005F3D85">
        <w:rPr>
          <w:rFonts w:ascii="Arial" w:hAnsi="Arial" w:cs="Arial"/>
          <w:sz w:val="20"/>
          <w:szCs w:val="20"/>
        </w:rPr>
        <w:t xml:space="preserve"> risk practice</w:t>
      </w:r>
      <w:r w:rsidR="008004F6" w:rsidRPr="005F3D85">
        <w:rPr>
          <w:rFonts w:ascii="Arial" w:hAnsi="Arial" w:cs="Arial"/>
          <w:sz w:val="20"/>
          <w:szCs w:val="20"/>
        </w:rPr>
        <w:t xml:space="preserve"> on </w:t>
      </w:r>
      <w:r w:rsidR="00E56F63" w:rsidRPr="005F3D85">
        <w:rPr>
          <w:rFonts w:ascii="Arial" w:hAnsi="Arial" w:cs="Arial"/>
          <w:sz w:val="20"/>
          <w:szCs w:val="20"/>
        </w:rPr>
        <w:t>performance</w:t>
      </w:r>
      <w:r w:rsidR="008004F6" w:rsidRPr="005F3D85">
        <w:rPr>
          <w:rFonts w:ascii="Arial" w:hAnsi="Arial" w:cs="Arial"/>
          <w:sz w:val="20"/>
          <w:szCs w:val="20"/>
        </w:rPr>
        <w:t>s</w:t>
      </w:r>
      <w:r w:rsidR="00E56F63" w:rsidRPr="005F3D85">
        <w:rPr>
          <w:rFonts w:ascii="Arial" w:hAnsi="Arial" w:cs="Arial"/>
          <w:sz w:val="20"/>
          <w:szCs w:val="20"/>
        </w:rPr>
        <w:t xml:space="preserve"> of insurance companies </w:t>
      </w:r>
      <w:r w:rsidR="008004F6" w:rsidRPr="005F3D85">
        <w:rPr>
          <w:rFonts w:ascii="Arial" w:hAnsi="Arial" w:cs="Arial"/>
          <w:sz w:val="20"/>
          <w:szCs w:val="20"/>
        </w:rPr>
        <w:t xml:space="preserve">of </w:t>
      </w:r>
      <w:r w:rsidR="00E56F63" w:rsidRPr="005F3D85">
        <w:rPr>
          <w:rFonts w:ascii="Arial" w:hAnsi="Arial" w:cs="Arial"/>
          <w:sz w:val="20"/>
          <w:szCs w:val="20"/>
        </w:rPr>
        <w:t xml:space="preserve">Kenya from 2013 to 2020. </w:t>
      </w:r>
      <w:r w:rsidR="00F94A23" w:rsidRPr="005F3D85">
        <w:rPr>
          <w:rFonts w:ascii="Arial" w:hAnsi="Arial" w:cs="Arial"/>
          <w:sz w:val="20"/>
          <w:szCs w:val="20"/>
        </w:rPr>
        <w:t>F</w:t>
      </w:r>
      <w:r w:rsidR="00DE29EC" w:rsidRPr="005F3D85">
        <w:rPr>
          <w:rFonts w:ascii="Arial" w:hAnsi="Arial" w:cs="Arial"/>
          <w:sz w:val="20"/>
          <w:szCs w:val="20"/>
        </w:rPr>
        <w:t xml:space="preserve">indings revealed </w:t>
      </w:r>
      <w:r w:rsidR="00E56F63" w:rsidRPr="005F3D85">
        <w:rPr>
          <w:rFonts w:ascii="Arial" w:hAnsi="Arial" w:cs="Arial"/>
          <w:sz w:val="20"/>
          <w:szCs w:val="20"/>
        </w:rPr>
        <w:t>negative</w:t>
      </w:r>
      <w:r w:rsidR="00DE29EC" w:rsidRPr="005F3D85">
        <w:rPr>
          <w:rFonts w:ascii="Arial" w:hAnsi="Arial" w:cs="Arial"/>
          <w:sz w:val="20"/>
          <w:szCs w:val="20"/>
        </w:rPr>
        <w:t xml:space="preserve"> significantly </w:t>
      </w:r>
      <w:r w:rsidR="00E56F63" w:rsidRPr="005F3D85">
        <w:rPr>
          <w:rFonts w:ascii="Arial" w:hAnsi="Arial" w:cs="Arial"/>
          <w:sz w:val="20"/>
          <w:szCs w:val="20"/>
        </w:rPr>
        <w:t>impact</w:t>
      </w:r>
      <w:r w:rsidR="00DE29EC" w:rsidRPr="005F3D85">
        <w:rPr>
          <w:rFonts w:ascii="Arial" w:hAnsi="Arial" w:cs="Arial"/>
          <w:sz w:val="20"/>
          <w:szCs w:val="20"/>
        </w:rPr>
        <w:t>s</w:t>
      </w:r>
      <w:r w:rsidR="00E56F63" w:rsidRPr="005F3D85">
        <w:rPr>
          <w:rFonts w:ascii="Arial" w:hAnsi="Arial" w:cs="Arial"/>
          <w:sz w:val="20"/>
          <w:szCs w:val="20"/>
        </w:rPr>
        <w:t xml:space="preserve"> </w:t>
      </w:r>
      <w:r w:rsidR="00DE29EC" w:rsidRPr="005F3D85">
        <w:rPr>
          <w:rFonts w:ascii="Arial" w:hAnsi="Arial" w:cs="Arial"/>
          <w:sz w:val="20"/>
          <w:szCs w:val="20"/>
        </w:rPr>
        <w:t xml:space="preserve">management </w:t>
      </w:r>
      <w:r w:rsidR="00E56F63" w:rsidRPr="005F3D85">
        <w:rPr>
          <w:rFonts w:ascii="Arial" w:hAnsi="Arial" w:cs="Arial"/>
          <w:sz w:val="20"/>
          <w:szCs w:val="20"/>
        </w:rPr>
        <w:t>risk</w:t>
      </w:r>
      <w:r w:rsidR="00DE29EC" w:rsidRPr="005F3D85">
        <w:rPr>
          <w:rFonts w:ascii="Arial" w:hAnsi="Arial" w:cs="Arial"/>
          <w:sz w:val="20"/>
          <w:szCs w:val="20"/>
        </w:rPr>
        <w:t xml:space="preserve"> to performance of these corporations</w:t>
      </w:r>
      <w:r w:rsidR="00E56F63" w:rsidRPr="005F3D85">
        <w:rPr>
          <w:rFonts w:ascii="Arial" w:hAnsi="Arial" w:cs="Arial"/>
          <w:sz w:val="20"/>
          <w:szCs w:val="20"/>
        </w:rPr>
        <w:t>.</w:t>
      </w:r>
      <w:r w:rsidR="000E280F" w:rsidRPr="005F3D85">
        <w:rPr>
          <w:rFonts w:ascii="Arial" w:hAnsi="Arial" w:cs="Arial"/>
          <w:sz w:val="20"/>
          <w:szCs w:val="20"/>
        </w:rPr>
        <w:t xml:space="preserve"> </w:t>
      </w:r>
      <w:r w:rsidR="00FF7531" w:rsidRPr="008B7565">
        <w:rPr>
          <w:rFonts w:ascii="Arial" w:hAnsi="Arial" w:cs="Arial"/>
          <w:sz w:val="20"/>
          <w:szCs w:val="20"/>
        </w:rPr>
        <w:t>Mtani (2025)</w:t>
      </w:r>
      <w:r w:rsidR="00FF7531" w:rsidRPr="005F3D85">
        <w:rPr>
          <w:rFonts w:ascii="Arial" w:hAnsi="Arial" w:cs="Arial"/>
          <w:sz w:val="20"/>
          <w:szCs w:val="20"/>
        </w:rPr>
        <w:t xml:space="preserve"> examined </w:t>
      </w:r>
      <w:r w:rsidR="000A17FE" w:rsidRPr="005F3D85">
        <w:rPr>
          <w:rFonts w:ascii="Arial" w:hAnsi="Arial" w:cs="Arial"/>
          <w:sz w:val="20"/>
          <w:szCs w:val="20"/>
        </w:rPr>
        <w:t xml:space="preserve">effects </w:t>
      </w:r>
      <w:r w:rsidR="0008241A" w:rsidRPr="005F3D85">
        <w:rPr>
          <w:rFonts w:ascii="Arial" w:hAnsi="Arial" w:cs="Arial"/>
          <w:sz w:val="20"/>
          <w:szCs w:val="20"/>
        </w:rPr>
        <w:t xml:space="preserve">of credit risk management and </w:t>
      </w:r>
      <w:r w:rsidR="00FF7531" w:rsidRPr="005F3D85">
        <w:rPr>
          <w:rFonts w:ascii="Arial" w:hAnsi="Arial" w:cs="Arial"/>
          <w:sz w:val="20"/>
          <w:szCs w:val="20"/>
        </w:rPr>
        <w:t>business</w:t>
      </w:r>
      <w:r w:rsidR="0008241A" w:rsidRPr="005F3D85">
        <w:rPr>
          <w:rFonts w:ascii="Arial" w:hAnsi="Arial" w:cs="Arial"/>
          <w:sz w:val="20"/>
          <w:szCs w:val="20"/>
        </w:rPr>
        <w:t xml:space="preserve"> performance of commercial </w:t>
      </w:r>
      <w:r w:rsidR="00263678" w:rsidRPr="005F3D85">
        <w:rPr>
          <w:rFonts w:ascii="Arial" w:hAnsi="Arial" w:cs="Arial"/>
          <w:sz w:val="20"/>
          <w:szCs w:val="20"/>
        </w:rPr>
        <w:t>banks,</w:t>
      </w:r>
      <w:r w:rsidR="0008241A" w:rsidRPr="005F3D85">
        <w:rPr>
          <w:rFonts w:ascii="Arial" w:hAnsi="Arial" w:cs="Arial"/>
          <w:sz w:val="20"/>
          <w:szCs w:val="20"/>
        </w:rPr>
        <w:t xml:space="preserve"> evidenced from</w:t>
      </w:r>
      <w:r w:rsidR="00FF7531" w:rsidRPr="005F3D85">
        <w:rPr>
          <w:rFonts w:ascii="Arial" w:hAnsi="Arial" w:cs="Arial"/>
          <w:sz w:val="20"/>
          <w:szCs w:val="20"/>
        </w:rPr>
        <w:t xml:space="preserve"> Tanzania. B</w:t>
      </w:r>
      <w:r w:rsidR="00263678" w:rsidRPr="005F3D85">
        <w:rPr>
          <w:rFonts w:ascii="Arial" w:hAnsi="Arial" w:cs="Arial"/>
          <w:sz w:val="20"/>
          <w:szCs w:val="20"/>
        </w:rPr>
        <w:t>alanced</w:t>
      </w:r>
      <w:r w:rsidR="00FF7531" w:rsidRPr="005F3D85">
        <w:rPr>
          <w:rFonts w:ascii="Arial" w:hAnsi="Arial" w:cs="Arial"/>
          <w:sz w:val="20"/>
          <w:szCs w:val="20"/>
        </w:rPr>
        <w:t xml:space="preserve"> </w:t>
      </w:r>
      <w:r w:rsidR="000A17FE" w:rsidRPr="005F3D85">
        <w:rPr>
          <w:rFonts w:ascii="Arial" w:hAnsi="Arial" w:cs="Arial"/>
          <w:sz w:val="20"/>
          <w:szCs w:val="20"/>
        </w:rPr>
        <w:t xml:space="preserve">panel from 225 observations </w:t>
      </w:r>
      <w:r w:rsidR="00263678" w:rsidRPr="005F3D85">
        <w:rPr>
          <w:rFonts w:ascii="Arial" w:hAnsi="Arial" w:cs="Arial"/>
          <w:sz w:val="20"/>
          <w:szCs w:val="20"/>
        </w:rPr>
        <w:t>was</w:t>
      </w:r>
      <w:r w:rsidR="000A17FE" w:rsidRPr="005F3D85">
        <w:rPr>
          <w:rFonts w:ascii="Arial" w:hAnsi="Arial" w:cs="Arial"/>
          <w:sz w:val="20"/>
          <w:szCs w:val="20"/>
        </w:rPr>
        <w:t xml:space="preserve"> used </w:t>
      </w:r>
      <w:r w:rsidR="00FF7531" w:rsidRPr="005F3D85">
        <w:rPr>
          <w:rFonts w:ascii="Arial" w:hAnsi="Arial" w:cs="Arial"/>
          <w:sz w:val="20"/>
          <w:szCs w:val="20"/>
        </w:rPr>
        <w:t>in the multiple regression. R</w:t>
      </w:r>
      <w:r w:rsidR="000A17FE" w:rsidRPr="005F3D85">
        <w:rPr>
          <w:rFonts w:ascii="Arial" w:hAnsi="Arial" w:cs="Arial"/>
          <w:sz w:val="20"/>
          <w:szCs w:val="20"/>
        </w:rPr>
        <w:t>esults</w:t>
      </w:r>
      <w:r w:rsidR="00FF7531" w:rsidRPr="005F3D85">
        <w:rPr>
          <w:rFonts w:ascii="Arial" w:hAnsi="Arial" w:cs="Arial"/>
          <w:sz w:val="20"/>
          <w:szCs w:val="20"/>
        </w:rPr>
        <w:t xml:space="preserve"> </w:t>
      </w:r>
      <w:r w:rsidR="00263678" w:rsidRPr="005F3D85">
        <w:rPr>
          <w:rFonts w:ascii="Arial" w:hAnsi="Arial" w:cs="Arial"/>
          <w:sz w:val="20"/>
          <w:szCs w:val="20"/>
        </w:rPr>
        <w:t>show</w:t>
      </w:r>
      <w:r w:rsidR="000A17FE" w:rsidRPr="005F3D85">
        <w:rPr>
          <w:rFonts w:ascii="Arial" w:hAnsi="Arial" w:cs="Arial"/>
          <w:sz w:val="20"/>
          <w:szCs w:val="20"/>
        </w:rPr>
        <w:t xml:space="preserve"> </w:t>
      </w:r>
      <w:r w:rsidR="00FF7531" w:rsidRPr="005F3D85">
        <w:rPr>
          <w:rFonts w:ascii="Arial" w:hAnsi="Arial" w:cs="Arial"/>
          <w:sz w:val="20"/>
          <w:szCs w:val="20"/>
        </w:rPr>
        <w:t xml:space="preserve">stronger practice of credit risk </w:t>
      </w:r>
      <w:r w:rsidR="00263678" w:rsidRPr="005F3D85">
        <w:rPr>
          <w:rFonts w:ascii="Arial" w:hAnsi="Arial" w:cs="Arial"/>
          <w:sz w:val="20"/>
          <w:szCs w:val="20"/>
        </w:rPr>
        <w:t>associated</w:t>
      </w:r>
      <w:r w:rsidR="000A17FE" w:rsidRPr="005F3D85">
        <w:rPr>
          <w:rFonts w:ascii="Arial" w:hAnsi="Arial" w:cs="Arial"/>
          <w:sz w:val="20"/>
          <w:szCs w:val="20"/>
        </w:rPr>
        <w:t xml:space="preserve"> </w:t>
      </w:r>
      <w:r w:rsidR="000A17FE" w:rsidRPr="005F3D85">
        <w:rPr>
          <w:rFonts w:ascii="Arial" w:hAnsi="Arial" w:cs="Arial"/>
          <w:sz w:val="20"/>
          <w:szCs w:val="20"/>
        </w:rPr>
        <w:lastRenderedPageBreak/>
        <w:t xml:space="preserve">with higher ROE. </w:t>
      </w:r>
      <w:r w:rsidR="006B09EB" w:rsidRPr="005F3D85">
        <w:rPr>
          <w:rFonts w:ascii="Arial" w:hAnsi="Arial" w:cs="Arial"/>
          <w:sz w:val="20"/>
          <w:szCs w:val="20"/>
        </w:rPr>
        <w:t xml:space="preserve">Mwangi (2023) examined effects of </w:t>
      </w:r>
      <w:r w:rsidR="000A17FE" w:rsidRPr="005F3D85">
        <w:rPr>
          <w:rFonts w:ascii="Arial" w:hAnsi="Arial" w:cs="Arial"/>
          <w:sz w:val="20"/>
          <w:szCs w:val="20"/>
        </w:rPr>
        <w:t>credit risk</w:t>
      </w:r>
      <w:r w:rsidR="006B09EB" w:rsidRPr="005F3D85">
        <w:rPr>
          <w:rFonts w:ascii="Arial" w:hAnsi="Arial" w:cs="Arial"/>
          <w:sz w:val="20"/>
          <w:szCs w:val="20"/>
        </w:rPr>
        <w:t xml:space="preserve">s management and performances of banks of </w:t>
      </w:r>
      <w:r w:rsidR="0008241A" w:rsidRPr="005F3D85">
        <w:rPr>
          <w:rFonts w:ascii="Arial" w:hAnsi="Arial" w:cs="Arial"/>
          <w:sz w:val="20"/>
          <w:szCs w:val="20"/>
        </w:rPr>
        <w:t>Kenya.</w:t>
      </w:r>
      <w:r w:rsidR="006B09EB" w:rsidRPr="005F3D85">
        <w:rPr>
          <w:rFonts w:ascii="Arial" w:hAnsi="Arial" w:cs="Arial"/>
          <w:sz w:val="20"/>
          <w:szCs w:val="20"/>
        </w:rPr>
        <w:t xml:space="preserve"> </w:t>
      </w:r>
      <w:r w:rsidR="00D22F3E" w:rsidRPr="005F3D85">
        <w:rPr>
          <w:rFonts w:ascii="Arial" w:hAnsi="Arial" w:cs="Arial"/>
          <w:sz w:val="20"/>
          <w:szCs w:val="20"/>
        </w:rPr>
        <w:t>F</w:t>
      </w:r>
      <w:r w:rsidR="000A17FE" w:rsidRPr="005F3D85">
        <w:rPr>
          <w:rFonts w:ascii="Arial" w:hAnsi="Arial" w:cs="Arial"/>
          <w:sz w:val="20"/>
          <w:szCs w:val="20"/>
        </w:rPr>
        <w:t>indings</w:t>
      </w:r>
      <w:r w:rsidR="00D22F3E" w:rsidRPr="005F3D85">
        <w:rPr>
          <w:rFonts w:ascii="Arial" w:hAnsi="Arial" w:cs="Arial"/>
          <w:sz w:val="20"/>
          <w:szCs w:val="20"/>
        </w:rPr>
        <w:t xml:space="preserve"> </w:t>
      </w:r>
      <w:r w:rsidR="00263678" w:rsidRPr="005F3D85">
        <w:rPr>
          <w:rFonts w:ascii="Arial" w:hAnsi="Arial" w:cs="Arial"/>
          <w:sz w:val="20"/>
          <w:szCs w:val="20"/>
        </w:rPr>
        <w:t>show</w:t>
      </w:r>
      <w:r w:rsidR="000A17FE" w:rsidRPr="005F3D85">
        <w:rPr>
          <w:rFonts w:ascii="Arial" w:hAnsi="Arial" w:cs="Arial"/>
          <w:sz w:val="20"/>
          <w:szCs w:val="20"/>
        </w:rPr>
        <w:t xml:space="preserve"> effective CRM programs significantly improve profitability. However, institutional differences mean Tanzanian</w:t>
      </w:r>
      <w:r w:rsidR="00263678" w:rsidRPr="005F3D85">
        <w:rPr>
          <w:rFonts w:ascii="Arial" w:hAnsi="Arial" w:cs="Arial"/>
          <w:sz w:val="20"/>
          <w:szCs w:val="20"/>
        </w:rPr>
        <w:t>-listed</w:t>
      </w:r>
      <w:r w:rsidR="000A17FE" w:rsidRPr="005F3D85">
        <w:rPr>
          <w:rFonts w:ascii="Arial" w:hAnsi="Arial" w:cs="Arial"/>
          <w:sz w:val="20"/>
          <w:szCs w:val="20"/>
        </w:rPr>
        <w:t xml:space="preserve"> firms face distinct enf</w:t>
      </w:r>
      <w:r w:rsidR="00F3601F" w:rsidRPr="005F3D85">
        <w:rPr>
          <w:rFonts w:ascii="Arial" w:hAnsi="Arial" w:cs="Arial"/>
          <w:sz w:val="20"/>
          <w:szCs w:val="20"/>
        </w:rPr>
        <w:t>orcement and reporting regimes.</w:t>
      </w:r>
    </w:p>
    <w:p w14:paraId="5CFEC509" w14:textId="043D1C21" w:rsidR="00E56F63" w:rsidRPr="005F3D85" w:rsidRDefault="00E56F63" w:rsidP="00757614">
      <w:pPr>
        <w:spacing w:after="0" w:line="240" w:lineRule="auto"/>
        <w:jc w:val="both"/>
        <w:rPr>
          <w:rFonts w:ascii="Arial" w:hAnsi="Arial" w:cs="Arial"/>
          <w:sz w:val="24"/>
          <w:szCs w:val="24"/>
        </w:rPr>
      </w:pPr>
    </w:p>
    <w:p w14:paraId="70148970" w14:textId="217B63B6" w:rsidR="00106491" w:rsidRPr="005F3D85" w:rsidRDefault="003C61B4" w:rsidP="003C61B4">
      <w:pPr>
        <w:spacing w:after="0" w:line="240" w:lineRule="auto"/>
        <w:jc w:val="both"/>
        <w:rPr>
          <w:rFonts w:ascii="Arial" w:hAnsi="Arial" w:cs="Arial"/>
          <w:b/>
        </w:rPr>
      </w:pPr>
      <w:r w:rsidRPr="005F3D85">
        <w:rPr>
          <w:rFonts w:ascii="Arial" w:hAnsi="Arial" w:cs="Arial"/>
          <w:b/>
        </w:rPr>
        <w:t xml:space="preserve">3. </w:t>
      </w:r>
      <w:bookmarkStart w:id="6" w:name="_Toc208584797"/>
      <w:r w:rsidRPr="005F3D85">
        <w:rPr>
          <w:rFonts w:ascii="Arial" w:hAnsi="Arial" w:cs="Arial"/>
          <w:b/>
        </w:rPr>
        <w:t>Research Methodology</w:t>
      </w:r>
      <w:bookmarkEnd w:id="6"/>
    </w:p>
    <w:p w14:paraId="6BFEC3F4" w14:textId="274FEC14" w:rsidR="00E56F63" w:rsidRPr="00392AAA" w:rsidRDefault="00E56F63" w:rsidP="004666E2">
      <w:pPr>
        <w:spacing w:after="0" w:line="240" w:lineRule="auto"/>
        <w:rPr>
          <w:rFonts w:ascii="Arial" w:hAnsi="Arial" w:cs="Arial"/>
          <w:b/>
          <w:sz w:val="20"/>
          <w:szCs w:val="20"/>
        </w:rPr>
      </w:pPr>
      <w:bookmarkStart w:id="7" w:name="_Toc207714041"/>
      <w:bookmarkStart w:id="8" w:name="_Toc208584801"/>
      <w:r w:rsidRPr="00392AAA">
        <w:rPr>
          <w:rFonts w:ascii="Arial" w:hAnsi="Arial" w:cs="Arial"/>
          <w:b/>
          <w:sz w:val="20"/>
          <w:szCs w:val="20"/>
        </w:rPr>
        <w:t>3.</w:t>
      </w:r>
      <w:r w:rsidR="00132B97" w:rsidRPr="00392AAA">
        <w:rPr>
          <w:rFonts w:ascii="Arial" w:hAnsi="Arial" w:cs="Arial"/>
          <w:b/>
          <w:sz w:val="20"/>
          <w:szCs w:val="20"/>
        </w:rPr>
        <w:t>1</w:t>
      </w:r>
      <w:r w:rsidRPr="00392AAA">
        <w:rPr>
          <w:rFonts w:ascii="Arial" w:hAnsi="Arial" w:cs="Arial"/>
          <w:b/>
          <w:sz w:val="20"/>
          <w:szCs w:val="20"/>
        </w:rPr>
        <w:t xml:space="preserve"> Research Design</w:t>
      </w:r>
      <w:bookmarkEnd w:id="7"/>
      <w:bookmarkEnd w:id="8"/>
    </w:p>
    <w:p w14:paraId="6BC19928" w14:textId="07BD7A61" w:rsidR="00E56F63" w:rsidRPr="005F3D85" w:rsidRDefault="00E56F63" w:rsidP="00757614">
      <w:pPr>
        <w:spacing w:after="0" w:line="240" w:lineRule="auto"/>
        <w:jc w:val="both"/>
        <w:rPr>
          <w:rFonts w:ascii="Arial" w:hAnsi="Arial" w:cs="Arial"/>
          <w:sz w:val="20"/>
          <w:szCs w:val="20"/>
        </w:rPr>
      </w:pPr>
      <w:r w:rsidRPr="005F3D85">
        <w:rPr>
          <w:rFonts w:ascii="Arial" w:hAnsi="Arial" w:cs="Arial"/>
          <w:sz w:val="20"/>
          <w:szCs w:val="20"/>
        </w:rPr>
        <w:t>According to Skinner</w:t>
      </w:r>
      <w:r w:rsidR="00B04854" w:rsidRPr="005F3D85">
        <w:rPr>
          <w:rFonts w:ascii="Arial" w:hAnsi="Arial" w:cs="Arial"/>
          <w:sz w:val="20"/>
          <w:szCs w:val="20"/>
        </w:rPr>
        <w:t xml:space="preserve"> and</w:t>
      </w:r>
      <w:r w:rsidRPr="005F3D85">
        <w:rPr>
          <w:rFonts w:ascii="Arial" w:hAnsi="Arial" w:cs="Arial"/>
          <w:sz w:val="20"/>
          <w:szCs w:val="20"/>
        </w:rPr>
        <w:t xml:space="preserve"> </w:t>
      </w:r>
      <w:r w:rsidR="00CB38D2" w:rsidRPr="005F3D85">
        <w:rPr>
          <w:rFonts w:ascii="Arial" w:hAnsi="Arial" w:cs="Arial"/>
          <w:sz w:val="20"/>
          <w:szCs w:val="20"/>
        </w:rPr>
        <w:t>Dancis's</w:t>
      </w:r>
      <w:r w:rsidRPr="005F3D85">
        <w:rPr>
          <w:rFonts w:ascii="Arial" w:hAnsi="Arial" w:cs="Arial"/>
          <w:sz w:val="20"/>
          <w:szCs w:val="20"/>
        </w:rPr>
        <w:t xml:space="preserve"> (2020) </w:t>
      </w:r>
      <w:r w:rsidR="00CB38D2" w:rsidRPr="005F3D85">
        <w:rPr>
          <w:rFonts w:ascii="Arial" w:hAnsi="Arial" w:cs="Arial"/>
          <w:sz w:val="20"/>
          <w:szCs w:val="20"/>
        </w:rPr>
        <w:t>research,</w:t>
      </w:r>
      <w:r w:rsidRPr="005F3D85">
        <w:rPr>
          <w:rFonts w:ascii="Arial" w:hAnsi="Arial" w:cs="Arial"/>
          <w:sz w:val="20"/>
          <w:szCs w:val="20"/>
        </w:rPr>
        <w:t xml:space="preserve"> designs are scientific ways used by </w:t>
      </w:r>
      <w:r w:rsidR="00CB38D2" w:rsidRPr="005F3D85">
        <w:rPr>
          <w:rFonts w:ascii="Arial" w:hAnsi="Arial" w:cs="Arial"/>
          <w:sz w:val="20"/>
          <w:szCs w:val="20"/>
        </w:rPr>
        <w:t>researchers</w:t>
      </w:r>
      <w:r w:rsidRPr="005F3D85">
        <w:rPr>
          <w:rFonts w:ascii="Arial" w:hAnsi="Arial" w:cs="Arial"/>
          <w:sz w:val="20"/>
          <w:szCs w:val="20"/>
        </w:rPr>
        <w:t xml:space="preserve"> to </w:t>
      </w:r>
      <w:r w:rsidR="00CB38D2" w:rsidRPr="005F3D85">
        <w:rPr>
          <w:rFonts w:ascii="Arial" w:hAnsi="Arial" w:cs="Arial"/>
          <w:sz w:val="20"/>
          <w:szCs w:val="20"/>
        </w:rPr>
        <w:t>ensure</w:t>
      </w:r>
      <w:r w:rsidRPr="005F3D85">
        <w:rPr>
          <w:rFonts w:ascii="Arial" w:hAnsi="Arial" w:cs="Arial"/>
          <w:sz w:val="20"/>
          <w:szCs w:val="20"/>
        </w:rPr>
        <w:t xml:space="preserve"> that methods of data gathered </w:t>
      </w:r>
      <w:r w:rsidR="00A47EE3" w:rsidRPr="005F3D85">
        <w:rPr>
          <w:rFonts w:ascii="Arial" w:hAnsi="Arial" w:cs="Arial"/>
          <w:sz w:val="20"/>
          <w:szCs w:val="20"/>
        </w:rPr>
        <w:t xml:space="preserve">fill the study gap. </w:t>
      </w:r>
      <w:r w:rsidR="00296B63" w:rsidRPr="00296B63">
        <w:rPr>
          <w:rFonts w:ascii="Arial" w:hAnsi="Arial" w:cs="Arial"/>
          <w:sz w:val="20"/>
          <w:szCs w:val="20"/>
        </w:rPr>
        <w:t xml:space="preserve">Study used secondary data in form of panel for 28 firms listed in time of 5 years since 2020 to 2024 from the company’s website and DSE website </w:t>
      </w:r>
      <w:r w:rsidR="00A47EE3" w:rsidRPr="005F3D85">
        <w:rPr>
          <w:rFonts w:ascii="Arial" w:hAnsi="Arial" w:cs="Arial"/>
          <w:sz w:val="20"/>
          <w:szCs w:val="20"/>
        </w:rPr>
        <w:t>Therefore, study applied an explanatory research design</w:t>
      </w:r>
      <w:r w:rsidR="00CA2C07" w:rsidRPr="005F3D85">
        <w:rPr>
          <w:rFonts w:ascii="Arial" w:hAnsi="Arial" w:cs="Arial"/>
          <w:sz w:val="20"/>
          <w:szCs w:val="20"/>
        </w:rPr>
        <w:t xml:space="preserve"> for making sure d</w:t>
      </w:r>
      <w:r w:rsidRPr="005F3D85">
        <w:rPr>
          <w:rFonts w:ascii="Arial" w:hAnsi="Arial" w:cs="Arial"/>
          <w:sz w:val="20"/>
          <w:szCs w:val="20"/>
        </w:rPr>
        <w:t xml:space="preserve">ata collection filled study gap by </w:t>
      </w:r>
      <w:r w:rsidR="00CB38D2" w:rsidRPr="005F3D85">
        <w:rPr>
          <w:rFonts w:ascii="Arial" w:hAnsi="Arial" w:cs="Arial"/>
          <w:sz w:val="20"/>
          <w:szCs w:val="20"/>
        </w:rPr>
        <w:t>looking at</w:t>
      </w:r>
      <w:r w:rsidRPr="005F3D85">
        <w:rPr>
          <w:rFonts w:ascii="Arial" w:hAnsi="Arial" w:cs="Arial"/>
          <w:sz w:val="20"/>
          <w:szCs w:val="20"/>
        </w:rPr>
        <w:t xml:space="preserve"> the causal relationship and testing variables (Hirose &amp; Creswell, 2023).</w:t>
      </w:r>
      <w:r w:rsidR="00345CBB" w:rsidRPr="005F3D85">
        <w:rPr>
          <w:rFonts w:ascii="Arial" w:hAnsi="Arial" w:cs="Arial"/>
          <w:sz w:val="20"/>
          <w:szCs w:val="20"/>
        </w:rPr>
        <w:t xml:space="preserve">. </w:t>
      </w:r>
      <w:r w:rsidRPr="005F3D85">
        <w:rPr>
          <w:rFonts w:ascii="Arial" w:hAnsi="Arial" w:cs="Arial"/>
          <w:sz w:val="20"/>
          <w:szCs w:val="20"/>
        </w:rPr>
        <w:t xml:space="preserve">The sample size of 140 firm-year observations </w:t>
      </w:r>
      <w:r w:rsidR="00CB38D2" w:rsidRPr="005F3D85">
        <w:rPr>
          <w:rFonts w:ascii="Arial" w:hAnsi="Arial" w:cs="Arial"/>
          <w:sz w:val="20"/>
          <w:szCs w:val="20"/>
        </w:rPr>
        <w:t>was</w:t>
      </w:r>
      <w:r w:rsidRPr="005F3D85">
        <w:rPr>
          <w:rFonts w:ascii="Arial" w:hAnsi="Arial" w:cs="Arial"/>
          <w:sz w:val="20"/>
          <w:szCs w:val="20"/>
        </w:rPr>
        <w:t xml:space="preserve"> used</w:t>
      </w:r>
      <w:r w:rsidR="00CB38D2" w:rsidRPr="005F3D85">
        <w:rPr>
          <w:rFonts w:ascii="Arial" w:hAnsi="Arial" w:cs="Arial"/>
          <w:sz w:val="20"/>
          <w:szCs w:val="20"/>
        </w:rPr>
        <w:t>.</w:t>
      </w:r>
      <w:r w:rsidR="002617FC" w:rsidRPr="002617FC">
        <w:t xml:space="preserve"> </w:t>
      </w:r>
      <w:r w:rsidR="002617FC" w:rsidRPr="002617FC">
        <w:rPr>
          <w:rFonts w:ascii="Arial" w:hAnsi="Arial" w:cs="Arial"/>
          <w:sz w:val="20"/>
          <w:szCs w:val="20"/>
        </w:rPr>
        <w:t>The variable of share price</w:t>
      </w:r>
      <w:r w:rsidR="002617FC">
        <w:rPr>
          <w:rFonts w:ascii="Arial" w:hAnsi="Arial" w:cs="Arial"/>
          <w:sz w:val="20"/>
          <w:szCs w:val="20"/>
        </w:rPr>
        <w:t xml:space="preserve"> (SP)</w:t>
      </w:r>
      <w:r w:rsidR="002617FC" w:rsidRPr="002617FC">
        <w:rPr>
          <w:rFonts w:ascii="Arial" w:hAnsi="Arial" w:cs="Arial"/>
          <w:sz w:val="20"/>
          <w:szCs w:val="20"/>
        </w:rPr>
        <w:t xml:space="preserve"> was meas</w:t>
      </w:r>
      <w:r w:rsidR="002617FC">
        <w:rPr>
          <w:rFonts w:ascii="Arial" w:hAnsi="Arial" w:cs="Arial"/>
          <w:sz w:val="20"/>
          <w:szCs w:val="20"/>
        </w:rPr>
        <w:t xml:space="preserve">ured using price earnings ratio, </w:t>
      </w:r>
      <w:r w:rsidR="002617FC" w:rsidRPr="002617FC">
        <w:rPr>
          <w:rFonts w:ascii="Arial" w:hAnsi="Arial" w:cs="Arial"/>
          <w:sz w:val="20"/>
          <w:szCs w:val="20"/>
        </w:rPr>
        <w:t>credit risk management</w:t>
      </w:r>
      <w:r w:rsidR="002617FC">
        <w:rPr>
          <w:rFonts w:ascii="Arial" w:hAnsi="Arial" w:cs="Arial"/>
          <w:sz w:val="20"/>
          <w:szCs w:val="20"/>
        </w:rPr>
        <w:t xml:space="preserve"> (CRM)</w:t>
      </w:r>
      <w:r w:rsidR="002617FC" w:rsidRPr="002617FC">
        <w:rPr>
          <w:rFonts w:ascii="Arial" w:hAnsi="Arial" w:cs="Arial"/>
          <w:sz w:val="20"/>
          <w:szCs w:val="20"/>
        </w:rPr>
        <w:t xml:space="preserve"> was measured using liquidity ratio</w:t>
      </w:r>
      <w:r w:rsidR="002617FC">
        <w:rPr>
          <w:rFonts w:ascii="Arial" w:hAnsi="Arial" w:cs="Arial"/>
          <w:sz w:val="20"/>
          <w:szCs w:val="20"/>
        </w:rPr>
        <w:t xml:space="preserve"> and</w:t>
      </w:r>
      <w:r w:rsidR="001C550E">
        <w:rPr>
          <w:rFonts w:ascii="Arial" w:hAnsi="Arial" w:cs="Arial"/>
          <w:sz w:val="20"/>
          <w:szCs w:val="20"/>
        </w:rPr>
        <w:t xml:space="preserve"> return on equity was measured using profit after tax over total equity</w:t>
      </w:r>
      <w:r w:rsidR="002617FC">
        <w:rPr>
          <w:rFonts w:ascii="Arial" w:hAnsi="Arial" w:cs="Arial"/>
          <w:sz w:val="20"/>
          <w:szCs w:val="20"/>
        </w:rPr>
        <w:t xml:space="preserve">. </w:t>
      </w:r>
      <w:r w:rsidRPr="005F3D85">
        <w:rPr>
          <w:rFonts w:ascii="Arial" w:hAnsi="Arial" w:cs="Arial"/>
          <w:sz w:val="20"/>
          <w:szCs w:val="20"/>
        </w:rPr>
        <w:t>The sampling distribut</w:t>
      </w:r>
      <w:r w:rsidR="00FF6492" w:rsidRPr="005F3D85">
        <w:rPr>
          <w:rFonts w:ascii="Arial" w:hAnsi="Arial" w:cs="Arial"/>
          <w:sz w:val="20"/>
          <w:szCs w:val="20"/>
        </w:rPr>
        <w:t>ion table</w:t>
      </w:r>
      <w:r w:rsidR="00797FC6" w:rsidRPr="005F3D85">
        <w:rPr>
          <w:rFonts w:ascii="Arial" w:hAnsi="Arial" w:cs="Arial"/>
          <w:sz w:val="20"/>
          <w:szCs w:val="20"/>
        </w:rPr>
        <w:t xml:space="preserve"> shown in table </w:t>
      </w:r>
      <w:r w:rsidR="001A0D72" w:rsidRPr="005F3D85">
        <w:rPr>
          <w:rFonts w:ascii="Arial" w:hAnsi="Arial" w:cs="Arial"/>
          <w:sz w:val="20"/>
          <w:szCs w:val="20"/>
        </w:rPr>
        <w:t>1.</w:t>
      </w:r>
    </w:p>
    <w:p w14:paraId="7D1D8425" w14:textId="5946A242" w:rsidR="00E56F63" w:rsidRPr="005F3D85" w:rsidRDefault="001A0D72" w:rsidP="00757614">
      <w:pPr>
        <w:spacing w:after="0" w:line="240" w:lineRule="auto"/>
        <w:rPr>
          <w:rFonts w:ascii="Arial" w:hAnsi="Arial" w:cs="Arial"/>
          <w:b/>
          <w:sz w:val="20"/>
          <w:szCs w:val="20"/>
        </w:rPr>
      </w:pPr>
      <w:r w:rsidRPr="005F3D85">
        <w:rPr>
          <w:rFonts w:ascii="Arial" w:hAnsi="Arial" w:cs="Arial"/>
          <w:b/>
          <w:sz w:val="20"/>
          <w:szCs w:val="20"/>
        </w:rPr>
        <w:t>Table 1</w:t>
      </w:r>
      <w:r w:rsidR="00797FC6" w:rsidRPr="005F3D85">
        <w:rPr>
          <w:rFonts w:ascii="Arial" w:hAnsi="Arial" w:cs="Arial"/>
          <w:b/>
          <w:sz w:val="20"/>
          <w:szCs w:val="20"/>
        </w:rPr>
        <w:t>. Sampling Distribution Table</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49"/>
        <w:gridCol w:w="2988"/>
        <w:gridCol w:w="1573"/>
        <w:gridCol w:w="1101"/>
        <w:gridCol w:w="1257"/>
        <w:gridCol w:w="1443"/>
      </w:tblGrid>
      <w:tr w:rsidR="00320EBE" w:rsidRPr="005F3D85" w14:paraId="0553AA42" w14:textId="77777777" w:rsidTr="008B2814">
        <w:trPr>
          <w:trHeight w:val="344"/>
        </w:trPr>
        <w:tc>
          <w:tcPr>
            <w:tcW w:w="411" w:type="pct"/>
            <w:shd w:val="clear" w:color="auto" w:fill="FFFFFF"/>
          </w:tcPr>
          <w:p w14:paraId="70637FF1" w14:textId="6EC45E0C" w:rsidR="00320EBE" w:rsidRPr="005F3D85" w:rsidRDefault="00267338" w:rsidP="00757614">
            <w:pPr>
              <w:widowControl w:val="0"/>
              <w:spacing w:after="0" w:line="240" w:lineRule="auto"/>
              <w:jc w:val="both"/>
              <w:rPr>
                <w:rFonts w:ascii="Arial" w:eastAsia="Tahoma" w:hAnsi="Arial" w:cs="Arial"/>
                <w:b/>
                <w:bCs/>
                <w:color w:val="000000"/>
                <w:sz w:val="20"/>
                <w:szCs w:val="20"/>
                <w:lang w:val="en-GB" w:eastAsia="zh-CN"/>
              </w:rPr>
            </w:pPr>
            <w:r w:rsidRPr="005F3D85">
              <w:rPr>
                <w:rFonts w:ascii="Arial" w:eastAsia="Tahoma" w:hAnsi="Arial" w:cs="Arial"/>
                <w:b/>
                <w:bCs/>
                <w:color w:val="000000"/>
                <w:sz w:val="20"/>
                <w:szCs w:val="20"/>
                <w:lang w:val="en-GB" w:eastAsia="zh-CN"/>
              </w:rPr>
              <w:t>F/N</w:t>
            </w:r>
          </w:p>
        </w:tc>
        <w:tc>
          <w:tcPr>
            <w:tcW w:w="1640" w:type="pct"/>
            <w:shd w:val="clear" w:color="auto" w:fill="FFFFFF"/>
          </w:tcPr>
          <w:p w14:paraId="34302E2C" w14:textId="77777777" w:rsidR="00320EBE" w:rsidRPr="005F3D85" w:rsidRDefault="00320EBE" w:rsidP="00757614">
            <w:pPr>
              <w:widowControl w:val="0"/>
              <w:spacing w:after="0" w:line="240" w:lineRule="auto"/>
              <w:jc w:val="both"/>
              <w:rPr>
                <w:rFonts w:ascii="Arial" w:eastAsia="Tahoma" w:hAnsi="Arial" w:cs="Arial"/>
                <w:b/>
                <w:bCs/>
                <w:color w:val="000000"/>
                <w:sz w:val="20"/>
                <w:szCs w:val="20"/>
                <w:lang w:val="en-GB" w:eastAsia="zh-CN"/>
              </w:rPr>
            </w:pPr>
            <w:r w:rsidRPr="005F3D85">
              <w:rPr>
                <w:rFonts w:ascii="Arial" w:eastAsia="Tahoma" w:hAnsi="Arial" w:cs="Arial"/>
                <w:b/>
                <w:bCs/>
                <w:color w:val="000000"/>
                <w:sz w:val="20"/>
                <w:szCs w:val="20"/>
                <w:lang w:val="en-GB" w:eastAsia="zh-CN"/>
              </w:rPr>
              <w:t>Strata</w:t>
            </w:r>
          </w:p>
        </w:tc>
        <w:tc>
          <w:tcPr>
            <w:tcW w:w="863" w:type="pct"/>
            <w:shd w:val="clear" w:color="auto" w:fill="FFFFFF"/>
          </w:tcPr>
          <w:p w14:paraId="37681DEF" w14:textId="77777777" w:rsidR="00320EBE" w:rsidRPr="005F3D85" w:rsidRDefault="00320EBE" w:rsidP="00757614">
            <w:pPr>
              <w:widowControl w:val="0"/>
              <w:spacing w:after="0" w:line="240" w:lineRule="auto"/>
              <w:jc w:val="both"/>
              <w:rPr>
                <w:rFonts w:ascii="Arial" w:eastAsia="Tahoma" w:hAnsi="Arial" w:cs="Arial"/>
                <w:b/>
                <w:bCs/>
                <w:color w:val="000000"/>
                <w:sz w:val="20"/>
                <w:szCs w:val="20"/>
                <w:lang w:val="en-GB" w:eastAsia="zh-CN"/>
              </w:rPr>
            </w:pPr>
            <w:r w:rsidRPr="005F3D85">
              <w:rPr>
                <w:rFonts w:ascii="Arial" w:eastAsia="Tahoma" w:hAnsi="Arial" w:cs="Arial"/>
                <w:b/>
                <w:bCs/>
                <w:color w:val="000000"/>
                <w:sz w:val="20"/>
                <w:szCs w:val="20"/>
                <w:lang w:val="en-GB" w:eastAsia="zh-CN"/>
              </w:rPr>
              <w:t>Time Period</w:t>
            </w:r>
          </w:p>
        </w:tc>
        <w:tc>
          <w:tcPr>
            <w:tcW w:w="604" w:type="pct"/>
            <w:shd w:val="clear" w:color="auto" w:fill="FFFFFF"/>
          </w:tcPr>
          <w:p w14:paraId="30512C65" w14:textId="77777777" w:rsidR="00320EBE" w:rsidRPr="005F3D85" w:rsidRDefault="00320EBE" w:rsidP="00757614">
            <w:pPr>
              <w:widowControl w:val="0"/>
              <w:spacing w:after="0" w:line="240" w:lineRule="auto"/>
              <w:jc w:val="both"/>
              <w:rPr>
                <w:rFonts w:ascii="Arial" w:eastAsia="Tahoma" w:hAnsi="Arial" w:cs="Arial"/>
                <w:b/>
                <w:bCs/>
                <w:color w:val="000000"/>
                <w:sz w:val="20"/>
                <w:szCs w:val="20"/>
                <w:lang w:val="en-GB" w:eastAsia="zh-CN"/>
              </w:rPr>
            </w:pPr>
            <w:r w:rsidRPr="005F3D85">
              <w:rPr>
                <w:rFonts w:ascii="Arial" w:eastAsia="Tahoma" w:hAnsi="Arial" w:cs="Arial"/>
                <w:b/>
                <w:bCs/>
                <w:color w:val="000000"/>
                <w:sz w:val="20"/>
                <w:szCs w:val="20"/>
                <w:lang w:val="en-GB" w:eastAsia="zh-CN"/>
              </w:rPr>
              <w:t>Number of Firm</w:t>
            </w:r>
          </w:p>
        </w:tc>
        <w:tc>
          <w:tcPr>
            <w:tcW w:w="690" w:type="pct"/>
            <w:shd w:val="clear" w:color="auto" w:fill="FFFFFF"/>
          </w:tcPr>
          <w:p w14:paraId="3520FEFA" w14:textId="77777777" w:rsidR="00320EBE" w:rsidRPr="005F3D85" w:rsidRDefault="00320EBE" w:rsidP="00757614">
            <w:pPr>
              <w:widowControl w:val="0"/>
              <w:spacing w:after="0" w:line="240" w:lineRule="auto"/>
              <w:jc w:val="both"/>
              <w:rPr>
                <w:rFonts w:ascii="Arial" w:eastAsia="Tahoma" w:hAnsi="Arial" w:cs="Arial"/>
                <w:b/>
                <w:bCs/>
                <w:color w:val="000000"/>
                <w:sz w:val="20"/>
                <w:szCs w:val="20"/>
                <w:lang w:val="en-GB" w:eastAsia="zh-CN"/>
              </w:rPr>
            </w:pPr>
            <w:r w:rsidRPr="005F3D85">
              <w:rPr>
                <w:rFonts w:ascii="Arial" w:eastAsia="Tahoma" w:hAnsi="Arial" w:cs="Arial"/>
                <w:b/>
                <w:bCs/>
                <w:color w:val="000000"/>
                <w:sz w:val="20"/>
                <w:szCs w:val="20"/>
                <w:lang w:val="en-GB" w:eastAsia="zh-CN"/>
              </w:rPr>
              <w:t xml:space="preserve">Number of Years </w:t>
            </w:r>
          </w:p>
        </w:tc>
        <w:tc>
          <w:tcPr>
            <w:tcW w:w="792" w:type="pct"/>
            <w:shd w:val="clear" w:color="auto" w:fill="FFFFFF"/>
          </w:tcPr>
          <w:p w14:paraId="4DE27FF5" w14:textId="77777777" w:rsidR="00320EBE" w:rsidRPr="005F3D85" w:rsidRDefault="00320EBE" w:rsidP="00757614">
            <w:pPr>
              <w:widowControl w:val="0"/>
              <w:spacing w:after="0" w:line="240" w:lineRule="auto"/>
              <w:jc w:val="both"/>
              <w:rPr>
                <w:rFonts w:ascii="Arial" w:eastAsia="Tahoma" w:hAnsi="Arial" w:cs="Arial"/>
                <w:b/>
                <w:bCs/>
                <w:color w:val="000000"/>
                <w:sz w:val="20"/>
                <w:szCs w:val="20"/>
                <w:lang w:val="en-GB" w:eastAsia="zh-CN"/>
              </w:rPr>
            </w:pPr>
            <w:r w:rsidRPr="005F3D85">
              <w:rPr>
                <w:rFonts w:ascii="Arial" w:eastAsia="Tahoma" w:hAnsi="Arial" w:cs="Arial"/>
                <w:b/>
                <w:bCs/>
                <w:color w:val="000000"/>
                <w:sz w:val="20"/>
                <w:szCs w:val="20"/>
                <w:lang w:val="en-GB" w:eastAsia="zh-CN"/>
              </w:rPr>
              <w:t>Number of Sample Size</w:t>
            </w:r>
          </w:p>
        </w:tc>
      </w:tr>
      <w:tr w:rsidR="00320EBE" w:rsidRPr="005F3D85" w14:paraId="211AD736" w14:textId="77777777" w:rsidTr="008B2814">
        <w:trPr>
          <w:trHeight w:val="171"/>
        </w:trPr>
        <w:tc>
          <w:tcPr>
            <w:tcW w:w="411" w:type="pct"/>
            <w:shd w:val="clear" w:color="auto" w:fill="FFFFFF"/>
          </w:tcPr>
          <w:p w14:paraId="75B747B1" w14:textId="77777777" w:rsidR="00320EBE" w:rsidRPr="005F3D85" w:rsidRDefault="00320EBE" w:rsidP="00757614">
            <w:pPr>
              <w:widowControl w:val="0"/>
              <w:numPr>
                <w:ilvl w:val="0"/>
                <w:numId w:val="2"/>
              </w:numPr>
              <w:tabs>
                <w:tab w:val="left" w:pos="425"/>
              </w:tabs>
              <w:spacing w:after="0" w:line="240" w:lineRule="auto"/>
              <w:ind w:left="0"/>
              <w:jc w:val="both"/>
              <w:rPr>
                <w:rFonts w:ascii="Arial" w:eastAsia="Tahoma" w:hAnsi="Arial" w:cs="Arial"/>
                <w:b/>
                <w:bCs/>
                <w:color w:val="000000"/>
                <w:sz w:val="20"/>
                <w:szCs w:val="20"/>
                <w:lang w:val="en-GB" w:eastAsia="zh-CN"/>
              </w:rPr>
            </w:pPr>
          </w:p>
        </w:tc>
        <w:tc>
          <w:tcPr>
            <w:tcW w:w="1640" w:type="pct"/>
            <w:shd w:val="clear" w:color="auto" w:fill="FFFFFF"/>
          </w:tcPr>
          <w:p w14:paraId="13464777"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Finance, Investment and Bank</w:t>
            </w:r>
          </w:p>
        </w:tc>
        <w:tc>
          <w:tcPr>
            <w:tcW w:w="863" w:type="pct"/>
            <w:shd w:val="clear" w:color="auto" w:fill="FFFFFF"/>
          </w:tcPr>
          <w:p w14:paraId="0A3064F1"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2020 - 2024</w:t>
            </w:r>
          </w:p>
        </w:tc>
        <w:tc>
          <w:tcPr>
            <w:tcW w:w="604" w:type="pct"/>
            <w:shd w:val="clear" w:color="auto" w:fill="FFFFFF"/>
          </w:tcPr>
          <w:p w14:paraId="7D9D3AAD"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13</w:t>
            </w:r>
          </w:p>
        </w:tc>
        <w:tc>
          <w:tcPr>
            <w:tcW w:w="690" w:type="pct"/>
            <w:shd w:val="clear" w:color="auto" w:fill="FFFFFF"/>
          </w:tcPr>
          <w:p w14:paraId="13E109D8"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5</w:t>
            </w:r>
          </w:p>
        </w:tc>
        <w:tc>
          <w:tcPr>
            <w:tcW w:w="792" w:type="pct"/>
            <w:shd w:val="clear" w:color="auto" w:fill="FFFFFF"/>
          </w:tcPr>
          <w:p w14:paraId="3B4354D9"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65</w:t>
            </w:r>
          </w:p>
        </w:tc>
      </w:tr>
      <w:tr w:rsidR="00320EBE" w:rsidRPr="005F3D85" w14:paraId="62B98047" w14:textId="77777777" w:rsidTr="008B2814">
        <w:trPr>
          <w:trHeight w:val="171"/>
        </w:trPr>
        <w:tc>
          <w:tcPr>
            <w:tcW w:w="411" w:type="pct"/>
            <w:shd w:val="clear" w:color="auto" w:fill="FFFFFF"/>
          </w:tcPr>
          <w:p w14:paraId="1DBEE5F2" w14:textId="77777777" w:rsidR="00320EBE" w:rsidRPr="005F3D85" w:rsidRDefault="00320EBE" w:rsidP="00757614">
            <w:pPr>
              <w:widowControl w:val="0"/>
              <w:numPr>
                <w:ilvl w:val="0"/>
                <w:numId w:val="2"/>
              </w:numPr>
              <w:tabs>
                <w:tab w:val="left" w:pos="425"/>
              </w:tabs>
              <w:spacing w:after="0" w:line="240" w:lineRule="auto"/>
              <w:ind w:left="0"/>
              <w:jc w:val="both"/>
              <w:rPr>
                <w:rFonts w:ascii="Arial" w:eastAsia="Tahoma" w:hAnsi="Arial" w:cs="Arial"/>
                <w:b/>
                <w:bCs/>
                <w:color w:val="000000"/>
                <w:sz w:val="20"/>
                <w:szCs w:val="20"/>
                <w:lang w:val="en-GB" w:eastAsia="zh-CN"/>
              </w:rPr>
            </w:pPr>
          </w:p>
        </w:tc>
        <w:tc>
          <w:tcPr>
            <w:tcW w:w="1640" w:type="pct"/>
            <w:shd w:val="clear" w:color="auto" w:fill="FFFFFF"/>
          </w:tcPr>
          <w:p w14:paraId="3F8838A6"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Manufacturing Industries</w:t>
            </w:r>
          </w:p>
        </w:tc>
        <w:tc>
          <w:tcPr>
            <w:tcW w:w="863" w:type="pct"/>
            <w:shd w:val="clear" w:color="auto" w:fill="FFFFFF"/>
          </w:tcPr>
          <w:p w14:paraId="67F219EF"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2020 - 2024</w:t>
            </w:r>
          </w:p>
        </w:tc>
        <w:tc>
          <w:tcPr>
            <w:tcW w:w="604" w:type="pct"/>
            <w:shd w:val="clear" w:color="auto" w:fill="FFFFFF"/>
          </w:tcPr>
          <w:p w14:paraId="4DD9D9AA"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8</w:t>
            </w:r>
          </w:p>
        </w:tc>
        <w:tc>
          <w:tcPr>
            <w:tcW w:w="690" w:type="pct"/>
            <w:shd w:val="clear" w:color="auto" w:fill="FFFFFF"/>
          </w:tcPr>
          <w:p w14:paraId="3980218E" w14:textId="77777777" w:rsidR="00320EBE" w:rsidRPr="005F3D85" w:rsidRDefault="00320EBE" w:rsidP="00757614">
            <w:pPr>
              <w:spacing w:after="0" w:line="240" w:lineRule="auto"/>
              <w:rPr>
                <w:rFonts w:ascii="Arial" w:eastAsia="Tahoma" w:hAnsi="Arial" w:cs="Arial"/>
                <w:sz w:val="20"/>
                <w:szCs w:val="20"/>
                <w:lang w:eastAsia="zh-CN"/>
              </w:rPr>
            </w:pPr>
            <w:r w:rsidRPr="005F3D85">
              <w:rPr>
                <w:rFonts w:ascii="Arial" w:eastAsia="Tahoma" w:hAnsi="Arial" w:cs="Arial"/>
                <w:sz w:val="20"/>
                <w:szCs w:val="20"/>
                <w:lang w:eastAsia="zh-CN"/>
              </w:rPr>
              <w:t>5</w:t>
            </w:r>
          </w:p>
        </w:tc>
        <w:tc>
          <w:tcPr>
            <w:tcW w:w="792" w:type="pct"/>
            <w:shd w:val="clear" w:color="auto" w:fill="FFFFFF"/>
          </w:tcPr>
          <w:p w14:paraId="0394136A"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40</w:t>
            </w:r>
          </w:p>
        </w:tc>
      </w:tr>
      <w:tr w:rsidR="00320EBE" w:rsidRPr="005F3D85" w14:paraId="6D5329EB" w14:textId="77777777" w:rsidTr="008B2814">
        <w:trPr>
          <w:trHeight w:val="171"/>
        </w:trPr>
        <w:tc>
          <w:tcPr>
            <w:tcW w:w="411" w:type="pct"/>
            <w:shd w:val="clear" w:color="auto" w:fill="FFFFFF"/>
          </w:tcPr>
          <w:p w14:paraId="017B1B88" w14:textId="77777777" w:rsidR="00320EBE" w:rsidRPr="005F3D85" w:rsidRDefault="00320EBE" w:rsidP="00757614">
            <w:pPr>
              <w:widowControl w:val="0"/>
              <w:numPr>
                <w:ilvl w:val="0"/>
                <w:numId w:val="2"/>
              </w:numPr>
              <w:tabs>
                <w:tab w:val="left" w:pos="425"/>
              </w:tabs>
              <w:spacing w:after="0" w:line="240" w:lineRule="auto"/>
              <w:ind w:left="0"/>
              <w:jc w:val="both"/>
              <w:rPr>
                <w:rFonts w:ascii="Arial" w:eastAsia="Tahoma" w:hAnsi="Arial" w:cs="Arial"/>
                <w:b/>
                <w:bCs/>
                <w:color w:val="000000"/>
                <w:sz w:val="20"/>
                <w:szCs w:val="20"/>
                <w:lang w:val="en-GB" w:eastAsia="zh-CN"/>
              </w:rPr>
            </w:pPr>
          </w:p>
        </w:tc>
        <w:tc>
          <w:tcPr>
            <w:tcW w:w="1640" w:type="pct"/>
            <w:shd w:val="clear" w:color="auto" w:fill="FFFFFF"/>
          </w:tcPr>
          <w:p w14:paraId="6ADBEDEC"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Commercialized Services</w:t>
            </w:r>
          </w:p>
        </w:tc>
        <w:tc>
          <w:tcPr>
            <w:tcW w:w="863" w:type="pct"/>
            <w:shd w:val="clear" w:color="auto" w:fill="FFFFFF"/>
          </w:tcPr>
          <w:p w14:paraId="12435573"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2020 - 2024</w:t>
            </w:r>
          </w:p>
        </w:tc>
        <w:tc>
          <w:tcPr>
            <w:tcW w:w="604" w:type="pct"/>
            <w:shd w:val="clear" w:color="auto" w:fill="FFFFFF"/>
          </w:tcPr>
          <w:p w14:paraId="3C31CC35"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5</w:t>
            </w:r>
          </w:p>
        </w:tc>
        <w:tc>
          <w:tcPr>
            <w:tcW w:w="690" w:type="pct"/>
            <w:shd w:val="clear" w:color="auto" w:fill="FFFFFF"/>
          </w:tcPr>
          <w:p w14:paraId="5D73E644" w14:textId="77777777" w:rsidR="00320EBE" w:rsidRPr="005F3D85" w:rsidRDefault="00320EBE" w:rsidP="00757614">
            <w:pPr>
              <w:spacing w:after="0" w:line="240" w:lineRule="auto"/>
              <w:rPr>
                <w:rFonts w:ascii="Arial" w:eastAsia="Tahoma" w:hAnsi="Arial" w:cs="Arial"/>
                <w:sz w:val="20"/>
                <w:szCs w:val="20"/>
                <w:lang w:eastAsia="zh-CN"/>
              </w:rPr>
            </w:pPr>
            <w:r w:rsidRPr="005F3D85">
              <w:rPr>
                <w:rFonts w:ascii="Arial" w:eastAsia="Tahoma" w:hAnsi="Arial" w:cs="Arial"/>
                <w:sz w:val="20"/>
                <w:szCs w:val="20"/>
                <w:lang w:eastAsia="zh-CN"/>
              </w:rPr>
              <w:t>5</w:t>
            </w:r>
          </w:p>
        </w:tc>
        <w:tc>
          <w:tcPr>
            <w:tcW w:w="792" w:type="pct"/>
            <w:shd w:val="clear" w:color="auto" w:fill="FFFFFF"/>
          </w:tcPr>
          <w:p w14:paraId="4255B6D0"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25</w:t>
            </w:r>
          </w:p>
        </w:tc>
      </w:tr>
      <w:tr w:rsidR="00320EBE" w:rsidRPr="005F3D85" w14:paraId="76E8E525" w14:textId="77777777" w:rsidTr="008B2814">
        <w:trPr>
          <w:trHeight w:val="171"/>
        </w:trPr>
        <w:tc>
          <w:tcPr>
            <w:tcW w:w="411" w:type="pct"/>
            <w:shd w:val="clear" w:color="auto" w:fill="FFFFFF"/>
          </w:tcPr>
          <w:p w14:paraId="2A7C0CD7" w14:textId="77777777" w:rsidR="00320EBE" w:rsidRPr="005F3D85" w:rsidRDefault="00320EBE" w:rsidP="00757614">
            <w:pPr>
              <w:widowControl w:val="0"/>
              <w:numPr>
                <w:ilvl w:val="0"/>
                <w:numId w:val="2"/>
              </w:numPr>
              <w:tabs>
                <w:tab w:val="left" w:pos="425"/>
              </w:tabs>
              <w:spacing w:after="0" w:line="240" w:lineRule="auto"/>
              <w:ind w:left="0"/>
              <w:jc w:val="both"/>
              <w:rPr>
                <w:rFonts w:ascii="Arial" w:eastAsia="Tahoma" w:hAnsi="Arial" w:cs="Arial"/>
                <w:b/>
                <w:bCs/>
                <w:color w:val="000000"/>
                <w:sz w:val="20"/>
                <w:szCs w:val="20"/>
                <w:lang w:val="en-GB" w:eastAsia="zh-CN"/>
              </w:rPr>
            </w:pPr>
          </w:p>
        </w:tc>
        <w:tc>
          <w:tcPr>
            <w:tcW w:w="1640" w:type="pct"/>
            <w:shd w:val="clear" w:color="auto" w:fill="FFFFFF"/>
          </w:tcPr>
          <w:p w14:paraId="7405604E"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Gas and Oil</w:t>
            </w:r>
          </w:p>
        </w:tc>
        <w:tc>
          <w:tcPr>
            <w:tcW w:w="863" w:type="pct"/>
            <w:shd w:val="clear" w:color="auto" w:fill="FFFFFF"/>
          </w:tcPr>
          <w:p w14:paraId="0D4C8620"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2020 - 2024</w:t>
            </w:r>
          </w:p>
        </w:tc>
        <w:tc>
          <w:tcPr>
            <w:tcW w:w="604" w:type="pct"/>
            <w:shd w:val="clear" w:color="auto" w:fill="FFFFFF"/>
          </w:tcPr>
          <w:p w14:paraId="4BC241C8"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1</w:t>
            </w:r>
          </w:p>
        </w:tc>
        <w:tc>
          <w:tcPr>
            <w:tcW w:w="690" w:type="pct"/>
            <w:shd w:val="clear" w:color="auto" w:fill="FFFFFF"/>
          </w:tcPr>
          <w:p w14:paraId="76626C6C" w14:textId="77777777" w:rsidR="00320EBE" w:rsidRPr="005F3D85" w:rsidRDefault="00320EBE" w:rsidP="00757614">
            <w:pPr>
              <w:spacing w:after="0" w:line="240" w:lineRule="auto"/>
              <w:rPr>
                <w:rFonts w:ascii="Arial" w:eastAsia="Tahoma" w:hAnsi="Arial" w:cs="Arial"/>
                <w:sz w:val="20"/>
                <w:szCs w:val="20"/>
                <w:lang w:eastAsia="zh-CN"/>
              </w:rPr>
            </w:pPr>
            <w:r w:rsidRPr="005F3D85">
              <w:rPr>
                <w:rFonts w:ascii="Arial" w:eastAsia="Tahoma" w:hAnsi="Arial" w:cs="Arial"/>
                <w:sz w:val="20"/>
                <w:szCs w:val="20"/>
                <w:lang w:eastAsia="zh-CN"/>
              </w:rPr>
              <w:t>5</w:t>
            </w:r>
          </w:p>
        </w:tc>
        <w:tc>
          <w:tcPr>
            <w:tcW w:w="792" w:type="pct"/>
            <w:shd w:val="clear" w:color="auto" w:fill="FFFFFF"/>
          </w:tcPr>
          <w:p w14:paraId="38E6521D"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5</w:t>
            </w:r>
          </w:p>
        </w:tc>
      </w:tr>
      <w:tr w:rsidR="00320EBE" w:rsidRPr="005F3D85" w14:paraId="2BF31B1F" w14:textId="77777777" w:rsidTr="008B2814">
        <w:trPr>
          <w:trHeight w:val="171"/>
        </w:trPr>
        <w:tc>
          <w:tcPr>
            <w:tcW w:w="411" w:type="pct"/>
            <w:shd w:val="clear" w:color="auto" w:fill="FFFFFF"/>
          </w:tcPr>
          <w:p w14:paraId="5FABA8A3" w14:textId="77777777" w:rsidR="00320EBE" w:rsidRPr="005F3D85" w:rsidRDefault="00320EBE" w:rsidP="00757614">
            <w:pPr>
              <w:widowControl w:val="0"/>
              <w:numPr>
                <w:ilvl w:val="0"/>
                <w:numId w:val="2"/>
              </w:numPr>
              <w:tabs>
                <w:tab w:val="left" w:pos="425"/>
              </w:tabs>
              <w:spacing w:after="0" w:line="240" w:lineRule="auto"/>
              <w:ind w:left="0"/>
              <w:jc w:val="both"/>
              <w:rPr>
                <w:rFonts w:ascii="Arial" w:eastAsia="Tahoma" w:hAnsi="Arial" w:cs="Arial"/>
                <w:b/>
                <w:bCs/>
                <w:color w:val="000000"/>
                <w:sz w:val="20"/>
                <w:szCs w:val="20"/>
                <w:lang w:val="en-GB" w:eastAsia="zh-CN"/>
              </w:rPr>
            </w:pPr>
          </w:p>
        </w:tc>
        <w:tc>
          <w:tcPr>
            <w:tcW w:w="1640" w:type="pct"/>
            <w:shd w:val="clear" w:color="auto" w:fill="FFFFFF"/>
          </w:tcPr>
          <w:p w14:paraId="57715A24"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Telecommunication</w:t>
            </w:r>
          </w:p>
        </w:tc>
        <w:tc>
          <w:tcPr>
            <w:tcW w:w="863" w:type="pct"/>
            <w:shd w:val="clear" w:color="auto" w:fill="FFFFFF"/>
          </w:tcPr>
          <w:p w14:paraId="329C0A9E"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2020 - 2024</w:t>
            </w:r>
          </w:p>
        </w:tc>
        <w:tc>
          <w:tcPr>
            <w:tcW w:w="604" w:type="pct"/>
            <w:shd w:val="clear" w:color="auto" w:fill="FFFFFF"/>
          </w:tcPr>
          <w:p w14:paraId="27502CB0"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1</w:t>
            </w:r>
          </w:p>
        </w:tc>
        <w:tc>
          <w:tcPr>
            <w:tcW w:w="690" w:type="pct"/>
            <w:shd w:val="clear" w:color="auto" w:fill="FFFFFF"/>
          </w:tcPr>
          <w:p w14:paraId="49CF14E2" w14:textId="77777777" w:rsidR="00320EBE" w:rsidRPr="005F3D85" w:rsidRDefault="00320EBE" w:rsidP="00757614">
            <w:pPr>
              <w:spacing w:after="0" w:line="240" w:lineRule="auto"/>
              <w:rPr>
                <w:rFonts w:ascii="Arial" w:eastAsia="Tahoma" w:hAnsi="Arial" w:cs="Arial"/>
                <w:sz w:val="20"/>
                <w:szCs w:val="20"/>
                <w:lang w:eastAsia="zh-CN"/>
              </w:rPr>
            </w:pPr>
            <w:r w:rsidRPr="005F3D85">
              <w:rPr>
                <w:rFonts w:ascii="Arial" w:eastAsia="Tahoma" w:hAnsi="Arial" w:cs="Arial"/>
                <w:sz w:val="20"/>
                <w:szCs w:val="20"/>
                <w:lang w:eastAsia="zh-CN"/>
              </w:rPr>
              <w:t>5</w:t>
            </w:r>
          </w:p>
        </w:tc>
        <w:tc>
          <w:tcPr>
            <w:tcW w:w="792" w:type="pct"/>
            <w:shd w:val="clear" w:color="auto" w:fill="FFFFFF"/>
          </w:tcPr>
          <w:p w14:paraId="2860FDBE"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5</w:t>
            </w:r>
          </w:p>
        </w:tc>
      </w:tr>
      <w:tr w:rsidR="00320EBE" w:rsidRPr="005F3D85" w14:paraId="361B1A24" w14:textId="77777777" w:rsidTr="008B2814">
        <w:trPr>
          <w:trHeight w:val="181"/>
        </w:trPr>
        <w:tc>
          <w:tcPr>
            <w:tcW w:w="411" w:type="pct"/>
            <w:shd w:val="clear" w:color="auto" w:fill="FFFFFF"/>
          </w:tcPr>
          <w:p w14:paraId="28643779" w14:textId="77777777" w:rsidR="00320EBE" w:rsidRPr="005F3D85" w:rsidRDefault="00320EBE" w:rsidP="00757614">
            <w:pPr>
              <w:widowControl w:val="0"/>
              <w:spacing w:after="0" w:line="240" w:lineRule="auto"/>
              <w:jc w:val="both"/>
              <w:rPr>
                <w:rFonts w:ascii="Arial" w:eastAsia="Tahoma" w:hAnsi="Arial" w:cs="Arial"/>
                <w:b/>
                <w:bCs/>
                <w:color w:val="000000"/>
                <w:sz w:val="20"/>
                <w:szCs w:val="20"/>
                <w:lang w:val="en-GB" w:eastAsia="zh-CN"/>
              </w:rPr>
            </w:pPr>
          </w:p>
        </w:tc>
        <w:tc>
          <w:tcPr>
            <w:tcW w:w="1640" w:type="pct"/>
            <w:shd w:val="clear" w:color="auto" w:fill="FFFFFF"/>
          </w:tcPr>
          <w:p w14:paraId="27B0F42D"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Total Number of Years and Firms</w:t>
            </w:r>
          </w:p>
        </w:tc>
        <w:tc>
          <w:tcPr>
            <w:tcW w:w="863" w:type="pct"/>
            <w:shd w:val="clear" w:color="auto" w:fill="FFFFFF"/>
          </w:tcPr>
          <w:p w14:paraId="4A94264F"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p>
        </w:tc>
        <w:tc>
          <w:tcPr>
            <w:tcW w:w="604" w:type="pct"/>
            <w:shd w:val="clear" w:color="auto" w:fill="FFFFFF"/>
          </w:tcPr>
          <w:p w14:paraId="308E74E0"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28</w:t>
            </w:r>
          </w:p>
        </w:tc>
        <w:tc>
          <w:tcPr>
            <w:tcW w:w="690" w:type="pct"/>
            <w:shd w:val="clear" w:color="auto" w:fill="FFFFFF"/>
          </w:tcPr>
          <w:p w14:paraId="6426767C"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5</w:t>
            </w:r>
          </w:p>
        </w:tc>
        <w:tc>
          <w:tcPr>
            <w:tcW w:w="792" w:type="pct"/>
            <w:shd w:val="clear" w:color="auto" w:fill="FFFFFF"/>
          </w:tcPr>
          <w:p w14:paraId="329C6D55"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140</w:t>
            </w:r>
          </w:p>
        </w:tc>
      </w:tr>
    </w:tbl>
    <w:p w14:paraId="48C69CC3" w14:textId="5B0E22FE" w:rsidR="00E56F63" w:rsidRPr="005F3D85" w:rsidRDefault="00E56F63" w:rsidP="00757614">
      <w:pPr>
        <w:spacing w:after="0" w:line="240" w:lineRule="auto"/>
        <w:rPr>
          <w:rFonts w:ascii="Arial" w:hAnsi="Arial" w:cs="Arial"/>
          <w:sz w:val="20"/>
          <w:szCs w:val="20"/>
        </w:rPr>
      </w:pPr>
      <w:r w:rsidRPr="005F3D85">
        <w:rPr>
          <w:rFonts w:ascii="Arial" w:hAnsi="Arial" w:cs="Arial"/>
          <w:sz w:val="20"/>
          <w:szCs w:val="20"/>
        </w:rPr>
        <w:t>Source: Constructed by Author (202</w:t>
      </w:r>
      <w:r w:rsidR="00345CBB" w:rsidRPr="005F3D85">
        <w:rPr>
          <w:rFonts w:ascii="Arial" w:hAnsi="Arial" w:cs="Arial"/>
          <w:sz w:val="20"/>
          <w:szCs w:val="20"/>
        </w:rPr>
        <w:t>5</w:t>
      </w:r>
      <w:r w:rsidRPr="005F3D85">
        <w:rPr>
          <w:rFonts w:ascii="Arial" w:hAnsi="Arial" w:cs="Arial"/>
          <w:sz w:val="20"/>
          <w:szCs w:val="20"/>
        </w:rPr>
        <w:t>)</w:t>
      </w:r>
    </w:p>
    <w:p w14:paraId="32D75A06" w14:textId="77777777" w:rsidR="008B2814" w:rsidRPr="005F3D85" w:rsidRDefault="008B2814" w:rsidP="00757614">
      <w:pPr>
        <w:spacing w:after="0" w:line="240" w:lineRule="auto"/>
        <w:rPr>
          <w:rFonts w:ascii="Arial" w:hAnsi="Arial" w:cs="Arial"/>
          <w:sz w:val="24"/>
          <w:szCs w:val="24"/>
        </w:rPr>
      </w:pPr>
    </w:p>
    <w:p w14:paraId="14DF0ED2" w14:textId="5BA87F63" w:rsidR="00E56C48" w:rsidRPr="00392AAA" w:rsidRDefault="00E56C48" w:rsidP="00757614">
      <w:pPr>
        <w:spacing w:after="0" w:line="240" w:lineRule="auto"/>
        <w:jc w:val="both"/>
        <w:rPr>
          <w:rFonts w:ascii="Arial" w:hAnsi="Arial" w:cs="Arial"/>
          <w:b/>
          <w:sz w:val="20"/>
          <w:szCs w:val="20"/>
        </w:rPr>
      </w:pPr>
      <w:r w:rsidRPr="00392AAA">
        <w:rPr>
          <w:rFonts w:ascii="Arial" w:hAnsi="Arial" w:cs="Arial"/>
          <w:b/>
          <w:sz w:val="20"/>
          <w:szCs w:val="20"/>
        </w:rPr>
        <w:t>3.</w:t>
      </w:r>
      <w:r w:rsidR="006D6EED" w:rsidRPr="00392AAA">
        <w:rPr>
          <w:rFonts w:ascii="Arial" w:hAnsi="Arial" w:cs="Arial"/>
          <w:b/>
          <w:sz w:val="20"/>
          <w:szCs w:val="20"/>
        </w:rPr>
        <w:t>2</w:t>
      </w:r>
      <w:r w:rsidRPr="00392AAA">
        <w:rPr>
          <w:rFonts w:ascii="Arial" w:hAnsi="Arial" w:cs="Arial"/>
          <w:b/>
          <w:sz w:val="20"/>
          <w:szCs w:val="20"/>
        </w:rPr>
        <w:t xml:space="preserve"> Data Analysis</w:t>
      </w:r>
    </w:p>
    <w:p w14:paraId="355BD89A" w14:textId="0DC7CB83" w:rsidR="00873B4C" w:rsidRPr="005F3D85" w:rsidRDefault="00E439C4" w:rsidP="00757614">
      <w:pPr>
        <w:spacing w:after="0" w:line="240" w:lineRule="auto"/>
        <w:jc w:val="both"/>
        <w:rPr>
          <w:rFonts w:ascii="Arial" w:hAnsi="Arial" w:cs="Arial"/>
          <w:sz w:val="20"/>
          <w:szCs w:val="20"/>
        </w:rPr>
      </w:pPr>
      <w:r w:rsidRPr="005F3D85">
        <w:rPr>
          <w:rFonts w:ascii="Arial" w:hAnsi="Arial" w:cs="Arial"/>
          <w:sz w:val="20"/>
          <w:szCs w:val="20"/>
        </w:rPr>
        <w:t>S</w:t>
      </w:r>
      <w:r w:rsidR="00E56F63" w:rsidRPr="005F3D85">
        <w:rPr>
          <w:rFonts w:ascii="Arial" w:hAnsi="Arial" w:cs="Arial"/>
          <w:sz w:val="20"/>
          <w:szCs w:val="20"/>
        </w:rPr>
        <w:t>tudy</w:t>
      </w:r>
      <w:r w:rsidRPr="005F3D85">
        <w:rPr>
          <w:rFonts w:ascii="Arial" w:hAnsi="Arial" w:cs="Arial"/>
          <w:sz w:val="20"/>
          <w:szCs w:val="20"/>
        </w:rPr>
        <w:t xml:space="preserve"> </w:t>
      </w:r>
      <w:r w:rsidR="00E56F63" w:rsidRPr="005F3D85">
        <w:rPr>
          <w:rFonts w:ascii="Arial" w:hAnsi="Arial" w:cs="Arial"/>
          <w:sz w:val="20"/>
          <w:szCs w:val="20"/>
        </w:rPr>
        <w:t xml:space="preserve">employed an econometric method capable of estimating a model using panel data. </w:t>
      </w:r>
      <w:r w:rsidR="00CB38D2" w:rsidRPr="005F3D85">
        <w:rPr>
          <w:rFonts w:ascii="Arial" w:hAnsi="Arial" w:cs="Arial"/>
          <w:sz w:val="20"/>
          <w:szCs w:val="20"/>
        </w:rPr>
        <w:t>Empirical</w:t>
      </w:r>
      <w:r w:rsidR="00E56F63" w:rsidRPr="005F3D85">
        <w:rPr>
          <w:rFonts w:ascii="Arial" w:hAnsi="Arial" w:cs="Arial"/>
          <w:sz w:val="20"/>
          <w:szCs w:val="20"/>
        </w:rPr>
        <w:t xml:space="preserve"> econometric </w:t>
      </w:r>
      <w:r w:rsidR="00CB38D2" w:rsidRPr="005F3D85">
        <w:rPr>
          <w:rFonts w:ascii="Arial" w:hAnsi="Arial" w:cs="Arial"/>
          <w:sz w:val="20"/>
          <w:szCs w:val="20"/>
        </w:rPr>
        <w:t>models</w:t>
      </w:r>
      <w:r w:rsidR="00E56F63" w:rsidRPr="005F3D85">
        <w:rPr>
          <w:rFonts w:ascii="Arial" w:hAnsi="Arial" w:cs="Arial"/>
          <w:sz w:val="20"/>
          <w:szCs w:val="20"/>
        </w:rPr>
        <w:t xml:space="preserve"> known as</w:t>
      </w:r>
      <w:r w:rsidR="0007208B" w:rsidRPr="005F3D85">
        <w:rPr>
          <w:rFonts w:ascii="Arial" w:hAnsi="Arial" w:cs="Arial"/>
          <w:sz w:val="20"/>
          <w:szCs w:val="20"/>
        </w:rPr>
        <w:t xml:space="preserve"> random effect and fixed effect were employed</w:t>
      </w:r>
      <w:r w:rsidR="00E56F63" w:rsidRPr="005F3D85">
        <w:rPr>
          <w:rFonts w:ascii="Arial" w:hAnsi="Arial" w:cs="Arial"/>
          <w:sz w:val="20"/>
          <w:szCs w:val="20"/>
        </w:rPr>
        <w:t>. However,</w:t>
      </w:r>
      <w:r w:rsidR="0007208B" w:rsidRPr="005F3D85">
        <w:rPr>
          <w:rFonts w:ascii="Arial" w:hAnsi="Arial" w:cs="Arial"/>
          <w:sz w:val="20"/>
          <w:szCs w:val="20"/>
        </w:rPr>
        <w:t xml:space="preserve"> </w:t>
      </w:r>
      <w:r w:rsidR="00E56F63" w:rsidRPr="005F3D85">
        <w:rPr>
          <w:rFonts w:ascii="Arial" w:hAnsi="Arial" w:cs="Arial"/>
          <w:sz w:val="20"/>
          <w:szCs w:val="20"/>
        </w:rPr>
        <w:t>ARDL</w:t>
      </w:r>
      <w:r w:rsidR="0007208B" w:rsidRPr="005F3D85">
        <w:rPr>
          <w:rFonts w:ascii="Arial" w:hAnsi="Arial" w:cs="Arial"/>
          <w:sz w:val="20"/>
          <w:szCs w:val="20"/>
        </w:rPr>
        <w:t xml:space="preserve"> of Pesaran and Smith (1995) </w:t>
      </w:r>
      <w:r w:rsidR="00E56F63" w:rsidRPr="005F3D85">
        <w:rPr>
          <w:rFonts w:ascii="Arial" w:hAnsi="Arial" w:cs="Arial"/>
          <w:sz w:val="20"/>
          <w:szCs w:val="20"/>
        </w:rPr>
        <w:t>was planned</w:t>
      </w:r>
      <w:r w:rsidR="005A04AB" w:rsidRPr="005F3D85">
        <w:rPr>
          <w:rFonts w:ascii="Arial" w:hAnsi="Arial" w:cs="Arial"/>
          <w:sz w:val="20"/>
          <w:szCs w:val="20"/>
        </w:rPr>
        <w:t xml:space="preserve"> prior</w:t>
      </w:r>
      <w:r w:rsidR="00E56F63" w:rsidRPr="005F3D85">
        <w:rPr>
          <w:rFonts w:ascii="Arial" w:hAnsi="Arial" w:cs="Arial"/>
          <w:sz w:val="20"/>
          <w:szCs w:val="20"/>
        </w:rPr>
        <w:t xml:space="preserve"> so as to observe the long</w:t>
      </w:r>
      <w:r w:rsidR="00CB38D2" w:rsidRPr="005F3D85">
        <w:rPr>
          <w:rFonts w:ascii="Arial" w:hAnsi="Arial" w:cs="Arial"/>
          <w:sz w:val="20"/>
          <w:szCs w:val="20"/>
        </w:rPr>
        <w:t>-run</w:t>
      </w:r>
      <w:r w:rsidR="00E56F63" w:rsidRPr="005F3D85">
        <w:rPr>
          <w:rFonts w:ascii="Arial" w:hAnsi="Arial" w:cs="Arial"/>
          <w:sz w:val="20"/>
          <w:szCs w:val="20"/>
        </w:rPr>
        <w:t xml:space="preserve"> </w:t>
      </w:r>
      <w:r w:rsidR="00CB38D2" w:rsidRPr="005F3D85">
        <w:rPr>
          <w:rFonts w:ascii="Arial" w:hAnsi="Arial" w:cs="Arial"/>
          <w:sz w:val="20"/>
          <w:szCs w:val="20"/>
        </w:rPr>
        <w:t>effect.</w:t>
      </w:r>
      <w:r w:rsidR="00E56F63" w:rsidRPr="005F3D85">
        <w:rPr>
          <w:rFonts w:ascii="Arial" w:hAnsi="Arial" w:cs="Arial"/>
          <w:sz w:val="20"/>
          <w:szCs w:val="20"/>
        </w:rPr>
        <w:t xml:space="preserve"> </w:t>
      </w:r>
      <w:r w:rsidR="00CB38D2" w:rsidRPr="005F3D85">
        <w:rPr>
          <w:rFonts w:ascii="Arial" w:hAnsi="Arial" w:cs="Arial"/>
          <w:sz w:val="20"/>
          <w:szCs w:val="20"/>
        </w:rPr>
        <w:t>Due</w:t>
      </w:r>
      <w:r w:rsidR="00E56F63" w:rsidRPr="005F3D85">
        <w:rPr>
          <w:rFonts w:ascii="Arial" w:hAnsi="Arial" w:cs="Arial"/>
          <w:sz w:val="20"/>
          <w:szCs w:val="20"/>
        </w:rPr>
        <w:t xml:space="preserve"> to insufficient </w:t>
      </w:r>
      <w:r w:rsidR="00CB38D2" w:rsidRPr="005F3D85">
        <w:rPr>
          <w:rFonts w:ascii="Arial" w:hAnsi="Arial" w:cs="Arial"/>
          <w:sz w:val="20"/>
          <w:szCs w:val="20"/>
        </w:rPr>
        <w:t>cross-sectional</w:t>
      </w:r>
      <w:r w:rsidR="00E56F63" w:rsidRPr="005F3D85">
        <w:rPr>
          <w:rFonts w:ascii="Arial" w:hAnsi="Arial" w:cs="Arial"/>
          <w:sz w:val="20"/>
          <w:szCs w:val="20"/>
        </w:rPr>
        <w:t xml:space="preserve"> data in </w:t>
      </w:r>
      <w:r w:rsidR="005A04AB" w:rsidRPr="005F3D85">
        <w:rPr>
          <w:rFonts w:ascii="Arial" w:hAnsi="Arial" w:cs="Arial"/>
          <w:sz w:val="20"/>
          <w:szCs w:val="20"/>
        </w:rPr>
        <w:t xml:space="preserve">form of firms </w:t>
      </w:r>
      <w:r w:rsidR="00CB38D2" w:rsidRPr="005F3D85">
        <w:rPr>
          <w:rFonts w:ascii="Arial" w:hAnsi="Arial" w:cs="Arial"/>
          <w:sz w:val="20"/>
          <w:szCs w:val="20"/>
        </w:rPr>
        <w:t>being</w:t>
      </w:r>
      <w:r w:rsidR="005A04AB" w:rsidRPr="005F3D85">
        <w:rPr>
          <w:rFonts w:ascii="Arial" w:hAnsi="Arial" w:cs="Arial"/>
          <w:sz w:val="20"/>
          <w:szCs w:val="20"/>
        </w:rPr>
        <w:t xml:space="preserve"> less than </w:t>
      </w:r>
      <w:r w:rsidR="00CB38D2" w:rsidRPr="005F3D85">
        <w:rPr>
          <w:rFonts w:ascii="Arial" w:hAnsi="Arial" w:cs="Arial"/>
          <w:sz w:val="20"/>
          <w:szCs w:val="20"/>
        </w:rPr>
        <w:t>30 and</w:t>
      </w:r>
      <w:r w:rsidR="00E56F63" w:rsidRPr="005F3D85">
        <w:rPr>
          <w:rFonts w:ascii="Arial" w:hAnsi="Arial" w:cs="Arial"/>
          <w:sz w:val="20"/>
          <w:szCs w:val="20"/>
        </w:rPr>
        <w:t xml:space="preserve"> the r</w:t>
      </w:r>
      <w:r w:rsidR="00FD1DBC" w:rsidRPr="005F3D85">
        <w:rPr>
          <w:rFonts w:ascii="Arial" w:hAnsi="Arial" w:cs="Arial"/>
          <w:sz w:val="20"/>
          <w:szCs w:val="20"/>
        </w:rPr>
        <w:t xml:space="preserve">esult i &lt; t, the study used </w:t>
      </w:r>
      <w:r w:rsidR="00E56F63" w:rsidRPr="005F3D85">
        <w:rPr>
          <w:rFonts w:ascii="Arial" w:hAnsi="Arial" w:cs="Arial"/>
          <w:sz w:val="20"/>
          <w:szCs w:val="20"/>
        </w:rPr>
        <w:t>fixed</w:t>
      </w:r>
      <w:r w:rsidR="00CB38D2" w:rsidRPr="005F3D85">
        <w:rPr>
          <w:rFonts w:ascii="Arial" w:hAnsi="Arial" w:cs="Arial"/>
          <w:sz w:val="20"/>
          <w:szCs w:val="20"/>
        </w:rPr>
        <w:t>-effect</w:t>
      </w:r>
      <w:r w:rsidR="00FD1DBC" w:rsidRPr="005F3D85">
        <w:rPr>
          <w:rFonts w:ascii="Arial" w:hAnsi="Arial" w:cs="Arial"/>
          <w:sz w:val="20"/>
          <w:szCs w:val="20"/>
        </w:rPr>
        <w:t>s</w:t>
      </w:r>
      <w:r w:rsidR="00E56F63" w:rsidRPr="005F3D85">
        <w:rPr>
          <w:rFonts w:ascii="Arial" w:hAnsi="Arial" w:cs="Arial"/>
          <w:sz w:val="20"/>
          <w:szCs w:val="20"/>
        </w:rPr>
        <w:t xml:space="preserve"> model and random</w:t>
      </w:r>
      <w:r w:rsidR="00CB38D2" w:rsidRPr="005F3D85">
        <w:rPr>
          <w:rFonts w:ascii="Arial" w:hAnsi="Arial" w:cs="Arial"/>
          <w:sz w:val="20"/>
          <w:szCs w:val="20"/>
        </w:rPr>
        <w:t>-effect</w:t>
      </w:r>
      <w:r w:rsidR="00FD1DBC" w:rsidRPr="005F3D85">
        <w:rPr>
          <w:rFonts w:ascii="Arial" w:hAnsi="Arial" w:cs="Arial"/>
          <w:sz w:val="20"/>
          <w:szCs w:val="20"/>
        </w:rPr>
        <w:t>s</w:t>
      </w:r>
      <w:r w:rsidR="00E56F63" w:rsidRPr="005F3D85">
        <w:rPr>
          <w:rFonts w:ascii="Arial" w:hAnsi="Arial" w:cs="Arial"/>
          <w:sz w:val="20"/>
          <w:szCs w:val="20"/>
        </w:rPr>
        <w:t xml:space="preserve"> </w:t>
      </w:r>
      <w:r w:rsidR="001A6297" w:rsidRPr="005F3D85">
        <w:rPr>
          <w:rFonts w:ascii="Arial" w:hAnsi="Arial" w:cs="Arial"/>
          <w:sz w:val="20"/>
          <w:szCs w:val="20"/>
        </w:rPr>
        <w:t xml:space="preserve">to observe </w:t>
      </w:r>
      <w:r w:rsidR="00E56F63" w:rsidRPr="005F3D85">
        <w:rPr>
          <w:rFonts w:ascii="Arial" w:hAnsi="Arial" w:cs="Arial"/>
          <w:sz w:val="20"/>
          <w:szCs w:val="20"/>
        </w:rPr>
        <w:t>short</w:t>
      </w:r>
      <w:r w:rsidR="00CB38D2" w:rsidRPr="005F3D85">
        <w:rPr>
          <w:rFonts w:ascii="Arial" w:hAnsi="Arial" w:cs="Arial"/>
          <w:sz w:val="20"/>
          <w:szCs w:val="20"/>
        </w:rPr>
        <w:t>-run</w:t>
      </w:r>
      <w:r w:rsidR="00FD1DBC" w:rsidRPr="005F3D85">
        <w:rPr>
          <w:rFonts w:ascii="Arial" w:hAnsi="Arial" w:cs="Arial"/>
          <w:sz w:val="20"/>
          <w:szCs w:val="20"/>
        </w:rPr>
        <w:t xml:space="preserve"> relationship. P</w:t>
      </w:r>
      <w:r w:rsidR="00E56F63" w:rsidRPr="005F3D85">
        <w:rPr>
          <w:rFonts w:ascii="Arial" w:hAnsi="Arial" w:cs="Arial"/>
          <w:sz w:val="20"/>
          <w:szCs w:val="20"/>
        </w:rPr>
        <w:t>anel</w:t>
      </w:r>
      <w:r w:rsidR="00FD1DBC" w:rsidRPr="005F3D85">
        <w:rPr>
          <w:rFonts w:ascii="Arial" w:hAnsi="Arial" w:cs="Arial"/>
          <w:sz w:val="20"/>
          <w:szCs w:val="20"/>
        </w:rPr>
        <w:t xml:space="preserve"> </w:t>
      </w:r>
      <w:r w:rsidR="00E56F63" w:rsidRPr="005F3D85">
        <w:rPr>
          <w:rFonts w:ascii="Arial" w:hAnsi="Arial" w:cs="Arial"/>
          <w:sz w:val="20"/>
          <w:szCs w:val="20"/>
        </w:rPr>
        <w:t xml:space="preserve">data was processed through </w:t>
      </w:r>
      <w:r w:rsidR="00CB38D2" w:rsidRPr="005F3D85">
        <w:rPr>
          <w:rFonts w:ascii="Arial" w:hAnsi="Arial" w:cs="Arial"/>
          <w:sz w:val="20"/>
          <w:szCs w:val="20"/>
        </w:rPr>
        <w:t>EViews</w:t>
      </w:r>
      <w:r w:rsidR="00E56F63" w:rsidRPr="005F3D85">
        <w:rPr>
          <w:rFonts w:ascii="Arial" w:hAnsi="Arial" w:cs="Arial"/>
          <w:sz w:val="20"/>
          <w:szCs w:val="20"/>
        </w:rPr>
        <w:t xml:space="preserve"> version 10 through the following equation.</w:t>
      </w:r>
    </w:p>
    <w:bookmarkStart w:id="9" w:name="_Toc159669374"/>
    <w:bookmarkStart w:id="10" w:name="_Toc159669432"/>
    <w:p w14:paraId="1F91638A" w14:textId="5A3FD75F" w:rsidR="00873B4C" w:rsidRPr="005F3D85" w:rsidRDefault="00983F2E" w:rsidP="00757614">
      <w:pPr>
        <w:spacing w:after="0" w:line="240" w:lineRule="auto"/>
        <w:jc w:val="both"/>
        <w:rPr>
          <w:rFonts w:ascii="Arial" w:hAnsi="Arial" w:cs="Arial"/>
          <w:bCs/>
          <w:iCs/>
          <w:sz w:val="20"/>
          <w:szCs w:val="20"/>
          <w:lang w:val="en-GB"/>
        </w:rPr>
      </w:pPr>
      <m:oMath>
        <m:sSub>
          <m:sSubPr>
            <m:ctrlPr>
              <w:rPr>
                <w:rFonts w:ascii="Cambria Math" w:hAnsi="Cambria Math" w:cs="Arial"/>
                <w:bCs/>
                <w:iCs/>
                <w:sz w:val="20"/>
                <w:szCs w:val="20"/>
                <w:lang w:val="en-GB"/>
              </w:rPr>
            </m:ctrlPr>
          </m:sSubPr>
          <m:e>
            <m:r>
              <w:rPr>
                <w:rFonts w:ascii="Cambria Math" w:hAnsi="Cambria Math" w:cs="Arial"/>
                <w:sz w:val="20"/>
                <w:szCs w:val="20"/>
                <w:lang w:val="en-GB"/>
              </w:rPr>
              <m:t>FP</m:t>
            </m:r>
          </m:e>
          <m:sub>
            <m:r>
              <w:rPr>
                <w:rFonts w:ascii="Cambria Math" w:hAnsi="Cambria Math" w:cs="Arial"/>
                <w:sz w:val="20"/>
                <w:szCs w:val="20"/>
                <w:lang w:val="en-GB"/>
              </w:rPr>
              <m:t>it</m:t>
            </m:r>
          </m:sub>
        </m:sSub>
      </m:oMath>
      <w:r w:rsidR="00873B4C" w:rsidRPr="005F3D85">
        <w:rPr>
          <w:rFonts w:ascii="Arial" w:hAnsi="Arial" w:cs="Arial"/>
          <w:bCs/>
          <w:iCs/>
          <w:sz w:val="20"/>
          <w:szCs w:val="20"/>
          <w:lang w:val="en-GB"/>
        </w:rPr>
        <w:t xml:space="preserve"> = </w:t>
      </w:r>
      <m:oMath>
        <m:sSub>
          <m:sSubPr>
            <m:ctrlPr>
              <w:rPr>
                <w:rFonts w:ascii="Cambria Math" w:hAnsi="Cambria Math" w:cs="Arial"/>
                <w:bCs/>
                <w:iCs/>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i</m:t>
            </m:r>
          </m:sub>
        </m:sSub>
      </m:oMath>
      <w:r w:rsidR="00873B4C" w:rsidRPr="005F3D85">
        <w:rPr>
          <w:rFonts w:ascii="Arial" w:hAnsi="Arial" w:cs="Arial"/>
          <w:bCs/>
          <w:iCs/>
          <w:sz w:val="20"/>
          <w:szCs w:val="20"/>
          <w:lang w:val="en-GB"/>
        </w:rPr>
        <w:t xml:space="preserve"> +</w:t>
      </w:r>
      <m:oMath>
        <m:sSub>
          <m:sSubPr>
            <m:ctrlPr>
              <w:rPr>
                <w:rFonts w:ascii="Cambria Math" w:hAnsi="Cambria Math" w:cs="Arial"/>
                <w:bCs/>
                <w:iCs/>
                <w:sz w:val="20"/>
                <w:szCs w:val="20"/>
                <w:lang w:val="en-GB"/>
              </w:rPr>
            </m:ctrlPr>
          </m:sSubPr>
          <m:e>
            <m:r>
              <w:rPr>
                <w:rFonts w:ascii="Cambria Math" w:hAnsi="Cambria Math" w:cs="Arial"/>
                <w:sz w:val="20"/>
                <w:szCs w:val="20"/>
                <w:lang w:val="en-GB"/>
              </w:rPr>
              <m:t>β</m:t>
            </m:r>
          </m:e>
          <m:sub>
            <m:r>
              <m:rPr>
                <m:sty m:val="p"/>
              </m:rPr>
              <w:rPr>
                <w:rFonts w:ascii="Cambria Math" w:hAnsi="Cambria Math" w:cs="Arial"/>
                <w:sz w:val="20"/>
                <w:szCs w:val="20"/>
                <w:lang w:val="en-GB"/>
              </w:rPr>
              <m:t>1</m:t>
            </m:r>
          </m:sub>
        </m:sSub>
        <m:sSub>
          <m:sSubPr>
            <m:ctrlPr>
              <w:rPr>
                <w:rFonts w:ascii="Cambria Math" w:hAnsi="Cambria Math" w:cs="Arial"/>
                <w:bCs/>
                <w:iCs/>
                <w:sz w:val="20"/>
                <w:szCs w:val="20"/>
                <w:lang w:val="en-GB"/>
              </w:rPr>
            </m:ctrlPr>
          </m:sSubPr>
          <m:e>
            <m:r>
              <w:rPr>
                <w:rFonts w:ascii="Cambria Math" w:hAnsi="Cambria Math" w:cs="Arial"/>
                <w:sz w:val="20"/>
                <w:szCs w:val="20"/>
                <w:lang w:val="en-GB"/>
              </w:rPr>
              <m:t>SP</m:t>
            </m:r>
          </m:e>
          <m:sub>
            <m:r>
              <w:rPr>
                <w:rFonts w:ascii="Cambria Math" w:hAnsi="Cambria Math" w:cs="Arial"/>
                <w:sz w:val="20"/>
                <w:szCs w:val="20"/>
                <w:lang w:val="en-GB"/>
              </w:rPr>
              <m:t>it</m:t>
            </m:r>
          </m:sub>
        </m:sSub>
      </m:oMath>
      <w:r w:rsidR="00873B4C" w:rsidRPr="005F3D85">
        <w:rPr>
          <w:rFonts w:ascii="Arial" w:hAnsi="Arial" w:cs="Arial"/>
          <w:bCs/>
          <w:iCs/>
          <w:sz w:val="20"/>
          <w:szCs w:val="20"/>
          <w:lang w:val="en-GB"/>
        </w:rPr>
        <w:t xml:space="preserve">+ </w:t>
      </w:r>
      <m:oMath>
        <m:sSub>
          <m:sSubPr>
            <m:ctrlPr>
              <w:rPr>
                <w:rFonts w:ascii="Cambria Math" w:hAnsi="Cambria Math" w:cs="Arial"/>
                <w:bCs/>
                <w:iCs/>
                <w:sz w:val="20"/>
                <w:szCs w:val="20"/>
                <w:lang w:val="en-GB"/>
              </w:rPr>
            </m:ctrlPr>
          </m:sSubPr>
          <m:e>
            <m:r>
              <w:rPr>
                <w:rFonts w:ascii="Cambria Math" w:hAnsi="Cambria Math" w:cs="Arial"/>
                <w:sz w:val="20"/>
                <w:szCs w:val="20"/>
                <w:lang w:val="en-GB"/>
              </w:rPr>
              <m:t>β</m:t>
            </m:r>
          </m:e>
          <m:sub>
            <m:r>
              <m:rPr>
                <m:sty m:val="p"/>
              </m:rPr>
              <w:rPr>
                <w:rFonts w:ascii="Cambria Math" w:hAnsi="Cambria Math" w:cs="Arial"/>
                <w:sz w:val="20"/>
                <w:szCs w:val="20"/>
                <w:lang w:val="en-GB"/>
              </w:rPr>
              <m:t>2</m:t>
            </m:r>
          </m:sub>
        </m:sSub>
        <m:sSub>
          <m:sSubPr>
            <m:ctrlPr>
              <w:rPr>
                <w:rFonts w:ascii="Cambria Math" w:hAnsi="Cambria Math" w:cs="Arial"/>
                <w:bCs/>
                <w:iCs/>
                <w:sz w:val="20"/>
                <w:szCs w:val="20"/>
                <w:lang w:val="en-GB"/>
              </w:rPr>
            </m:ctrlPr>
          </m:sSubPr>
          <m:e>
            <m:r>
              <w:rPr>
                <w:rFonts w:ascii="Cambria Math" w:hAnsi="Cambria Math" w:cs="Arial"/>
                <w:sz w:val="20"/>
                <w:szCs w:val="20"/>
                <w:lang w:val="en-GB"/>
              </w:rPr>
              <m:t>CRM</m:t>
            </m:r>
          </m:e>
          <m:sub>
            <m:r>
              <w:rPr>
                <w:rFonts w:ascii="Cambria Math" w:hAnsi="Cambria Math" w:cs="Arial"/>
                <w:sz w:val="20"/>
                <w:szCs w:val="20"/>
                <w:lang w:val="en-GB"/>
              </w:rPr>
              <m:t>2it</m:t>
            </m:r>
          </m:sub>
        </m:sSub>
      </m:oMath>
      <w:r w:rsidR="00873B4C" w:rsidRPr="005F3D85">
        <w:rPr>
          <w:rFonts w:ascii="Arial" w:hAnsi="Arial" w:cs="Arial"/>
          <w:bCs/>
          <w:iCs/>
          <w:sz w:val="20"/>
          <w:szCs w:val="20"/>
          <w:lang w:val="en-GB"/>
        </w:rPr>
        <w:t>+</w:t>
      </w:r>
      <m:oMath>
        <m:sSub>
          <m:sSubPr>
            <m:ctrlPr>
              <w:rPr>
                <w:rFonts w:ascii="Cambria Math" w:hAnsi="Cambria Math" w:cs="Arial"/>
                <w:bCs/>
                <w:iCs/>
                <w:sz w:val="20"/>
                <w:szCs w:val="20"/>
                <w:lang w:val="en-GB"/>
              </w:rPr>
            </m:ctrlPr>
          </m:sSubPr>
          <m:e>
            <m:r>
              <w:rPr>
                <w:rFonts w:ascii="Cambria Math" w:hAnsi="Cambria Math" w:cs="Arial"/>
                <w:sz w:val="20"/>
                <w:szCs w:val="20"/>
                <w:lang w:val="en-GB"/>
              </w:rPr>
              <m:t>ε</m:t>
            </m:r>
          </m:e>
          <m:sub>
            <m:r>
              <w:rPr>
                <w:rFonts w:ascii="Cambria Math" w:hAnsi="Cambria Math" w:cs="Arial"/>
                <w:sz w:val="20"/>
                <w:szCs w:val="20"/>
                <w:lang w:val="en-GB"/>
              </w:rPr>
              <m:t>it..............(eq)  1</m:t>
            </m:r>
          </m:sub>
        </m:sSub>
      </m:oMath>
    </w:p>
    <w:p w14:paraId="27A46593" w14:textId="0DDDE25E" w:rsidR="00873B4C" w:rsidRPr="005F3D85" w:rsidRDefault="00983F2E" w:rsidP="00757614">
      <w:pPr>
        <w:spacing w:after="0" w:line="240" w:lineRule="auto"/>
        <w:jc w:val="both"/>
        <w:rPr>
          <w:rFonts w:ascii="Arial" w:hAnsi="Arial" w:cs="Arial"/>
          <w:sz w:val="20"/>
          <w:szCs w:val="20"/>
          <w:lang w:val="en-GB"/>
        </w:rPr>
      </w:pPr>
      <m:oMath>
        <m:sSub>
          <m:sSubPr>
            <m:ctrlPr>
              <w:rPr>
                <w:rFonts w:ascii="Cambria Math" w:hAnsi="Cambria Math" w:cs="Arial"/>
                <w:sz w:val="20"/>
                <w:szCs w:val="20"/>
                <w:lang w:val="en-GB"/>
              </w:rPr>
            </m:ctrlPr>
          </m:sSubPr>
          <m:e>
            <m:r>
              <m:rPr>
                <m:sty m:val="p"/>
              </m:rPr>
              <w:rPr>
                <w:rFonts w:ascii="Cambria Math" w:hAnsi="Cambria Math" w:cs="Arial"/>
                <w:sz w:val="20"/>
                <w:szCs w:val="20"/>
                <w:lang w:val="en-GB"/>
              </w:rPr>
              <m:t>ε</m:t>
            </m:r>
          </m:e>
          <m:sub>
            <m:r>
              <w:rPr>
                <w:rFonts w:ascii="Cambria Math" w:hAnsi="Cambria Math" w:cs="Arial"/>
                <w:sz w:val="20"/>
                <w:szCs w:val="20"/>
                <w:lang w:val="en-GB"/>
              </w:rPr>
              <m:t>it</m:t>
            </m:r>
          </m:sub>
        </m:sSub>
      </m:oMath>
      <w:r w:rsidR="00873B4C" w:rsidRPr="005F3D85">
        <w:rPr>
          <w:rFonts w:ascii="Arial" w:hAnsi="Arial" w:cs="Arial"/>
          <w:sz w:val="20"/>
          <w:szCs w:val="20"/>
          <w:lang w:val="en-GB"/>
        </w:rPr>
        <w:t xml:space="preserve"> It is typically assumed to be IID (0,</w:t>
      </w:r>
      <m:oMath>
        <m:sSubSup>
          <m:sSubSupPr>
            <m:ctrlPr>
              <w:rPr>
                <w:rFonts w:ascii="Cambria Math" w:hAnsi="Cambria Math" w:cs="Arial"/>
                <w:sz w:val="20"/>
                <w:szCs w:val="20"/>
                <w:lang w:val="en-GB"/>
              </w:rPr>
            </m:ctrlPr>
          </m:sSubSupPr>
          <m:e>
            <m:r>
              <m:rPr>
                <m:sty m:val="p"/>
              </m:rPr>
              <w:rPr>
                <w:rFonts w:ascii="Cambria Math" w:hAnsi="Cambria Math" w:cs="Arial"/>
                <w:sz w:val="20"/>
                <w:szCs w:val="20"/>
                <w:lang w:val="en-GB"/>
              </w:rPr>
              <m:t>δ</m:t>
            </m:r>
          </m:e>
          <m:sub>
            <m:r>
              <m:rPr>
                <m:sty m:val="p"/>
              </m:rPr>
              <w:rPr>
                <w:rFonts w:ascii="Cambria Math" w:hAnsi="Cambria Math" w:cs="Arial"/>
                <w:sz w:val="20"/>
                <w:szCs w:val="20"/>
                <w:lang w:val="en-GB"/>
              </w:rPr>
              <m:t>u,i</m:t>
            </m:r>
          </m:sub>
          <m:sup>
            <m:r>
              <m:rPr>
                <m:sty m:val="p"/>
              </m:rPr>
              <w:rPr>
                <w:rFonts w:ascii="Cambria Math" w:hAnsi="Cambria Math" w:cs="Arial"/>
                <w:sz w:val="20"/>
                <w:szCs w:val="20"/>
                <w:lang w:val="en-GB"/>
              </w:rPr>
              <m:t>2</m:t>
            </m:r>
          </m:sup>
        </m:sSubSup>
      </m:oMath>
      <w:r w:rsidR="00873B4C" w:rsidRPr="005F3D85">
        <w:rPr>
          <w:rFonts w:ascii="Arial" w:hAnsi="Arial" w:cs="Arial"/>
          <w:sz w:val="20"/>
          <w:szCs w:val="20"/>
          <w:lang w:val="en-GB"/>
        </w:rPr>
        <w:t>). This represents error term for assumption</w:t>
      </w:r>
      <w:r w:rsidR="007508E1" w:rsidRPr="005F3D85">
        <w:rPr>
          <w:rFonts w:ascii="Arial" w:hAnsi="Arial" w:cs="Arial"/>
          <w:sz w:val="20"/>
          <w:szCs w:val="20"/>
          <w:lang w:val="en-GB"/>
        </w:rPr>
        <w:t>s</w:t>
      </w:r>
      <w:r w:rsidR="00873B4C" w:rsidRPr="005F3D85">
        <w:rPr>
          <w:rFonts w:ascii="Arial" w:hAnsi="Arial" w:cs="Arial"/>
          <w:sz w:val="20"/>
          <w:szCs w:val="20"/>
          <w:lang w:val="en-GB"/>
        </w:rPr>
        <w:t xml:space="preserve"> of normally distribution with 0</w:t>
      </w:r>
      <w:r w:rsidR="00873B4C" w:rsidRPr="005F3D85">
        <w:rPr>
          <w:rFonts w:ascii="Arial" w:hAnsi="Arial" w:cs="Arial"/>
          <w:sz w:val="20"/>
          <w:szCs w:val="20"/>
        </w:rPr>
        <w:t xml:space="preserve"> </w:t>
      </w:r>
      <w:r w:rsidR="00873B4C" w:rsidRPr="005F3D85">
        <w:rPr>
          <w:rFonts w:ascii="Arial" w:hAnsi="Arial" w:cs="Arial"/>
          <w:sz w:val="20"/>
          <w:szCs w:val="20"/>
          <w:lang w:val="en-GB"/>
        </w:rPr>
        <w:t xml:space="preserve">mean value and constant of variance. </w:t>
      </w:r>
      <w:r w:rsidR="00873B4C" w:rsidRPr="005F3D85">
        <w:rPr>
          <w:rFonts w:ascii="Arial" w:hAnsi="Arial" w:cs="Arial"/>
          <w:i/>
          <w:iCs/>
          <w:sz w:val="20"/>
          <w:szCs w:val="20"/>
          <w:lang w:val="en-GB"/>
        </w:rPr>
        <w:t>FP</w:t>
      </w:r>
      <w:r w:rsidR="00873B4C" w:rsidRPr="005F3D85">
        <w:rPr>
          <w:rFonts w:ascii="Arial" w:hAnsi="Arial" w:cs="Arial"/>
          <w:i/>
          <w:iCs/>
          <w:sz w:val="20"/>
          <w:szCs w:val="20"/>
          <w:vertAlign w:val="subscript"/>
          <w:lang w:val="en-GB"/>
        </w:rPr>
        <w:t xml:space="preserve">it </w:t>
      </w:r>
      <w:r w:rsidR="00873B4C" w:rsidRPr="005F3D85">
        <w:rPr>
          <w:rFonts w:ascii="Arial" w:hAnsi="Arial" w:cs="Arial"/>
          <w:iCs/>
          <w:sz w:val="20"/>
          <w:szCs w:val="20"/>
          <w:lang w:val="en-GB"/>
        </w:rPr>
        <w:t>is</w:t>
      </w:r>
      <w:r w:rsidR="00873B4C" w:rsidRPr="005F3D85">
        <w:rPr>
          <w:rFonts w:ascii="Arial" w:hAnsi="Arial" w:cs="Arial"/>
          <w:sz w:val="20"/>
          <w:szCs w:val="20"/>
          <w:lang w:val="en-GB"/>
        </w:rPr>
        <w:t xml:space="preserve"> firm’s performance of firm</w:t>
      </w:r>
      <w:r w:rsidR="001A6297" w:rsidRPr="005F3D85">
        <w:rPr>
          <w:rFonts w:ascii="Arial" w:hAnsi="Arial" w:cs="Arial"/>
          <w:sz w:val="20"/>
          <w:szCs w:val="20"/>
          <w:lang w:val="en-GB"/>
        </w:rPr>
        <w:t xml:space="preserve">s </w:t>
      </w:r>
      <w:r w:rsidR="001A6297" w:rsidRPr="005F3D85">
        <w:rPr>
          <w:rFonts w:ascii="Arial" w:hAnsi="Arial" w:cs="Arial"/>
          <w:i/>
          <w:iCs/>
          <w:sz w:val="20"/>
          <w:szCs w:val="20"/>
          <w:lang w:val="en-GB"/>
        </w:rPr>
        <w:t>i</w:t>
      </w:r>
      <w:r w:rsidR="001A6297" w:rsidRPr="005F3D85">
        <w:rPr>
          <w:rFonts w:ascii="Arial" w:hAnsi="Arial" w:cs="Arial"/>
          <w:sz w:val="20"/>
          <w:szCs w:val="20"/>
          <w:lang w:val="en-GB"/>
        </w:rPr>
        <w:t xml:space="preserve"> </w:t>
      </w:r>
      <w:r w:rsidR="006B404B" w:rsidRPr="005F3D85">
        <w:rPr>
          <w:rFonts w:ascii="Arial" w:hAnsi="Arial" w:cs="Arial"/>
          <w:sz w:val="20"/>
          <w:szCs w:val="20"/>
          <w:lang w:val="en-GB"/>
        </w:rPr>
        <w:t>on</w:t>
      </w:r>
      <w:r w:rsidR="001A6297" w:rsidRPr="005F3D85">
        <w:rPr>
          <w:rFonts w:ascii="Arial" w:hAnsi="Arial" w:cs="Arial"/>
          <w:sz w:val="20"/>
          <w:szCs w:val="20"/>
          <w:lang w:val="en-GB"/>
        </w:rPr>
        <w:t xml:space="preserve"> time</w:t>
      </w:r>
      <w:r w:rsidR="001A6297" w:rsidRPr="005F3D85">
        <w:rPr>
          <w:rFonts w:ascii="Arial" w:hAnsi="Arial" w:cs="Arial"/>
          <w:i/>
          <w:sz w:val="20"/>
          <w:szCs w:val="20"/>
          <w:lang w:val="en-GB"/>
        </w:rPr>
        <w:t xml:space="preserve"> t</w:t>
      </w:r>
      <w:r w:rsidR="001A6297" w:rsidRPr="005F3D85">
        <w:rPr>
          <w:rFonts w:ascii="Arial" w:hAnsi="Arial" w:cs="Arial"/>
          <w:sz w:val="20"/>
          <w:szCs w:val="20"/>
          <w:lang w:val="en-GB"/>
        </w:rPr>
        <w:t xml:space="preserve">, </w:t>
      </w:r>
      <w:r w:rsidR="00873B4C" w:rsidRPr="005F3D85">
        <w:rPr>
          <w:rFonts w:ascii="Arial" w:hAnsi="Arial" w:cs="Arial"/>
          <w:sz w:val="20"/>
          <w:szCs w:val="20"/>
          <w:lang w:val="en-GB"/>
        </w:rPr>
        <w:t>firm’s performance was measured by ROE.</w:t>
      </w:r>
      <w:bookmarkEnd w:id="9"/>
      <w:bookmarkEnd w:id="10"/>
    </w:p>
    <w:p w14:paraId="68D973F8" w14:textId="77777777" w:rsidR="00E56F63" w:rsidRPr="005F3D85" w:rsidRDefault="00873B4C" w:rsidP="00757614">
      <w:pPr>
        <w:spacing w:after="0" w:line="240" w:lineRule="auto"/>
        <w:jc w:val="both"/>
        <w:rPr>
          <w:rFonts w:ascii="Arial" w:hAnsi="Arial" w:cs="Arial"/>
          <w:sz w:val="20"/>
          <w:szCs w:val="20"/>
        </w:rPr>
      </w:pPr>
      <w:r w:rsidRPr="005F3D85">
        <w:rPr>
          <w:rFonts w:ascii="Arial" w:hAnsi="Arial" w:cs="Arial"/>
          <w:sz w:val="20"/>
          <w:szCs w:val="20"/>
        </w:rPr>
        <w:t xml:space="preserve"> </w:t>
      </w:r>
      <w:r w:rsidR="00E56F63" w:rsidRPr="005F3D85">
        <w:rPr>
          <w:rFonts w:ascii="Arial" w:hAnsi="Arial" w:cs="Arial"/>
          <w:sz w:val="20"/>
          <w:szCs w:val="20"/>
        </w:rPr>
        <w:t xml:space="preserve"> </w:t>
      </w:r>
      <w:r w:rsidRPr="005F3D85">
        <w:rPr>
          <w:rFonts w:ascii="Arial" w:hAnsi="Arial" w:cs="Arial"/>
          <w:sz w:val="20"/>
          <w:szCs w:val="20"/>
        </w:rPr>
        <w:t>FP</w:t>
      </w:r>
      <w:r w:rsidRPr="005F3D85">
        <w:rPr>
          <w:rFonts w:ascii="Arial" w:hAnsi="Arial" w:cs="Arial"/>
          <w:sz w:val="20"/>
          <w:szCs w:val="20"/>
        </w:rPr>
        <w:tab/>
      </w:r>
      <w:r w:rsidRPr="005F3D85">
        <w:rPr>
          <w:rFonts w:ascii="Arial" w:hAnsi="Arial" w:cs="Arial"/>
          <w:sz w:val="20"/>
          <w:szCs w:val="20"/>
        </w:rPr>
        <w:tab/>
        <w:t>R</w:t>
      </w:r>
      <w:r w:rsidR="00E56F63" w:rsidRPr="005F3D85">
        <w:rPr>
          <w:rFonts w:ascii="Arial" w:hAnsi="Arial" w:cs="Arial"/>
          <w:sz w:val="20"/>
          <w:szCs w:val="20"/>
        </w:rPr>
        <w:t>epresents Firm’s Performance</w:t>
      </w:r>
    </w:p>
    <w:p w14:paraId="7942DA71" w14:textId="77777777" w:rsidR="00E56F63" w:rsidRPr="005F3D85" w:rsidRDefault="00983F2E" w:rsidP="00757614">
      <w:pPr>
        <w:spacing w:after="0" w:line="240" w:lineRule="auto"/>
        <w:rPr>
          <w:rFonts w:ascii="Arial" w:hAnsi="Arial" w:cs="Arial"/>
          <w:sz w:val="20"/>
          <w:szCs w:val="20"/>
        </w:rPr>
      </w:pPr>
      <m:oMath>
        <m:sSub>
          <m:sSubPr>
            <m:ctrlPr>
              <w:rPr>
                <w:rFonts w:ascii="Cambria Math" w:hAnsi="Cambria Math" w:cs="Arial"/>
                <w:bCs/>
                <w:iCs/>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i</m:t>
            </m:r>
          </m:sub>
        </m:sSub>
      </m:oMath>
      <w:r w:rsidR="00873B4C" w:rsidRPr="005F3D85">
        <w:rPr>
          <w:rFonts w:ascii="Arial" w:hAnsi="Arial" w:cs="Arial"/>
          <w:sz w:val="20"/>
          <w:szCs w:val="20"/>
        </w:rPr>
        <w:tab/>
      </w:r>
      <w:r w:rsidR="00873B4C" w:rsidRPr="005F3D85">
        <w:rPr>
          <w:rFonts w:ascii="Arial" w:hAnsi="Arial" w:cs="Arial"/>
          <w:sz w:val="20"/>
          <w:szCs w:val="20"/>
        </w:rPr>
        <w:tab/>
      </w:r>
      <w:r w:rsidR="00E56F63" w:rsidRPr="005F3D85">
        <w:rPr>
          <w:rFonts w:ascii="Arial" w:hAnsi="Arial" w:cs="Arial"/>
          <w:sz w:val="20"/>
          <w:szCs w:val="20"/>
        </w:rPr>
        <w:t>Represents constant</w:t>
      </w:r>
    </w:p>
    <w:p w14:paraId="14C309BB" w14:textId="60C53338" w:rsidR="00E56F63" w:rsidRPr="005F3D85" w:rsidRDefault="00873B4C" w:rsidP="00757614">
      <w:pPr>
        <w:spacing w:after="0" w:line="240" w:lineRule="auto"/>
        <w:rPr>
          <w:rFonts w:ascii="Arial" w:hAnsi="Arial" w:cs="Arial"/>
          <w:sz w:val="20"/>
          <w:szCs w:val="20"/>
        </w:rPr>
      </w:pPr>
      <w:r w:rsidRPr="005F3D85">
        <w:rPr>
          <w:rFonts w:ascii="Arial" w:hAnsi="Arial" w:cs="Arial"/>
          <w:sz w:val="20"/>
          <w:szCs w:val="20"/>
        </w:rPr>
        <w:t>β1, 2</w:t>
      </w:r>
      <w:r w:rsidR="00E56C48" w:rsidRPr="005F3D85">
        <w:rPr>
          <w:rFonts w:ascii="Arial" w:hAnsi="Arial" w:cs="Arial"/>
          <w:sz w:val="20"/>
          <w:szCs w:val="20"/>
        </w:rPr>
        <w:tab/>
      </w:r>
      <w:r w:rsidRPr="005F3D85">
        <w:rPr>
          <w:rFonts w:ascii="Arial" w:hAnsi="Arial" w:cs="Arial"/>
          <w:sz w:val="20"/>
          <w:szCs w:val="20"/>
        </w:rPr>
        <w:tab/>
        <w:t>R</w:t>
      </w:r>
      <w:r w:rsidR="00E56F63" w:rsidRPr="005F3D85">
        <w:rPr>
          <w:rFonts w:ascii="Arial" w:hAnsi="Arial" w:cs="Arial"/>
          <w:sz w:val="20"/>
          <w:szCs w:val="20"/>
        </w:rPr>
        <w:t>epresents coefficients</w:t>
      </w:r>
    </w:p>
    <w:p w14:paraId="1958F4F9" w14:textId="77777777" w:rsidR="00E56F63" w:rsidRPr="005F3D85" w:rsidRDefault="00E56F63" w:rsidP="00757614">
      <w:pPr>
        <w:spacing w:after="0" w:line="240" w:lineRule="auto"/>
        <w:rPr>
          <w:rFonts w:ascii="Arial" w:hAnsi="Arial" w:cs="Arial"/>
          <w:sz w:val="20"/>
          <w:szCs w:val="20"/>
        </w:rPr>
      </w:pPr>
      <w:r w:rsidRPr="005F3D85">
        <w:rPr>
          <w:rFonts w:ascii="Arial" w:hAnsi="Arial" w:cs="Arial"/>
          <w:sz w:val="20"/>
          <w:szCs w:val="20"/>
        </w:rPr>
        <w:t>Ɛ</w:t>
      </w:r>
      <w:r w:rsidR="00873B4C" w:rsidRPr="005F3D85">
        <w:rPr>
          <w:rFonts w:ascii="Arial" w:hAnsi="Arial" w:cs="Arial"/>
          <w:sz w:val="20"/>
          <w:szCs w:val="20"/>
        </w:rPr>
        <w:tab/>
      </w:r>
      <w:r w:rsidR="00873B4C" w:rsidRPr="005F3D85">
        <w:rPr>
          <w:rFonts w:ascii="Arial" w:hAnsi="Arial" w:cs="Arial"/>
          <w:sz w:val="20"/>
          <w:szCs w:val="20"/>
        </w:rPr>
        <w:tab/>
        <w:t>R</w:t>
      </w:r>
      <w:r w:rsidRPr="005F3D85">
        <w:rPr>
          <w:rFonts w:ascii="Arial" w:hAnsi="Arial" w:cs="Arial"/>
          <w:sz w:val="20"/>
          <w:szCs w:val="20"/>
        </w:rPr>
        <w:t>epresents error term</w:t>
      </w:r>
    </w:p>
    <w:p w14:paraId="58A7C21A" w14:textId="77777777" w:rsidR="00E56F63" w:rsidRPr="005F3D85" w:rsidRDefault="00873B4C" w:rsidP="00757614">
      <w:pPr>
        <w:spacing w:after="0" w:line="240" w:lineRule="auto"/>
        <w:rPr>
          <w:rFonts w:ascii="Arial" w:hAnsi="Arial" w:cs="Arial"/>
          <w:sz w:val="20"/>
          <w:szCs w:val="20"/>
        </w:rPr>
      </w:pPr>
      <w:r w:rsidRPr="005F3D85">
        <w:rPr>
          <w:rFonts w:ascii="Arial" w:hAnsi="Arial" w:cs="Arial"/>
          <w:sz w:val="20"/>
          <w:szCs w:val="20"/>
        </w:rPr>
        <w:t>CRM</w:t>
      </w:r>
      <w:r w:rsidRPr="005F3D85">
        <w:rPr>
          <w:rFonts w:ascii="Arial" w:hAnsi="Arial" w:cs="Arial"/>
          <w:sz w:val="20"/>
          <w:szCs w:val="20"/>
        </w:rPr>
        <w:tab/>
      </w:r>
      <w:r w:rsidRPr="005F3D85">
        <w:rPr>
          <w:rFonts w:ascii="Arial" w:hAnsi="Arial" w:cs="Arial"/>
          <w:sz w:val="20"/>
          <w:szCs w:val="20"/>
        </w:rPr>
        <w:tab/>
        <w:t>R</w:t>
      </w:r>
      <w:r w:rsidR="00E56F63" w:rsidRPr="005F3D85">
        <w:rPr>
          <w:rFonts w:ascii="Arial" w:hAnsi="Arial" w:cs="Arial"/>
          <w:sz w:val="20"/>
          <w:szCs w:val="20"/>
        </w:rPr>
        <w:t>epresents Credit Risk Management</w:t>
      </w:r>
    </w:p>
    <w:p w14:paraId="36CE40EE" w14:textId="77777777" w:rsidR="00E56F63" w:rsidRPr="005F3D85" w:rsidRDefault="00873B4C" w:rsidP="00757614">
      <w:pPr>
        <w:spacing w:after="0" w:line="240" w:lineRule="auto"/>
        <w:rPr>
          <w:rFonts w:ascii="Arial" w:hAnsi="Arial" w:cs="Arial"/>
          <w:sz w:val="20"/>
          <w:szCs w:val="20"/>
        </w:rPr>
      </w:pPr>
      <w:r w:rsidRPr="005F3D85">
        <w:rPr>
          <w:rFonts w:ascii="Arial" w:hAnsi="Arial" w:cs="Arial"/>
          <w:sz w:val="20"/>
          <w:szCs w:val="20"/>
        </w:rPr>
        <w:t>SP</w:t>
      </w:r>
      <w:r w:rsidRPr="005F3D85">
        <w:rPr>
          <w:rFonts w:ascii="Arial" w:hAnsi="Arial" w:cs="Arial"/>
          <w:sz w:val="20"/>
          <w:szCs w:val="20"/>
        </w:rPr>
        <w:tab/>
      </w:r>
      <w:r w:rsidRPr="005F3D85">
        <w:rPr>
          <w:rFonts w:ascii="Arial" w:hAnsi="Arial" w:cs="Arial"/>
          <w:sz w:val="20"/>
          <w:szCs w:val="20"/>
        </w:rPr>
        <w:tab/>
        <w:t>R</w:t>
      </w:r>
      <w:r w:rsidR="00E56F63" w:rsidRPr="005F3D85">
        <w:rPr>
          <w:rFonts w:ascii="Arial" w:hAnsi="Arial" w:cs="Arial"/>
          <w:sz w:val="20"/>
          <w:szCs w:val="20"/>
        </w:rPr>
        <w:t>epresent Share Price</w:t>
      </w:r>
    </w:p>
    <w:p w14:paraId="219DAA01" w14:textId="15B1913C" w:rsidR="00E56F63" w:rsidRPr="005F3D85" w:rsidRDefault="00C9051A" w:rsidP="00757614">
      <w:pPr>
        <w:spacing w:after="0" w:line="240" w:lineRule="auto"/>
        <w:jc w:val="both"/>
        <w:rPr>
          <w:rFonts w:ascii="Arial" w:hAnsi="Arial" w:cs="Arial"/>
          <w:sz w:val="20"/>
          <w:szCs w:val="20"/>
        </w:rPr>
      </w:pPr>
      <w:r w:rsidRPr="005F3D85">
        <w:rPr>
          <w:rFonts w:ascii="Arial" w:hAnsi="Arial" w:cs="Arial"/>
          <w:sz w:val="20"/>
          <w:szCs w:val="20"/>
        </w:rPr>
        <w:t>Q</w:t>
      </w:r>
      <w:r w:rsidR="00E56F63" w:rsidRPr="005F3D85">
        <w:rPr>
          <w:rFonts w:ascii="Arial" w:hAnsi="Arial" w:cs="Arial"/>
          <w:sz w:val="20"/>
          <w:szCs w:val="20"/>
        </w:rPr>
        <w:t>uantitative</w:t>
      </w:r>
      <w:r w:rsidRPr="005F3D85">
        <w:rPr>
          <w:rFonts w:ascii="Arial" w:hAnsi="Arial" w:cs="Arial"/>
          <w:sz w:val="20"/>
          <w:szCs w:val="20"/>
        </w:rPr>
        <w:t xml:space="preserve"> </w:t>
      </w:r>
      <w:r w:rsidR="00E56F63" w:rsidRPr="005F3D85">
        <w:rPr>
          <w:rFonts w:ascii="Arial" w:hAnsi="Arial" w:cs="Arial"/>
          <w:sz w:val="20"/>
          <w:szCs w:val="20"/>
        </w:rPr>
        <w:t xml:space="preserve">data from </w:t>
      </w:r>
      <w:r w:rsidR="00CB38D2" w:rsidRPr="005F3D85">
        <w:rPr>
          <w:rFonts w:ascii="Arial" w:hAnsi="Arial" w:cs="Arial"/>
          <w:sz w:val="20"/>
          <w:szCs w:val="20"/>
        </w:rPr>
        <w:t>the Eview</w:t>
      </w:r>
      <w:r w:rsidR="00E56F63" w:rsidRPr="005F3D85">
        <w:rPr>
          <w:rFonts w:ascii="Arial" w:hAnsi="Arial" w:cs="Arial"/>
          <w:sz w:val="20"/>
          <w:szCs w:val="20"/>
        </w:rPr>
        <w:t xml:space="preserve"> 10 program were </w:t>
      </w:r>
      <w:r w:rsidR="00CB38D2" w:rsidRPr="005F3D85">
        <w:rPr>
          <w:rFonts w:ascii="Arial" w:hAnsi="Arial" w:cs="Arial"/>
          <w:sz w:val="20"/>
          <w:szCs w:val="20"/>
        </w:rPr>
        <w:t>analyzed</w:t>
      </w:r>
      <w:r w:rsidR="00E56F63" w:rsidRPr="005F3D85">
        <w:rPr>
          <w:rFonts w:ascii="Arial" w:hAnsi="Arial" w:cs="Arial"/>
          <w:sz w:val="20"/>
          <w:szCs w:val="20"/>
        </w:rPr>
        <w:t xml:space="preserve"> through common approaches used to infer the </w:t>
      </w:r>
      <w:r w:rsidR="00CB38D2" w:rsidRPr="005F3D85">
        <w:rPr>
          <w:rFonts w:ascii="Arial" w:hAnsi="Arial" w:cs="Arial"/>
          <w:sz w:val="20"/>
          <w:szCs w:val="20"/>
        </w:rPr>
        <w:t>results, which</w:t>
      </w:r>
      <w:r w:rsidR="00E56F63" w:rsidRPr="005F3D85">
        <w:rPr>
          <w:rFonts w:ascii="Arial" w:hAnsi="Arial" w:cs="Arial"/>
          <w:sz w:val="20"/>
          <w:szCs w:val="20"/>
        </w:rPr>
        <w:t xml:space="preserve"> is probability value</w:t>
      </w:r>
      <w:r w:rsidR="00435B72" w:rsidRPr="005F3D85">
        <w:rPr>
          <w:rFonts w:ascii="Arial" w:hAnsi="Arial" w:cs="Arial"/>
          <w:sz w:val="20"/>
          <w:szCs w:val="20"/>
        </w:rPr>
        <w:t xml:space="preserve"> of 0.05</w:t>
      </w:r>
      <w:r w:rsidR="00E56F63" w:rsidRPr="005F3D85">
        <w:rPr>
          <w:rFonts w:ascii="Arial" w:hAnsi="Arial" w:cs="Arial"/>
          <w:sz w:val="20"/>
          <w:szCs w:val="20"/>
        </w:rPr>
        <w:t xml:space="preserve">. </w:t>
      </w:r>
    </w:p>
    <w:p w14:paraId="75A201B4" w14:textId="77777777" w:rsidR="00E56C48" w:rsidRPr="005F3D85" w:rsidRDefault="00E56C48" w:rsidP="00757614">
      <w:pPr>
        <w:spacing w:after="0" w:line="240" w:lineRule="auto"/>
        <w:jc w:val="both"/>
        <w:rPr>
          <w:rFonts w:ascii="Arial" w:hAnsi="Arial" w:cs="Arial"/>
          <w:sz w:val="24"/>
          <w:szCs w:val="24"/>
        </w:rPr>
      </w:pPr>
    </w:p>
    <w:p w14:paraId="4698360D" w14:textId="78970208" w:rsidR="00E56F63" w:rsidRPr="00392AAA" w:rsidRDefault="00E56F63" w:rsidP="004666E2">
      <w:pPr>
        <w:spacing w:after="0" w:line="240" w:lineRule="auto"/>
        <w:rPr>
          <w:rFonts w:ascii="Arial" w:hAnsi="Arial" w:cs="Arial"/>
          <w:b/>
          <w:sz w:val="20"/>
          <w:szCs w:val="20"/>
        </w:rPr>
      </w:pPr>
      <w:bookmarkStart w:id="11" w:name="_Toc207714056"/>
      <w:bookmarkStart w:id="12" w:name="_Toc208584816"/>
      <w:r w:rsidRPr="00392AAA">
        <w:rPr>
          <w:rFonts w:ascii="Arial" w:hAnsi="Arial" w:cs="Arial"/>
          <w:b/>
          <w:sz w:val="20"/>
          <w:szCs w:val="20"/>
        </w:rPr>
        <w:t>3.</w:t>
      </w:r>
      <w:r w:rsidR="00435B72" w:rsidRPr="00392AAA">
        <w:rPr>
          <w:rFonts w:ascii="Arial" w:hAnsi="Arial" w:cs="Arial"/>
          <w:b/>
          <w:sz w:val="20"/>
          <w:szCs w:val="20"/>
        </w:rPr>
        <w:t>3</w:t>
      </w:r>
      <w:r w:rsidRPr="00392AAA">
        <w:rPr>
          <w:rFonts w:ascii="Arial" w:hAnsi="Arial" w:cs="Arial"/>
          <w:b/>
          <w:sz w:val="20"/>
          <w:szCs w:val="20"/>
        </w:rPr>
        <w:t xml:space="preserve"> Ethical Consideration</w:t>
      </w:r>
      <w:bookmarkEnd w:id="11"/>
      <w:bookmarkEnd w:id="12"/>
    </w:p>
    <w:p w14:paraId="45751D5C" w14:textId="19DAF0B6" w:rsidR="000310C6" w:rsidRPr="005F3D85" w:rsidRDefault="00E56F63" w:rsidP="00757614">
      <w:pPr>
        <w:spacing w:after="0" w:line="240" w:lineRule="auto"/>
        <w:jc w:val="both"/>
        <w:rPr>
          <w:rFonts w:ascii="Arial" w:hAnsi="Arial" w:cs="Arial"/>
          <w:sz w:val="20"/>
          <w:szCs w:val="20"/>
        </w:rPr>
      </w:pPr>
      <w:r w:rsidRPr="005F3D85">
        <w:rPr>
          <w:rFonts w:ascii="Arial" w:hAnsi="Arial" w:cs="Arial"/>
          <w:sz w:val="20"/>
          <w:szCs w:val="20"/>
        </w:rPr>
        <w:t xml:space="preserve">According to Levitt et al. </w:t>
      </w:r>
      <w:r w:rsidR="006D5B79" w:rsidRPr="005F3D85">
        <w:rPr>
          <w:rFonts w:ascii="Arial" w:hAnsi="Arial" w:cs="Arial"/>
          <w:sz w:val="20"/>
          <w:szCs w:val="20"/>
        </w:rPr>
        <w:t>(2021),</w:t>
      </w:r>
      <w:r w:rsidRPr="005F3D85">
        <w:rPr>
          <w:rFonts w:ascii="Arial" w:hAnsi="Arial" w:cs="Arial"/>
          <w:sz w:val="20"/>
          <w:szCs w:val="20"/>
        </w:rPr>
        <w:t xml:space="preserve"> ethics in business research are the underlined principles used for decision</w:t>
      </w:r>
      <w:r w:rsidR="006D5B79" w:rsidRPr="005F3D85">
        <w:rPr>
          <w:rFonts w:ascii="Arial" w:hAnsi="Arial" w:cs="Arial"/>
          <w:sz w:val="20"/>
          <w:szCs w:val="20"/>
        </w:rPr>
        <w:t>-making</w:t>
      </w:r>
      <w:r w:rsidRPr="005F3D85">
        <w:rPr>
          <w:rFonts w:ascii="Arial" w:hAnsi="Arial" w:cs="Arial"/>
          <w:sz w:val="20"/>
          <w:szCs w:val="20"/>
        </w:rPr>
        <w:t xml:space="preserve"> on acceptable practice while conducting specific research. Starting with </w:t>
      </w:r>
      <w:r w:rsidR="006D5B79" w:rsidRPr="005F3D85">
        <w:rPr>
          <w:rFonts w:ascii="Arial" w:hAnsi="Arial" w:cs="Arial"/>
          <w:sz w:val="20"/>
          <w:szCs w:val="20"/>
        </w:rPr>
        <w:t>the principle</w:t>
      </w:r>
      <w:r w:rsidRPr="005F3D85">
        <w:rPr>
          <w:rFonts w:ascii="Arial" w:hAnsi="Arial" w:cs="Arial"/>
          <w:sz w:val="20"/>
          <w:szCs w:val="20"/>
        </w:rPr>
        <w:t xml:space="preserve"> of participants’ </w:t>
      </w:r>
      <w:r w:rsidR="006D5B79" w:rsidRPr="005F3D85">
        <w:rPr>
          <w:rFonts w:ascii="Arial" w:hAnsi="Arial" w:cs="Arial"/>
          <w:sz w:val="20"/>
          <w:szCs w:val="20"/>
        </w:rPr>
        <w:t>anonymity,</w:t>
      </w:r>
      <w:r w:rsidRPr="005F3D85">
        <w:rPr>
          <w:rFonts w:ascii="Arial" w:hAnsi="Arial" w:cs="Arial"/>
          <w:sz w:val="20"/>
          <w:szCs w:val="20"/>
        </w:rPr>
        <w:t xml:space="preserve"> the data were collected from the study’s participants involving listed firms and </w:t>
      </w:r>
      <w:r w:rsidR="006D5B79" w:rsidRPr="005F3D85">
        <w:rPr>
          <w:rFonts w:ascii="Arial" w:hAnsi="Arial" w:cs="Arial"/>
          <w:sz w:val="20"/>
          <w:szCs w:val="20"/>
        </w:rPr>
        <w:t>were</w:t>
      </w:r>
      <w:r w:rsidRPr="005F3D85">
        <w:rPr>
          <w:rFonts w:ascii="Arial" w:hAnsi="Arial" w:cs="Arial"/>
          <w:sz w:val="20"/>
          <w:szCs w:val="20"/>
        </w:rPr>
        <w:t xml:space="preserve"> treated </w:t>
      </w:r>
      <w:r w:rsidR="006D5B79" w:rsidRPr="005F3D85">
        <w:rPr>
          <w:rFonts w:ascii="Arial" w:hAnsi="Arial" w:cs="Arial"/>
          <w:sz w:val="20"/>
          <w:szCs w:val="20"/>
        </w:rPr>
        <w:t>anonymously;</w:t>
      </w:r>
      <w:r w:rsidRPr="005F3D85">
        <w:rPr>
          <w:rFonts w:ascii="Arial" w:hAnsi="Arial" w:cs="Arial"/>
          <w:sz w:val="20"/>
          <w:szCs w:val="20"/>
        </w:rPr>
        <w:t xml:space="preserve"> names and other identities were not disclosed at all.</w:t>
      </w:r>
      <w:r w:rsidR="0061793A" w:rsidRPr="005F3D85">
        <w:rPr>
          <w:rFonts w:ascii="Arial" w:hAnsi="Arial" w:cs="Arial"/>
          <w:sz w:val="20"/>
          <w:szCs w:val="20"/>
        </w:rPr>
        <w:t xml:space="preserve"> In this study, only lawful, responsibly sourced secondary datasets </w:t>
      </w:r>
      <w:r w:rsidR="006D5B79" w:rsidRPr="005F3D85">
        <w:rPr>
          <w:rFonts w:ascii="Arial" w:hAnsi="Arial" w:cs="Arial"/>
          <w:sz w:val="20"/>
          <w:szCs w:val="20"/>
        </w:rPr>
        <w:t>were</w:t>
      </w:r>
      <w:r w:rsidR="0061793A" w:rsidRPr="005F3D85">
        <w:rPr>
          <w:rFonts w:ascii="Arial" w:hAnsi="Arial" w:cs="Arial"/>
          <w:sz w:val="20"/>
          <w:szCs w:val="20"/>
        </w:rPr>
        <w:t xml:space="preserve"> used, and their acquisition and use strictly </w:t>
      </w:r>
      <w:r w:rsidR="006D5B79" w:rsidRPr="005F3D85">
        <w:rPr>
          <w:rFonts w:ascii="Arial" w:hAnsi="Arial" w:cs="Arial"/>
          <w:sz w:val="20"/>
          <w:szCs w:val="20"/>
        </w:rPr>
        <w:t>complied</w:t>
      </w:r>
      <w:r w:rsidR="0061793A" w:rsidRPr="005F3D85">
        <w:rPr>
          <w:rFonts w:ascii="Arial" w:hAnsi="Arial" w:cs="Arial"/>
          <w:sz w:val="20"/>
          <w:szCs w:val="20"/>
        </w:rPr>
        <w:t xml:space="preserve"> with Tanzania’s</w:t>
      </w:r>
      <w:r w:rsidR="007A6D47" w:rsidRPr="005F3D85">
        <w:rPr>
          <w:rFonts w:ascii="Arial" w:hAnsi="Arial" w:cs="Arial"/>
          <w:sz w:val="20"/>
          <w:szCs w:val="20"/>
        </w:rPr>
        <w:t xml:space="preserve"> </w:t>
      </w:r>
      <w:r w:rsidR="006D5B79" w:rsidRPr="005F3D85">
        <w:rPr>
          <w:rFonts w:ascii="Arial" w:hAnsi="Arial" w:cs="Arial"/>
          <w:sz w:val="20"/>
          <w:szCs w:val="20"/>
        </w:rPr>
        <w:t>PDPA</w:t>
      </w:r>
      <w:r w:rsidR="007A6D47" w:rsidRPr="005F3D85">
        <w:rPr>
          <w:rFonts w:ascii="Arial" w:hAnsi="Arial" w:cs="Arial"/>
          <w:sz w:val="20"/>
          <w:szCs w:val="20"/>
        </w:rPr>
        <w:t xml:space="preserve"> (2022) and </w:t>
      </w:r>
      <w:r w:rsidR="0061793A" w:rsidRPr="005F3D85">
        <w:rPr>
          <w:rFonts w:ascii="Arial" w:hAnsi="Arial" w:cs="Arial"/>
          <w:sz w:val="20"/>
          <w:szCs w:val="20"/>
        </w:rPr>
        <w:t>sectoral rules. Since PDPA sets</w:t>
      </w:r>
      <w:r w:rsidR="007A6D47" w:rsidRPr="005F3D85">
        <w:rPr>
          <w:rFonts w:ascii="Arial" w:hAnsi="Arial" w:cs="Arial"/>
          <w:sz w:val="20"/>
          <w:szCs w:val="20"/>
        </w:rPr>
        <w:t xml:space="preserve"> requirements of </w:t>
      </w:r>
      <w:r w:rsidR="0061793A" w:rsidRPr="005F3D85">
        <w:rPr>
          <w:rFonts w:ascii="Arial" w:hAnsi="Arial" w:cs="Arial"/>
          <w:sz w:val="20"/>
          <w:szCs w:val="20"/>
        </w:rPr>
        <w:t>collection</w:t>
      </w:r>
      <w:r w:rsidR="007A6D47" w:rsidRPr="005F3D85">
        <w:rPr>
          <w:rFonts w:ascii="Arial" w:hAnsi="Arial" w:cs="Arial"/>
          <w:sz w:val="20"/>
          <w:szCs w:val="20"/>
        </w:rPr>
        <w:t xml:space="preserve">s, </w:t>
      </w:r>
      <w:r w:rsidR="0061793A" w:rsidRPr="005F3D85">
        <w:rPr>
          <w:rFonts w:ascii="Arial" w:hAnsi="Arial" w:cs="Arial"/>
          <w:sz w:val="20"/>
          <w:szCs w:val="20"/>
        </w:rPr>
        <w:t xml:space="preserve">processing, establishes rights of data subjects, and mandates controller and processor </w:t>
      </w:r>
      <w:r w:rsidR="006D5B79" w:rsidRPr="005F3D85">
        <w:rPr>
          <w:rFonts w:ascii="Arial" w:hAnsi="Arial" w:cs="Arial"/>
          <w:sz w:val="20"/>
          <w:szCs w:val="20"/>
        </w:rPr>
        <w:t>obligations,</w:t>
      </w:r>
      <w:r w:rsidR="0061793A" w:rsidRPr="005F3D85">
        <w:rPr>
          <w:rFonts w:ascii="Arial" w:hAnsi="Arial" w:cs="Arial"/>
          <w:sz w:val="20"/>
          <w:szCs w:val="20"/>
        </w:rPr>
        <w:t xml:space="preserve"> the use of </w:t>
      </w:r>
      <w:r w:rsidR="0061793A" w:rsidRPr="005F3D85">
        <w:rPr>
          <w:rFonts w:ascii="Arial" w:hAnsi="Arial" w:cs="Arial"/>
          <w:sz w:val="20"/>
          <w:szCs w:val="20"/>
        </w:rPr>
        <w:lastRenderedPageBreak/>
        <w:t>secondary data was aligned with these obligations, including data minimization and security safeguards.</w:t>
      </w:r>
      <w:r w:rsidR="005A507A" w:rsidRPr="005F3D85">
        <w:rPr>
          <w:rFonts w:ascii="Arial" w:hAnsi="Arial" w:cs="Arial"/>
          <w:sz w:val="20"/>
          <w:szCs w:val="20"/>
        </w:rPr>
        <w:t xml:space="preserve"> </w:t>
      </w:r>
      <w:r w:rsidRPr="005F3D85">
        <w:rPr>
          <w:rFonts w:ascii="Arial" w:hAnsi="Arial" w:cs="Arial"/>
          <w:sz w:val="20"/>
          <w:szCs w:val="20"/>
        </w:rPr>
        <w:t xml:space="preserve">Furthermore, principle of researcher’s </w:t>
      </w:r>
      <w:r w:rsidR="006D5B79" w:rsidRPr="005F3D85">
        <w:rPr>
          <w:rFonts w:ascii="Arial" w:hAnsi="Arial" w:cs="Arial"/>
          <w:sz w:val="20"/>
          <w:szCs w:val="20"/>
        </w:rPr>
        <w:t>integrity:</w:t>
      </w:r>
      <w:r w:rsidRPr="005F3D85">
        <w:rPr>
          <w:rFonts w:ascii="Arial" w:hAnsi="Arial" w:cs="Arial"/>
          <w:sz w:val="20"/>
          <w:szCs w:val="20"/>
        </w:rPr>
        <w:t xml:space="preserve"> during data collection exercise, </w:t>
      </w:r>
      <w:r w:rsidR="0082294E" w:rsidRPr="005F3D85">
        <w:rPr>
          <w:rFonts w:ascii="Arial" w:hAnsi="Arial" w:cs="Arial"/>
          <w:sz w:val="20"/>
          <w:szCs w:val="20"/>
        </w:rPr>
        <w:t xml:space="preserve">study ensured treatment of all research parties for </w:t>
      </w:r>
      <w:r w:rsidRPr="005F3D85">
        <w:rPr>
          <w:rFonts w:ascii="Arial" w:hAnsi="Arial" w:cs="Arial"/>
          <w:sz w:val="20"/>
          <w:szCs w:val="20"/>
        </w:rPr>
        <w:t>due respect</w:t>
      </w:r>
      <w:r w:rsidR="0082294E" w:rsidRPr="005F3D85">
        <w:rPr>
          <w:rFonts w:ascii="Arial" w:hAnsi="Arial" w:cs="Arial"/>
          <w:sz w:val="20"/>
          <w:szCs w:val="20"/>
        </w:rPr>
        <w:t>s</w:t>
      </w:r>
      <w:r w:rsidRPr="005F3D85">
        <w:rPr>
          <w:rFonts w:ascii="Arial" w:hAnsi="Arial" w:cs="Arial"/>
          <w:sz w:val="20"/>
          <w:szCs w:val="20"/>
        </w:rPr>
        <w:t xml:space="preserve">, </w:t>
      </w:r>
      <w:r w:rsidR="006D5B79" w:rsidRPr="005F3D85">
        <w:rPr>
          <w:rFonts w:ascii="Arial" w:hAnsi="Arial" w:cs="Arial"/>
          <w:sz w:val="20"/>
          <w:szCs w:val="20"/>
        </w:rPr>
        <w:t>honesty,</w:t>
      </w:r>
      <w:r w:rsidRPr="005F3D85">
        <w:rPr>
          <w:rFonts w:ascii="Arial" w:hAnsi="Arial" w:cs="Arial"/>
          <w:sz w:val="20"/>
          <w:szCs w:val="20"/>
        </w:rPr>
        <w:t xml:space="preserve"> and fairness (Levitt et </w:t>
      </w:r>
      <w:r w:rsidR="006D5B79" w:rsidRPr="005F3D85">
        <w:rPr>
          <w:rFonts w:ascii="Arial" w:hAnsi="Arial" w:cs="Arial"/>
          <w:sz w:val="20"/>
          <w:szCs w:val="20"/>
        </w:rPr>
        <w:t>al.,</w:t>
      </w:r>
      <w:r w:rsidRPr="005F3D85">
        <w:rPr>
          <w:rFonts w:ascii="Arial" w:hAnsi="Arial" w:cs="Arial"/>
          <w:sz w:val="20"/>
          <w:szCs w:val="20"/>
        </w:rPr>
        <w:t xml:space="preserve"> 2021). This included seeking </w:t>
      </w:r>
      <w:r w:rsidR="00283694" w:rsidRPr="005F3D85">
        <w:rPr>
          <w:rFonts w:ascii="Arial" w:hAnsi="Arial" w:cs="Arial"/>
          <w:sz w:val="20"/>
          <w:szCs w:val="20"/>
        </w:rPr>
        <w:t>for</w:t>
      </w:r>
      <w:r w:rsidRPr="005F3D85">
        <w:rPr>
          <w:rFonts w:ascii="Arial" w:hAnsi="Arial" w:cs="Arial"/>
          <w:sz w:val="20"/>
          <w:szCs w:val="20"/>
        </w:rPr>
        <w:t xml:space="preserve"> consent of participants’ involvement in study by having introduction</w:t>
      </w:r>
      <w:r w:rsidR="0082294E" w:rsidRPr="005F3D85">
        <w:rPr>
          <w:rFonts w:ascii="Arial" w:hAnsi="Arial" w:cs="Arial"/>
          <w:sz w:val="20"/>
          <w:szCs w:val="20"/>
        </w:rPr>
        <w:t xml:space="preserve"> letter</w:t>
      </w:r>
      <w:r w:rsidRPr="005F3D85">
        <w:rPr>
          <w:rFonts w:ascii="Arial" w:hAnsi="Arial" w:cs="Arial"/>
          <w:sz w:val="20"/>
          <w:szCs w:val="20"/>
        </w:rPr>
        <w:t xml:space="preserve"> from</w:t>
      </w:r>
      <w:r w:rsidR="0082294E" w:rsidRPr="005F3D85">
        <w:rPr>
          <w:rFonts w:ascii="Arial" w:hAnsi="Arial" w:cs="Arial"/>
          <w:sz w:val="20"/>
          <w:szCs w:val="20"/>
        </w:rPr>
        <w:t xml:space="preserve"> OUT</w:t>
      </w:r>
      <w:r w:rsidRPr="005F3D85">
        <w:rPr>
          <w:rFonts w:ascii="Arial" w:hAnsi="Arial" w:cs="Arial"/>
          <w:sz w:val="20"/>
          <w:szCs w:val="20"/>
        </w:rPr>
        <w:t xml:space="preserve"> for data collection.</w:t>
      </w:r>
      <w:r w:rsidR="000310C6" w:rsidRPr="005F3D85">
        <w:rPr>
          <w:rFonts w:ascii="Arial" w:hAnsi="Arial" w:cs="Arial"/>
          <w:sz w:val="20"/>
          <w:szCs w:val="20"/>
        </w:rPr>
        <w:t xml:space="preserve"> </w:t>
      </w:r>
      <w:r w:rsidR="00283694" w:rsidRPr="005F3D85">
        <w:rPr>
          <w:rFonts w:ascii="Arial" w:hAnsi="Arial" w:cs="Arial"/>
          <w:sz w:val="20"/>
          <w:szCs w:val="20"/>
        </w:rPr>
        <w:t>S</w:t>
      </w:r>
      <w:r w:rsidR="000310C6" w:rsidRPr="005F3D85">
        <w:rPr>
          <w:rFonts w:ascii="Arial" w:hAnsi="Arial" w:cs="Arial"/>
          <w:sz w:val="20"/>
          <w:szCs w:val="20"/>
        </w:rPr>
        <w:t>tudy</w:t>
      </w:r>
      <w:r w:rsidR="00283694" w:rsidRPr="005F3D85">
        <w:rPr>
          <w:rFonts w:ascii="Arial" w:hAnsi="Arial" w:cs="Arial"/>
          <w:sz w:val="20"/>
          <w:szCs w:val="20"/>
        </w:rPr>
        <w:t xml:space="preserve"> </w:t>
      </w:r>
      <w:r w:rsidR="000310C6" w:rsidRPr="005F3D85">
        <w:rPr>
          <w:rFonts w:ascii="Arial" w:hAnsi="Arial" w:cs="Arial"/>
          <w:sz w:val="20"/>
          <w:szCs w:val="20"/>
        </w:rPr>
        <w:t xml:space="preserve">ensured integrity, transparency, and accountability in all secondary-data procedures. </w:t>
      </w:r>
      <w:r w:rsidR="001814EB" w:rsidRPr="005F3D85">
        <w:rPr>
          <w:rFonts w:ascii="Arial" w:hAnsi="Arial" w:cs="Arial"/>
          <w:sz w:val="20"/>
          <w:szCs w:val="20"/>
        </w:rPr>
        <w:t>S</w:t>
      </w:r>
      <w:r w:rsidR="000310C6" w:rsidRPr="005F3D85">
        <w:rPr>
          <w:rFonts w:ascii="Arial" w:hAnsi="Arial" w:cs="Arial"/>
          <w:sz w:val="20"/>
          <w:szCs w:val="20"/>
        </w:rPr>
        <w:t>tudy</w:t>
      </w:r>
      <w:r w:rsidR="001814EB" w:rsidRPr="005F3D85">
        <w:rPr>
          <w:rFonts w:ascii="Arial" w:hAnsi="Arial" w:cs="Arial"/>
          <w:sz w:val="20"/>
          <w:szCs w:val="20"/>
        </w:rPr>
        <w:t xml:space="preserve"> </w:t>
      </w:r>
      <w:r w:rsidR="000310C6" w:rsidRPr="005F3D85">
        <w:rPr>
          <w:rFonts w:ascii="Arial" w:hAnsi="Arial" w:cs="Arial"/>
          <w:sz w:val="20"/>
          <w:szCs w:val="20"/>
        </w:rPr>
        <w:t xml:space="preserve">documented dataset provenance, </w:t>
      </w:r>
      <w:r w:rsidR="006D5B79" w:rsidRPr="005F3D85">
        <w:rPr>
          <w:rFonts w:ascii="Arial" w:hAnsi="Arial" w:cs="Arial"/>
          <w:sz w:val="20"/>
          <w:szCs w:val="20"/>
        </w:rPr>
        <w:t>transformation,</w:t>
      </w:r>
      <w:r w:rsidR="000310C6" w:rsidRPr="005F3D85">
        <w:rPr>
          <w:rFonts w:ascii="Arial" w:hAnsi="Arial" w:cs="Arial"/>
          <w:sz w:val="20"/>
          <w:szCs w:val="20"/>
        </w:rPr>
        <w:t xml:space="preserve"> and quality checks; </w:t>
      </w:r>
      <w:r w:rsidR="006D5B79" w:rsidRPr="005F3D85">
        <w:rPr>
          <w:rFonts w:ascii="Arial" w:hAnsi="Arial" w:cs="Arial"/>
          <w:sz w:val="20"/>
          <w:szCs w:val="20"/>
        </w:rPr>
        <w:t>reported</w:t>
      </w:r>
      <w:r w:rsidR="000310C6" w:rsidRPr="005F3D85">
        <w:rPr>
          <w:rFonts w:ascii="Arial" w:hAnsi="Arial" w:cs="Arial"/>
          <w:sz w:val="20"/>
          <w:szCs w:val="20"/>
        </w:rPr>
        <w:t xml:space="preserve"> known limitations in </w:t>
      </w:r>
      <w:r w:rsidR="006D5B79" w:rsidRPr="005F3D85">
        <w:rPr>
          <w:rFonts w:ascii="Arial" w:hAnsi="Arial" w:cs="Arial"/>
          <w:sz w:val="20"/>
          <w:szCs w:val="20"/>
        </w:rPr>
        <w:t>terms</w:t>
      </w:r>
      <w:r w:rsidR="000310C6" w:rsidRPr="005F3D85">
        <w:rPr>
          <w:rFonts w:ascii="Arial" w:hAnsi="Arial" w:cs="Arial"/>
          <w:sz w:val="20"/>
          <w:szCs w:val="20"/>
        </w:rPr>
        <w:t xml:space="preserve"> of coverage, </w:t>
      </w:r>
      <w:r w:rsidR="006D5B79" w:rsidRPr="005F3D85">
        <w:rPr>
          <w:rFonts w:ascii="Arial" w:hAnsi="Arial" w:cs="Arial"/>
          <w:sz w:val="20"/>
          <w:szCs w:val="20"/>
        </w:rPr>
        <w:t>timeliness, and</w:t>
      </w:r>
      <w:r w:rsidR="000310C6" w:rsidRPr="005F3D85">
        <w:rPr>
          <w:rFonts w:ascii="Arial" w:hAnsi="Arial" w:cs="Arial"/>
          <w:sz w:val="20"/>
          <w:szCs w:val="20"/>
        </w:rPr>
        <w:t xml:space="preserve"> survivorship bias in listed </w:t>
      </w:r>
      <w:r w:rsidR="006D5B79" w:rsidRPr="005F3D85">
        <w:rPr>
          <w:rFonts w:ascii="Arial" w:hAnsi="Arial" w:cs="Arial"/>
          <w:sz w:val="20"/>
          <w:szCs w:val="20"/>
        </w:rPr>
        <w:t>firms;</w:t>
      </w:r>
      <w:r w:rsidR="000310C6" w:rsidRPr="005F3D85">
        <w:rPr>
          <w:rFonts w:ascii="Arial" w:hAnsi="Arial" w:cs="Arial"/>
          <w:sz w:val="20"/>
          <w:szCs w:val="20"/>
        </w:rPr>
        <w:t xml:space="preserve"> and </w:t>
      </w:r>
      <w:r w:rsidR="006D5B79" w:rsidRPr="005F3D85">
        <w:rPr>
          <w:rFonts w:ascii="Arial" w:hAnsi="Arial" w:cs="Arial"/>
          <w:sz w:val="20"/>
          <w:szCs w:val="20"/>
        </w:rPr>
        <w:t>avoided</w:t>
      </w:r>
      <w:r w:rsidR="000310C6" w:rsidRPr="005F3D85">
        <w:rPr>
          <w:rFonts w:ascii="Arial" w:hAnsi="Arial" w:cs="Arial"/>
          <w:sz w:val="20"/>
          <w:szCs w:val="20"/>
        </w:rPr>
        <w:t xml:space="preserve"> misinterpretation and misuse of data beyond the intended scope.</w:t>
      </w:r>
    </w:p>
    <w:p w14:paraId="0C5560DE" w14:textId="77777777" w:rsidR="00416235" w:rsidRPr="005F3D85" w:rsidRDefault="00416235" w:rsidP="00757614">
      <w:pPr>
        <w:spacing w:after="0" w:line="240" w:lineRule="auto"/>
        <w:jc w:val="both"/>
        <w:rPr>
          <w:rFonts w:ascii="Arial" w:hAnsi="Arial" w:cs="Arial"/>
        </w:rPr>
      </w:pPr>
    </w:p>
    <w:p w14:paraId="05E44C5D" w14:textId="22A72168" w:rsidR="00E56F63" w:rsidRPr="005F3D85" w:rsidRDefault="00EB11D7" w:rsidP="00EB11D7">
      <w:pPr>
        <w:rPr>
          <w:rFonts w:ascii="Arial" w:hAnsi="Arial" w:cs="Arial"/>
          <w:b/>
        </w:rPr>
      </w:pPr>
      <w:bookmarkStart w:id="13" w:name="_Toc207714058"/>
      <w:bookmarkStart w:id="14" w:name="_Toc208584818"/>
      <w:r w:rsidRPr="005F3D85">
        <w:rPr>
          <w:rFonts w:ascii="Arial" w:hAnsi="Arial" w:cs="Arial"/>
          <w:b/>
        </w:rPr>
        <w:t>4.</w:t>
      </w:r>
      <w:bookmarkEnd w:id="13"/>
      <w:r w:rsidRPr="005F3D85">
        <w:rPr>
          <w:rFonts w:ascii="Arial" w:hAnsi="Arial" w:cs="Arial"/>
          <w:b/>
        </w:rPr>
        <w:t xml:space="preserve"> Findings</w:t>
      </w:r>
      <w:bookmarkEnd w:id="14"/>
      <w:r w:rsidRPr="005F3D85">
        <w:rPr>
          <w:rFonts w:ascii="Arial" w:hAnsi="Arial" w:cs="Arial"/>
          <w:b/>
        </w:rPr>
        <w:t xml:space="preserve"> and Discussion</w:t>
      </w:r>
    </w:p>
    <w:p w14:paraId="12304F98" w14:textId="4FEF3377" w:rsidR="00E56F63" w:rsidRPr="00392AAA" w:rsidRDefault="00D26B14" w:rsidP="00757614">
      <w:pPr>
        <w:pStyle w:val="Caption"/>
        <w:keepNext/>
        <w:spacing w:after="0"/>
        <w:jc w:val="both"/>
        <w:rPr>
          <w:rFonts w:ascii="Arial" w:hAnsi="Arial" w:cs="Arial"/>
          <w:b/>
          <w:i w:val="0"/>
          <w:color w:val="auto"/>
          <w:sz w:val="20"/>
          <w:szCs w:val="20"/>
        </w:rPr>
      </w:pPr>
      <w:bookmarkStart w:id="15" w:name="_Toc206689011"/>
      <w:r w:rsidRPr="00392AAA">
        <w:rPr>
          <w:rFonts w:ascii="Arial" w:hAnsi="Arial" w:cs="Arial"/>
          <w:b/>
          <w:i w:val="0"/>
          <w:color w:val="auto"/>
          <w:sz w:val="20"/>
          <w:szCs w:val="20"/>
        </w:rPr>
        <w:t xml:space="preserve">Table </w:t>
      </w:r>
      <w:r w:rsidR="00F2412D" w:rsidRPr="00392AAA">
        <w:rPr>
          <w:rFonts w:ascii="Arial" w:hAnsi="Arial" w:cs="Arial"/>
          <w:b/>
          <w:i w:val="0"/>
          <w:color w:val="auto"/>
          <w:sz w:val="20"/>
          <w:szCs w:val="20"/>
        </w:rPr>
        <w:t>2.</w:t>
      </w:r>
      <w:r w:rsidRPr="00392AAA">
        <w:rPr>
          <w:rFonts w:ascii="Arial" w:hAnsi="Arial" w:cs="Arial"/>
          <w:b/>
          <w:i w:val="0"/>
          <w:color w:val="auto"/>
          <w:sz w:val="20"/>
          <w:szCs w:val="20"/>
        </w:rPr>
        <w:t xml:space="preserve"> </w:t>
      </w:r>
      <w:r w:rsidR="002B332B" w:rsidRPr="00392AAA">
        <w:rPr>
          <w:rFonts w:ascii="Arial" w:hAnsi="Arial" w:cs="Arial"/>
          <w:b/>
          <w:i w:val="0"/>
          <w:color w:val="auto"/>
          <w:sz w:val="20"/>
          <w:szCs w:val="20"/>
        </w:rPr>
        <w:t>Descriptive Statistics</w:t>
      </w:r>
      <w:r w:rsidRPr="00392AAA">
        <w:rPr>
          <w:rFonts w:ascii="Arial" w:hAnsi="Arial" w:cs="Arial"/>
          <w:b/>
          <w:i w:val="0"/>
          <w:color w:val="auto"/>
          <w:sz w:val="20"/>
          <w:szCs w:val="20"/>
        </w:rPr>
        <w:t xml:space="preserve"> Results</w:t>
      </w:r>
      <w:bookmarkEnd w:id="15"/>
    </w:p>
    <w:tbl>
      <w:tblPr>
        <w:tblW w:w="5000" w:type="pct"/>
        <w:tblCellMar>
          <w:left w:w="0" w:type="dxa"/>
          <w:right w:w="0" w:type="dxa"/>
        </w:tblCellMar>
        <w:tblLook w:val="0000" w:firstRow="0" w:lastRow="0" w:firstColumn="0" w:lastColumn="0" w:noHBand="0" w:noVBand="0"/>
      </w:tblPr>
      <w:tblGrid>
        <w:gridCol w:w="2505"/>
        <w:gridCol w:w="2207"/>
        <w:gridCol w:w="2205"/>
        <w:gridCol w:w="2204"/>
      </w:tblGrid>
      <w:tr w:rsidR="00223A52" w:rsidRPr="005F3D85" w14:paraId="54D8BD36" w14:textId="77777777" w:rsidTr="00223A52">
        <w:trPr>
          <w:trHeight w:val="204"/>
        </w:trPr>
        <w:tc>
          <w:tcPr>
            <w:tcW w:w="1373" w:type="pct"/>
            <w:vAlign w:val="bottom"/>
          </w:tcPr>
          <w:p w14:paraId="626A3C87" w14:textId="77777777" w:rsidR="00223A52" w:rsidRPr="005F3D85" w:rsidRDefault="00223A52" w:rsidP="00757614">
            <w:pPr>
              <w:spacing w:after="0" w:line="240" w:lineRule="auto"/>
              <w:jc w:val="both"/>
              <w:rPr>
                <w:rFonts w:ascii="Arial" w:hAnsi="Arial" w:cs="Arial"/>
                <w:sz w:val="20"/>
                <w:szCs w:val="20"/>
              </w:rPr>
            </w:pPr>
          </w:p>
        </w:tc>
        <w:tc>
          <w:tcPr>
            <w:tcW w:w="1210" w:type="pct"/>
            <w:vAlign w:val="bottom"/>
          </w:tcPr>
          <w:p w14:paraId="20A0FDBB" w14:textId="77777777" w:rsidR="00223A52" w:rsidRPr="005F3D85" w:rsidRDefault="00223A52" w:rsidP="00757614">
            <w:pPr>
              <w:spacing w:after="0" w:line="240" w:lineRule="auto"/>
              <w:jc w:val="both"/>
              <w:rPr>
                <w:rFonts w:ascii="Arial" w:hAnsi="Arial" w:cs="Arial"/>
                <w:b/>
                <w:sz w:val="20"/>
                <w:szCs w:val="20"/>
              </w:rPr>
            </w:pPr>
            <w:r w:rsidRPr="005F3D85">
              <w:rPr>
                <w:rFonts w:ascii="Arial" w:hAnsi="Arial" w:cs="Arial"/>
                <w:b/>
                <w:sz w:val="20"/>
                <w:szCs w:val="20"/>
              </w:rPr>
              <w:t>ROE</w:t>
            </w:r>
          </w:p>
        </w:tc>
        <w:tc>
          <w:tcPr>
            <w:tcW w:w="1209" w:type="pct"/>
            <w:vAlign w:val="bottom"/>
          </w:tcPr>
          <w:p w14:paraId="5B32BDFB" w14:textId="77777777" w:rsidR="00223A52" w:rsidRPr="005F3D85" w:rsidRDefault="00223A52" w:rsidP="00757614">
            <w:pPr>
              <w:spacing w:after="0" w:line="240" w:lineRule="auto"/>
              <w:jc w:val="both"/>
              <w:rPr>
                <w:rFonts w:ascii="Arial" w:hAnsi="Arial" w:cs="Arial"/>
                <w:b/>
                <w:sz w:val="20"/>
                <w:szCs w:val="20"/>
              </w:rPr>
            </w:pPr>
            <w:r w:rsidRPr="005F3D85">
              <w:rPr>
                <w:rFonts w:ascii="Arial" w:hAnsi="Arial" w:cs="Arial"/>
                <w:b/>
                <w:sz w:val="20"/>
                <w:szCs w:val="20"/>
              </w:rPr>
              <w:t>CRM</w:t>
            </w:r>
          </w:p>
        </w:tc>
        <w:tc>
          <w:tcPr>
            <w:tcW w:w="1208" w:type="pct"/>
            <w:vAlign w:val="bottom"/>
          </w:tcPr>
          <w:p w14:paraId="334ABA45" w14:textId="77777777" w:rsidR="00223A52" w:rsidRPr="005F3D85" w:rsidRDefault="00223A52" w:rsidP="00757614">
            <w:pPr>
              <w:spacing w:after="0" w:line="240" w:lineRule="auto"/>
              <w:jc w:val="both"/>
              <w:rPr>
                <w:rFonts w:ascii="Arial" w:hAnsi="Arial" w:cs="Arial"/>
                <w:b/>
                <w:sz w:val="20"/>
                <w:szCs w:val="20"/>
              </w:rPr>
            </w:pPr>
            <w:r w:rsidRPr="005F3D85">
              <w:rPr>
                <w:rFonts w:ascii="Arial" w:hAnsi="Arial" w:cs="Arial"/>
                <w:b/>
                <w:sz w:val="20"/>
                <w:szCs w:val="20"/>
              </w:rPr>
              <w:t>SP</w:t>
            </w:r>
          </w:p>
        </w:tc>
      </w:tr>
      <w:tr w:rsidR="00223A52" w:rsidRPr="005F3D85" w14:paraId="07366C5C" w14:textId="77777777" w:rsidTr="00223A52">
        <w:trPr>
          <w:trHeight w:val="204"/>
        </w:trPr>
        <w:tc>
          <w:tcPr>
            <w:tcW w:w="1373" w:type="pct"/>
            <w:vAlign w:val="bottom"/>
          </w:tcPr>
          <w:p w14:paraId="19DF99C9" w14:textId="0A7617F2"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Mean</w:t>
            </w:r>
          </w:p>
        </w:tc>
        <w:tc>
          <w:tcPr>
            <w:tcW w:w="1210" w:type="pct"/>
            <w:vAlign w:val="bottom"/>
          </w:tcPr>
          <w:p w14:paraId="321B6D57" w14:textId="6B9AB53E"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0.201429</w:t>
            </w:r>
          </w:p>
        </w:tc>
        <w:tc>
          <w:tcPr>
            <w:tcW w:w="1209" w:type="pct"/>
            <w:vAlign w:val="bottom"/>
          </w:tcPr>
          <w:p w14:paraId="613E7AB8"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0.630211</w:t>
            </w:r>
          </w:p>
        </w:tc>
        <w:tc>
          <w:tcPr>
            <w:tcW w:w="1208" w:type="pct"/>
            <w:vAlign w:val="bottom"/>
          </w:tcPr>
          <w:p w14:paraId="2BB9852A"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0.970379</w:t>
            </w:r>
          </w:p>
        </w:tc>
      </w:tr>
      <w:tr w:rsidR="00223A52" w:rsidRPr="005F3D85" w14:paraId="2F63C474" w14:textId="77777777" w:rsidTr="00223A52">
        <w:trPr>
          <w:trHeight w:val="204"/>
        </w:trPr>
        <w:tc>
          <w:tcPr>
            <w:tcW w:w="1373" w:type="pct"/>
            <w:vAlign w:val="bottom"/>
          </w:tcPr>
          <w:p w14:paraId="4DE7BF91" w14:textId="6F81577B"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Median</w:t>
            </w:r>
          </w:p>
        </w:tc>
        <w:tc>
          <w:tcPr>
            <w:tcW w:w="1210" w:type="pct"/>
            <w:vAlign w:val="bottom"/>
          </w:tcPr>
          <w:p w14:paraId="4EACF5B7" w14:textId="0022F2A6"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0.190000</w:t>
            </w:r>
          </w:p>
        </w:tc>
        <w:tc>
          <w:tcPr>
            <w:tcW w:w="1209" w:type="pct"/>
            <w:vAlign w:val="bottom"/>
          </w:tcPr>
          <w:p w14:paraId="5C5B57BA"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0.503109</w:t>
            </w:r>
          </w:p>
        </w:tc>
        <w:tc>
          <w:tcPr>
            <w:tcW w:w="1208" w:type="pct"/>
            <w:vAlign w:val="bottom"/>
          </w:tcPr>
          <w:p w14:paraId="668C4C9B"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0.100000</w:t>
            </w:r>
          </w:p>
        </w:tc>
      </w:tr>
      <w:tr w:rsidR="00223A52" w:rsidRPr="005F3D85" w14:paraId="1F1168B0" w14:textId="77777777" w:rsidTr="00223A52">
        <w:trPr>
          <w:trHeight w:val="204"/>
        </w:trPr>
        <w:tc>
          <w:tcPr>
            <w:tcW w:w="1373" w:type="pct"/>
            <w:vAlign w:val="bottom"/>
          </w:tcPr>
          <w:p w14:paraId="2174706E" w14:textId="50060F35"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Maximum</w:t>
            </w:r>
          </w:p>
        </w:tc>
        <w:tc>
          <w:tcPr>
            <w:tcW w:w="1210" w:type="pct"/>
            <w:vAlign w:val="bottom"/>
          </w:tcPr>
          <w:p w14:paraId="0B0A0115"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2.570000</w:t>
            </w:r>
          </w:p>
        </w:tc>
        <w:tc>
          <w:tcPr>
            <w:tcW w:w="1209" w:type="pct"/>
            <w:vAlign w:val="bottom"/>
          </w:tcPr>
          <w:p w14:paraId="19D8434B"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2.572312</w:t>
            </w:r>
          </w:p>
        </w:tc>
        <w:tc>
          <w:tcPr>
            <w:tcW w:w="1208" w:type="pct"/>
            <w:vAlign w:val="bottom"/>
          </w:tcPr>
          <w:p w14:paraId="626385D0"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6.700000</w:t>
            </w:r>
          </w:p>
        </w:tc>
      </w:tr>
      <w:tr w:rsidR="00223A52" w:rsidRPr="005F3D85" w14:paraId="041A9556" w14:textId="77777777" w:rsidTr="00223A52">
        <w:trPr>
          <w:trHeight w:val="204"/>
        </w:trPr>
        <w:tc>
          <w:tcPr>
            <w:tcW w:w="1373" w:type="pct"/>
            <w:vAlign w:val="bottom"/>
          </w:tcPr>
          <w:p w14:paraId="79E9DF88" w14:textId="20E67E2D"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Minimum</w:t>
            </w:r>
          </w:p>
        </w:tc>
        <w:tc>
          <w:tcPr>
            <w:tcW w:w="1210" w:type="pct"/>
            <w:vAlign w:val="bottom"/>
          </w:tcPr>
          <w:p w14:paraId="1C315C12"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1.010000</w:t>
            </w:r>
          </w:p>
        </w:tc>
        <w:tc>
          <w:tcPr>
            <w:tcW w:w="1209" w:type="pct"/>
            <w:vAlign w:val="bottom"/>
          </w:tcPr>
          <w:p w14:paraId="2CA5D52A"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1.000000</w:t>
            </w:r>
          </w:p>
        </w:tc>
        <w:tc>
          <w:tcPr>
            <w:tcW w:w="1208" w:type="pct"/>
            <w:vAlign w:val="bottom"/>
          </w:tcPr>
          <w:p w14:paraId="154E9E46"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5.000000</w:t>
            </w:r>
          </w:p>
        </w:tc>
      </w:tr>
      <w:tr w:rsidR="00223A52" w:rsidRPr="005F3D85" w14:paraId="5866F70D" w14:textId="77777777" w:rsidTr="00223A52">
        <w:trPr>
          <w:trHeight w:val="204"/>
        </w:trPr>
        <w:tc>
          <w:tcPr>
            <w:tcW w:w="1373" w:type="pct"/>
            <w:vAlign w:val="bottom"/>
          </w:tcPr>
          <w:p w14:paraId="0ADFB6AC" w14:textId="4D2E761D"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Std. Dev.</w:t>
            </w:r>
          </w:p>
        </w:tc>
        <w:tc>
          <w:tcPr>
            <w:tcW w:w="1210" w:type="pct"/>
            <w:vAlign w:val="bottom"/>
          </w:tcPr>
          <w:p w14:paraId="436FA154"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0.377816</w:t>
            </w:r>
          </w:p>
        </w:tc>
        <w:tc>
          <w:tcPr>
            <w:tcW w:w="1209" w:type="pct"/>
            <w:vAlign w:val="bottom"/>
          </w:tcPr>
          <w:p w14:paraId="2C8CD9E0"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0.403112</w:t>
            </w:r>
          </w:p>
        </w:tc>
        <w:tc>
          <w:tcPr>
            <w:tcW w:w="1208" w:type="pct"/>
            <w:vAlign w:val="bottom"/>
          </w:tcPr>
          <w:p w14:paraId="5ADC81A8"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3.668133</w:t>
            </w:r>
          </w:p>
        </w:tc>
      </w:tr>
      <w:tr w:rsidR="00223A52" w:rsidRPr="005F3D85" w14:paraId="0CEE0356" w14:textId="77777777" w:rsidTr="00223A52">
        <w:trPr>
          <w:trHeight w:val="204"/>
        </w:trPr>
        <w:tc>
          <w:tcPr>
            <w:tcW w:w="1373" w:type="pct"/>
            <w:vAlign w:val="bottom"/>
          </w:tcPr>
          <w:p w14:paraId="01209295" w14:textId="0AB439FA"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Skewness</w:t>
            </w:r>
          </w:p>
        </w:tc>
        <w:tc>
          <w:tcPr>
            <w:tcW w:w="1210" w:type="pct"/>
            <w:vAlign w:val="bottom"/>
          </w:tcPr>
          <w:p w14:paraId="59A3FDF9"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2.192797</w:t>
            </w:r>
          </w:p>
        </w:tc>
        <w:tc>
          <w:tcPr>
            <w:tcW w:w="1209" w:type="pct"/>
            <w:vAlign w:val="bottom"/>
          </w:tcPr>
          <w:p w14:paraId="03531ADE"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2.571862</w:t>
            </w:r>
          </w:p>
        </w:tc>
        <w:tc>
          <w:tcPr>
            <w:tcW w:w="1208" w:type="pct"/>
            <w:vAlign w:val="bottom"/>
          </w:tcPr>
          <w:p w14:paraId="7AB500D6"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2.885070</w:t>
            </w:r>
          </w:p>
        </w:tc>
      </w:tr>
      <w:tr w:rsidR="00223A52" w:rsidRPr="005F3D85" w14:paraId="6F109C40" w14:textId="77777777" w:rsidTr="00223A52">
        <w:trPr>
          <w:trHeight w:val="204"/>
        </w:trPr>
        <w:tc>
          <w:tcPr>
            <w:tcW w:w="1373" w:type="pct"/>
            <w:vAlign w:val="bottom"/>
          </w:tcPr>
          <w:p w14:paraId="2202BBCE" w14:textId="7FF51C7A"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Kurtosis</w:t>
            </w:r>
          </w:p>
        </w:tc>
        <w:tc>
          <w:tcPr>
            <w:tcW w:w="1210" w:type="pct"/>
            <w:vAlign w:val="bottom"/>
          </w:tcPr>
          <w:p w14:paraId="5DEBA533"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3.864387</w:t>
            </w:r>
          </w:p>
        </w:tc>
        <w:tc>
          <w:tcPr>
            <w:tcW w:w="1209" w:type="pct"/>
            <w:vAlign w:val="bottom"/>
          </w:tcPr>
          <w:p w14:paraId="342D8DCA"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4.924615</w:t>
            </w:r>
          </w:p>
        </w:tc>
        <w:tc>
          <w:tcPr>
            <w:tcW w:w="1208" w:type="pct"/>
            <w:vAlign w:val="bottom"/>
          </w:tcPr>
          <w:p w14:paraId="47930AC2"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7.154694</w:t>
            </w:r>
          </w:p>
        </w:tc>
      </w:tr>
      <w:tr w:rsidR="00223A52" w:rsidRPr="005F3D85" w14:paraId="52400187" w14:textId="77777777" w:rsidTr="00223A52">
        <w:trPr>
          <w:trHeight w:val="204"/>
        </w:trPr>
        <w:tc>
          <w:tcPr>
            <w:tcW w:w="1373" w:type="pct"/>
            <w:vAlign w:val="bottom"/>
          </w:tcPr>
          <w:p w14:paraId="0B2F7714" w14:textId="25AA965B"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Probability</w:t>
            </w:r>
          </w:p>
        </w:tc>
        <w:tc>
          <w:tcPr>
            <w:tcW w:w="1210" w:type="pct"/>
            <w:vAlign w:val="bottom"/>
          </w:tcPr>
          <w:p w14:paraId="36F7E98C"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0.010000</w:t>
            </w:r>
          </w:p>
        </w:tc>
        <w:tc>
          <w:tcPr>
            <w:tcW w:w="1209" w:type="pct"/>
            <w:vAlign w:val="bottom"/>
          </w:tcPr>
          <w:p w14:paraId="5FC76AF0"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0.003000</w:t>
            </w:r>
          </w:p>
        </w:tc>
        <w:tc>
          <w:tcPr>
            <w:tcW w:w="1208" w:type="pct"/>
            <w:vAlign w:val="bottom"/>
          </w:tcPr>
          <w:p w14:paraId="34F5BC27"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0.025000</w:t>
            </w:r>
          </w:p>
        </w:tc>
      </w:tr>
      <w:tr w:rsidR="00223A52" w:rsidRPr="005F3D85" w14:paraId="2D29F262" w14:textId="77777777" w:rsidTr="00223A52">
        <w:trPr>
          <w:trHeight w:val="204"/>
        </w:trPr>
        <w:tc>
          <w:tcPr>
            <w:tcW w:w="1373" w:type="pct"/>
            <w:vAlign w:val="bottom"/>
          </w:tcPr>
          <w:p w14:paraId="364E4B7E" w14:textId="559D8FEA"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Sum</w:t>
            </w:r>
          </w:p>
        </w:tc>
        <w:tc>
          <w:tcPr>
            <w:tcW w:w="1210" w:type="pct"/>
            <w:vAlign w:val="bottom"/>
          </w:tcPr>
          <w:p w14:paraId="74B3040D"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28.20000</w:t>
            </w:r>
          </w:p>
        </w:tc>
        <w:tc>
          <w:tcPr>
            <w:tcW w:w="1209" w:type="pct"/>
            <w:vAlign w:val="bottom"/>
          </w:tcPr>
          <w:p w14:paraId="12AF5A6A"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3.685813</w:t>
            </w:r>
          </w:p>
        </w:tc>
        <w:tc>
          <w:tcPr>
            <w:tcW w:w="1208" w:type="pct"/>
            <w:vAlign w:val="bottom"/>
          </w:tcPr>
          <w:p w14:paraId="06921485"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275853.0</w:t>
            </w:r>
          </w:p>
        </w:tc>
      </w:tr>
      <w:tr w:rsidR="00223A52" w:rsidRPr="005F3D85" w14:paraId="57BA4262" w14:textId="77777777" w:rsidTr="00223A52">
        <w:trPr>
          <w:trHeight w:val="204"/>
        </w:trPr>
        <w:tc>
          <w:tcPr>
            <w:tcW w:w="1373" w:type="pct"/>
            <w:vAlign w:val="bottom"/>
          </w:tcPr>
          <w:p w14:paraId="3D4458B1" w14:textId="6200A10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Sum Sq. Dev.</w:t>
            </w:r>
          </w:p>
        </w:tc>
        <w:tc>
          <w:tcPr>
            <w:tcW w:w="1210" w:type="pct"/>
            <w:vAlign w:val="bottom"/>
          </w:tcPr>
          <w:p w14:paraId="020B55E5"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19.84151</w:t>
            </w:r>
          </w:p>
        </w:tc>
        <w:tc>
          <w:tcPr>
            <w:tcW w:w="1209" w:type="pct"/>
            <w:vAlign w:val="bottom"/>
          </w:tcPr>
          <w:p w14:paraId="07EAF2A2"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1.524526</w:t>
            </w:r>
          </w:p>
        </w:tc>
        <w:tc>
          <w:tcPr>
            <w:tcW w:w="1208" w:type="pct"/>
            <w:vAlign w:val="bottom"/>
          </w:tcPr>
          <w:p w14:paraId="0F269F4F"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1.878409</w:t>
            </w:r>
          </w:p>
        </w:tc>
      </w:tr>
      <w:tr w:rsidR="00223A52" w:rsidRPr="005F3D85" w14:paraId="01607CE4" w14:textId="77777777" w:rsidTr="00223A52">
        <w:trPr>
          <w:trHeight w:val="204"/>
        </w:trPr>
        <w:tc>
          <w:tcPr>
            <w:tcW w:w="1373" w:type="pct"/>
            <w:vAlign w:val="bottom"/>
          </w:tcPr>
          <w:p w14:paraId="5049BCEE" w14:textId="7FAB6E7E"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Observations</w:t>
            </w:r>
          </w:p>
        </w:tc>
        <w:tc>
          <w:tcPr>
            <w:tcW w:w="1210" w:type="pct"/>
            <w:vAlign w:val="bottom"/>
          </w:tcPr>
          <w:p w14:paraId="37E1DEC3"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140</w:t>
            </w:r>
          </w:p>
        </w:tc>
        <w:tc>
          <w:tcPr>
            <w:tcW w:w="1209" w:type="pct"/>
            <w:vAlign w:val="bottom"/>
          </w:tcPr>
          <w:p w14:paraId="6F2BB2AF"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140</w:t>
            </w:r>
          </w:p>
        </w:tc>
        <w:tc>
          <w:tcPr>
            <w:tcW w:w="1208" w:type="pct"/>
            <w:vAlign w:val="bottom"/>
          </w:tcPr>
          <w:p w14:paraId="01E67699"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140</w:t>
            </w:r>
          </w:p>
        </w:tc>
      </w:tr>
    </w:tbl>
    <w:p w14:paraId="6DA3D7DF" w14:textId="77777777" w:rsidR="00E56F63" w:rsidRPr="005F3D85" w:rsidRDefault="00E56F63" w:rsidP="00757614">
      <w:pPr>
        <w:spacing w:after="0" w:line="240" w:lineRule="auto"/>
        <w:rPr>
          <w:rFonts w:ascii="Arial" w:hAnsi="Arial" w:cs="Arial"/>
          <w:sz w:val="20"/>
          <w:szCs w:val="20"/>
        </w:rPr>
      </w:pPr>
      <w:r w:rsidRPr="005F3D85">
        <w:rPr>
          <w:rFonts w:ascii="Arial" w:hAnsi="Arial" w:cs="Arial"/>
          <w:sz w:val="20"/>
          <w:szCs w:val="20"/>
        </w:rPr>
        <w:t>Source: Data Analysis (202</w:t>
      </w:r>
      <w:r w:rsidR="00A67706" w:rsidRPr="005F3D85">
        <w:rPr>
          <w:rFonts w:ascii="Arial" w:hAnsi="Arial" w:cs="Arial"/>
          <w:sz w:val="20"/>
          <w:szCs w:val="20"/>
        </w:rPr>
        <w:t>5</w:t>
      </w:r>
      <w:r w:rsidRPr="005F3D85">
        <w:rPr>
          <w:rFonts w:ascii="Arial" w:hAnsi="Arial" w:cs="Arial"/>
          <w:sz w:val="20"/>
          <w:szCs w:val="20"/>
        </w:rPr>
        <w:t>)</w:t>
      </w:r>
    </w:p>
    <w:p w14:paraId="3779DD1E" w14:textId="5ABAB279" w:rsidR="004707D5" w:rsidRPr="005F3D85" w:rsidRDefault="004707D5" w:rsidP="004707D5">
      <w:pPr>
        <w:jc w:val="both"/>
        <w:rPr>
          <w:rFonts w:ascii="Arial" w:hAnsi="Arial" w:cs="Arial"/>
          <w:sz w:val="20"/>
          <w:szCs w:val="20"/>
        </w:rPr>
      </w:pPr>
      <w:bookmarkStart w:id="16" w:name="_Toc207714061"/>
      <w:bookmarkStart w:id="17" w:name="_Toc208584821"/>
      <w:r w:rsidRPr="005F3D85">
        <w:rPr>
          <w:rFonts w:ascii="Arial" w:hAnsi="Arial" w:cs="Arial"/>
          <w:sz w:val="20"/>
          <w:szCs w:val="20"/>
        </w:rPr>
        <w:t>Return on Equity (ROE) shows mean value of 0.2014; indicating that on average, firms generated a return of approximately 20.14% on shareholders' equity. However, the median value is lower at 0.19, suggesting that distribution of ROE was positively skewed with few firms achieving significantly higher returns. This is confirmed by the high skewness value of 2.19 and an extremely high kurtosis value of 3.864, indicating a distribution with a long right tail and heavy peak.</w:t>
      </w:r>
      <w:r w:rsidR="005A507A" w:rsidRPr="005F3D85">
        <w:rPr>
          <w:rFonts w:ascii="Arial" w:hAnsi="Arial" w:cs="Arial"/>
          <w:sz w:val="20"/>
          <w:szCs w:val="20"/>
        </w:rPr>
        <w:t xml:space="preserve"> </w:t>
      </w:r>
      <w:r w:rsidRPr="005F3D85">
        <w:rPr>
          <w:rFonts w:ascii="Arial" w:hAnsi="Arial" w:cs="Arial"/>
          <w:sz w:val="20"/>
          <w:szCs w:val="20"/>
        </w:rPr>
        <w:t>The maximum ROE observed is 2.57, whereas minimum was 1.01, and standard deviation of 0.3778 reflects considerable variation in profitability among firms. Therefore, the skewness and kurtosis of the ROE confirm that the distribution of ROE significantly represents the normality of the data. According to Demir (2022), the normality of data for skewness should not go above absolute value of ± 3, and for kurtosis should not greater than value of ± 10.</w:t>
      </w:r>
    </w:p>
    <w:p w14:paraId="1C79F7A6" w14:textId="77777777" w:rsidR="00F2412D" w:rsidRPr="005F3D85" w:rsidRDefault="004707D5" w:rsidP="003E59DF">
      <w:pPr>
        <w:jc w:val="both"/>
        <w:rPr>
          <w:rFonts w:ascii="Arial" w:hAnsi="Arial" w:cs="Arial"/>
          <w:sz w:val="20"/>
          <w:szCs w:val="20"/>
        </w:rPr>
      </w:pPr>
      <w:r w:rsidRPr="005F3D85">
        <w:rPr>
          <w:rFonts w:ascii="Arial" w:hAnsi="Arial" w:cs="Arial"/>
          <w:sz w:val="20"/>
          <w:szCs w:val="20"/>
        </w:rPr>
        <w:t>Credit Risk Management (CRM) has mean value of 0.63, with median significantly lower at 0.50. This confirms that there is no presence of great value of outlier in data. Maximum value recorded is 2.57, while the minimum is only 1.00, which indicates a wide range of capital raised by firms. The standard deviation is at 0.04, which reflects the normal dispersion in the amounts raised. Skewness value 2.57 and kurtosis value 4.92 are also normal. The result confirms that distribution is normally skewed and the normal distribution of data exists (Hatem et al., 2022). Share Price (SP) displays a mean of 0.97 and a median of 0.10. The difference between these measures suggests significant normal skewness, which is supported by a skewness result value of 2.89. The maximum share price is 6.7, while the minimum is 5.00. Standard deviation of 3.66 indicates significantly variation of share prices. The kurtosis value of 7.155 suggests a normal distribution with substantial tails. Therefore, the results of skewness and kurtosis confirm that the data of share prices are normally distributed</w:t>
      </w:r>
    </w:p>
    <w:p w14:paraId="1F3BFDF2" w14:textId="279A5920" w:rsidR="005A507A" w:rsidRPr="00392AAA" w:rsidRDefault="005A507A" w:rsidP="005A507A">
      <w:pPr>
        <w:rPr>
          <w:rFonts w:ascii="Arial" w:hAnsi="Arial" w:cs="Arial"/>
          <w:b/>
          <w:sz w:val="20"/>
          <w:szCs w:val="20"/>
        </w:rPr>
      </w:pPr>
      <w:r w:rsidRPr="00392AAA">
        <w:rPr>
          <w:rFonts w:ascii="Arial" w:hAnsi="Arial" w:cs="Arial"/>
          <w:b/>
          <w:sz w:val="20"/>
          <w:szCs w:val="20"/>
        </w:rPr>
        <w:t>4.2 Pearson Correlation Matrix Test</w:t>
      </w:r>
    </w:p>
    <w:bookmarkEnd w:id="16"/>
    <w:bookmarkEnd w:id="17"/>
    <w:p w14:paraId="09595A77" w14:textId="31461470" w:rsidR="0013731B" w:rsidRPr="005F3D85" w:rsidRDefault="0013731B" w:rsidP="0013731B">
      <w:pPr>
        <w:spacing w:after="0" w:line="240" w:lineRule="auto"/>
        <w:jc w:val="both"/>
        <w:rPr>
          <w:rFonts w:ascii="Arial" w:hAnsi="Arial" w:cs="Arial"/>
          <w:sz w:val="20"/>
          <w:szCs w:val="20"/>
        </w:rPr>
      </w:pPr>
      <w:r w:rsidRPr="005F3D85">
        <w:rPr>
          <w:rFonts w:ascii="Arial" w:hAnsi="Arial" w:cs="Arial"/>
          <w:sz w:val="20"/>
          <w:szCs w:val="20"/>
        </w:rPr>
        <w:t>Pearson correlation matrix’s result shows relationships between return on equity (ROE) and stock market indicators, including credit risk manage</w:t>
      </w:r>
      <w:r w:rsidR="001601B1" w:rsidRPr="005F3D85">
        <w:rPr>
          <w:rFonts w:ascii="Arial" w:hAnsi="Arial" w:cs="Arial"/>
          <w:sz w:val="20"/>
          <w:szCs w:val="20"/>
        </w:rPr>
        <w:t xml:space="preserve">ment </w:t>
      </w:r>
      <w:r w:rsidRPr="005F3D85">
        <w:rPr>
          <w:rFonts w:ascii="Arial" w:hAnsi="Arial" w:cs="Arial"/>
          <w:sz w:val="20"/>
          <w:szCs w:val="20"/>
        </w:rPr>
        <w:t xml:space="preserve">and share price, for five-year period since 2020-2024 using 140 samples. The correlation between Share Price (SP) and ROE was 0.418 where p-value was 0.0235, indicate moderate statistical significant positive relationships. Result suggests increases in share prices </w:t>
      </w:r>
      <w:r w:rsidRPr="005F3D85">
        <w:rPr>
          <w:rFonts w:ascii="Arial" w:hAnsi="Arial" w:cs="Arial"/>
          <w:sz w:val="20"/>
          <w:szCs w:val="20"/>
        </w:rPr>
        <w:lastRenderedPageBreak/>
        <w:t>are associated with better financial performance among listed firms. This finding supports the study of Lusiana (2020), who noted that share price movements serve as a market signal for firm value and financial health. Similarly, study by Saputra (2022) founds share price volatility is a significant determinant of shareholder returns and firm performance.</w:t>
      </w:r>
      <w:r w:rsidR="001601B1" w:rsidRPr="005F3D85">
        <w:rPr>
          <w:rFonts w:ascii="Arial" w:hAnsi="Arial" w:cs="Arial"/>
          <w:sz w:val="20"/>
          <w:szCs w:val="20"/>
        </w:rPr>
        <w:t xml:space="preserve"> </w:t>
      </w:r>
      <w:r w:rsidRPr="005F3D85">
        <w:rPr>
          <w:rFonts w:ascii="Arial" w:hAnsi="Arial" w:cs="Arial"/>
          <w:sz w:val="20"/>
          <w:szCs w:val="20"/>
        </w:rPr>
        <w:t>Result indicates positive statistical significantly correlation of CRM and ROE, with correlation coefficient of 0.488 and p-value of 0.0005. Result denotes moderate statistical significant relationships. Result signifying effective practice of credit risk management contribute in improving financial performances of Tanzania firms. Such relationship implies that firms with stronger systems to assess and mitigate credit risk are likely to experience higher returns on equity. This finding aligns with the study by Natufe and Evbayiro-Osagie (2023), who assert that credit risk management enhances the stability and profitability of firms by reducing default risks and improving loan performance. Similarly, the study of Siddique et al (2022) emphasized credit control is essential in sustaining firm’s performance particularly on developing economies.</w:t>
      </w:r>
    </w:p>
    <w:p w14:paraId="0829F1B8" w14:textId="6ABC63B0" w:rsidR="00E56F63" w:rsidRPr="00392AAA" w:rsidRDefault="00C06F6F" w:rsidP="00757614">
      <w:pPr>
        <w:pStyle w:val="Caption"/>
        <w:keepNext/>
        <w:spacing w:after="0"/>
        <w:rPr>
          <w:rFonts w:ascii="Arial" w:hAnsi="Arial" w:cs="Arial"/>
          <w:b/>
          <w:i w:val="0"/>
          <w:color w:val="auto"/>
          <w:sz w:val="20"/>
          <w:szCs w:val="20"/>
        </w:rPr>
      </w:pPr>
      <w:bookmarkStart w:id="18" w:name="_Toc206689012"/>
      <w:r w:rsidRPr="00392AAA">
        <w:rPr>
          <w:rFonts w:ascii="Arial" w:hAnsi="Arial" w:cs="Arial"/>
          <w:b/>
          <w:i w:val="0"/>
          <w:color w:val="auto"/>
          <w:sz w:val="20"/>
          <w:szCs w:val="20"/>
        </w:rPr>
        <w:t xml:space="preserve">Table </w:t>
      </w:r>
      <w:r w:rsidR="00F2412D" w:rsidRPr="00392AAA">
        <w:rPr>
          <w:rFonts w:ascii="Arial" w:hAnsi="Arial" w:cs="Arial"/>
          <w:b/>
          <w:i w:val="0"/>
          <w:color w:val="auto"/>
          <w:sz w:val="20"/>
          <w:szCs w:val="20"/>
        </w:rPr>
        <w:t>3</w:t>
      </w:r>
      <w:r w:rsidR="00D26B14" w:rsidRPr="00392AAA">
        <w:rPr>
          <w:rFonts w:ascii="Arial" w:hAnsi="Arial" w:cs="Arial"/>
          <w:b/>
          <w:i w:val="0"/>
          <w:color w:val="auto"/>
          <w:sz w:val="20"/>
          <w:szCs w:val="20"/>
        </w:rPr>
        <w:t xml:space="preserve">: </w:t>
      </w:r>
      <w:bookmarkEnd w:id="18"/>
      <w:r w:rsidRPr="00392AAA">
        <w:rPr>
          <w:rFonts w:ascii="Arial" w:hAnsi="Arial" w:cs="Arial"/>
          <w:b/>
          <w:i w:val="0"/>
          <w:color w:val="auto"/>
          <w:sz w:val="20"/>
          <w:szCs w:val="20"/>
        </w:rPr>
        <w:t>Pearson Correlation Matrix Test</w:t>
      </w:r>
    </w:p>
    <w:tbl>
      <w:tblPr>
        <w:tblW w:w="5000" w:type="pct"/>
        <w:tblCellMar>
          <w:left w:w="0" w:type="dxa"/>
          <w:right w:w="0" w:type="dxa"/>
        </w:tblCellMar>
        <w:tblLook w:val="0000" w:firstRow="0" w:lastRow="0" w:firstColumn="0" w:lastColumn="0" w:noHBand="0" w:noVBand="0"/>
      </w:tblPr>
      <w:tblGrid>
        <w:gridCol w:w="2161"/>
        <w:gridCol w:w="1869"/>
        <w:gridCol w:w="1697"/>
        <w:gridCol w:w="1697"/>
        <w:gridCol w:w="1697"/>
      </w:tblGrid>
      <w:tr w:rsidR="00223A52" w:rsidRPr="005F3D85" w14:paraId="79A9EA5C" w14:textId="77777777" w:rsidTr="004707D5">
        <w:trPr>
          <w:trHeight w:hRule="exact" w:val="81"/>
        </w:trPr>
        <w:tc>
          <w:tcPr>
            <w:tcW w:w="1185" w:type="pct"/>
            <w:tcBorders>
              <w:top w:val="nil"/>
              <w:left w:val="nil"/>
              <w:bottom w:val="double" w:sz="6" w:space="2" w:color="auto"/>
              <w:right w:val="nil"/>
            </w:tcBorders>
            <w:vAlign w:val="bottom"/>
          </w:tcPr>
          <w:p w14:paraId="4C2AD6FE"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nil"/>
              <w:bottom w:val="double" w:sz="6" w:space="2" w:color="auto"/>
              <w:right w:val="nil"/>
            </w:tcBorders>
            <w:vAlign w:val="bottom"/>
          </w:tcPr>
          <w:p w14:paraId="22869C20"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double" w:sz="6" w:space="2" w:color="auto"/>
              <w:right w:val="nil"/>
            </w:tcBorders>
            <w:vAlign w:val="bottom"/>
          </w:tcPr>
          <w:p w14:paraId="212046E7"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double" w:sz="6" w:space="2" w:color="auto"/>
              <w:right w:val="nil"/>
            </w:tcBorders>
            <w:vAlign w:val="bottom"/>
          </w:tcPr>
          <w:p w14:paraId="23809E56"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184712D3"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6C4A2972" w14:textId="77777777" w:rsidTr="004707D5">
        <w:trPr>
          <w:trHeight w:hRule="exact" w:val="122"/>
        </w:trPr>
        <w:tc>
          <w:tcPr>
            <w:tcW w:w="1185" w:type="pct"/>
            <w:tcBorders>
              <w:top w:val="nil"/>
              <w:left w:val="nil"/>
              <w:bottom w:val="nil"/>
              <w:right w:val="nil"/>
            </w:tcBorders>
            <w:vAlign w:val="bottom"/>
          </w:tcPr>
          <w:p w14:paraId="0690D718"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nil"/>
              <w:bottom w:val="nil"/>
              <w:right w:val="nil"/>
            </w:tcBorders>
            <w:vAlign w:val="bottom"/>
          </w:tcPr>
          <w:p w14:paraId="7D985702"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584ED6C5"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6F5CC898"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558862FB"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2CDE5912" w14:textId="77777777" w:rsidTr="004707D5">
        <w:trPr>
          <w:trHeight w:val="204"/>
        </w:trPr>
        <w:tc>
          <w:tcPr>
            <w:tcW w:w="2210" w:type="pct"/>
            <w:gridSpan w:val="2"/>
            <w:tcBorders>
              <w:top w:val="nil"/>
              <w:left w:val="nil"/>
              <w:bottom w:val="nil"/>
              <w:right w:val="nil"/>
            </w:tcBorders>
            <w:vAlign w:val="bottom"/>
          </w:tcPr>
          <w:p w14:paraId="7424FAB0"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Correlation</w:t>
            </w:r>
          </w:p>
        </w:tc>
        <w:tc>
          <w:tcPr>
            <w:tcW w:w="930" w:type="pct"/>
            <w:tcBorders>
              <w:top w:val="nil"/>
              <w:left w:val="nil"/>
              <w:bottom w:val="nil"/>
              <w:right w:val="nil"/>
            </w:tcBorders>
            <w:vAlign w:val="bottom"/>
          </w:tcPr>
          <w:p w14:paraId="49B230F1"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3B01BCF3"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4CBA9476"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5A72C790" w14:textId="77777777" w:rsidTr="004707D5">
        <w:trPr>
          <w:trHeight w:val="204"/>
        </w:trPr>
        <w:tc>
          <w:tcPr>
            <w:tcW w:w="2210" w:type="pct"/>
            <w:gridSpan w:val="2"/>
            <w:tcBorders>
              <w:top w:val="nil"/>
              <w:left w:val="nil"/>
              <w:bottom w:val="nil"/>
              <w:right w:val="nil"/>
            </w:tcBorders>
            <w:vAlign w:val="bottom"/>
          </w:tcPr>
          <w:p w14:paraId="690BD816"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t-Statistic</w:t>
            </w:r>
          </w:p>
        </w:tc>
        <w:tc>
          <w:tcPr>
            <w:tcW w:w="930" w:type="pct"/>
            <w:tcBorders>
              <w:top w:val="nil"/>
              <w:left w:val="nil"/>
              <w:bottom w:val="nil"/>
              <w:right w:val="nil"/>
            </w:tcBorders>
            <w:vAlign w:val="bottom"/>
          </w:tcPr>
          <w:p w14:paraId="066DA7F3"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696D0422"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16446F69"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52956833" w14:textId="77777777" w:rsidTr="004707D5">
        <w:trPr>
          <w:trHeight w:val="204"/>
        </w:trPr>
        <w:tc>
          <w:tcPr>
            <w:tcW w:w="1185" w:type="pct"/>
            <w:tcBorders>
              <w:top w:val="nil"/>
              <w:left w:val="nil"/>
              <w:bottom w:val="single" w:sz="6" w:space="0" w:color="auto"/>
              <w:right w:val="single" w:sz="6" w:space="0" w:color="auto"/>
            </w:tcBorders>
            <w:vAlign w:val="bottom"/>
          </w:tcPr>
          <w:p w14:paraId="005ED6E7"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Probability</w:t>
            </w:r>
          </w:p>
        </w:tc>
        <w:tc>
          <w:tcPr>
            <w:tcW w:w="1025" w:type="pct"/>
            <w:tcBorders>
              <w:top w:val="nil"/>
              <w:left w:val="single" w:sz="6" w:space="0" w:color="auto"/>
              <w:bottom w:val="single" w:sz="6" w:space="0" w:color="auto"/>
              <w:right w:val="nil"/>
            </w:tcBorders>
            <w:vAlign w:val="bottom"/>
          </w:tcPr>
          <w:p w14:paraId="51670B7F"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ROE </w:t>
            </w:r>
          </w:p>
        </w:tc>
        <w:tc>
          <w:tcPr>
            <w:tcW w:w="930" w:type="pct"/>
            <w:tcBorders>
              <w:top w:val="nil"/>
              <w:left w:val="nil"/>
              <w:bottom w:val="single" w:sz="6" w:space="0" w:color="auto"/>
              <w:right w:val="nil"/>
            </w:tcBorders>
            <w:vAlign w:val="bottom"/>
          </w:tcPr>
          <w:p w14:paraId="7930EE16"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CRM </w:t>
            </w:r>
          </w:p>
        </w:tc>
        <w:tc>
          <w:tcPr>
            <w:tcW w:w="930" w:type="pct"/>
            <w:tcBorders>
              <w:top w:val="nil"/>
              <w:left w:val="nil"/>
              <w:bottom w:val="single" w:sz="6" w:space="0" w:color="auto"/>
              <w:right w:val="nil"/>
            </w:tcBorders>
            <w:vAlign w:val="bottom"/>
          </w:tcPr>
          <w:p w14:paraId="7FF00ED7"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SP </w:t>
            </w:r>
          </w:p>
        </w:tc>
        <w:tc>
          <w:tcPr>
            <w:tcW w:w="930" w:type="pct"/>
            <w:tcBorders>
              <w:top w:val="nil"/>
              <w:left w:val="nil"/>
              <w:bottom w:val="nil"/>
              <w:right w:val="nil"/>
            </w:tcBorders>
            <w:vAlign w:val="bottom"/>
          </w:tcPr>
          <w:p w14:paraId="37765B32"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6110C0D1" w14:textId="77777777" w:rsidTr="004707D5">
        <w:trPr>
          <w:trHeight w:val="204"/>
        </w:trPr>
        <w:tc>
          <w:tcPr>
            <w:tcW w:w="1185" w:type="pct"/>
            <w:tcBorders>
              <w:top w:val="single" w:sz="6" w:space="0" w:color="auto"/>
              <w:left w:val="nil"/>
              <w:bottom w:val="nil"/>
              <w:right w:val="single" w:sz="6" w:space="0" w:color="auto"/>
            </w:tcBorders>
            <w:vAlign w:val="bottom"/>
          </w:tcPr>
          <w:p w14:paraId="48CB60F7"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ROE </w:t>
            </w:r>
          </w:p>
        </w:tc>
        <w:tc>
          <w:tcPr>
            <w:tcW w:w="1025" w:type="pct"/>
            <w:tcBorders>
              <w:top w:val="single" w:sz="6" w:space="0" w:color="auto"/>
              <w:left w:val="single" w:sz="6" w:space="0" w:color="auto"/>
              <w:bottom w:val="nil"/>
              <w:right w:val="nil"/>
            </w:tcBorders>
            <w:vAlign w:val="bottom"/>
          </w:tcPr>
          <w:p w14:paraId="3D53C7E9"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1.000000</w:t>
            </w:r>
          </w:p>
        </w:tc>
        <w:tc>
          <w:tcPr>
            <w:tcW w:w="930" w:type="pct"/>
            <w:tcBorders>
              <w:top w:val="single" w:sz="6" w:space="0" w:color="auto"/>
              <w:left w:val="nil"/>
              <w:bottom w:val="nil"/>
              <w:right w:val="nil"/>
            </w:tcBorders>
            <w:vAlign w:val="bottom"/>
          </w:tcPr>
          <w:p w14:paraId="522909DD"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single" w:sz="6" w:space="0" w:color="auto"/>
              <w:left w:val="nil"/>
              <w:bottom w:val="nil"/>
              <w:right w:val="nil"/>
            </w:tcBorders>
            <w:vAlign w:val="bottom"/>
          </w:tcPr>
          <w:p w14:paraId="20EBE9D1"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1575BE43"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71645762" w14:textId="77777777" w:rsidTr="004707D5">
        <w:trPr>
          <w:trHeight w:val="204"/>
        </w:trPr>
        <w:tc>
          <w:tcPr>
            <w:tcW w:w="1185" w:type="pct"/>
            <w:tcBorders>
              <w:top w:val="nil"/>
              <w:left w:val="nil"/>
              <w:bottom w:val="nil"/>
              <w:right w:val="single" w:sz="6" w:space="0" w:color="auto"/>
            </w:tcBorders>
            <w:vAlign w:val="bottom"/>
          </w:tcPr>
          <w:p w14:paraId="5AC1FFC5"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5F7E0D58"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 </w:t>
            </w:r>
          </w:p>
        </w:tc>
        <w:tc>
          <w:tcPr>
            <w:tcW w:w="930" w:type="pct"/>
            <w:tcBorders>
              <w:top w:val="nil"/>
              <w:left w:val="nil"/>
              <w:bottom w:val="nil"/>
              <w:right w:val="nil"/>
            </w:tcBorders>
            <w:vAlign w:val="bottom"/>
          </w:tcPr>
          <w:p w14:paraId="01D2CE93"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51E7087B"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273D2FED"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5B9342A8" w14:textId="77777777" w:rsidTr="004707D5">
        <w:trPr>
          <w:trHeight w:val="204"/>
        </w:trPr>
        <w:tc>
          <w:tcPr>
            <w:tcW w:w="1185" w:type="pct"/>
            <w:tcBorders>
              <w:top w:val="nil"/>
              <w:left w:val="nil"/>
              <w:bottom w:val="nil"/>
              <w:right w:val="single" w:sz="6" w:space="0" w:color="auto"/>
            </w:tcBorders>
            <w:vAlign w:val="bottom"/>
          </w:tcPr>
          <w:p w14:paraId="317944F6"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14575CAC"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 </w:t>
            </w:r>
          </w:p>
        </w:tc>
        <w:tc>
          <w:tcPr>
            <w:tcW w:w="930" w:type="pct"/>
            <w:tcBorders>
              <w:top w:val="nil"/>
              <w:left w:val="nil"/>
              <w:bottom w:val="nil"/>
              <w:right w:val="nil"/>
            </w:tcBorders>
            <w:vAlign w:val="bottom"/>
          </w:tcPr>
          <w:p w14:paraId="768AFB03"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5B14D240"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48D2D71D"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4013E814" w14:textId="77777777" w:rsidTr="004707D5">
        <w:trPr>
          <w:trHeight w:val="204"/>
        </w:trPr>
        <w:tc>
          <w:tcPr>
            <w:tcW w:w="1185" w:type="pct"/>
            <w:tcBorders>
              <w:top w:val="nil"/>
              <w:left w:val="nil"/>
              <w:bottom w:val="nil"/>
              <w:right w:val="single" w:sz="6" w:space="0" w:color="auto"/>
            </w:tcBorders>
            <w:vAlign w:val="bottom"/>
          </w:tcPr>
          <w:p w14:paraId="3B71200B"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7DE706E1"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22FFF17B"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2CA2AA6D"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7770DE7A"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4E455102" w14:textId="77777777" w:rsidTr="004707D5">
        <w:trPr>
          <w:trHeight w:val="204"/>
        </w:trPr>
        <w:tc>
          <w:tcPr>
            <w:tcW w:w="1185" w:type="pct"/>
            <w:tcBorders>
              <w:top w:val="nil"/>
              <w:left w:val="nil"/>
              <w:bottom w:val="nil"/>
              <w:right w:val="single" w:sz="6" w:space="0" w:color="auto"/>
            </w:tcBorders>
            <w:vAlign w:val="bottom"/>
          </w:tcPr>
          <w:p w14:paraId="56BB278C"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CRM </w:t>
            </w:r>
          </w:p>
        </w:tc>
        <w:tc>
          <w:tcPr>
            <w:tcW w:w="1025" w:type="pct"/>
            <w:tcBorders>
              <w:top w:val="nil"/>
              <w:left w:val="single" w:sz="6" w:space="0" w:color="auto"/>
              <w:bottom w:val="nil"/>
              <w:right w:val="nil"/>
            </w:tcBorders>
            <w:vAlign w:val="bottom"/>
          </w:tcPr>
          <w:p w14:paraId="64E90F5B"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lang w:eastAsia="zh-CN"/>
              </w:rPr>
              <w:t>0</w:t>
            </w:r>
            <w:r w:rsidRPr="005F3D85">
              <w:rPr>
                <w:rFonts w:ascii="Arial" w:eastAsia="Tahoma" w:hAnsi="Arial" w:cs="Arial"/>
                <w:sz w:val="20"/>
                <w:szCs w:val="20"/>
              </w:rPr>
              <w:t>.487761</w:t>
            </w:r>
          </w:p>
        </w:tc>
        <w:tc>
          <w:tcPr>
            <w:tcW w:w="930" w:type="pct"/>
            <w:tcBorders>
              <w:top w:val="nil"/>
              <w:left w:val="nil"/>
              <w:bottom w:val="nil"/>
              <w:right w:val="nil"/>
            </w:tcBorders>
            <w:vAlign w:val="bottom"/>
          </w:tcPr>
          <w:p w14:paraId="5BFF0CAB"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1.000000</w:t>
            </w:r>
          </w:p>
        </w:tc>
        <w:tc>
          <w:tcPr>
            <w:tcW w:w="930" w:type="pct"/>
            <w:tcBorders>
              <w:top w:val="nil"/>
              <w:left w:val="nil"/>
              <w:bottom w:val="nil"/>
              <w:right w:val="nil"/>
            </w:tcBorders>
            <w:vAlign w:val="bottom"/>
          </w:tcPr>
          <w:p w14:paraId="429DE8F4"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3EFEC12A"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0FE6E749" w14:textId="77777777" w:rsidTr="004707D5">
        <w:trPr>
          <w:trHeight w:val="204"/>
        </w:trPr>
        <w:tc>
          <w:tcPr>
            <w:tcW w:w="1185" w:type="pct"/>
            <w:tcBorders>
              <w:top w:val="nil"/>
              <w:left w:val="nil"/>
              <w:bottom w:val="nil"/>
              <w:right w:val="single" w:sz="6" w:space="0" w:color="auto"/>
            </w:tcBorders>
            <w:vAlign w:val="bottom"/>
          </w:tcPr>
          <w:p w14:paraId="54419104"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726537BE"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1.034951</w:t>
            </w:r>
          </w:p>
        </w:tc>
        <w:tc>
          <w:tcPr>
            <w:tcW w:w="930" w:type="pct"/>
            <w:tcBorders>
              <w:top w:val="nil"/>
              <w:left w:val="nil"/>
              <w:bottom w:val="nil"/>
              <w:right w:val="nil"/>
            </w:tcBorders>
            <w:vAlign w:val="bottom"/>
          </w:tcPr>
          <w:p w14:paraId="30186671"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 </w:t>
            </w:r>
          </w:p>
        </w:tc>
        <w:tc>
          <w:tcPr>
            <w:tcW w:w="930" w:type="pct"/>
            <w:tcBorders>
              <w:top w:val="nil"/>
              <w:left w:val="nil"/>
              <w:bottom w:val="nil"/>
              <w:right w:val="nil"/>
            </w:tcBorders>
            <w:vAlign w:val="bottom"/>
          </w:tcPr>
          <w:p w14:paraId="74AF9550"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0F000C5C"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3CDD9642" w14:textId="77777777" w:rsidTr="004707D5">
        <w:trPr>
          <w:trHeight w:val="204"/>
        </w:trPr>
        <w:tc>
          <w:tcPr>
            <w:tcW w:w="1185" w:type="pct"/>
            <w:tcBorders>
              <w:top w:val="nil"/>
              <w:left w:val="nil"/>
              <w:bottom w:val="nil"/>
              <w:right w:val="single" w:sz="6" w:space="0" w:color="auto"/>
            </w:tcBorders>
            <w:vAlign w:val="bottom"/>
          </w:tcPr>
          <w:p w14:paraId="2843A866"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46A01278"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0.0005</w:t>
            </w:r>
          </w:p>
        </w:tc>
        <w:tc>
          <w:tcPr>
            <w:tcW w:w="930" w:type="pct"/>
            <w:tcBorders>
              <w:top w:val="nil"/>
              <w:left w:val="nil"/>
              <w:bottom w:val="nil"/>
              <w:right w:val="nil"/>
            </w:tcBorders>
            <w:vAlign w:val="bottom"/>
          </w:tcPr>
          <w:p w14:paraId="05F14F07"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 </w:t>
            </w:r>
          </w:p>
        </w:tc>
        <w:tc>
          <w:tcPr>
            <w:tcW w:w="930" w:type="pct"/>
            <w:tcBorders>
              <w:top w:val="nil"/>
              <w:left w:val="nil"/>
              <w:bottom w:val="nil"/>
              <w:right w:val="nil"/>
            </w:tcBorders>
            <w:vAlign w:val="bottom"/>
          </w:tcPr>
          <w:p w14:paraId="10A7345E"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7990A381"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20E6B449" w14:textId="77777777" w:rsidTr="004707D5">
        <w:trPr>
          <w:trHeight w:val="204"/>
        </w:trPr>
        <w:tc>
          <w:tcPr>
            <w:tcW w:w="1185" w:type="pct"/>
            <w:tcBorders>
              <w:top w:val="nil"/>
              <w:left w:val="nil"/>
              <w:bottom w:val="nil"/>
              <w:right w:val="single" w:sz="6" w:space="0" w:color="auto"/>
            </w:tcBorders>
            <w:vAlign w:val="bottom"/>
          </w:tcPr>
          <w:p w14:paraId="1BDA2856"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1B4A343A"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08C24567"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1B84DDD2"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533E87A5"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50664028" w14:textId="77777777" w:rsidTr="004707D5">
        <w:trPr>
          <w:trHeight w:val="204"/>
        </w:trPr>
        <w:tc>
          <w:tcPr>
            <w:tcW w:w="1185" w:type="pct"/>
            <w:tcBorders>
              <w:top w:val="nil"/>
              <w:left w:val="nil"/>
              <w:bottom w:val="nil"/>
              <w:right w:val="single" w:sz="6" w:space="0" w:color="auto"/>
            </w:tcBorders>
            <w:vAlign w:val="bottom"/>
          </w:tcPr>
          <w:p w14:paraId="32738377"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SP </w:t>
            </w:r>
          </w:p>
        </w:tc>
        <w:tc>
          <w:tcPr>
            <w:tcW w:w="1025" w:type="pct"/>
            <w:tcBorders>
              <w:top w:val="nil"/>
              <w:left w:val="single" w:sz="6" w:space="0" w:color="auto"/>
              <w:bottom w:val="nil"/>
              <w:right w:val="nil"/>
            </w:tcBorders>
            <w:vAlign w:val="bottom"/>
          </w:tcPr>
          <w:p w14:paraId="14874626"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0.418421</w:t>
            </w:r>
          </w:p>
        </w:tc>
        <w:tc>
          <w:tcPr>
            <w:tcW w:w="930" w:type="pct"/>
            <w:tcBorders>
              <w:top w:val="nil"/>
              <w:left w:val="nil"/>
              <w:bottom w:val="nil"/>
              <w:right w:val="nil"/>
            </w:tcBorders>
            <w:vAlign w:val="bottom"/>
          </w:tcPr>
          <w:p w14:paraId="249AD215"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-0.057303</w:t>
            </w:r>
          </w:p>
        </w:tc>
        <w:tc>
          <w:tcPr>
            <w:tcW w:w="930" w:type="pct"/>
            <w:tcBorders>
              <w:top w:val="nil"/>
              <w:left w:val="nil"/>
              <w:bottom w:val="nil"/>
              <w:right w:val="nil"/>
            </w:tcBorders>
            <w:vAlign w:val="bottom"/>
          </w:tcPr>
          <w:p w14:paraId="51D698C3"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1.000000</w:t>
            </w:r>
          </w:p>
        </w:tc>
        <w:tc>
          <w:tcPr>
            <w:tcW w:w="930" w:type="pct"/>
            <w:tcBorders>
              <w:top w:val="nil"/>
              <w:left w:val="nil"/>
              <w:bottom w:val="nil"/>
              <w:right w:val="nil"/>
            </w:tcBorders>
            <w:vAlign w:val="bottom"/>
          </w:tcPr>
          <w:p w14:paraId="30AF4E94"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46ACA45C" w14:textId="77777777" w:rsidTr="004707D5">
        <w:trPr>
          <w:trHeight w:val="204"/>
        </w:trPr>
        <w:tc>
          <w:tcPr>
            <w:tcW w:w="1185" w:type="pct"/>
            <w:tcBorders>
              <w:top w:val="nil"/>
              <w:left w:val="nil"/>
              <w:bottom w:val="nil"/>
              <w:right w:val="single" w:sz="6" w:space="0" w:color="auto"/>
            </w:tcBorders>
            <w:vAlign w:val="bottom"/>
          </w:tcPr>
          <w:p w14:paraId="7DB827CD"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1CDBEB8B"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1.400987</w:t>
            </w:r>
          </w:p>
        </w:tc>
        <w:tc>
          <w:tcPr>
            <w:tcW w:w="930" w:type="pct"/>
            <w:tcBorders>
              <w:top w:val="nil"/>
              <w:left w:val="nil"/>
              <w:bottom w:val="nil"/>
              <w:right w:val="nil"/>
            </w:tcBorders>
            <w:vAlign w:val="bottom"/>
          </w:tcPr>
          <w:p w14:paraId="3BE807F1"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-0.674261</w:t>
            </w:r>
          </w:p>
        </w:tc>
        <w:tc>
          <w:tcPr>
            <w:tcW w:w="930" w:type="pct"/>
            <w:tcBorders>
              <w:top w:val="nil"/>
              <w:left w:val="nil"/>
              <w:bottom w:val="nil"/>
              <w:right w:val="nil"/>
            </w:tcBorders>
            <w:vAlign w:val="bottom"/>
          </w:tcPr>
          <w:p w14:paraId="648C1FAE"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 </w:t>
            </w:r>
          </w:p>
        </w:tc>
        <w:tc>
          <w:tcPr>
            <w:tcW w:w="930" w:type="pct"/>
            <w:tcBorders>
              <w:top w:val="nil"/>
              <w:left w:val="nil"/>
              <w:bottom w:val="nil"/>
              <w:right w:val="nil"/>
            </w:tcBorders>
            <w:vAlign w:val="bottom"/>
          </w:tcPr>
          <w:p w14:paraId="6EA83957"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06AAE7D3" w14:textId="77777777" w:rsidTr="004707D5">
        <w:trPr>
          <w:trHeight w:val="204"/>
        </w:trPr>
        <w:tc>
          <w:tcPr>
            <w:tcW w:w="1185" w:type="pct"/>
            <w:tcBorders>
              <w:top w:val="nil"/>
              <w:left w:val="nil"/>
              <w:bottom w:val="nil"/>
              <w:right w:val="single" w:sz="6" w:space="0" w:color="auto"/>
            </w:tcBorders>
            <w:vAlign w:val="bottom"/>
          </w:tcPr>
          <w:p w14:paraId="682A2AAC"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34B3ECBD"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0.0235</w:t>
            </w:r>
          </w:p>
        </w:tc>
        <w:tc>
          <w:tcPr>
            <w:tcW w:w="930" w:type="pct"/>
            <w:tcBorders>
              <w:top w:val="nil"/>
              <w:left w:val="nil"/>
              <w:bottom w:val="nil"/>
              <w:right w:val="nil"/>
            </w:tcBorders>
            <w:vAlign w:val="bottom"/>
          </w:tcPr>
          <w:p w14:paraId="758DE9D8"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0.5013</w:t>
            </w:r>
          </w:p>
        </w:tc>
        <w:tc>
          <w:tcPr>
            <w:tcW w:w="930" w:type="pct"/>
            <w:tcBorders>
              <w:top w:val="nil"/>
              <w:left w:val="nil"/>
              <w:bottom w:val="nil"/>
              <w:right w:val="nil"/>
            </w:tcBorders>
            <w:vAlign w:val="bottom"/>
          </w:tcPr>
          <w:p w14:paraId="5C7469C0"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 </w:t>
            </w:r>
          </w:p>
        </w:tc>
        <w:tc>
          <w:tcPr>
            <w:tcW w:w="930" w:type="pct"/>
            <w:tcBorders>
              <w:top w:val="nil"/>
              <w:left w:val="nil"/>
              <w:bottom w:val="nil"/>
              <w:right w:val="nil"/>
            </w:tcBorders>
            <w:vAlign w:val="bottom"/>
          </w:tcPr>
          <w:p w14:paraId="7909C3D6"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30C3FDA7" w14:textId="77777777" w:rsidTr="004707D5">
        <w:trPr>
          <w:trHeight w:hRule="exact" w:val="81"/>
        </w:trPr>
        <w:tc>
          <w:tcPr>
            <w:tcW w:w="1185" w:type="pct"/>
            <w:tcBorders>
              <w:top w:val="nil"/>
              <w:left w:val="nil"/>
              <w:bottom w:val="double" w:sz="6" w:space="0" w:color="auto"/>
              <w:right w:val="nil"/>
            </w:tcBorders>
            <w:vAlign w:val="bottom"/>
          </w:tcPr>
          <w:p w14:paraId="658C3F86"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nil"/>
              <w:bottom w:val="double" w:sz="6" w:space="0" w:color="auto"/>
              <w:right w:val="nil"/>
            </w:tcBorders>
            <w:vAlign w:val="bottom"/>
          </w:tcPr>
          <w:p w14:paraId="506DE885"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double" w:sz="6" w:space="0" w:color="auto"/>
              <w:right w:val="nil"/>
            </w:tcBorders>
            <w:vAlign w:val="bottom"/>
          </w:tcPr>
          <w:p w14:paraId="237E254A"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double" w:sz="6" w:space="0" w:color="auto"/>
              <w:right w:val="nil"/>
            </w:tcBorders>
            <w:vAlign w:val="bottom"/>
          </w:tcPr>
          <w:p w14:paraId="574B258F"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78ECD568"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4B9B5CA8" w14:textId="77777777" w:rsidTr="004707D5">
        <w:trPr>
          <w:trHeight w:hRule="exact" w:val="122"/>
        </w:trPr>
        <w:tc>
          <w:tcPr>
            <w:tcW w:w="1185" w:type="pct"/>
            <w:tcBorders>
              <w:top w:val="nil"/>
              <w:left w:val="nil"/>
              <w:bottom w:val="nil"/>
              <w:right w:val="nil"/>
            </w:tcBorders>
            <w:vAlign w:val="bottom"/>
          </w:tcPr>
          <w:p w14:paraId="69E6C7B5"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nil"/>
              <w:bottom w:val="nil"/>
              <w:right w:val="nil"/>
            </w:tcBorders>
            <w:vAlign w:val="bottom"/>
          </w:tcPr>
          <w:p w14:paraId="55885500"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6A31D091"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12C5B49B"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45AE5262" w14:textId="77777777" w:rsidR="00223A52" w:rsidRPr="005F3D85" w:rsidRDefault="00223A52" w:rsidP="00757614">
            <w:pPr>
              <w:spacing w:after="0" w:line="240" w:lineRule="auto"/>
              <w:rPr>
                <w:rFonts w:ascii="Arial" w:eastAsia="Tahoma" w:hAnsi="Arial" w:cs="Arial"/>
                <w:sz w:val="20"/>
                <w:szCs w:val="20"/>
              </w:rPr>
            </w:pPr>
          </w:p>
        </w:tc>
      </w:tr>
    </w:tbl>
    <w:p w14:paraId="223E77D1" w14:textId="77777777" w:rsidR="00E56F63" w:rsidRPr="005F3D85" w:rsidRDefault="00E56F63" w:rsidP="00757614">
      <w:pPr>
        <w:spacing w:after="0" w:line="240" w:lineRule="auto"/>
        <w:rPr>
          <w:rFonts w:ascii="Arial" w:hAnsi="Arial" w:cs="Arial"/>
          <w:sz w:val="20"/>
          <w:szCs w:val="20"/>
        </w:rPr>
      </w:pPr>
      <w:r w:rsidRPr="005F3D85">
        <w:rPr>
          <w:rFonts w:ascii="Arial" w:hAnsi="Arial" w:cs="Arial"/>
          <w:sz w:val="20"/>
          <w:szCs w:val="20"/>
        </w:rPr>
        <w:t>Source: Data Analysis (2025)</w:t>
      </w:r>
    </w:p>
    <w:p w14:paraId="1B671973" w14:textId="0D7BF5F7" w:rsidR="00E56F63" w:rsidRPr="00392AAA" w:rsidRDefault="004707D5" w:rsidP="00392AAA">
      <w:pPr>
        <w:spacing w:after="0" w:line="240" w:lineRule="auto"/>
        <w:rPr>
          <w:rFonts w:ascii="Arial" w:hAnsi="Arial" w:cs="Arial"/>
          <w:b/>
          <w:sz w:val="20"/>
          <w:szCs w:val="20"/>
        </w:rPr>
      </w:pPr>
      <w:bookmarkStart w:id="19" w:name="_Toc207714062"/>
      <w:bookmarkStart w:id="20" w:name="_Toc208584823"/>
      <w:r w:rsidRPr="00392AAA">
        <w:rPr>
          <w:rFonts w:ascii="Arial" w:hAnsi="Arial" w:cs="Arial"/>
          <w:b/>
          <w:sz w:val="20"/>
          <w:szCs w:val="20"/>
        </w:rPr>
        <w:t xml:space="preserve">Table </w:t>
      </w:r>
      <w:r w:rsidR="00F2412D" w:rsidRPr="00392AAA">
        <w:rPr>
          <w:rFonts w:ascii="Arial" w:hAnsi="Arial" w:cs="Arial"/>
          <w:b/>
          <w:sz w:val="20"/>
          <w:szCs w:val="20"/>
        </w:rPr>
        <w:t>4</w:t>
      </w:r>
      <w:r w:rsidRPr="00392AAA">
        <w:rPr>
          <w:rFonts w:ascii="Arial" w:hAnsi="Arial" w:cs="Arial"/>
          <w:b/>
          <w:sz w:val="20"/>
          <w:szCs w:val="20"/>
        </w:rPr>
        <w:t>.</w:t>
      </w:r>
      <w:r w:rsidR="00E56F63" w:rsidRPr="00392AAA">
        <w:rPr>
          <w:rFonts w:ascii="Arial" w:hAnsi="Arial" w:cs="Arial"/>
          <w:b/>
          <w:sz w:val="20"/>
          <w:szCs w:val="20"/>
        </w:rPr>
        <w:t xml:space="preserve"> Unit Root Test at a Level</w:t>
      </w:r>
      <w:bookmarkEnd w:id="19"/>
      <w:bookmarkEnd w:id="20"/>
      <w:r w:rsidR="008C38B8" w:rsidRPr="00392AAA">
        <w:rPr>
          <w:rFonts w:ascii="Arial" w:hAnsi="Arial" w:cs="Arial"/>
          <w:b/>
          <w:sz w:val="20"/>
          <w:szCs w:val="20"/>
        </w:rPr>
        <w:t xml:space="preserve"> for CRM</w:t>
      </w:r>
    </w:p>
    <w:tbl>
      <w:tblPr>
        <w:tblW w:w="5000" w:type="pct"/>
        <w:tblCellMar>
          <w:left w:w="0" w:type="dxa"/>
          <w:right w:w="0" w:type="dxa"/>
        </w:tblCellMar>
        <w:tblLook w:val="0000" w:firstRow="0" w:lastRow="0" w:firstColumn="0" w:lastColumn="0" w:noHBand="0" w:noVBand="0"/>
      </w:tblPr>
      <w:tblGrid>
        <w:gridCol w:w="4553"/>
        <w:gridCol w:w="1399"/>
        <w:gridCol w:w="1226"/>
        <w:gridCol w:w="1259"/>
        <w:gridCol w:w="684"/>
      </w:tblGrid>
      <w:tr w:rsidR="00F63FE8" w:rsidRPr="005F3D85" w14:paraId="30F77E5B" w14:textId="77777777" w:rsidTr="00F63FE8">
        <w:trPr>
          <w:trHeight w:hRule="exact" w:val="81"/>
        </w:trPr>
        <w:tc>
          <w:tcPr>
            <w:tcW w:w="2496" w:type="pct"/>
            <w:tcBorders>
              <w:top w:val="nil"/>
              <w:left w:val="nil"/>
              <w:bottom w:val="double" w:sz="6" w:space="2" w:color="auto"/>
              <w:right w:val="nil"/>
            </w:tcBorders>
            <w:vAlign w:val="bottom"/>
          </w:tcPr>
          <w:p w14:paraId="389A0BF8" w14:textId="77777777" w:rsidR="00F63FE8" w:rsidRPr="005F3D85" w:rsidRDefault="00F63FE8" w:rsidP="00392AAA">
            <w:pPr>
              <w:spacing w:after="0" w:line="240" w:lineRule="auto"/>
              <w:jc w:val="both"/>
              <w:rPr>
                <w:rFonts w:ascii="Arial" w:hAnsi="Arial" w:cs="Arial"/>
                <w:sz w:val="20"/>
                <w:szCs w:val="20"/>
              </w:rPr>
            </w:pPr>
          </w:p>
        </w:tc>
        <w:tc>
          <w:tcPr>
            <w:tcW w:w="767" w:type="pct"/>
            <w:tcBorders>
              <w:top w:val="nil"/>
              <w:left w:val="nil"/>
              <w:bottom w:val="double" w:sz="6" w:space="2" w:color="auto"/>
              <w:right w:val="nil"/>
            </w:tcBorders>
            <w:vAlign w:val="bottom"/>
          </w:tcPr>
          <w:p w14:paraId="08C9EFC1" w14:textId="77777777" w:rsidR="00F63FE8" w:rsidRPr="005F3D85" w:rsidRDefault="00F63FE8" w:rsidP="00392AAA">
            <w:pPr>
              <w:spacing w:after="0" w:line="240" w:lineRule="auto"/>
              <w:jc w:val="both"/>
              <w:rPr>
                <w:rFonts w:ascii="Arial" w:hAnsi="Arial" w:cs="Arial"/>
                <w:sz w:val="20"/>
                <w:szCs w:val="20"/>
              </w:rPr>
            </w:pPr>
          </w:p>
        </w:tc>
        <w:tc>
          <w:tcPr>
            <w:tcW w:w="672" w:type="pct"/>
            <w:tcBorders>
              <w:top w:val="nil"/>
              <w:left w:val="nil"/>
              <w:bottom w:val="double" w:sz="6" w:space="2" w:color="auto"/>
              <w:right w:val="nil"/>
            </w:tcBorders>
            <w:vAlign w:val="bottom"/>
          </w:tcPr>
          <w:p w14:paraId="45FF7D9A" w14:textId="77777777" w:rsidR="00F63FE8" w:rsidRPr="005F3D85" w:rsidRDefault="00F63FE8" w:rsidP="00392AAA">
            <w:pPr>
              <w:spacing w:after="0" w:line="240" w:lineRule="auto"/>
              <w:jc w:val="both"/>
              <w:rPr>
                <w:rFonts w:ascii="Arial" w:hAnsi="Arial" w:cs="Arial"/>
                <w:sz w:val="20"/>
                <w:szCs w:val="20"/>
              </w:rPr>
            </w:pPr>
          </w:p>
        </w:tc>
        <w:tc>
          <w:tcPr>
            <w:tcW w:w="690" w:type="pct"/>
            <w:tcBorders>
              <w:top w:val="nil"/>
              <w:left w:val="nil"/>
              <w:bottom w:val="double" w:sz="6" w:space="2" w:color="auto"/>
              <w:right w:val="nil"/>
            </w:tcBorders>
            <w:vAlign w:val="bottom"/>
          </w:tcPr>
          <w:p w14:paraId="75826983" w14:textId="77777777" w:rsidR="00F63FE8" w:rsidRPr="005F3D85" w:rsidRDefault="00F63FE8" w:rsidP="00392AAA">
            <w:pPr>
              <w:spacing w:after="0" w:line="240" w:lineRule="auto"/>
              <w:jc w:val="both"/>
              <w:rPr>
                <w:rFonts w:ascii="Arial" w:hAnsi="Arial" w:cs="Arial"/>
                <w:sz w:val="20"/>
                <w:szCs w:val="20"/>
              </w:rPr>
            </w:pPr>
          </w:p>
        </w:tc>
        <w:tc>
          <w:tcPr>
            <w:tcW w:w="375" w:type="pct"/>
            <w:tcBorders>
              <w:top w:val="nil"/>
              <w:left w:val="nil"/>
              <w:bottom w:val="double" w:sz="6" w:space="2" w:color="auto"/>
              <w:right w:val="nil"/>
            </w:tcBorders>
            <w:vAlign w:val="bottom"/>
          </w:tcPr>
          <w:p w14:paraId="2716CE5D" w14:textId="77777777" w:rsidR="00F63FE8" w:rsidRPr="005F3D85" w:rsidRDefault="00F63FE8" w:rsidP="00392AAA">
            <w:pPr>
              <w:spacing w:after="0" w:line="240" w:lineRule="auto"/>
              <w:jc w:val="both"/>
              <w:rPr>
                <w:rFonts w:ascii="Arial" w:hAnsi="Arial" w:cs="Arial"/>
                <w:sz w:val="20"/>
                <w:szCs w:val="20"/>
              </w:rPr>
            </w:pPr>
          </w:p>
        </w:tc>
      </w:tr>
      <w:tr w:rsidR="00F63FE8" w:rsidRPr="005F3D85" w14:paraId="1BD65A4C" w14:textId="77777777" w:rsidTr="00F63FE8">
        <w:trPr>
          <w:trHeight w:hRule="exact" w:val="122"/>
        </w:trPr>
        <w:tc>
          <w:tcPr>
            <w:tcW w:w="2496" w:type="pct"/>
            <w:tcBorders>
              <w:top w:val="nil"/>
              <w:left w:val="nil"/>
              <w:bottom w:val="nil"/>
              <w:right w:val="nil"/>
            </w:tcBorders>
            <w:vAlign w:val="bottom"/>
          </w:tcPr>
          <w:p w14:paraId="21B74838" w14:textId="77777777" w:rsidR="00F63FE8" w:rsidRPr="005F3D85" w:rsidRDefault="00F63FE8" w:rsidP="00757614">
            <w:pPr>
              <w:spacing w:after="0" w:line="240" w:lineRule="auto"/>
              <w:jc w:val="both"/>
              <w:rPr>
                <w:rFonts w:ascii="Arial" w:hAnsi="Arial" w:cs="Arial"/>
                <w:sz w:val="20"/>
                <w:szCs w:val="20"/>
              </w:rPr>
            </w:pPr>
          </w:p>
        </w:tc>
        <w:tc>
          <w:tcPr>
            <w:tcW w:w="767" w:type="pct"/>
            <w:tcBorders>
              <w:top w:val="nil"/>
              <w:left w:val="nil"/>
              <w:bottom w:val="nil"/>
              <w:right w:val="nil"/>
            </w:tcBorders>
            <w:vAlign w:val="bottom"/>
          </w:tcPr>
          <w:p w14:paraId="0F5A5A0C" w14:textId="77777777" w:rsidR="00F63FE8" w:rsidRPr="005F3D85" w:rsidRDefault="00F63FE8" w:rsidP="00757614">
            <w:pPr>
              <w:spacing w:after="0" w:line="240" w:lineRule="auto"/>
              <w:jc w:val="both"/>
              <w:rPr>
                <w:rFonts w:ascii="Arial" w:hAnsi="Arial" w:cs="Arial"/>
                <w:sz w:val="20"/>
                <w:szCs w:val="20"/>
              </w:rPr>
            </w:pPr>
          </w:p>
        </w:tc>
        <w:tc>
          <w:tcPr>
            <w:tcW w:w="672" w:type="pct"/>
            <w:tcBorders>
              <w:top w:val="nil"/>
              <w:left w:val="nil"/>
              <w:bottom w:val="nil"/>
              <w:right w:val="nil"/>
            </w:tcBorders>
            <w:vAlign w:val="bottom"/>
          </w:tcPr>
          <w:p w14:paraId="183D3FB3" w14:textId="77777777" w:rsidR="00F63FE8" w:rsidRPr="005F3D85" w:rsidRDefault="00F63FE8" w:rsidP="00757614">
            <w:pPr>
              <w:spacing w:after="0" w:line="240" w:lineRule="auto"/>
              <w:jc w:val="both"/>
              <w:rPr>
                <w:rFonts w:ascii="Arial" w:hAnsi="Arial" w:cs="Arial"/>
                <w:sz w:val="20"/>
                <w:szCs w:val="20"/>
              </w:rPr>
            </w:pPr>
          </w:p>
        </w:tc>
        <w:tc>
          <w:tcPr>
            <w:tcW w:w="690" w:type="pct"/>
            <w:tcBorders>
              <w:top w:val="nil"/>
              <w:left w:val="nil"/>
              <w:bottom w:val="nil"/>
              <w:right w:val="nil"/>
            </w:tcBorders>
            <w:vAlign w:val="bottom"/>
          </w:tcPr>
          <w:p w14:paraId="00C1787E" w14:textId="77777777" w:rsidR="00F63FE8" w:rsidRPr="005F3D85" w:rsidRDefault="00F63FE8" w:rsidP="00757614">
            <w:pPr>
              <w:spacing w:after="0" w:line="240" w:lineRule="auto"/>
              <w:jc w:val="both"/>
              <w:rPr>
                <w:rFonts w:ascii="Arial" w:hAnsi="Arial" w:cs="Arial"/>
                <w:sz w:val="20"/>
                <w:szCs w:val="20"/>
              </w:rPr>
            </w:pPr>
          </w:p>
        </w:tc>
        <w:tc>
          <w:tcPr>
            <w:tcW w:w="375" w:type="pct"/>
            <w:tcBorders>
              <w:top w:val="nil"/>
              <w:left w:val="nil"/>
              <w:bottom w:val="nil"/>
              <w:right w:val="nil"/>
            </w:tcBorders>
            <w:vAlign w:val="bottom"/>
          </w:tcPr>
          <w:p w14:paraId="193831AC" w14:textId="77777777" w:rsidR="00F63FE8" w:rsidRPr="005F3D85" w:rsidRDefault="00F63FE8" w:rsidP="00757614">
            <w:pPr>
              <w:spacing w:after="0" w:line="240" w:lineRule="auto"/>
              <w:jc w:val="both"/>
              <w:rPr>
                <w:rFonts w:ascii="Arial" w:hAnsi="Arial" w:cs="Arial"/>
                <w:sz w:val="20"/>
                <w:szCs w:val="20"/>
              </w:rPr>
            </w:pPr>
          </w:p>
        </w:tc>
      </w:tr>
      <w:tr w:rsidR="00F63FE8" w:rsidRPr="005F3D85" w14:paraId="204D6751" w14:textId="77777777" w:rsidTr="00F63FE8">
        <w:trPr>
          <w:trHeight w:val="204"/>
        </w:trPr>
        <w:tc>
          <w:tcPr>
            <w:tcW w:w="2496" w:type="pct"/>
            <w:tcBorders>
              <w:top w:val="nil"/>
              <w:left w:val="nil"/>
              <w:bottom w:val="nil"/>
              <w:right w:val="nil"/>
            </w:tcBorders>
            <w:vAlign w:val="bottom"/>
          </w:tcPr>
          <w:p w14:paraId="0952C72E" w14:textId="77777777" w:rsidR="00F63FE8" w:rsidRPr="005F3D85" w:rsidRDefault="00F63FE8" w:rsidP="00757614">
            <w:pPr>
              <w:spacing w:after="0" w:line="240" w:lineRule="auto"/>
              <w:jc w:val="both"/>
              <w:rPr>
                <w:rFonts w:ascii="Arial" w:hAnsi="Arial" w:cs="Arial"/>
                <w:sz w:val="20"/>
                <w:szCs w:val="20"/>
              </w:rPr>
            </w:pPr>
          </w:p>
        </w:tc>
        <w:tc>
          <w:tcPr>
            <w:tcW w:w="767" w:type="pct"/>
            <w:tcBorders>
              <w:top w:val="nil"/>
              <w:left w:val="nil"/>
              <w:bottom w:val="nil"/>
              <w:right w:val="nil"/>
            </w:tcBorders>
            <w:vAlign w:val="bottom"/>
          </w:tcPr>
          <w:p w14:paraId="47AFD5F6" w14:textId="77777777" w:rsidR="00F63FE8" w:rsidRPr="005F3D85" w:rsidRDefault="00F63FE8" w:rsidP="00757614">
            <w:pPr>
              <w:spacing w:after="0" w:line="240" w:lineRule="auto"/>
              <w:jc w:val="both"/>
              <w:rPr>
                <w:rFonts w:ascii="Arial" w:hAnsi="Arial" w:cs="Arial"/>
                <w:sz w:val="20"/>
                <w:szCs w:val="20"/>
              </w:rPr>
            </w:pPr>
          </w:p>
        </w:tc>
        <w:tc>
          <w:tcPr>
            <w:tcW w:w="672" w:type="pct"/>
            <w:tcBorders>
              <w:top w:val="nil"/>
              <w:left w:val="nil"/>
              <w:bottom w:val="nil"/>
              <w:right w:val="nil"/>
            </w:tcBorders>
            <w:vAlign w:val="bottom"/>
          </w:tcPr>
          <w:p w14:paraId="3FB020F0" w14:textId="77777777" w:rsidR="00F63FE8" w:rsidRPr="005F3D85" w:rsidRDefault="00F63FE8" w:rsidP="00757614">
            <w:pPr>
              <w:spacing w:after="0" w:line="240" w:lineRule="auto"/>
              <w:jc w:val="both"/>
              <w:rPr>
                <w:rFonts w:ascii="Arial" w:hAnsi="Arial" w:cs="Arial"/>
                <w:sz w:val="20"/>
                <w:szCs w:val="20"/>
              </w:rPr>
            </w:pPr>
          </w:p>
        </w:tc>
        <w:tc>
          <w:tcPr>
            <w:tcW w:w="690" w:type="pct"/>
            <w:tcBorders>
              <w:top w:val="nil"/>
              <w:left w:val="nil"/>
              <w:bottom w:val="nil"/>
              <w:right w:val="nil"/>
            </w:tcBorders>
            <w:vAlign w:val="bottom"/>
          </w:tcPr>
          <w:p w14:paraId="62EC5BD2" w14:textId="6C51FD89" w:rsidR="00F63FE8" w:rsidRPr="005F3D85" w:rsidRDefault="00577D50" w:rsidP="00757614">
            <w:pPr>
              <w:spacing w:after="0" w:line="240" w:lineRule="auto"/>
              <w:jc w:val="both"/>
              <w:rPr>
                <w:rFonts w:ascii="Arial" w:hAnsi="Arial" w:cs="Arial"/>
                <w:sz w:val="20"/>
                <w:szCs w:val="20"/>
              </w:rPr>
            </w:pPr>
            <w:r w:rsidRPr="005F3D85">
              <w:rPr>
                <w:rFonts w:ascii="Arial" w:hAnsi="Arial" w:cs="Arial"/>
                <w:sz w:val="20"/>
                <w:szCs w:val="20"/>
              </w:rPr>
              <w:t>Cross-</w:t>
            </w:r>
          </w:p>
        </w:tc>
        <w:tc>
          <w:tcPr>
            <w:tcW w:w="375" w:type="pct"/>
            <w:tcBorders>
              <w:top w:val="nil"/>
              <w:left w:val="nil"/>
              <w:bottom w:val="nil"/>
              <w:right w:val="nil"/>
            </w:tcBorders>
            <w:vAlign w:val="bottom"/>
          </w:tcPr>
          <w:p w14:paraId="208B6FD1" w14:textId="77777777" w:rsidR="00F63FE8" w:rsidRPr="005F3D85" w:rsidRDefault="00F63FE8" w:rsidP="00757614">
            <w:pPr>
              <w:spacing w:after="0" w:line="240" w:lineRule="auto"/>
              <w:jc w:val="both"/>
              <w:rPr>
                <w:rFonts w:ascii="Arial" w:hAnsi="Arial" w:cs="Arial"/>
                <w:sz w:val="20"/>
                <w:szCs w:val="20"/>
              </w:rPr>
            </w:pPr>
          </w:p>
        </w:tc>
      </w:tr>
      <w:tr w:rsidR="00F63FE8" w:rsidRPr="005F3D85" w14:paraId="481F22EE" w14:textId="77777777" w:rsidTr="00F63FE8">
        <w:trPr>
          <w:trHeight w:val="204"/>
        </w:trPr>
        <w:tc>
          <w:tcPr>
            <w:tcW w:w="2496" w:type="pct"/>
            <w:tcBorders>
              <w:top w:val="nil"/>
              <w:left w:val="nil"/>
              <w:bottom w:val="single" w:sz="6" w:space="0" w:color="auto"/>
              <w:right w:val="nil"/>
            </w:tcBorders>
            <w:vAlign w:val="bottom"/>
          </w:tcPr>
          <w:p w14:paraId="54813F5A" w14:textId="34928510" w:rsidR="00F63FE8" w:rsidRPr="005F3D85" w:rsidRDefault="00577D50" w:rsidP="00757614">
            <w:pPr>
              <w:spacing w:after="0" w:line="240" w:lineRule="auto"/>
              <w:jc w:val="both"/>
              <w:rPr>
                <w:rFonts w:ascii="Arial" w:hAnsi="Arial" w:cs="Arial"/>
                <w:sz w:val="20"/>
                <w:szCs w:val="20"/>
              </w:rPr>
            </w:pPr>
            <w:r w:rsidRPr="005F3D85">
              <w:rPr>
                <w:rFonts w:ascii="Arial" w:hAnsi="Arial" w:cs="Arial"/>
                <w:sz w:val="20"/>
                <w:szCs w:val="20"/>
              </w:rPr>
              <w:t xml:space="preserve">Method </w:t>
            </w:r>
          </w:p>
        </w:tc>
        <w:tc>
          <w:tcPr>
            <w:tcW w:w="767" w:type="pct"/>
            <w:tcBorders>
              <w:top w:val="nil"/>
              <w:left w:val="nil"/>
              <w:bottom w:val="single" w:sz="6" w:space="0" w:color="auto"/>
              <w:right w:val="nil"/>
            </w:tcBorders>
            <w:vAlign w:val="bottom"/>
          </w:tcPr>
          <w:p w14:paraId="7D6850FC" w14:textId="00E38C85" w:rsidR="00F63FE8" w:rsidRPr="005F3D85" w:rsidRDefault="00577D50" w:rsidP="00757614">
            <w:pPr>
              <w:spacing w:after="0" w:line="240" w:lineRule="auto"/>
              <w:jc w:val="both"/>
              <w:rPr>
                <w:rFonts w:ascii="Arial" w:hAnsi="Arial" w:cs="Arial"/>
                <w:sz w:val="20"/>
                <w:szCs w:val="20"/>
              </w:rPr>
            </w:pPr>
            <w:r w:rsidRPr="005F3D85">
              <w:rPr>
                <w:rFonts w:ascii="Arial" w:hAnsi="Arial" w:cs="Arial"/>
                <w:sz w:val="20"/>
                <w:szCs w:val="20"/>
              </w:rPr>
              <w:t>Statistic</w:t>
            </w:r>
          </w:p>
        </w:tc>
        <w:tc>
          <w:tcPr>
            <w:tcW w:w="672" w:type="pct"/>
            <w:tcBorders>
              <w:top w:val="nil"/>
              <w:left w:val="nil"/>
              <w:bottom w:val="single" w:sz="6" w:space="0" w:color="auto"/>
              <w:right w:val="nil"/>
            </w:tcBorders>
            <w:vAlign w:val="bottom"/>
          </w:tcPr>
          <w:p w14:paraId="25F7C5F7" w14:textId="25B40058" w:rsidR="00F63FE8" w:rsidRPr="005F3D85" w:rsidRDefault="00577D50" w:rsidP="00757614">
            <w:pPr>
              <w:spacing w:after="0" w:line="240" w:lineRule="auto"/>
              <w:jc w:val="both"/>
              <w:rPr>
                <w:rFonts w:ascii="Arial" w:hAnsi="Arial" w:cs="Arial"/>
                <w:sz w:val="20"/>
                <w:szCs w:val="20"/>
              </w:rPr>
            </w:pPr>
            <w:r w:rsidRPr="005F3D85">
              <w:rPr>
                <w:rFonts w:ascii="Arial" w:hAnsi="Arial" w:cs="Arial"/>
                <w:sz w:val="20"/>
                <w:szCs w:val="20"/>
              </w:rPr>
              <w:t>Prob.**</w:t>
            </w:r>
          </w:p>
        </w:tc>
        <w:tc>
          <w:tcPr>
            <w:tcW w:w="690" w:type="pct"/>
            <w:tcBorders>
              <w:top w:val="nil"/>
              <w:left w:val="nil"/>
              <w:bottom w:val="single" w:sz="6" w:space="0" w:color="auto"/>
              <w:right w:val="nil"/>
            </w:tcBorders>
            <w:vAlign w:val="bottom"/>
          </w:tcPr>
          <w:p w14:paraId="2D72564B" w14:textId="77C7C794" w:rsidR="00F63FE8" w:rsidRPr="005F3D85" w:rsidRDefault="00577D50" w:rsidP="00757614">
            <w:pPr>
              <w:spacing w:after="0" w:line="240" w:lineRule="auto"/>
              <w:jc w:val="both"/>
              <w:rPr>
                <w:rFonts w:ascii="Arial" w:hAnsi="Arial" w:cs="Arial"/>
                <w:sz w:val="20"/>
                <w:szCs w:val="20"/>
              </w:rPr>
            </w:pPr>
            <w:r w:rsidRPr="005F3D85">
              <w:rPr>
                <w:rFonts w:ascii="Arial" w:hAnsi="Arial" w:cs="Arial"/>
                <w:sz w:val="20"/>
                <w:szCs w:val="20"/>
              </w:rPr>
              <w:t>sections</w:t>
            </w:r>
          </w:p>
        </w:tc>
        <w:tc>
          <w:tcPr>
            <w:tcW w:w="375" w:type="pct"/>
            <w:tcBorders>
              <w:top w:val="nil"/>
              <w:left w:val="nil"/>
              <w:bottom w:val="single" w:sz="6" w:space="0" w:color="auto"/>
              <w:right w:val="nil"/>
            </w:tcBorders>
            <w:vAlign w:val="bottom"/>
          </w:tcPr>
          <w:p w14:paraId="1665529E" w14:textId="44260650" w:rsidR="00F63FE8" w:rsidRPr="005F3D85" w:rsidRDefault="00577D50" w:rsidP="00757614">
            <w:pPr>
              <w:spacing w:after="0" w:line="240" w:lineRule="auto"/>
              <w:jc w:val="both"/>
              <w:rPr>
                <w:rFonts w:ascii="Arial" w:hAnsi="Arial" w:cs="Arial"/>
                <w:sz w:val="20"/>
                <w:szCs w:val="20"/>
              </w:rPr>
            </w:pPr>
            <w:r w:rsidRPr="005F3D85">
              <w:rPr>
                <w:rFonts w:ascii="Arial" w:hAnsi="Arial" w:cs="Arial"/>
                <w:sz w:val="20"/>
                <w:szCs w:val="20"/>
              </w:rPr>
              <w:t>Obs</w:t>
            </w:r>
          </w:p>
        </w:tc>
      </w:tr>
      <w:tr w:rsidR="00F63FE8" w:rsidRPr="005F3D85" w14:paraId="2CECBE57" w14:textId="77777777" w:rsidTr="00632D7D">
        <w:trPr>
          <w:trHeight w:val="204"/>
        </w:trPr>
        <w:tc>
          <w:tcPr>
            <w:tcW w:w="5000" w:type="pct"/>
            <w:gridSpan w:val="5"/>
            <w:tcBorders>
              <w:top w:val="nil"/>
              <w:left w:val="nil"/>
              <w:bottom w:val="single" w:sz="6" w:space="0" w:color="auto"/>
              <w:right w:val="nil"/>
            </w:tcBorders>
            <w:vAlign w:val="bottom"/>
          </w:tcPr>
          <w:p w14:paraId="6D8BF2C1" w14:textId="7AD35637" w:rsidR="00F63FE8" w:rsidRPr="005F3D85" w:rsidRDefault="00577D50" w:rsidP="00757614">
            <w:pPr>
              <w:spacing w:after="0" w:line="240" w:lineRule="auto"/>
              <w:jc w:val="both"/>
              <w:rPr>
                <w:rFonts w:ascii="Arial" w:hAnsi="Arial" w:cs="Arial"/>
                <w:sz w:val="20"/>
                <w:szCs w:val="20"/>
              </w:rPr>
            </w:pPr>
            <w:r w:rsidRPr="005F3D85">
              <w:rPr>
                <w:rFonts w:ascii="Arial" w:hAnsi="Arial" w:cs="Arial"/>
                <w:sz w:val="20"/>
                <w:szCs w:val="20"/>
              </w:rPr>
              <w:t>Null: Unit root (assumes common unit root process)</w:t>
            </w:r>
          </w:p>
        </w:tc>
      </w:tr>
      <w:tr w:rsidR="00F63FE8" w:rsidRPr="005F3D85" w14:paraId="4FA0D7A3" w14:textId="77777777" w:rsidTr="00F63FE8">
        <w:trPr>
          <w:trHeight w:val="204"/>
        </w:trPr>
        <w:tc>
          <w:tcPr>
            <w:tcW w:w="2496" w:type="pct"/>
            <w:tcBorders>
              <w:top w:val="nil"/>
              <w:left w:val="nil"/>
              <w:bottom w:val="nil"/>
              <w:right w:val="nil"/>
            </w:tcBorders>
            <w:vAlign w:val="bottom"/>
          </w:tcPr>
          <w:p w14:paraId="114EDC8F" w14:textId="1A4C53DD" w:rsidR="00F63FE8" w:rsidRPr="005F3D85" w:rsidRDefault="00577D50" w:rsidP="00757614">
            <w:pPr>
              <w:spacing w:after="0" w:line="240" w:lineRule="auto"/>
              <w:jc w:val="both"/>
              <w:rPr>
                <w:rFonts w:ascii="Arial" w:hAnsi="Arial" w:cs="Arial"/>
                <w:sz w:val="20"/>
                <w:szCs w:val="20"/>
              </w:rPr>
            </w:pPr>
            <w:r w:rsidRPr="005F3D85">
              <w:rPr>
                <w:rFonts w:ascii="Arial" w:hAnsi="Arial" w:cs="Arial"/>
                <w:sz w:val="20"/>
                <w:szCs w:val="20"/>
              </w:rPr>
              <w:t>Levin, Lin &amp; Chu t*</w:t>
            </w:r>
          </w:p>
        </w:tc>
        <w:tc>
          <w:tcPr>
            <w:tcW w:w="767" w:type="pct"/>
            <w:tcBorders>
              <w:top w:val="nil"/>
              <w:left w:val="nil"/>
              <w:bottom w:val="nil"/>
              <w:right w:val="nil"/>
            </w:tcBorders>
            <w:vAlign w:val="bottom"/>
          </w:tcPr>
          <w:p w14:paraId="19702255"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-26.5140</w:t>
            </w:r>
          </w:p>
        </w:tc>
        <w:tc>
          <w:tcPr>
            <w:tcW w:w="672" w:type="pct"/>
            <w:tcBorders>
              <w:top w:val="nil"/>
              <w:left w:val="nil"/>
              <w:bottom w:val="nil"/>
              <w:right w:val="nil"/>
            </w:tcBorders>
            <w:vAlign w:val="bottom"/>
          </w:tcPr>
          <w:p w14:paraId="7DE1DC2F" w14:textId="6EA3C15E"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w:t>
            </w:r>
            <w:r w:rsidR="00D42304" w:rsidRPr="005F3D85">
              <w:rPr>
                <w:rFonts w:ascii="Arial" w:hAnsi="Arial" w:cs="Arial"/>
                <w:sz w:val="20"/>
                <w:szCs w:val="20"/>
              </w:rPr>
              <w:t>0.0000</w:t>
            </w:r>
          </w:p>
        </w:tc>
        <w:tc>
          <w:tcPr>
            <w:tcW w:w="690" w:type="pct"/>
            <w:tcBorders>
              <w:top w:val="nil"/>
              <w:left w:val="nil"/>
              <w:bottom w:val="nil"/>
              <w:right w:val="nil"/>
            </w:tcBorders>
            <w:vAlign w:val="bottom"/>
          </w:tcPr>
          <w:p w14:paraId="5CC8F7F3"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28</w:t>
            </w:r>
          </w:p>
        </w:tc>
        <w:tc>
          <w:tcPr>
            <w:tcW w:w="375" w:type="pct"/>
            <w:tcBorders>
              <w:top w:val="nil"/>
              <w:left w:val="nil"/>
              <w:bottom w:val="nil"/>
              <w:right w:val="nil"/>
            </w:tcBorders>
            <w:vAlign w:val="bottom"/>
          </w:tcPr>
          <w:p w14:paraId="24DD0F4E"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112</w:t>
            </w:r>
          </w:p>
        </w:tc>
      </w:tr>
      <w:tr w:rsidR="00F63FE8" w:rsidRPr="005F3D85" w14:paraId="450B0400" w14:textId="77777777" w:rsidTr="00F63FE8">
        <w:trPr>
          <w:trHeight w:val="204"/>
        </w:trPr>
        <w:tc>
          <w:tcPr>
            <w:tcW w:w="2496" w:type="pct"/>
            <w:tcBorders>
              <w:top w:val="nil"/>
              <w:left w:val="nil"/>
              <w:bottom w:val="nil"/>
              <w:right w:val="nil"/>
            </w:tcBorders>
            <w:vAlign w:val="bottom"/>
          </w:tcPr>
          <w:p w14:paraId="687D59CF" w14:textId="77777777" w:rsidR="00F63FE8" w:rsidRPr="005F3D85" w:rsidRDefault="00F63FE8" w:rsidP="00757614">
            <w:pPr>
              <w:spacing w:after="0" w:line="240" w:lineRule="auto"/>
              <w:jc w:val="both"/>
              <w:rPr>
                <w:rFonts w:ascii="Arial" w:hAnsi="Arial" w:cs="Arial"/>
                <w:sz w:val="20"/>
                <w:szCs w:val="20"/>
              </w:rPr>
            </w:pPr>
          </w:p>
        </w:tc>
        <w:tc>
          <w:tcPr>
            <w:tcW w:w="767" w:type="pct"/>
            <w:tcBorders>
              <w:top w:val="nil"/>
              <w:left w:val="nil"/>
              <w:bottom w:val="nil"/>
              <w:right w:val="nil"/>
            </w:tcBorders>
            <w:vAlign w:val="bottom"/>
          </w:tcPr>
          <w:p w14:paraId="2BEB52FC" w14:textId="77777777" w:rsidR="00F63FE8" w:rsidRPr="005F3D85" w:rsidRDefault="00F63FE8" w:rsidP="00757614">
            <w:pPr>
              <w:spacing w:after="0" w:line="240" w:lineRule="auto"/>
              <w:jc w:val="both"/>
              <w:rPr>
                <w:rFonts w:ascii="Arial" w:hAnsi="Arial" w:cs="Arial"/>
                <w:sz w:val="20"/>
                <w:szCs w:val="20"/>
              </w:rPr>
            </w:pPr>
          </w:p>
        </w:tc>
        <w:tc>
          <w:tcPr>
            <w:tcW w:w="672" w:type="pct"/>
            <w:tcBorders>
              <w:top w:val="nil"/>
              <w:left w:val="nil"/>
              <w:bottom w:val="nil"/>
              <w:right w:val="nil"/>
            </w:tcBorders>
            <w:vAlign w:val="bottom"/>
          </w:tcPr>
          <w:p w14:paraId="7DDB5FE4" w14:textId="77777777" w:rsidR="00F63FE8" w:rsidRPr="005F3D85" w:rsidRDefault="00F63FE8" w:rsidP="00757614">
            <w:pPr>
              <w:spacing w:after="0" w:line="240" w:lineRule="auto"/>
              <w:jc w:val="both"/>
              <w:rPr>
                <w:rFonts w:ascii="Arial" w:hAnsi="Arial" w:cs="Arial"/>
                <w:sz w:val="20"/>
                <w:szCs w:val="20"/>
              </w:rPr>
            </w:pPr>
          </w:p>
        </w:tc>
        <w:tc>
          <w:tcPr>
            <w:tcW w:w="690" w:type="pct"/>
            <w:tcBorders>
              <w:top w:val="nil"/>
              <w:left w:val="nil"/>
              <w:bottom w:val="nil"/>
              <w:right w:val="nil"/>
            </w:tcBorders>
            <w:vAlign w:val="bottom"/>
          </w:tcPr>
          <w:p w14:paraId="63FA9F91" w14:textId="77777777" w:rsidR="00F63FE8" w:rsidRPr="005F3D85" w:rsidRDefault="00F63FE8" w:rsidP="00757614">
            <w:pPr>
              <w:spacing w:after="0" w:line="240" w:lineRule="auto"/>
              <w:jc w:val="both"/>
              <w:rPr>
                <w:rFonts w:ascii="Arial" w:hAnsi="Arial" w:cs="Arial"/>
                <w:sz w:val="20"/>
                <w:szCs w:val="20"/>
              </w:rPr>
            </w:pPr>
          </w:p>
        </w:tc>
        <w:tc>
          <w:tcPr>
            <w:tcW w:w="375" w:type="pct"/>
            <w:tcBorders>
              <w:top w:val="nil"/>
              <w:left w:val="nil"/>
              <w:bottom w:val="nil"/>
              <w:right w:val="nil"/>
            </w:tcBorders>
            <w:vAlign w:val="bottom"/>
          </w:tcPr>
          <w:p w14:paraId="20C873B1" w14:textId="77777777" w:rsidR="00F63FE8" w:rsidRPr="005F3D85" w:rsidRDefault="00F63FE8" w:rsidP="00757614">
            <w:pPr>
              <w:spacing w:after="0" w:line="240" w:lineRule="auto"/>
              <w:jc w:val="both"/>
              <w:rPr>
                <w:rFonts w:ascii="Arial" w:hAnsi="Arial" w:cs="Arial"/>
                <w:sz w:val="20"/>
                <w:szCs w:val="20"/>
              </w:rPr>
            </w:pPr>
          </w:p>
        </w:tc>
      </w:tr>
      <w:tr w:rsidR="00F63FE8" w:rsidRPr="005F3D85" w14:paraId="2857DD6C" w14:textId="77777777" w:rsidTr="00632D7D">
        <w:trPr>
          <w:trHeight w:val="204"/>
        </w:trPr>
        <w:tc>
          <w:tcPr>
            <w:tcW w:w="5000" w:type="pct"/>
            <w:gridSpan w:val="5"/>
            <w:tcBorders>
              <w:top w:val="nil"/>
              <w:left w:val="nil"/>
              <w:bottom w:val="single" w:sz="6" w:space="0" w:color="auto"/>
              <w:right w:val="nil"/>
            </w:tcBorders>
            <w:vAlign w:val="bottom"/>
          </w:tcPr>
          <w:p w14:paraId="52A53E67" w14:textId="2B9207F3" w:rsidR="00F63FE8" w:rsidRPr="005F3D85" w:rsidRDefault="00577D50" w:rsidP="00757614">
            <w:pPr>
              <w:spacing w:after="0" w:line="240" w:lineRule="auto"/>
              <w:jc w:val="both"/>
              <w:rPr>
                <w:rFonts w:ascii="Arial" w:hAnsi="Arial" w:cs="Arial"/>
                <w:sz w:val="20"/>
                <w:szCs w:val="20"/>
              </w:rPr>
            </w:pPr>
            <w:r w:rsidRPr="005F3D85">
              <w:rPr>
                <w:rFonts w:ascii="Arial" w:hAnsi="Arial" w:cs="Arial"/>
                <w:sz w:val="20"/>
                <w:szCs w:val="20"/>
              </w:rPr>
              <w:t>Null: Unit root (assumes individual unit root process)</w:t>
            </w:r>
          </w:p>
        </w:tc>
      </w:tr>
      <w:tr w:rsidR="00F63FE8" w:rsidRPr="005F3D85" w14:paraId="1867C2E3" w14:textId="77777777" w:rsidTr="00F63FE8">
        <w:trPr>
          <w:trHeight w:val="204"/>
        </w:trPr>
        <w:tc>
          <w:tcPr>
            <w:tcW w:w="2496" w:type="pct"/>
            <w:tcBorders>
              <w:top w:val="nil"/>
              <w:left w:val="nil"/>
              <w:bottom w:val="nil"/>
              <w:right w:val="nil"/>
            </w:tcBorders>
            <w:vAlign w:val="bottom"/>
          </w:tcPr>
          <w:p w14:paraId="4DD63035" w14:textId="0DA761B7" w:rsidR="00F63FE8" w:rsidRPr="005F3D85" w:rsidRDefault="00577D50" w:rsidP="00757614">
            <w:pPr>
              <w:spacing w:after="0" w:line="240" w:lineRule="auto"/>
              <w:jc w:val="both"/>
              <w:rPr>
                <w:rFonts w:ascii="Arial" w:hAnsi="Arial" w:cs="Arial"/>
                <w:sz w:val="20"/>
                <w:szCs w:val="20"/>
              </w:rPr>
            </w:pPr>
            <w:r w:rsidRPr="005F3D85">
              <w:rPr>
                <w:rFonts w:ascii="Arial" w:hAnsi="Arial" w:cs="Arial"/>
                <w:sz w:val="20"/>
                <w:szCs w:val="20"/>
              </w:rPr>
              <w:t>Im, Pesaran and Shin W-stat</w:t>
            </w:r>
          </w:p>
        </w:tc>
        <w:tc>
          <w:tcPr>
            <w:tcW w:w="767" w:type="pct"/>
            <w:tcBorders>
              <w:top w:val="nil"/>
              <w:left w:val="nil"/>
              <w:bottom w:val="nil"/>
              <w:right w:val="nil"/>
            </w:tcBorders>
            <w:vAlign w:val="bottom"/>
          </w:tcPr>
          <w:p w14:paraId="2D042F08"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-5.07086</w:t>
            </w:r>
          </w:p>
        </w:tc>
        <w:tc>
          <w:tcPr>
            <w:tcW w:w="672" w:type="pct"/>
            <w:tcBorders>
              <w:top w:val="nil"/>
              <w:left w:val="nil"/>
              <w:bottom w:val="nil"/>
              <w:right w:val="nil"/>
            </w:tcBorders>
            <w:vAlign w:val="bottom"/>
          </w:tcPr>
          <w:p w14:paraId="148D0E37" w14:textId="0C453548" w:rsidR="00F63FE8" w:rsidRPr="005F3D85" w:rsidRDefault="00D42304" w:rsidP="00757614">
            <w:pPr>
              <w:spacing w:after="0" w:line="240" w:lineRule="auto"/>
              <w:jc w:val="both"/>
              <w:rPr>
                <w:rFonts w:ascii="Arial" w:hAnsi="Arial" w:cs="Arial"/>
                <w:sz w:val="20"/>
                <w:szCs w:val="20"/>
              </w:rPr>
            </w:pPr>
            <w:r w:rsidRPr="005F3D85">
              <w:rPr>
                <w:rFonts w:ascii="Arial" w:hAnsi="Arial" w:cs="Arial"/>
                <w:sz w:val="20"/>
                <w:szCs w:val="20"/>
              </w:rPr>
              <w:t>0.0000</w:t>
            </w:r>
          </w:p>
        </w:tc>
        <w:tc>
          <w:tcPr>
            <w:tcW w:w="690" w:type="pct"/>
            <w:tcBorders>
              <w:top w:val="nil"/>
              <w:left w:val="nil"/>
              <w:bottom w:val="nil"/>
              <w:right w:val="nil"/>
            </w:tcBorders>
            <w:vAlign w:val="bottom"/>
          </w:tcPr>
          <w:p w14:paraId="02671253"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28</w:t>
            </w:r>
          </w:p>
        </w:tc>
        <w:tc>
          <w:tcPr>
            <w:tcW w:w="375" w:type="pct"/>
            <w:tcBorders>
              <w:top w:val="nil"/>
              <w:left w:val="nil"/>
              <w:bottom w:val="nil"/>
              <w:right w:val="nil"/>
            </w:tcBorders>
            <w:vAlign w:val="bottom"/>
          </w:tcPr>
          <w:p w14:paraId="4736B26C"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112</w:t>
            </w:r>
          </w:p>
        </w:tc>
      </w:tr>
      <w:tr w:rsidR="00F63FE8" w:rsidRPr="005F3D85" w14:paraId="1D9B65C1" w14:textId="77777777" w:rsidTr="00F63FE8">
        <w:trPr>
          <w:trHeight w:val="204"/>
        </w:trPr>
        <w:tc>
          <w:tcPr>
            <w:tcW w:w="2496" w:type="pct"/>
            <w:tcBorders>
              <w:top w:val="nil"/>
              <w:left w:val="nil"/>
              <w:bottom w:val="nil"/>
              <w:right w:val="nil"/>
            </w:tcBorders>
            <w:vAlign w:val="bottom"/>
          </w:tcPr>
          <w:p w14:paraId="5FAC4D4A" w14:textId="619768B2" w:rsidR="00F63FE8" w:rsidRPr="005F3D85" w:rsidRDefault="00577D50" w:rsidP="00757614">
            <w:pPr>
              <w:spacing w:after="0" w:line="240" w:lineRule="auto"/>
              <w:jc w:val="both"/>
              <w:rPr>
                <w:rFonts w:ascii="Arial" w:hAnsi="Arial" w:cs="Arial"/>
                <w:sz w:val="20"/>
                <w:szCs w:val="20"/>
              </w:rPr>
            </w:pPr>
            <w:r w:rsidRPr="005F3D85">
              <w:rPr>
                <w:rFonts w:ascii="Arial" w:hAnsi="Arial" w:cs="Arial"/>
                <w:sz w:val="20"/>
                <w:szCs w:val="20"/>
              </w:rPr>
              <w:t>ADF - Fisher Chi-square</w:t>
            </w:r>
          </w:p>
        </w:tc>
        <w:tc>
          <w:tcPr>
            <w:tcW w:w="767" w:type="pct"/>
            <w:tcBorders>
              <w:top w:val="nil"/>
              <w:left w:val="nil"/>
              <w:bottom w:val="nil"/>
              <w:right w:val="nil"/>
            </w:tcBorders>
            <w:vAlign w:val="bottom"/>
          </w:tcPr>
          <w:p w14:paraId="701DED04"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91.7993</w:t>
            </w:r>
          </w:p>
        </w:tc>
        <w:tc>
          <w:tcPr>
            <w:tcW w:w="672" w:type="pct"/>
            <w:tcBorders>
              <w:top w:val="nil"/>
              <w:left w:val="nil"/>
              <w:bottom w:val="nil"/>
              <w:right w:val="nil"/>
            </w:tcBorders>
            <w:vAlign w:val="bottom"/>
          </w:tcPr>
          <w:p w14:paraId="471AAA30"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0.0018</w:t>
            </w:r>
          </w:p>
        </w:tc>
        <w:tc>
          <w:tcPr>
            <w:tcW w:w="690" w:type="pct"/>
            <w:tcBorders>
              <w:top w:val="nil"/>
              <w:left w:val="nil"/>
              <w:bottom w:val="nil"/>
              <w:right w:val="nil"/>
            </w:tcBorders>
            <w:vAlign w:val="bottom"/>
          </w:tcPr>
          <w:p w14:paraId="64FFD777"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28</w:t>
            </w:r>
          </w:p>
        </w:tc>
        <w:tc>
          <w:tcPr>
            <w:tcW w:w="375" w:type="pct"/>
            <w:tcBorders>
              <w:top w:val="nil"/>
              <w:left w:val="nil"/>
              <w:bottom w:val="nil"/>
              <w:right w:val="nil"/>
            </w:tcBorders>
            <w:vAlign w:val="bottom"/>
          </w:tcPr>
          <w:p w14:paraId="45F9DCE0"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112</w:t>
            </w:r>
          </w:p>
        </w:tc>
      </w:tr>
      <w:tr w:rsidR="00F63FE8" w:rsidRPr="005F3D85" w14:paraId="21BA94D4" w14:textId="77777777" w:rsidTr="00F63FE8">
        <w:trPr>
          <w:trHeight w:val="204"/>
        </w:trPr>
        <w:tc>
          <w:tcPr>
            <w:tcW w:w="2496" w:type="pct"/>
            <w:tcBorders>
              <w:top w:val="nil"/>
              <w:left w:val="nil"/>
              <w:bottom w:val="nil"/>
              <w:right w:val="nil"/>
            </w:tcBorders>
            <w:vAlign w:val="bottom"/>
          </w:tcPr>
          <w:p w14:paraId="6D9B5190" w14:textId="1C1120AC" w:rsidR="00F63FE8" w:rsidRPr="005F3D85" w:rsidRDefault="00577D50" w:rsidP="00757614">
            <w:pPr>
              <w:spacing w:after="0" w:line="240" w:lineRule="auto"/>
              <w:jc w:val="both"/>
              <w:rPr>
                <w:rFonts w:ascii="Arial" w:hAnsi="Arial" w:cs="Arial"/>
                <w:sz w:val="20"/>
                <w:szCs w:val="20"/>
              </w:rPr>
            </w:pPr>
            <w:r w:rsidRPr="005F3D85">
              <w:rPr>
                <w:rFonts w:ascii="Arial" w:hAnsi="Arial" w:cs="Arial"/>
                <w:sz w:val="20"/>
                <w:szCs w:val="20"/>
              </w:rPr>
              <w:t>PP - Fisher Chi-square</w:t>
            </w:r>
          </w:p>
        </w:tc>
        <w:tc>
          <w:tcPr>
            <w:tcW w:w="767" w:type="pct"/>
            <w:tcBorders>
              <w:top w:val="nil"/>
              <w:left w:val="nil"/>
              <w:bottom w:val="nil"/>
              <w:right w:val="nil"/>
            </w:tcBorders>
            <w:vAlign w:val="bottom"/>
          </w:tcPr>
          <w:p w14:paraId="7A94E0D8"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98.9376</w:t>
            </w:r>
          </w:p>
        </w:tc>
        <w:tc>
          <w:tcPr>
            <w:tcW w:w="672" w:type="pct"/>
            <w:tcBorders>
              <w:top w:val="nil"/>
              <w:left w:val="nil"/>
              <w:bottom w:val="nil"/>
              <w:right w:val="nil"/>
            </w:tcBorders>
            <w:vAlign w:val="bottom"/>
          </w:tcPr>
          <w:p w14:paraId="3C82AF16"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0.0004</w:t>
            </w:r>
          </w:p>
        </w:tc>
        <w:tc>
          <w:tcPr>
            <w:tcW w:w="690" w:type="pct"/>
            <w:tcBorders>
              <w:top w:val="nil"/>
              <w:left w:val="nil"/>
              <w:bottom w:val="nil"/>
              <w:right w:val="nil"/>
            </w:tcBorders>
            <w:vAlign w:val="bottom"/>
          </w:tcPr>
          <w:p w14:paraId="7C83B921"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28</w:t>
            </w:r>
          </w:p>
        </w:tc>
        <w:tc>
          <w:tcPr>
            <w:tcW w:w="375" w:type="pct"/>
            <w:tcBorders>
              <w:top w:val="nil"/>
              <w:left w:val="nil"/>
              <w:bottom w:val="nil"/>
              <w:right w:val="nil"/>
            </w:tcBorders>
            <w:vAlign w:val="bottom"/>
          </w:tcPr>
          <w:p w14:paraId="64621488"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112</w:t>
            </w:r>
          </w:p>
        </w:tc>
      </w:tr>
      <w:tr w:rsidR="00F63FE8" w:rsidRPr="005F3D85" w14:paraId="457FD1E2" w14:textId="77777777" w:rsidTr="00F63FE8">
        <w:trPr>
          <w:trHeight w:hRule="exact" w:val="81"/>
        </w:trPr>
        <w:tc>
          <w:tcPr>
            <w:tcW w:w="2496" w:type="pct"/>
            <w:tcBorders>
              <w:top w:val="nil"/>
              <w:left w:val="nil"/>
              <w:bottom w:val="double" w:sz="6" w:space="2" w:color="auto"/>
              <w:right w:val="nil"/>
            </w:tcBorders>
            <w:vAlign w:val="bottom"/>
          </w:tcPr>
          <w:p w14:paraId="0DEC4051" w14:textId="77777777" w:rsidR="00F63FE8" w:rsidRPr="005F3D85" w:rsidRDefault="00F63FE8" w:rsidP="00757614">
            <w:pPr>
              <w:spacing w:after="0" w:line="240" w:lineRule="auto"/>
              <w:jc w:val="both"/>
              <w:rPr>
                <w:rFonts w:ascii="Arial" w:hAnsi="Arial" w:cs="Arial"/>
                <w:sz w:val="20"/>
                <w:szCs w:val="20"/>
              </w:rPr>
            </w:pPr>
          </w:p>
        </w:tc>
        <w:tc>
          <w:tcPr>
            <w:tcW w:w="767" w:type="pct"/>
            <w:tcBorders>
              <w:top w:val="nil"/>
              <w:left w:val="nil"/>
              <w:bottom w:val="double" w:sz="6" w:space="2" w:color="auto"/>
              <w:right w:val="nil"/>
            </w:tcBorders>
            <w:vAlign w:val="bottom"/>
          </w:tcPr>
          <w:p w14:paraId="3B6C18DA" w14:textId="77777777" w:rsidR="00F63FE8" w:rsidRPr="005F3D85" w:rsidRDefault="00F63FE8" w:rsidP="00757614">
            <w:pPr>
              <w:spacing w:after="0" w:line="240" w:lineRule="auto"/>
              <w:jc w:val="both"/>
              <w:rPr>
                <w:rFonts w:ascii="Arial" w:hAnsi="Arial" w:cs="Arial"/>
                <w:sz w:val="20"/>
                <w:szCs w:val="20"/>
              </w:rPr>
            </w:pPr>
          </w:p>
        </w:tc>
        <w:tc>
          <w:tcPr>
            <w:tcW w:w="672" w:type="pct"/>
            <w:tcBorders>
              <w:top w:val="nil"/>
              <w:left w:val="nil"/>
              <w:bottom w:val="double" w:sz="6" w:space="2" w:color="auto"/>
              <w:right w:val="nil"/>
            </w:tcBorders>
            <w:vAlign w:val="bottom"/>
          </w:tcPr>
          <w:p w14:paraId="3D022A3A" w14:textId="77777777" w:rsidR="00F63FE8" w:rsidRPr="005F3D85" w:rsidRDefault="00F63FE8" w:rsidP="00757614">
            <w:pPr>
              <w:spacing w:after="0" w:line="240" w:lineRule="auto"/>
              <w:jc w:val="both"/>
              <w:rPr>
                <w:rFonts w:ascii="Arial" w:hAnsi="Arial" w:cs="Arial"/>
                <w:sz w:val="20"/>
                <w:szCs w:val="20"/>
              </w:rPr>
            </w:pPr>
          </w:p>
        </w:tc>
        <w:tc>
          <w:tcPr>
            <w:tcW w:w="690" w:type="pct"/>
            <w:tcBorders>
              <w:top w:val="nil"/>
              <w:left w:val="nil"/>
              <w:bottom w:val="double" w:sz="6" w:space="2" w:color="auto"/>
              <w:right w:val="nil"/>
            </w:tcBorders>
            <w:vAlign w:val="bottom"/>
          </w:tcPr>
          <w:p w14:paraId="171AD468" w14:textId="77777777" w:rsidR="00F63FE8" w:rsidRPr="005F3D85" w:rsidRDefault="00F63FE8" w:rsidP="00757614">
            <w:pPr>
              <w:spacing w:after="0" w:line="240" w:lineRule="auto"/>
              <w:jc w:val="both"/>
              <w:rPr>
                <w:rFonts w:ascii="Arial" w:hAnsi="Arial" w:cs="Arial"/>
                <w:sz w:val="20"/>
                <w:szCs w:val="20"/>
              </w:rPr>
            </w:pPr>
          </w:p>
        </w:tc>
        <w:tc>
          <w:tcPr>
            <w:tcW w:w="375" w:type="pct"/>
            <w:tcBorders>
              <w:top w:val="nil"/>
              <w:left w:val="nil"/>
              <w:bottom w:val="double" w:sz="6" w:space="2" w:color="auto"/>
              <w:right w:val="nil"/>
            </w:tcBorders>
            <w:vAlign w:val="bottom"/>
          </w:tcPr>
          <w:p w14:paraId="7B534B61" w14:textId="77777777" w:rsidR="00F63FE8" w:rsidRPr="005F3D85" w:rsidRDefault="00F63FE8" w:rsidP="00757614">
            <w:pPr>
              <w:spacing w:after="0" w:line="240" w:lineRule="auto"/>
              <w:jc w:val="both"/>
              <w:rPr>
                <w:rFonts w:ascii="Arial" w:hAnsi="Arial" w:cs="Arial"/>
                <w:sz w:val="20"/>
                <w:szCs w:val="20"/>
              </w:rPr>
            </w:pPr>
          </w:p>
        </w:tc>
      </w:tr>
      <w:tr w:rsidR="00F63FE8" w:rsidRPr="005F3D85" w14:paraId="537B41B9" w14:textId="77777777" w:rsidTr="00F63FE8">
        <w:trPr>
          <w:trHeight w:hRule="exact" w:val="122"/>
        </w:trPr>
        <w:tc>
          <w:tcPr>
            <w:tcW w:w="2496" w:type="pct"/>
            <w:tcBorders>
              <w:top w:val="nil"/>
              <w:left w:val="nil"/>
              <w:bottom w:val="nil"/>
              <w:right w:val="nil"/>
            </w:tcBorders>
            <w:vAlign w:val="bottom"/>
          </w:tcPr>
          <w:p w14:paraId="53A39880" w14:textId="77777777" w:rsidR="00F63FE8" w:rsidRPr="005F3D85" w:rsidRDefault="00F63FE8" w:rsidP="00757614">
            <w:pPr>
              <w:spacing w:after="0" w:line="240" w:lineRule="auto"/>
              <w:jc w:val="both"/>
              <w:rPr>
                <w:rFonts w:ascii="Arial" w:hAnsi="Arial" w:cs="Arial"/>
                <w:sz w:val="20"/>
                <w:szCs w:val="20"/>
              </w:rPr>
            </w:pPr>
          </w:p>
        </w:tc>
        <w:tc>
          <w:tcPr>
            <w:tcW w:w="767" w:type="pct"/>
            <w:tcBorders>
              <w:top w:val="nil"/>
              <w:left w:val="nil"/>
              <w:bottom w:val="nil"/>
              <w:right w:val="nil"/>
            </w:tcBorders>
            <w:vAlign w:val="bottom"/>
          </w:tcPr>
          <w:p w14:paraId="461E58B1" w14:textId="77777777" w:rsidR="00F63FE8" w:rsidRPr="005F3D85" w:rsidRDefault="00F63FE8" w:rsidP="00757614">
            <w:pPr>
              <w:spacing w:after="0" w:line="240" w:lineRule="auto"/>
              <w:jc w:val="both"/>
              <w:rPr>
                <w:rFonts w:ascii="Arial" w:hAnsi="Arial" w:cs="Arial"/>
                <w:sz w:val="20"/>
                <w:szCs w:val="20"/>
              </w:rPr>
            </w:pPr>
          </w:p>
        </w:tc>
        <w:tc>
          <w:tcPr>
            <w:tcW w:w="672" w:type="pct"/>
            <w:tcBorders>
              <w:top w:val="nil"/>
              <w:left w:val="nil"/>
              <w:bottom w:val="nil"/>
              <w:right w:val="nil"/>
            </w:tcBorders>
            <w:vAlign w:val="bottom"/>
          </w:tcPr>
          <w:p w14:paraId="153D5140" w14:textId="77777777" w:rsidR="00F63FE8" w:rsidRPr="005F3D85" w:rsidRDefault="00F63FE8" w:rsidP="00757614">
            <w:pPr>
              <w:spacing w:after="0" w:line="240" w:lineRule="auto"/>
              <w:jc w:val="both"/>
              <w:rPr>
                <w:rFonts w:ascii="Arial" w:hAnsi="Arial" w:cs="Arial"/>
                <w:sz w:val="20"/>
                <w:szCs w:val="20"/>
              </w:rPr>
            </w:pPr>
          </w:p>
        </w:tc>
        <w:tc>
          <w:tcPr>
            <w:tcW w:w="690" w:type="pct"/>
            <w:tcBorders>
              <w:top w:val="nil"/>
              <w:left w:val="nil"/>
              <w:bottom w:val="nil"/>
              <w:right w:val="nil"/>
            </w:tcBorders>
            <w:vAlign w:val="bottom"/>
          </w:tcPr>
          <w:p w14:paraId="6C62BAA5" w14:textId="77777777" w:rsidR="00F63FE8" w:rsidRPr="005F3D85" w:rsidRDefault="00F63FE8" w:rsidP="00757614">
            <w:pPr>
              <w:spacing w:after="0" w:line="240" w:lineRule="auto"/>
              <w:jc w:val="both"/>
              <w:rPr>
                <w:rFonts w:ascii="Arial" w:hAnsi="Arial" w:cs="Arial"/>
                <w:sz w:val="20"/>
                <w:szCs w:val="20"/>
              </w:rPr>
            </w:pPr>
          </w:p>
        </w:tc>
        <w:tc>
          <w:tcPr>
            <w:tcW w:w="375" w:type="pct"/>
            <w:tcBorders>
              <w:top w:val="nil"/>
              <w:left w:val="nil"/>
              <w:bottom w:val="nil"/>
              <w:right w:val="nil"/>
            </w:tcBorders>
            <w:vAlign w:val="bottom"/>
          </w:tcPr>
          <w:p w14:paraId="229F4733" w14:textId="77777777" w:rsidR="00F63FE8" w:rsidRPr="005F3D85" w:rsidRDefault="00F63FE8" w:rsidP="00757614">
            <w:pPr>
              <w:spacing w:after="0" w:line="240" w:lineRule="auto"/>
              <w:jc w:val="both"/>
              <w:rPr>
                <w:rFonts w:ascii="Arial" w:hAnsi="Arial" w:cs="Arial"/>
                <w:sz w:val="20"/>
                <w:szCs w:val="20"/>
              </w:rPr>
            </w:pPr>
          </w:p>
        </w:tc>
      </w:tr>
      <w:tr w:rsidR="00F63FE8" w:rsidRPr="005F3D85" w14:paraId="09DF5CD6" w14:textId="77777777" w:rsidTr="00632D7D">
        <w:trPr>
          <w:trHeight w:val="204"/>
        </w:trPr>
        <w:tc>
          <w:tcPr>
            <w:tcW w:w="5000" w:type="pct"/>
            <w:gridSpan w:val="5"/>
            <w:tcBorders>
              <w:top w:val="nil"/>
              <w:left w:val="nil"/>
              <w:bottom w:val="nil"/>
              <w:right w:val="nil"/>
            </w:tcBorders>
            <w:vAlign w:val="bottom"/>
          </w:tcPr>
          <w:p w14:paraId="3A953A03"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p &lt; 5%</w:t>
            </w:r>
          </w:p>
        </w:tc>
      </w:tr>
    </w:tbl>
    <w:p w14:paraId="58F925C1" w14:textId="77777777" w:rsidR="00D11DE2" w:rsidRPr="005F3D85" w:rsidRDefault="00F63FE8" w:rsidP="00757614">
      <w:pPr>
        <w:spacing w:after="0" w:line="240" w:lineRule="auto"/>
        <w:rPr>
          <w:rFonts w:ascii="Arial" w:hAnsi="Arial" w:cs="Arial"/>
          <w:sz w:val="20"/>
          <w:szCs w:val="20"/>
        </w:rPr>
      </w:pPr>
      <w:r w:rsidRPr="005F3D85">
        <w:rPr>
          <w:rFonts w:ascii="Arial" w:hAnsi="Arial" w:cs="Arial"/>
          <w:sz w:val="20"/>
          <w:szCs w:val="20"/>
        </w:rPr>
        <w:t>Source: Data Analysis (2025)</w:t>
      </w:r>
      <w:r w:rsidR="00E56F63" w:rsidRPr="005F3D85">
        <w:rPr>
          <w:rFonts w:ascii="Arial" w:hAnsi="Arial" w:cs="Arial"/>
          <w:sz w:val="20"/>
          <w:szCs w:val="20"/>
        </w:rPr>
        <w:tab/>
      </w:r>
      <w:r w:rsidR="00E56F63" w:rsidRPr="005F3D85">
        <w:rPr>
          <w:rFonts w:ascii="Arial" w:hAnsi="Arial" w:cs="Arial"/>
          <w:sz w:val="20"/>
          <w:szCs w:val="20"/>
        </w:rPr>
        <w:tab/>
      </w:r>
      <w:r w:rsidR="00E56F63" w:rsidRPr="005F3D85">
        <w:rPr>
          <w:rFonts w:ascii="Arial" w:hAnsi="Arial" w:cs="Arial"/>
          <w:sz w:val="20"/>
          <w:szCs w:val="20"/>
        </w:rPr>
        <w:tab/>
      </w:r>
      <w:r w:rsidR="00E56F63" w:rsidRPr="005F3D85">
        <w:rPr>
          <w:rFonts w:ascii="Arial" w:hAnsi="Arial" w:cs="Arial"/>
          <w:sz w:val="20"/>
          <w:szCs w:val="20"/>
        </w:rPr>
        <w:tab/>
      </w:r>
    </w:p>
    <w:p w14:paraId="6FD841BE" w14:textId="77777777" w:rsidR="00956A72" w:rsidRPr="005F3D85" w:rsidRDefault="00956A72" w:rsidP="00757614">
      <w:pPr>
        <w:spacing w:after="0" w:line="240" w:lineRule="auto"/>
        <w:jc w:val="both"/>
        <w:rPr>
          <w:rFonts w:ascii="Arial" w:hAnsi="Arial" w:cs="Arial"/>
          <w:b/>
          <w:sz w:val="20"/>
          <w:szCs w:val="20"/>
        </w:rPr>
      </w:pPr>
    </w:p>
    <w:p w14:paraId="047166A3" w14:textId="42E45687" w:rsidR="00632D7D" w:rsidRPr="00392AAA" w:rsidRDefault="004707D5" w:rsidP="00757614">
      <w:pPr>
        <w:pStyle w:val="Caption"/>
        <w:keepNext/>
        <w:spacing w:after="0"/>
        <w:jc w:val="both"/>
        <w:rPr>
          <w:rFonts w:ascii="Arial" w:hAnsi="Arial" w:cs="Arial"/>
          <w:b/>
          <w:i w:val="0"/>
          <w:color w:val="auto"/>
          <w:sz w:val="20"/>
          <w:szCs w:val="20"/>
        </w:rPr>
      </w:pPr>
      <w:bookmarkStart w:id="21" w:name="_Toc206689017"/>
      <w:r w:rsidRPr="00392AAA">
        <w:rPr>
          <w:rFonts w:ascii="Arial" w:hAnsi="Arial" w:cs="Arial"/>
          <w:b/>
          <w:i w:val="0"/>
          <w:color w:val="auto"/>
          <w:sz w:val="20"/>
          <w:szCs w:val="20"/>
        </w:rPr>
        <w:t xml:space="preserve">Table </w:t>
      </w:r>
      <w:r w:rsidR="00F2412D" w:rsidRPr="00392AAA">
        <w:rPr>
          <w:rFonts w:ascii="Arial" w:hAnsi="Arial" w:cs="Arial"/>
          <w:b/>
          <w:i w:val="0"/>
          <w:color w:val="auto"/>
          <w:sz w:val="20"/>
          <w:szCs w:val="20"/>
        </w:rPr>
        <w:t>5</w:t>
      </w:r>
      <w:r w:rsidRPr="00392AAA">
        <w:rPr>
          <w:rFonts w:ascii="Arial" w:hAnsi="Arial" w:cs="Arial"/>
          <w:b/>
          <w:i w:val="0"/>
          <w:color w:val="auto"/>
          <w:sz w:val="20"/>
          <w:szCs w:val="20"/>
        </w:rPr>
        <w:t xml:space="preserve">. </w:t>
      </w:r>
      <w:r w:rsidR="004801F2" w:rsidRPr="00392AAA">
        <w:rPr>
          <w:rFonts w:ascii="Arial" w:hAnsi="Arial" w:cs="Arial"/>
          <w:b/>
          <w:i w:val="0"/>
          <w:color w:val="auto"/>
          <w:sz w:val="20"/>
          <w:szCs w:val="20"/>
        </w:rPr>
        <w:t>Unit Root Test at a Level for SP</w:t>
      </w:r>
      <w:bookmarkEnd w:id="21"/>
    </w:p>
    <w:tbl>
      <w:tblPr>
        <w:tblW w:w="5000" w:type="pct"/>
        <w:tblCellMar>
          <w:left w:w="0" w:type="dxa"/>
          <w:right w:w="0" w:type="dxa"/>
        </w:tblCellMar>
        <w:tblLook w:val="0000" w:firstRow="0" w:lastRow="0" w:firstColumn="0" w:lastColumn="0" w:noHBand="0" w:noVBand="0"/>
      </w:tblPr>
      <w:tblGrid>
        <w:gridCol w:w="2161"/>
        <w:gridCol w:w="1742"/>
        <w:gridCol w:w="1740"/>
        <w:gridCol w:w="1740"/>
        <w:gridCol w:w="1738"/>
      </w:tblGrid>
      <w:tr w:rsidR="00632D7D" w:rsidRPr="005F3D85" w14:paraId="40D4653B" w14:textId="77777777" w:rsidTr="00632D7D">
        <w:trPr>
          <w:trHeight w:hRule="exact" w:val="81"/>
        </w:trPr>
        <w:tc>
          <w:tcPr>
            <w:tcW w:w="1184" w:type="pct"/>
            <w:tcBorders>
              <w:top w:val="nil"/>
              <w:left w:val="nil"/>
              <w:bottom w:val="double" w:sz="6" w:space="2" w:color="auto"/>
              <w:right w:val="nil"/>
            </w:tcBorders>
            <w:vAlign w:val="bottom"/>
          </w:tcPr>
          <w:p w14:paraId="0D7B2999" w14:textId="77777777" w:rsidR="00632D7D" w:rsidRPr="005F3D85" w:rsidRDefault="00632D7D" w:rsidP="00757614">
            <w:pPr>
              <w:spacing w:after="0" w:line="240" w:lineRule="auto"/>
              <w:jc w:val="both"/>
              <w:rPr>
                <w:rFonts w:ascii="Arial" w:hAnsi="Arial" w:cs="Arial"/>
                <w:sz w:val="20"/>
                <w:szCs w:val="20"/>
              </w:rPr>
            </w:pPr>
          </w:p>
        </w:tc>
        <w:tc>
          <w:tcPr>
            <w:tcW w:w="955" w:type="pct"/>
            <w:tcBorders>
              <w:top w:val="nil"/>
              <w:left w:val="nil"/>
              <w:bottom w:val="double" w:sz="6" w:space="2" w:color="auto"/>
              <w:right w:val="nil"/>
            </w:tcBorders>
            <w:vAlign w:val="bottom"/>
          </w:tcPr>
          <w:p w14:paraId="48F796C4" w14:textId="77777777" w:rsidR="00632D7D" w:rsidRPr="005F3D85" w:rsidRDefault="00632D7D" w:rsidP="00757614">
            <w:pPr>
              <w:spacing w:after="0" w:line="240" w:lineRule="auto"/>
              <w:jc w:val="both"/>
              <w:rPr>
                <w:rFonts w:ascii="Arial" w:hAnsi="Arial" w:cs="Arial"/>
                <w:sz w:val="20"/>
                <w:szCs w:val="20"/>
              </w:rPr>
            </w:pPr>
          </w:p>
        </w:tc>
        <w:tc>
          <w:tcPr>
            <w:tcW w:w="954" w:type="pct"/>
            <w:tcBorders>
              <w:top w:val="nil"/>
              <w:left w:val="nil"/>
              <w:bottom w:val="double" w:sz="6" w:space="2" w:color="auto"/>
              <w:right w:val="nil"/>
            </w:tcBorders>
            <w:vAlign w:val="bottom"/>
          </w:tcPr>
          <w:p w14:paraId="5D5FC248" w14:textId="77777777" w:rsidR="00632D7D" w:rsidRPr="005F3D85" w:rsidRDefault="00632D7D" w:rsidP="00757614">
            <w:pPr>
              <w:spacing w:after="0" w:line="240" w:lineRule="auto"/>
              <w:jc w:val="both"/>
              <w:rPr>
                <w:rFonts w:ascii="Arial" w:hAnsi="Arial" w:cs="Arial"/>
                <w:sz w:val="20"/>
                <w:szCs w:val="20"/>
              </w:rPr>
            </w:pPr>
          </w:p>
        </w:tc>
        <w:tc>
          <w:tcPr>
            <w:tcW w:w="954" w:type="pct"/>
            <w:tcBorders>
              <w:top w:val="nil"/>
              <w:left w:val="nil"/>
              <w:bottom w:val="double" w:sz="6" w:space="2" w:color="auto"/>
              <w:right w:val="nil"/>
            </w:tcBorders>
            <w:vAlign w:val="bottom"/>
          </w:tcPr>
          <w:p w14:paraId="3DAD1F45" w14:textId="77777777" w:rsidR="00632D7D" w:rsidRPr="005F3D85" w:rsidRDefault="00632D7D" w:rsidP="00757614">
            <w:pPr>
              <w:spacing w:after="0" w:line="240" w:lineRule="auto"/>
              <w:jc w:val="both"/>
              <w:rPr>
                <w:rFonts w:ascii="Arial" w:hAnsi="Arial" w:cs="Arial"/>
                <w:sz w:val="20"/>
                <w:szCs w:val="20"/>
              </w:rPr>
            </w:pPr>
          </w:p>
        </w:tc>
        <w:tc>
          <w:tcPr>
            <w:tcW w:w="953" w:type="pct"/>
            <w:tcBorders>
              <w:top w:val="nil"/>
              <w:left w:val="nil"/>
              <w:bottom w:val="double" w:sz="6" w:space="2" w:color="auto"/>
              <w:right w:val="nil"/>
            </w:tcBorders>
            <w:vAlign w:val="bottom"/>
          </w:tcPr>
          <w:p w14:paraId="35956F1C" w14:textId="77777777" w:rsidR="00632D7D" w:rsidRPr="005F3D85" w:rsidRDefault="00632D7D" w:rsidP="00757614">
            <w:pPr>
              <w:spacing w:after="0" w:line="240" w:lineRule="auto"/>
              <w:jc w:val="both"/>
              <w:rPr>
                <w:rFonts w:ascii="Arial" w:hAnsi="Arial" w:cs="Arial"/>
                <w:sz w:val="20"/>
                <w:szCs w:val="20"/>
              </w:rPr>
            </w:pPr>
          </w:p>
        </w:tc>
      </w:tr>
      <w:tr w:rsidR="00632D7D" w:rsidRPr="005F3D85" w14:paraId="360C0C5C" w14:textId="77777777" w:rsidTr="00632D7D">
        <w:trPr>
          <w:trHeight w:hRule="exact" w:val="122"/>
        </w:trPr>
        <w:tc>
          <w:tcPr>
            <w:tcW w:w="1184" w:type="pct"/>
            <w:tcBorders>
              <w:top w:val="nil"/>
              <w:left w:val="nil"/>
              <w:bottom w:val="nil"/>
              <w:right w:val="nil"/>
            </w:tcBorders>
            <w:vAlign w:val="bottom"/>
          </w:tcPr>
          <w:p w14:paraId="2F3C5D07" w14:textId="77777777" w:rsidR="00632D7D" w:rsidRPr="005F3D85" w:rsidRDefault="00632D7D" w:rsidP="00757614">
            <w:pPr>
              <w:spacing w:after="0" w:line="240" w:lineRule="auto"/>
              <w:jc w:val="both"/>
              <w:rPr>
                <w:rFonts w:ascii="Arial" w:hAnsi="Arial" w:cs="Arial"/>
                <w:sz w:val="20"/>
                <w:szCs w:val="20"/>
              </w:rPr>
            </w:pPr>
          </w:p>
        </w:tc>
        <w:tc>
          <w:tcPr>
            <w:tcW w:w="955" w:type="pct"/>
            <w:tcBorders>
              <w:top w:val="nil"/>
              <w:left w:val="nil"/>
              <w:bottom w:val="nil"/>
              <w:right w:val="nil"/>
            </w:tcBorders>
            <w:vAlign w:val="bottom"/>
          </w:tcPr>
          <w:p w14:paraId="39C9B228" w14:textId="77777777" w:rsidR="00632D7D" w:rsidRPr="005F3D85" w:rsidRDefault="00632D7D" w:rsidP="00757614">
            <w:pPr>
              <w:spacing w:after="0" w:line="240" w:lineRule="auto"/>
              <w:jc w:val="both"/>
              <w:rPr>
                <w:rFonts w:ascii="Arial" w:hAnsi="Arial" w:cs="Arial"/>
                <w:sz w:val="20"/>
                <w:szCs w:val="20"/>
              </w:rPr>
            </w:pPr>
          </w:p>
        </w:tc>
        <w:tc>
          <w:tcPr>
            <w:tcW w:w="954" w:type="pct"/>
            <w:tcBorders>
              <w:top w:val="nil"/>
              <w:left w:val="nil"/>
              <w:bottom w:val="nil"/>
              <w:right w:val="nil"/>
            </w:tcBorders>
            <w:vAlign w:val="bottom"/>
          </w:tcPr>
          <w:p w14:paraId="09C46F7E" w14:textId="77777777" w:rsidR="00632D7D" w:rsidRPr="005F3D85" w:rsidRDefault="00632D7D" w:rsidP="00757614">
            <w:pPr>
              <w:spacing w:after="0" w:line="240" w:lineRule="auto"/>
              <w:jc w:val="both"/>
              <w:rPr>
                <w:rFonts w:ascii="Arial" w:hAnsi="Arial" w:cs="Arial"/>
                <w:sz w:val="20"/>
                <w:szCs w:val="20"/>
              </w:rPr>
            </w:pPr>
          </w:p>
        </w:tc>
        <w:tc>
          <w:tcPr>
            <w:tcW w:w="954" w:type="pct"/>
            <w:tcBorders>
              <w:top w:val="nil"/>
              <w:left w:val="nil"/>
              <w:bottom w:val="nil"/>
              <w:right w:val="nil"/>
            </w:tcBorders>
            <w:vAlign w:val="bottom"/>
          </w:tcPr>
          <w:p w14:paraId="4FF5E8C6" w14:textId="77777777" w:rsidR="00632D7D" w:rsidRPr="005F3D85" w:rsidRDefault="00632D7D" w:rsidP="00757614">
            <w:pPr>
              <w:spacing w:after="0" w:line="240" w:lineRule="auto"/>
              <w:jc w:val="both"/>
              <w:rPr>
                <w:rFonts w:ascii="Arial" w:hAnsi="Arial" w:cs="Arial"/>
                <w:sz w:val="20"/>
                <w:szCs w:val="20"/>
              </w:rPr>
            </w:pPr>
          </w:p>
        </w:tc>
        <w:tc>
          <w:tcPr>
            <w:tcW w:w="953" w:type="pct"/>
            <w:tcBorders>
              <w:top w:val="nil"/>
              <w:left w:val="nil"/>
              <w:bottom w:val="nil"/>
              <w:right w:val="nil"/>
            </w:tcBorders>
            <w:vAlign w:val="bottom"/>
          </w:tcPr>
          <w:p w14:paraId="27EFD005" w14:textId="77777777" w:rsidR="00632D7D" w:rsidRPr="005F3D85" w:rsidRDefault="00632D7D" w:rsidP="00757614">
            <w:pPr>
              <w:spacing w:after="0" w:line="240" w:lineRule="auto"/>
              <w:jc w:val="both"/>
              <w:rPr>
                <w:rFonts w:ascii="Arial" w:hAnsi="Arial" w:cs="Arial"/>
                <w:sz w:val="20"/>
                <w:szCs w:val="20"/>
              </w:rPr>
            </w:pPr>
          </w:p>
        </w:tc>
      </w:tr>
      <w:tr w:rsidR="00632D7D" w:rsidRPr="005F3D85" w14:paraId="3935B51E" w14:textId="77777777" w:rsidTr="00632D7D">
        <w:trPr>
          <w:trHeight w:val="204"/>
        </w:trPr>
        <w:tc>
          <w:tcPr>
            <w:tcW w:w="2139" w:type="pct"/>
            <w:gridSpan w:val="2"/>
            <w:tcBorders>
              <w:top w:val="nil"/>
              <w:left w:val="nil"/>
              <w:bottom w:val="single" w:sz="6" w:space="0" w:color="auto"/>
              <w:right w:val="nil"/>
            </w:tcBorders>
            <w:vAlign w:val="bottom"/>
          </w:tcPr>
          <w:p w14:paraId="0742F646" w14:textId="1D9CBF00" w:rsidR="00632D7D" w:rsidRPr="005F3D85" w:rsidRDefault="00CB1672" w:rsidP="00757614">
            <w:pPr>
              <w:spacing w:after="0" w:line="240" w:lineRule="auto"/>
              <w:jc w:val="both"/>
              <w:rPr>
                <w:rFonts w:ascii="Arial" w:hAnsi="Arial" w:cs="Arial"/>
                <w:sz w:val="20"/>
                <w:szCs w:val="20"/>
              </w:rPr>
            </w:pPr>
            <w:r w:rsidRPr="005F3D85">
              <w:rPr>
                <w:rFonts w:ascii="Arial" w:hAnsi="Arial" w:cs="Arial"/>
                <w:sz w:val="20"/>
                <w:szCs w:val="20"/>
              </w:rPr>
              <w:t>Method</w:t>
            </w:r>
          </w:p>
        </w:tc>
        <w:tc>
          <w:tcPr>
            <w:tcW w:w="954" w:type="pct"/>
            <w:tcBorders>
              <w:top w:val="nil"/>
              <w:left w:val="nil"/>
              <w:bottom w:val="single" w:sz="6" w:space="0" w:color="auto"/>
              <w:right w:val="nil"/>
            </w:tcBorders>
            <w:vAlign w:val="bottom"/>
          </w:tcPr>
          <w:p w14:paraId="2EEE8E88" w14:textId="77777777" w:rsidR="00632D7D" w:rsidRPr="005F3D85" w:rsidRDefault="00632D7D" w:rsidP="00757614">
            <w:pPr>
              <w:spacing w:after="0" w:line="240" w:lineRule="auto"/>
              <w:jc w:val="both"/>
              <w:rPr>
                <w:rFonts w:ascii="Arial" w:hAnsi="Arial" w:cs="Arial"/>
                <w:sz w:val="20"/>
                <w:szCs w:val="20"/>
              </w:rPr>
            </w:pPr>
          </w:p>
        </w:tc>
        <w:tc>
          <w:tcPr>
            <w:tcW w:w="954" w:type="pct"/>
            <w:tcBorders>
              <w:top w:val="nil"/>
              <w:left w:val="nil"/>
              <w:bottom w:val="single" w:sz="6" w:space="0" w:color="auto"/>
              <w:right w:val="nil"/>
            </w:tcBorders>
            <w:vAlign w:val="bottom"/>
          </w:tcPr>
          <w:p w14:paraId="10DECC9A" w14:textId="71F8518F" w:rsidR="00632D7D" w:rsidRPr="005F3D85" w:rsidRDefault="00CB1672" w:rsidP="00757614">
            <w:pPr>
              <w:spacing w:after="0" w:line="240" w:lineRule="auto"/>
              <w:jc w:val="both"/>
              <w:rPr>
                <w:rFonts w:ascii="Arial" w:hAnsi="Arial" w:cs="Arial"/>
                <w:sz w:val="20"/>
                <w:szCs w:val="20"/>
              </w:rPr>
            </w:pPr>
            <w:r w:rsidRPr="005F3D85">
              <w:rPr>
                <w:rFonts w:ascii="Arial" w:hAnsi="Arial" w:cs="Arial"/>
                <w:sz w:val="20"/>
                <w:szCs w:val="20"/>
              </w:rPr>
              <w:t>Statistic</w:t>
            </w:r>
          </w:p>
        </w:tc>
        <w:tc>
          <w:tcPr>
            <w:tcW w:w="953" w:type="pct"/>
            <w:tcBorders>
              <w:top w:val="nil"/>
              <w:left w:val="nil"/>
              <w:bottom w:val="single" w:sz="6" w:space="0" w:color="auto"/>
              <w:right w:val="nil"/>
            </w:tcBorders>
            <w:vAlign w:val="bottom"/>
          </w:tcPr>
          <w:p w14:paraId="4E5BF794" w14:textId="02C57965" w:rsidR="00632D7D" w:rsidRPr="005F3D85" w:rsidRDefault="00CB1672" w:rsidP="00757614">
            <w:pPr>
              <w:spacing w:after="0" w:line="240" w:lineRule="auto"/>
              <w:jc w:val="both"/>
              <w:rPr>
                <w:rFonts w:ascii="Arial" w:hAnsi="Arial" w:cs="Arial"/>
                <w:sz w:val="20"/>
                <w:szCs w:val="20"/>
              </w:rPr>
            </w:pPr>
            <w:r w:rsidRPr="005F3D85">
              <w:rPr>
                <w:rFonts w:ascii="Arial" w:hAnsi="Arial" w:cs="Arial"/>
                <w:sz w:val="20"/>
                <w:szCs w:val="20"/>
              </w:rPr>
              <w:t>Prob.**</w:t>
            </w:r>
          </w:p>
        </w:tc>
      </w:tr>
      <w:tr w:rsidR="00632D7D" w:rsidRPr="005F3D85" w14:paraId="764D1DD2" w14:textId="77777777" w:rsidTr="00632D7D">
        <w:trPr>
          <w:trHeight w:val="204"/>
        </w:trPr>
        <w:tc>
          <w:tcPr>
            <w:tcW w:w="3093" w:type="pct"/>
            <w:gridSpan w:val="3"/>
            <w:tcBorders>
              <w:top w:val="nil"/>
              <w:left w:val="nil"/>
              <w:bottom w:val="nil"/>
              <w:right w:val="nil"/>
            </w:tcBorders>
            <w:vAlign w:val="bottom"/>
          </w:tcPr>
          <w:p w14:paraId="5C721D42" w14:textId="21DCBFFF" w:rsidR="00632D7D" w:rsidRPr="005F3D85" w:rsidRDefault="00CB1672" w:rsidP="00757614">
            <w:pPr>
              <w:spacing w:after="0" w:line="240" w:lineRule="auto"/>
              <w:jc w:val="both"/>
              <w:rPr>
                <w:rFonts w:ascii="Arial" w:hAnsi="Arial" w:cs="Arial"/>
                <w:sz w:val="20"/>
                <w:szCs w:val="20"/>
              </w:rPr>
            </w:pPr>
            <w:r w:rsidRPr="005F3D85">
              <w:rPr>
                <w:rFonts w:ascii="Arial" w:hAnsi="Arial" w:cs="Arial"/>
                <w:sz w:val="20"/>
                <w:szCs w:val="20"/>
              </w:rPr>
              <w:t>ADF - Fisher Chi-square</w:t>
            </w:r>
          </w:p>
        </w:tc>
        <w:tc>
          <w:tcPr>
            <w:tcW w:w="954" w:type="pct"/>
            <w:tcBorders>
              <w:top w:val="nil"/>
              <w:left w:val="nil"/>
              <w:bottom w:val="nil"/>
              <w:right w:val="nil"/>
            </w:tcBorders>
            <w:vAlign w:val="bottom"/>
          </w:tcPr>
          <w:p w14:paraId="20D95342" w14:textId="4FBE9616" w:rsidR="00632D7D" w:rsidRPr="005F3D85" w:rsidRDefault="00956A72" w:rsidP="00757614">
            <w:pPr>
              <w:spacing w:after="0" w:line="240" w:lineRule="auto"/>
              <w:jc w:val="both"/>
              <w:rPr>
                <w:rFonts w:ascii="Arial" w:hAnsi="Arial" w:cs="Arial"/>
                <w:sz w:val="20"/>
                <w:szCs w:val="20"/>
              </w:rPr>
            </w:pPr>
            <w:r w:rsidRPr="005F3D85">
              <w:rPr>
                <w:rFonts w:ascii="Arial" w:hAnsi="Arial" w:cs="Arial"/>
                <w:sz w:val="20"/>
                <w:szCs w:val="20"/>
              </w:rPr>
              <w:t> 58.</w:t>
            </w:r>
            <w:r w:rsidR="00632D7D" w:rsidRPr="005F3D85">
              <w:rPr>
                <w:rFonts w:ascii="Arial" w:hAnsi="Arial" w:cs="Arial"/>
                <w:sz w:val="20"/>
                <w:szCs w:val="20"/>
              </w:rPr>
              <w:t>4103</w:t>
            </w:r>
          </w:p>
        </w:tc>
        <w:tc>
          <w:tcPr>
            <w:tcW w:w="953" w:type="pct"/>
            <w:tcBorders>
              <w:top w:val="nil"/>
              <w:left w:val="nil"/>
              <w:bottom w:val="nil"/>
              <w:right w:val="nil"/>
            </w:tcBorders>
            <w:vAlign w:val="bottom"/>
          </w:tcPr>
          <w:p w14:paraId="4C5BBC21" w14:textId="24CE2D76" w:rsidR="00632D7D" w:rsidRPr="005F3D85" w:rsidRDefault="00956A72" w:rsidP="00757614">
            <w:pPr>
              <w:spacing w:after="0" w:line="240" w:lineRule="auto"/>
              <w:jc w:val="both"/>
              <w:rPr>
                <w:rFonts w:ascii="Arial" w:hAnsi="Arial" w:cs="Arial"/>
                <w:sz w:val="20"/>
                <w:szCs w:val="20"/>
              </w:rPr>
            </w:pPr>
            <w:r w:rsidRPr="005F3D85">
              <w:rPr>
                <w:rFonts w:ascii="Arial" w:hAnsi="Arial" w:cs="Arial"/>
                <w:sz w:val="20"/>
                <w:szCs w:val="20"/>
              </w:rPr>
              <w:t> 0.</w:t>
            </w:r>
            <w:r w:rsidR="00632D7D" w:rsidRPr="005F3D85">
              <w:rPr>
                <w:rFonts w:ascii="Arial" w:hAnsi="Arial" w:cs="Arial"/>
                <w:sz w:val="20"/>
                <w:szCs w:val="20"/>
              </w:rPr>
              <w:t>0475</w:t>
            </w:r>
          </w:p>
        </w:tc>
      </w:tr>
      <w:tr w:rsidR="00632D7D" w:rsidRPr="005F3D85" w14:paraId="6D2B3013" w14:textId="77777777" w:rsidTr="00632D7D">
        <w:trPr>
          <w:trHeight w:val="204"/>
        </w:trPr>
        <w:tc>
          <w:tcPr>
            <w:tcW w:w="3093" w:type="pct"/>
            <w:gridSpan w:val="3"/>
            <w:tcBorders>
              <w:top w:val="nil"/>
              <w:left w:val="nil"/>
              <w:bottom w:val="nil"/>
              <w:right w:val="nil"/>
            </w:tcBorders>
            <w:vAlign w:val="bottom"/>
          </w:tcPr>
          <w:p w14:paraId="077DE758" w14:textId="5F91A573" w:rsidR="00632D7D" w:rsidRPr="005F3D85" w:rsidRDefault="00CB1672" w:rsidP="00757614">
            <w:pPr>
              <w:spacing w:after="0" w:line="240" w:lineRule="auto"/>
              <w:jc w:val="both"/>
              <w:rPr>
                <w:rFonts w:ascii="Arial" w:hAnsi="Arial" w:cs="Arial"/>
                <w:sz w:val="20"/>
                <w:szCs w:val="20"/>
              </w:rPr>
            </w:pPr>
            <w:r w:rsidRPr="005F3D85">
              <w:rPr>
                <w:rFonts w:ascii="Arial" w:hAnsi="Arial" w:cs="Arial"/>
                <w:sz w:val="20"/>
                <w:szCs w:val="20"/>
              </w:rPr>
              <w:t>ADF - Choi Z-stat</w:t>
            </w:r>
          </w:p>
        </w:tc>
        <w:tc>
          <w:tcPr>
            <w:tcW w:w="954" w:type="pct"/>
            <w:tcBorders>
              <w:top w:val="nil"/>
              <w:left w:val="nil"/>
              <w:bottom w:val="nil"/>
              <w:right w:val="nil"/>
            </w:tcBorders>
            <w:vAlign w:val="bottom"/>
          </w:tcPr>
          <w:p w14:paraId="0420DDBC" w14:textId="77777777" w:rsidR="00632D7D" w:rsidRPr="005F3D85" w:rsidRDefault="00632D7D" w:rsidP="00757614">
            <w:pPr>
              <w:spacing w:after="0" w:line="240" w:lineRule="auto"/>
              <w:jc w:val="both"/>
              <w:rPr>
                <w:rFonts w:ascii="Arial" w:hAnsi="Arial" w:cs="Arial"/>
                <w:sz w:val="20"/>
                <w:szCs w:val="20"/>
              </w:rPr>
            </w:pPr>
            <w:r w:rsidRPr="005F3D85">
              <w:rPr>
                <w:rFonts w:ascii="Arial" w:hAnsi="Arial" w:cs="Arial"/>
                <w:sz w:val="20"/>
                <w:szCs w:val="20"/>
              </w:rPr>
              <w:t xml:space="preserve"> 46.2042</w:t>
            </w:r>
          </w:p>
        </w:tc>
        <w:tc>
          <w:tcPr>
            <w:tcW w:w="953" w:type="pct"/>
            <w:tcBorders>
              <w:top w:val="nil"/>
              <w:left w:val="nil"/>
              <w:bottom w:val="nil"/>
              <w:right w:val="nil"/>
            </w:tcBorders>
            <w:vAlign w:val="bottom"/>
          </w:tcPr>
          <w:p w14:paraId="7BE722B3" w14:textId="089B1416" w:rsidR="00632D7D" w:rsidRPr="005F3D85" w:rsidRDefault="00956A72" w:rsidP="00757614">
            <w:pPr>
              <w:spacing w:after="0" w:line="240" w:lineRule="auto"/>
              <w:jc w:val="both"/>
              <w:rPr>
                <w:rFonts w:ascii="Arial" w:hAnsi="Arial" w:cs="Arial"/>
                <w:sz w:val="20"/>
                <w:szCs w:val="20"/>
              </w:rPr>
            </w:pPr>
            <w:r w:rsidRPr="005F3D85">
              <w:rPr>
                <w:rFonts w:ascii="Arial" w:hAnsi="Arial" w:cs="Arial"/>
                <w:sz w:val="20"/>
                <w:szCs w:val="20"/>
              </w:rPr>
              <w:t xml:space="preserve"> 0.</w:t>
            </w:r>
            <w:r w:rsidR="00632D7D" w:rsidRPr="005F3D85">
              <w:rPr>
                <w:rFonts w:ascii="Arial" w:hAnsi="Arial" w:cs="Arial"/>
                <w:sz w:val="20"/>
                <w:szCs w:val="20"/>
              </w:rPr>
              <w:t>0005</w:t>
            </w:r>
          </w:p>
        </w:tc>
      </w:tr>
      <w:tr w:rsidR="00632D7D" w:rsidRPr="005F3D85" w14:paraId="018D0328" w14:textId="77777777" w:rsidTr="00632D7D">
        <w:trPr>
          <w:trHeight w:hRule="exact" w:val="81"/>
        </w:trPr>
        <w:tc>
          <w:tcPr>
            <w:tcW w:w="1184" w:type="pct"/>
            <w:tcBorders>
              <w:top w:val="nil"/>
              <w:left w:val="nil"/>
              <w:bottom w:val="double" w:sz="6" w:space="2" w:color="auto"/>
              <w:right w:val="nil"/>
            </w:tcBorders>
            <w:vAlign w:val="bottom"/>
          </w:tcPr>
          <w:p w14:paraId="2CE03D44" w14:textId="77777777" w:rsidR="00632D7D" w:rsidRPr="005F3D85" w:rsidRDefault="00632D7D" w:rsidP="00757614">
            <w:pPr>
              <w:spacing w:after="0" w:line="240" w:lineRule="auto"/>
              <w:jc w:val="both"/>
              <w:rPr>
                <w:rFonts w:ascii="Arial" w:hAnsi="Arial" w:cs="Arial"/>
                <w:sz w:val="20"/>
                <w:szCs w:val="20"/>
              </w:rPr>
            </w:pPr>
          </w:p>
        </w:tc>
        <w:tc>
          <w:tcPr>
            <w:tcW w:w="955" w:type="pct"/>
            <w:tcBorders>
              <w:top w:val="nil"/>
              <w:left w:val="nil"/>
              <w:bottom w:val="double" w:sz="6" w:space="2" w:color="auto"/>
              <w:right w:val="nil"/>
            </w:tcBorders>
            <w:vAlign w:val="bottom"/>
          </w:tcPr>
          <w:p w14:paraId="319B36FD" w14:textId="77777777" w:rsidR="00632D7D" w:rsidRPr="005F3D85" w:rsidRDefault="00632D7D" w:rsidP="00757614">
            <w:pPr>
              <w:spacing w:after="0" w:line="240" w:lineRule="auto"/>
              <w:jc w:val="both"/>
              <w:rPr>
                <w:rFonts w:ascii="Arial" w:hAnsi="Arial" w:cs="Arial"/>
                <w:sz w:val="20"/>
                <w:szCs w:val="20"/>
              </w:rPr>
            </w:pPr>
          </w:p>
        </w:tc>
        <w:tc>
          <w:tcPr>
            <w:tcW w:w="954" w:type="pct"/>
            <w:tcBorders>
              <w:top w:val="nil"/>
              <w:left w:val="nil"/>
              <w:bottom w:val="double" w:sz="6" w:space="2" w:color="auto"/>
              <w:right w:val="nil"/>
            </w:tcBorders>
            <w:vAlign w:val="bottom"/>
          </w:tcPr>
          <w:p w14:paraId="2A996738" w14:textId="77777777" w:rsidR="00632D7D" w:rsidRPr="005F3D85" w:rsidRDefault="00632D7D" w:rsidP="00757614">
            <w:pPr>
              <w:spacing w:after="0" w:line="240" w:lineRule="auto"/>
              <w:jc w:val="both"/>
              <w:rPr>
                <w:rFonts w:ascii="Arial" w:hAnsi="Arial" w:cs="Arial"/>
                <w:sz w:val="20"/>
                <w:szCs w:val="20"/>
              </w:rPr>
            </w:pPr>
          </w:p>
        </w:tc>
        <w:tc>
          <w:tcPr>
            <w:tcW w:w="954" w:type="pct"/>
            <w:tcBorders>
              <w:top w:val="nil"/>
              <w:left w:val="nil"/>
              <w:bottom w:val="double" w:sz="6" w:space="2" w:color="auto"/>
              <w:right w:val="nil"/>
            </w:tcBorders>
            <w:vAlign w:val="bottom"/>
          </w:tcPr>
          <w:p w14:paraId="5A19AAFB" w14:textId="77777777" w:rsidR="00632D7D" w:rsidRPr="005F3D85" w:rsidRDefault="00632D7D" w:rsidP="00757614">
            <w:pPr>
              <w:spacing w:after="0" w:line="240" w:lineRule="auto"/>
              <w:jc w:val="both"/>
              <w:rPr>
                <w:rFonts w:ascii="Arial" w:hAnsi="Arial" w:cs="Arial"/>
                <w:sz w:val="20"/>
                <w:szCs w:val="20"/>
              </w:rPr>
            </w:pPr>
          </w:p>
        </w:tc>
        <w:tc>
          <w:tcPr>
            <w:tcW w:w="953" w:type="pct"/>
            <w:tcBorders>
              <w:top w:val="nil"/>
              <w:left w:val="nil"/>
              <w:bottom w:val="double" w:sz="6" w:space="2" w:color="auto"/>
              <w:right w:val="nil"/>
            </w:tcBorders>
            <w:vAlign w:val="bottom"/>
          </w:tcPr>
          <w:p w14:paraId="25C13EA5" w14:textId="77777777" w:rsidR="00632D7D" w:rsidRPr="005F3D85" w:rsidRDefault="00632D7D" w:rsidP="00757614">
            <w:pPr>
              <w:spacing w:after="0" w:line="240" w:lineRule="auto"/>
              <w:jc w:val="both"/>
              <w:rPr>
                <w:rFonts w:ascii="Arial" w:hAnsi="Arial" w:cs="Arial"/>
                <w:sz w:val="20"/>
                <w:szCs w:val="20"/>
              </w:rPr>
            </w:pPr>
          </w:p>
        </w:tc>
      </w:tr>
      <w:tr w:rsidR="00632D7D" w:rsidRPr="005F3D85" w14:paraId="0D194050" w14:textId="77777777" w:rsidTr="00632D7D">
        <w:trPr>
          <w:trHeight w:hRule="exact" w:val="122"/>
        </w:trPr>
        <w:tc>
          <w:tcPr>
            <w:tcW w:w="1184" w:type="pct"/>
            <w:tcBorders>
              <w:top w:val="nil"/>
              <w:left w:val="nil"/>
              <w:bottom w:val="nil"/>
              <w:right w:val="nil"/>
            </w:tcBorders>
            <w:vAlign w:val="bottom"/>
          </w:tcPr>
          <w:p w14:paraId="19BEC663" w14:textId="77777777" w:rsidR="00632D7D" w:rsidRPr="005F3D85" w:rsidRDefault="00632D7D" w:rsidP="00757614">
            <w:pPr>
              <w:spacing w:after="0" w:line="240" w:lineRule="auto"/>
              <w:jc w:val="both"/>
              <w:rPr>
                <w:rFonts w:ascii="Arial" w:hAnsi="Arial" w:cs="Arial"/>
                <w:sz w:val="20"/>
                <w:szCs w:val="20"/>
              </w:rPr>
            </w:pPr>
          </w:p>
        </w:tc>
        <w:tc>
          <w:tcPr>
            <w:tcW w:w="955" w:type="pct"/>
            <w:tcBorders>
              <w:top w:val="nil"/>
              <w:left w:val="nil"/>
              <w:bottom w:val="nil"/>
              <w:right w:val="nil"/>
            </w:tcBorders>
            <w:vAlign w:val="bottom"/>
          </w:tcPr>
          <w:p w14:paraId="46CD87ED" w14:textId="77777777" w:rsidR="00632D7D" w:rsidRPr="005F3D85" w:rsidRDefault="00632D7D" w:rsidP="00757614">
            <w:pPr>
              <w:spacing w:after="0" w:line="240" w:lineRule="auto"/>
              <w:jc w:val="both"/>
              <w:rPr>
                <w:rFonts w:ascii="Arial" w:hAnsi="Arial" w:cs="Arial"/>
                <w:sz w:val="20"/>
                <w:szCs w:val="20"/>
              </w:rPr>
            </w:pPr>
          </w:p>
        </w:tc>
        <w:tc>
          <w:tcPr>
            <w:tcW w:w="954" w:type="pct"/>
            <w:tcBorders>
              <w:top w:val="nil"/>
              <w:left w:val="nil"/>
              <w:bottom w:val="nil"/>
              <w:right w:val="nil"/>
            </w:tcBorders>
            <w:vAlign w:val="bottom"/>
          </w:tcPr>
          <w:p w14:paraId="55E46AC5" w14:textId="77777777" w:rsidR="00632D7D" w:rsidRPr="005F3D85" w:rsidRDefault="00632D7D" w:rsidP="00757614">
            <w:pPr>
              <w:spacing w:after="0" w:line="240" w:lineRule="auto"/>
              <w:jc w:val="both"/>
              <w:rPr>
                <w:rFonts w:ascii="Arial" w:hAnsi="Arial" w:cs="Arial"/>
                <w:sz w:val="20"/>
                <w:szCs w:val="20"/>
              </w:rPr>
            </w:pPr>
          </w:p>
        </w:tc>
        <w:tc>
          <w:tcPr>
            <w:tcW w:w="954" w:type="pct"/>
            <w:tcBorders>
              <w:top w:val="nil"/>
              <w:left w:val="nil"/>
              <w:bottom w:val="nil"/>
              <w:right w:val="nil"/>
            </w:tcBorders>
            <w:vAlign w:val="bottom"/>
          </w:tcPr>
          <w:p w14:paraId="36E0FDA7" w14:textId="77777777" w:rsidR="00632D7D" w:rsidRPr="005F3D85" w:rsidRDefault="00632D7D" w:rsidP="00757614">
            <w:pPr>
              <w:spacing w:after="0" w:line="240" w:lineRule="auto"/>
              <w:jc w:val="both"/>
              <w:rPr>
                <w:rFonts w:ascii="Arial" w:hAnsi="Arial" w:cs="Arial"/>
                <w:sz w:val="20"/>
                <w:szCs w:val="20"/>
              </w:rPr>
            </w:pPr>
          </w:p>
        </w:tc>
        <w:tc>
          <w:tcPr>
            <w:tcW w:w="953" w:type="pct"/>
            <w:tcBorders>
              <w:top w:val="nil"/>
              <w:left w:val="nil"/>
              <w:bottom w:val="nil"/>
              <w:right w:val="nil"/>
            </w:tcBorders>
            <w:vAlign w:val="bottom"/>
          </w:tcPr>
          <w:p w14:paraId="706FD3B2" w14:textId="77777777" w:rsidR="00632D7D" w:rsidRPr="005F3D85" w:rsidRDefault="00632D7D" w:rsidP="00757614">
            <w:pPr>
              <w:spacing w:after="0" w:line="240" w:lineRule="auto"/>
              <w:jc w:val="both"/>
              <w:rPr>
                <w:rFonts w:ascii="Arial" w:hAnsi="Arial" w:cs="Arial"/>
                <w:sz w:val="20"/>
                <w:szCs w:val="20"/>
              </w:rPr>
            </w:pPr>
          </w:p>
        </w:tc>
      </w:tr>
      <w:tr w:rsidR="00632D7D" w:rsidRPr="005F3D85" w14:paraId="4C801675" w14:textId="77777777" w:rsidTr="00632D7D">
        <w:trPr>
          <w:trHeight w:val="204"/>
        </w:trPr>
        <w:tc>
          <w:tcPr>
            <w:tcW w:w="5000" w:type="pct"/>
            <w:gridSpan w:val="5"/>
            <w:tcBorders>
              <w:top w:val="nil"/>
              <w:left w:val="nil"/>
              <w:bottom w:val="nil"/>
              <w:right w:val="nil"/>
            </w:tcBorders>
            <w:vAlign w:val="bottom"/>
          </w:tcPr>
          <w:p w14:paraId="1CC4FF3A" w14:textId="5DE4769A" w:rsidR="00632D7D" w:rsidRPr="005F3D85" w:rsidRDefault="00632D7D" w:rsidP="00757614">
            <w:pPr>
              <w:spacing w:after="0" w:line="240" w:lineRule="auto"/>
              <w:jc w:val="both"/>
              <w:rPr>
                <w:rFonts w:ascii="Arial" w:hAnsi="Arial" w:cs="Arial"/>
                <w:sz w:val="20"/>
                <w:szCs w:val="20"/>
              </w:rPr>
            </w:pPr>
            <w:r w:rsidRPr="005F3D85">
              <w:rPr>
                <w:rFonts w:ascii="Arial" w:hAnsi="Arial" w:cs="Arial"/>
                <w:sz w:val="20"/>
                <w:szCs w:val="20"/>
              </w:rPr>
              <w:t xml:space="preserve"> P &lt; 5%.</w:t>
            </w:r>
          </w:p>
        </w:tc>
      </w:tr>
    </w:tbl>
    <w:p w14:paraId="5BD34E0A" w14:textId="77777777" w:rsidR="008C38B8" w:rsidRPr="005F3D85" w:rsidRDefault="00E56F63" w:rsidP="00757614">
      <w:pPr>
        <w:spacing w:after="0" w:line="240" w:lineRule="auto"/>
        <w:jc w:val="both"/>
        <w:rPr>
          <w:rFonts w:ascii="Arial" w:hAnsi="Arial" w:cs="Arial"/>
          <w:sz w:val="20"/>
          <w:szCs w:val="20"/>
        </w:rPr>
      </w:pPr>
      <w:r w:rsidRPr="005F3D85">
        <w:rPr>
          <w:rFonts w:ascii="Arial" w:hAnsi="Arial" w:cs="Arial"/>
          <w:sz w:val="20"/>
          <w:szCs w:val="20"/>
        </w:rPr>
        <w:t xml:space="preserve"> Source: Data Analysis (2025)</w:t>
      </w:r>
    </w:p>
    <w:p w14:paraId="68EA5DCB" w14:textId="01A010FB" w:rsidR="00E56F63" w:rsidRPr="005F3D85" w:rsidRDefault="00E56F63" w:rsidP="00757614">
      <w:pPr>
        <w:spacing w:after="0" w:line="240" w:lineRule="auto"/>
        <w:jc w:val="both"/>
        <w:rPr>
          <w:rFonts w:ascii="Arial" w:hAnsi="Arial" w:cs="Arial"/>
          <w:sz w:val="20"/>
          <w:szCs w:val="20"/>
        </w:rPr>
      </w:pPr>
    </w:p>
    <w:p w14:paraId="021D260B" w14:textId="4091BC5F" w:rsidR="00E56F63" w:rsidRPr="00392AAA" w:rsidRDefault="004707D5" w:rsidP="008C38B8">
      <w:pPr>
        <w:rPr>
          <w:rFonts w:ascii="Arial" w:hAnsi="Arial" w:cs="Arial"/>
          <w:b/>
          <w:sz w:val="20"/>
          <w:szCs w:val="20"/>
        </w:rPr>
      </w:pPr>
      <w:bookmarkStart w:id="22" w:name="_Toc207714063"/>
      <w:bookmarkStart w:id="23" w:name="_Toc208584824"/>
      <w:r w:rsidRPr="00392AAA">
        <w:rPr>
          <w:rFonts w:ascii="Arial" w:hAnsi="Arial" w:cs="Arial"/>
          <w:b/>
          <w:sz w:val="20"/>
          <w:szCs w:val="20"/>
        </w:rPr>
        <w:t>Table</w:t>
      </w:r>
      <w:r w:rsidR="00F2412D" w:rsidRPr="00392AAA">
        <w:rPr>
          <w:rFonts w:ascii="Arial" w:hAnsi="Arial" w:cs="Arial"/>
          <w:b/>
          <w:sz w:val="20"/>
          <w:szCs w:val="20"/>
        </w:rPr>
        <w:t xml:space="preserve"> 6.</w:t>
      </w:r>
      <w:r w:rsidR="00FE07EB" w:rsidRPr="00392AAA">
        <w:rPr>
          <w:rFonts w:ascii="Arial" w:hAnsi="Arial" w:cs="Arial"/>
          <w:b/>
          <w:sz w:val="20"/>
          <w:szCs w:val="20"/>
        </w:rPr>
        <w:t xml:space="preserve"> Unit Root Test of </w:t>
      </w:r>
      <w:bookmarkEnd w:id="22"/>
      <w:r w:rsidR="00FE07EB" w:rsidRPr="00392AAA">
        <w:rPr>
          <w:rFonts w:ascii="Arial" w:hAnsi="Arial" w:cs="Arial"/>
          <w:b/>
          <w:sz w:val="20"/>
          <w:szCs w:val="20"/>
        </w:rPr>
        <w:t>First Difference</w:t>
      </w:r>
      <w:r w:rsidR="000F22D4" w:rsidRPr="00392AAA">
        <w:rPr>
          <w:rFonts w:ascii="Arial" w:hAnsi="Arial" w:cs="Arial"/>
          <w:b/>
          <w:sz w:val="20"/>
          <w:szCs w:val="20"/>
        </w:rPr>
        <w:t>s</w:t>
      </w:r>
      <w:bookmarkEnd w:id="23"/>
      <w:r w:rsidR="00F56A31">
        <w:rPr>
          <w:rFonts w:ascii="Arial" w:hAnsi="Arial" w:cs="Arial"/>
          <w:b/>
          <w:sz w:val="20"/>
          <w:szCs w:val="20"/>
        </w:rPr>
        <w:t xml:space="preserve"> for CRM</w:t>
      </w:r>
    </w:p>
    <w:tbl>
      <w:tblPr>
        <w:tblW w:w="5000" w:type="pct"/>
        <w:tblCellMar>
          <w:left w:w="0" w:type="dxa"/>
          <w:right w:w="0" w:type="dxa"/>
        </w:tblCellMar>
        <w:tblLook w:val="0000" w:firstRow="0" w:lastRow="0" w:firstColumn="0" w:lastColumn="0" w:noHBand="0" w:noVBand="0"/>
      </w:tblPr>
      <w:tblGrid>
        <w:gridCol w:w="2265"/>
        <w:gridCol w:w="1715"/>
        <w:gridCol w:w="1715"/>
        <w:gridCol w:w="1715"/>
        <w:gridCol w:w="1711"/>
      </w:tblGrid>
      <w:tr w:rsidR="003E793B" w:rsidRPr="005F3D85" w14:paraId="5614C8A3" w14:textId="77777777" w:rsidTr="004707D5">
        <w:trPr>
          <w:trHeight w:hRule="exact" w:val="81"/>
        </w:trPr>
        <w:tc>
          <w:tcPr>
            <w:tcW w:w="1242" w:type="pct"/>
            <w:tcBorders>
              <w:top w:val="nil"/>
              <w:left w:val="nil"/>
              <w:bottom w:val="double" w:sz="6" w:space="2" w:color="auto"/>
              <w:right w:val="nil"/>
            </w:tcBorders>
            <w:vAlign w:val="bottom"/>
          </w:tcPr>
          <w:p w14:paraId="0954737E" w14:textId="77777777" w:rsidR="003E793B" w:rsidRPr="005F3D85" w:rsidRDefault="003E793B" w:rsidP="00757614">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07DF5D01" w14:textId="77777777" w:rsidR="003E793B" w:rsidRPr="005F3D85" w:rsidRDefault="003E793B" w:rsidP="00757614">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1EFF93A2" w14:textId="77777777" w:rsidR="003E793B" w:rsidRPr="005F3D85" w:rsidRDefault="003E793B" w:rsidP="00757614">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4DCF5E08" w14:textId="77777777" w:rsidR="003E793B" w:rsidRPr="005F3D85" w:rsidRDefault="003E793B" w:rsidP="00757614">
            <w:pPr>
              <w:spacing w:after="0" w:line="240" w:lineRule="auto"/>
              <w:jc w:val="both"/>
              <w:rPr>
                <w:rFonts w:ascii="Arial" w:hAnsi="Arial" w:cs="Arial"/>
                <w:sz w:val="20"/>
                <w:szCs w:val="20"/>
              </w:rPr>
            </w:pPr>
          </w:p>
        </w:tc>
        <w:tc>
          <w:tcPr>
            <w:tcW w:w="938" w:type="pct"/>
            <w:tcBorders>
              <w:top w:val="nil"/>
              <w:left w:val="nil"/>
              <w:bottom w:val="double" w:sz="6" w:space="2" w:color="auto"/>
              <w:right w:val="nil"/>
            </w:tcBorders>
            <w:vAlign w:val="bottom"/>
          </w:tcPr>
          <w:p w14:paraId="27572AE1" w14:textId="77777777" w:rsidR="003E793B" w:rsidRPr="005F3D85" w:rsidRDefault="003E793B" w:rsidP="00757614">
            <w:pPr>
              <w:spacing w:after="0" w:line="240" w:lineRule="auto"/>
              <w:jc w:val="both"/>
              <w:rPr>
                <w:rFonts w:ascii="Arial" w:hAnsi="Arial" w:cs="Arial"/>
                <w:sz w:val="20"/>
                <w:szCs w:val="20"/>
              </w:rPr>
            </w:pPr>
          </w:p>
        </w:tc>
      </w:tr>
      <w:tr w:rsidR="003E793B" w:rsidRPr="005F3D85" w14:paraId="2D1EAB5A" w14:textId="77777777" w:rsidTr="004707D5">
        <w:trPr>
          <w:trHeight w:hRule="exact" w:val="122"/>
        </w:trPr>
        <w:tc>
          <w:tcPr>
            <w:tcW w:w="1242" w:type="pct"/>
            <w:tcBorders>
              <w:top w:val="nil"/>
              <w:left w:val="nil"/>
              <w:bottom w:val="nil"/>
              <w:right w:val="nil"/>
            </w:tcBorders>
            <w:vAlign w:val="bottom"/>
          </w:tcPr>
          <w:p w14:paraId="7661F951" w14:textId="77777777" w:rsidR="003E793B" w:rsidRPr="005F3D85" w:rsidRDefault="003E793B" w:rsidP="00757614">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27A68C0B" w14:textId="77777777" w:rsidR="003E793B" w:rsidRPr="005F3D85" w:rsidRDefault="003E793B" w:rsidP="00757614">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3B573FF6" w14:textId="77777777" w:rsidR="003E793B" w:rsidRPr="005F3D85" w:rsidRDefault="003E793B" w:rsidP="00757614">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1D3DA287" w14:textId="77777777" w:rsidR="003E793B" w:rsidRPr="005F3D85" w:rsidRDefault="003E793B" w:rsidP="00757614">
            <w:pPr>
              <w:spacing w:after="0" w:line="240" w:lineRule="auto"/>
              <w:jc w:val="both"/>
              <w:rPr>
                <w:rFonts w:ascii="Arial" w:hAnsi="Arial" w:cs="Arial"/>
                <w:sz w:val="20"/>
                <w:szCs w:val="20"/>
              </w:rPr>
            </w:pPr>
          </w:p>
        </w:tc>
        <w:tc>
          <w:tcPr>
            <w:tcW w:w="938" w:type="pct"/>
            <w:tcBorders>
              <w:top w:val="nil"/>
              <w:left w:val="nil"/>
              <w:bottom w:val="nil"/>
              <w:right w:val="nil"/>
            </w:tcBorders>
            <w:vAlign w:val="bottom"/>
          </w:tcPr>
          <w:p w14:paraId="6090C692" w14:textId="77777777" w:rsidR="003E793B" w:rsidRPr="005F3D85" w:rsidRDefault="003E793B" w:rsidP="00757614">
            <w:pPr>
              <w:spacing w:after="0" w:line="240" w:lineRule="auto"/>
              <w:jc w:val="both"/>
              <w:rPr>
                <w:rFonts w:ascii="Arial" w:hAnsi="Arial" w:cs="Arial"/>
                <w:sz w:val="20"/>
                <w:szCs w:val="20"/>
              </w:rPr>
            </w:pPr>
          </w:p>
        </w:tc>
      </w:tr>
      <w:tr w:rsidR="003E793B" w:rsidRPr="005F3D85" w14:paraId="65E034AE" w14:textId="77777777" w:rsidTr="004707D5">
        <w:trPr>
          <w:trHeight w:val="204"/>
        </w:trPr>
        <w:tc>
          <w:tcPr>
            <w:tcW w:w="2182" w:type="pct"/>
            <w:gridSpan w:val="2"/>
            <w:tcBorders>
              <w:top w:val="nil"/>
              <w:left w:val="nil"/>
              <w:bottom w:val="single" w:sz="6" w:space="0" w:color="auto"/>
              <w:right w:val="nil"/>
            </w:tcBorders>
            <w:vAlign w:val="bottom"/>
          </w:tcPr>
          <w:p w14:paraId="0CA06D25" w14:textId="51674361" w:rsidR="003E793B" w:rsidRPr="005F3D85" w:rsidRDefault="000E62A4" w:rsidP="00757614">
            <w:pPr>
              <w:spacing w:after="0" w:line="240" w:lineRule="auto"/>
              <w:jc w:val="both"/>
              <w:rPr>
                <w:rFonts w:ascii="Arial" w:hAnsi="Arial" w:cs="Arial"/>
                <w:sz w:val="20"/>
                <w:szCs w:val="20"/>
              </w:rPr>
            </w:pPr>
            <w:r w:rsidRPr="005F3D85">
              <w:rPr>
                <w:rFonts w:ascii="Arial" w:hAnsi="Arial" w:cs="Arial"/>
                <w:sz w:val="20"/>
                <w:szCs w:val="20"/>
              </w:rPr>
              <w:t>Method</w:t>
            </w:r>
          </w:p>
        </w:tc>
        <w:tc>
          <w:tcPr>
            <w:tcW w:w="940" w:type="pct"/>
            <w:tcBorders>
              <w:top w:val="nil"/>
              <w:left w:val="nil"/>
              <w:bottom w:val="single" w:sz="6" w:space="0" w:color="auto"/>
              <w:right w:val="nil"/>
            </w:tcBorders>
            <w:vAlign w:val="bottom"/>
          </w:tcPr>
          <w:p w14:paraId="0187E8EE" w14:textId="77777777" w:rsidR="003E793B" w:rsidRPr="005F3D85" w:rsidRDefault="003E793B" w:rsidP="00757614">
            <w:pPr>
              <w:spacing w:after="0" w:line="240" w:lineRule="auto"/>
              <w:jc w:val="both"/>
              <w:rPr>
                <w:rFonts w:ascii="Arial" w:hAnsi="Arial" w:cs="Arial"/>
                <w:sz w:val="20"/>
                <w:szCs w:val="20"/>
              </w:rPr>
            </w:pPr>
          </w:p>
        </w:tc>
        <w:tc>
          <w:tcPr>
            <w:tcW w:w="940" w:type="pct"/>
            <w:tcBorders>
              <w:top w:val="nil"/>
              <w:left w:val="nil"/>
              <w:bottom w:val="single" w:sz="6" w:space="0" w:color="auto"/>
              <w:right w:val="nil"/>
            </w:tcBorders>
            <w:vAlign w:val="bottom"/>
          </w:tcPr>
          <w:p w14:paraId="55FFA6AF" w14:textId="45A510EB" w:rsidR="003E793B" w:rsidRPr="005F3D85" w:rsidRDefault="000E62A4" w:rsidP="00757614">
            <w:pPr>
              <w:spacing w:after="0" w:line="240" w:lineRule="auto"/>
              <w:jc w:val="both"/>
              <w:rPr>
                <w:rFonts w:ascii="Arial" w:hAnsi="Arial" w:cs="Arial"/>
                <w:sz w:val="20"/>
                <w:szCs w:val="20"/>
              </w:rPr>
            </w:pPr>
            <w:r w:rsidRPr="005F3D85">
              <w:rPr>
                <w:rFonts w:ascii="Arial" w:hAnsi="Arial" w:cs="Arial"/>
                <w:sz w:val="20"/>
                <w:szCs w:val="20"/>
              </w:rPr>
              <w:t>Statistic</w:t>
            </w:r>
          </w:p>
        </w:tc>
        <w:tc>
          <w:tcPr>
            <w:tcW w:w="938" w:type="pct"/>
            <w:tcBorders>
              <w:top w:val="nil"/>
              <w:left w:val="nil"/>
              <w:bottom w:val="single" w:sz="6" w:space="0" w:color="auto"/>
              <w:right w:val="nil"/>
            </w:tcBorders>
            <w:vAlign w:val="bottom"/>
          </w:tcPr>
          <w:p w14:paraId="4BAA7891" w14:textId="74DA5974" w:rsidR="003E793B" w:rsidRPr="005F3D85" w:rsidRDefault="000E62A4" w:rsidP="00757614">
            <w:pPr>
              <w:spacing w:after="0" w:line="240" w:lineRule="auto"/>
              <w:jc w:val="both"/>
              <w:rPr>
                <w:rFonts w:ascii="Arial" w:hAnsi="Arial" w:cs="Arial"/>
                <w:sz w:val="20"/>
                <w:szCs w:val="20"/>
              </w:rPr>
            </w:pPr>
            <w:r w:rsidRPr="005F3D85">
              <w:rPr>
                <w:rFonts w:ascii="Arial" w:hAnsi="Arial" w:cs="Arial"/>
                <w:sz w:val="20"/>
                <w:szCs w:val="20"/>
              </w:rPr>
              <w:t>Prob.**</w:t>
            </w:r>
          </w:p>
        </w:tc>
      </w:tr>
      <w:tr w:rsidR="003E793B" w:rsidRPr="005F3D85" w14:paraId="033D75B0" w14:textId="77777777" w:rsidTr="004707D5">
        <w:trPr>
          <w:trHeight w:val="204"/>
        </w:trPr>
        <w:tc>
          <w:tcPr>
            <w:tcW w:w="3122" w:type="pct"/>
            <w:gridSpan w:val="3"/>
            <w:tcBorders>
              <w:top w:val="nil"/>
              <w:left w:val="nil"/>
              <w:bottom w:val="nil"/>
              <w:right w:val="nil"/>
            </w:tcBorders>
            <w:vAlign w:val="bottom"/>
          </w:tcPr>
          <w:p w14:paraId="6551E787" w14:textId="0E00B45A" w:rsidR="003E793B" w:rsidRPr="005F3D85" w:rsidRDefault="000E62A4" w:rsidP="00757614">
            <w:pPr>
              <w:spacing w:after="0" w:line="240" w:lineRule="auto"/>
              <w:jc w:val="both"/>
              <w:rPr>
                <w:rFonts w:ascii="Arial" w:hAnsi="Arial" w:cs="Arial"/>
                <w:sz w:val="20"/>
                <w:szCs w:val="20"/>
              </w:rPr>
            </w:pPr>
            <w:r w:rsidRPr="005F3D85">
              <w:rPr>
                <w:rFonts w:ascii="Arial" w:hAnsi="Arial" w:cs="Arial"/>
                <w:sz w:val="20"/>
                <w:szCs w:val="20"/>
              </w:rPr>
              <w:t>ADF - Fisher Chi-square</w:t>
            </w:r>
          </w:p>
        </w:tc>
        <w:tc>
          <w:tcPr>
            <w:tcW w:w="940" w:type="pct"/>
            <w:tcBorders>
              <w:top w:val="nil"/>
              <w:left w:val="nil"/>
              <w:bottom w:val="nil"/>
              <w:right w:val="nil"/>
            </w:tcBorders>
            <w:vAlign w:val="bottom"/>
          </w:tcPr>
          <w:p w14:paraId="122C0A9A" w14:textId="77777777" w:rsidR="003E793B" w:rsidRPr="005F3D85" w:rsidRDefault="003E793B" w:rsidP="00757614">
            <w:pPr>
              <w:spacing w:after="0" w:line="240" w:lineRule="auto"/>
              <w:jc w:val="both"/>
              <w:rPr>
                <w:rFonts w:ascii="Arial" w:hAnsi="Arial" w:cs="Arial"/>
                <w:sz w:val="20"/>
                <w:szCs w:val="20"/>
              </w:rPr>
            </w:pPr>
            <w:r w:rsidRPr="005F3D85">
              <w:rPr>
                <w:rFonts w:ascii="Arial" w:hAnsi="Arial" w:cs="Arial"/>
                <w:sz w:val="20"/>
                <w:szCs w:val="20"/>
              </w:rPr>
              <w:t> 186.210</w:t>
            </w:r>
          </w:p>
        </w:tc>
        <w:tc>
          <w:tcPr>
            <w:tcW w:w="938" w:type="pct"/>
            <w:tcBorders>
              <w:top w:val="nil"/>
              <w:left w:val="nil"/>
              <w:bottom w:val="nil"/>
              <w:right w:val="nil"/>
            </w:tcBorders>
            <w:vAlign w:val="bottom"/>
          </w:tcPr>
          <w:p w14:paraId="3E9F6048" w14:textId="502F80BF" w:rsidR="003E793B" w:rsidRPr="005F3D85" w:rsidRDefault="003E793B" w:rsidP="00757614">
            <w:pPr>
              <w:spacing w:after="0" w:line="240" w:lineRule="auto"/>
              <w:jc w:val="both"/>
              <w:rPr>
                <w:rFonts w:ascii="Arial" w:hAnsi="Arial" w:cs="Arial"/>
                <w:sz w:val="20"/>
                <w:szCs w:val="20"/>
              </w:rPr>
            </w:pPr>
            <w:r w:rsidRPr="005F3D85">
              <w:rPr>
                <w:rFonts w:ascii="Arial" w:hAnsi="Arial" w:cs="Arial"/>
                <w:sz w:val="20"/>
                <w:szCs w:val="20"/>
              </w:rPr>
              <w:t> </w:t>
            </w:r>
            <w:r w:rsidR="00D722FD" w:rsidRPr="005F3D85">
              <w:rPr>
                <w:rFonts w:ascii="Arial" w:hAnsi="Arial" w:cs="Arial"/>
                <w:sz w:val="20"/>
                <w:szCs w:val="20"/>
              </w:rPr>
              <w:t>0.</w:t>
            </w:r>
            <w:r w:rsidR="0020718F" w:rsidRPr="005F3D85">
              <w:rPr>
                <w:rFonts w:ascii="Arial" w:hAnsi="Arial" w:cs="Arial"/>
                <w:sz w:val="20"/>
                <w:szCs w:val="20"/>
              </w:rPr>
              <w:t>0000</w:t>
            </w:r>
          </w:p>
        </w:tc>
      </w:tr>
      <w:tr w:rsidR="003E793B" w:rsidRPr="005F3D85" w14:paraId="7E7A73B2" w14:textId="77777777" w:rsidTr="004707D5">
        <w:trPr>
          <w:trHeight w:val="204"/>
        </w:trPr>
        <w:tc>
          <w:tcPr>
            <w:tcW w:w="3122" w:type="pct"/>
            <w:gridSpan w:val="3"/>
            <w:tcBorders>
              <w:top w:val="nil"/>
              <w:left w:val="nil"/>
              <w:bottom w:val="nil"/>
              <w:right w:val="nil"/>
            </w:tcBorders>
            <w:vAlign w:val="bottom"/>
          </w:tcPr>
          <w:p w14:paraId="67D89802" w14:textId="7ADBF514" w:rsidR="003E793B" w:rsidRPr="005F3D85" w:rsidRDefault="000E62A4" w:rsidP="00757614">
            <w:pPr>
              <w:spacing w:after="0" w:line="240" w:lineRule="auto"/>
              <w:jc w:val="both"/>
              <w:rPr>
                <w:rFonts w:ascii="Arial" w:hAnsi="Arial" w:cs="Arial"/>
                <w:sz w:val="20"/>
                <w:szCs w:val="20"/>
              </w:rPr>
            </w:pPr>
            <w:r w:rsidRPr="005F3D85">
              <w:rPr>
                <w:rFonts w:ascii="Arial" w:hAnsi="Arial" w:cs="Arial"/>
                <w:sz w:val="20"/>
                <w:szCs w:val="20"/>
              </w:rPr>
              <w:t>ADF - Choi Z-stat</w:t>
            </w:r>
          </w:p>
        </w:tc>
        <w:tc>
          <w:tcPr>
            <w:tcW w:w="940" w:type="pct"/>
            <w:tcBorders>
              <w:top w:val="nil"/>
              <w:left w:val="nil"/>
              <w:bottom w:val="nil"/>
              <w:right w:val="nil"/>
            </w:tcBorders>
            <w:vAlign w:val="bottom"/>
          </w:tcPr>
          <w:p w14:paraId="7B4C71F9" w14:textId="4115CC67" w:rsidR="003E793B" w:rsidRPr="005F3D85" w:rsidRDefault="00B071CF" w:rsidP="00757614">
            <w:pPr>
              <w:spacing w:after="0" w:line="240" w:lineRule="auto"/>
              <w:jc w:val="both"/>
              <w:rPr>
                <w:rFonts w:ascii="Arial" w:hAnsi="Arial" w:cs="Arial"/>
                <w:sz w:val="20"/>
                <w:szCs w:val="20"/>
              </w:rPr>
            </w:pPr>
            <w:r w:rsidRPr="005F3D85">
              <w:rPr>
                <w:rFonts w:ascii="Arial" w:hAnsi="Arial" w:cs="Arial"/>
                <w:sz w:val="20"/>
                <w:szCs w:val="20"/>
              </w:rPr>
              <w:t>-8.</w:t>
            </w:r>
            <w:r w:rsidR="003E793B" w:rsidRPr="005F3D85">
              <w:rPr>
                <w:rFonts w:ascii="Arial" w:hAnsi="Arial" w:cs="Arial"/>
                <w:sz w:val="20"/>
                <w:szCs w:val="20"/>
              </w:rPr>
              <w:t>22149</w:t>
            </w:r>
          </w:p>
        </w:tc>
        <w:tc>
          <w:tcPr>
            <w:tcW w:w="938" w:type="pct"/>
            <w:tcBorders>
              <w:top w:val="nil"/>
              <w:left w:val="nil"/>
              <w:bottom w:val="nil"/>
              <w:right w:val="nil"/>
            </w:tcBorders>
            <w:vAlign w:val="bottom"/>
          </w:tcPr>
          <w:p w14:paraId="3EBD47DB" w14:textId="2FD87B80" w:rsidR="003E793B" w:rsidRPr="005F3D85" w:rsidRDefault="003E793B" w:rsidP="00757614">
            <w:pPr>
              <w:spacing w:after="0" w:line="240" w:lineRule="auto"/>
              <w:jc w:val="both"/>
              <w:rPr>
                <w:rFonts w:ascii="Arial" w:hAnsi="Arial" w:cs="Arial"/>
                <w:sz w:val="20"/>
                <w:szCs w:val="20"/>
              </w:rPr>
            </w:pPr>
            <w:r w:rsidRPr="005F3D85">
              <w:rPr>
                <w:rFonts w:ascii="Arial" w:hAnsi="Arial" w:cs="Arial"/>
                <w:sz w:val="20"/>
                <w:szCs w:val="20"/>
              </w:rPr>
              <w:t> </w:t>
            </w:r>
            <w:r w:rsidR="00D722FD" w:rsidRPr="005F3D85">
              <w:rPr>
                <w:rFonts w:ascii="Arial" w:hAnsi="Arial" w:cs="Arial"/>
                <w:sz w:val="20"/>
                <w:szCs w:val="20"/>
              </w:rPr>
              <w:t>0.</w:t>
            </w:r>
            <w:r w:rsidR="0020718F" w:rsidRPr="005F3D85">
              <w:rPr>
                <w:rFonts w:ascii="Arial" w:hAnsi="Arial" w:cs="Arial"/>
                <w:sz w:val="20"/>
                <w:szCs w:val="20"/>
              </w:rPr>
              <w:t>0000</w:t>
            </w:r>
          </w:p>
        </w:tc>
      </w:tr>
      <w:tr w:rsidR="003E793B" w:rsidRPr="005F3D85" w14:paraId="0F502163" w14:textId="77777777" w:rsidTr="004707D5">
        <w:trPr>
          <w:trHeight w:hRule="exact" w:val="81"/>
        </w:trPr>
        <w:tc>
          <w:tcPr>
            <w:tcW w:w="1242" w:type="pct"/>
            <w:tcBorders>
              <w:top w:val="nil"/>
              <w:left w:val="nil"/>
              <w:bottom w:val="double" w:sz="6" w:space="2" w:color="auto"/>
              <w:right w:val="nil"/>
            </w:tcBorders>
            <w:vAlign w:val="bottom"/>
          </w:tcPr>
          <w:p w14:paraId="3AB57D62" w14:textId="77777777" w:rsidR="003E793B" w:rsidRPr="005F3D85" w:rsidRDefault="003E793B" w:rsidP="00757614">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5F97ED0B" w14:textId="77777777" w:rsidR="003E793B" w:rsidRPr="005F3D85" w:rsidRDefault="003E793B" w:rsidP="00757614">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626DB408" w14:textId="77777777" w:rsidR="003E793B" w:rsidRPr="005F3D85" w:rsidRDefault="003E793B" w:rsidP="00757614">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25A08C78" w14:textId="77777777" w:rsidR="003E793B" w:rsidRPr="005F3D85" w:rsidRDefault="003E793B" w:rsidP="00757614">
            <w:pPr>
              <w:spacing w:after="0" w:line="240" w:lineRule="auto"/>
              <w:jc w:val="both"/>
              <w:rPr>
                <w:rFonts w:ascii="Arial" w:hAnsi="Arial" w:cs="Arial"/>
                <w:sz w:val="20"/>
                <w:szCs w:val="20"/>
              </w:rPr>
            </w:pPr>
          </w:p>
        </w:tc>
        <w:tc>
          <w:tcPr>
            <w:tcW w:w="938" w:type="pct"/>
            <w:tcBorders>
              <w:top w:val="nil"/>
              <w:left w:val="nil"/>
              <w:bottom w:val="double" w:sz="6" w:space="2" w:color="auto"/>
              <w:right w:val="nil"/>
            </w:tcBorders>
            <w:vAlign w:val="bottom"/>
          </w:tcPr>
          <w:p w14:paraId="1B39B136" w14:textId="77777777" w:rsidR="003E793B" w:rsidRPr="005F3D85" w:rsidRDefault="003E793B" w:rsidP="00757614">
            <w:pPr>
              <w:spacing w:after="0" w:line="240" w:lineRule="auto"/>
              <w:jc w:val="both"/>
              <w:rPr>
                <w:rFonts w:ascii="Arial" w:hAnsi="Arial" w:cs="Arial"/>
                <w:sz w:val="20"/>
                <w:szCs w:val="20"/>
              </w:rPr>
            </w:pPr>
          </w:p>
        </w:tc>
      </w:tr>
      <w:tr w:rsidR="003E793B" w:rsidRPr="005F3D85" w14:paraId="20344D8E" w14:textId="77777777" w:rsidTr="00411093">
        <w:trPr>
          <w:trHeight w:val="204"/>
        </w:trPr>
        <w:tc>
          <w:tcPr>
            <w:tcW w:w="5000" w:type="pct"/>
            <w:gridSpan w:val="5"/>
            <w:tcBorders>
              <w:top w:val="nil"/>
              <w:left w:val="nil"/>
              <w:bottom w:val="nil"/>
              <w:right w:val="nil"/>
            </w:tcBorders>
            <w:vAlign w:val="bottom"/>
          </w:tcPr>
          <w:p w14:paraId="2DAD561A" w14:textId="77777777" w:rsidR="003E793B" w:rsidRPr="005F3D85" w:rsidRDefault="003E793B" w:rsidP="00757614">
            <w:pPr>
              <w:spacing w:after="0" w:line="240" w:lineRule="auto"/>
              <w:jc w:val="both"/>
              <w:rPr>
                <w:rFonts w:ascii="Arial" w:hAnsi="Arial" w:cs="Arial"/>
                <w:sz w:val="20"/>
                <w:szCs w:val="20"/>
              </w:rPr>
            </w:pPr>
            <w:r w:rsidRPr="005F3D85">
              <w:rPr>
                <w:rFonts w:ascii="Arial" w:hAnsi="Arial" w:cs="Arial"/>
                <w:sz w:val="20"/>
                <w:szCs w:val="20"/>
              </w:rPr>
              <w:t>Source: Data Analysis (2025)</w:t>
            </w:r>
          </w:p>
          <w:p w14:paraId="08076EDA" w14:textId="77777777" w:rsidR="00F85315" w:rsidRPr="005F3D85" w:rsidRDefault="00F85315" w:rsidP="00757614">
            <w:pPr>
              <w:spacing w:after="0" w:line="240" w:lineRule="auto"/>
              <w:jc w:val="both"/>
              <w:rPr>
                <w:rFonts w:ascii="Arial" w:hAnsi="Arial" w:cs="Arial"/>
                <w:sz w:val="20"/>
                <w:szCs w:val="20"/>
              </w:rPr>
            </w:pPr>
          </w:p>
        </w:tc>
      </w:tr>
    </w:tbl>
    <w:p w14:paraId="79797B67" w14:textId="7431BD2A" w:rsidR="00E56F63" w:rsidRPr="00392AAA" w:rsidRDefault="00E87002" w:rsidP="00757614">
      <w:pPr>
        <w:spacing w:after="0" w:line="240" w:lineRule="auto"/>
        <w:jc w:val="both"/>
        <w:rPr>
          <w:rFonts w:ascii="Arial" w:hAnsi="Arial" w:cs="Arial"/>
          <w:sz w:val="20"/>
          <w:szCs w:val="20"/>
        </w:rPr>
      </w:pPr>
      <w:bookmarkStart w:id="24" w:name="_Toc206689021"/>
      <w:r w:rsidRPr="00392AAA">
        <w:rPr>
          <w:rFonts w:ascii="Arial" w:hAnsi="Arial" w:cs="Arial"/>
          <w:b/>
          <w:sz w:val="20"/>
          <w:szCs w:val="20"/>
        </w:rPr>
        <w:t xml:space="preserve">Table </w:t>
      </w:r>
      <w:r w:rsidR="00F2412D" w:rsidRPr="00392AAA">
        <w:rPr>
          <w:rFonts w:ascii="Arial" w:hAnsi="Arial" w:cs="Arial"/>
          <w:b/>
          <w:sz w:val="20"/>
          <w:szCs w:val="20"/>
        </w:rPr>
        <w:t>7.</w:t>
      </w:r>
      <w:r w:rsidRPr="00392AAA">
        <w:rPr>
          <w:rFonts w:ascii="Arial" w:hAnsi="Arial" w:cs="Arial"/>
          <w:b/>
          <w:sz w:val="20"/>
          <w:szCs w:val="20"/>
        </w:rPr>
        <w:t xml:space="preserve"> Unit Root Test at a First Difference for SP</w:t>
      </w:r>
      <w:bookmarkEnd w:id="24"/>
    </w:p>
    <w:tbl>
      <w:tblPr>
        <w:tblW w:w="5000" w:type="pct"/>
        <w:tblCellMar>
          <w:left w:w="0" w:type="dxa"/>
          <w:right w:w="0" w:type="dxa"/>
        </w:tblCellMar>
        <w:tblLook w:val="0000" w:firstRow="0" w:lastRow="0" w:firstColumn="0" w:lastColumn="0" w:noHBand="0" w:noVBand="0"/>
      </w:tblPr>
      <w:tblGrid>
        <w:gridCol w:w="2265"/>
        <w:gridCol w:w="1790"/>
        <w:gridCol w:w="1640"/>
        <w:gridCol w:w="1715"/>
        <w:gridCol w:w="1711"/>
      </w:tblGrid>
      <w:tr w:rsidR="006C7C0A" w:rsidRPr="005F3D85" w14:paraId="3F376C71" w14:textId="77777777" w:rsidTr="00AE7B98">
        <w:trPr>
          <w:trHeight w:hRule="exact" w:val="81"/>
        </w:trPr>
        <w:tc>
          <w:tcPr>
            <w:tcW w:w="1242" w:type="pct"/>
            <w:tcBorders>
              <w:top w:val="nil"/>
              <w:left w:val="nil"/>
              <w:bottom w:val="double" w:sz="6" w:space="2" w:color="auto"/>
              <w:right w:val="nil"/>
            </w:tcBorders>
            <w:vAlign w:val="bottom"/>
          </w:tcPr>
          <w:p w14:paraId="44800F56" w14:textId="77777777" w:rsidR="006C7C0A" w:rsidRPr="005F3D85" w:rsidRDefault="006C7C0A" w:rsidP="00757614">
            <w:pPr>
              <w:spacing w:after="0" w:line="240" w:lineRule="auto"/>
              <w:jc w:val="both"/>
              <w:rPr>
                <w:rFonts w:ascii="Arial" w:hAnsi="Arial" w:cs="Arial"/>
                <w:sz w:val="20"/>
                <w:szCs w:val="20"/>
              </w:rPr>
            </w:pPr>
          </w:p>
        </w:tc>
        <w:tc>
          <w:tcPr>
            <w:tcW w:w="981" w:type="pct"/>
            <w:tcBorders>
              <w:top w:val="nil"/>
              <w:left w:val="nil"/>
              <w:bottom w:val="double" w:sz="6" w:space="2" w:color="auto"/>
              <w:right w:val="nil"/>
            </w:tcBorders>
            <w:vAlign w:val="bottom"/>
          </w:tcPr>
          <w:p w14:paraId="7FD925E3" w14:textId="77777777" w:rsidR="006C7C0A" w:rsidRPr="005F3D85" w:rsidRDefault="006C7C0A" w:rsidP="00757614">
            <w:pPr>
              <w:spacing w:after="0" w:line="240" w:lineRule="auto"/>
              <w:jc w:val="both"/>
              <w:rPr>
                <w:rFonts w:ascii="Arial" w:hAnsi="Arial" w:cs="Arial"/>
                <w:sz w:val="20"/>
                <w:szCs w:val="20"/>
              </w:rPr>
            </w:pPr>
          </w:p>
        </w:tc>
        <w:tc>
          <w:tcPr>
            <w:tcW w:w="899" w:type="pct"/>
            <w:tcBorders>
              <w:top w:val="nil"/>
              <w:left w:val="nil"/>
              <w:bottom w:val="double" w:sz="6" w:space="2" w:color="auto"/>
              <w:right w:val="nil"/>
            </w:tcBorders>
            <w:vAlign w:val="bottom"/>
          </w:tcPr>
          <w:p w14:paraId="488F78E4" w14:textId="77777777" w:rsidR="006C7C0A" w:rsidRPr="005F3D85" w:rsidRDefault="006C7C0A" w:rsidP="00757614">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431D8D62" w14:textId="77777777" w:rsidR="006C7C0A" w:rsidRPr="005F3D85" w:rsidRDefault="006C7C0A" w:rsidP="00757614">
            <w:pPr>
              <w:spacing w:after="0" w:line="240" w:lineRule="auto"/>
              <w:jc w:val="both"/>
              <w:rPr>
                <w:rFonts w:ascii="Arial" w:hAnsi="Arial" w:cs="Arial"/>
                <w:sz w:val="20"/>
                <w:szCs w:val="20"/>
              </w:rPr>
            </w:pPr>
          </w:p>
        </w:tc>
        <w:tc>
          <w:tcPr>
            <w:tcW w:w="938" w:type="pct"/>
            <w:tcBorders>
              <w:top w:val="nil"/>
              <w:left w:val="nil"/>
              <w:bottom w:val="double" w:sz="6" w:space="2" w:color="auto"/>
              <w:right w:val="nil"/>
            </w:tcBorders>
            <w:vAlign w:val="bottom"/>
          </w:tcPr>
          <w:p w14:paraId="5FC5B82C" w14:textId="77777777" w:rsidR="006C7C0A" w:rsidRPr="005F3D85" w:rsidRDefault="006C7C0A" w:rsidP="00757614">
            <w:pPr>
              <w:spacing w:after="0" w:line="240" w:lineRule="auto"/>
              <w:jc w:val="both"/>
              <w:rPr>
                <w:rFonts w:ascii="Arial" w:hAnsi="Arial" w:cs="Arial"/>
                <w:sz w:val="20"/>
                <w:szCs w:val="20"/>
              </w:rPr>
            </w:pPr>
          </w:p>
        </w:tc>
      </w:tr>
      <w:tr w:rsidR="006C7C0A" w:rsidRPr="005F3D85" w14:paraId="64713C40" w14:textId="77777777" w:rsidTr="00AE7B98">
        <w:trPr>
          <w:trHeight w:hRule="exact" w:val="122"/>
        </w:trPr>
        <w:tc>
          <w:tcPr>
            <w:tcW w:w="1242" w:type="pct"/>
            <w:tcBorders>
              <w:top w:val="nil"/>
              <w:left w:val="nil"/>
              <w:bottom w:val="nil"/>
              <w:right w:val="nil"/>
            </w:tcBorders>
            <w:vAlign w:val="bottom"/>
          </w:tcPr>
          <w:p w14:paraId="4C47F993" w14:textId="77777777" w:rsidR="006C7C0A" w:rsidRPr="005F3D85" w:rsidRDefault="006C7C0A" w:rsidP="00757614">
            <w:pPr>
              <w:spacing w:after="0" w:line="240" w:lineRule="auto"/>
              <w:jc w:val="both"/>
              <w:rPr>
                <w:rFonts w:ascii="Arial" w:hAnsi="Arial" w:cs="Arial"/>
                <w:sz w:val="20"/>
                <w:szCs w:val="20"/>
              </w:rPr>
            </w:pPr>
          </w:p>
        </w:tc>
        <w:tc>
          <w:tcPr>
            <w:tcW w:w="981" w:type="pct"/>
            <w:tcBorders>
              <w:top w:val="nil"/>
              <w:left w:val="nil"/>
              <w:bottom w:val="nil"/>
              <w:right w:val="nil"/>
            </w:tcBorders>
            <w:vAlign w:val="bottom"/>
          </w:tcPr>
          <w:p w14:paraId="003E6408" w14:textId="77777777" w:rsidR="006C7C0A" w:rsidRPr="005F3D85" w:rsidRDefault="006C7C0A" w:rsidP="00757614">
            <w:pPr>
              <w:spacing w:after="0" w:line="240" w:lineRule="auto"/>
              <w:jc w:val="both"/>
              <w:rPr>
                <w:rFonts w:ascii="Arial" w:hAnsi="Arial" w:cs="Arial"/>
                <w:sz w:val="20"/>
                <w:szCs w:val="20"/>
              </w:rPr>
            </w:pPr>
          </w:p>
        </w:tc>
        <w:tc>
          <w:tcPr>
            <w:tcW w:w="899" w:type="pct"/>
            <w:tcBorders>
              <w:top w:val="nil"/>
              <w:left w:val="nil"/>
              <w:bottom w:val="nil"/>
              <w:right w:val="nil"/>
            </w:tcBorders>
            <w:vAlign w:val="bottom"/>
          </w:tcPr>
          <w:p w14:paraId="74904265" w14:textId="77777777" w:rsidR="006C7C0A" w:rsidRPr="005F3D85" w:rsidRDefault="006C7C0A" w:rsidP="00757614">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5D50256F" w14:textId="77777777" w:rsidR="006C7C0A" w:rsidRPr="005F3D85" w:rsidRDefault="006C7C0A" w:rsidP="00757614">
            <w:pPr>
              <w:spacing w:after="0" w:line="240" w:lineRule="auto"/>
              <w:jc w:val="both"/>
              <w:rPr>
                <w:rFonts w:ascii="Arial" w:hAnsi="Arial" w:cs="Arial"/>
                <w:sz w:val="20"/>
                <w:szCs w:val="20"/>
              </w:rPr>
            </w:pPr>
          </w:p>
        </w:tc>
        <w:tc>
          <w:tcPr>
            <w:tcW w:w="938" w:type="pct"/>
            <w:tcBorders>
              <w:top w:val="nil"/>
              <w:left w:val="nil"/>
              <w:bottom w:val="nil"/>
              <w:right w:val="nil"/>
            </w:tcBorders>
            <w:vAlign w:val="bottom"/>
          </w:tcPr>
          <w:p w14:paraId="66B90E94" w14:textId="77777777" w:rsidR="006C7C0A" w:rsidRPr="005F3D85" w:rsidRDefault="006C7C0A" w:rsidP="00757614">
            <w:pPr>
              <w:spacing w:after="0" w:line="240" w:lineRule="auto"/>
              <w:jc w:val="both"/>
              <w:rPr>
                <w:rFonts w:ascii="Arial" w:hAnsi="Arial" w:cs="Arial"/>
                <w:sz w:val="20"/>
                <w:szCs w:val="20"/>
              </w:rPr>
            </w:pPr>
          </w:p>
        </w:tc>
      </w:tr>
      <w:tr w:rsidR="006C7C0A" w:rsidRPr="005F3D85" w14:paraId="118D21BD" w14:textId="77777777" w:rsidTr="00AE7B98">
        <w:trPr>
          <w:trHeight w:val="204"/>
        </w:trPr>
        <w:tc>
          <w:tcPr>
            <w:tcW w:w="2223" w:type="pct"/>
            <w:gridSpan w:val="2"/>
            <w:tcBorders>
              <w:top w:val="nil"/>
              <w:left w:val="nil"/>
              <w:bottom w:val="single" w:sz="6" w:space="0" w:color="auto"/>
              <w:right w:val="nil"/>
            </w:tcBorders>
            <w:vAlign w:val="bottom"/>
          </w:tcPr>
          <w:p w14:paraId="67214016" w14:textId="590004E1" w:rsidR="006C7C0A" w:rsidRPr="005F3D85" w:rsidRDefault="00E41115" w:rsidP="00757614">
            <w:pPr>
              <w:spacing w:after="0" w:line="240" w:lineRule="auto"/>
              <w:jc w:val="both"/>
              <w:rPr>
                <w:rFonts w:ascii="Arial" w:hAnsi="Arial" w:cs="Arial"/>
                <w:sz w:val="20"/>
                <w:szCs w:val="20"/>
              </w:rPr>
            </w:pPr>
            <w:r w:rsidRPr="005F3D85">
              <w:rPr>
                <w:rFonts w:ascii="Arial" w:hAnsi="Arial" w:cs="Arial"/>
                <w:sz w:val="20"/>
                <w:szCs w:val="20"/>
              </w:rPr>
              <w:t>Method</w:t>
            </w:r>
          </w:p>
        </w:tc>
        <w:tc>
          <w:tcPr>
            <w:tcW w:w="899" w:type="pct"/>
            <w:tcBorders>
              <w:top w:val="nil"/>
              <w:left w:val="nil"/>
              <w:bottom w:val="single" w:sz="6" w:space="0" w:color="auto"/>
              <w:right w:val="nil"/>
            </w:tcBorders>
            <w:vAlign w:val="bottom"/>
          </w:tcPr>
          <w:p w14:paraId="01A467DC" w14:textId="77777777" w:rsidR="006C7C0A" w:rsidRPr="005F3D85" w:rsidRDefault="006C7C0A" w:rsidP="00757614">
            <w:pPr>
              <w:spacing w:after="0" w:line="240" w:lineRule="auto"/>
              <w:jc w:val="both"/>
              <w:rPr>
                <w:rFonts w:ascii="Arial" w:hAnsi="Arial" w:cs="Arial"/>
                <w:sz w:val="20"/>
                <w:szCs w:val="20"/>
              </w:rPr>
            </w:pPr>
          </w:p>
        </w:tc>
        <w:tc>
          <w:tcPr>
            <w:tcW w:w="940" w:type="pct"/>
            <w:tcBorders>
              <w:top w:val="nil"/>
              <w:left w:val="nil"/>
              <w:bottom w:val="single" w:sz="6" w:space="0" w:color="auto"/>
              <w:right w:val="nil"/>
            </w:tcBorders>
            <w:vAlign w:val="bottom"/>
          </w:tcPr>
          <w:p w14:paraId="1B310A90" w14:textId="74089B82" w:rsidR="006C7C0A" w:rsidRPr="005F3D85" w:rsidRDefault="00E41115" w:rsidP="00757614">
            <w:pPr>
              <w:spacing w:after="0" w:line="240" w:lineRule="auto"/>
              <w:jc w:val="both"/>
              <w:rPr>
                <w:rFonts w:ascii="Arial" w:hAnsi="Arial" w:cs="Arial"/>
                <w:sz w:val="20"/>
                <w:szCs w:val="20"/>
              </w:rPr>
            </w:pPr>
            <w:r w:rsidRPr="005F3D85">
              <w:rPr>
                <w:rFonts w:ascii="Arial" w:hAnsi="Arial" w:cs="Arial"/>
                <w:sz w:val="20"/>
                <w:szCs w:val="20"/>
              </w:rPr>
              <w:t>Statistic</w:t>
            </w:r>
          </w:p>
        </w:tc>
        <w:tc>
          <w:tcPr>
            <w:tcW w:w="938" w:type="pct"/>
            <w:tcBorders>
              <w:top w:val="nil"/>
              <w:left w:val="nil"/>
              <w:bottom w:val="single" w:sz="6" w:space="0" w:color="auto"/>
              <w:right w:val="nil"/>
            </w:tcBorders>
            <w:vAlign w:val="bottom"/>
          </w:tcPr>
          <w:p w14:paraId="436EED29" w14:textId="633B3B46" w:rsidR="006C7C0A" w:rsidRPr="005F3D85" w:rsidRDefault="00E41115" w:rsidP="00757614">
            <w:pPr>
              <w:spacing w:after="0" w:line="240" w:lineRule="auto"/>
              <w:jc w:val="both"/>
              <w:rPr>
                <w:rFonts w:ascii="Arial" w:hAnsi="Arial" w:cs="Arial"/>
                <w:sz w:val="20"/>
                <w:szCs w:val="20"/>
              </w:rPr>
            </w:pPr>
            <w:r w:rsidRPr="005F3D85">
              <w:rPr>
                <w:rFonts w:ascii="Arial" w:hAnsi="Arial" w:cs="Arial"/>
                <w:sz w:val="20"/>
                <w:szCs w:val="20"/>
              </w:rPr>
              <w:t>Prob.**</w:t>
            </w:r>
          </w:p>
        </w:tc>
      </w:tr>
      <w:tr w:rsidR="006C7C0A" w:rsidRPr="005F3D85" w14:paraId="651AAAEA" w14:textId="77777777" w:rsidTr="00AE7B98">
        <w:trPr>
          <w:trHeight w:val="204"/>
        </w:trPr>
        <w:tc>
          <w:tcPr>
            <w:tcW w:w="3122" w:type="pct"/>
            <w:gridSpan w:val="3"/>
            <w:tcBorders>
              <w:top w:val="nil"/>
              <w:left w:val="nil"/>
              <w:bottom w:val="nil"/>
              <w:right w:val="nil"/>
            </w:tcBorders>
            <w:vAlign w:val="bottom"/>
          </w:tcPr>
          <w:p w14:paraId="6E5417BD" w14:textId="2FA7AC25" w:rsidR="006C7C0A" w:rsidRPr="005F3D85" w:rsidRDefault="00E41115" w:rsidP="00757614">
            <w:pPr>
              <w:spacing w:after="0" w:line="240" w:lineRule="auto"/>
              <w:jc w:val="both"/>
              <w:rPr>
                <w:rFonts w:ascii="Arial" w:hAnsi="Arial" w:cs="Arial"/>
                <w:sz w:val="20"/>
                <w:szCs w:val="20"/>
              </w:rPr>
            </w:pPr>
            <w:r w:rsidRPr="005F3D85">
              <w:rPr>
                <w:rFonts w:ascii="Arial" w:hAnsi="Arial" w:cs="Arial"/>
                <w:sz w:val="20"/>
                <w:szCs w:val="20"/>
              </w:rPr>
              <w:t>ADF - Fisher Chi-square</w:t>
            </w:r>
          </w:p>
        </w:tc>
        <w:tc>
          <w:tcPr>
            <w:tcW w:w="940" w:type="pct"/>
            <w:tcBorders>
              <w:top w:val="nil"/>
              <w:left w:val="nil"/>
              <w:bottom w:val="nil"/>
              <w:right w:val="nil"/>
            </w:tcBorders>
            <w:vAlign w:val="bottom"/>
          </w:tcPr>
          <w:p w14:paraId="2B1FA3D3" w14:textId="77777777" w:rsidR="006C7C0A" w:rsidRPr="005F3D85" w:rsidRDefault="006C7C0A" w:rsidP="00757614">
            <w:pPr>
              <w:spacing w:after="0" w:line="240" w:lineRule="auto"/>
              <w:jc w:val="both"/>
              <w:rPr>
                <w:rFonts w:ascii="Arial" w:hAnsi="Arial" w:cs="Arial"/>
                <w:sz w:val="20"/>
                <w:szCs w:val="20"/>
              </w:rPr>
            </w:pPr>
            <w:r w:rsidRPr="005F3D85">
              <w:rPr>
                <w:rFonts w:ascii="Arial" w:hAnsi="Arial" w:cs="Arial"/>
                <w:sz w:val="20"/>
                <w:szCs w:val="20"/>
              </w:rPr>
              <w:t> 68.0193</w:t>
            </w:r>
          </w:p>
        </w:tc>
        <w:tc>
          <w:tcPr>
            <w:tcW w:w="938" w:type="pct"/>
            <w:tcBorders>
              <w:top w:val="nil"/>
              <w:left w:val="nil"/>
              <w:bottom w:val="nil"/>
              <w:right w:val="nil"/>
            </w:tcBorders>
            <w:vAlign w:val="bottom"/>
          </w:tcPr>
          <w:p w14:paraId="77DC9A5C" w14:textId="77777777" w:rsidR="006C7C0A" w:rsidRPr="005F3D85" w:rsidRDefault="006C7C0A" w:rsidP="00757614">
            <w:pPr>
              <w:spacing w:after="0" w:line="240" w:lineRule="auto"/>
              <w:jc w:val="both"/>
              <w:rPr>
                <w:rFonts w:ascii="Arial" w:hAnsi="Arial" w:cs="Arial"/>
                <w:sz w:val="20"/>
                <w:szCs w:val="20"/>
              </w:rPr>
            </w:pPr>
            <w:r w:rsidRPr="005F3D85">
              <w:rPr>
                <w:rFonts w:ascii="Arial" w:hAnsi="Arial" w:cs="Arial"/>
                <w:sz w:val="20"/>
                <w:szCs w:val="20"/>
              </w:rPr>
              <w:t> 0.0067</w:t>
            </w:r>
          </w:p>
        </w:tc>
      </w:tr>
      <w:tr w:rsidR="006C7C0A" w:rsidRPr="005F3D85" w14:paraId="6A894109" w14:textId="77777777" w:rsidTr="00AE7B98">
        <w:trPr>
          <w:trHeight w:val="204"/>
        </w:trPr>
        <w:tc>
          <w:tcPr>
            <w:tcW w:w="3122" w:type="pct"/>
            <w:gridSpan w:val="3"/>
            <w:tcBorders>
              <w:top w:val="nil"/>
              <w:left w:val="nil"/>
              <w:bottom w:val="nil"/>
              <w:right w:val="nil"/>
            </w:tcBorders>
            <w:vAlign w:val="bottom"/>
          </w:tcPr>
          <w:p w14:paraId="4B1BB7A3" w14:textId="058C07A7" w:rsidR="006C7C0A" w:rsidRPr="005F3D85" w:rsidRDefault="00E41115" w:rsidP="00757614">
            <w:pPr>
              <w:spacing w:after="0" w:line="240" w:lineRule="auto"/>
              <w:jc w:val="both"/>
              <w:rPr>
                <w:rFonts w:ascii="Arial" w:hAnsi="Arial" w:cs="Arial"/>
                <w:sz w:val="20"/>
                <w:szCs w:val="20"/>
              </w:rPr>
            </w:pPr>
            <w:r w:rsidRPr="005F3D85">
              <w:rPr>
                <w:rFonts w:ascii="Arial" w:hAnsi="Arial" w:cs="Arial"/>
                <w:sz w:val="20"/>
                <w:szCs w:val="20"/>
              </w:rPr>
              <w:t>ADF - Choi Z-stat</w:t>
            </w:r>
          </w:p>
        </w:tc>
        <w:tc>
          <w:tcPr>
            <w:tcW w:w="940" w:type="pct"/>
            <w:tcBorders>
              <w:top w:val="nil"/>
              <w:left w:val="nil"/>
              <w:bottom w:val="nil"/>
              <w:right w:val="nil"/>
            </w:tcBorders>
            <w:vAlign w:val="bottom"/>
          </w:tcPr>
          <w:p w14:paraId="0160BFE3" w14:textId="77777777" w:rsidR="006C7C0A" w:rsidRPr="005F3D85" w:rsidRDefault="006C7C0A" w:rsidP="00757614">
            <w:pPr>
              <w:spacing w:after="0" w:line="240" w:lineRule="auto"/>
              <w:jc w:val="both"/>
              <w:rPr>
                <w:rFonts w:ascii="Arial" w:hAnsi="Arial" w:cs="Arial"/>
                <w:sz w:val="20"/>
                <w:szCs w:val="20"/>
              </w:rPr>
            </w:pPr>
            <w:r w:rsidRPr="005F3D85">
              <w:rPr>
                <w:rFonts w:ascii="Arial" w:hAnsi="Arial" w:cs="Arial"/>
                <w:sz w:val="20"/>
                <w:szCs w:val="20"/>
              </w:rPr>
              <w:t>-3.32354</w:t>
            </w:r>
          </w:p>
        </w:tc>
        <w:tc>
          <w:tcPr>
            <w:tcW w:w="938" w:type="pct"/>
            <w:tcBorders>
              <w:top w:val="nil"/>
              <w:left w:val="nil"/>
              <w:bottom w:val="nil"/>
              <w:right w:val="nil"/>
            </w:tcBorders>
            <w:vAlign w:val="bottom"/>
          </w:tcPr>
          <w:p w14:paraId="77AE0881" w14:textId="77777777" w:rsidR="006C7C0A" w:rsidRPr="005F3D85" w:rsidRDefault="006C7C0A" w:rsidP="00757614">
            <w:pPr>
              <w:spacing w:after="0" w:line="240" w:lineRule="auto"/>
              <w:jc w:val="both"/>
              <w:rPr>
                <w:rFonts w:ascii="Arial" w:hAnsi="Arial" w:cs="Arial"/>
                <w:sz w:val="20"/>
                <w:szCs w:val="20"/>
              </w:rPr>
            </w:pPr>
            <w:r w:rsidRPr="005F3D85">
              <w:rPr>
                <w:rFonts w:ascii="Arial" w:hAnsi="Arial" w:cs="Arial"/>
                <w:sz w:val="20"/>
                <w:szCs w:val="20"/>
              </w:rPr>
              <w:t xml:space="preserve"> 0.0026</w:t>
            </w:r>
          </w:p>
        </w:tc>
      </w:tr>
      <w:tr w:rsidR="006C7C0A" w:rsidRPr="005F3D85" w14:paraId="637CD6C2" w14:textId="77777777" w:rsidTr="00AE7B98">
        <w:trPr>
          <w:trHeight w:hRule="exact" w:val="81"/>
        </w:trPr>
        <w:tc>
          <w:tcPr>
            <w:tcW w:w="1242" w:type="pct"/>
            <w:tcBorders>
              <w:top w:val="nil"/>
              <w:left w:val="nil"/>
              <w:bottom w:val="double" w:sz="6" w:space="2" w:color="auto"/>
              <w:right w:val="nil"/>
            </w:tcBorders>
            <w:vAlign w:val="bottom"/>
          </w:tcPr>
          <w:p w14:paraId="2E90EB89" w14:textId="77777777" w:rsidR="006C7C0A" w:rsidRPr="005F3D85" w:rsidRDefault="006C7C0A" w:rsidP="00757614">
            <w:pPr>
              <w:spacing w:after="0" w:line="240" w:lineRule="auto"/>
              <w:jc w:val="both"/>
              <w:rPr>
                <w:rFonts w:ascii="Arial" w:hAnsi="Arial" w:cs="Arial"/>
                <w:sz w:val="20"/>
                <w:szCs w:val="20"/>
              </w:rPr>
            </w:pPr>
          </w:p>
        </w:tc>
        <w:tc>
          <w:tcPr>
            <w:tcW w:w="981" w:type="pct"/>
            <w:tcBorders>
              <w:top w:val="nil"/>
              <w:left w:val="nil"/>
              <w:bottom w:val="double" w:sz="6" w:space="2" w:color="auto"/>
              <w:right w:val="nil"/>
            </w:tcBorders>
            <w:vAlign w:val="bottom"/>
          </w:tcPr>
          <w:p w14:paraId="08A8A484" w14:textId="77777777" w:rsidR="006C7C0A" w:rsidRPr="005F3D85" w:rsidRDefault="006C7C0A" w:rsidP="00757614">
            <w:pPr>
              <w:spacing w:after="0" w:line="240" w:lineRule="auto"/>
              <w:jc w:val="both"/>
              <w:rPr>
                <w:rFonts w:ascii="Arial" w:hAnsi="Arial" w:cs="Arial"/>
                <w:sz w:val="20"/>
                <w:szCs w:val="20"/>
              </w:rPr>
            </w:pPr>
          </w:p>
        </w:tc>
        <w:tc>
          <w:tcPr>
            <w:tcW w:w="899" w:type="pct"/>
            <w:tcBorders>
              <w:top w:val="nil"/>
              <w:left w:val="nil"/>
              <w:bottom w:val="double" w:sz="6" w:space="2" w:color="auto"/>
              <w:right w:val="nil"/>
            </w:tcBorders>
            <w:vAlign w:val="bottom"/>
          </w:tcPr>
          <w:p w14:paraId="48BC02D7" w14:textId="77777777" w:rsidR="006C7C0A" w:rsidRPr="005F3D85" w:rsidRDefault="006C7C0A" w:rsidP="00757614">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6FC5D65B" w14:textId="77777777" w:rsidR="006C7C0A" w:rsidRPr="005F3D85" w:rsidRDefault="006C7C0A" w:rsidP="00757614">
            <w:pPr>
              <w:spacing w:after="0" w:line="240" w:lineRule="auto"/>
              <w:jc w:val="both"/>
              <w:rPr>
                <w:rFonts w:ascii="Arial" w:hAnsi="Arial" w:cs="Arial"/>
                <w:sz w:val="20"/>
                <w:szCs w:val="20"/>
              </w:rPr>
            </w:pPr>
          </w:p>
        </w:tc>
        <w:tc>
          <w:tcPr>
            <w:tcW w:w="938" w:type="pct"/>
            <w:tcBorders>
              <w:top w:val="nil"/>
              <w:left w:val="nil"/>
              <w:bottom w:val="double" w:sz="6" w:space="2" w:color="auto"/>
              <w:right w:val="nil"/>
            </w:tcBorders>
            <w:vAlign w:val="bottom"/>
          </w:tcPr>
          <w:p w14:paraId="13BD629D" w14:textId="77777777" w:rsidR="006C7C0A" w:rsidRPr="005F3D85" w:rsidRDefault="006C7C0A" w:rsidP="00757614">
            <w:pPr>
              <w:spacing w:after="0" w:line="240" w:lineRule="auto"/>
              <w:jc w:val="both"/>
              <w:rPr>
                <w:rFonts w:ascii="Arial" w:hAnsi="Arial" w:cs="Arial"/>
                <w:sz w:val="20"/>
                <w:szCs w:val="20"/>
              </w:rPr>
            </w:pPr>
          </w:p>
        </w:tc>
      </w:tr>
      <w:tr w:rsidR="006C7C0A" w:rsidRPr="005F3D85" w14:paraId="082E9D9F" w14:textId="77777777" w:rsidTr="00AE7B98">
        <w:trPr>
          <w:trHeight w:hRule="exact" w:val="122"/>
        </w:trPr>
        <w:tc>
          <w:tcPr>
            <w:tcW w:w="1242" w:type="pct"/>
            <w:tcBorders>
              <w:top w:val="nil"/>
              <w:left w:val="nil"/>
              <w:bottom w:val="nil"/>
              <w:right w:val="nil"/>
            </w:tcBorders>
            <w:vAlign w:val="bottom"/>
          </w:tcPr>
          <w:p w14:paraId="4747B362" w14:textId="77777777" w:rsidR="006C7C0A" w:rsidRPr="005F3D85" w:rsidRDefault="006C7C0A" w:rsidP="00757614">
            <w:pPr>
              <w:spacing w:after="0" w:line="240" w:lineRule="auto"/>
              <w:jc w:val="both"/>
              <w:rPr>
                <w:rFonts w:ascii="Arial" w:hAnsi="Arial" w:cs="Arial"/>
                <w:sz w:val="20"/>
                <w:szCs w:val="20"/>
              </w:rPr>
            </w:pPr>
          </w:p>
        </w:tc>
        <w:tc>
          <w:tcPr>
            <w:tcW w:w="981" w:type="pct"/>
            <w:tcBorders>
              <w:top w:val="nil"/>
              <w:left w:val="nil"/>
              <w:bottom w:val="nil"/>
              <w:right w:val="nil"/>
            </w:tcBorders>
            <w:vAlign w:val="bottom"/>
          </w:tcPr>
          <w:p w14:paraId="24B98774" w14:textId="77777777" w:rsidR="006C7C0A" w:rsidRPr="005F3D85" w:rsidRDefault="006C7C0A" w:rsidP="00757614">
            <w:pPr>
              <w:spacing w:after="0" w:line="240" w:lineRule="auto"/>
              <w:jc w:val="both"/>
              <w:rPr>
                <w:rFonts w:ascii="Arial" w:hAnsi="Arial" w:cs="Arial"/>
                <w:sz w:val="20"/>
                <w:szCs w:val="20"/>
              </w:rPr>
            </w:pPr>
          </w:p>
        </w:tc>
        <w:tc>
          <w:tcPr>
            <w:tcW w:w="899" w:type="pct"/>
            <w:tcBorders>
              <w:top w:val="nil"/>
              <w:left w:val="nil"/>
              <w:bottom w:val="nil"/>
              <w:right w:val="nil"/>
            </w:tcBorders>
            <w:vAlign w:val="bottom"/>
          </w:tcPr>
          <w:p w14:paraId="7C8E203D" w14:textId="77777777" w:rsidR="006C7C0A" w:rsidRPr="005F3D85" w:rsidRDefault="006C7C0A" w:rsidP="00757614">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7377BFB7" w14:textId="77777777" w:rsidR="006C7C0A" w:rsidRPr="005F3D85" w:rsidRDefault="006C7C0A" w:rsidP="00757614">
            <w:pPr>
              <w:spacing w:after="0" w:line="240" w:lineRule="auto"/>
              <w:jc w:val="both"/>
              <w:rPr>
                <w:rFonts w:ascii="Arial" w:hAnsi="Arial" w:cs="Arial"/>
                <w:sz w:val="20"/>
                <w:szCs w:val="20"/>
              </w:rPr>
            </w:pPr>
          </w:p>
        </w:tc>
        <w:tc>
          <w:tcPr>
            <w:tcW w:w="938" w:type="pct"/>
            <w:tcBorders>
              <w:top w:val="nil"/>
              <w:left w:val="nil"/>
              <w:bottom w:val="nil"/>
              <w:right w:val="nil"/>
            </w:tcBorders>
            <w:vAlign w:val="bottom"/>
          </w:tcPr>
          <w:p w14:paraId="5402BD8D" w14:textId="77777777" w:rsidR="006C7C0A" w:rsidRPr="005F3D85" w:rsidRDefault="006C7C0A" w:rsidP="00757614">
            <w:pPr>
              <w:spacing w:after="0" w:line="240" w:lineRule="auto"/>
              <w:jc w:val="both"/>
              <w:rPr>
                <w:rFonts w:ascii="Arial" w:hAnsi="Arial" w:cs="Arial"/>
                <w:sz w:val="20"/>
                <w:szCs w:val="20"/>
              </w:rPr>
            </w:pPr>
          </w:p>
        </w:tc>
      </w:tr>
    </w:tbl>
    <w:p w14:paraId="0C9E05DF" w14:textId="7E12A844" w:rsidR="0004251A" w:rsidRPr="005F3D85" w:rsidRDefault="0004251A" w:rsidP="00757614">
      <w:pPr>
        <w:spacing w:after="0" w:line="240" w:lineRule="auto"/>
        <w:jc w:val="both"/>
        <w:rPr>
          <w:rFonts w:ascii="Arial" w:hAnsi="Arial" w:cs="Arial"/>
          <w:sz w:val="20"/>
          <w:szCs w:val="20"/>
        </w:rPr>
      </w:pPr>
      <w:r w:rsidRPr="005F3D85">
        <w:rPr>
          <w:rFonts w:ascii="Arial" w:hAnsi="Arial" w:cs="Arial"/>
          <w:sz w:val="20"/>
          <w:szCs w:val="20"/>
        </w:rPr>
        <w:t>Source: Data Analysis (2025)</w:t>
      </w:r>
    </w:p>
    <w:p w14:paraId="083C1BCC" w14:textId="77777777" w:rsidR="004707D5" w:rsidRPr="005F3D85" w:rsidRDefault="004707D5" w:rsidP="004707D5">
      <w:pPr>
        <w:spacing w:after="0" w:line="240" w:lineRule="auto"/>
        <w:jc w:val="both"/>
        <w:rPr>
          <w:rFonts w:ascii="Arial" w:hAnsi="Arial" w:cs="Arial"/>
          <w:sz w:val="20"/>
          <w:szCs w:val="20"/>
        </w:rPr>
      </w:pPr>
    </w:p>
    <w:p w14:paraId="61DAB46E" w14:textId="77777777" w:rsidR="004707D5" w:rsidRPr="005F3D85" w:rsidRDefault="004707D5" w:rsidP="004707D5">
      <w:pPr>
        <w:spacing w:after="0" w:line="240" w:lineRule="auto"/>
        <w:jc w:val="both"/>
        <w:rPr>
          <w:rFonts w:ascii="Arial" w:hAnsi="Arial" w:cs="Arial"/>
          <w:sz w:val="20"/>
          <w:szCs w:val="20"/>
        </w:rPr>
      </w:pPr>
      <w:r w:rsidRPr="005F3D85">
        <w:rPr>
          <w:rFonts w:ascii="Arial" w:hAnsi="Arial" w:cs="Arial"/>
          <w:sz w:val="20"/>
          <w:szCs w:val="20"/>
        </w:rPr>
        <w:t>The results of unit root tests conducted on the CRM series present compelling evidence regarding the stationarity of the variable within the panel dataset. While several tests were applied, like Levin, Lin &amp; Chu, Im, Pesaran and Shin, ADF-Fisher Chi-square, and PP-Fisher Chi-square, to ensure robustness in assessing the stochastic properties of the series. The null hypothesis for all these tests is that the series contains a unit root, implying non-stationarity. Beginning with the Levin, Lin &amp; Chu (LLC) test, the test statistic is -26.5140 with a p-value of 0.0000, indicating a strong rejection of the null hypothesis of a common unit root process. This result signifies that the CRM variable is stationary across all cross-sections under the assumption of a shared autoregressive parameter (Levin et al., 2002). The Im, Pesaran, and Shin test, which assumes individual unit root processes across the cross-sections, also supports stationarity with a statistic of -5.07086 and a p-value of 0.0000. Thus, this result affirms the appropriateness of using the CRM variable in level form in subsequent panel regression models without the need for differencing or transformation, and it enhances the reliability of causal inferences drawn from panel data estimations. However, the result of the stationarity of the variable is also justified in the first difference.</w:t>
      </w:r>
    </w:p>
    <w:p w14:paraId="6A1D7BD6" w14:textId="75FA3EEB" w:rsidR="004707D5" w:rsidRPr="005F3D85" w:rsidRDefault="004707D5" w:rsidP="004707D5">
      <w:pPr>
        <w:spacing w:after="0" w:line="240" w:lineRule="auto"/>
        <w:jc w:val="both"/>
        <w:rPr>
          <w:rFonts w:ascii="Arial" w:hAnsi="Arial" w:cs="Arial"/>
          <w:sz w:val="20"/>
          <w:szCs w:val="20"/>
        </w:rPr>
      </w:pPr>
      <w:r w:rsidRPr="005F3D85">
        <w:rPr>
          <w:rFonts w:ascii="Arial" w:hAnsi="Arial" w:cs="Arial"/>
          <w:sz w:val="20"/>
          <w:szCs w:val="20"/>
        </w:rPr>
        <w:t>On the side of the first difference, the Augmented Dickey-Fuller (ADF) Fisher Chi-square method was employed using 28 cross-sectional units and a balanced panel data set comprising 84 observations from the years 2020 to 2024. The test was carried out without the inclusion of any exogenous variables such as individual intercepts or trends. Lag length selection was done automatically based on the Schwarz Information Criterion (SIC), and the result was a lag length of zero for all units. The panel-level results provide strong evidence of stationarity in the differenced CRM series. The ADF Fisher Chi-square statistic is 186.210 with a p-value of 0.0000, and the ADF Choi Z-statistic is -8.22149, also associated with a p-value of 0.0000. These statistically significant values at the 1% level lead to the rejection of the null hypothesis of a unit root, suggesting that the first-differenced CRM variable is stationary across the panel. Therefore, the findings confirm that the CRM variable is integrated of order one, which is denoted as I (1), meaning it is non-stationary in level form but becomes stationary after first differencing. This result is critical for further panel data econometric modeling and suggests that any analysis involving CRM should use the differenced form to maintain the robustness of the results.</w:t>
      </w:r>
    </w:p>
    <w:p w14:paraId="7E4A1703" w14:textId="7E99CE8C" w:rsidR="00C1468F" w:rsidRPr="005F3D85" w:rsidRDefault="004707D5" w:rsidP="004707D5">
      <w:pPr>
        <w:spacing w:after="0" w:line="240" w:lineRule="auto"/>
        <w:jc w:val="both"/>
        <w:rPr>
          <w:rFonts w:ascii="Arial" w:hAnsi="Arial" w:cs="Arial"/>
          <w:sz w:val="20"/>
          <w:szCs w:val="20"/>
        </w:rPr>
      </w:pPr>
      <w:r w:rsidRPr="005F3D85">
        <w:rPr>
          <w:rFonts w:ascii="Arial" w:hAnsi="Arial" w:cs="Arial"/>
          <w:sz w:val="20"/>
          <w:szCs w:val="20"/>
        </w:rPr>
        <w:t>The ADF Fisher Chi-square statistic revealed a value of 58.4103 on the SP with an associated p-value of 0.0475. Since the p-value is less than the 5% significance level, the study rejects the null hypothesis of a unit root at the panel level. This indicates that the SP series is stationary in the panel context, meaning the data do not exhibit persistent stochastic trends and revert to a long-run mean over time across the panel units.</w:t>
      </w:r>
      <w:r w:rsidR="00F85315" w:rsidRPr="005F3D85">
        <w:rPr>
          <w:rFonts w:ascii="Arial" w:hAnsi="Arial" w:cs="Arial"/>
          <w:sz w:val="20"/>
          <w:szCs w:val="20"/>
        </w:rPr>
        <w:t xml:space="preserve"> </w:t>
      </w:r>
      <w:r w:rsidRPr="005F3D85">
        <w:rPr>
          <w:rFonts w:ascii="Arial" w:hAnsi="Arial" w:cs="Arial"/>
          <w:sz w:val="20"/>
          <w:szCs w:val="20"/>
        </w:rPr>
        <w:t>For the differencing side, the panel unit root results show an ADF Fisher Chi-square statistic of 68.0193 with a corresponding p-value of 0.0067, which is statistically significant at the 1% level. This result provides sufficient evidence to reject the null hypothesis of a unit root, suggesting that the share price variable is stationary in its first-differenced form. The Choi Z-statistic also supports the result of the significance of the Fisher test as adequate. The combined panel-level result confirms that the SP variable becomes stationary after first differencing, implying it is integrated of order one, I (1). This finding ensures that subsequent econometric modeling involving SP enhances robustness and reliability of study's inferences.</w:t>
      </w:r>
    </w:p>
    <w:p w14:paraId="48902E0B" w14:textId="77777777" w:rsidR="00A73B5B" w:rsidRPr="005F3D85" w:rsidRDefault="00A73B5B" w:rsidP="004707D5">
      <w:pPr>
        <w:spacing w:after="0" w:line="240" w:lineRule="auto"/>
        <w:jc w:val="both"/>
        <w:rPr>
          <w:rFonts w:ascii="Arial" w:hAnsi="Arial" w:cs="Arial"/>
          <w:sz w:val="24"/>
          <w:szCs w:val="24"/>
        </w:rPr>
      </w:pPr>
    </w:p>
    <w:p w14:paraId="4A6BED7D" w14:textId="5C878763" w:rsidR="00A73B5B" w:rsidRPr="00392AAA" w:rsidRDefault="00A73B5B" w:rsidP="00A73B5B">
      <w:pPr>
        <w:spacing w:line="240" w:lineRule="auto"/>
        <w:jc w:val="both"/>
        <w:rPr>
          <w:rFonts w:ascii="Arial" w:hAnsi="Arial" w:cs="Arial"/>
          <w:b/>
          <w:sz w:val="20"/>
          <w:szCs w:val="20"/>
        </w:rPr>
      </w:pPr>
      <w:r w:rsidRPr="00392AAA">
        <w:rPr>
          <w:rFonts w:ascii="Arial" w:hAnsi="Arial" w:cs="Arial"/>
          <w:b/>
          <w:sz w:val="20"/>
          <w:szCs w:val="20"/>
        </w:rPr>
        <w:lastRenderedPageBreak/>
        <w:t xml:space="preserve">Table </w:t>
      </w:r>
      <w:r w:rsidR="00763C00" w:rsidRPr="00392AAA">
        <w:rPr>
          <w:rFonts w:ascii="Arial" w:hAnsi="Arial" w:cs="Arial"/>
          <w:b/>
          <w:sz w:val="20"/>
          <w:szCs w:val="20"/>
        </w:rPr>
        <w:t>8</w:t>
      </w:r>
      <w:r w:rsidRPr="00392AAA">
        <w:rPr>
          <w:rFonts w:ascii="Arial" w:hAnsi="Arial" w:cs="Arial"/>
          <w:b/>
          <w:sz w:val="20"/>
          <w:szCs w:val="20"/>
        </w:rPr>
        <w:t>. Results from the Method of Estimation</w:t>
      </w:r>
    </w:p>
    <w:tbl>
      <w:tblPr>
        <w:tblStyle w:val="TableGrid"/>
        <w:tblW w:w="0" w:type="auto"/>
        <w:tblLayout w:type="fixed"/>
        <w:tblLook w:val="04A0" w:firstRow="1" w:lastRow="0" w:firstColumn="1" w:lastColumn="0" w:noHBand="0" w:noVBand="1"/>
      </w:tblPr>
      <w:tblGrid>
        <w:gridCol w:w="1129"/>
        <w:gridCol w:w="993"/>
        <w:gridCol w:w="850"/>
        <w:gridCol w:w="1134"/>
        <w:gridCol w:w="992"/>
        <w:gridCol w:w="1134"/>
        <w:gridCol w:w="851"/>
        <w:gridCol w:w="1134"/>
        <w:gridCol w:w="850"/>
      </w:tblGrid>
      <w:tr w:rsidR="00A73B5B" w:rsidRPr="005F3D85" w14:paraId="0DBEC6F3" w14:textId="77777777" w:rsidTr="0066178A">
        <w:tc>
          <w:tcPr>
            <w:tcW w:w="1129" w:type="dxa"/>
            <w:tcBorders>
              <w:bottom w:val="nil"/>
            </w:tcBorders>
          </w:tcPr>
          <w:p w14:paraId="2982C2EE" w14:textId="77777777" w:rsidR="00A73B5B" w:rsidRPr="005F3D85" w:rsidRDefault="00A73B5B" w:rsidP="00061BA5">
            <w:pPr>
              <w:jc w:val="center"/>
              <w:rPr>
                <w:rFonts w:ascii="Arial" w:hAnsi="Arial" w:cs="Arial"/>
                <w:b/>
                <w:sz w:val="20"/>
                <w:szCs w:val="20"/>
              </w:rPr>
            </w:pPr>
            <w:r w:rsidRPr="005F3D85">
              <w:rPr>
                <w:rFonts w:ascii="Arial" w:hAnsi="Arial" w:cs="Arial"/>
                <w:b/>
                <w:sz w:val="20"/>
                <w:szCs w:val="20"/>
              </w:rPr>
              <w:t>Variables</w:t>
            </w:r>
          </w:p>
        </w:tc>
        <w:tc>
          <w:tcPr>
            <w:tcW w:w="7938" w:type="dxa"/>
            <w:gridSpan w:val="8"/>
            <w:tcBorders>
              <w:bottom w:val="nil"/>
            </w:tcBorders>
          </w:tcPr>
          <w:p w14:paraId="187CFB3B" w14:textId="4E9828D3" w:rsidR="00A73B5B" w:rsidRPr="005F3D85" w:rsidRDefault="00A73B5B" w:rsidP="003F4846">
            <w:pPr>
              <w:jc w:val="center"/>
              <w:rPr>
                <w:rFonts w:ascii="Arial" w:hAnsi="Arial" w:cs="Arial"/>
                <w:b/>
                <w:sz w:val="20"/>
                <w:szCs w:val="20"/>
              </w:rPr>
            </w:pPr>
            <w:r w:rsidRPr="005F3D85">
              <w:rPr>
                <w:rFonts w:ascii="Arial" w:hAnsi="Arial" w:cs="Arial"/>
                <w:b/>
                <w:sz w:val="20"/>
                <w:szCs w:val="20"/>
              </w:rPr>
              <w:t xml:space="preserve">Methods </w:t>
            </w:r>
            <w:r w:rsidR="003F4846" w:rsidRPr="005F3D85">
              <w:rPr>
                <w:rFonts w:ascii="Arial" w:hAnsi="Arial" w:cs="Arial"/>
                <w:b/>
                <w:sz w:val="20"/>
                <w:szCs w:val="20"/>
              </w:rPr>
              <w:t>of</w:t>
            </w:r>
            <w:r w:rsidRPr="005F3D85">
              <w:rPr>
                <w:rFonts w:ascii="Arial" w:hAnsi="Arial" w:cs="Arial"/>
                <w:b/>
                <w:sz w:val="20"/>
                <w:szCs w:val="20"/>
              </w:rPr>
              <w:t xml:space="preserve"> Estimation</w:t>
            </w:r>
          </w:p>
        </w:tc>
      </w:tr>
      <w:tr w:rsidR="00A73B5B" w:rsidRPr="005F3D85" w14:paraId="67F47694" w14:textId="77777777" w:rsidTr="0066178A">
        <w:trPr>
          <w:trHeight w:val="392"/>
        </w:trPr>
        <w:tc>
          <w:tcPr>
            <w:tcW w:w="1129" w:type="dxa"/>
            <w:vMerge w:val="restart"/>
            <w:tcBorders>
              <w:top w:val="nil"/>
              <w:left w:val="single" w:sz="4" w:space="0" w:color="auto"/>
              <w:bottom w:val="nil"/>
              <w:right w:val="nil"/>
            </w:tcBorders>
          </w:tcPr>
          <w:p w14:paraId="6AE31AD0" w14:textId="77777777" w:rsidR="00A73B5B" w:rsidRPr="005F3D85" w:rsidRDefault="00A73B5B" w:rsidP="00061BA5">
            <w:pPr>
              <w:jc w:val="both"/>
              <w:rPr>
                <w:rFonts w:ascii="Arial" w:hAnsi="Arial" w:cs="Arial"/>
                <w:sz w:val="20"/>
                <w:szCs w:val="20"/>
              </w:rPr>
            </w:pPr>
          </w:p>
        </w:tc>
        <w:tc>
          <w:tcPr>
            <w:tcW w:w="1843" w:type="dxa"/>
            <w:gridSpan w:val="2"/>
            <w:tcBorders>
              <w:top w:val="nil"/>
              <w:left w:val="nil"/>
              <w:bottom w:val="nil"/>
              <w:right w:val="nil"/>
            </w:tcBorders>
          </w:tcPr>
          <w:p w14:paraId="258882CB"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Pooled OLS</w:t>
            </w:r>
          </w:p>
        </w:tc>
        <w:tc>
          <w:tcPr>
            <w:tcW w:w="2126" w:type="dxa"/>
            <w:gridSpan w:val="2"/>
            <w:tcBorders>
              <w:top w:val="nil"/>
              <w:left w:val="nil"/>
              <w:bottom w:val="nil"/>
              <w:right w:val="nil"/>
            </w:tcBorders>
          </w:tcPr>
          <w:p w14:paraId="010E6883"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Fixed Effect</w:t>
            </w:r>
          </w:p>
        </w:tc>
        <w:tc>
          <w:tcPr>
            <w:tcW w:w="1985" w:type="dxa"/>
            <w:gridSpan w:val="2"/>
            <w:tcBorders>
              <w:top w:val="nil"/>
              <w:left w:val="nil"/>
              <w:bottom w:val="nil"/>
              <w:right w:val="nil"/>
            </w:tcBorders>
          </w:tcPr>
          <w:p w14:paraId="20CC1700"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Hausman Fixed Effect</w:t>
            </w:r>
          </w:p>
        </w:tc>
        <w:tc>
          <w:tcPr>
            <w:tcW w:w="1984" w:type="dxa"/>
            <w:gridSpan w:val="2"/>
            <w:tcBorders>
              <w:top w:val="nil"/>
              <w:left w:val="nil"/>
              <w:bottom w:val="nil"/>
              <w:right w:val="single" w:sz="4" w:space="0" w:color="auto"/>
            </w:tcBorders>
          </w:tcPr>
          <w:p w14:paraId="509B1153"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Random Effect</w:t>
            </w:r>
          </w:p>
        </w:tc>
      </w:tr>
      <w:tr w:rsidR="00C551EE" w:rsidRPr="005F3D85" w14:paraId="1F6F3373" w14:textId="77777777" w:rsidTr="00337E1D">
        <w:trPr>
          <w:trHeight w:val="416"/>
        </w:trPr>
        <w:tc>
          <w:tcPr>
            <w:tcW w:w="1129" w:type="dxa"/>
            <w:vMerge/>
            <w:tcBorders>
              <w:top w:val="nil"/>
              <w:left w:val="single" w:sz="4" w:space="0" w:color="auto"/>
              <w:bottom w:val="single" w:sz="4" w:space="0" w:color="auto"/>
              <w:right w:val="nil"/>
            </w:tcBorders>
          </w:tcPr>
          <w:p w14:paraId="2875F09F" w14:textId="77777777" w:rsidR="00A73B5B" w:rsidRPr="005F3D85" w:rsidRDefault="00A73B5B" w:rsidP="00061BA5">
            <w:pPr>
              <w:jc w:val="both"/>
              <w:rPr>
                <w:rFonts w:ascii="Arial" w:hAnsi="Arial" w:cs="Arial"/>
                <w:sz w:val="20"/>
                <w:szCs w:val="20"/>
              </w:rPr>
            </w:pPr>
          </w:p>
        </w:tc>
        <w:tc>
          <w:tcPr>
            <w:tcW w:w="993" w:type="dxa"/>
            <w:tcBorders>
              <w:top w:val="nil"/>
              <w:left w:val="nil"/>
              <w:bottom w:val="single" w:sz="4" w:space="0" w:color="auto"/>
              <w:right w:val="nil"/>
            </w:tcBorders>
          </w:tcPr>
          <w:p w14:paraId="4F9CC9F8"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Coef.</w:t>
            </w:r>
          </w:p>
        </w:tc>
        <w:tc>
          <w:tcPr>
            <w:tcW w:w="850" w:type="dxa"/>
            <w:tcBorders>
              <w:top w:val="nil"/>
              <w:left w:val="nil"/>
              <w:bottom w:val="single" w:sz="4" w:space="0" w:color="auto"/>
              <w:right w:val="nil"/>
            </w:tcBorders>
          </w:tcPr>
          <w:p w14:paraId="4CFD1080"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p-value</w:t>
            </w:r>
          </w:p>
        </w:tc>
        <w:tc>
          <w:tcPr>
            <w:tcW w:w="1134" w:type="dxa"/>
            <w:tcBorders>
              <w:top w:val="nil"/>
              <w:left w:val="nil"/>
              <w:bottom w:val="single" w:sz="4" w:space="0" w:color="auto"/>
              <w:right w:val="nil"/>
            </w:tcBorders>
          </w:tcPr>
          <w:p w14:paraId="236EDD70"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Coef.</w:t>
            </w:r>
          </w:p>
        </w:tc>
        <w:tc>
          <w:tcPr>
            <w:tcW w:w="992" w:type="dxa"/>
            <w:tcBorders>
              <w:top w:val="nil"/>
              <w:left w:val="nil"/>
              <w:bottom w:val="single" w:sz="4" w:space="0" w:color="auto"/>
              <w:right w:val="nil"/>
            </w:tcBorders>
          </w:tcPr>
          <w:p w14:paraId="6F31CA7B"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p-value</w:t>
            </w:r>
          </w:p>
        </w:tc>
        <w:tc>
          <w:tcPr>
            <w:tcW w:w="1134" w:type="dxa"/>
            <w:tcBorders>
              <w:top w:val="nil"/>
              <w:left w:val="nil"/>
              <w:bottom w:val="single" w:sz="4" w:space="0" w:color="auto"/>
              <w:right w:val="nil"/>
            </w:tcBorders>
          </w:tcPr>
          <w:p w14:paraId="6431C4BF"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Coef.</w:t>
            </w:r>
          </w:p>
        </w:tc>
        <w:tc>
          <w:tcPr>
            <w:tcW w:w="851" w:type="dxa"/>
            <w:tcBorders>
              <w:top w:val="nil"/>
              <w:left w:val="nil"/>
              <w:bottom w:val="single" w:sz="4" w:space="0" w:color="auto"/>
              <w:right w:val="nil"/>
            </w:tcBorders>
          </w:tcPr>
          <w:p w14:paraId="6455BB29"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p-value</w:t>
            </w:r>
          </w:p>
        </w:tc>
        <w:tc>
          <w:tcPr>
            <w:tcW w:w="1134" w:type="dxa"/>
            <w:tcBorders>
              <w:top w:val="nil"/>
              <w:left w:val="nil"/>
              <w:bottom w:val="single" w:sz="4" w:space="0" w:color="auto"/>
              <w:right w:val="nil"/>
            </w:tcBorders>
          </w:tcPr>
          <w:p w14:paraId="47FA03B0"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Coef.</w:t>
            </w:r>
          </w:p>
        </w:tc>
        <w:tc>
          <w:tcPr>
            <w:tcW w:w="850" w:type="dxa"/>
            <w:tcBorders>
              <w:top w:val="nil"/>
              <w:left w:val="nil"/>
              <w:bottom w:val="single" w:sz="4" w:space="0" w:color="auto"/>
              <w:right w:val="single" w:sz="4" w:space="0" w:color="auto"/>
            </w:tcBorders>
          </w:tcPr>
          <w:p w14:paraId="5D6C5113"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p-value</w:t>
            </w:r>
          </w:p>
        </w:tc>
      </w:tr>
      <w:tr w:rsidR="00C551EE" w:rsidRPr="005F3D85" w14:paraId="3389F1E7" w14:textId="77777777" w:rsidTr="00337E1D">
        <w:trPr>
          <w:trHeight w:val="324"/>
        </w:trPr>
        <w:tc>
          <w:tcPr>
            <w:tcW w:w="1129" w:type="dxa"/>
            <w:tcBorders>
              <w:top w:val="single" w:sz="4" w:space="0" w:color="auto"/>
              <w:left w:val="single" w:sz="4" w:space="0" w:color="auto"/>
              <w:bottom w:val="nil"/>
              <w:right w:val="nil"/>
            </w:tcBorders>
          </w:tcPr>
          <w:p w14:paraId="08158BB0" w14:textId="570A1EC3" w:rsidR="00FB3B15" w:rsidRPr="005F3D85" w:rsidRDefault="00FB3B15" w:rsidP="00FB3B15">
            <w:pPr>
              <w:jc w:val="both"/>
              <w:rPr>
                <w:rFonts w:ascii="Arial" w:hAnsi="Arial" w:cs="Arial"/>
                <w:sz w:val="20"/>
                <w:szCs w:val="20"/>
              </w:rPr>
            </w:pPr>
            <w:r w:rsidRPr="005F3D85">
              <w:rPr>
                <w:rFonts w:ascii="Arial" w:hAnsi="Arial" w:cs="Arial"/>
                <w:sz w:val="20"/>
                <w:szCs w:val="20"/>
              </w:rPr>
              <w:t>CRM</w:t>
            </w:r>
          </w:p>
        </w:tc>
        <w:tc>
          <w:tcPr>
            <w:tcW w:w="993" w:type="dxa"/>
            <w:tcBorders>
              <w:top w:val="single" w:sz="4" w:space="0" w:color="auto"/>
              <w:left w:val="nil"/>
              <w:bottom w:val="nil"/>
              <w:right w:val="nil"/>
            </w:tcBorders>
          </w:tcPr>
          <w:p w14:paraId="3D9C884C" w14:textId="5E55139E" w:rsidR="00FB3B15" w:rsidRPr="005F3D85" w:rsidRDefault="00FB3B15" w:rsidP="00FB3B15">
            <w:pPr>
              <w:jc w:val="both"/>
              <w:rPr>
                <w:rFonts w:ascii="Arial" w:hAnsi="Arial" w:cs="Arial"/>
                <w:sz w:val="20"/>
                <w:szCs w:val="20"/>
              </w:rPr>
            </w:pPr>
            <w:r w:rsidRPr="005F3D85">
              <w:rPr>
                <w:rFonts w:ascii="Arial" w:hAnsi="Arial" w:cs="Arial"/>
                <w:sz w:val="20"/>
                <w:szCs w:val="20"/>
              </w:rPr>
              <w:t>-3.1114</w:t>
            </w:r>
          </w:p>
        </w:tc>
        <w:tc>
          <w:tcPr>
            <w:tcW w:w="850" w:type="dxa"/>
            <w:tcBorders>
              <w:top w:val="single" w:sz="4" w:space="0" w:color="auto"/>
              <w:left w:val="nil"/>
              <w:bottom w:val="nil"/>
              <w:right w:val="nil"/>
            </w:tcBorders>
          </w:tcPr>
          <w:p w14:paraId="3925AFA4" w14:textId="73D59956" w:rsidR="00FB3B15" w:rsidRPr="005F3D85" w:rsidRDefault="00FB3B15" w:rsidP="00FB3B15">
            <w:pPr>
              <w:jc w:val="both"/>
              <w:rPr>
                <w:rFonts w:ascii="Arial" w:hAnsi="Arial" w:cs="Arial"/>
                <w:sz w:val="20"/>
                <w:szCs w:val="20"/>
              </w:rPr>
            </w:pPr>
            <w:r w:rsidRPr="005F3D85">
              <w:rPr>
                <w:rFonts w:ascii="Arial" w:hAnsi="Arial" w:cs="Arial"/>
                <w:sz w:val="20"/>
                <w:szCs w:val="20"/>
              </w:rPr>
              <w:t>0.3076</w:t>
            </w:r>
          </w:p>
        </w:tc>
        <w:tc>
          <w:tcPr>
            <w:tcW w:w="1134" w:type="dxa"/>
            <w:tcBorders>
              <w:top w:val="single" w:sz="4" w:space="0" w:color="auto"/>
              <w:left w:val="nil"/>
              <w:bottom w:val="nil"/>
              <w:right w:val="nil"/>
            </w:tcBorders>
          </w:tcPr>
          <w:p w14:paraId="75CFECDC" w14:textId="56D75012" w:rsidR="00FB3B15" w:rsidRPr="005F3D85" w:rsidRDefault="00FB3B15" w:rsidP="00FB3B15">
            <w:pPr>
              <w:jc w:val="both"/>
              <w:rPr>
                <w:rFonts w:ascii="Arial" w:hAnsi="Arial" w:cs="Arial"/>
                <w:sz w:val="20"/>
                <w:szCs w:val="20"/>
              </w:rPr>
            </w:pPr>
            <w:r w:rsidRPr="005F3D85">
              <w:rPr>
                <w:rFonts w:ascii="Arial" w:hAnsi="Arial" w:cs="Arial"/>
                <w:sz w:val="20"/>
                <w:szCs w:val="20"/>
              </w:rPr>
              <w:t>3.04E-16</w:t>
            </w:r>
          </w:p>
        </w:tc>
        <w:tc>
          <w:tcPr>
            <w:tcW w:w="992" w:type="dxa"/>
            <w:tcBorders>
              <w:top w:val="single" w:sz="4" w:space="0" w:color="auto"/>
              <w:left w:val="nil"/>
              <w:bottom w:val="nil"/>
              <w:right w:val="nil"/>
            </w:tcBorders>
          </w:tcPr>
          <w:p w14:paraId="44BE9C4C" w14:textId="43181298" w:rsidR="00FB3B15" w:rsidRPr="005F3D85" w:rsidRDefault="00FB3B15" w:rsidP="00FB3B15">
            <w:pPr>
              <w:jc w:val="both"/>
              <w:rPr>
                <w:rFonts w:ascii="Arial" w:hAnsi="Arial" w:cs="Arial"/>
                <w:sz w:val="20"/>
                <w:szCs w:val="20"/>
              </w:rPr>
            </w:pPr>
            <w:r w:rsidRPr="005F3D85">
              <w:rPr>
                <w:rFonts w:ascii="Arial" w:hAnsi="Arial" w:cs="Arial"/>
                <w:sz w:val="20"/>
                <w:szCs w:val="20"/>
              </w:rPr>
              <w:t>0.0436</w:t>
            </w:r>
          </w:p>
        </w:tc>
        <w:tc>
          <w:tcPr>
            <w:tcW w:w="1134" w:type="dxa"/>
            <w:tcBorders>
              <w:top w:val="single" w:sz="4" w:space="0" w:color="auto"/>
              <w:left w:val="nil"/>
              <w:bottom w:val="nil"/>
              <w:right w:val="nil"/>
            </w:tcBorders>
          </w:tcPr>
          <w:p w14:paraId="5F7EEA7F" w14:textId="1C5E7916" w:rsidR="00FB3B15" w:rsidRPr="005F3D85" w:rsidRDefault="00C551EE" w:rsidP="00FB3B15">
            <w:pPr>
              <w:jc w:val="both"/>
              <w:rPr>
                <w:rFonts w:ascii="Arial" w:hAnsi="Arial" w:cs="Arial"/>
                <w:sz w:val="20"/>
                <w:szCs w:val="20"/>
              </w:rPr>
            </w:pPr>
            <w:r w:rsidRPr="005F3D85">
              <w:rPr>
                <w:rFonts w:ascii="Arial" w:hAnsi="Arial" w:cs="Arial"/>
                <w:sz w:val="20"/>
                <w:szCs w:val="20"/>
              </w:rPr>
              <w:t>-3.11E-14</w:t>
            </w:r>
          </w:p>
        </w:tc>
        <w:tc>
          <w:tcPr>
            <w:tcW w:w="851" w:type="dxa"/>
            <w:tcBorders>
              <w:top w:val="single" w:sz="4" w:space="0" w:color="auto"/>
              <w:left w:val="nil"/>
              <w:bottom w:val="nil"/>
              <w:right w:val="nil"/>
            </w:tcBorders>
          </w:tcPr>
          <w:p w14:paraId="22F6F0A4" w14:textId="63A85C5E" w:rsidR="00FB3B15" w:rsidRPr="005F3D85" w:rsidRDefault="00C551EE" w:rsidP="00FB3B15">
            <w:pPr>
              <w:jc w:val="both"/>
              <w:rPr>
                <w:rFonts w:ascii="Arial" w:hAnsi="Arial" w:cs="Arial"/>
                <w:sz w:val="20"/>
                <w:szCs w:val="20"/>
              </w:rPr>
            </w:pPr>
            <w:r w:rsidRPr="005F3D85">
              <w:rPr>
                <w:rFonts w:ascii="Arial" w:hAnsi="Arial" w:cs="Arial"/>
                <w:sz w:val="20"/>
                <w:szCs w:val="20"/>
              </w:rPr>
              <w:t>0.0076</w:t>
            </w:r>
          </w:p>
        </w:tc>
        <w:tc>
          <w:tcPr>
            <w:tcW w:w="1134" w:type="dxa"/>
            <w:tcBorders>
              <w:top w:val="single" w:sz="4" w:space="0" w:color="auto"/>
              <w:left w:val="nil"/>
              <w:bottom w:val="nil"/>
              <w:right w:val="nil"/>
            </w:tcBorders>
          </w:tcPr>
          <w:p w14:paraId="767A89A2" w14:textId="04FA8A6F" w:rsidR="00FB3B15" w:rsidRPr="005F3D85" w:rsidRDefault="00FB3B15" w:rsidP="00FB3B15">
            <w:pPr>
              <w:jc w:val="both"/>
              <w:rPr>
                <w:rFonts w:ascii="Arial" w:hAnsi="Arial" w:cs="Arial"/>
                <w:sz w:val="20"/>
                <w:szCs w:val="20"/>
              </w:rPr>
            </w:pPr>
            <w:r w:rsidRPr="005F3D85">
              <w:rPr>
                <w:rFonts w:ascii="Arial" w:hAnsi="Arial" w:cs="Arial"/>
                <w:sz w:val="20"/>
                <w:szCs w:val="20"/>
              </w:rPr>
              <w:t>-3.55E-14</w:t>
            </w:r>
          </w:p>
        </w:tc>
        <w:tc>
          <w:tcPr>
            <w:tcW w:w="850" w:type="dxa"/>
            <w:tcBorders>
              <w:top w:val="single" w:sz="4" w:space="0" w:color="auto"/>
              <w:left w:val="nil"/>
              <w:bottom w:val="nil"/>
              <w:right w:val="single" w:sz="4" w:space="0" w:color="auto"/>
            </w:tcBorders>
          </w:tcPr>
          <w:p w14:paraId="55FF05AF" w14:textId="41F59932" w:rsidR="00FB3B15" w:rsidRPr="005F3D85" w:rsidRDefault="00FB3B15" w:rsidP="00FB3B15">
            <w:pPr>
              <w:jc w:val="both"/>
              <w:rPr>
                <w:rFonts w:ascii="Arial" w:hAnsi="Arial" w:cs="Arial"/>
                <w:sz w:val="20"/>
                <w:szCs w:val="20"/>
              </w:rPr>
            </w:pPr>
            <w:r w:rsidRPr="005F3D85">
              <w:rPr>
                <w:rFonts w:ascii="Arial" w:hAnsi="Arial" w:cs="Arial"/>
                <w:sz w:val="20"/>
                <w:szCs w:val="20"/>
              </w:rPr>
              <w:t>0.0032</w:t>
            </w:r>
          </w:p>
        </w:tc>
      </w:tr>
      <w:tr w:rsidR="00C551EE" w:rsidRPr="005F3D85" w14:paraId="590D2D6B" w14:textId="77777777" w:rsidTr="00337E1D">
        <w:trPr>
          <w:trHeight w:val="324"/>
        </w:trPr>
        <w:tc>
          <w:tcPr>
            <w:tcW w:w="1129" w:type="dxa"/>
            <w:tcBorders>
              <w:top w:val="nil"/>
              <w:left w:val="single" w:sz="4" w:space="0" w:color="auto"/>
              <w:bottom w:val="nil"/>
              <w:right w:val="nil"/>
            </w:tcBorders>
          </w:tcPr>
          <w:p w14:paraId="4E11F0E7" w14:textId="6D85B97A" w:rsidR="00FB3B15" w:rsidRPr="005F3D85" w:rsidRDefault="00FB3B15" w:rsidP="00FB3B15">
            <w:pPr>
              <w:jc w:val="both"/>
              <w:rPr>
                <w:rFonts w:ascii="Arial" w:hAnsi="Arial" w:cs="Arial"/>
                <w:sz w:val="20"/>
                <w:szCs w:val="20"/>
              </w:rPr>
            </w:pPr>
            <w:r w:rsidRPr="005F3D85">
              <w:rPr>
                <w:rFonts w:ascii="Arial" w:hAnsi="Arial" w:cs="Arial"/>
                <w:sz w:val="20"/>
                <w:szCs w:val="20"/>
              </w:rPr>
              <w:t>SP</w:t>
            </w:r>
          </w:p>
        </w:tc>
        <w:tc>
          <w:tcPr>
            <w:tcW w:w="993" w:type="dxa"/>
            <w:tcBorders>
              <w:top w:val="nil"/>
              <w:left w:val="nil"/>
              <w:bottom w:val="nil"/>
              <w:right w:val="nil"/>
            </w:tcBorders>
          </w:tcPr>
          <w:p w14:paraId="21539A6C" w14:textId="70D044FA" w:rsidR="00FB3B15" w:rsidRPr="005F3D85" w:rsidRDefault="00FB3B15" w:rsidP="00FB3B15">
            <w:pPr>
              <w:jc w:val="both"/>
              <w:rPr>
                <w:rFonts w:ascii="Arial" w:hAnsi="Arial" w:cs="Arial"/>
                <w:sz w:val="20"/>
                <w:szCs w:val="20"/>
              </w:rPr>
            </w:pPr>
            <w:r w:rsidRPr="005F3D85">
              <w:rPr>
                <w:rFonts w:ascii="Arial" w:hAnsi="Arial" w:cs="Arial"/>
                <w:sz w:val="20"/>
                <w:szCs w:val="20"/>
              </w:rPr>
              <w:t>-1.2305</w:t>
            </w:r>
          </w:p>
        </w:tc>
        <w:tc>
          <w:tcPr>
            <w:tcW w:w="850" w:type="dxa"/>
            <w:tcBorders>
              <w:top w:val="nil"/>
              <w:left w:val="nil"/>
              <w:bottom w:val="nil"/>
              <w:right w:val="nil"/>
            </w:tcBorders>
          </w:tcPr>
          <w:p w14:paraId="1F57E62C" w14:textId="1685834D" w:rsidR="00FB3B15" w:rsidRPr="005F3D85" w:rsidRDefault="00FB3B15" w:rsidP="00FB3B15">
            <w:pPr>
              <w:jc w:val="both"/>
              <w:rPr>
                <w:rFonts w:ascii="Arial" w:hAnsi="Arial" w:cs="Arial"/>
                <w:sz w:val="20"/>
                <w:szCs w:val="20"/>
              </w:rPr>
            </w:pPr>
            <w:r w:rsidRPr="005F3D85">
              <w:rPr>
                <w:rFonts w:ascii="Arial" w:hAnsi="Arial" w:cs="Arial"/>
                <w:sz w:val="20"/>
                <w:szCs w:val="20"/>
              </w:rPr>
              <w:t>0.1573</w:t>
            </w:r>
          </w:p>
        </w:tc>
        <w:tc>
          <w:tcPr>
            <w:tcW w:w="1134" w:type="dxa"/>
            <w:tcBorders>
              <w:top w:val="nil"/>
              <w:left w:val="nil"/>
              <w:bottom w:val="nil"/>
              <w:right w:val="nil"/>
            </w:tcBorders>
          </w:tcPr>
          <w:p w14:paraId="0A25DDA9" w14:textId="1D279F61" w:rsidR="00FB3B15" w:rsidRPr="005F3D85" w:rsidRDefault="00FB3B15" w:rsidP="00FB3B15">
            <w:pPr>
              <w:jc w:val="both"/>
              <w:rPr>
                <w:rFonts w:ascii="Arial" w:hAnsi="Arial" w:cs="Arial"/>
                <w:sz w:val="20"/>
                <w:szCs w:val="20"/>
              </w:rPr>
            </w:pPr>
            <w:r w:rsidRPr="005F3D85">
              <w:rPr>
                <w:rFonts w:ascii="Arial" w:hAnsi="Arial" w:cs="Arial"/>
                <w:sz w:val="20"/>
                <w:szCs w:val="20"/>
              </w:rPr>
              <w:t>2.26E-05</w:t>
            </w:r>
          </w:p>
        </w:tc>
        <w:tc>
          <w:tcPr>
            <w:tcW w:w="992" w:type="dxa"/>
            <w:tcBorders>
              <w:top w:val="nil"/>
              <w:left w:val="nil"/>
              <w:bottom w:val="nil"/>
              <w:right w:val="nil"/>
            </w:tcBorders>
          </w:tcPr>
          <w:p w14:paraId="69B54E4B" w14:textId="0D8E3A59" w:rsidR="00FB3B15" w:rsidRPr="005F3D85" w:rsidRDefault="00FB3B15" w:rsidP="00FB3B15">
            <w:pPr>
              <w:jc w:val="both"/>
              <w:rPr>
                <w:rFonts w:ascii="Arial" w:hAnsi="Arial" w:cs="Arial"/>
                <w:sz w:val="20"/>
                <w:szCs w:val="20"/>
              </w:rPr>
            </w:pPr>
            <w:r w:rsidRPr="005F3D85">
              <w:rPr>
                <w:rFonts w:ascii="Arial" w:hAnsi="Arial" w:cs="Arial"/>
                <w:sz w:val="20"/>
                <w:szCs w:val="20"/>
              </w:rPr>
              <w:t>0.6648</w:t>
            </w:r>
          </w:p>
        </w:tc>
        <w:tc>
          <w:tcPr>
            <w:tcW w:w="1134" w:type="dxa"/>
            <w:tcBorders>
              <w:top w:val="nil"/>
              <w:left w:val="nil"/>
              <w:bottom w:val="nil"/>
              <w:right w:val="nil"/>
            </w:tcBorders>
          </w:tcPr>
          <w:p w14:paraId="6B899266" w14:textId="2FFF1429" w:rsidR="00FB3B15" w:rsidRPr="005F3D85" w:rsidRDefault="00C551EE" w:rsidP="00FB3B15">
            <w:pPr>
              <w:jc w:val="both"/>
              <w:rPr>
                <w:rFonts w:ascii="Arial" w:hAnsi="Arial" w:cs="Arial"/>
                <w:sz w:val="20"/>
                <w:szCs w:val="20"/>
              </w:rPr>
            </w:pPr>
            <w:r w:rsidRPr="005F3D85">
              <w:rPr>
                <w:rFonts w:ascii="Arial" w:hAnsi="Arial" w:cs="Arial"/>
                <w:sz w:val="20"/>
                <w:szCs w:val="20"/>
              </w:rPr>
              <w:t>-1.23E-05</w:t>
            </w:r>
          </w:p>
        </w:tc>
        <w:tc>
          <w:tcPr>
            <w:tcW w:w="851" w:type="dxa"/>
            <w:tcBorders>
              <w:top w:val="nil"/>
              <w:left w:val="nil"/>
              <w:bottom w:val="nil"/>
              <w:right w:val="nil"/>
            </w:tcBorders>
          </w:tcPr>
          <w:p w14:paraId="17C23643" w14:textId="70E74361" w:rsidR="00FB3B15" w:rsidRPr="005F3D85" w:rsidRDefault="00C551EE" w:rsidP="00FB3B15">
            <w:pPr>
              <w:jc w:val="both"/>
              <w:rPr>
                <w:rFonts w:ascii="Arial" w:hAnsi="Arial" w:cs="Arial"/>
                <w:sz w:val="20"/>
                <w:szCs w:val="20"/>
              </w:rPr>
            </w:pPr>
            <w:r w:rsidRPr="005F3D85">
              <w:rPr>
                <w:rFonts w:ascii="Arial" w:hAnsi="Arial" w:cs="Arial"/>
                <w:sz w:val="20"/>
                <w:szCs w:val="20"/>
              </w:rPr>
              <w:t>0.1573</w:t>
            </w:r>
          </w:p>
        </w:tc>
        <w:tc>
          <w:tcPr>
            <w:tcW w:w="1134" w:type="dxa"/>
            <w:tcBorders>
              <w:top w:val="nil"/>
              <w:left w:val="nil"/>
              <w:bottom w:val="nil"/>
              <w:right w:val="nil"/>
            </w:tcBorders>
          </w:tcPr>
          <w:p w14:paraId="10A86EB3" w14:textId="1A9D7A93" w:rsidR="00FB3B15" w:rsidRPr="005F3D85" w:rsidRDefault="00FB3B15" w:rsidP="00FB3B15">
            <w:pPr>
              <w:jc w:val="both"/>
              <w:rPr>
                <w:rFonts w:ascii="Arial" w:hAnsi="Arial" w:cs="Arial"/>
                <w:sz w:val="20"/>
                <w:szCs w:val="20"/>
              </w:rPr>
            </w:pPr>
            <w:r w:rsidRPr="005F3D85">
              <w:rPr>
                <w:rFonts w:ascii="Arial" w:hAnsi="Arial" w:cs="Arial"/>
                <w:sz w:val="20"/>
                <w:szCs w:val="20"/>
              </w:rPr>
              <w:t>-1.08E-05</w:t>
            </w:r>
          </w:p>
        </w:tc>
        <w:tc>
          <w:tcPr>
            <w:tcW w:w="850" w:type="dxa"/>
            <w:tcBorders>
              <w:top w:val="nil"/>
              <w:left w:val="nil"/>
              <w:bottom w:val="nil"/>
              <w:right w:val="single" w:sz="4" w:space="0" w:color="auto"/>
            </w:tcBorders>
          </w:tcPr>
          <w:p w14:paraId="28AB9202" w14:textId="0602EA3C" w:rsidR="00FB3B15" w:rsidRPr="005F3D85" w:rsidRDefault="00FB3B15" w:rsidP="00FB3B15">
            <w:pPr>
              <w:jc w:val="both"/>
              <w:rPr>
                <w:rFonts w:ascii="Arial" w:hAnsi="Arial" w:cs="Arial"/>
                <w:sz w:val="20"/>
                <w:szCs w:val="20"/>
              </w:rPr>
            </w:pPr>
            <w:r w:rsidRPr="005F3D85">
              <w:rPr>
                <w:rFonts w:ascii="Arial" w:hAnsi="Arial" w:cs="Arial"/>
                <w:sz w:val="20"/>
                <w:szCs w:val="20"/>
              </w:rPr>
              <w:t>0.8211</w:t>
            </w:r>
          </w:p>
        </w:tc>
      </w:tr>
      <w:tr w:rsidR="00C551EE" w:rsidRPr="005F3D85" w14:paraId="7D8E7E1D" w14:textId="77777777" w:rsidTr="00337E1D">
        <w:trPr>
          <w:trHeight w:val="324"/>
        </w:trPr>
        <w:tc>
          <w:tcPr>
            <w:tcW w:w="1129" w:type="dxa"/>
            <w:tcBorders>
              <w:top w:val="nil"/>
              <w:left w:val="single" w:sz="4" w:space="0" w:color="auto"/>
              <w:bottom w:val="single" w:sz="4" w:space="0" w:color="auto"/>
              <w:right w:val="nil"/>
            </w:tcBorders>
          </w:tcPr>
          <w:p w14:paraId="699441C7" w14:textId="77777777" w:rsidR="00FB3B15" w:rsidRPr="005F3D85" w:rsidRDefault="00FB3B15" w:rsidP="00FB3B15">
            <w:pPr>
              <w:jc w:val="both"/>
              <w:rPr>
                <w:rFonts w:ascii="Arial" w:hAnsi="Arial" w:cs="Arial"/>
                <w:sz w:val="20"/>
                <w:szCs w:val="20"/>
              </w:rPr>
            </w:pPr>
            <w:r w:rsidRPr="005F3D85">
              <w:rPr>
                <w:rFonts w:ascii="Arial" w:hAnsi="Arial" w:cs="Arial"/>
                <w:sz w:val="20"/>
                <w:szCs w:val="20"/>
              </w:rPr>
              <w:t>C</w:t>
            </w:r>
          </w:p>
        </w:tc>
        <w:tc>
          <w:tcPr>
            <w:tcW w:w="993" w:type="dxa"/>
            <w:tcBorders>
              <w:top w:val="nil"/>
              <w:left w:val="nil"/>
              <w:bottom w:val="single" w:sz="4" w:space="0" w:color="auto"/>
              <w:right w:val="nil"/>
            </w:tcBorders>
          </w:tcPr>
          <w:p w14:paraId="77AC5C50" w14:textId="55B0DCFE" w:rsidR="00FB3B15" w:rsidRPr="005F3D85" w:rsidRDefault="00FB3B15" w:rsidP="00FB3B15">
            <w:pPr>
              <w:jc w:val="both"/>
              <w:rPr>
                <w:rFonts w:ascii="Arial" w:hAnsi="Arial" w:cs="Arial"/>
                <w:sz w:val="20"/>
                <w:szCs w:val="20"/>
              </w:rPr>
            </w:pPr>
            <w:r w:rsidRPr="005F3D85">
              <w:rPr>
                <w:rFonts w:ascii="Arial" w:hAnsi="Arial" w:cs="Arial"/>
                <w:sz w:val="20"/>
                <w:szCs w:val="20"/>
              </w:rPr>
              <w:t>0.18</w:t>
            </w:r>
            <w:r w:rsidR="005B35DD" w:rsidRPr="005F3D85">
              <w:rPr>
                <w:rFonts w:ascii="Arial" w:hAnsi="Arial" w:cs="Arial"/>
                <w:sz w:val="20"/>
                <w:szCs w:val="20"/>
              </w:rPr>
              <w:t>01</w:t>
            </w:r>
          </w:p>
        </w:tc>
        <w:tc>
          <w:tcPr>
            <w:tcW w:w="850" w:type="dxa"/>
            <w:tcBorders>
              <w:top w:val="nil"/>
              <w:left w:val="nil"/>
              <w:bottom w:val="single" w:sz="4" w:space="0" w:color="auto"/>
              <w:right w:val="nil"/>
            </w:tcBorders>
          </w:tcPr>
          <w:p w14:paraId="2A5E4DEB" w14:textId="0D03093B" w:rsidR="00FB3B15" w:rsidRPr="005F3D85" w:rsidRDefault="00FB3B15" w:rsidP="00FB3B15">
            <w:pPr>
              <w:jc w:val="both"/>
              <w:rPr>
                <w:rFonts w:ascii="Arial" w:hAnsi="Arial" w:cs="Arial"/>
                <w:sz w:val="20"/>
                <w:szCs w:val="20"/>
              </w:rPr>
            </w:pPr>
            <w:r w:rsidRPr="005F3D85">
              <w:rPr>
                <w:rFonts w:ascii="Arial" w:hAnsi="Arial" w:cs="Arial"/>
                <w:sz w:val="20"/>
                <w:szCs w:val="20"/>
              </w:rPr>
              <w:t>0.0000</w:t>
            </w:r>
          </w:p>
        </w:tc>
        <w:tc>
          <w:tcPr>
            <w:tcW w:w="1134" w:type="dxa"/>
            <w:tcBorders>
              <w:top w:val="nil"/>
              <w:left w:val="nil"/>
              <w:bottom w:val="single" w:sz="4" w:space="0" w:color="auto"/>
              <w:right w:val="nil"/>
            </w:tcBorders>
          </w:tcPr>
          <w:p w14:paraId="7EDFF6BA" w14:textId="141A18BE" w:rsidR="00FB3B15" w:rsidRPr="005F3D85" w:rsidRDefault="00FB3B15" w:rsidP="00FB3B15">
            <w:pPr>
              <w:jc w:val="both"/>
              <w:rPr>
                <w:rFonts w:ascii="Arial" w:hAnsi="Arial" w:cs="Arial"/>
                <w:sz w:val="20"/>
                <w:szCs w:val="20"/>
              </w:rPr>
            </w:pPr>
            <w:r w:rsidRPr="005F3D85">
              <w:rPr>
                <w:rFonts w:ascii="Arial" w:hAnsi="Arial" w:cs="Arial"/>
                <w:sz w:val="20"/>
                <w:szCs w:val="20"/>
              </w:rPr>
              <w:t>0.141965</w:t>
            </w:r>
          </w:p>
        </w:tc>
        <w:tc>
          <w:tcPr>
            <w:tcW w:w="992" w:type="dxa"/>
            <w:tcBorders>
              <w:top w:val="nil"/>
              <w:left w:val="nil"/>
              <w:bottom w:val="single" w:sz="4" w:space="0" w:color="auto"/>
              <w:right w:val="nil"/>
            </w:tcBorders>
          </w:tcPr>
          <w:p w14:paraId="71092CE9" w14:textId="246115BE" w:rsidR="00FB3B15" w:rsidRPr="005F3D85" w:rsidRDefault="00FB3B15" w:rsidP="00FB3B15">
            <w:pPr>
              <w:jc w:val="both"/>
              <w:rPr>
                <w:rFonts w:ascii="Arial" w:hAnsi="Arial" w:cs="Arial"/>
                <w:sz w:val="20"/>
                <w:szCs w:val="20"/>
              </w:rPr>
            </w:pPr>
            <w:r w:rsidRPr="005F3D85">
              <w:rPr>
                <w:rFonts w:ascii="Arial" w:hAnsi="Arial" w:cs="Arial"/>
                <w:sz w:val="20"/>
                <w:szCs w:val="20"/>
              </w:rPr>
              <w:t>0.0000</w:t>
            </w:r>
          </w:p>
        </w:tc>
        <w:tc>
          <w:tcPr>
            <w:tcW w:w="1134" w:type="dxa"/>
            <w:tcBorders>
              <w:top w:val="nil"/>
              <w:left w:val="nil"/>
              <w:bottom w:val="single" w:sz="4" w:space="0" w:color="auto"/>
              <w:right w:val="nil"/>
            </w:tcBorders>
          </w:tcPr>
          <w:p w14:paraId="080CE3DA" w14:textId="50D5B425" w:rsidR="00FB3B15" w:rsidRPr="005F3D85" w:rsidRDefault="00C551EE" w:rsidP="00FB3B15">
            <w:pPr>
              <w:jc w:val="both"/>
              <w:rPr>
                <w:rFonts w:ascii="Arial" w:hAnsi="Arial" w:cs="Arial"/>
                <w:sz w:val="20"/>
                <w:szCs w:val="20"/>
              </w:rPr>
            </w:pPr>
            <w:r w:rsidRPr="005F3D85">
              <w:rPr>
                <w:rFonts w:ascii="Arial" w:hAnsi="Arial" w:cs="Arial"/>
                <w:sz w:val="20"/>
                <w:szCs w:val="20"/>
              </w:rPr>
              <w:t>0.187026</w:t>
            </w:r>
          </w:p>
        </w:tc>
        <w:tc>
          <w:tcPr>
            <w:tcW w:w="851" w:type="dxa"/>
            <w:tcBorders>
              <w:top w:val="nil"/>
              <w:left w:val="nil"/>
              <w:bottom w:val="single" w:sz="4" w:space="0" w:color="auto"/>
              <w:right w:val="nil"/>
            </w:tcBorders>
          </w:tcPr>
          <w:p w14:paraId="718DE9C0" w14:textId="2FAEC6F2" w:rsidR="00FB3B15" w:rsidRPr="005F3D85" w:rsidRDefault="00C551EE" w:rsidP="00FB3B15">
            <w:pPr>
              <w:jc w:val="both"/>
              <w:rPr>
                <w:rFonts w:ascii="Arial" w:hAnsi="Arial" w:cs="Arial"/>
                <w:sz w:val="20"/>
                <w:szCs w:val="20"/>
              </w:rPr>
            </w:pPr>
            <w:r w:rsidRPr="005F3D85">
              <w:rPr>
                <w:rFonts w:ascii="Arial" w:hAnsi="Arial" w:cs="Arial"/>
                <w:sz w:val="20"/>
                <w:szCs w:val="20"/>
              </w:rPr>
              <w:t>0.0000</w:t>
            </w:r>
          </w:p>
        </w:tc>
        <w:tc>
          <w:tcPr>
            <w:tcW w:w="1134" w:type="dxa"/>
            <w:tcBorders>
              <w:top w:val="nil"/>
              <w:left w:val="nil"/>
              <w:bottom w:val="single" w:sz="4" w:space="0" w:color="auto"/>
              <w:right w:val="nil"/>
            </w:tcBorders>
          </w:tcPr>
          <w:p w14:paraId="6C4D567F" w14:textId="2674205C" w:rsidR="00FB3B15" w:rsidRPr="005F3D85" w:rsidRDefault="00FB3B15" w:rsidP="00FB3B15">
            <w:pPr>
              <w:jc w:val="both"/>
              <w:rPr>
                <w:rFonts w:ascii="Arial" w:hAnsi="Arial" w:cs="Arial"/>
                <w:sz w:val="20"/>
                <w:szCs w:val="20"/>
              </w:rPr>
            </w:pPr>
            <w:r w:rsidRPr="005F3D85">
              <w:rPr>
                <w:rFonts w:ascii="Arial" w:hAnsi="Arial" w:cs="Arial"/>
                <w:sz w:val="20"/>
                <w:szCs w:val="20"/>
              </w:rPr>
              <w:t>0.195709</w:t>
            </w:r>
          </w:p>
        </w:tc>
        <w:tc>
          <w:tcPr>
            <w:tcW w:w="850" w:type="dxa"/>
            <w:tcBorders>
              <w:top w:val="nil"/>
              <w:left w:val="nil"/>
              <w:bottom w:val="single" w:sz="4" w:space="0" w:color="auto"/>
              <w:right w:val="single" w:sz="4" w:space="0" w:color="auto"/>
            </w:tcBorders>
          </w:tcPr>
          <w:p w14:paraId="6DFC27C4" w14:textId="38E0B5D2" w:rsidR="00FB3B15" w:rsidRPr="005F3D85" w:rsidRDefault="00FB3B15" w:rsidP="00FB3B15">
            <w:pPr>
              <w:jc w:val="both"/>
              <w:rPr>
                <w:rFonts w:ascii="Arial" w:hAnsi="Arial" w:cs="Arial"/>
                <w:sz w:val="20"/>
                <w:szCs w:val="20"/>
              </w:rPr>
            </w:pPr>
            <w:r w:rsidRPr="005F3D85">
              <w:rPr>
                <w:rFonts w:ascii="Arial" w:hAnsi="Arial" w:cs="Arial"/>
                <w:sz w:val="20"/>
                <w:szCs w:val="20"/>
              </w:rPr>
              <w:t>0.0003</w:t>
            </w:r>
          </w:p>
        </w:tc>
      </w:tr>
    </w:tbl>
    <w:p w14:paraId="5E432952" w14:textId="77777777" w:rsidR="00A73B5B" w:rsidRPr="005F3D85" w:rsidRDefault="00A73B5B" w:rsidP="004707D5">
      <w:pPr>
        <w:spacing w:after="0" w:line="240" w:lineRule="auto"/>
        <w:jc w:val="both"/>
        <w:rPr>
          <w:rFonts w:ascii="Arial" w:hAnsi="Arial" w:cs="Arial"/>
          <w:sz w:val="24"/>
          <w:szCs w:val="24"/>
        </w:rPr>
      </w:pPr>
    </w:p>
    <w:p w14:paraId="59F30E62" w14:textId="5DB4FA82" w:rsidR="00C1468F" w:rsidRPr="005F3D85" w:rsidRDefault="00487470" w:rsidP="00331304">
      <w:pPr>
        <w:spacing w:after="0" w:line="240" w:lineRule="auto"/>
        <w:jc w:val="both"/>
        <w:rPr>
          <w:rFonts w:ascii="Arial" w:hAnsi="Arial" w:cs="Arial"/>
          <w:sz w:val="20"/>
          <w:szCs w:val="20"/>
        </w:rPr>
      </w:pPr>
      <w:r w:rsidRPr="005F3D85">
        <w:rPr>
          <w:rFonts w:ascii="Arial" w:hAnsi="Arial" w:cs="Arial"/>
          <w:sz w:val="20"/>
          <w:szCs w:val="20"/>
        </w:rPr>
        <w:t>Starting with, Pooled OLS, t</w:t>
      </w:r>
      <w:r w:rsidR="00331304" w:rsidRPr="005F3D85">
        <w:rPr>
          <w:rFonts w:ascii="Arial" w:hAnsi="Arial" w:cs="Arial"/>
          <w:sz w:val="20"/>
          <w:szCs w:val="20"/>
        </w:rPr>
        <w:t>he model reveals mixed levels of statistical significance among the independent variables that are credit risk management and share price in their respective influence on firm performance. The coefficient for CRM is negative (β =-3.1114), although statistically insignificant (p = 0.3076). This suggests that within the context of Tanzanian firms, improvements in credit risk management do not have a statistically meaningful direct impact on ROE. This finding reflects weak enforcement of risk management standards and the possibility that risk management mechanisms in Tanzania are still developing and not yet robust enough to affect profitability. The result contrasts with studies of King and Iwedi (2023), who emphasized that effective credit risk management enhances financial performance by reducing the likelihood of default. On the side of the SP, the result reveals a negative coefficient of (β = -1.2305) and is statistically insignificant (p = 0.1573). This suggests that fluctuations in share prices do not exercise a measurable direct influence on ROE. The result contradicts much of the mainstream financial theory, which posits that rising share prices signal investor confidence and profitability potential (Fama, 1970). However, in emerging markets such as Tanzania, share price movements are influenced more by speculation and less by firm fundamentals, hence the weak correlation. An empirical study by Mugenda (2023) noted that in less developed financial markets, share price volatility often reflects liquidity constraints and market inefficiencies rather than firm-level performance.</w:t>
      </w:r>
    </w:p>
    <w:p w14:paraId="57EB40D9" w14:textId="2A210F0D" w:rsidR="00C1468F" w:rsidRPr="005F3D85" w:rsidRDefault="00994D49" w:rsidP="00331304">
      <w:pPr>
        <w:spacing w:after="0" w:line="240" w:lineRule="auto"/>
        <w:jc w:val="both"/>
        <w:rPr>
          <w:rFonts w:ascii="Arial" w:hAnsi="Arial" w:cs="Arial"/>
          <w:sz w:val="20"/>
          <w:szCs w:val="20"/>
        </w:rPr>
      </w:pPr>
      <w:r w:rsidRPr="005F3D85">
        <w:rPr>
          <w:rFonts w:ascii="Arial" w:hAnsi="Arial" w:cs="Arial"/>
          <w:sz w:val="20"/>
          <w:szCs w:val="20"/>
        </w:rPr>
        <w:t xml:space="preserve">For Fixed Effects Panel Data Regression Results, </w:t>
      </w:r>
      <w:r w:rsidR="005555FC" w:rsidRPr="005F3D85">
        <w:rPr>
          <w:rFonts w:ascii="Arial" w:hAnsi="Arial" w:cs="Arial"/>
          <w:sz w:val="20"/>
          <w:szCs w:val="20"/>
        </w:rPr>
        <w:t>t</w:t>
      </w:r>
      <w:r w:rsidR="00331304" w:rsidRPr="005F3D85">
        <w:rPr>
          <w:rFonts w:ascii="Arial" w:hAnsi="Arial" w:cs="Arial"/>
          <w:sz w:val="20"/>
          <w:szCs w:val="20"/>
        </w:rPr>
        <w:t>he coefficient for CRM is positive (β = 3.04E-16) and statistically significant at 0.05 level (p = 0.436), suggesting that improved credit risk practices are associated with better firm performance in terms of ROE. The statistical significance implies that efficient management of credit exposures through risk assessments and internal controls positively influences profitability. This aligns with the findings of Temba et al. (2024), which emphasizes that strong credit risk frameworks reduce default rates and enhance firm-level sustainability. Additionally, the empirical studies of Kiptoo et al. (2021) confirm that risk-conscious financial management leads to performance improvements, particularly in volatile markets. For Tanzania, the implication is clear that enhancing credit risk controls within listed firms could serve as a strategic lever to improve return metrics and attract investor confidence. The Share Price (SP) variable also yields a positive coefficient (β = 2.26E-05) but is statistically insignificant (p = 0.6648). This suggests that fluctuations in share prices did not have a direct, meaningful influence on ROE for Tanzanian firms during the study period. The result is inconsistent with classical finance theories, such as those proposed by Fama (1970), which argue that share prices reflect a firm's future earning potential and investor sentiment. However, in emerging markets like Tanzania, share prices may be influenced more by speculation, thin trading volumes, or low information transparency, making them less reliable indicators of firm fundamentals. Empirical research by Gil-Alana et al. (2025) confirms that share price informativeness in underdeveloped capital markets is often limited, thereby weakening the price-performance link. This suggests the need for investor education, improved corporate disclosure, and better trading infrastructure to increase the relevance of market signals.</w:t>
      </w:r>
    </w:p>
    <w:p w14:paraId="2C08B665" w14:textId="00847146" w:rsidR="007368B8" w:rsidRPr="005F3D85" w:rsidRDefault="007368B8" w:rsidP="00331304">
      <w:pPr>
        <w:spacing w:after="0" w:line="240" w:lineRule="auto"/>
        <w:jc w:val="both"/>
        <w:rPr>
          <w:rFonts w:ascii="Arial" w:hAnsi="Arial" w:cs="Arial"/>
          <w:sz w:val="20"/>
          <w:szCs w:val="20"/>
        </w:rPr>
      </w:pPr>
    </w:p>
    <w:p w14:paraId="500DB743" w14:textId="64DE5C1D" w:rsidR="009626A2" w:rsidRPr="005F3D85" w:rsidRDefault="007368B8" w:rsidP="007368B8">
      <w:pPr>
        <w:spacing w:after="0" w:line="240" w:lineRule="auto"/>
        <w:jc w:val="both"/>
        <w:rPr>
          <w:rFonts w:ascii="Arial" w:hAnsi="Arial" w:cs="Arial"/>
          <w:sz w:val="20"/>
          <w:szCs w:val="20"/>
        </w:rPr>
      </w:pPr>
      <w:r w:rsidRPr="005F3D85">
        <w:rPr>
          <w:rFonts w:ascii="Arial" w:hAnsi="Arial" w:cs="Arial"/>
          <w:sz w:val="20"/>
          <w:szCs w:val="20"/>
        </w:rPr>
        <w:t xml:space="preserve">Results from Hausman fixed effects panel data regression model offer a robust understanding of the impact of stock market-related variables on financial performance of firms in Tanzania. Hausman test is crucial in panel data analysis, as it determines suitability of the fixed effects model over the random effects model. Credit risk management (CRM) variable yields a negative and statistically significant coefficient (β = -3.11E-14, p = 0.0076), indicating increased exposure to credit risk and inefficient credit </w:t>
      </w:r>
      <w:r w:rsidRPr="005F3D85">
        <w:rPr>
          <w:rFonts w:ascii="Arial" w:hAnsi="Arial" w:cs="Arial"/>
          <w:sz w:val="20"/>
          <w:szCs w:val="20"/>
        </w:rPr>
        <w:lastRenderedPageBreak/>
        <w:t xml:space="preserve">risk practices negatively affect firm performance in terms of ROE. Result implies firms fail to control credit risks effectively face diminished returns due to increased default rates, provision costs, and operational inefficiencies. Finding aligns with the theoretical position of Nestory et al. (2023), which underscores the critical importance of credit risk control in maintaining financial health and sustainability. Empirically, similar conclusions were drawn by </w:t>
      </w:r>
      <w:r w:rsidRPr="008B7565">
        <w:rPr>
          <w:rFonts w:ascii="Arial" w:hAnsi="Arial" w:cs="Arial"/>
          <w:sz w:val="20"/>
          <w:szCs w:val="20"/>
        </w:rPr>
        <w:t>Mwangi (2023),</w:t>
      </w:r>
      <w:r w:rsidRPr="005F3D85">
        <w:rPr>
          <w:rFonts w:ascii="Arial" w:hAnsi="Arial" w:cs="Arial"/>
          <w:sz w:val="20"/>
          <w:szCs w:val="20"/>
        </w:rPr>
        <w:t xml:space="preserve"> who noted a strong inverse relationship between credit risk and profitability in European banks. In Tanzania's context, this calls for stronger risk assessment frameworks, internal control systems, and regulatory structure on firms' credit exposure management, especially within the financial and investment sectors. Variable of share price (SP) shows negative and statistically insignificant relationship with ROE (β = -1.23E-05, p = 0.1573). Although classical finance theory suggests higher share prices often reflect positive investor sentiment and strong firm fundamentals (Fama, 1970), insignificance result implies share price movements in Tanzania are not a reliable indicator of firm performance. This is due to limited market participation, thin trading volumes, and information asymmetries in Tanzanian capital markets. Lusiana (2020) reports similar findings in other African markets, noting that share price dynamics in such settings are often disconnected from firm fundamentals due to speculative activity and low liquidity. Therefore, in Tanzania, market reforms aimed at increasing transparency, expanding the investor base, and improving corporate disclosure practices are essential for enhancing the relevance of share price signals. </w:t>
      </w:r>
    </w:p>
    <w:p w14:paraId="393C6F97" w14:textId="77777777" w:rsidR="009626A2" w:rsidRPr="005F3D85" w:rsidRDefault="009626A2" w:rsidP="00331304">
      <w:pPr>
        <w:spacing w:after="0" w:line="240" w:lineRule="auto"/>
        <w:jc w:val="both"/>
        <w:rPr>
          <w:rFonts w:ascii="Arial" w:hAnsi="Arial" w:cs="Arial"/>
          <w:sz w:val="20"/>
          <w:szCs w:val="20"/>
        </w:rPr>
      </w:pPr>
    </w:p>
    <w:p w14:paraId="743C5B1B" w14:textId="4AFC1D34" w:rsidR="00FC255E" w:rsidRPr="005F3D85" w:rsidRDefault="00FB3B15" w:rsidP="00FB3B15">
      <w:pPr>
        <w:spacing w:after="0" w:line="240" w:lineRule="auto"/>
        <w:jc w:val="both"/>
        <w:rPr>
          <w:rFonts w:ascii="Arial" w:hAnsi="Arial" w:cs="Arial"/>
          <w:sz w:val="20"/>
          <w:szCs w:val="20"/>
        </w:rPr>
      </w:pPr>
      <w:r w:rsidRPr="005F3D85">
        <w:rPr>
          <w:rFonts w:ascii="Arial" w:hAnsi="Arial" w:cs="Arial"/>
          <w:sz w:val="20"/>
          <w:szCs w:val="20"/>
        </w:rPr>
        <w:t xml:space="preserve">For the Random Effects Model Results, </w:t>
      </w:r>
      <w:bookmarkStart w:id="25" w:name="_Toc208584836"/>
      <w:r w:rsidRPr="005F3D85">
        <w:rPr>
          <w:rFonts w:ascii="Arial" w:hAnsi="Arial" w:cs="Arial"/>
          <w:sz w:val="20"/>
          <w:szCs w:val="20"/>
        </w:rPr>
        <w:t>t</w:t>
      </w:r>
      <w:r w:rsidR="004F7BAA" w:rsidRPr="005F3D85">
        <w:rPr>
          <w:rFonts w:ascii="Arial" w:hAnsi="Arial" w:cs="Arial"/>
          <w:sz w:val="20"/>
          <w:szCs w:val="20"/>
        </w:rPr>
        <w:t>he CRM variable exhibits a negative and statistically significant coefficient (β = -3.55E-14, p = 0.0032), indicating that inadequately implemented credit risk policies reduced a firm’s financial performance. This finding is consistent with the risk-return trade-off principle in financial management whereby unmanaged risk exposure, especially in credit-intensive sectors, translates into lower profitability (Temba et al., 2024). Empirical evidence from the study of Mwenda (2023) also affirms that poor credit risk management impairs firm performance, especially in developing markets with weak financial infrastructures. In Tanzania, this suggests an urgent need for firms, particularly financial institutions and publicly listed companies, to institutionalize robust credit risk assessment tools. The share price (SP) variable shows a negative and statistically insignificant coefficient (β = -1.08E-05, p = 0.8211) that suggests changes in share prices do not meaningfully impact ROE among Tanzanian firms. This contradicts classical finance theory, which posits that rising share prices reflect market optimism and better expected future performance (Fama, 1970). The observed insignificance is attributed to low liquidity, shallow market depth, and speculative trading behaviors common in frontier markets like Tanzania. Similar results were reported by Saputra (2022), who noted that in underdeveloped markets, share price fluctuations are not always grounded in firm fundamentals. This calls for strengthening transparency, corporate disclosures, and market participation to ensure share prices serve as reliable performance indicators.</w:t>
      </w:r>
    </w:p>
    <w:p w14:paraId="3DE853B0" w14:textId="553FCE61" w:rsidR="00AF3A47" w:rsidRPr="005F3D85" w:rsidRDefault="00AF3A47" w:rsidP="00AF3A47">
      <w:pPr>
        <w:pStyle w:val="Caption"/>
        <w:keepNext/>
        <w:jc w:val="both"/>
        <w:rPr>
          <w:rFonts w:ascii="Arial" w:hAnsi="Arial" w:cs="Arial"/>
          <w:b/>
          <w:i w:val="0"/>
          <w:color w:val="auto"/>
          <w:sz w:val="20"/>
          <w:szCs w:val="20"/>
        </w:rPr>
      </w:pPr>
      <w:bookmarkStart w:id="26" w:name="_Toc206689026"/>
      <w:r w:rsidRPr="005F3D85">
        <w:rPr>
          <w:rFonts w:ascii="Arial" w:hAnsi="Arial" w:cs="Arial"/>
          <w:b/>
          <w:i w:val="0"/>
          <w:color w:val="auto"/>
          <w:sz w:val="20"/>
          <w:szCs w:val="20"/>
        </w:rPr>
        <w:t xml:space="preserve">Table </w:t>
      </w:r>
      <w:r w:rsidR="006A402D" w:rsidRPr="005F3D85">
        <w:rPr>
          <w:rFonts w:ascii="Arial" w:hAnsi="Arial" w:cs="Arial"/>
          <w:b/>
          <w:i w:val="0"/>
          <w:color w:val="auto"/>
          <w:sz w:val="20"/>
          <w:szCs w:val="20"/>
        </w:rPr>
        <w:t>9</w:t>
      </w:r>
      <w:r w:rsidRPr="005F3D85">
        <w:rPr>
          <w:rFonts w:ascii="Arial" w:hAnsi="Arial" w:cs="Arial"/>
          <w:b/>
          <w:i w:val="0"/>
          <w:color w:val="auto"/>
          <w:sz w:val="20"/>
          <w:szCs w:val="20"/>
        </w:rPr>
        <w:t>: Correlated Random Effects - Hausman Test Result</w:t>
      </w:r>
      <w:bookmarkEnd w:id="26"/>
    </w:p>
    <w:tbl>
      <w:tblPr>
        <w:tblW w:w="5000" w:type="pct"/>
        <w:tblCellMar>
          <w:left w:w="0" w:type="dxa"/>
          <w:right w:w="0" w:type="dxa"/>
        </w:tblCellMar>
        <w:tblLook w:val="0000" w:firstRow="0" w:lastRow="0" w:firstColumn="0" w:lastColumn="0" w:noHBand="0" w:noVBand="0"/>
      </w:tblPr>
      <w:tblGrid>
        <w:gridCol w:w="2815"/>
        <w:gridCol w:w="1540"/>
        <w:gridCol w:w="1687"/>
        <w:gridCol w:w="1687"/>
        <w:gridCol w:w="1392"/>
      </w:tblGrid>
      <w:tr w:rsidR="00AF3A47" w:rsidRPr="005F3D85" w14:paraId="04BCA5D9" w14:textId="77777777" w:rsidTr="00061BA5">
        <w:trPr>
          <w:trHeight w:hRule="exact" w:val="81"/>
        </w:trPr>
        <w:tc>
          <w:tcPr>
            <w:tcW w:w="1543" w:type="pct"/>
            <w:tcBorders>
              <w:top w:val="nil"/>
              <w:left w:val="nil"/>
              <w:bottom w:val="double" w:sz="6" w:space="2" w:color="auto"/>
              <w:right w:val="nil"/>
            </w:tcBorders>
            <w:vAlign w:val="bottom"/>
          </w:tcPr>
          <w:p w14:paraId="14DF59E3"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57880FDD"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19D5662E"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2ABDC4D5"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4D34FC37"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56A3EBEC" w14:textId="77777777" w:rsidTr="00061BA5">
        <w:trPr>
          <w:trHeight w:hRule="exact" w:val="122"/>
        </w:trPr>
        <w:tc>
          <w:tcPr>
            <w:tcW w:w="1543" w:type="pct"/>
            <w:tcBorders>
              <w:top w:val="nil"/>
              <w:left w:val="nil"/>
              <w:bottom w:val="nil"/>
              <w:right w:val="nil"/>
            </w:tcBorders>
            <w:vAlign w:val="bottom"/>
          </w:tcPr>
          <w:p w14:paraId="54331D78"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47FE61CE"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04FAF42E"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2A76421C"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15D2E4E5"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440C4A45" w14:textId="77777777" w:rsidTr="00061BA5">
        <w:trPr>
          <w:trHeight w:val="204"/>
        </w:trPr>
        <w:tc>
          <w:tcPr>
            <w:tcW w:w="2387" w:type="pct"/>
            <w:gridSpan w:val="2"/>
            <w:tcBorders>
              <w:top w:val="nil"/>
              <w:left w:val="nil"/>
              <w:bottom w:val="nil"/>
              <w:right w:val="nil"/>
            </w:tcBorders>
            <w:vAlign w:val="bottom"/>
          </w:tcPr>
          <w:p w14:paraId="699EA88E"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Test Summary</w:t>
            </w:r>
          </w:p>
        </w:tc>
        <w:tc>
          <w:tcPr>
            <w:tcW w:w="925" w:type="pct"/>
            <w:tcBorders>
              <w:top w:val="nil"/>
              <w:left w:val="nil"/>
              <w:bottom w:val="nil"/>
              <w:right w:val="nil"/>
            </w:tcBorders>
            <w:vAlign w:val="bottom"/>
          </w:tcPr>
          <w:p w14:paraId="06B5380A"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Chi-Sq. Statistic</w:t>
            </w:r>
          </w:p>
        </w:tc>
        <w:tc>
          <w:tcPr>
            <w:tcW w:w="925" w:type="pct"/>
            <w:tcBorders>
              <w:top w:val="nil"/>
              <w:left w:val="nil"/>
              <w:bottom w:val="nil"/>
              <w:right w:val="nil"/>
            </w:tcBorders>
            <w:vAlign w:val="bottom"/>
          </w:tcPr>
          <w:p w14:paraId="7133930C"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Chi-Sq. d.f.</w:t>
            </w:r>
          </w:p>
        </w:tc>
        <w:tc>
          <w:tcPr>
            <w:tcW w:w="763" w:type="pct"/>
            <w:tcBorders>
              <w:top w:val="nil"/>
              <w:left w:val="nil"/>
              <w:bottom w:val="nil"/>
              <w:right w:val="nil"/>
            </w:tcBorders>
            <w:vAlign w:val="bottom"/>
          </w:tcPr>
          <w:p w14:paraId="629D3522"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Prob.</w:t>
            </w:r>
          </w:p>
        </w:tc>
      </w:tr>
      <w:tr w:rsidR="00AF3A47" w:rsidRPr="005F3D85" w14:paraId="7408079A" w14:textId="77777777" w:rsidTr="00061BA5">
        <w:trPr>
          <w:trHeight w:hRule="exact" w:val="81"/>
        </w:trPr>
        <w:tc>
          <w:tcPr>
            <w:tcW w:w="1543" w:type="pct"/>
            <w:tcBorders>
              <w:top w:val="nil"/>
              <w:left w:val="nil"/>
              <w:bottom w:val="double" w:sz="6" w:space="2" w:color="auto"/>
              <w:right w:val="nil"/>
            </w:tcBorders>
            <w:vAlign w:val="bottom"/>
          </w:tcPr>
          <w:p w14:paraId="268A08A4"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187A51AC"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279C0203"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2705EE5B"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2995D48E"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15B1D2B2" w14:textId="77777777" w:rsidTr="00061BA5">
        <w:trPr>
          <w:trHeight w:hRule="exact" w:val="122"/>
        </w:trPr>
        <w:tc>
          <w:tcPr>
            <w:tcW w:w="1543" w:type="pct"/>
            <w:tcBorders>
              <w:top w:val="nil"/>
              <w:left w:val="nil"/>
              <w:bottom w:val="nil"/>
              <w:right w:val="nil"/>
            </w:tcBorders>
            <w:vAlign w:val="bottom"/>
          </w:tcPr>
          <w:p w14:paraId="73188BBD"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0FB5C7FA"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4BC56E1A"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701DC2B2"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40C30C0B"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512DBF89" w14:textId="77777777" w:rsidTr="00061BA5">
        <w:trPr>
          <w:trHeight w:val="204"/>
        </w:trPr>
        <w:tc>
          <w:tcPr>
            <w:tcW w:w="2387" w:type="pct"/>
            <w:gridSpan w:val="2"/>
            <w:tcBorders>
              <w:top w:val="nil"/>
              <w:left w:val="nil"/>
              <w:bottom w:val="nil"/>
              <w:right w:val="nil"/>
            </w:tcBorders>
            <w:vAlign w:val="bottom"/>
          </w:tcPr>
          <w:p w14:paraId="61ECC231"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Cross-section random</w:t>
            </w:r>
          </w:p>
        </w:tc>
        <w:tc>
          <w:tcPr>
            <w:tcW w:w="925" w:type="pct"/>
            <w:tcBorders>
              <w:top w:val="nil"/>
              <w:left w:val="nil"/>
              <w:bottom w:val="nil"/>
              <w:right w:val="nil"/>
            </w:tcBorders>
            <w:vAlign w:val="bottom"/>
          </w:tcPr>
          <w:p w14:paraId="52E2AF3C" w14:textId="77777777" w:rsidR="00AF3A47" w:rsidRPr="005F3D85" w:rsidRDefault="00AF3A47" w:rsidP="006A402D">
            <w:pPr>
              <w:spacing w:after="0" w:line="240" w:lineRule="auto"/>
              <w:jc w:val="both"/>
              <w:rPr>
                <w:rFonts w:ascii="Arial" w:hAnsi="Arial" w:cs="Arial"/>
                <w:sz w:val="20"/>
                <w:szCs w:val="20"/>
              </w:rPr>
            </w:pPr>
            <w:r w:rsidRPr="005F3D85">
              <w:rPr>
                <w:rFonts w:ascii="Arial" w:hAnsi="Arial" w:cs="Arial"/>
                <w:sz w:val="20"/>
                <w:szCs w:val="20"/>
              </w:rPr>
              <w:t>2.406508</w:t>
            </w:r>
          </w:p>
        </w:tc>
        <w:tc>
          <w:tcPr>
            <w:tcW w:w="925" w:type="pct"/>
            <w:tcBorders>
              <w:top w:val="nil"/>
              <w:left w:val="nil"/>
              <w:bottom w:val="nil"/>
              <w:right w:val="nil"/>
            </w:tcBorders>
            <w:vAlign w:val="bottom"/>
          </w:tcPr>
          <w:p w14:paraId="5D697E0A" w14:textId="77777777" w:rsidR="00AF3A47" w:rsidRPr="005F3D85" w:rsidRDefault="00AF3A47" w:rsidP="006A402D">
            <w:pPr>
              <w:spacing w:after="0" w:line="240" w:lineRule="auto"/>
              <w:jc w:val="both"/>
              <w:rPr>
                <w:rFonts w:ascii="Arial" w:hAnsi="Arial" w:cs="Arial"/>
                <w:sz w:val="20"/>
                <w:szCs w:val="20"/>
              </w:rPr>
            </w:pPr>
            <w:r w:rsidRPr="005F3D85">
              <w:rPr>
                <w:rFonts w:ascii="Arial" w:hAnsi="Arial" w:cs="Arial"/>
                <w:sz w:val="20"/>
                <w:szCs w:val="20"/>
              </w:rPr>
              <w:t xml:space="preserve">        4</w:t>
            </w:r>
          </w:p>
        </w:tc>
        <w:tc>
          <w:tcPr>
            <w:tcW w:w="763" w:type="pct"/>
            <w:tcBorders>
              <w:top w:val="nil"/>
              <w:left w:val="nil"/>
              <w:bottom w:val="nil"/>
              <w:right w:val="nil"/>
            </w:tcBorders>
            <w:vAlign w:val="bottom"/>
          </w:tcPr>
          <w:p w14:paraId="33153F64" w14:textId="77777777" w:rsidR="00AF3A47" w:rsidRPr="005F3D85" w:rsidRDefault="00AF3A47" w:rsidP="006A402D">
            <w:pPr>
              <w:spacing w:after="0" w:line="240" w:lineRule="auto"/>
              <w:jc w:val="both"/>
              <w:rPr>
                <w:rFonts w:ascii="Arial" w:hAnsi="Arial" w:cs="Arial"/>
                <w:sz w:val="20"/>
                <w:szCs w:val="20"/>
              </w:rPr>
            </w:pPr>
            <w:r w:rsidRPr="005F3D85">
              <w:rPr>
                <w:rFonts w:ascii="Arial" w:hAnsi="Arial" w:cs="Arial"/>
                <w:sz w:val="20"/>
                <w:szCs w:val="20"/>
              </w:rPr>
              <w:t>0.0015</w:t>
            </w:r>
          </w:p>
        </w:tc>
      </w:tr>
      <w:tr w:rsidR="00AF3A47" w:rsidRPr="005F3D85" w14:paraId="033E4478" w14:textId="77777777" w:rsidTr="00061BA5">
        <w:trPr>
          <w:trHeight w:hRule="exact" w:val="81"/>
        </w:trPr>
        <w:tc>
          <w:tcPr>
            <w:tcW w:w="1543" w:type="pct"/>
            <w:tcBorders>
              <w:top w:val="nil"/>
              <w:left w:val="nil"/>
              <w:bottom w:val="double" w:sz="6" w:space="2" w:color="auto"/>
              <w:right w:val="nil"/>
            </w:tcBorders>
            <w:vAlign w:val="bottom"/>
          </w:tcPr>
          <w:p w14:paraId="6319CD4C"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6FE5D757"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5F8312AC"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42704A3E"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68DD0CBB"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237D0D04" w14:textId="77777777" w:rsidTr="00061BA5">
        <w:trPr>
          <w:trHeight w:hRule="exact" w:val="122"/>
        </w:trPr>
        <w:tc>
          <w:tcPr>
            <w:tcW w:w="1543" w:type="pct"/>
            <w:tcBorders>
              <w:top w:val="nil"/>
              <w:left w:val="nil"/>
              <w:bottom w:val="nil"/>
              <w:right w:val="nil"/>
            </w:tcBorders>
            <w:vAlign w:val="bottom"/>
          </w:tcPr>
          <w:p w14:paraId="06D55D9B"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4274A4A7"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0FDD84FC"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4043786F"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77701FB3"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32C8D103" w14:textId="77777777" w:rsidTr="00061BA5">
        <w:trPr>
          <w:trHeight w:val="204"/>
        </w:trPr>
        <w:tc>
          <w:tcPr>
            <w:tcW w:w="1543" w:type="pct"/>
            <w:tcBorders>
              <w:top w:val="nil"/>
              <w:left w:val="nil"/>
              <w:bottom w:val="nil"/>
              <w:right w:val="nil"/>
            </w:tcBorders>
            <w:vAlign w:val="bottom"/>
          </w:tcPr>
          <w:p w14:paraId="0F691704"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4DA4AFA5"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41F339D0"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2AFDB77B"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6274B822"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75581E65" w14:textId="77777777" w:rsidTr="00061BA5">
        <w:trPr>
          <w:trHeight w:val="204"/>
        </w:trPr>
        <w:tc>
          <w:tcPr>
            <w:tcW w:w="5000" w:type="pct"/>
            <w:gridSpan w:val="5"/>
            <w:tcBorders>
              <w:top w:val="nil"/>
              <w:left w:val="nil"/>
              <w:bottom w:val="nil"/>
              <w:right w:val="nil"/>
            </w:tcBorders>
            <w:vAlign w:val="bottom"/>
          </w:tcPr>
          <w:p w14:paraId="5D071FB4"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Cross-section random effects test comparisons:</w:t>
            </w:r>
          </w:p>
        </w:tc>
      </w:tr>
      <w:tr w:rsidR="00AF3A47" w:rsidRPr="005F3D85" w14:paraId="55D67A1E" w14:textId="77777777" w:rsidTr="00061BA5">
        <w:trPr>
          <w:trHeight w:val="204"/>
        </w:trPr>
        <w:tc>
          <w:tcPr>
            <w:tcW w:w="1543" w:type="pct"/>
            <w:tcBorders>
              <w:top w:val="nil"/>
              <w:left w:val="nil"/>
              <w:bottom w:val="nil"/>
              <w:right w:val="nil"/>
            </w:tcBorders>
            <w:vAlign w:val="bottom"/>
          </w:tcPr>
          <w:p w14:paraId="65DF82A9" w14:textId="77777777" w:rsidR="00AF3A47" w:rsidRPr="005F3D85" w:rsidRDefault="00AF3A47" w:rsidP="006A402D">
            <w:pPr>
              <w:spacing w:after="0" w:line="240" w:lineRule="auto"/>
              <w:jc w:val="both"/>
              <w:rPr>
                <w:rFonts w:ascii="Arial" w:hAnsi="Arial" w:cs="Arial"/>
                <w:sz w:val="20"/>
                <w:szCs w:val="20"/>
              </w:rPr>
            </w:pPr>
            <w:r w:rsidRPr="005F3D85">
              <w:rPr>
                <w:rFonts w:ascii="Arial" w:hAnsi="Arial" w:cs="Arial"/>
                <w:sz w:val="20"/>
                <w:szCs w:val="20"/>
              </w:rPr>
              <w:t>Variable</w:t>
            </w:r>
          </w:p>
        </w:tc>
        <w:tc>
          <w:tcPr>
            <w:tcW w:w="844" w:type="pct"/>
            <w:tcBorders>
              <w:top w:val="nil"/>
              <w:left w:val="nil"/>
              <w:bottom w:val="nil"/>
              <w:right w:val="nil"/>
            </w:tcBorders>
            <w:vAlign w:val="bottom"/>
          </w:tcPr>
          <w:p w14:paraId="4AA46FDA" w14:textId="77777777" w:rsidR="00AF3A47" w:rsidRPr="005F3D85" w:rsidRDefault="00AF3A47" w:rsidP="006A402D">
            <w:pPr>
              <w:spacing w:after="0" w:line="240" w:lineRule="auto"/>
              <w:jc w:val="both"/>
              <w:rPr>
                <w:rFonts w:ascii="Arial" w:hAnsi="Arial" w:cs="Arial"/>
                <w:sz w:val="20"/>
                <w:szCs w:val="20"/>
              </w:rPr>
            </w:pPr>
            <w:r w:rsidRPr="005F3D85">
              <w:rPr>
                <w:rFonts w:ascii="Arial" w:hAnsi="Arial" w:cs="Arial"/>
                <w:sz w:val="20"/>
                <w:szCs w:val="20"/>
              </w:rPr>
              <w:t>Fixed  </w:t>
            </w:r>
          </w:p>
        </w:tc>
        <w:tc>
          <w:tcPr>
            <w:tcW w:w="925" w:type="pct"/>
            <w:tcBorders>
              <w:top w:val="nil"/>
              <w:left w:val="nil"/>
              <w:bottom w:val="nil"/>
              <w:right w:val="nil"/>
            </w:tcBorders>
            <w:vAlign w:val="bottom"/>
          </w:tcPr>
          <w:p w14:paraId="2163CB99" w14:textId="77777777" w:rsidR="00AF3A47" w:rsidRPr="005F3D85" w:rsidRDefault="00AF3A47" w:rsidP="006A402D">
            <w:pPr>
              <w:spacing w:after="0" w:line="240" w:lineRule="auto"/>
              <w:jc w:val="both"/>
              <w:rPr>
                <w:rFonts w:ascii="Arial" w:hAnsi="Arial" w:cs="Arial"/>
                <w:sz w:val="20"/>
                <w:szCs w:val="20"/>
              </w:rPr>
            </w:pPr>
            <w:r w:rsidRPr="005F3D85">
              <w:rPr>
                <w:rFonts w:ascii="Arial" w:hAnsi="Arial" w:cs="Arial"/>
                <w:sz w:val="20"/>
                <w:szCs w:val="20"/>
              </w:rPr>
              <w:t>Random </w:t>
            </w:r>
          </w:p>
        </w:tc>
        <w:tc>
          <w:tcPr>
            <w:tcW w:w="925" w:type="pct"/>
            <w:tcBorders>
              <w:top w:val="nil"/>
              <w:left w:val="nil"/>
              <w:bottom w:val="nil"/>
              <w:right w:val="nil"/>
            </w:tcBorders>
            <w:vAlign w:val="bottom"/>
          </w:tcPr>
          <w:p w14:paraId="0C86786A" w14:textId="77777777" w:rsidR="00AF3A47" w:rsidRPr="005F3D85" w:rsidRDefault="00AF3A47" w:rsidP="006A402D">
            <w:pPr>
              <w:spacing w:after="0" w:line="240" w:lineRule="auto"/>
              <w:jc w:val="both"/>
              <w:rPr>
                <w:rFonts w:ascii="Arial" w:hAnsi="Arial" w:cs="Arial"/>
                <w:sz w:val="20"/>
                <w:szCs w:val="20"/>
              </w:rPr>
            </w:pPr>
            <w:r w:rsidRPr="005F3D85">
              <w:rPr>
                <w:rFonts w:ascii="Arial" w:hAnsi="Arial" w:cs="Arial"/>
                <w:sz w:val="20"/>
                <w:szCs w:val="20"/>
              </w:rPr>
              <w:t>Var(Diff.) </w:t>
            </w:r>
          </w:p>
        </w:tc>
        <w:tc>
          <w:tcPr>
            <w:tcW w:w="763" w:type="pct"/>
            <w:tcBorders>
              <w:top w:val="nil"/>
              <w:left w:val="nil"/>
              <w:bottom w:val="nil"/>
              <w:right w:val="nil"/>
            </w:tcBorders>
            <w:vAlign w:val="bottom"/>
          </w:tcPr>
          <w:p w14:paraId="1DC62718" w14:textId="77777777" w:rsidR="00AF3A47" w:rsidRPr="005F3D85" w:rsidRDefault="00AF3A47" w:rsidP="006A402D">
            <w:pPr>
              <w:spacing w:after="0" w:line="240" w:lineRule="auto"/>
              <w:jc w:val="both"/>
              <w:rPr>
                <w:rFonts w:ascii="Arial" w:hAnsi="Arial" w:cs="Arial"/>
                <w:sz w:val="20"/>
                <w:szCs w:val="20"/>
              </w:rPr>
            </w:pPr>
            <w:r w:rsidRPr="005F3D85">
              <w:rPr>
                <w:rFonts w:ascii="Arial" w:hAnsi="Arial" w:cs="Arial"/>
                <w:sz w:val="20"/>
                <w:szCs w:val="20"/>
              </w:rPr>
              <w:t>Prob. </w:t>
            </w:r>
          </w:p>
        </w:tc>
      </w:tr>
      <w:tr w:rsidR="00AF3A47" w:rsidRPr="005F3D85" w14:paraId="53C09227" w14:textId="77777777" w:rsidTr="00061BA5">
        <w:trPr>
          <w:trHeight w:hRule="exact" w:val="81"/>
        </w:trPr>
        <w:tc>
          <w:tcPr>
            <w:tcW w:w="1543" w:type="pct"/>
            <w:tcBorders>
              <w:top w:val="nil"/>
              <w:left w:val="nil"/>
              <w:bottom w:val="double" w:sz="6" w:space="2" w:color="auto"/>
              <w:right w:val="nil"/>
            </w:tcBorders>
            <w:vAlign w:val="bottom"/>
          </w:tcPr>
          <w:p w14:paraId="2017A5CB"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46402EDE"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2752D77D"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30218BE9"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120137A6"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7E3140B9" w14:textId="77777777" w:rsidTr="00061BA5">
        <w:trPr>
          <w:trHeight w:hRule="exact" w:val="122"/>
        </w:trPr>
        <w:tc>
          <w:tcPr>
            <w:tcW w:w="1543" w:type="pct"/>
            <w:tcBorders>
              <w:top w:val="nil"/>
              <w:left w:val="nil"/>
              <w:bottom w:val="nil"/>
              <w:right w:val="nil"/>
            </w:tcBorders>
            <w:vAlign w:val="bottom"/>
          </w:tcPr>
          <w:p w14:paraId="1DB3BA83"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1306ECFD"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0BBE5EA2"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21413396"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5D64C6F3"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30616289" w14:textId="77777777" w:rsidTr="00061BA5">
        <w:trPr>
          <w:trHeight w:val="204"/>
        </w:trPr>
        <w:tc>
          <w:tcPr>
            <w:tcW w:w="1543" w:type="pct"/>
            <w:tcBorders>
              <w:top w:val="nil"/>
              <w:left w:val="nil"/>
              <w:bottom w:val="nil"/>
              <w:right w:val="nil"/>
            </w:tcBorders>
            <w:vAlign w:val="bottom"/>
          </w:tcPr>
          <w:p w14:paraId="428D015A"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CRM</w:t>
            </w:r>
          </w:p>
        </w:tc>
        <w:tc>
          <w:tcPr>
            <w:tcW w:w="844" w:type="pct"/>
            <w:tcBorders>
              <w:top w:val="nil"/>
              <w:left w:val="nil"/>
              <w:bottom w:val="nil"/>
              <w:right w:val="nil"/>
            </w:tcBorders>
            <w:vAlign w:val="bottom"/>
          </w:tcPr>
          <w:p w14:paraId="3679B52F"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0.140000</w:t>
            </w:r>
          </w:p>
        </w:tc>
        <w:tc>
          <w:tcPr>
            <w:tcW w:w="925" w:type="pct"/>
            <w:tcBorders>
              <w:top w:val="nil"/>
              <w:left w:val="nil"/>
              <w:bottom w:val="nil"/>
              <w:right w:val="nil"/>
            </w:tcBorders>
            <w:vAlign w:val="bottom"/>
          </w:tcPr>
          <w:p w14:paraId="76289D98"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-0.330000</w:t>
            </w:r>
          </w:p>
        </w:tc>
        <w:tc>
          <w:tcPr>
            <w:tcW w:w="925" w:type="pct"/>
            <w:tcBorders>
              <w:top w:val="nil"/>
              <w:left w:val="nil"/>
              <w:bottom w:val="nil"/>
              <w:right w:val="nil"/>
            </w:tcBorders>
            <w:vAlign w:val="bottom"/>
          </w:tcPr>
          <w:p w14:paraId="0F32C20A"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0.000000</w:t>
            </w:r>
          </w:p>
        </w:tc>
        <w:tc>
          <w:tcPr>
            <w:tcW w:w="763" w:type="pct"/>
            <w:tcBorders>
              <w:top w:val="nil"/>
              <w:left w:val="nil"/>
              <w:bottom w:val="nil"/>
              <w:right w:val="nil"/>
            </w:tcBorders>
            <w:vAlign w:val="bottom"/>
          </w:tcPr>
          <w:p w14:paraId="294AA9D0"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0.0012</w:t>
            </w:r>
          </w:p>
        </w:tc>
      </w:tr>
      <w:tr w:rsidR="00AF3A47" w:rsidRPr="005F3D85" w14:paraId="453173E5" w14:textId="77777777" w:rsidTr="00061BA5">
        <w:trPr>
          <w:trHeight w:val="204"/>
        </w:trPr>
        <w:tc>
          <w:tcPr>
            <w:tcW w:w="1543" w:type="pct"/>
            <w:tcBorders>
              <w:top w:val="nil"/>
              <w:left w:val="nil"/>
              <w:bottom w:val="nil"/>
              <w:right w:val="nil"/>
            </w:tcBorders>
            <w:vAlign w:val="bottom"/>
          </w:tcPr>
          <w:p w14:paraId="56844D47"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SP</w:t>
            </w:r>
          </w:p>
        </w:tc>
        <w:tc>
          <w:tcPr>
            <w:tcW w:w="844" w:type="pct"/>
            <w:tcBorders>
              <w:top w:val="nil"/>
              <w:left w:val="nil"/>
              <w:bottom w:val="nil"/>
              <w:right w:val="nil"/>
            </w:tcBorders>
            <w:vAlign w:val="bottom"/>
          </w:tcPr>
          <w:p w14:paraId="2C9578E2"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0.000023</w:t>
            </w:r>
          </w:p>
        </w:tc>
        <w:tc>
          <w:tcPr>
            <w:tcW w:w="925" w:type="pct"/>
            <w:tcBorders>
              <w:top w:val="nil"/>
              <w:left w:val="nil"/>
              <w:bottom w:val="nil"/>
              <w:right w:val="nil"/>
            </w:tcBorders>
            <w:vAlign w:val="bottom"/>
          </w:tcPr>
          <w:p w14:paraId="7D4B32A4"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-0.000011</w:t>
            </w:r>
          </w:p>
        </w:tc>
        <w:tc>
          <w:tcPr>
            <w:tcW w:w="925" w:type="pct"/>
            <w:tcBorders>
              <w:top w:val="nil"/>
              <w:left w:val="nil"/>
              <w:bottom w:val="nil"/>
              <w:right w:val="nil"/>
            </w:tcBorders>
            <w:vAlign w:val="bottom"/>
          </w:tcPr>
          <w:p w14:paraId="48E2B4CA"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0.000010</w:t>
            </w:r>
          </w:p>
        </w:tc>
        <w:tc>
          <w:tcPr>
            <w:tcW w:w="763" w:type="pct"/>
            <w:tcBorders>
              <w:top w:val="nil"/>
              <w:left w:val="nil"/>
              <w:bottom w:val="nil"/>
              <w:right w:val="nil"/>
            </w:tcBorders>
            <w:vAlign w:val="bottom"/>
          </w:tcPr>
          <w:p w14:paraId="3C3E82EC"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0.5074</w:t>
            </w:r>
          </w:p>
        </w:tc>
      </w:tr>
      <w:tr w:rsidR="00AF3A47" w:rsidRPr="005F3D85" w14:paraId="26D0D464" w14:textId="77777777" w:rsidTr="00061BA5">
        <w:trPr>
          <w:trHeight w:hRule="exact" w:val="81"/>
        </w:trPr>
        <w:tc>
          <w:tcPr>
            <w:tcW w:w="1543" w:type="pct"/>
            <w:tcBorders>
              <w:top w:val="nil"/>
              <w:left w:val="nil"/>
              <w:bottom w:val="double" w:sz="6" w:space="2" w:color="auto"/>
              <w:right w:val="nil"/>
            </w:tcBorders>
            <w:vAlign w:val="bottom"/>
          </w:tcPr>
          <w:p w14:paraId="15380211"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20B412E8"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374601C2"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13BE4127"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04D62833"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532E607A" w14:textId="77777777" w:rsidTr="00061BA5">
        <w:trPr>
          <w:trHeight w:hRule="exact" w:val="122"/>
        </w:trPr>
        <w:tc>
          <w:tcPr>
            <w:tcW w:w="1543" w:type="pct"/>
            <w:tcBorders>
              <w:top w:val="nil"/>
              <w:left w:val="nil"/>
              <w:bottom w:val="nil"/>
              <w:right w:val="nil"/>
            </w:tcBorders>
            <w:vAlign w:val="bottom"/>
          </w:tcPr>
          <w:p w14:paraId="3470CC15"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66520D9B"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74E0D430"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70393051"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5CFF8F6E"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029CE514" w14:textId="77777777" w:rsidTr="00061BA5">
        <w:trPr>
          <w:trHeight w:val="204"/>
        </w:trPr>
        <w:tc>
          <w:tcPr>
            <w:tcW w:w="1543" w:type="pct"/>
            <w:tcBorders>
              <w:top w:val="nil"/>
              <w:left w:val="nil"/>
              <w:bottom w:val="nil"/>
              <w:right w:val="nil"/>
            </w:tcBorders>
            <w:vAlign w:val="bottom"/>
          </w:tcPr>
          <w:p w14:paraId="35380947"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41C8C448"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4E1ECFAD"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0F1211AB"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433C7D3A"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1B9085E2" w14:textId="77777777" w:rsidTr="00061BA5">
        <w:trPr>
          <w:trHeight w:hRule="exact" w:val="81"/>
        </w:trPr>
        <w:tc>
          <w:tcPr>
            <w:tcW w:w="1543" w:type="pct"/>
            <w:tcBorders>
              <w:top w:val="nil"/>
              <w:left w:val="nil"/>
              <w:bottom w:val="double" w:sz="6" w:space="2" w:color="auto"/>
              <w:right w:val="nil"/>
            </w:tcBorders>
            <w:vAlign w:val="bottom"/>
          </w:tcPr>
          <w:p w14:paraId="580CDCEC"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00842D78"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69D11601"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15461429"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3C802822"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4850DF20" w14:textId="77777777" w:rsidTr="00061BA5">
        <w:trPr>
          <w:trHeight w:hRule="exact" w:val="122"/>
        </w:trPr>
        <w:tc>
          <w:tcPr>
            <w:tcW w:w="1543" w:type="pct"/>
            <w:tcBorders>
              <w:top w:val="nil"/>
              <w:left w:val="nil"/>
              <w:bottom w:val="nil"/>
              <w:right w:val="nil"/>
            </w:tcBorders>
            <w:vAlign w:val="bottom"/>
          </w:tcPr>
          <w:p w14:paraId="126CE74D"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76F23149"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4459C630"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43150544"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1877D5C7"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29DAE583" w14:textId="77777777" w:rsidTr="00061BA5">
        <w:trPr>
          <w:trHeight w:val="204"/>
        </w:trPr>
        <w:tc>
          <w:tcPr>
            <w:tcW w:w="1543" w:type="pct"/>
            <w:tcBorders>
              <w:top w:val="nil"/>
              <w:left w:val="nil"/>
              <w:bottom w:val="nil"/>
              <w:right w:val="nil"/>
            </w:tcBorders>
            <w:vAlign w:val="bottom"/>
          </w:tcPr>
          <w:p w14:paraId="618CB26E"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lastRenderedPageBreak/>
              <w:t>Variable</w:t>
            </w:r>
          </w:p>
        </w:tc>
        <w:tc>
          <w:tcPr>
            <w:tcW w:w="844" w:type="pct"/>
            <w:tcBorders>
              <w:top w:val="nil"/>
              <w:left w:val="nil"/>
              <w:bottom w:val="nil"/>
              <w:right w:val="nil"/>
            </w:tcBorders>
            <w:vAlign w:val="bottom"/>
          </w:tcPr>
          <w:p w14:paraId="6DA5FDB3"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Coefficient</w:t>
            </w:r>
          </w:p>
        </w:tc>
        <w:tc>
          <w:tcPr>
            <w:tcW w:w="925" w:type="pct"/>
            <w:tcBorders>
              <w:top w:val="nil"/>
              <w:left w:val="nil"/>
              <w:bottom w:val="nil"/>
              <w:right w:val="nil"/>
            </w:tcBorders>
            <w:vAlign w:val="bottom"/>
          </w:tcPr>
          <w:p w14:paraId="1402B0C5"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Std. Error</w:t>
            </w:r>
          </w:p>
        </w:tc>
        <w:tc>
          <w:tcPr>
            <w:tcW w:w="925" w:type="pct"/>
            <w:tcBorders>
              <w:top w:val="nil"/>
              <w:left w:val="nil"/>
              <w:bottom w:val="nil"/>
              <w:right w:val="nil"/>
            </w:tcBorders>
            <w:vAlign w:val="bottom"/>
          </w:tcPr>
          <w:p w14:paraId="4644290B"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t-Statistic</w:t>
            </w:r>
          </w:p>
        </w:tc>
        <w:tc>
          <w:tcPr>
            <w:tcW w:w="763" w:type="pct"/>
            <w:tcBorders>
              <w:top w:val="nil"/>
              <w:left w:val="nil"/>
              <w:bottom w:val="nil"/>
              <w:right w:val="nil"/>
            </w:tcBorders>
            <w:vAlign w:val="bottom"/>
          </w:tcPr>
          <w:p w14:paraId="3FE75CAB"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 xml:space="preserve">Prob.  </w:t>
            </w:r>
          </w:p>
        </w:tc>
      </w:tr>
      <w:tr w:rsidR="00AF3A47" w:rsidRPr="005F3D85" w14:paraId="3B5CDC58" w14:textId="77777777" w:rsidTr="00061BA5">
        <w:trPr>
          <w:trHeight w:hRule="exact" w:val="81"/>
        </w:trPr>
        <w:tc>
          <w:tcPr>
            <w:tcW w:w="1543" w:type="pct"/>
            <w:tcBorders>
              <w:top w:val="nil"/>
              <w:left w:val="nil"/>
              <w:bottom w:val="double" w:sz="6" w:space="2" w:color="auto"/>
              <w:right w:val="nil"/>
            </w:tcBorders>
            <w:vAlign w:val="bottom"/>
          </w:tcPr>
          <w:p w14:paraId="4DA3A0D1"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195D3DAE"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29140831"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008AFA53"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6EB1F04E"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77678F91" w14:textId="77777777" w:rsidTr="00061BA5">
        <w:trPr>
          <w:trHeight w:hRule="exact" w:val="122"/>
        </w:trPr>
        <w:tc>
          <w:tcPr>
            <w:tcW w:w="1543" w:type="pct"/>
            <w:tcBorders>
              <w:top w:val="nil"/>
              <w:left w:val="nil"/>
              <w:bottom w:val="nil"/>
              <w:right w:val="nil"/>
            </w:tcBorders>
            <w:vAlign w:val="bottom"/>
          </w:tcPr>
          <w:p w14:paraId="747DF2A8"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1ED31D4E"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2417FFFF"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47C49820"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5C0CF032"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7DC8A72E" w14:textId="77777777" w:rsidTr="00061BA5">
        <w:trPr>
          <w:trHeight w:val="204"/>
        </w:trPr>
        <w:tc>
          <w:tcPr>
            <w:tcW w:w="1543" w:type="pct"/>
            <w:tcBorders>
              <w:top w:val="nil"/>
              <w:left w:val="nil"/>
              <w:bottom w:val="nil"/>
              <w:right w:val="nil"/>
            </w:tcBorders>
            <w:vAlign w:val="bottom"/>
          </w:tcPr>
          <w:p w14:paraId="5AFBB2F9"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C</w:t>
            </w:r>
          </w:p>
        </w:tc>
        <w:tc>
          <w:tcPr>
            <w:tcW w:w="844" w:type="pct"/>
            <w:tcBorders>
              <w:top w:val="nil"/>
              <w:left w:val="nil"/>
              <w:bottom w:val="nil"/>
              <w:right w:val="nil"/>
            </w:tcBorders>
            <w:vAlign w:val="bottom"/>
          </w:tcPr>
          <w:p w14:paraId="050DD9B2"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0.141965</w:t>
            </w:r>
          </w:p>
        </w:tc>
        <w:tc>
          <w:tcPr>
            <w:tcW w:w="925" w:type="pct"/>
            <w:tcBorders>
              <w:top w:val="nil"/>
              <w:left w:val="nil"/>
              <w:bottom w:val="nil"/>
              <w:right w:val="nil"/>
            </w:tcBorders>
            <w:vAlign w:val="bottom"/>
          </w:tcPr>
          <w:p w14:paraId="7F652FF7"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0.106981</w:t>
            </w:r>
          </w:p>
        </w:tc>
        <w:tc>
          <w:tcPr>
            <w:tcW w:w="925" w:type="pct"/>
            <w:tcBorders>
              <w:top w:val="nil"/>
              <w:left w:val="nil"/>
              <w:bottom w:val="nil"/>
              <w:right w:val="nil"/>
            </w:tcBorders>
            <w:vAlign w:val="bottom"/>
          </w:tcPr>
          <w:p w14:paraId="67EE20AC"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1.327011</w:t>
            </w:r>
          </w:p>
        </w:tc>
        <w:tc>
          <w:tcPr>
            <w:tcW w:w="763" w:type="pct"/>
            <w:tcBorders>
              <w:top w:val="nil"/>
              <w:left w:val="nil"/>
              <w:bottom w:val="nil"/>
              <w:right w:val="nil"/>
            </w:tcBorders>
            <w:vAlign w:val="bottom"/>
          </w:tcPr>
          <w:p w14:paraId="35684FC2"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0.0000</w:t>
            </w:r>
          </w:p>
        </w:tc>
      </w:tr>
      <w:tr w:rsidR="00AF3A47" w:rsidRPr="005F3D85" w14:paraId="4917EE9D" w14:textId="77777777" w:rsidTr="00061BA5">
        <w:trPr>
          <w:trHeight w:val="204"/>
        </w:trPr>
        <w:tc>
          <w:tcPr>
            <w:tcW w:w="1543" w:type="pct"/>
            <w:tcBorders>
              <w:top w:val="nil"/>
              <w:left w:val="nil"/>
              <w:bottom w:val="nil"/>
              <w:right w:val="nil"/>
            </w:tcBorders>
            <w:vAlign w:val="bottom"/>
          </w:tcPr>
          <w:p w14:paraId="15C28A85" w14:textId="77777777" w:rsidR="00AF3A47" w:rsidRPr="005F3D85" w:rsidRDefault="00AF3A47" w:rsidP="001F5D71">
            <w:pPr>
              <w:rPr>
                <w:rFonts w:ascii="Arial" w:hAnsi="Arial" w:cs="Arial"/>
                <w:sz w:val="20"/>
                <w:szCs w:val="20"/>
              </w:rPr>
            </w:pPr>
            <w:r w:rsidRPr="005F3D85">
              <w:rPr>
                <w:rFonts w:ascii="Arial" w:hAnsi="Arial" w:cs="Arial"/>
                <w:sz w:val="20"/>
                <w:szCs w:val="20"/>
              </w:rPr>
              <w:t>CRM</w:t>
            </w:r>
          </w:p>
        </w:tc>
        <w:tc>
          <w:tcPr>
            <w:tcW w:w="844" w:type="pct"/>
            <w:tcBorders>
              <w:top w:val="nil"/>
              <w:left w:val="nil"/>
              <w:bottom w:val="nil"/>
              <w:right w:val="nil"/>
            </w:tcBorders>
            <w:vAlign w:val="bottom"/>
          </w:tcPr>
          <w:p w14:paraId="6348DF10" w14:textId="77777777" w:rsidR="00AF3A47" w:rsidRPr="005F3D85" w:rsidRDefault="00AF3A47" w:rsidP="001F5D71">
            <w:pPr>
              <w:rPr>
                <w:rFonts w:ascii="Arial" w:hAnsi="Arial" w:cs="Arial"/>
                <w:sz w:val="20"/>
                <w:szCs w:val="20"/>
              </w:rPr>
            </w:pPr>
            <w:r w:rsidRPr="005F3D85">
              <w:rPr>
                <w:rFonts w:ascii="Arial" w:hAnsi="Arial" w:cs="Arial"/>
                <w:sz w:val="20"/>
                <w:szCs w:val="20"/>
              </w:rPr>
              <w:t>3.04E-16</w:t>
            </w:r>
          </w:p>
        </w:tc>
        <w:tc>
          <w:tcPr>
            <w:tcW w:w="925" w:type="pct"/>
            <w:tcBorders>
              <w:top w:val="nil"/>
              <w:left w:val="nil"/>
              <w:bottom w:val="nil"/>
              <w:right w:val="nil"/>
            </w:tcBorders>
            <w:vAlign w:val="bottom"/>
          </w:tcPr>
          <w:p w14:paraId="7DA26557" w14:textId="77777777" w:rsidR="00AF3A47" w:rsidRPr="005F3D85" w:rsidRDefault="00AF3A47" w:rsidP="001F5D71">
            <w:pPr>
              <w:rPr>
                <w:rFonts w:ascii="Arial" w:hAnsi="Arial" w:cs="Arial"/>
                <w:sz w:val="20"/>
                <w:szCs w:val="20"/>
              </w:rPr>
            </w:pPr>
            <w:r w:rsidRPr="005F3D85">
              <w:rPr>
                <w:rFonts w:ascii="Arial" w:hAnsi="Arial" w:cs="Arial"/>
                <w:sz w:val="20"/>
                <w:szCs w:val="20"/>
              </w:rPr>
              <w:t>3.77E-14</w:t>
            </w:r>
          </w:p>
        </w:tc>
        <w:tc>
          <w:tcPr>
            <w:tcW w:w="925" w:type="pct"/>
            <w:tcBorders>
              <w:top w:val="nil"/>
              <w:left w:val="nil"/>
              <w:bottom w:val="nil"/>
              <w:right w:val="nil"/>
            </w:tcBorders>
            <w:vAlign w:val="bottom"/>
          </w:tcPr>
          <w:p w14:paraId="5A16B676" w14:textId="77777777" w:rsidR="00AF3A47" w:rsidRPr="005F3D85" w:rsidRDefault="00AF3A47" w:rsidP="001F5D71">
            <w:pPr>
              <w:rPr>
                <w:rFonts w:ascii="Arial" w:hAnsi="Arial" w:cs="Arial"/>
                <w:sz w:val="20"/>
                <w:szCs w:val="20"/>
              </w:rPr>
            </w:pPr>
            <w:r w:rsidRPr="005F3D85">
              <w:rPr>
                <w:rFonts w:ascii="Arial" w:hAnsi="Arial" w:cs="Arial"/>
                <w:sz w:val="20"/>
                <w:szCs w:val="20"/>
              </w:rPr>
              <w:t>0.008073</w:t>
            </w:r>
          </w:p>
        </w:tc>
        <w:tc>
          <w:tcPr>
            <w:tcW w:w="763" w:type="pct"/>
            <w:tcBorders>
              <w:top w:val="nil"/>
              <w:left w:val="nil"/>
              <w:bottom w:val="nil"/>
              <w:right w:val="nil"/>
            </w:tcBorders>
            <w:vAlign w:val="bottom"/>
          </w:tcPr>
          <w:p w14:paraId="3462B073" w14:textId="77777777" w:rsidR="00AF3A47" w:rsidRPr="005F3D85" w:rsidRDefault="00AF3A47" w:rsidP="001F5D71">
            <w:pPr>
              <w:rPr>
                <w:rFonts w:ascii="Arial" w:hAnsi="Arial" w:cs="Arial"/>
                <w:sz w:val="20"/>
                <w:szCs w:val="20"/>
              </w:rPr>
            </w:pPr>
            <w:r w:rsidRPr="005F3D85">
              <w:rPr>
                <w:rFonts w:ascii="Arial" w:hAnsi="Arial" w:cs="Arial"/>
                <w:sz w:val="20"/>
                <w:szCs w:val="20"/>
              </w:rPr>
              <w:t>0.0436</w:t>
            </w:r>
          </w:p>
        </w:tc>
      </w:tr>
      <w:tr w:rsidR="00AF3A47" w:rsidRPr="005F3D85" w14:paraId="73FA7FE0" w14:textId="77777777" w:rsidTr="00061BA5">
        <w:trPr>
          <w:trHeight w:val="204"/>
        </w:trPr>
        <w:tc>
          <w:tcPr>
            <w:tcW w:w="1543" w:type="pct"/>
            <w:tcBorders>
              <w:top w:val="nil"/>
              <w:left w:val="nil"/>
              <w:bottom w:val="nil"/>
              <w:right w:val="nil"/>
            </w:tcBorders>
            <w:vAlign w:val="bottom"/>
          </w:tcPr>
          <w:p w14:paraId="67A30AB7" w14:textId="77777777" w:rsidR="00AF3A47" w:rsidRPr="005F3D85" w:rsidRDefault="00AF3A47" w:rsidP="001F5D71">
            <w:pPr>
              <w:rPr>
                <w:rFonts w:ascii="Arial" w:hAnsi="Arial" w:cs="Arial"/>
                <w:sz w:val="20"/>
                <w:szCs w:val="20"/>
              </w:rPr>
            </w:pPr>
            <w:r w:rsidRPr="005F3D85">
              <w:rPr>
                <w:rFonts w:ascii="Arial" w:hAnsi="Arial" w:cs="Arial"/>
                <w:sz w:val="20"/>
                <w:szCs w:val="20"/>
              </w:rPr>
              <w:t>SP</w:t>
            </w:r>
          </w:p>
        </w:tc>
        <w:tc>
          <w:tcPr>
            <w:tcW w:w="844" w:type="pct"/>
            <w:tcBorders>
              <w:top w:val="nil"/>
              <w:left w:val="nil"/>
              <w:bottom w:val="nil"/>
              <w:right w:val="nil"/>
            </w:tcBorders>
            <w:vAlign w:val="bottom"/>
          </w:tcPr>
          <w:p w14:paraId="74DF0816" w14:textId="77777777" w:rsidR="00AF3A47" w:rsidRPr="005F3D85" w:rsidRDefault="00AF3A47" w:rsidP="001F5D71">
            <w:pPr>
              <w:rPr>
                <w:rFonts w:ascii="Arial" w:hAnsi="Arial" w:cs="Arial"/>
                <w:sz w:val="20"/>
                <w:szCs w:val="20"/>
              </w:rPr>
            </w:pPr>
            <w:r w:rsidRPr="005F3D85">
              <w:rPr>
                <w:rFonts w:ascii="Arial" w:hAnsi="Arial" w:cs="Arial"/>
                <w:sz w:val="20"/>
                <w:szCs w:val="20"/>
              </w:rPr>
              <w:t>2.26E-05</w:t>
            </w:r>
          </w:p>
        </w:tc>
        <w:tc>
          <w:tcPr>
            <w:tcW w:w="925" w:type="pct"/>
            <w:tcBorders>
              <w:top w:val="nil"/>
              <w:left w:val="nil"/>
              <w:bottom w:val="nil"/>
              <w:right w:val="nil"/>
            </w:tcBorders>
            <w:vAlign w:val="bottom"/>
          </w:tcPr>
          <w:p w14:paraId="2B462CA1" w14:textId="77777777" w:rsidR="00AF3A47" w:rsidRPr="005F3D85" w:rsidRDefault="00AF3A47" w:rsidP="001F5D71">
            <w:pPr>
              <w:rPr>
                <w:rFonts w:ascii="Arial" w:hAnsi="Arial" w:cs="Arial"/>
                <w:sz w:val="20"/>
                <w:szCs w:val="20"/>
              </w:rPr>
            </w:pPr>
            <w:r w:rsidRPr="005F3D85">
              <w:rPr>
                <w:rFonts w:ascii="Arial" w:hAnsi="Arial" w:cs="Arial"/>
                <w:sz w:val="20"/>
                <w:szCs w:val="20"/>
              </w:rPr>
              <w:t>5.20E-05</w:t>
            </w:r>
          </w:p>
        </w:tc>
        <w:tc>
          <w:tcPr>
            <w:tcW w:w="925" w:type="pct"/>
            <w:tcBorders>
              <w:top w:val="nil"/>
              <w:left w:val="nil"/>
              <w:bottom w:val="nil"/>
              <w:right w:val="nil"/>
            </w:tcBorders>
            <w:vAlign w:val="bottom"/>
          </w:tcPr>
          <w:p w14:paraId="3E2AE10C" w14:textId="77777777" w:rsidR="00AF3A47" w:rsidRPr="005F3D85" w:rsidRDefault="00AF3A47" w:rsidP="001F5D71">
            <w:pPr>
              <w:rPr>
                <w:rFonts w:ascii="Arial" w:hAnsi="Arial" w:cs="Arial"/>
                <w:sz w:val="20"/>
                <w:szCs w:val="20"/>
              </w:rPr>
            </w:pPr>
            <w:r w:rsidRPr="005F3D85">
              <w:rPr>
                <w:rFonts w:ascii="Arial" w:hAnsi="Arial" w:cs="Arial"/>
                <w:sz w:val="20"/>
                <w:szCs w:val="20"/>
              </w:rPr>
              <w:t>0.434437</w:t>
            </w:r>
          </w:p>
        </w:tc>
        <w:tc>
          <w:tcPr>
            <w:tcW w:w="763" w:type="pct"/>
            <w:tcBorders>
              <w:top w:val="nil"/>
              <w:left w:val="nil"/>
              <w:bottom w:val="nil"/>
              <w:right w:val="nil"/>
            </w:tcBorders>
            <w:vAlign w:val="bottom"/>
          </w:tcPr>
          <w:p w14:paraId="0E086AEB" w14:textId="77777777" w:rsidR="00AF3A47" w:rsidRPr="005F3D85" w:rsidRDefault="00AF3A47" w:rsidP="001F5D71">
            <w:pPr>
              <w:rPr>
                <w:rFonts w:ascii="Arial" w:hAnsi="Arial" w:cs="Arial"/>
                <w:sz w:val="20"/>
                <w:szCs w:val="20"/>
              </w:rPr>
            </w:pPr>
            <w:r w:rsidRPr="005F3D85">
              <w:rPr>
                <w:rFonts w:ascii="Arial" w:hAnsi="Arial" w:cs="Arial"/>
                <w:sz w:val="20"/>
                <w:szCs w:val="20"/>
              </w:rPr>
              <w:t>0.6648</w:t>
            </w:r>
          </w:p>
        </w:tc>
      </w:tr>
      <w:tr w:rsidR="00AF3A47" w:rsidRPr="005F3D85" w14:paraId="1257F0E0" w14:textId="77777777" w:rsidTr="00061BA5">
        <w:trPr>
          <w:trHeight w:hRule="exact" w:val="81"/>
        </w:trPr>
        <w:tc>
          <w:tcPr>
            <w:tcW w:w="1543" w:type="pct"/>
            <w:tcBorders>
              <w:top w:val="nil"/>
              <w:left w:val="nil"/>
              <w:bottom w:val="double" w:sz="6" w:space="2" w:color="auto"/>
              <w:right w:val="nil"/>
            </w:tcBorders>
            <w:vAlign w:val="bottom"/>
          </w:tcPr>
          <w:p w14:paraId="6C08B1A7"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2494487C"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67AD776A"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04CB0A75"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7C5CE206"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3BDD51D8" w14:textId="77777777" w:rsidTr="00061BA5">
        <w:trPr>
          <w:trHeight w:hRule="exact" w:val="122"/>
        </w:trPr>
        <w:tc>
          <w:tcPr>
            <w:tcW w:w="1543" w:type="pct"/>
            <w:tcBorders>
              <w:top w:val="nil"/>
              <w:left w:val="nil"/>
              <w:bottom w:val="nil"/>
              <w:right w:val="nil"/>
            </w:tcBorders>
            <w:vAlign w:val="bottom"/>
          </w:tcPr>
          <w:p w14:paraId="52C07C0B"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3D639474"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3042F38B"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1385E754"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13082E1A" w14:textId="77777777" w:rsidR="00AF3A47" w:rsidRPr="005F3D85" w:rsidRDefault="00AF3A47" w:rsidP="006A402D">
            <w:pPr>
              <w:spacing w:after="0" w:line="240" w:lineRule="auto"/>
              <w:jc w:val="both"/>
              <w:rPr>
                <w:rFonts w:ascii="Arial" w:hAnsi="Arial" w:cs="Arial"/>
                <w:sz w:val="20"/>
                <w:szCs w:val="20"/>
              </w:rPr>
            </w:pPr>
          </w:p>
        </w:tc>
      </w:tr>
    </w:tbl>
    <w:p w14:paraId="62FFFAC5" w14:textId="77777777" w:rsidR="00AF3A47" w:rsidRPr="005F3D85" w:rsidRDefault="00AF3A47" w:rsidP="00FB3B15">
      <w:pPr>
        <w:spacing w:after="0" w:line="240" w:lineRule="auto"/>
        <w:jc w:val="both"/>
        <w:rPr>
          <w:rFonts w:ascii="Arial" w:hAnsi="Arial" w:cs="Arial"/>
          <w:sz w:val="24"/>
          <w:szCs w:val="24"/>
        </w:rPr>
      </w:pPr>
    </w:p>
    <w:p w14:paraId="5F431FDE" w14:textId="3BA52D34" w:rsidR="00463DE5" w:rsidRPr="005F3D85" w:rsidRDefault="00463DE5" w:rsidP="00463DE5">
      <w:pPr>
        <w:spacing w:after="0" w:line="240" w:lineRule="auto"/>
        <w:jc w:val="both"/>
        <w:rPr>
          <w:rFonts w:ascii="Arial" w:hAnsi="Arial" w:cs="Arial"/>
          <w:sz w:val="20"/>
          <w:szCs w:val="20"/>
        </w:rPr>
      </w:pPr>
      <w:r w:rsidRPr="005F3D85">
        <w:rPr>
          <w:rFonts w:ascii="Arial" w:hAnsi="Arial" w:cs="Arial"/>
          <w:sz w:val="20"/>
          <w:szCs w:val="20"/>
        </w:rPr>
        <w:t xml:space="preserve">Correlated random effects Hausman test was employed in study to determine most appropriate model between fixed effects and the random effects estimators, within context of assessing effects of stock exchange market on firms' performance in Tanzania. Individual variable comparison shows statistically significant differences in coefficients between fixed and random effects for credit risk management, stock market development, and regulatory framework, all with p-values below 0.05, further affirming suitability of fixed effects model. This comparison indicates these variables exert differing influences depending on model specification and suggests firm-level heterogeneity plays a substantial role in explaining variation in ROE. Findings are consistent with assertions made by </w:t>
      </w:r>
      <w:r w:rsidRPr="008B7565">
        <w:rPr>
          <w:rFonts w:ascii="Arial" w:hAnsi="Arial" w:cs="Arial"/>
          <w:sz w:val="20"/>
          <w:szCs w:val="20"/>
        </w:rPr>
        <w:t>Patrick (2021),</w:t>
      </w:r>
      <w:r w:rsidRPr="005F3D85">
        <w:rPr>
          <w:rFonts w:ascii="Arial" w:hAnsi="Arial" w:cs="Arial"/>
          <w:sz w:val="20"/>
          <w:szCs w:val="20"/>
        </w:rPr>
        <w:t xml:space="preserve"> who emphasized importance of accounting for individual effects when such correlations exist. On the side of the fixed effects results provided alongside the test, the coefficient for CRM (β = 3.04E-16) is statistically significant at the 5% level (p = 0.0436). This positive association indicates that effective credit risk management contributes positively, albeit minimally, to firm performance. This finding supports the argument by </w:t>
      </w:r>
      <w:r w:rsidRPr="008B7565">
        <w:rPr>
          <w:rFonts w:ascii="Arial" w:hAnsi="Arial" w:cs="Arial"/>
          <w:sz w:val="20"/>
          <w:szCs w:val="20"/>
        </w:rPr>
        <w:t>Njeru and Wambugu (2022),</w:t>
      </w:r>
      <w:r w:rsidRPr="005F3D85">
        <w:rPr>
          <w:rFonts w:ascii="Arial" w:hAnsi="Arial" w:cs="Arial"/>
          <w:sz w:val="20"/>
          <w:szCs w:val="20"/>
        </w:rPr>
        <w:t xml:space="preserve"> who observed that prudent credit risk contro</w:t>
      </w:r>
      <w:bookmarkStart w:id="27" w:name="_GoBack"/>
      <w:bookmarkEnd w:id="27"/>
      <w:r w:rsidRPr="005F3D85">
        <w:rPr>
          <w:rFonts w:ascii="Arial" w:hAnsi="Arial" w:cs="Arial"/>
          <w:sz w:val="20"/>
          <w:szCs w:val="20"/>
        </w:rPr>
        <w:t xml:space="preserve">l enhances firm financial outcomes by improving capital preservation and reducing non-performing assets. In contrast, share price (SP) was found to be statistically insignificant (p = 0.6648) and had a small positive coefficient (β = 2.26E-05), implying that fluctuations in share price have minimal short-term influence on ROE. This reflects the relatively low liquidity and speculative behavior in Tanzanian capital markets, where price changes do not necessarily mirror firm fundamentals, a view echoed by </w:t>
      </w:r>
      <w:r w:rsidRPr="008B7565">
        <w:rPr>
          <w:rFonts w:ascii="Arial" w:hAnsi="Arial" w:cs="Arial"/>
          <w:sz w:val="20"/>
          <w:szCs w:val="20"/>
        </w:rPr>
        <w:t>Masoud and Sulley (2023)</w:t>
      </w:r>
      <w:r w:rsidRPr="005F3D85">
        <w:rPr>
          <w:rFonts w:ascii="Arial" w:hAnsi="Arial" w:cs="Arial"/>
          <w:sz w:val="20"/>
          <w:szCs w:val="20"/>
        </w:rPr>
        <w:t xml:space="preserve"> in their examination of East African bourses.</w:t>
      </w:r>
    </w:p>
    <w:p w14:paraId="384118A0" w14:textId="77777777" w:rsidR="00463DE5" w:rsidRPr="005F3D85" w:rsidRDefault="00463DE5" w:rsidP="00FB3B15">
      <w:pPr>
        <w:spacing w:after="0" w:line="240" w:lineRule="auto"/>
        <w:jc w:val="both"/>
        <w:rPr>
          <w:rFonts w:ascii="Arial" w:hAnsi="Arial" w:cs="Arial"/>
          <w:sz w:val="20"/>
          <w:szCs w:val="20"/>
        </w:rPr>
      </w:pPr>
    </w:p>
    <w:bookmarkEnd w:id="25"/>
    <w:p w14:paraId="55CB9189" w14:textId="38B48A54" w:rsidR="007D6333" w:rsidRPr="005F3D85" w:rsidRDefault="004F7BAA" w:rsidP="00757614">
      <w:pPr>
        <w:spacing w:after="0" w:line="240" w:lineRule="auto"/>
        <w:jc w:val="both"/>
        <w:rPr>
          <w:rFonts w:ascii="Arial" w:hAnsi="Arial" w:cs="Arial"/>
          <w:b/>
          <w:sz w:val="20"/>
          <w:szCs w:val="20"/>
        </w:rPr>
      </w:pPr>
      <w:r w:rsidRPr="005F3D85">
        <w:rPr>
          <w:rFonts w:ascii="Arial" w:hAnsi="Arial" w:cs="Arial"/>
          <w:b/>
          <w:sz w:val="20"/>
          <w:szCs w:val="20"/>
        </w:rPr>
        <w:t>5. Conclusion</w:t>
      </w:r>
    </w:p>
    <w:p w14:paraId="69C8DEE5" w14:textId="1F9CF4C2" w:rsidR="00AE7B98" w:rsidRPr="005F3D85" w:rsidRDefault="00C62CB3" w:rsidP="00757614">
      <w:pPr>
        <w:spacing w:after="0" w:line="240" w:lineRule="auto"/>
        <w:jc w:val="both"/>
        <w:rPr>
          <w:rFonts w:ascii="Arial" w:hAnsi="Arial" w:cs="Arial"/>
          <w:sz w:val="20"/>
          <w:szCs w:val="20"/>
        </w:rPr>
      </w:pPr>
      <w:r w:rsidRPr="005F3D85">
        <w:rPr>
          <w:rFonts w:ascii="Arial" w:hAnsi="Arial" w:cs="Arial"/>
          <w:sz w:val="20"/>
          <w:szCs w:val="20"/>
        </w:rPr>
        <w:t>S</w:t>
      </w:r>
      <w:r w:rsidR="00E56F63" w:rsidRPr="005F3D85">
        <w:rPr>
          <w:rFonts w:ascii="Arial" w:hAnsi="Arial" w:cs="Arial"/>
          <w:sz w:val="20"/>
          <w:szCs w:val="20"/>
        </w:rPr>
        <w:t>tudy</w:t>
      </w:r>
      <w:r w:rsidRPr="005F3D85">
        <w:rPr>
          <w:rFonts w:ascii="Arial" w:hAnsi="Arial" w:cs="Arial"/>
          <w:sz w:val="20"/>
          <w:szCs w:val="20"/>
        </w:rPr>
        <w:t xml:space="preserve"> examined </w:t>
      </w:r>
      <w:r w:rsidR="00E56F63" w:rsidRPr="005F3D85">
        <w:rPr>
          <w:rFonts w:ascii="Arial" w:hAnsi="Arial" w:cs="Arial"/>
          <w:sz w:val="20"/>
          <w:szCs w:val="20"/>
        </w:rPr>
        <w:t>effect</w:t>
      </w:r>
      <w:r w:rsidRPr="005F3D85">
        <w:rPr>
          <w:rFonts w:ascii="Arial" w:hAnsi="Arial" w:cs="Arial"/>
          <w:sz w:val="20"/>
          <w:szCs w:val="20"/>
        </w:rPr>
        <w:t xml:space="preserve">s of </w:t>
      </w:r>
      <w:r w:rsidR="00E56F63" w:rsidRPr="005F3D85">
        <w:rPr>
          <w:rFonts w:ascii="Arial" w:hAnsi="Arial" w:cs="Arial"/>
          <w:sz w:val="20"/>
          <w:szCs w:val="20"/>
        </w:rPr>
        <w:t>stock exchange market</w:t>
      </w:r>
      <w:r w:rsidRPr="005F3D85">
        <w:rPr>
          <w:rFonts w:ascii="Arial" w:hAnsi="Arial" w:cs="Arial"/>
          <w:sz w:val="20"/>
          <w:szCs w:val="20"/>
        </w:rPr>
        <w:t>s</w:t>
      </w:r>
      <w:r w:rsidR="00E56F63" w:rsidRPr="005F3D85">
        <w:rPr>
          <w:rFonts w:ascii="Arial" w:hAnsi="Arial" w:cs="Arial"/>
          <w:sz w:val="20"/>
          <w:szCs w:val="20"/>
        </w:rPr>
        <w:t xml:space="preserve"> on firms’ performance in Tanzania </w:t>
      </w:r>
      <w:r w:rsidR="00A249B5" w:rsidRPr="005F3D85">
        <w:rPr>
          <w:rFonts w:ascii="Arial" w:hAnsi="Arial" w:cs="Arial"/>
          <w:sz w:val="20"/>
          <w:szCs w:val="20"/>
        </w:rPr>
        <w:t xml:space="preserve">using panel data to analyze </w:t>
      </w:r>
      <w:r w:rsidR="00E56F63" w:rsidRPr="005F3D85">
        <w:rPr>
          <w:rFonts w:ascii="Arial" w:hAnsi="Arial" w:cs="Arial"/>
          <w:sz w:val="20"/>
          <w:szCs w:val="20"/>
        </w:rPr>
        <w:t>influence</w:t>
      </w:r>
      <w:r w:rsidR="00A249B5" w:rsidRPr="005F3D85">
        <w:rPr>
          <w:rFonts w:ascii="Arial" w:hAnsi="Arial" w:cs="Arial"/>
          <w:sz w:val="20"/>
          <w:szCs w:val="20"/>
        </w:rPr>
        <w:t>s</w:t>
      </w:r>
      <w:r w:rsidR="00E56F63" w:rsidRPr="005F3D85">
        <w:rPr>
          <w:rFonts w:ascii="Arial" w:hAnsi="Arial" w:cs="Arial"/>
          <w:sz w:val="20"/>
          <w:szCs w:val="20"/>
        </w:rPr>
        <w:t xml:space="preserve"> of </w:t>
      </w:r>
      <w:r w:rsidR="00A249B5" w:rsidRPr="005F3D85">
        <w:rPr>
          <w:rFonts w:ascii="Arial" w:hAnsi="Arial" w:cs="Arial"/>
          <w:sz w:val="20"/>
          <w:szCs w:val="20"/>
        </w:rPr>
        <w:t>credit risk management</w:t>
      </w:r>
      <w:r w:rsidR="004F7BAA" w:rsidRPr="005F3D85">
        <w:rPr>
          <w:rFonts w:ascii="Arial" w:hAnsi="Arial" w:cs="Arial"/>
          <w:sz w:val="20"/>
          <w:szCs w:val="20"/>
        </w:rPr>
        <w:t xml:space="preserve"> </w:t>
      </w:r>
      <w:r w:rsidR="00E56F63" w:rsidRPr="005F3D85">
        <w:rPr>
          <w:rFonts w:ascii="Arial" w:hAnsi="Arial" w:cs="Arial"/>
          <w:sz w:val="20"/>
          <w:szCs w:val="20"/>
        </w:rPr>
        <w:t xml:space="preserve">as well as share </w:t>
      </w:r>
      <w:r w:rsidR="00FF2F0C" w:rsidRPr="005F3D85">
        <w:rPr>
          <w:rFonts w:ascii="Arial" w:hAnsi="Arial" w:cs="Arial"/>
          <w:sz w:val="20"/>
          <w:szCs w:val="20"/>
        </w:rPr>
        <w:t>price,</w:t>
      </w:r>
      <w:r w:rsidR="00E56F63" w:rsidRPr="005F3D85">
        <w:rPr>
          <w:rFonts w:ascii="Arial" w:hAnsi="Arial" w:cs="Arial"/>
          <w:sz w:val="20"/>
          <w:szCs w:val="20"/>
        </w:rPr>
        <w:t xml:space="preserve"> on return on equity. </w:t>
      </w:r>
      <w:r w:rsidR="00AE7B98" w:rsidRPr="005F3D85">
        <w:rPr>
          <w:rFonts w:ascii="Arial" w:hAnsi="Arial" w:cs="Arial"/>
          <w:sz w:val="20"/>
          <w:szCs w:val="20"/>
        </w:rPr>
        <w:t>The study findings indicate that credit risk management (CRM) and share price (SP) have varying effects on firm performance in Tanzania. Results from the fixed effect and Hausman models show that credit risk management has a positive and significant impact, implying that effective management of credit risks enhances firm performance by reducing potential losses and improving financial stability. On the other hand, the effect of share price on firm performance is statistically insignificant across all models, suggesting that fluctuations in share prices alone do not substantially determine the overall performance of firms in Tanzania’s stock market.</w:t>
      </w:r>
    </w:p>
    <w:p w14:paraId="305F76A9" w14:textId="77777777" w:rsidR="00B11109" w:rsidRDefault="00B11109" w:rsidP="00DD0D42">
      <w:pPr>
        <w:rPr>
          <w:highlight w:val="yellow"/>
        </w:rPr>
      </w:pPr>
    </w:p>
    <w:p w14:paraId="1D867E95" w14:textId="77777777" w:rsidR="00B11109" w:rsidRDefault="00B11109" w:rsidP="00DD0D42">
      <w:pPr>
        <w:rPr>
          <w:highlight w:val="yellow"/>
        </w:rPr>
      </w:pPr>
    </w:p>
    <w:p w14:paraId="6FAA89F0" w14:textId="5957EF5C" w:rsidR="00DD0D42" w:rsidRPr="00740879" w:rsidRDefault="00DD0D42" w:rsidP="00DD0D42">
      <w:pPr>
        <w:rPr>
          <w:highlight w:val="yellow"/>
        </w:rPr>
      </w:pPr>
      <w:r w:rsidRPr="00740879">
        <w:rPr>
          <w:highlight w:val="yellow"/>
        </w:rPr>
        <w:t>Disclaimer (Artificial intelligence)</w:t>
      </w:r>
    </w:p>
    <w:p w14:paraId="7C7AA6BB" w14:textId="77777777" w:rsidR="00DD0D42" w:rsidRPr="00740879" w:rsidRDefault="00DD0D42" w:rsidP="00DD0D42">
      <w:pPr>
        <w:rPr>
          <w:highlight w:val="yellow"/>
        </w:rPr>
      </w:pPr>
      <w:r w:rsidRPr="00740879">
        <w:rPr>
          <w:highlight w:val="yellow"/>
        </w:rPr>
        <w:t xml:space="preserve">Option 1: </w:t>
      </w:r>
    </w:p>
    <w:p w14:paraId="085B5F87" w14:textId="77777777" w:rsidR="00DD0D42" w:rsidRPr="00740879" w:rsidRDefault="00DD0D42" w:rsidP="00DD0D4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46C80CE" w14:textId="77777777" w:rsidR="00DD0D42" w:rsidRPr="00740879" w:rsidRDefault="00DD0D42" w:rsidP="00DD0D42">
      <w:pPr>
        <w:rPr>
          <w:highlight w:val="yellow"/>
        </w:rPr>
      </w:pPr>
      <w:r w:rsidRPr="00740879">
        <w:rPr>
          <w:highlight w:val="yellow"/>
        </w:rPr>
        <w:t xml:space="preserve">Option 2: </w:t>
      </w:r>
    </w:p>
    <w:p w14:paraId="4196329B" w14:textId="77777777" w:rsidR="00DD0D42" w:rsidRPr="00740879" w:rsidRDefault="00DD0D42" w:rsidP="00DD0D42">
      <w:pPr>
        <w:rPr>
          <w:highlight w:val="yellow"/>
        </w:rPr>
      </w:pPr>
      <w:r w:rsidRPr="00740879">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2040FF" w14:textId="77777777" w:rsidR="00DD0D42" w:rsidRPr="00740879" w:rsidRDefault="00DD0D42" w:rsidP="00DD0D42">
      <w:pPr>
        <w:rPr>
          <w:highlight w:val="yellow"/>
        </w:rPr>
      </w:pPr>
      <w:r w:rsidRPr="00740879">
        <w:rPr>
          <w:highlight w:val="yellow"/>
        </w:rPr>
        <w:t>Details of the AI usage are given below:</w:t>
      </w:r>
    </w:p>
    <w:p w14:paraId="3F077641" w14:textId="573223BE" w:rsidR="001C550E" w:rsidRPr="001C550E" w:rsidRDefault="00DD0D42" w:rsidP="001C550E">
      <w:pPr>
        <w:rPr>
          <w:highlight w:val="yellow"/>
        </w:rPr>
      </w:pPr>
      <w:r w:rsidRPr="00740879">
        <w:rPr>
          <w:highlight w:val="yellow"/>
        </w:rPr>
        <w:t>1.</w:t>
      </w:r>
      <w:r w:rsidR="001C550E" w:rsidRPr="001C550E">
        <w:rPr>
          <w:highlight w:val="yellow"/>
        </w:rPr>
        <w:t xml:space="preserve"> Option 1: </w:t>
      </w:r>
    </w:p>
    <w:p w14:paraId="1C507F58" w14:textId="77777777" w:rsidR="001C550E" w:rsidRPr="001C550E" w:rsidRDefault="001C550E" w:rsidP="001C550E">
      <w:pPr>
        <w:rPr>
          <w:highlight w:val="yellow"/>
        </w:rPr>
      </w:pPr>
      <w:r w:rsidRPr="001C550E">
        <w:rPr>
          <w:highlight w:val="yellow"/>
        </w:rPr>
        <w:t xml:space="preserve">Author(s) hereby declare that NO generative AI technologies such as Large Language Models (ChatGPT, COPILOT, etc.) and text-to-image generators have been used during the writing or editing of this manuscript. </w:t>
      </w:r>
    </w:p>
    <w:p w14:paraId="026A4491" w14:textId="77777777" w:rsidR="00DD0D42" w:rsidRPr="00740879" w:rsidRDefault="00DD0D42" w:rsidP="00DD0D42">
      <w:pPr>
        <w:rPr>
          <w:highlight w:val="yellow"/>
        </w:rPr>
      </w:pPr>
    </w:p>
    <w:p w14:paraId="41D51E8E" w14:textId="77777777" w:rsidR="00DD0D42" w:rsidRPr="00740879" w:rsidRDefault="00DD0D42" w:rsidP="00DD0D42">
      <w:pPr>
        <w:rPr>
          <w:highlight w:val="yellow"/>
        </w:rPr>
      </w:pPr>
      <w:r w:rsidRPr="00740879">
        <w:rPr>
          <w:highlight w:val="yellow"/>
        </w:rPr>
        <w:t>2.</w:t>
      </w:r>
    </w:p>
    <w:p w14:paraId="28020A0D" w14:textId="77777777" w:rsidR="00DD0D42" w:rsidRPr="00D047BB" w:rsidRDefault="00DD0D42" w:rsidP="00DD0D42">
      <w:r w:rsidRPr="00740879">
        <w:rPr>
          <w:highlight w:val="yellow"/>
        </w:rPr>
        <w:t>3.</w:t>
      </w:r>
    </w:p>
    <w:p w14:paraId="5A7EB66A" w14:textId="77777777" w:rsidR="00AF3A47" w:rsidRPr="005F3D85" w:rsidRDefault="00AF3A47" w:rsidP="00757614">
      <w:pPr>
        <w:spacing w:after="0" w:line="240" w:lineRule="auto"/>
        <w:jc w:val="both"/>
        <w:rPr>
          <w:rFonts w:ascii="Arial" w:hAnsi="Arial" w:cs="Arial"/>
          <w:sz w:val="20"/>
          <w:szCs w:val="20"/>
        </w:rPr>
      </w:pPr>
    </w:p>
    <w:p w14:paraId="434624FB" w14:textId="09EA2BFE" w:rsidR="00E56F63" w:rsidRPr="005F3D85" w:rsidRDefault="004A6975" w:rsidP="004A6975">
      <w:pPr>
        <w:spacing w:after="0"/>
        <w:ind w:left="720"/>
        <w:rPr>
          <w:rFonts w:ascii="Arial" w:hAnsi="Arial" w:cs="Arial"/>
          <w:b/>
          <w:sz w:val="20"/>
          <w:szCs w:val="20"/>
        </w:rPr>
      </w:pPr>
      <w:r w:rsidRPr="005F3D85">
        <w:rPr>
          <w:rFonts w:ascii="Arial" w:hAnsi="Arial" w:cs="Arial"/>
          <w:b/>
          <w:sz w:val="20"/>
          <w:szCs w:val="20"/>
        </w:rPr>
        <w:t>References</w:t>
      </w:r>
    </w:p>
    <w:p w14:paraId="18DE913D"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Al Zaidanin, J. S., &amp; Al Zaidanin, O. J. (2021). The impact of credit risk management on the financial performance of United Arab Emirates commercial banks. </w:t>
      </w:r>
      <w:r w:rsidRPr="005F3D85">
        <w:rPr>
          <w:rFonts w:ascii="Arial" w:hAnsi="Arial" w:cs="Arial"/>
          <w:i/>
          <w:iCs/>
          <w:sz w:val="20"/>
          <w:szCs w:val="20"/>
        </w:rPr>
        <w:t>International Journal of Research in Business and Social Science (2147-4478)</w:t>
      </w:r>
      <w:r w:rsidRPr="005F3D85">
        <w:rPr>
          <w:rFonts w:ascii="Arial" w:hAnsi="Arial" w:cs="Arial"/>
          <w:sz w:val="20"/>
          <w:szCs w:val="20"/>
        </w:rPr>
        <w:t>, </w:t>
      </w:r>
      <w:r w:rsidRPr="005F3D85">
        <w:rPr>
          <w:rFonts w:ascii="Arial" w:hAnsi="Arial" w:cs="Arial"/>
          <w:i/>
          <w:iCs/>
          <w:sz w:val="20"/>
          <w:szCs w:val="20"/>
        </w:rPr>
        <w:t>10</w:t>
      </w:r>
      <w:r w:rsidRPr="005F3D85">
        <w:rPr>
          <w:rFonts w:ascii="Arial" w:hAnsi="Arial" w:cs="Arial"/>
          <w:sz w:val="20"/>
          <w:szCs w:val="20"/>
        </w:rPr>
        <w:t>(3), 303-319.</w:t>
      </w:r>
    </w:p>
    <w:p w14:paraId="2D769B1E"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Al-Hiyari, A., &amp; Kolsi, M. C. (2024). How do stock market participants value ESG performance? Evidence from Middle Eastern and North African Countries. </w:t>
      </w:r>
      <w:r w:rsidRPr="005F3D85">
        <w:rPr>
          <w:rFonts w:ascii="Arial" w:hAnsi="Arial" w:cs="Arial"/>
          <w:i/>
          <w:iCs/>
          <w:sz w:val="20"/>
          <w:szCs w:val="20"/>
        </w:rPr>
        <w:t>Global Business Review</w:t>
      </w:r>
      <w:r w:rsidRPr="005F3D85">
        <w:rPr>
          <w:rFonts w:ascii="Arial" w:hAnsi="Arial" w:cs="Arial"/>
          <w:sz w:val="20"/>
          <w:szCs w:val="20"/>
        </w:rPr>
        <w:t>, </w:t>
      </w:r>
      <w:r w:rsidRPr="005F3D85">
        <w:rPr>
          <w:rFonts w:ascii="Arial" w:hAnsi="Arial" w:cs="Arial"/>
          <w:i/>
          <w:iCs/>
          <w:sz w:val="20"/>
          <w:szCs w:val="20"/>
        </w:rPr>
        <w:t>25</w:t>
      </w:r>
      <w:r w:rsidRPr="005F3D85">
        <w:rPr>
          <w:rFonts w:ascii="Arial" w:hAnsi="Arial" w:cs="Arial"/>
          <w:sz w:val="20"/>
          <w:szCs w:val="20"/>
        </w:rPr>
        <w:t>(4), 934-956.</w:t>
      </w:r>
    </w:p>
    <w:p w14:paraId="3A298C17" w14:textId="77777777" w:rsidR="00CE55DF" w:rsidRPr="005F3D85" w:rsidRDefault="00CE55DF" w:rsidP="00924C1F">
      <w:pPr>
        <w:spacing w:after="0" w:line="240" w:lineRule="auto"/>
        <w:ind w:left="720" w:hanging="720"/>
        <w:jc w:val="both"/>
        <w:rPr>
          <w:rFonts w:ascii="Arial" w:hAnsi="Arial" w:cs="Arial"/>
          <w:b/>
          <w:bCs/>
          <w:sz w:val="20"/>
          <w:szCs w:val="20"/>
          <w:u w:val="single"/>
        </w:rPr>
      </w:pPr>
      <w:r w:rsidRPr="005F3D85">
        <w:rPr>
          <w:rFonts w:ascii="Arial" w:hAnsi="Arial" w:cs="Arial"/>
          <w:sz w:val="20"/>
          <w:szCs w:val="20"/>
        </w:rPr>
        <w:t>Álvarez-Otero, S. (2022).A European Empirical Study of Institutional Differences in IPOs Anomalies. </w:t>
      </w:r>
      <w:r w:rsidRPr="005F3D85">
        <w:rPr>
          <w:rFonts w:ascii="Arial" w:hAnsi="Arial" w:cs="Arial"/>
          <w:i/>
          <w:iCs/>
          <w:sz w:val="20"/>
          <w:szCs w:val="20"/>
        </w:rPr>
        <w:t>Journal of Risk and Financial Management</w:t>
      </w:r>
      <w:r w:rsidRPr="005F3D85">
        <w:rPr>
          <w:rFonts w:ascii="Arial" w:hAnsi="Arial" w:cs="Arial"/>
          <w:sz w:val="20"/>
          <w:szCs w:val="20"/>
        </w:rPr>
        <w:t>, </w:t>
      </w:r>
      <w:r w:rsidRPr="005F3D85">
        <w:rPr>
          <w:rFonts w:ascii="Arial" w:hAnsi="Arial" w:cs="Arial"/>
          <w:i/>
          <w:iCs/>
          <w:sz w:val="20"/>
          <w:szCs w:val="20"/>
        </w:rPr>
        <w:t>16</w:t>
      </w:r>
      <w:r w:rsidRPr="005F3D85">
        <w:rPr>
          <w:rFonts w:ascii="Arial" w:hAnsi="Arial" w:cs="Arial"/>
          <w:sz w:val="20"/>
          <w:szCs w:val="20"/>
        </w:rPr>
        <w:t>(1), DOI:</w:t>
      </w:r>
      <w:hyperlink r:id="rId8" w:tgtFrame="https://www.researchgate.net/publication/_blank" w:history="1">
        <w:r w:rsidRPr="005F3D85">
          <w:rPr>
            <w:rStyle w:val="Hyperlink"/>
            <w:rFonts w:ascii="Arial" w:hAnsi="Arial" w:cs="Arial"/>
            <w:color w:val="auto"/>
            <w:sz w:val="20"/>
            <w:szCs w:val="20"/>
          </w:rPr>
          <w:t>10.3390/jrfm16010008</w:t>
        </w:r>
      </w:hyperlink>
    </w:p>
    <w:p w14:paraId="66F01F0D"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Chindengiwke, J. D. (2023). The Nexus between Exchange Rate and Composite Stock Price Index in Tanzania. </w:t>
      </w:r>
      <w:r w:rsidRPr="005F3D85">
        <w:rPr>
          <w:rFonts w:ascii="Arial" w:hAnsi="Arial" w:cs="Arial"/>
          <w:i/>
          <w:iCs/>
          <w:sz w:val="20"/>
          <w:szCs w:val="20"/>
        </w:rPr>
        <w:t>African Development Finance Journal</w:t>
      </w:r>
      <w:r w:rsidRPr="005F3D85">
        <w:rPr>
          <w:rFonts w:ascii="Arial" w:hAnsi="Arial" w:cs="Arial"/>
          <w:sz w:val="20"/>
          <w:szCs w:val="20"/>
        </w:rPr>
        <w:t>, </w:t>
      </w:r>
      <w:r w:rsidRPr="005F3D85">
        <w:rPr>
          <w:rFonts w:ascii="Arial" w:hAnsi="Arial" w:cs="Arial"/>
          <w:i/>
          <w:iCs/>
          <w:sz w:val="20"/>
          <w:szCs w:val="20"/>
        </w:rPr>
        <w:t>6</w:t>
      </w:r>
      <w:r w:rsidRPr="005F3D85">
        <w:rPr>
          <w:rFonts w:ascii="Arial" w:hAnsi="Arial" w:cs="Arial"/>
          <w:sz w:val="20"/>
          <w:szCs w:val="20"/>
        </w:rPr>
        <w:t>(2), 148-166.</w:t>
      </w:r>
    </w:p>
    <w:p w14:paraId="24E4279E"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Chindengwike, J. D. (2024). Influence Of Dividend Pay-Out On The Share Price Volatility From Manufacturing Companies Listed At Dar es Salaam Stock Exchange. </w:t>
      </w:r>
      <w:r w:rsidRPr="005F3D85">
        <w:rPr>
          <w:rFonts w:ascii="Arial" w:hAnsi="Arial" w:cs="Arial"/>
          <w:i/>
          <w:iCs/>
          <w:sz w:val="20"/>
          <w:szCs w:val="20"/>
        </w:rPr>
        <w:t>African Banking and Finance Review Journal</w:t>
      </w:r>
      <w:r w:rsidRPr="005F3D85">
        <w:rPr>
          <w:rFonts w:ascii="Arial" w:hAnsi="Arial" w:cs="Arial"/>
          <w:sz w:val="20"/>
          <w:szCs w:val="20"/>
        </w:rPr>
        <w:t>, </w:t>
      </w:r>
      <w:r w:rsidRPr="005F3D85">
        <w:rPr>
          <w:rFonts w:ascii="Arial" w:hAnsi="Arial" w:cs="Arial"/>
          <w:i/>
          <w:iCs/>
          <w:sz w:val="20"/>
          <w:szCs w:val="20"/>
        </w:rPr>
        <w:t>15</w:t>
      </w:r>
      <w:r w:rsidRPr="005F3D85">
        <w:rPr>
          <w:rFonts w:ascii="Arial" w:hAnsi="Arial" w:cs="Arial"/>
          <w:sz w:val="20"/>
          <w:szCs w:val="20"/>
        </w:rPr>
        <w:t>(15), 242-256.</w:t>
      </w:r>
    </w:p>
    <w:p w14:paraId="5FD08F78"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Chindengwike, J. D. (2024). Nexus between financial leverage and dividend payout from manufacturing firms listed at Dar es Salaam stock exchange, Tanzania. </w:t>
      </w:r>
      <w:r w:rsidRPr="005F3D85">
        <w:rPr>
          <w:rFonts w:ascii="Arial" w:hAnsi="Arial" w:cs="Arial"/>
          <w:i/>
          <w:iCs/>
          <w:sz w:val="20"/>
          <w:szCs w:val="20"/>
        </w:rPr>
        <w:t>Cogent Business &amp; Management</w:t>
      </w:r>
      <w:r w:rsidRPr="005F3D85">
        <w:rPr>
          <w:rFonts w:ascii="Arial" w:hAnsi="Arial" w:cs="Arial"/>
          <w:sz w:val="20"/>
          <w:szCs w:val="20"/>
        </w:rPr>
        <w:t>, </w:t>
      </w:r>
      <w:r w:rsidRPr="005F3D85">
        <w:rPr>
          <w:rFonts w:ascii="Arial" w:hAnsi="Arial" w:cs="Arial"/>
          <w:i/>
          <w:iCs/>
          <w:sz w:val="20"/>
          <w:szCs w:val="20"/>
        </w:rPr>
        <w:t>11</w:t>
      </w:r>
      <w:r w:rsidRPr="005F3D85">
        <w:rPr>
          <w:rFonts w:ascii="Arial" w:hAnsi="Arial" w:cs="Arial"/>
          <w:sz w:val="20"/>
          <w:szCs w:val="20"/>
        </w:rPr>
        <w:t>(1), 2292345.</w:t>
      </w:r>
    </w:p>
    <w:p w14:paraId="5F1CDBD6"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Demir, S. (2022). Comparison of normality tests in terms of sample sizes under different skewness and Kurtosis coefficients. </w:t>
      </w:r>
      <w:r w:rsidRPr="005F3D85">
        <w:rPr>
          <w:rFonts w:ascii="Arial" w:hAnsi="Arial" w:cs="Arial"/>
          <w:i/>
          <w:iCs/>
          <w:sz w:val="20"/>
          <w:szCs w:val="20"/>
        </w:rPr>
        <w:t>International Journal of Assessment Tools in Education</w:t>
      </w:r>
      <w:r w:rsidRPr="005F3D85">
        <w:rPr>
          <w:rFonts w:ascii="Arial" w:hAnsi="Arial" w:cs="Arial"/>
          <w:sz w:val="20"/>
          <w:szCs w:val="20"/>
        </w:rPr>
        <w:t>, </w:t>
      </w:r>
      <w:r w:rsidRPr="005F3D85">
        <w:rPr>
          <w:rFonts w:ascii="Arial" w:hAnsi="Arial" w:cs="Arial"/>
          <w:i/>
          <w:iCs/>
          <w:sz w:val="20"/>
          <w:szCs w:val="20"/>
        </w:rPr>
        <w:t>9</w:t>
      </w:r>
      <w:r w:rsidRPr="005F3D85">
        <w:rPr>
          <w:rFonts w:ascii="Arial" w:hAnsi="Arial" w:cs="Arial"/>
          <w:sz w:val="20"/>
          <w:szCs w:val="20"/>
        </w:rPr>
        <w:t>(2), 397-409.</w:t>
      </w:r>
    </w:p>
    <w:p w14:paraId="712A9A7F"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 xml:space="preserve">Fama, E. F. (1970). Efficient capital markets: A review of theory and empirical work. </w:t>
      </w:r>
      <w:r w:rsidRPr="005F3D85">
        <w:rPr>
          <w:rFonts w:ascii="Arial" w:hAnsi="Arial" w:cs="Arial"/>
          <w:i/>
          <w:iCs/>
          <w:sz w:val="20"/>
          <w:szCs w:val="20"/>
        </w:rPr>
        <w:t>Journal of Finance, 25</w:t>
      </w:r>
      <w:r w:rsidRPr="005F3D85">
        <w:rPr>
          <w:rFonts w:ascii="Arial" w:hAnsi="Arial" w:cs="Arial"/>
          <w:sz w:val="20"/>
          <w:szCs w:val="20"/>
        </w:rPr>
        <w:t>(2), 383–417. https://doi.org/10.2307/2325486</w:t>
      </w:r>
    </w:p>
    <w:p w14:paraId="0A7600B6"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 xml:space="preserve">Fama, E. F., &amp; French, K. R. (2015). A five-factor asset pricing model. </w:t>
      </w:r>
      <w:r w:rsidRPr="005F3D85">
        <w:rPr>
          <w:rFonts w:ascii="Arial" w:hAnsi="Arial" w:cs="Arial"/>
          <w:i/>
          <w:iCs/>
          <w:sz w:val="20"/>
          <w:szCs w:val="20"/>
        </w:rPr>
        <w:t>Journal of Financial Economics</w:t>
      </w:r>
      <w:r w:rsidRPr="005F3D85">
        <w:rPr>
          <w:rFonts w:ascii="Arial" w:hAnsi="Arial" w:cs="Arial"/>
          <w:sz w:val="20"/>
          <w:szCs w:val="20"/>
        </w:rPr>
        <w:t>, 116(1), 1-22.</w:t>
      </w:r>
    </w:p>
    <w:p w14:paraId="6C060248"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Gil-Alana, L. A., Mudida, R., &amp; Kariuki, C. W. (2025). Stock market price dynamics in Africa: evidence from 14 countries. </w:t>
      </w:r>
      <w:r w:rsidRPr="005F3D85">
        <w:rPr>
          <w:rFonts w:ascii="Arial" w:hAnsi="Arial" w:cs="Arial"/>
          <w:i/>
          <w:iCs/>
          <w:sz w:val="20"/>
          <w:szCs w:val="20"/>
        </w:rPr>
        <w:t>Journal of Economic Studies</w:t>
      </w:r>
      <w:r w:rsidRPr="005F3D85">
        <w:rPr>
          <w:rFonts w:ascii="Arial" w:hAnsi="Arial" w:cs="Arial"/>
          <w:sz w:val="20"/>
          <w:szCs w:val="20"/>
        </w:rPr>
        <w:t>, </w:t>
      </w:r>
      <w:r w:rsidRPr="005F3D85">
        <w:rPr>
          <w:rFonts w:ascii="Arial" w:hAnsi="Arial" w:cs="Arial"/>
          <w:i/>
          <w:iCs/>
          <w:sz w:val="20"/>
          <w:szCs w:val="20"/>
        </w:rPr>
        <w:t>52</w:t>
      </w:r>
      <w:r w:rsidRPr="005F3D85">
        <w:rPr>
          <w:rFonts w:ascii="Arial" w:hAnsi="Arial" w:cs="Arial"/>
          <w:sz w:val="20"/>
          <w:szCs w:val="20"/>
        </w:rPr>
        <w:t>(9), 146-160.</w:t>
      </w:r>
    </w:p>
    <w:p w14:paraId="3D927EE4"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Hatem, G., Zeidan, J., Goossens, M., &amp; Moreira, C. (2022). Normality testing methods and the importance of skewness and kurtosis in statistical analysis. </w:t>
      </w:r>
      <w:r w:rsidRPr="005F3D85">
        <w:rPr>
          <w:rFonts w:ascii="Arial" w:hAnsi="Arial" w:cs="Arial"/>
          <w:i/>
          <w:iCs/>
          <w:sz w:val="20"/>
          <w:szCs w:val="20"/>
        </w:rPr>
        <w:t>BAU Journal-Science and Technology</w:t>
      </w:r>
      <w:r w:rsidRPr="005F3D85">
        <w:rPr>
          <w:rFonts w:ascii="Arial" w:hAnsi="Arial" w:cs="Arial"/>
          <w:sz w:val="20"/>
          <w:szCs w:val="20"/>
        </w:rPr>
        <w:t>, </w:t>
      </w:r>
      <w:r w:rsidRPr="005F3D85">
        <w:rPr>
          <w:rFonts w:ascii="Arial" w:hAnsi="Arial" w:cs="Arial"/>
          <w:i/>
          <w:iCs/>
          <w:sz w:val="20"/>
          <w:szCs w:val="20"/>
        </w:rPr>
        <w:t>3</w:t>
      </w:r>
      <w:r w:rsidRPr="005F3D85">
        <w:rPr>
          <w:rFonts w:ascii="Arial" w:hAnsi="Arial" w:cs="Arial"/>
          <w:sz w:val="20"/>
          <w:szCs w:val="20"/>
        </w:rPr>
        <w:t>(2), 7.</w:t>
      </w:r>
    </w:p>
    <w:p w14:paraId="381AB8AF"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 xml:space="preserve">Hausman, J. A. (1978). Specification Tests in Econometrics. </w:t>
      </w:r>
      <w:r w:rsidRPr="005F3D85">
        <w:rPr>
          <w:rFonts w:ascii="Arial" w:hAnsi="Arial" w:cs="Arial"/>
          <w:i/>
          <w:iCs/>
          <w:sz w:val="20"/>
          <w:szCs w:val="20"/>
        </w:rPr>
        <w:t>Econometrica</w:t>
      </w:r>
      <w:r w:rsidRPr="005F3D85">
        <w:rPr>
          <w:rFonts w:ascii="Arial" w:hAnsi="Arial" w:cs="Arial"/>
          <w:sz w:val="20"/>
          <w:szCs w:val="20"/>
        </w:rPr>
        <w:t xml:space="preserve">, </w:t>
      </w:r>
      <w:r w:rsidRPr="005F3D85">
        <w:rPr>
          <w:rFonts w:ascii="Arial" w:hAnsi="Arial" w:cs="Arial"/>
          <w:i/>
          <w:iCs/>
          <w:sz w:val="20"/>
          <w:szCs w:val="20"/>
        </w:rPr>
        <w:t>46</w:t>
      </w:r>
      <w:r w:rsidRPr="005F3D85">
        <w:rPr>
          <w:rFonts w:ascii="Arial" w:hAnsi="Arial" w:cs="Arial"/>
          <w:sz w:val="20"/>
          <w:szCs w:val="20"/>
        </w:rPr>
        <w:t>(6), 1251–1271. https://doi.org/10.2307/1913827</w:t>
      </w:r>
    </w:p>
    <w:p w14:paraId="742BF2D4"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Hearn, B. (2021). Institutional determinants of bid–ask spreads in Caribbean offshore stock exchanges. </w:t>
      </w:r>
      <w:r w:rsidRPr="005F3D85">
        <w:rPr>
          <w:rFonts w:ascii="Arial" w:hAnsi="Arial" w:cs="Arial"/>
          <w:i/>
          <w:iCs/>
          <w:sz w:val="20"/>
          <w:szCs w:val="20"/>
        </w:rPr>
        <w:t>Research in International Business and Finance</w:t>
      </w:r>
      <w:r w:rsidRPr="005F3D85">
        <w:rPr>
          <w:rFonts w:ascii="Arial" w:hAnsi="Arial" w:cs="Arial"/>
          <w:sz w:val="20"/>
          <w:szCs w:val="20"/>
        </w:rPr>
        <w:t>, </w:t>
      </w:r>
      <w:r w:rsidRPr="005F3D85">
        <w:rPr>
          <w:rFonts w:ascii="Arial" w:hAnsi="Arial" w:cs="Arial"/>
          <w:i/>
          <w:iCs/>
          <w:sz w:val="20"/>
          <w:szCs w:val="20"/>
        </w:rPr>
        <w:t>58</w:t>
      </w:r>
      <w:r w:rsidRPr="005F3D85">
        <w:rPr>
          <w:rFonts w:ascii="Arial" w:hAnsi="Arial" w:cs="Arial"/>
          <w:sz w:val="20"/>
          <w:szCs w:val="20"/>
        </w:rPr>
        <w:t>, 101507.</w:t>
      </w:r>
    </w:p>
    <w:p w14:paraId="550FA660"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Hirose, M., &amp; Creswell, J. W. (2023).Applying core quality criteria of mixed methods research to an empirical study. </w:t>
      </w:r>
      <w:r w:rsidRPr="005F3D85">
        <w:rPr>
          <w:rFonts w:ascii="Arial" w:hAnsi="Arial" w:cs="Arial"/>
          <w:i/>
          <w:iCs/>
          <w:sz w:val="20"/>
          <w:szCs w:val="20"/>
        </w:rPr>
        <w:t>Journal of Mixed Methods Research</w:t>
      </w:r>
      <w:r w:rsidRPr="005F3D85">
        <w:rPr>
          <w:rFonts w:ascii="Arial" w:hAnsi="Arial" w:cs="Arial"/>
          <w:sz w:val="20"/>
          <w:szCs w:val="20"/>
        </w:rPr>
        <w:t>, </w:t>
      </w:r>
      <w:r w:rsidRPr="005F3D85">
        <w:rPr>
          <w:rFonts w:ascii="Arial" w:hAnsi="Arial" w:cs="Arial"/>
          <w:i/>
          <w:iCs/>
          <w:sz w:val="20"/>
          <w:szCs w:val="20"/>
        </w:rPr>
        <w:t>17</w:t>
      </w:r>
      <w:r w:rsidRPr="005F3D85">
        <w:rPr>
          <w:rFonts w:ascii="Arial" w:hAnsi="Arial" w:cs="Arial"/>
          <w:sz w:val="20"/>
          <w:szCs w:val="20"/>
        </w:rPr>
        <w:t>(1), 12-28.</w:t>
      </w:r>
    </w:p>
    <w:p w14:paraId="546E985A" w14:textId="77777777" w:rsidR="00CE55DF" w:rsidRPr="008F3258" w:rsidRDefault="00CE55DF" w:rsidP="008F3258">
      <w:pPr>
        <w:spacing w:after="0" w:line="240" w:lineRule="auto"/>
        <w:ind w:left="720" w:hanging="720"/>
        <w:jc w:val="both"/>
        <w:rPr>
          <w:rFonts w:ascii="Arial" w:hAnsi="Arial" w:cs="Arial"/>
          <w:iCs/>
          <w:sz w:val="20"/>
          <w:szCs w:val="20"/>
        </w:rPr>
      </w:pPr>
      <w:r w:rsidRPr="008F3258">
        <w:rPr>
          <w:rFonts w:ascii="Arial" w:hAnsi="Arial" w:cs="Arial"/>
          <w:iCs/>
          <w:sz w:val="20"/>
          <w:szCs w:val="20"/>
        </w:rPr>
        <w:lastRenderedPageBreak/>
        <w:t xml:space="preserve">Ismail, T. H., &amp; Obiedallah, Y. R. (2022). Firm performance and cost of equity capital: The moderating role of narrative risk disclosure quality in Egypt. </w:t>
      </w:r>
      <w:r w:rsidRPr="008F3258">
        <w:rPr>
          <w:rFonts w:ascii="Arial" w:hAnsi="Arial" w:cs="Arial"/>
          <w:i/>
          <w:iCs/>
          <w:sz w:val="20"/>
          <w:szCs w:val="20"/>
        </w:rPr>
        <w:t>Future Business Journal, 8</w:t>
      </w:r>
      <w:r w:rsidRPr="008F3258">
        <w:rPr>
          <w:rFonts w:ascii="Arial" w:hAnsi="Arial" w:cs="Arial"/>
          <w:iCs/>
          <w:sz w:val="20"/>
          <w:szCs w:val="20"/>
        </w:rPr>
        <w:t>(44), 1–19. https://doi.org/10.1186/s43093-022-00156-2</w:t>
      </w:r>
    </w:p>
    <w:p w14:paraId="31D7889E" w14:textId="77777777" w:rsidR="00CE55DF" w:rsidRPr="008F3258" w:rsidRDefault="00CE55DF" w:rsidP="008F3258">
      <w:pPr>
        <w:spacing w:after="0" w:line="240" w:lineRule="auto"/>
        <w:ind w:left="720" w:hanging="720"/>
        <w:jc w:val="both"/>
        <w:rPr>
          <w:rFonts w:ascii="Arial" w:hAnsi="Arial" w:cs="Arial"/>
          <w:iCs/>
          <w:sz w:val="20"/>
          <w:szCs w:val="20"/>
        </w:rPr>
      </w:pPr>
      <w:r w:rsidRPr="008F3258">
        <w:rPr>
          <w:rFonts w:ascii="Arial" w:hAnsi="Arial" w:cs="Arial"/>
          <w:iCs/>
          <w:sz w:val="20"/>
          <w:szCs w:val="20"/>
        </w:rPr>
        <w:t xml:space="preserve">Jagirani, T. S., Lim, C. C., &amp; </w:t>
      </w:r>
      <w:proofErr w:type="spellStart"/>
      <w:r w:rsidRPr="008F3258">
        <w:rPr>
          <w:rFonts w:ascii="Arial" w:hAnsi="Arial" w:cs="Arial"/>
          <w:iCs/>
          <w:sz w:val="20"/>
          <w:szCs w:val="20"/>
        </w:rPr>
        <w:t>Kosim</w:t>
      </w:r>
      <w:proofErr w:type="spellEnd"/>
      <w:r w:rsidRPr="008F3258">
        <w:rPr>
          <w:rFonts w:ascii="Arial" w:hAnsi="Arial" w:cs="Arial"/>
          <w:iCs/>
          <w:sz w:val="20"/>
          <w:szCs w:val="20"/>
        </w:rPr>
        <w:t xml:space="preserve">, Z. (2023). Relationship between financial risks and firm value: A moderating role of capital adequacy. </w:t>
      </w:r>
      <w:r w:rsidRPr="008F3258">
        <w:rPr>
          <w:rFonts w:ascii="Arial" w:hAnsi="Arial" w:cs="Arial"/>
          <w:i/>
          <w:iCs/>
          <w:sz w:val="20"/>
          <w:szCs w:val="20"/>
        </w:rPr>
        <w:t>Investment Management &amp; Financial Innovations, 20</w:t>
      </w:r>
      <w:r w:rsidRPr="008F3258">
        <w:rPr>
          <w:rFonts w:ascii="Arial" w:hAnsi="Arial" w:cs="Arial"/>
          <w:iCs/>
          <w:sz w:val="20"/>
          <w:szCs w:val="20"/>
        </w:rPr>
        <w:t xml:space="preserve">(1), 293–303. </w:t>
      </w:r>
      <w:hyperlink r:id="rId9" w:history="1">
        <w:r w:rsidRPr="007377AF">
          <w:rPr>
            <w:rStyle w:val="Hyperlink"/>
            <w:rFonts w:ascii="Arial" w:hAnsi="Arial" w:cs="Arial"/>
            <w:iCs/>
            <w:sz w:val="20"/>
            <w:szCs w:val="20"/>
          </w:rPr>
          <w:t>https://doi.org/10.21511/imfi</w:t>
        </w:r>
      </w:hyperlink>
      <w:r w:rsidRPr="008F3258">
        <w:rPr>
          <w:rFonts w:ascii="Arial" w:hAnsi="Arial" w:cs="Arial"/>
          <w:iCs/>
          <w:sz w:val="20"/>
          <w:szCs w:val="20"/>
        </w:rPr>
        <w:t>.</w:t>
      </w:r>
      <w:r>
        <w:rPr>
          <w:rFonts w:ascii="Arial" w:hAnsi="Arial" w:cs="Arial"/>
          <w:iCs/>
          <w:sz w:val="20"/>
          <w:szCs w:val="20"/>
        </w:rPr>
        <w:t xml:space="preserve"> </w:t>
      </w:r>
      <w:r w:rsidRPr="008F3258">
        <w:rPr>
          <w:rFonts w:ascii="Arial" w:hAnsi="Arial" w:cs="Arial"/>
          <w:iCs/>
          <w:sz w:val="20"/>
          <w:szCs w:val="20"/>
        </w:rPr>
        <w:t>20</w:t>
      </w:r>
      <w:r>
        <w:rPr>
          <w:rFonts w:ascii="Arial" w:hAnsi="Arial" w:cs="Arial"/>
          <w:iCs/>
          <w:sz w:val="20"/>
          <w:szCs w:val="20"/>
        </w:rPr>
        <w:t xml:space="preserve"> </w:t>
      </w:r>
      <w:r w:rsidRPr="008F3258">
        <w:rPr>
          <w:rFonts w:ascii="Arial" w:hAnsi="Arial" w:cs="Arial"/>
          <w:iCs/>
          <w:sz w:val="20"/>
          <w:szCs w:val="20"/>
        </w:rPr>
        <w:t>(1).2023.25</w:t>
      </w:r>
    </w:p>
    <w:p w14:paraId="34A0D9A9"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King, W. N. O., &amp; Iwedi, M. (2023). Liquidity Risk Management Practices and Profitability of Banking Firms in Nigeria. </w:t>
      </w:r>
      <w:r w:rsidRPr="005F3D85">
        <w:rPr>
          <w:rFonts w:ascii="Arial" w:hAnsi="Arial" w:cs="Arial"/>
          <w:i/>
          <w:iCs/>
          <w:sz w:val="20"/>
          <w:szCs w:val="20"/>
        </w:rPr>
        <w:t>Mod Econ Manag</w:t>
      </w:r>
      <w:r w:rsidRPr="005F3D85">
        <w:rPr>
          <w:rFonts w:ascii="Arial" w:hAnsi="Arial" w:cs="Arial"/>
          <w:sz w:val="20"/>
          <w:szCs w:val="20"/>
        </w:rPr>
        <w:t>, </w:t>
      </w:r>
      <w:r w:rsidRPr="005F3D85">
        <w:rPr>
          <w:rFonts w:ascii="Arial" w:hAnsi="Arial" w:cs="Arial"/>
          <w:i/>
          <w:iCs/>
          <w:sz w:val="20"/>
          <w:szCs w:val="20"/>
        </w:rPr>
        <w:t>2</w:t>
      </w:r>
      <w:r w:rsidRPr="005F3D85">
        <w:rPr>
          <w:rFonts w:ascii="Arial" w:hAnsi="Arial" w:cs="Arial"/>
          <w:sz w:val="20"/>
          <w:szCs w:val="20"/>
        </w:rPr>
        <w:t>.</w:t>
      </w:r>
    </w:p>
    <w:p w14:paraId="19CAEE15" w14:textId="77777777" w:rsidR="00CE55DF" w:rsidRPr="005F3D85" w:rsidRDefault="00CE55DF" w:rsidP="00924C1F">
      <w:pPr>
        <w:spacing w:after="0" w:line="240" w:lineRule="auto"/>
        <w:ind w:left="720" w:hanging="720"/>
        <w:jc w:val="both"/>
        <w:rPr>
          <w:rFonts w:ascii="Arial" w:hAnsi="Arial" w:cs="Arial"/>
          <w:sz w:val="20"/>
          <w:szCs w:val="20"/>
          <w:lang w:val="en-GB"/>
        </w:rPr>
      </w:pPr>
      <w:r w:rsidRPr="005F3D85">
        <w:rPr>
          <w:rFonts w:ascii="Arial" w:hAnsi="Arial" w:cs="Arial"/>
          <w:sz w:val="20"/>
          <w:szCs w:val="20"/>
        </w:rPr>
        <w:t>Kiptoo, I. K., Kariuki, S. N., &amp;Ocharo, K. N. (2021).Risk management and financial performance of insurance firms in Kenya. </w:t>
      </w:r>
      <w:r w:rsidRPr="005F3D85">
        <w:rPr>
          <w:rFonts w:ascii="Arial" w:hAnsi="Arial" w:cs="Arial"/>
          <w:i/>
          <w:iCs/>
          <w:sz w:val="20"/>
          <w:szCs w:val="20"/>
        </w:rPr>
        <w:t>Cogent Business &amp; Management</w:t>
      </w:r>
      <w:r w:rsidRPr="005F3D85">
        <w:rPr>
          <w:rFonts w:ascii="Arial" w:hAnsi="Arial" w:cs="Arial"/>
          <w:sz w:val="20"/>
          <w:szCs w:val="20"/>
        </w:rPr>
        <w:t>, </w:t>
      </w:r>
      <w:r w:rsidRPr="005F3D85">
        <w:rPr>
          <w:rFonts w:ascii="Arial" w:hAnsi="Arial" w:cs="Arial"/>
          <w:i/>
          <w:iCs/>
          <w:sz w:val="20"/>
          <w:szCs w:val="20"/>
        </w:rPr>
        <w:t>8</w:t>
      </w:r>
      <w:r w:rsidRPr="005F3D85">
        <w:rPr>
          <w:rFonts w:ascii="Arial" w:hAnsi="Arial" w:cs="Arial"/>
          <w:sz w:val="20"/>
          <w:szCs w:val="20"/>
        </w:rPr>
        <w:t>(1), 1997246.</w:t>
      </w:r>
    </w:p>
    <w:p w14:paraId="191C4C43"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Kizys, R., Tzouvanas, P., &amp;Donadelli, M. (2021).From COVID-19 herd immunity to investor herding in international stock markets: The role of government and regulatory restrictions. </w:t>
      </w:r>
      <w:r w:rsidRPr="005F3D85">
        <w:rPr>
          <w:rFonts w:ascii="Arial" w:hAnsi="Arial" w:cs="Arial"/>
          <w:i/>
          <w:iCs/>
          <w:sz w:val="20"/>
          <w:szCs w:val="20"/>
        </w:rPr>
        <w:t>International Review of Financial Analysis</w:t>
      </w:r>
      <w:r w:rsidRPr="005F3D85">
        <w:rPr>
          <w:rFonts w:ascii="Arial" w:hAnsi="Arial" w:cs="Arial"/>
          <w:sz w:val="20"/>
          <w:szCs w:val="20"/>
        </w:rPr>
        <w:t>, </w:t>
      </w:r>
      <w:r w:rsidRPr="005F3D85">
        <w:rPr>
          <w:rFonts w:ascii="Arial" w:hAnsi="Arial" w:cs="Arial"/>
          <w:i/>
          <w:iCs/>
          <w:sz w:val="20"/>
          <w:szCs w:val="20"/>
        </w:rPr>
        <w:t>74</w:t>
      </w:r>
      <w:r w:rsidRPr="005F3D85">
        <w:rPr>
          <w:rFonts w:ascii="Arial" w:hAnsi="Arial" w:cs="Arial"/>
          <w:sz w:val="20"/>
          <w:szCs w:val="20"/>
        </w:rPr>
        <w:t>, 101663.</w:t>
      </w:r>
    </w:p>
    <w:p w14:paraId="6DA65564" w14:textId="77777777" w:rsidR="00CE55DF" w:rsidRPr="005F3D85" w:rsidRDefault="00CE55DF" w:rsidP="00924C1F">
      <w:pPr>
        <w:spacing w:after="0" w:line="240" w:lineRule="auto"/>
        <w:ind w:left="720" w:hanging="720"/>
        <w:jc w:val="both"/>
        <w:rPr>
          <w:rFonts w:ascii="Arial" w:hAnsi="Arial" w:cs="Arial"/>
          <w:sz w:val="20"/>
          <w:szCs w:val="20"/>
          <w:lang w:val="en-GB"/>
        </w:rPr>
      </w:pPr>
      <w:r w:rsidRPr="005F3D85">
        <w:rPr>
          <w:rFonts w:ascii="Arial" w:hAnsi="Arial" w:cs="Arial"/>
          <w:sz w:val="20"/>
          <w:szCs w:val="20"/>
        </w:rPr>
        <w:t>Koleosho, A. O., Akintoye, I. R., &amp;Ajibade, A. T. (2022).The effect of dividend policy on share price volatility of some selected companies on the Nigerian exchange. </w:t>
      </w:r>
      <w:r w:rsidRPr="005F3D85">
        <w:rPr>
          <w:rFonts w:ascii="Arial" w:hAnsi="Arial" w:cs="Arial"/>
          <w:i/>
          <w:iCs/>
          <w:sz w:val="20"/>
          <w:szCs w:val="20"/>
        </w:rPr>
        <w:t>Journal of Accounting, Business and Finance Research</w:t>
      </w:r>
      <w:r w:rsidRPr="005F3D85">
        <w:rPr>
          <w:rFonts w:ascii="Arial" w:hAnsi="Arial" w:cs="Arial"/>
          <w:sz w:val="20"/>
          <w:szCs w:val="20"/>
        </w:rPr>
        <w:t>, </w:t>
      </w:r>
      <w:r w:rsidRPr="005F3D85">
        <w:rPr>
          <w:rFonts w:ascii="Arial" w:hAnsi="Arial" w:cs="Arial"/>
          <w:i/>
          <w:iCs/>
          <w:sz w:val="20"/>
          <w:szCs w:val="20"/>
        </w:rPr>
        <w:t>15</w:t>
      </w:r>
      <w:r w:rsidRPr="005F3D85">
        <w:rPr>
          <w:rFonts w:ascii="Arial" w:hAnsi="Arial" w:cs="Arial"/>
          <w:sz w:val="20"/>
          <w:szCs w:val="20"/>
        </w:rPr>
        <w:t>(1), 10-20.</w:t>
      </w:r>
    </w:p>
    <w:p w14:paraId="2126E03B"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Levitt, H. M., Morrill, Z., Collins, K. M., &amp;Rizo, J. L. (2021). The methodological integrity of critical qualitative research: Principles to support design and research review. </w:t>
      </w:r>
      <w:r w:rsidRPr="005F3D85">
        <w:rPr>
          <w:rFonts w:ascii="Arial" w:hAnsi="Arial" w:cs="Arial"/>
          <w:i/>
          <w:iCs/>
          <w:sz w:val="20"/>
          <w:szCs w:val="20"/>
        </w:rPr>
        <w:t>Journal of Counseling Psychology</w:t>
      </w:r>
      <w:r w:rsidRPr="005F3D85">
        <w:rPr>
          <w:rFonts w:ascii="Arial" w:hAnsi="Arial" w:cs="Arial"/>
          <w:sz w:val="20"/>
          <w:szCs w:val="20"/>
        </w:rPr>
        <w:t>, </w:t>
      </w:r>
      <w:r w:rsidRPr="005F3D85">
        <w:rPr>
          <w:rFonts w:ascii="Arial" w:hAnsi="Arial" w:cs="Arial"/>
          <w:i/>
          <w:iCs/>
          <w:sz w:val="20"/>
          <w:szCs w:val="20"/>
        </w:rPr>
        <w:t>68</w:t>
      </w:r>
      <w:r w:rsidRPr="005F3D85">
        <w:rPr>
          <w:rFonts w:ascii="Arial" w:hAnsi="Arial" w:cs="Arial"/>
          <w:sz w:val="20"/>
          <w:szCs w:val="20"/>
        </w:rPr>
        <w:t>(3), 357.</w:t>
      </w:r>
    </w:p>
    <w:p w14:paraId="6B74F77F" w14:textId="77777777" w:rsidR="00CE55DF" w:rsidRPr="00CE55DF" w:rsidRDefault="00CE55DF" w:rsidP="00CE55DF">
      <w:pPr>
        <w:spacing w:after="0" w:line="240" w:lineRule="auto"/>
        <w:ind w:left="720" w:hanging="720"/>
        <w:jc w:val="both"/>
        <w:rPr>
          <w:rFonts w:ascii="Arial" w:hAnsi="Arial" w:cs="Arial"/>
          <w:iCs/>
          <w:sz w:val="20"/>
          <w:szCs w:val="20"/>
        </w:rPr>
      </w:pPr>
      <w:r w:rsidRPr="00CE55DF">
        <w:rPr>
          <w:rFonts w:ascii="Arial" w:hAnsi="Arial" w:cs="Arial"/>
          <w:iCs/>
          <w:sz w:val="20"/>
          <w:szCs w:val="20"/>
        </w:rPr>
        <w:t xml:space="preserve">Lim, J., &amp; Brooks, C. (2023). Revisiting the efficient market hypothesis in emerging economies: Evidence from African stock exchanges. </w:t>
      </w:r>
      <w:r w:rsidRPr="00CE55DF">
        <w:rPr>
          <w:rFonts w:ascii="Arial" w:hAnsi="Arial" w:cs="Arial"/>
          <w:i/>
          <w:iCs/>
          <w:sz w:val="20"/>
          <w:szCs w:val="20"/>
        </w:rPr>
        <w:t>Emerging Markets Finance and Trade, 59</w:t>
      </w:r>
      <w:r w:rsidRPr="00CE55DF">
        <w:rPr>
          <w:rFonts w:ascii="Arial" w:hAnsi="Arial" w:cs="Arial"/>
          <w:iCs/>
          <w:sz w:val="20"/>
          <w:szCs w:val="20"/>
        </w:rPr>
        <w:t xml:space="preserve">(4), 987–1004. </w:t>
      </w:r>
      <w:hyperlink r:id="rId10" w:history="1">
        <w:r w:rsidRPr="00CE55DF">
          <w:rPr>
            <w:rStyle w:val="Hyperlink"/>
            <w:rFonts w:ascii="Arial" w:hAnsi="Arial" w:cs="Arial"/>
            <w:iCs/>
            <w:sz w:val="20"/>
            <w:szCs w:val="20"/>
          </w:rPr>
          <w:t>https://doi.org/10.1080/1540496X.2022.2161593</w:t>
        </w:r>
      </w:hyperlink>
    </w:p>
    <w:p w14:paraId="0147A898"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 xml:space="preserve">Lusiana, H. (2020). The Effect of Return on Equity (ROE) and Earning per Share (EPS) on Stock Prices </w:t>
      </w:r>
      <w:proofErr w:type="gramStart"/>
      <w:r w:rsidRPr="005F3D85">
        <w:rPr>
          <w:rFonts w:ascii="Arial" w:hAnsi="Arial" w:cs="Arial"/>
          <w:sz w:val="20"/>
          <w:szCs w:val="20"/>
        </w:rPr>
        <w:t>In</w:t>
      </w:r>
      <w:proofErr w:type="gramEnd"/>
      <w:r w:rsidRPr="005F3D85">
        <w:rPr>
          <w:rFonts w:ascii="Arial" w:hAnsi="Arial" w:cs="Arial"/>
          <w:sz w:val="20"/>
          <w:szCs w:val="20"/>
        </w:rPr>
        <w:t xml:space="preserve"> Indonesia Stock Exchange 2015-2018. </w:t>
      </w:r>
      <w:r w:rsidRPr="005F3D85">
        <w:rPr>
          <w:rFonts w:ascii="Arial" w:hAnsi="Arial" w:cs="Arial"/>
          <w:i/>
          <w:iCs/>
          <w:sz w:val="20"/>
          <w:szCs w:val="20"/>
        </w:rPr>
        <w:t>Ilomata International Journal of Tax and Accounting</w:t>
      </w:r>
      <w:r w:rsidRPr="005F3D85">
        <w:rPr>
          <w:rFonts w:ascii="Arial" w:hAnsi="Arial" w:cs="Arial"/>
          <w:sz w:val="20"/>
          <w:szCs w:val="20"/>
        </w:rPr>
        <w:t>, </w:t>
      </w:r>
      <w:r w:rsidRPr="005F3D85">
        <w:rPr>
          <w:rFonts w:ascii="Arial" w:hAnsi="Arial" w:cs="Arial"/>
          <w:i/>
          <w:iCs/>
          <w:sz w:val="20"/>
          <w:szCs w:val="20"/>
        </w:rPr>
        <w:t>1</w:t>
      </w:r>
      <w:r w:rsidRPr="005F3D85">
        <w:rPr>
          <w:rFonts w:ascii="Arial" w:hAnsi="Arial" w:cs="Arial"/>
          <w:sz w:val="20"/>
          <w:szCs w:val="20"/>
        </w:rPr>
        <w:t>(3), 132-138.</w:t>
      </w:r>
    </w:p>
    <w:p w14:paraId="351B8099" w14:textId="77777777" w:rsidR="00CE55DF" w:rsidRPr="00ED0F5D" w:rsidRDefault="00CE55DF" w:rsidP="00ED0F5D">
      <w:pPr>
        <w:spacing w:after="0" w:line="240" w:lineRule="auto"/>
        <w:ind w:left="720" w:hanging="720"/>
        <w:jc w:val="both"/>
        <w:rPr>
          <w:rFonts w:ascii="Arial" w:hAnsi="Arial" w:cs="Arial"/>
          <w:i/>
          <w:iCs/>
          <w:sz w:val="20"/>
          <w:szCs w:val="20"/>
        </w:rPr>
      </w:pPr>
      <w:r w:rsidRPr="00ED0F5D">
        <w:rPr>
          <w:rFonts w:ascii="Arial" w:hAnsi="Arial" w:cs="Arial"/>
          <w:iCs/>
          <w:sz w:val="20"/>
          <w:szCs w:val="20"/>
        </w:rPr>
        <w:t>Masoud, A., &amp; Sulley, H. (2023). The impact of stock market development on firm performance in emerging economies: Evidence from Tanzania.</w:t>
      </w:r>
      <w:r w:rsidRPr="00ED0F5D">
        <w:rPr>
          <w:rFonts w:ascii="Arial" w:hAnsi="Arial" w:cs="Arial"/>
          <w:i/>
          <w:iCs/>
          <w:sz w:val="20"/>
          <w:szCs w:val="20"/>
        </w:rPr>
        <w:t xml:space="preserve"> Journal of Finance and Economic Development, </w:t>
      </w:r>
      <w:r w:rsidRPr="00ED0F5D">
        <w:rPr>
          <w:rFonts w:ascii="Arial" w:hAnsi="Arial" w:cs="Arial"/>
          <w:iCs/>
          <w:sz w:val="20"/>
          <w:szCs w:val="20"/>
        </w:rPr>
        <w:t>15(2), 45–60.</w:t>
      </w:r>
      <w:r w:rsidRPr="00ED0F5D">
        <w:rPr>
          <w:rFonts w:ascii="Arial" w:hAnsi="Arial" w:cs="Arial"/>
          <w:i/>
          <w:iCs/>
          <w:sz w:val="20"/>
          <w:szCs w:val="20"/>
        </w:rPr>
        <w:t xml:space="preserve"> </w:t>
      </w:r>
    </w:p>
    <w:p w14:paraId="7B213BF4" w14:textId="77777777" w:rsidR="00CE55DF" w:rsidRPr="00ED0F5D" w:rsidRDefault="00CE55DF" w:rsidP="00ED0F5D">
      <w:pPr>
        <w:spacing w:after="0" w:line="240" w:lineRule="auto"/>
        <w:ind w:left="720" w:hanging="720"/>
        <w:jc w:val="both"/>
        <w:rPr>
          <w:rFonts w:ascii="Arial" w:hAnsi="Arial" w:cs="Arial"/>
          <w:i/>
          <w:iCs/>
          <w:sz w:val="20"/>
          <w:szCs w:val="20"/>
        </w:rPr>
      </w:pPr>
      <w:r w:rsidRPr="00ED0F5D">
        <w:rPr>
          <w:rFonts w:ascii="Arial" w:hAnsi="Arial" w:cs="Arial"/>
          <w:iCs/>
          <w:sz w:val="20"/>
          <w:szCs w:val="20"/>
        </w:rPr>
        <w:t>Mtani, K. (2025). Risk management practices and their effect on firm performance in the Tanzanian stock market.</w:t>
      </w:r>
      <w:r w:rsidRPr="00ED0F5D">
        <w:rPr>
          <w:rFonts w:ascii="Arial" w:hAnsi="Arial" w:cs="Arial"/>
          <w:i/>
          <w:iCs/>
          <w:sz w:val="20"/>
          <w:szCs w:val="20"/>
        </w:rPr>
        <w:t xml:space="preserve"> Tanzania Journal of Accounting and Finance, </w:t>
      </w:r>
      <w:r w:rsidRPr="00ED0F5D">
        <w:rPr>
          <w:rFonts w:ascii="Arial" w:hAnsi="Arial" w:cs="Arial"/>
          <w:iCs/>
          <w:sz w:val="20"/>
          <w:szCs w:val="20"/>
        </w:rPr>
        <w:t>8(1), 21–38.</w:t>
      </w:r>
      <w:r w:rsidRPr="00ED0F5D">
        <w:rPr>
          <w:rFonts w:ascii="Arial" w:hAnsi="Arial" w:cs="Arial"/>
          <w:i/>
          <w:iCs/>
          <w:sz w:val="20"/>
          <w:szCs w:val="20"/>
        </w:rPr>
        <w:t xml:space="preserve"> </w:t>
      </w:r>
    </w:p>
    <w:p w14:paraId="45060B32"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Mugenda, N. G. (2023). </w:t>
      </w:r>
      <w:r w:rsidRPr="005F3D85">
        <w:rPr>
          <w:rFonts w:ascii="Arial" w:hAnsi="Arial" w:cs="Arial"/>
          <w:i/>
          <w:iCs/>
          <w:sz w:val="20"/>
          <w:szCs w:val="20"/>
        </w:rPr>
        <w:t>Asset Pricing Risk Premia, Investor Sentiment and Stock Returns in Kenya</w:t>
      </w:r>
      <w:r w:rsidRPr="005F3D85">
        <w:rPr>
          <w:rFonts w:ascii="Arial" w:hAnsi="Arial" w:cs="Arial"/>
          <w:sz w:val="20"/>
          <w:szCs w:val="20"/>
        </w:rPr>
        <w:t> (Doctoral dissertation, JKUAT-COHRED).</w:t>
      </w:r>
    </w:p>
    <w:p w14:paraId="13E84FAA" w14:textId="77777777" w:rsidR="00CE55DF" w:rsidRPr="00ED0F5D" w:rsidRDefault="00CE55DF" w:rsidP="00ED0F5D">
      <w:pPr>
        <w:spacing w:after="0" w:line="240" w:lineRule="auto"/>
        <w:ind w:left="720" w:hanging="720"/>
        <w:jc w:val="both"/>
        <w:rPr>
          <w:rFonts w:ascii="Arial" w:hAnsi="Arial" w:cs="Arial"/>
          <w:i/>
          <w:iCs/>
          <w:sz w:val="20"/>
          <w:szCs w:val="20"/>
        </w:rPr>
      </w:pPr>
      <w:r w:rsidRPr="00ED0F5D">
        <w:rPr>
          <w:rFonts w:ascii="Arial" w:hAnsi="Arial" w:cs="Arial"/>
          <w:iCs/>
          <w:sz w:val="20"/>
          <w:szCs w:val="20"/>
        </w:rPr>
        <w:t xml:space="preserve">Mwangi, L. (2023). Regulatory environment and performance of listed firms in Sub-Saharan Africa. </w:t>
      </w:r>
      <w:r w:rsidRPr="00ED0F5D">
        <w:rPr>
          <w:rFonts w:ascii="Arial" w:hAnsi="Arial" w:cs="Arial"/>
          <w:i/>
          <w:iCs/>
          <w:sz w:val="20"/>
          <w:szCs w:val="20"/>
        </w:rPr>
        <w:t xml:space="preserve">Journal of Economics and Policy Studies, </w:t>
      </w:r>
      <w:r w:rsidRPr="00ED0F5D">
        <w:rPr>
          <w:rFonts w:ascii="Arial" w:hAnsi="Arial" w:cs="Arial"/>
          <w:iCs/>
          <w:sz w:val="20"/>
          <w:szCs w:val="20"/>
        </w:rPr>
        <w:t>11(1), 33–47.</w:t>
      </w:r>
      <w:r w:rsidRPr="00ED0F5D">
        <w:rPr>
          <w:rFonts w:ascii="Arial" w:hAnsi="Arial" w:cs="Arial"/>
          <w:i/>
          <w:iCs/>
          <w:sz w:val="20"/>
          <w:szCs w:val="20"/>
        </w:rPr>
        <w:t xml:space="preserve"> </w:t>
      </w:r>
    </w:p>
    <w:p w14:paraId="5244DFB5" w14:textId="77777777" w:rsidR="00CE55DF" w:rsidRPr="008F3258" w:rsidRDefault="00CE55DF" w:rsidP="008F3258">
      <w:pPr>
        <w:spacing w:after="0" w:line="240" w:lineRule="auto"/>
        <w:ind w:left="720" w:hanging="720"/>
        <w:jc w:val="both"/>
        <w:rPr>
          <w:rFonts w:ascii="Arial" w:hAnsi="Arial" w:cs="Arial"/>
          <w:iCs/>
          <w:sz w:val="20"/>
          <w:szCs w:val="20"/>
        </w:rPr>
      </w:pPr>
      <w:r w:rsidRPr="008F3258">
        <w:rPr>
          <w:rFonts w:ascii="Arial" w:hAnsi="Arial" w:cs="Arial"/>
          <w:iCs/>
          <w:sz w:val="20"/>
          <w:szCs w:val="20"/>
        </w:rPr>
        <w:t xml:space="preserve">Mwangi, L., &amp; Wambua, P. (2021). The effect of credit risk management on the financial performance of listed firms in East Africa. </w:t>
      </w:r>
      <w:r w:rsidRPr="008F3258">
        <w:rPr>
          <w:rFonts w:ascii="Arial" w:hAnsi="Arial" w:cs="Arial"/>
          <w:i/>
          <w:iCs/>
          <w:sz w:val="20"/>
          <w:szCs w:val="20"/>
        </w:rPr>
        <w:t>African Journal of Business and Management, 11</w:t>
      </w:r>
      <w:r w:rsidRPr="008F3258">
        <w:rPr>
          <w:rFonts w:ascii="Arial" w:hAnsi="Arial" w:cs="Arial"/>
          <w:iCs/>
          <w:sz w:val="20"/>
          <w:szCs w:val="20"/>
        </w:rPr>
        <w:t>(2), 33–49. https://doi.org/10.47941/ajbm.1234</w:t>
      </w:r>
    </w:p>
    <w:p w14:paraId="37471060" w14:textId="77777777" w:rsidR="00CE55DF" w:rsidRPr="005F3D85" w:rsidRDefault="00CE55DF" w:rsidP="00924C1F">
      <w:pPr>
        <w:spacing w:after="0" w:line="240" w:lineRule="auto"/>
        <w:ind w:left="720" w:hanging="720"/>
        <w:jc w:val="both"/>
        <w:rPr>
          <w:rFonts w:ascii="Arial" w:hAnsi="Arial" w:cs="Arial"/>
          <w:sz w:val="20"/>
          <w:szCs w:val="20"/>
          <w:lang w:val="en-GB"/>
        </w:rPr>
      </w:pPr>
      <w:r w:rsidRPr="005F3D85">
        <w:rPr>
          <w:rFonts w:ascii="Arial" w:hAnsi="Arial" w:cs="Arial"/>
          <w:sz w:val="20"/>
          <w:szCs w:val="20"/>
        </w:rPr>
        <w:t>Mwenda, B. (2023). Are risk management disclosures relevant to firm's profitability? A Tanzanian case. </w:t>
      </w:r>
      <w:r w:rsidRPr="005F3D85">
        <w:rPr>
          <w:rFonts w:ascii="Arial" w:hAnsi="Arial" w:cs="Arial"/>
          <w:i/>
          <w:iCs/>
          <w:sz w:val="20"/>
          <w:szCs w:val="20"/>
        </w:rPr>
        <w:t>Kompartemen: Jurnal IlmiahAkuntansi</w:t>
      </w:r>
      <w:r w:rsidRPr="005F3D85">
        <w:rPr>
          <w:rFonts w:ascii="Arial" w:hAnsi="Arial" w:cs="Arial"/>
          <w:sz w:val="20"/>
          <w:szCs w:val="20"/>
        </w:rPr>
        <w:t>, </w:t>
      </w:r>
      <w:r w:rsidRPr="005F3D85">
        <w:rPr>
          <w:rFonts w:ascii="Arial" w:hAnsi="Arial" w:cs="Arial"/>
          <w:i/>
          <w:iCs/>
          <w:sz w:val="20"/>
          <w:szCs w:val="20"/>
        </w:rPr>
        <w:t>21</w:t>
      </w:r>
      <w:r w:rsidRPr="005F3D85">
        <w:rPr>
          <w:rFonts w:ascii="Arial" w:hAnsi="Arial" w:cs="Arial"/>
          <w:sz w:val="20"/>
          <w:szCs w:val="20"/>
        </w:rPr>
        <w:t>(1), 1-16.</w:t>
      </w:r>
    </w:p>
    <w:p w14:paraId="3C4C02C0"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Mwenda, B., Ndiege, B. O., &amp;Pastory, D. (2021). Impact of Listing on Performance of Firms Listed At Dar es Salaam Stock Exchange, Tanzania. </w:t>
      </w:r>
      <w:r w:rsidRPr="005F3D85">
        <w:rPr>
          <w:rFonts w:ascii="Arial" w:hAnsi="Arial" w:cs="Arial"/>
          <w:i/>
          <w:iCs/>
          <w:sz w:val="20"/>
          <w:szCs w:val="20"/>
        </w:rPr>
        <w:t>African Journal of Applied Research</w:t>
      </w:r>
      <w:r w:rsidRPr="005F3D85">
        <w:rPr>
          <w:rFonts w:ascii="Arial" w:hAnsi="Arial" w:cs="Arial"/>
          <w:sz w:val="20"/>
          <w:szCs w:val="20"/>
        </w:rPr>
        <w:t>, </w:t>
      </w:r>
      <w:r w:rsidRPr="005F3D85">
        <w:rPr>
          <w:rFonts w:ascii="Arial" w:hAnsi="Arial" w:cs="Arial"/>
          <w:i/>
          <w:iCs/>
          <w:sz w:val="20"/>
          <w:szCs w:val="20"/>
        </w:rPr>
        <w:t>7</w:t>
      </w:r>
      <w:r w:rsidRPr="005F3D85">
        <w:rPr>
          <w:rFonts w:ascii="Arial" w:hAnsi="Arial" w:cs="Arial"/>
          <w:sz w:val="20"/>
          <w:szCs w:val="20"/>
        </w:rPr>
        <w:t>(2), 13-29.</w:t>
      </w:r>
    </w:p>
    <w:p w14:paraId="4B124B5A"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Mwenda, B., Ngollo, M., &amp;Mwasota, A. (2023).Effects of macroeconomic variables on performance of listed firms at Dar es Salaam stock exchange, Tanzania.</w:t>
      </w:r>
    </w:p>
    <w:p w14:paraId="17E1A01A"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Natufe, O. K., &amp; Evbayiro-Osagie, E. I. (2023). Credit risk management and the financial performance of deposit money banks: some new evidence. </w:t>
      </w:r>
      <w:r w:rsidRPr="005F3D85">
        <w:rPr>
          <w:rFonts w:ascii="Arial" w:hAnsi="Arial" w:cs="Arial"/>
          <w:i/>
          <w:iCs/>
          <w:sz w:val="20"/>
          <w:szCs w:val="20"/>
        </w:rPr>
        <w:t>Journal of Risk and Financial Management</w:t>
      </w:r>
      <w:r w:rsidRPr="005F3D85">
        <w:rPr>
          <w:rFonts w:ascii="Arial" w:hAnsi="Arial" w:cs="Arial"/>
          <w:sz w:val="20"/>
          <w:szCs w:val="20"/>
        </w:rPr>
        <w:t>, </w:t>
      </w:r>
      <w:r w:rsidRPr="005F3D85">
        <w:rPr>
          <w:rFonts w:ascii="Arial" w:hAnsi="Arial" w:cs="Arial"/>
          <w:i/>
          <w:iCs/>
          <w:sz w:val="20"/>
          <w:szCs w:val="20"/>
        </w:rPr>
        <w:t>16</w:t>
      </w:r>
      <w:r w:rsidRPr="005F3D85">
        <w:rPr>
          <w:rFonts w:ascii="Arial" w:hAnsi="Arial" w:cs="Arial"/>
          <w:sz w:val="20"/>
          <w:szCs w:val="20"/>
        </w:rPr>
        <w:t>(7), 302.</w:t>
      </w:r>
    </w:p>
    <w:p w14:paraId="45C7C835"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Nestory, M. Y., Ugulumu, E., &amp;Mpasa, O. (2023). The Risk Management Practices and Organizational Performance in Public Institutions: A Case of DUWASA and TANESCO in Dodoma.</w:t>
      </w:r>
    </w:p>
    <w:p w14:paraId="1C586D07" w14:textId="77777777" w:rsidR="00CE55DF" w:rsidRPr="00ED0F5D" w:rsidRDefault="00CE55DF" w:rsidP="00ED0F5D">
      <w:pPr>
        <w:spacing w:after="0" w:line="240" w:lineRule="auto"/>
        <w:ind w:left="720" w:hanging="720"/>
        <w:jc w:val="both"/>
        <w:rPr>
          <w:rFonts w:ascii="Arial" w:hAnsi="Arial" w:cs="Arial"/>
          <w:i/>
          <w:iCs/>
          <w:sz w:val="20"/>
          <w:szCs w:val="20"/>
        </w:rPr>
      </w:pPr>
      <w:r w:rsidRPr="00ED0F5D">
        <w:rPr>
          <w:rFonts w:ascii="Arial" w:hAnsi="Arial" w:cs="Arial"/>
          <w:iCs/>
          <w:sz w:val="20"/>
          <w:szCs w:val="20"/>
        </w:rPr>
        <w:t xml:space="preserve">Njeru, P., &amp; Wambugu, S. (2022). Stock market efficiency and firm growth: A case of East African markets. </w:t>
      </w:r>
      <w:r w:rsidRPr="00ED0F5D">
        <w:rPr>
          <w:rFonts w:ascii="Arial" w:hAnsi="Arial" w:cs="Arial"/>
          <w:i/>
          <w:iCs/>
          <w:sz w:val="20"/>
          <w:szCs w:val="20"/>
        </w:rPr>
        <w:t xml:space="preserve">African Journal of Business and Management, </w:t>
      </w:r>
      <w:r w:rsidRPr="00ED0F5D">
        <w:rPr>
          <w:rFonts w:ascii="Arial" w:hAnsi="Arial" w:cs="Arial"/>
          <w:iCs/>
          <w:sz w:val="20"/>
          <w:szCs w:val="20"/>
        </w:rPr>
        <w:t>10(3), 112–128.</w:t>
      </w:r>
      <w:r w:rsidRPr="00ED0F5D">
        <w:rPr>
          <w:rFonts w:ascii="Arial" w:hAnsi="Arial" w:cs="Arial"/>
          <w:i/>
          <w:iCs/>
          <w:sz w:val="20"/>
          <w:szCs w:val="20"/>
        </w:rPr>
        <w:t xml:space="preserve"> </w:t>
      </w:r>
    </w:p>
    <w:p w14:paraId="075B5BDF"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Olawale, A. (2024). The impact of capital market on the economic growth of Nigeria. </w:t>
      </w:r>
      <w:r w:rsidRPr="005F3D85">
        <w:rPr>
          <w:rFonts w:ascii="Arial" w:hAnsi="Arial" w:cs="Arial"/>
          <w:i/>
          <w:iCs/>
          <w:sz w:val="20"/>
          <w:szCs w:val="20"/>
        </w:rPr>
        <w:t>GSC Advanced Research and Reviews</w:t>
      </w:r>
      <w:r w:rsidRPr="005F3D85">
        <w:rPr>
          <w:rFonts w:ascii="Arial" w:hAnsi="Arial" w:cs="Arial"/>
          <w:sz w:val="20"/>
          <w:szCs w:val="20"/>
        </w:rPr>
        <w:t>, </w:t>
      </w:r>
      <w:r w:rsidRPr="005F3D85">
        <w:rPr>
          <w:rFonts w:ascii="Arial" w:hAnsi="Arial" w:cs="Arial"/>
          <w:i/>
          <w:iCs/>
          <w:sz w:val="20"/>
          <w:szCs w:val="20"/>
        </w:rPr>
        <w:t>21</w:t>
      </w:r>
      <w:r w:rsidRPr="005F3D85">
        <w:rPr>
          <w:rFonts w:ascii="Arial" w:hAnsi="Arial" w:cs="Arial"/>
          <w:sz w:val="20"/>
          <w:szCs w:val="20"/>
        </w:rPr>
        <w:t>, 013-026.</w:t>
      </w:r>
    </w:p>
    <w:p w14:paraId="56E02193" w14:textId="77777777" w:rsidR="00CE55DF" w:rsidRPr="00ED0F5D" w:rsidRDefault="00CE55DF" w:rsidP="00ED0F5D">
      <w:pPr>
        <w:spacing w:after="0" w:line="240" w:lineRule="auto"/>
        <w:ind w:left="720" w:hanging="720"/>
        <w:jc w:val="both"/>
        <w:rPr>
          <w:rFonts w:ascii="Arial" w:hAnsi="Arial" w:cs="Arial"/>
          <w:i/>
          <w:iCs/>
          <w:sz w:val="20"/>
          <w:szCs w:val="20"/>
        </w:rPr>
      </w:pPr>
      <w:r w:rsidRPr="00ED0F5D">
        <w:rPr>
          <w:rFonts w:ascii="Arial" w:hAnsi="Arial" w:cs="Arial"/>
          <w:iCs/>
          <w:sz w:val="20"/>
          <w:szCs w:val="20"/>
        </w:rPr>
        <w:t>Patrick, J. (2021). The role of investor behavior in influencing firm performance in developing stock markets.</w:t>
      </w:r>
      <w:r w:rsidRPr="00ED0F5D">
        <w:rPr>
          <w:rFonts w:ascii="Arial" w:hAnsi="Arial" w:cs="Arial"/>
          <w:i/>
          <w:iCs/>
          <w:sz w:val="20"/>
          <w:szCs w:val="20"/>
        </w:rPr>
        <w:t xml:space="preserve"> International Journal of Financial Studies, </w:t>
      </w:r>
      <w:r w:rsidRPr="00ED0F5D">
        <w:rPr>
          <w:rFonts w:ascii="Arial" w:hAnsi="Arial" w:cs="Arial"/>
          <w:iCs/>
          <w:sz w:val="20"/>
          <w:szCs w:val="20"/>
        </w:rPr>
        <w:t>9(4), 78–94.</w:t>
      </w:r>
      <w:r w:rsidRPr="00ED0F5D">
        <w:rPr>
          <w:rFonts w:ascii="Arial" w:hAnsi="Arial" w:cs="Arial"/>
          <w:i/>
          <w:iCs/>
          <w:sz w:val="20"/>
          <w:szCs w:val="20"/>
        </w:rPr>
        <w:t xml:space="preserve"> </w:t>
      </w:r>
    </w:p>
    <w:p w14:paraId="6F74DAA4"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lastRenderedPageBreak/>
        <w:t>Pesaran, M. H. (2021). General diagnostic tests for cross-sectional dependence in panels. </w:t>
      </w:r>
      <w:r w:rsidRPr="005F3D85">
        <w:rPr>
          <w:rFonts w:ascii="Arial" w:hAnsi="Arial" w:cs="Arial"/>
          <w:i/>
          <w:iCs/>
          <w:sz w:val="20"/>
          <w:szCs w:val="20"/>
        </w:rPr>
        <w:t>Empirical economics</w:t>
      </w:r>
      <w:r w:rsidRPr="005F3D85">
        <w:rPr>
          <w:rFonts w:ascii="Arial" w:hAnsi="Arial" w:cs="Arial"/>
          <w:sz w:val="20"/>
          <w:szCs w:val="20"/>
        </w:rPr>
        <w:t>, </w:t>
      </w:r>
      <w:r w:rsidRPr="005F3D85">
        <w:rPr>
          <w:rFonts w:ascii="Arial" w:hAnsi="Arial" w:cs="Arial"/>
          <w:i/>
          <w:iCs/>
          <w:sz w:val="20"/>
          <w:szCs w:val="20"/>
        </w:rPr>
        <w:t>60</w:t>
      </w:r>
      <w:r w:rsidRPr="005F3D85">
        <w:rPr>
          <w:rFonts w:ascii="Arial" w:hAnsi="Arial" w:cs="Arial"/>
          <w:sz w:val="20"/>
          <w:szCs w:val="20"/>
        </w:rPr>
        <w:t>(1), 13-50.</w:t>
      </w:r>
    </w:p>
    <w:p w14:paraId="70F4C866"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Pesaran, M. H. (2021). General diagnostic tests for cross-sectional dependence in panels. </w:t>
      </w:r>
      <w:r w:rsidRPr="005F3D85">
        <w:rPr>
          <w:rFonts w:ascii="Arial" w:hAnsi="Arial" w:cs="Arial"/>
          <w:i/>
          <w:iCs/>
          <w:sz w:val="20"/>
          <w:szCs w:val="20"/>
        </w:rPr>
        <w:t>Empirical economics</w:t>
      </w:r>
      <w:r w:rsidRPr="005F3D85">
        <w:rPr>
          <w:rFonts w:ascii="Arial" w:hAnsi="Arial" w:cs="Arial"/>
          <w:sz w:val="20"/>
          <w:szCs w:val="20"/>
        </w:rPr>
        <w:t>, </w:t>
      </w:r>
      <w:r w:rsidRPr="005F3D85">
        <w:rPr>
          <w:rFonts w:ascii="Arial" w:hAnsi="Arial" w:cs="Arial"/>
          <w:i/>
          <w:iCs/>
          <w:sz w:val="20"/>
          <w:szCs w:val="20"/>
        </w:rPr>
        <w:t>60</w:t>
      </w:r>
      <w:r w:rsidRPr="005F3D85">
        <w:rPr>
          <w:rFonts w:ascii="Arial" w:hAnsi="Arial" w:cs="Arial"/>
          <w:sz w:val="20"/>
          <w:szCs w:val="20"/>
        </w:rPr>
        <w:t>(1), 13-50.</w:t>
      </w:r>
    </w:p>
    <w:p w14:paraId="79B8F6F3"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Saputra, F. (2022). Analysis Effect Return on Assets (ROA), Return on Equity (ROE) and Price Earnings Ratio (PER) on Stock Prices of Coal Companies in the Indonesia Stock Exchange (IDX) Period 2018-2021. </w:t>
      </w:r>
      <w:r w:rsidRPr="005F3D85">
        <w:rPr>
          <w:rFonts w:ascii="Arial" w:hAnsi="Arial" w:cs="Arial"/>
          <w:i/>
          <w:iCs/>
          <w:sz w:val="20"/>
          <w:szCs w:val="20"/>
        </w:rPr>
        <w:t>Dinasti International Journal of Economics, Finance &amp; Accounting</w:t>
      </w:r>
      <w:r w:rsidRPr="005F3D85">
        <w:rPr>
          <w:rFonts w:ascii="Arial" w:hAnsi="Arial" w:cs="Arial"/>
          <w:sz w:val="20"/>
          <w:szCs w:val="20"/>
        </w:rPr>
        <w:t>, </w:t>
      </w:r>
      <w:r w:rsidRPr="005F3D85">
        <w:rPr>
          <w:rFonts w:ascii="Arial" w:hAnsi="Arial" w:cs="Arial"/>
          <w:i/>
          <w:iCs/>
          <w:sz w:val="20"/>
          <w:szCs w:val="20"/>
        </w:rPr>
        <w:t>3</w:t>
      </w:r>
      <w:r w:rsidRPr="005F3D85">
        <w:rPr>
          <w:rFonts w:ascii="Arial" w:hAnsi="Arial" w:cs="Arial"/>
          <w:sz w:val="20"/>
          <w:szCs w:val="20"/>
        </w:rPr>
        <w:t>(1), 82-94.</w:t>
      </w:r>
    </w:p>
    <w:p w14:paraId="47E6B8E5" w14:textId="77777777" w:rsidR="00CE55DF" w:rsidRDefault="00CE55DF" w:rsidP="00CE55DF">
      <w:pPr>
        <w:spacing w:after="0" w:line="240" w:lineRule="auto"/>
        <w:ind w:left="720" w:hanging="720"/>
        <w:jc w:val="both"/>
        <w:rPr>
          <w:rFonts w:ascii="Arial" w:hAnsi="Arial" w:cs="Arial"/>
          <w:iCs/>
          <w:sz w:val="20"/>
          <w:szCs w:val="20"/>
        </w:rPr>
      </w:pPr>
      <w:r w:rsidRPr="00CE55DF">
        <w:rPr>
          <w:rFonts w:ascii="Arial" w:hAnsi="Arial" w:cs="Arial"/>
          <w:iCs/>
          <w:sz w:val="20"/>
          <w:szCs w:val="20"/>
        </w:rPr>
        <w:t xml:space="preserve">Sarjono, H., &amp; Suprapto, N. (2020). The dynamics of financial performance and market performance. </w:t>
      </w:r>
      <w:r w:rsidRPr="00CE55DF">
        <w:rPr>
          <w:rFonts w:ascii="Arial" w:hAnsi="Arial" w:cs="Arial"/>
          <w:i/>
          <w:iCs/>
          <w:sz w:val="20"/>
          <w:szCs w:val="20"/>
        </w:rPr>
        <w:t>F1000Research, 9</w:t>
      </w:r>
      <w:r w:rsidRPr="00CE55DF">
        <w:rPr>
          <w:rFonts w:ascii="Arial" w:hAnsi="Arial" w:cs="Arial"/>
          <w:iCs/>
          <w:sz w:val="20"/>
          <w:szCs w:val="20"/>
        </w:rPr>
        <w:t xml:space="preserve">(657), 1–12. </w:t>
      </w:r>
      <w:hyperlink r:id="rId11" w:history="1">
        <w:r w:rsidRPr="007377AF">
          <w:rPr>
            <w:rStyle w:val="Hyperlink"/>
            <w:rFonts w:ascii="Arial" w:hAnsi="Arial" w:cs="Arial"/>
            <w:iCs/>
            <w:sz w:val="20"/>
            <w:szCs w:val="20"/>
          </w:rPr>
          <w:t>https://doi.org/10.12688/f1000research.25345.2</w:t>
        </w:r>
      </w:hyperlink>
    </w:p>
    <w:p w14:paraId="79500354"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Saunders, D. (2023). </w:t>
      </w:r>
      <w:r w:rsidRPr="005F3D85">
        <w:rPr>
          <w:rFonts w:ascii="Arial" w:hAnsi="Arial" w:cs="Arial"/>
          <w:i/>
          <w:iCs/>
          <w:sz w:val="20"/>
          <w:szCs w:val="20"/>
        </w:rPr>
        <w:t>Authorship and copyright</w:t>
      </w:r>
      <w:r w:rsidRPr="005F3D85">
        <w:rPr>
          <w:rFonts w:ascii="Arial" w:hAnsi="Arial" w:cs="Arial"/>
          <w:sz w:val="20"/>
          <w:szCs w:val="20"/>
        </w:rPr>
        <w:t>. Routledge.</w:t>
      </w:r>
    </w:p>
    <w:p w14:paraId="0D9C9B10"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Siddique, A., Khan, M. A., &amp; Khan, Z. (2022). The effect of credit risk management and bank-specific factors on the financial performance of the South Asian commercial banks. </w:t>
      </w:r>
      <w:r w:rsidRPr="005F3D85">
        <w:rPr>
          <w:rFonts w:ascii="Arial" w:hAnsi="Arial" w:cs="Arial"/>
          <w:i/>
          <w:iCs/>
          <w:sz w:val="20"/>
          <w:szCs w:val="20"/>
        </w:rPr>
        <w:t>Asian Journal of Accounting Research</w:t>
      </w:r>
      <w:r w:rsidRPr="005F3D85">
        <w:rPr>
          <w:rFonts w:ascii="Arial" w:hAnsi="Arial" w:cs="Arial"/>
          <w:sz w:val="20"/>
          <w:szCs w:val="20"/>
        </w:rPr>
        <w:t>, </w:t>
      </w:r>
      <w:r w:rsidRPr="005F3D85">
        <w:rPr>
          <w:rFonts w:ascii="Arial" w:hAnsi="Arial" w:cs="Arial"/>
          <w:i/>
          <w:iCs/>
          <w:sz w:val="20"/>
          <w:szCs w:val="20"/>
        </w:rPr>
        <w:t>7</w:t>
      </w:r>
      <w:r w:rsidRPr="005F3D85">
        <w:rPr>
          <w:rFonts w:ascii="Arial" w:hAnsi="Arial" w:cs="Arial"/>
          <w:sz w:val="20"/>
          <w:szCs w:val="20"/>
        </w:rPr>
        <w:t>(2), 182-194.</w:t>
      </w:r>
    </w:p>
    <w:p w14:paraId="4BF57DDE"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Skinner, E., &amp; Dancis, J. (2020).Descriptive and Explanatory Designs. </w:t>
      </w:r>
      <w:r w:rsidRPr="005F3D85">
        <w:rPr>
          <w:rFonts w:ascii="Arial" w:hAnsi="Arial" w:cs="Arial"/>
          <w:i/>
          <w:iCs/>
          <w:sz w:val="20"/>
          <w:szCs w:val="20"/>
        </w:rPr>
        <w:t>Human Development</w:t>
      </w:r>
      <w:r w:rsidRPr="005F3D85">
        <w:rPr>
          <w:rFonts w:ascii="Arial" w:hAnsi="Arial" w:cs="Arial"/>
          <w:sz w:val="20"/>
          <w:szCs w:val="20"/>
        </w:rPr>
        <w:t>.</w:t>
      </w:r>
    </w:p>
    <w:p w14:paraId="23EA8B50"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Temba, G. I., Kasoga, P. S., &amp; Keregero, C. M. (2024). The effect of credit risk management on the financial performance of commercial banks: evidence from Tanzania. </w:t>
      </w:r>
      <w:r w:rsidRPr="005F3D85">
        <w:rPr>
          <w:rFonts w:ascii="Arial" w:hAnsi="Arial" w:cs="Arial"/>
          <w:i/>
          <w:iCs/>
          <w:sz w:val="20"/>
          <w:szCs w:val="20"/>
        </w:rPr>
        <w:t>African Business Management Journal</w:t>
      </w:r>
      <w:r w:rsidRPr="005F3D85">
        <w:rPr>
          <w:rFonts w:ascii="Arial" w:hAnsi="Arial" w:cs="Arial"/>
          <w:sz w:val="20"/>
          <w:szCs w:val="20"/>
        </w:rPr>
        <w:t>, </w:t>
      </w:r>
      <w:r w:rsidRPr="005F3D85">
        <w:rPr>
          <w:rFonts w:ascii="Arial" w:hAnsi="Arial" w:cs="Arial"/>
          <w:i/>
          <w:iCs/>
          <w:sz w:val="20"/>
          <w:szCs w:val="20"/>
        </w:rPr>
        <w:t>2</w:t>
      </w:r>
      <w:r w:rsidRPr="005F3D85">
        <w:rPr>
          <w:rFonts w:ascii="Arial" w:hAnsi="Arial" w:cs="Arial"/>
          <w:sz w:val="20"/>
          <w:szCs w:val="20"/>
        </w:rPr>
        <w:t>(1), 31-44.</w:t>
      </w:r>
    </w:p>
    <w:p w14:paraId="77EF317C"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Temba, G. I., Kasoga, P. S., &amp; Keregero, C. M. (2024).Impact of the quality of credit risk management practices on financial performance of commercial banks in Tanzania. </w:t>
      </w:r>
      <w:r w:rsidRPr="005F3D85">
        <w:rPr>
          <w:rFonts w:ascii="Arial" w:hAnsi="Arial" w:cs="Arial"/>
          <w:i/>
          <w:iCs/>
          <w:sz w:val="20"/>
          <w:szCs w:val="20"/>
        </w:rPr>
        <w:t>SN Business &amp; Economics</w:t>
      </w:r>
      <w:r w:rsidRPr="005F3D85">
        <w:rPr>
          <w:rFonts w:ascii="Arial" w:hAnsi="Arial" w:cs="Arial"/>
          <w:sz w:val="20"/>
          <w:szCs w:val="20"/>
        </w:rPr>
        <w:t>, </w:t>
      </w:r>
      <w:r w:rsidRPr="005F3D85">
        <w:rPr>
          <w:rFonts w:ascii="Arial" w:hAnsi="Arial" w:cs="Arial"/>
          <w:i/>
          <w:iCs/>
          <w:sz w:val="20"/>
          <w:szCs w:val="20"/>
        </w:rPr>
        <w:t>4</w:t>
      </w:r>
      <w:r w:rsidRPr="005F3D85">
        <w:rPr>
          <w:rFonts w:ascii="Arial" w:hAnsi="Arial" w:cs="Arial"/>
          <w:sz w:val="20"/>
          <w:szCs w:val="20"/>
        </w:rPr>
        <w:t>(3), 38.</w:t>
      </w:r>
    </w:p>
    <w:p w14:paraId="2E4A4F72" w14:textId="77777777" w:rsidR="00CE55DF" w:rsidRPr="005F3D85" w:rsidRDefault="00CE55DF" w:rsidP="00924C1F">
      <w:pPr>
        <w:spacing w:after="0" w:line="240" w:lineRule="auto"/>
        <w:ind w:left="720" w:hanging="720"/>
        <w:jc w:val="both"/>
        <w:rPr>
          <w:rFonts w:ascii="Arial" w:hAnsi="Arial" w:cs="Arial"/>
          <w:sz w:val="20"/>
          <w:szCs w:val="20"/>
        </w:rPr>
      </w:pPr>
      <w:r w:rsidRPr="005F3D85">
        <w:rPr>
          <w:rFonts w:ascii="Arial" w:hAnsi="Arial" w:cs="Arial"/>
          <w:sz w:val="20"/>
          <w:szCs w:val="20"/>
        </w:rPr>
        <w:t>Wakaba, M. G. (2023). </w:t>
      </w:r>
      <w:r w:rsidRPr="005F3D85">
        <w:rPr>
          <w:rFonts w:ascii="Arial" w:hAnsi="Arial" w:cs="Arial"/>
          <w:i/>
          <w:iCs/>
          <w:sz w:val="20"/>
          <w:szCs w:val="20"/>
        </w:rPr>
        <w:t>Effect of Dividend Policy on Share Price Volatility of Manufacturing and Allied Companies Listed at the Nairobi Securities Exchange</w:t>
      </w:r>
      <w:r w:rsidRPr="005F3D85">
        <w:rPr>
          <w:rFonts w:ascii="Arial" w:hAnsi="Arial" w:cs="Arial"/>
          <w:sz w:val="20"/>
          <w:szCs w:val="20"/>
        </w:rPr>
        <w:t> (Doctoral dissertation, University of Nairobi).</w:t>
      </w:r>
    </w:p>
    <w:p w14:paraId="73D68361" w14:textId="77777777" w:rsidR="00CE55DF" w:rsidRDefault="00CE55DF" w:rsidP="00924C1F">
      <w:pPr>
        <w:spacing w:after="0" w:line="240" w:lineRule="auto"/>
        <w:ind w:left="720" w:hanging="720"/>
        <w:jc w:val="both"/>
        <w:rPr>
          <w:rFonts w:ascii="Arial" w:hAnsi="Arial" w:cs="Arial"/>
          <w:i/>
          <w:iCs/>
          <w:sz w:val="20"/>
          <w:szCs w:val="20"/>
        </w:rPr>
      </w:pPr>
      <w:r w:rsidRPr="005F3D85">
        <w:rPr>
          <w:rFonts w:ascii="Arial" w:hAnsi="Arial" w:cs="Arial"/>
          <w:sz w:val="20"/>
          <w:szCs w:val="20"/>
        </w:rPr>
        <w:t>Zhang, Y., Zhang, J., &amp; Cheng, Z. (2021). Stock market liberalization and corporate green innovation: Evidence from China. </w:t>
      </w:r>
      <w:r w:rsidRPr="005F3D85">
        <w:rPr>
          <w:rFonts w:ascii="Arial" w:hAnsi="Arial" w:cs="Arial"/>
          <w:i/>
          <w:iCs/>
          <w:sz w:val="20"/>
          <w:szCs w:val="20"/>
        </w:rPr>
        <w:t>International Journal of Environmental Research and Public Health, 18(7), 3412.</w:t>
      </w:r>
    </w:p>
    <w:p w14:paraId="0699231E" w14:textId="77777777" w:rsidR="00CE55DF" w:rsidRPr="00CE55DF" w:rsidRDefault="00CE55DF" w:rsidP="00CE55DF">
      <w:pPr>
        <w:spacing w:after="0" w:line="240" w:lineRule="auto"/>
        <w:ind w:left="720" w:hanging="720"/>
        <w:jc w:val="both"/>
        <w:rPr>
          <w:rFonts w:ascii="Arial" w:hAnsi="Arial" w:cs="Arial"/>
          <w:iCs/>
          <w:sz w:val="20"/>
          <w:szCs w:val="20"/>
        </w:rPr>
      </w:pPr>
    </w:p>
    <w:p w14:paraId="57ED8AAD" w14:textId="77777777" w:rsidR="008F3258" w:rsidRPr="008F3258" w:rsidRDefault="008F3258" w:rsidP="00924C1F">
      <w:pPr>
        <w:spacing w:after="0" w:line="240" w:lineRule="auto"/>
        <w:ind w:left="720" w:hanging="720"/>
        <w:jc w:val="both"/>
        <w:rPr>
          <w:rFonts w:ascii="Arial" w:hAnsi="Arial" w:cs="Arial"/>
          <w:iCs/>
          <w:sz w:val="20"/>
          <w:szCs w:val="20"/>
        </w:rPr>
      </w:pPr>
    </w:p>
    <w:p w14:paraId="083E5214" w14:textId="77777777" w:rsidR="00ED0F5D" w:rsidRPr="005F3D85" w:rsidRDefault="00ED0F5D" w:rsidP="00924C1F">
      <w:pPr>
        <w:spacing w:after="0" w:line="240" w:lineRule="auto"/>
        <w:ind w:left="720" w:hanging="720"/>
        <w:jc w:val="both"/>
        <w:rPr>
          <w:rFonts w:ascii="Arial" w:hAnsi="Arial" w:cs="Arial"/>
          <w:i/>
          <w:iCs/>
          <w:sz w:val="20"/>
          <w:szCs w:val="20"/>
        </w:rPr>
      </w:pPr>
    </w:p>
    <w:p w14:paraId="0B11BDF3" w14:textId="77777777" w:rsidR="00924C1F" w:rsidRDefault="00924C1F" w:rsidP="00924C1F">
      <w:pPr>
        <w:spacing w:after="0" w:line="240" w:lineRule="auto"/>
        <w:ind w:hanging="720"/>
        <w:jc w:val="both"/>
        <w:rPr>
          <w:rFonts w:ascii="Times New Roman" w:hAnsi="Times New Roman" w:cs="Times New Roman"/>
          <w:i/>
          <w:iCs/>
          <w:sz w:val="24"/>
          <w:szCs w:val="24"/>
        </w:rPr>
      </w:pPr>
    </w:p>
    <w:p w14:paraId="61DBA088" w14:textId="30E299AA" w:rsidR="00413B92" w:rsidRDefault="00413B92" w:rsidP="00757614">
      <w:pPr>
        <w:spacing w:after="0" w:line="240" w:lineRule="auto"/>
      </w:pPr>
    </w:p>
    <w:sectPr w:rsidR="00413B92" w:rsidSect="004A6975">
      <w:headerReference w:type="even" r:id="rId12"/>
      <w:headerReference w:type="default" r:id="rId13"/>
      <w:footerReference w:type="default" r:id="rId14"/>
      <w:headerReference w:type="first" r:id="rId15"/>
      <w:pgSz w:w="12240" w:h="15840"/>
      <w:pgMar w:top="1701" w:right="1418" w:bottom="1418"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A22DE" w14:textId="77777777" w:rsidR="00983F2E" w:rsidRDefault="00983F2E" w:rsidP="00AB0D1E">
      <w:pPr>
        <w:spacing w:after="0" w:line="240" w:lineRule="auto"/>
      </w:pPr>
      <w:r>
        <w:separator/>
      </w:r>
    </w:p>
  </w:endnote>
  <w:endnote w:type="continuationSeparator" w:id="0">
    <w:p w14:paraId="33D1D54E" w14:textId="77777777" w:rsidR="00983F2E" w:rsidRDefault="00983F2E" w:rsidP="00AB0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874268"/>
      <w:docPartObj>
        <w:docPartGallery w:val="Page Numbers (Bottom of Page)"/>
        <w:docPartUnique/>
      </w:docPartObj>
    </w:sdtPr>
    <w:sdtEndPr>
      <w:rPr>
        <w:noProof/>
      </w:rPr>
    </w:sdtEndPr>
    <w:sdtContent>
      <w:p w14:paraId="71C168C7" w14:textId="05BC6010" w:rsidR="008B7565" w:rsidRDefault="008B7565">
        <w:pPr>
          <w:pStyle w:val="Footer"/>
          <w:jc w:val="center"/>
        </w:pPr>
        <w:r>
          <w:fldChar w:fldCharType="begin"/>
        </w:r>
        <w:r>
          <w:instrText xml:space="preserve"> PAGE   \* MERGEFORMAT </w:instrText>
        </w:r>
        <w:r>
          <w:fldChar w:fldCharType="separate"/>
        </w:r>
        <w:r w:rsidR="00CE55DF">
          <w:rPr>
            <w:noProof/>
          </w:rPr>
          <w:t>12</w:t>
        </w:r>
        <w:r>
          <w:rPr>
            <w:noProof/>
          </w:rPr>
          <w:fldChar w:fldCharType="end"/>
        </w:r>
      </w:p>
    </w:sdtContent>
  </w:sdt>
  <w:p w14:paraId="0B294EC9" w14:textId="77777777" w:rsidR="008B7565" w:rsidRDefault="008B7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826F3" w14:textId="77777777" w:rsidR="00983F2E" w:rsidRDefault="00983F2E" w:rsidP="00AB0D1E">
      <w:pPr>
        <w:spacing w:after="0" w:line="240" w:lineRule="auto"/>
      </w:pPr>
      <w:r>
        <w:separator/>
      </w:r>
    </w:p>
  </w:footnote>
  <w:footnote w:type="continuationSeparator" w:id="0">
    <w:p w14:paraId="1C2E1DFE" w14:textId="77777777" w:rsidR="00983F2E" w:rsidRDefault="00983F2E" w:rsidP="00AB0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4CACD" w14:textId="3A839F7F" w:rsidR="008B7565" w:rsidRDefault="00983F2E">
    <w:pPr>
      <w:pStyle w:val="Header"/>
    </w:pPr>
    <w:r>
      <w:rPr>
        <w:noProof/>
      </w:rPr>
      <w:pict w14:anchorId="34264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44047" o:spid="_x0000_s2050" type="#_x0000_t136" style="position:absolute;margin-left:0;margin-top:0;width:541.4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2455B" w14:textId="53DDB030" w:rsidR="008B7565" w:rsidRDefault="00983F2E">
    <w:pPr>
      <w:pStyle w:val="Header"/>
      <w:jc w:val="center"/>
    </w:pPr>
    <w:r>
      <w:rPr>
        <w:noProof/>
      </w:rPr>
      <w:pict w14:anchorId="6C1A9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44048" o:spid="_x0000_s2051" type="#_x0000_t136" style="position:absolute;left:0;text-align:left;margin-left:0;margin-top:0;width:541.4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15D2AF5" w14:textId="77777777" w:rsidR="008B7565" w:rsidRDefault="008B7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5EDB5" w14:textId="7708C8E2" w:rsidR="008B7565" w:rsidRDefault="00983F2E">
    <w:pPr>
      <w:pStyle w:val="Header"/>
    </w:pPr>
    <w:r>
      <w:rPr>
        <w:noProof/>
      </w:rPr>
      <w:pict w14:anchorId="2D24C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44046" o:spid="_x0000_s2049" type="#_x0000_t136" style="position:absolute;margin-left:0;margin-top:0;width:541.4pt;height: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DE1BE3"/>
    <w:multiLevelType w:val="singleLevel"/>
    <w:tmpl w:val="C1DE1BE3"/>
    <w:lvl w:ilvl="0">
      <w:start w:val="1"/>
      <w:numFmt w:val="decimal"/>
      <w:lvlText w:val="%1."/>
      <w:lvlJc w:val="left"/>
      <w:pPr>
        <w:tabs>
          <w:tab w:val="num" w:pos="425"/>
        </w:tabs>
        <w:ind w:left="425" w:hanging="425"/>
      </w:pPr>
      <w:rPr>
        <w:rFonts w:hint="default"/>
      </w:rPr>
    </w:lvl>
  </w:abstractNum>
  <w:abstractNum w:abstractNumId="1" w15:restartNumberingAfterBreak="0">
    <w:nsid w:val="DDB3E72D"/>
    <w:multiLevelType w:val="singleLevel"/>
    <w:tmpl w:val="DDB3E72D"/>
    <w:lvl w:ilvl="0">
      <w:start w:val="1"/>
      <w:numFmt w:val="decimal"/>
      <w:lvlText w:val="%1."/>
      <w:lvlJc w:val="left"/>
      <w:pPr>
        <w:tabs>
          <w:tab w:val="num" w:pos="425"/>
        </w:tabs>
        <w:ind w:left="425" w:hanging="425"/>
      </w:pPr>
      <w:rPr>
        <w:rFonts w:hint="default"/>
      </w:rPr>
    </w:lvl>
  </w:abstractNum>
  <w:abstractNum w:abstractNumId="2" w15:restartNumberingAfterBreak="0">
    <w:nsid w:val="02F056B9"/>
    <w:multiLevelType w:val="hybridMultilevel"/>
    <w:tmpl w:val="496293A6"/>
    <w:lvl w:ilvl="0" w:tplc="55E0E7D4">
      <w:start w:val="1"/>
      <w:numFmt w:val="decimal"/>
      <w:lvlText w:val="%1."/>
      <w:lvlJc w:val="left"/>
      <w:pPr>
        <w:ind w:left="720" w:hanging="360"/>
      </w:pPr>
      <w:rPr>
        <w:rFonts w:ascii="Times New Roman" w:eastAsiaTheme="majorEastAsia"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C359D"/>
    <w:multiLevelType w:val="hybridMultilevel"/>
    <w:tmpl w:val="F41214EE"/>
    <w:lvl w:ilvl="0" w:tplc="CD864DD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DC7374"/>
    <w:multiLevelType w:val="hybridMultilevel"/>
    <w:tmpl w:val="CE04FF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161CEE"/>
    <w:multiLevelType w:val="hybridMultilevel"/>
    <w:tmpl w:val="24B240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DF1945"/>
    <w:multiLevelType w:val="hybridMultilevel"/>
    <w:tmpl w:val="01104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039"/>
    <w:rsid w:val="00000560"/>
    <w:rsid w:val="000025D5"/>
    <w:rsid w:val="00006B6E"/>
    <w:rsid w:val="0001003E"/>
    <w:rsid w:val="0001148D"/>
    <w:rsid w:val="00012878"/>
    <w:rsid w:val="000138D0"/>
    <w:rsid w:val="00015EA1"/>
    <w:rsid w:val="00016B83"/>
    <w:rsid w:val="00016D4A"/>
    <w:rsid w:val="00020943"/>
    <w:rsid w:val="00022A88"/>
    <w:rsid w:val="00022B44"/>
    <w:rsid w:val="00023CD4"/>
    <w:rsid w:val="00023E6F"/>
    <w:rsid w:val="00023F99"/>
    <w:rsid w:val="00027B4E"/>
    <w:rsid w:val="00030329"/>
    <w:rsid w:val="000310C6"/>
    <w:rsid w:val="0003631B"/>
    <w:rsid w:val="00037A37"/>
    <w:rsid w:val="0004188D"/>
    <w:rsid w:val="0004251A"/>
    <w:rsid w:val="000471A8"/>
    <w:rsid w:val="00056B90"/>
    <w:rsid w:val="000600A0"/>
    <w:rsid w:val="00060223"/>
    <w:rsid w:val="00061BA5"/>
    <w:rsid w:val="0006669C"/>
    <w:rsid w:val="00071892"/>
    <w:rsid w:val="00071D1B"/>
    <w:rsid w:val="0007208B"/>
    <w:rsid w:val="00072176"/>
    <w:rsid w:val="00077945"/>
    <w:rsid w:val="0008241A"/>
    <w:rsid w:val="00082DF5"/>
    <w:rsid w:val="00084323"/>
    <w:rsid w:val="000844D3"/>
    <w:rsid w:val="00085565"/>
    <w:rsid w:val="00086174"/>
    <w:rsid w:val="00087B99"/>
    <w:rsid w:val="00091970"/>
    <w:rsid w:val="00091F8D"/>
    <w:rsid w:val="00092718"/>
    <w:rsid w:val="00092E8F"/>
    <w:rsid w:val="00094453"/>
    <w:rsid w:val="00094ACB"/>
    <w:rsid w:val="00095E09"/>
    <w:rsid w:val="000968E2"/>
    <w:rsid w:val="000A17FE"/>
    <w:rsid w:val="000A2667"/>
    <w:rsid w:val="000A268A"/>
    <w:rsid w:val="000A42B2"/>
    <w:rsid w:val="000A46E1"/>
    <w:rsid w:val="000A74C6"/>
    <w:rsid w:val="000B1C8B"/>
    <w:rsid w:val="000B3CF9"/>
    <w:rsid w:val="000B4018"/>
    <w:rsid w:val="000B537F"/>
    <w:rsid w:val="000B69BA"/>
    <w:rsid w:val="000C0971"/>
    <w:rsid w:val="000C0D2A"/>
    <w:rsid w:val="000C2840"/>
    <w:rsid w:val="000C2886"/>
    <w:rsid w:val="000C43A5"/>
    <w:rsid w:val="000C6E57"/>
    <w:rsid w:val="000D0266"/>
    <w:rsid w:val="000D13AC"/>
    <w:rsid w:val="000D31BE"/>
    <w:rsid w:val="000D48D2"/>
    <w:rsid w:val="000D6B2B"/>
    <w:rsid w:val="000D6B4E"/>
    <w:rsid w:val="000D7A2F"/>
    <w:rsid w:val="000E19E4"/>
    <w:rsid w:val="000E280F"/>
    <w:rsid w:val="000E2CFF"/>
    <w:rsid w:val="000E4F61"/>
    <w:rsid w:val="000E62A4"/>
    <w:rsid w:val="000E66CF"/>
    <w:rsid w:val="000F22D4"/>
    <w:rsid w:val="000F37CD"/>
    <w:rsid w:val="000F3A7C"/>
    <w:rsid w:val="000F3B73"/>
    <w:rsid w:val="000F3C20"/>
    <w:rsid w:val="000F6941"/>
    <w:rsid w:val="000F734E"/>
    <w:rsid w:val="00100D17"/>
    <w:rsid w:val="00102FE1"/>
    <w:rsid w:val="00106491"/>
    <w:rsid w:val="0010739C"/>
    <w:rsid w:val="00107C8B"/>
    <w:rsid w:val="001106E6"/>
    <w:rsid w:val="00110DFE"/>
    <w:rsid w:val="0011127D"/>
    <w:rsid w:val="001118B2"/>
    <w:rsid w:val="001159E1"/>
    <w:rsid w:val="00116420"/>
    <w:rsid w:val="001165B4"/>
    <w:rsid w:val="00116F4D"/>
    <w:rsid w:val="001177F8"/>
    <w:rsid w:val="0011799E"/>
    <w:rsid w:val="001200E5"/>
    <w:rsid w:val="0012046F"/>
    <w:rsid w:val="00122D85"/>
    <w:rsid w:val="001246E9"/>
    <w:rsid w:val="00124A1B"/>
    <w:rsid w:val="00125349"/>
    <w:rsid w:val="00126E44"/>
    <w:rsid w:val="00127976"/>
    <w:rsid w:val="00130510"/>
    <w:rsid w:val="00130ED2"/>
    <w:rsid w:val="001311DC"/>
    <w:rsid w:val="00131814"/>
    <w:rsid w:val="00132B97"/>
    <w:rsid w:val="00134335"/>
    <w:rsid w:val="001347D9"/>
    <w:rsid w:val="00134B95"/>
    <w:rsid w:val="00134EEC"/>
    <w:rsid w:val="001352E7"/>
    <w:rsid w:val="0013558B"/>
    <w:rsid w:val="00136588"/>
    <w:rsid w:val="0013731B"/>
    <w:rsid w:val="00137B9C"/>
    <w:rsid w:val="00137CAE"/>
    <w:rsid w:val="00140A1C"/>
    <w:rsid w:val="00142803"/>
    <w:rsid w:val="00142930"/>
    <w:rsid w:val="0014460A"/>
    <w:rsid w:val="00151506"/>
    <w:rsid w:val="00151B4C"/>
    <w:rsid w:val="0015344A"/>
    <w:rsid w:val="001542E6"/>
    <w:rsid w:val="0015657F"/>
    <w:rsid w:val="00157B2D"/>
    <w:rsid w:val="001601B1"/>
    <w:rsid w:val="00160C08"/>
    <w:rsid w:val="00165DDC"/>
    <w:rsid w:val="001661C6"/>
    <w:rsid w:val="00167D5D"/>
    <w:rsid w:val="00170CD6"/>
    <w:rsid w:val="001754B2"/>
    <w:rsid w:val="00175748"/>
    <w:rsid w:val="00175919"/>
    <w:rsid w:val="001762B1"/>
    <w:rsid w:val="00180E60"/>
    <w:rsid w:val="001814EB"/>
    <w:rsid w:val="00183385"/>
    <w:rsid w:val="0018390A"/>
    <w:rsid w:val="00186B34"/>
    <w:rsid w:val="00187F34"/>
    <w:rsid w:val="001926DE"/>
    <w:rsid w:val="00193255"/>
    <w:rsid w:val="00193689"/>
    <w:rsid w:val="0019452F"/>
    <w:rsid w:val="001A0D72"/>
    <w:rsid w:val="001A19ED"/>
    <w:rsid w:val="001A28CC"/>
    <w:rsid w:val="001A4559"/>
    <w:rsid w:val="001A47A7"/>
    <w:rsid w:val="001A60DB"/>
    <w:rsid w:val="001A6297"/>
    <w:rsid w:val="001B79BE"/>
    <w:rsid w:val="001B7FEF"/>
    <w:rsid w:val="001C0376"/>
    <w:rsid w:val="001C168D"/>
    <w:rsid w:val="001C2170"/>
    <w:rsid w:val="001C2E7E"/>
    <w:rsid w:val="001C3D6A"/>
    <w:rsid w:val="001C437E"/>
    <w:rsid w:val="001C550E"/>
    <w:rsid w:val="001C6C7D"/>
    <w:rsid w:val="001D2993"/>
    <w:rsid w:val="001D361A"/>
    <w:rsid w:val="001D4AD1"/>
    <w:rsid w:val="001D6C7A"/>
    <w:rsid w:val="001D78EF"/>
    <w:rsid w:val="001E066D"/>
    <w:rsid w:val="001E0CAC"/>
    <w:rsid w:val="001E2BBC"/>
    <w:rsid w:val="001E43C6"/>
    <w:rsid w:val="001F0146"/>
    <w:rsid w:val="001F0258"/>
    <w:rsid w:val="001F0289"/>
    <w:rsid w:val="001F046E"/>
    <w:rsid w:val="001F16C4"/>
    <w:rsid w:val="001F5D71"/>
    <w:rsid w:val="00200EE1"/>
    <w:rsid w:val="0020506A"/>
    <w:rsid w:val="0020638D"/>
    <w:rsid w:val="00206423"/>
    <w:rsid w:val="0020718F"/>
    <w:rsid w:val="00207A7D"/>
    <w:rsid w:val="00211003"/>
    <w:rsid w:val="00213344"/>
    <w:rsid w:val="00214753"/>
    <w:rsid w:val="00214DBE"/>
    <w:rsid w:val="00223490"/>
    <w:rsid w:val="00223A52"/>
    <w:rsid w:val="0022427E"/>
    <w:rsid w:val="002250B1"/>
    <w:rsid w:val="002267D2"/>
    <w:rsid w:val="002306D9"/>
    <w:rsid w:val="00231F64"/>
    <w:rsid w:val="002342C9"/>
    <w:rsid w:val="00234CD5"/>
    <w:rsid w:val="00244604"/>
    <w:rsid w:val="00245B6A"/>
    <w:rsid w:val="0024633E"/>
    <w:rsid w:val="0024675F"/>
    <w:rsid w:val="00250DE8"/>
    <w:rsid w:val="00251960"/>
    <w:rsid w:val="002532D2"/>
    <w:rsid w:val="00260EAE"/>
    <w:rsid w:val="002617FC"/>
    <w:rsid w:val="00262587"/>
    <w:rsid w:val="00263678"/>
    <w:rsid w:val="00266E25"/>
    <w:rsid w:val="00267338"/>
    <w:rsid w:val="002709A4"/>
    <w:rsid w:val="00272059"/>
    <w:rsid w:val="0027519B"/>
    <w:rsid w:val="002818DA"/>
    <w:rsid w:val="00281F90"/>
    <w:rsid w:val="00282A81"/>
    <w:rsid w:val="00283694"/>
    <w:rsid w:val="00284207"/>
    <w:rsid w:val="0028781B"/>
    <w:rsid w:val="0029201E"/>
    <w:rsid w:val="0029214E"/>
    <w:rsid w:val="00295F76"/>
    <w:rsid w:val="00296B63"/>
    <w:rsid w:val="002A0103"/>
    <w:rsid w:val="002A07A1"/>
    <w:rsid w:val="002A1C51"/>
    <w:rsid w:val="002A3C78"/>
    <w:rsid w:val="002A581A"/>
    <w:rsid w:val="002A5B07"/>
    <w:rsid w:val="002A6678"/>
    <w:rsid w:val="002A66B1"/>
    <w:rsid w:val="002A67C6"/>
    <w:rsid w:val="002A6EB3"/>
    <w:rsid w:val="002A6F66"/>
    <w:rsid w:val="002B0933"/>
    <w:rsid w:val="002B16DD"/>
    <w:rsid w:val="002B29D0"/>
    <w:rsid w:val="002B2B51"/>
    <w:rsid w:val="002B332B"/>
    <w:rsid w:val="002B34CD"/>
    <w:rsid w:val="002B4484"/>
    <w:rsid w:val="002B4A49"/>
    <w:rsid w:val="002B4D70"/>
    <w:rsid w:val="002B6478"/>
    <w:rsid w:val="002B766A"/>
    <w:rsid w:val="002C1687"/>
    <w:rsid w:val="002C1ED5"/>
    <w:rsid w:val="002C224D"/>
    <w:rsid w:val="002D10DD"/>
    <w:rsid w:val="002D15B1"/>
    <w:rsid w:val="002D29AE"/>
    <w:rsid w:val="002D29CC"/>
    <w:rsid w:val="002D4098"/>
    <w:rsid w:val="002D4C4B"/>
    <w:rsid w:val="002E3922"/>
    <w:rsid w:val="002E6EFF"/>
    <w:rsid w:val="002F0595"/>
    <w:rsid w:val="002F12CD"/>
    <w:rsid w:val="002F206F"/>
    <w:rsid w:val="002F332E"/>
    <w:rsid w:val="002F35A7"/>
    <w:rsid w:val="002F3B26"/>
    <w:rsid w:val="002F6A72"/>
    <w:rsid w:val="00300AEB"/>
    <w:rsid w:val="00300B1A"/>
    <w:rsid w:val="00300BE8"/>
    <w:rsid w:val="0030263F"/>
    <w:rsid w:val="00302B7D"/>
    <w:rsid w:val="0030373B"/>
    <w:rsid w:val="003046A7"/>
    <w:rsid w:val="003079AD"/>
    <w:rsid w:val="0031394E"/>
    <w:rsid w:val="00314485"/>
    <w:rsid w:val="00320EBE"/>
    <w:rsid w:val="00321611"/>
    <w:rsid w:val="00325318"/>
    <w:rsid w:val="00325C98"/>
    <w:rsid w:val="00326AE1"/>
    <w:rsid w:val="00326B19"/>
    <w:rsid w:val="00330096"/>
    <w:rsid w:val="00331304"/>
    <w:rsid w:val="00331E90"/>
    <w:rsid w:val="00331F10"/>
    <w:rsid w:val="003344E6"/>
    <w:rsid w:val="003375EF"/>
    <w:rsid w:val="00337E1D"/>
    <w:rsid w:val="00340A33"/>
    <w:rsid w:val="00341A66"/>
    <w:rsid w:val="00342F19"/>
    <w:rsid w:val="0034331F"/>
    <w:rsid w:val="00343590"/>
    <w:rsid w:val="00344302"/>
    <w:rsid w:val="003448CF"/>
    <w:rsid w:val="00345CBB"/>
    <w:rsid w:val="00350208"/>
    <w:rsid w:val="00352219"/>
    <w:rsid w:val="00354F0B"/>
    <w:rsid w:val="003550F1"/>
    <w:rsid w:val="00356F90"/>
    <w:rsid w:val="003600B9"/>
    <w:rsid w:val="00362305"/>
    <w:rsid w:val="00362540"/>
    <w:rsid w:val="00364369"/>
    <w:rsid w:val="00365A12"/>
    <w:rsid w:val="00365F42"/>
    <w:rsid w:val="0037208C"/>
    <w:rsid w:val="00374578"/>
    <w:rsid w:val="00375C9A"/>
    <w:rsid w:val="00376E3E"/>
    <w:rsid w:val="00376EAA"/>
    <w:rsid w:val="003817B3"/>
    <w:rsid w:val="003841EE"/>
    <w:rsid w:val="00385070"/>
    <w:rsid w:val="00390D83"/>
    <w:rsid w:val="00392AAA"/>
    <w:rsid w:val="003A0102"/>
    <w:rsid w:val="003A2A87"/>
    <w:rsid w:val="003A3338"/>
    <w:rsid w:val="003A42B1"/>
    <w:rsid w:val="003A5107"/>
    <w:rsid w:val="003B11D2"/>
    <w:rsid w:val="003B174E"/>
    <w:rsid w:val="003B35FB"/>
    <w:rsid w:val="003B563B"/>
    <w:rsid w:val="003C0261"/>
    <w:rsid w:val="003C05D5"/>
    <w:rsid w:val="003C5B90"/>
    <w:rsid w:val="003C61B4"/>
    <w:rsid w:val="003C64ED"/>
    <w:rsid w:val="003D064A"/>
    <w:rsid w:val="003D0722"/>
    <w:rsid w:val="003D24EC"/>
    <w:rsid w:val="003D49CA"/>
    <w:rsid w:val="003D5F25"/>
    <w:rsid w:val="003D76CD"/>
    <w:rsid w:val="003D7D37"/>
    <w:rsid w:val="003E1189"/>
    <w:rsid w:val="003E1CE1"/>
    <w:rsid w:val="003E3C28"/>
    <w:rsid w:val="003E4491"/>
    <w:rsid w:val="003E59DF"/>
    <w:rsid w:val="003E63C9"/>
    <w:rsid w:val="003E793B"/>
    <w:rsid w:val="003E7ACC"/>
    <w:rsid w:val="003F1F99"/>
    <w:rsid w:val="003F2189"/>
    <w:rsid w:val="003F317E"/>
    <w:rsid w:val="003F4082"/>
    <w:rsid w:val="003F4846"/>
    <w:rsid w:val="003F4E33"/>
    <w:rsid w:val="003F5627"/>
    <w:rsid w:val="004016FF"/>
    <w:rsid w:val="004036E7"/>
    <w:rsid w:val="00404A58"/>
    <w:rsid w:val="00404DB2"/>
    <w:rsid w:val="00407495"/>
    <w:rsid w:val="004076C0"/>
    <w:rsid w:val="00407D15"/>
    <w:rsid w:val="00411093"/>
    <w:rsid w:val="004120BB"/>
    <w:rsid w:val="00413B92"/>
    <w:rsid w:val="00413C16"/>
    <w:rsid w:val="00416235"/>
    <w:rsid w:val="00422627"/>
    <w:rsid w:val="004229AC"/>
    <w:rsid w:val="00424668"/>
    <w:rsid w:val="0042489B"/>
    <w:rsid w:val="00426913"/>
    <w:rsid w:val="00427439"/>
    <w:rsid w:val="00432759"/>
    <w:rsid w:val="00432C6C"/>
    <w:rsid w:val="00433FE6"/>
    <w:rsid w:val="00434120"/>
    <w:rsid w:val="00435B72"/>
    <w:rsid w:val="00436F8A"/>
    <w:rsid w:val="004378FA"/>
    <w:rsid w:val="00440AA6"/>
    <w:rsid w:val="004425F6"/>
    <w:rsid w:val="00445084"/>
    <w:rsid w:val="00446B6D"/>
    <w:rsid w:val="004471A8"/>
    <w:rsid w:val="0044782D"/>
    <w:rsid w:val="004536C9"/>
    <w:rsid w:val="00453FEE"/>
    <w:rsid w:val="00454677"/>
    <w:rsid w:val="00454BAD"/>
    <w:rsid w:val="004612A5"/>
    <w:rsid w:val="00461873"/>
    <w:rsid w:val="0046252C"/>
    <w:rsid w:val="00463DE5"/>
    <w:rsid w:val="00465323"/>
    <w:rsid w:val="00465552"/>
    <w:rsid w:val="004666E2"/>
    <w:rsid w:val="00467442"/>
    <w:rsid w:val="004707D5"/>
    <w:rsid w:val="0047317E"/>
    <w:rsid w:val="00473CD0"/>
    <w:rsid w:val="004763C5"/>
    <w:rsid w:val="004801F2"/>
    <w:rsid w:val="00480B1F"/>
    <w:rsid w:val="00483410"/>
    <w:rsid w:val="00484104"/>
    <w:rsid w:val="00484DCA"/>
    <w:rsid w:val="0048603B"/>
    <w:rsid w:val="0048738E"/>
    <w:rsid w:val="00487470"/>
    <w:rsid w:val="00492A9D"/>
    <w:rsid w:val="004946E2"/>
    <w:rsid w:val="004953CC"/>
    <w:rsid w:val="00496128"/>
    <w:rsid w:val="00496781"/>
    <w:rsid w:val="004A013A"/>
    <w:rsid w:val="004A239D"/>
    <w:rsid w:val="004A4920"/>
    <w:rsid w:val="004A57F3"/>
    <w:rsid w:val="004A6975"/>
    <w:rsid w:val="004B2504"/>
    <w:rsid w:val="004B2892"/>
    <w:rsid w:val="004B2B14"/>
    <w:rsid w:val="004B534B"/>
    <w:rsid w:val="004B6025"/>
    <w:rsid w:val="004B6B7B"/>
    <w:rsid w:val="004B7016"/>
    <w:rsid w:val="004B73DA"/>
    <w:rsid w:val="004C2CA2"/>
    <w:rsid w:val="004C348F"/>
    <w:rsid w:val="004C40BF"/>
    <w:rsid w:val="004C52AE"/>
    <w:rsid w:val="004D003C"/>
    <w:rsid w:val="004D091C"/>
    <w:rsid w:val="004D3743"/>
    <w:rsid w:val="004D43EB"/>
    <w:rsid w:val="004D5217"/>
    <w:rsid w:val="004D6867"/>
    <w:rsid w:val="004E2210"/>
    <w:rsid w:val="004E3295"/>
    <w:rsid w:val="004F0441"/>
    <w:rsid w:val="004F169F"/>
    <w:rsid w:val="004F2045"/>
    <w:rsid w:val="004F2F02"/>
    <w:rsid w:val="004F515F"/>
    <w:rsid w:val="004F6487"/>
    <w:rsid w:val="004F6FFB"/>
    <w:rsid w:val="004F7BAA"/>
    <w:rsid w:val="0050050B"/>
    <w:rsid w:val="005026B8"/>
    <w:rsid w:val="00502B7A"/>
    <w:rsid w:val="005055A7"/>
    <w:rsid w:val="00512440"/>
    <w:rsid w:val="00512B12"/>
    <w:rsid w:val="00515539"/>
    <w:rsid w:val="005222E6"/>
    <w:rsid w:val="00522D6F"/>
    <w:rsid w:val="00526719"/>
    <w:rsid w:val="00533176"/>
    <w:rsid w:val="00535604"/>
    <w:rsid w:val="00537555"/>
    <w:rsid w:val="00537918"/>
    <w:rsid w:val="00540A42"/>
    <w:rsid w:val="00542BB2"/>
    <w:rsid w:val="00543EA8"/>
    <w:rsid w:val="00544987"/>
    <w:rsid w:val="00547026"/>
    <w:rsid w:val="005524BC"/>
    <w:rsid w:val="005555FC"/>
    <w:rsid w:val="005564DB"/>
    <w:rsid w:val="00556CD5"/>
    <w:rsid w:val="0056081F"/>
    <w:rsid w:val="005618AB"/>
    <w:rsid w:val="0056427C"/>
    <w:rsid w:val="00564A17"/>
    <w:rsid w:val="0056660A"/>
    <w:rsid w:val="00566CA7"/>
    <w:rsid w:val="00570291"/>
    <w:rsid w:val="0057062A"/>
    <w:rsid w:val="0057152B"/>
    <w:rsid w:val="00571F95"/>
    <w:rsid w:val="00572475"/>
    <w:rsid w:val="0057287E"/>
    <w:rsid w:val="005728EC"/>
    <w:rsid w:val="005736C8"/>
    <w:rsid w:val="00573931"/>
    <w:rsid w:val="00576285"/>
    <w:rsid w:val="00577AA1"/>
    <w:rsid w:val="00577D50"/>
    <w:rsid w:val="00581128"/>
    <w:rsid w:val="005814BE"/>
    <w:rsid w:val="0058204E"/>
    <w:rsid w:val="00582631"/>
    <w:rsid w:val="00583910"/>
    <w:rsid w:val="00584FE3"/>
    <w:rsid w:val="005878A9"/>
    <w:rsid w:val="005924B6"/>
    <w:rsid w:val="00593F71"/>
    <w:rsid w:val="00594B7E"/>
    <w:rsid w:val="005961A9"/>
    <w:rsid w:val="0059649A"/>
    <w:rsid w:val="005970AE"/>
    <w:rsid w:val="005A04AB"/>
    <w:rsid w:val="005A3523"/>
    <w:rsid w:val="005A37EA"/>
    <w:rsid w:val="005A507A"/>
    <w:rsid w:val="005A7F23"/>
    <w:rsid w:val="005B35DD"/>
    <w:rsid w:val="005B5007"/>
    <w:rsid w:val="005C1601"/>
    <w:rsid w:val="005C4FE8"/>
    <w:rsid w:val="005C5D66"/>
    <w:rsid w:val="005C7278"/>
    <w:rsid w:val="005C76B9"/>
    <w:rsid w:val="005C7BD6"/>
    <w:rsid w:val="005D611C"/>
    <w:rsid w:val="005E1651"/>
    <w:rsid w:val="005E1E81"/>
    <w:rsid w:val="005E1F43"/>
    <w:rsid w:val="005E51E2"/>
    <w:rsid w:val="005E7327"/>
    <w:rsid w:val="005F3D85"/>
    <w:rsid w:val="005F5B5F"/>
    <w:rsid w:val="005F6891"/>
    <w:rsid w:val="005F701D"/>
    <w:rsid w:val="005F7CEF"/>
    <w:rsid w:val="0060045D"/>
    <w:rsid w:val="00600D36"/>
    <w:rsid w:val="0060285B"/>
    <w:rsid w:val="00602F5F"/>
    <w:rsid w:val="006035E6"/>
    <w:rsid w:val="0060407B"/>
    <w:rsid w:val="00612279"/>
    <w:rsid w:val="00614BDE"/>
    <w:rsid w:val="00616574"/>
    <w:rsid w:val="00616D9D"/>
    <w:rsid w:val="006178D1"/>
    <w:rsid w:val="0061793A"/>
    <w:rsid w:val="006206A8"/>
    <w:rsid w:val="00620ECA"/>
    <w:rsid w:val="006215C4"/>
    <w:rsid w:val="00623A7A"/>
    <w:rsid w:val="00623BE1"/>
    <w:rsid w:val="0062405D"/>
    <w:rsid w:val="006246B5"/>
    <w:rsid w:val="00626735"/>
    <w:rsid w:val="00626D2D"/>
    <w:rsid w:val="0063094C"/>
    <w:rsid w:val="00630BE5"/>
    <w:rsid w:val="00632D7D"/>
    <w:rsid w:val="00634E7A"/>
    <w:rsid w:val="0063500F"/>
    <w:rsid w:val="00635362"/>
    <w:rsid w:val="00635E26"/>
    <w:rsid w:val="00641437"/>
    <w:rsid w:val="006416EC"/>
    <w:rsid w:val="00643BC9"/>
    <w:rsid w:val="0064554E"/>
    <w:rsid w:val="00647F16"/>
    <w:rsid w:val="00650F8C"/>
    <w:rsid w:val="0065113B"/>
    <w:rsid w:val="00653DA2"/>
    <w:rsid w:val="00654063"/>
    <w:rsid w:val="006550C7"/>
    <w:rsid w:val="0066178A"/>
    <w:rsid w:val="006627DC"/>
    <w:rsid w:val="00663F25"/>
    <w:rsid w:val="00665162"/>
    <w:rsid w:val="006672EF"/>
    <w:rsid w:val="006718BB"/>
    <w:rsid w:val="00671E60"/>
    <w:rsid w:val="0067440B"/>
    <w:rsid w:val="00674B8F"/>
    <w:rsid w:val="00675CDE"/>
    <w:rsid w:val="006811F8"/>
    <w:rsid w:val="00683814"/>
    <w:rsid w:val="00684723"/>
    <w:rsid w:val="0068472D"/>
    <w:rsid w:val="0068597D"/>
    <w:rsid w:val="006861A1"/>
    <w:rsid w:val="00692C81"/>
    <w:rsid w:val="006932B8"/>
    <w:rsid w:val="006933AE"/>
    <w:rsid w:val="0069365D"/>
    <w:rsid w:val="00697456"/>
    <w:rsid w:val="006A0776"/>
    <w:rsid w:val="006A1F62"/>
    <w:rsid w:val="006A402D"/>
    <w:rsid w:val="006A6F3E"/>
    <w:rsid w:val="006A707A"/>
    <w:rsid w:val="006A7390"/>
    <w:rsid w:val="006B0205"/>
    <w:rsid w:val="006B04C7"/>
    <w:rsid w:val="006B09EB"/>
    <w:rsid w:val="006B1B65"/>
    <w:rsid w:val="006B2162"/>
    <w:rsid w:val="006B404B"/>
    <w:rsid w:val="006B4771"/>
    <w:rsid w:val="006B7480"/>
    <w:rsid w:val="006C1CD0"/>
    <w:rsid w:val="006C31F5"/>
    <w:rsid w:val="006C3F95"/>
    <w:rsid w:val="006C4CE0"/>
    <w:rsid w:val="006C58C4"/>
    <w:rsid w:val="006C6621"/>
    <w:rsid w:val="006C6A16"/>
    <w:rsid w:val="006C7C0A"/>
    <w:rsid w:val="006D3267"/>
    <w:rsid w:val="006D397E"/>
    <w:rsid w:val="006D3DF1"/>
    <w:rsid w:val="006D4F6C"/>
    <w:rsid w:val="006D5B79"/>
    <w:rsid w:val="006D6EED"/>
    <w:rsid w:val="006E115B"/>
    <w:rsid w:val="006E4D1B"/>
    <w:rsid w:val="006E71F9"/>
    <w:rsid w:val="006F0C21"/>
    <w:rsid w:val="006F0EEF"/>
    <w:rsid w:val="006F2193"/>
    <w:rsid w:val="006F3807"/>
    <w:rsid w:val="006F601D"/>
    <w:rsid w:val="00700CEE"/>
    <w:rsid w:val="007054C6"/>
    <w:rsid w:val="00707268"/>
    <w:rsid w:val="007078A6"/>
    <w:rsid w:val="00707F30"/>
    <w:rsid w:val="00712A91"/>
    <w:rsid w:val="007147EE"/>
    <w:rsid w:val="00715F72"/>
    <w:rsid w:val="007176A5"/>
    <w:rsid w:val="00717CD5"/>
    <w:rsid w:val="00720D0C"/>
    <w:rsid w:val="007221B4"/>
    <w:rsid w:val="007228F1"/>
    <w:rsid w:val="00723A1A"/>
    <w:rsid w:val="0072438A"/>
    <w:rsid w:val="007253E5"/>
    <w:rsid w:val="00736034"/>
    <w:rsid w:val="007368B8"/>
    <w:rsid w:val="00737375"/>
    <w:rsid w:val="007508E1"/>
    <w:rsid w:val="007512ED"/>
    <w:rsid w:val="00757614"/>
    <w:rsid w:val="00760268"/>
    <w:rsid w:val="00763C00"/>
    <w:rsid w:val="007655F9"/>
    <w:rsid w:val="007664CE"/>
    <w:rsid w:val="0077171A"/>
    <w:rsid w:val="00775458"/>
    <w:rsid w:val="00782221"/>
    <w:rsid w:val="007822D5"/>
    <w:rsid w:val="00782993"/>
    <w:rsid w:val="007855B1"/>
    <w:rsid w:val="0078648F"/>
    <w:rsid w:val="00786C53"/>
    <w:rsid w:val="00787C3D"/>
    <w:rsid w:val="00790842"/>
    <w:rsid w:val="00790A31"/>
    <w:rsid w:val="007924A2"/>
    <w:rsid w:val="007935F8"/>
    <w:rsid w:val="00797FC6"/>
    <w:rsid w:val="007A28C8"/>
    <w:rsid w:val="007A3106"/>
    <w:rsid w:val="007A43C4"/>
    <w:rsid w:val="007A5453"/>
    <w:rsid w:val="007A595F"/>
    <w:rsid w:val="007A6D47"/>
    <w:rsid w:val="007B2201"/>
    <w:rsid w:val="007B2FED"/>
    <w:rsid w:val="007B30F2"/>
    <w:rsid w:val="007B5192"/>
    <w:rsid w:val="007B5D07"/>
    <w:rsid w:val="007B5F21"/>
    <w:rsid w:val="007C21AC"/>
    <w:rsid w:val="007C2AC0"/>
    <w:rsid w:val="007C45F7"/>
    <w:rsid w:val="007C57DB"/>
    <w:rsid w:val="007D2364"/>
    <w:rsid w:val="007D2E70"/>
    <w:rsid w:val="007D402C"/>
    <w:rsid w:val="007D5DCF"/>
    <w:rsid w:val="007D6333"/>
    <w:rsid w:val="007F10EE"/>
    <w:rsid w:val="007F3DE8"/>
    <w:rsid w:val="008004F6"/>
    <w:rsid w:val="008016C6"/>
    <w:rsid w:val="0080225A"/>
    <w:rsid w:val="00803E7C"/>
    <w:rsid w:val="00806F98"/>
    <w:rsid w:val="008105C9"/>
    <w:rsid w:val="0081173C"/>
    <w:rsid w:val="00814178"/>
    <w:rsid w:val="00814857"/>
    <w:rsid w:val="00817ECF"/>
    <w:rsid w:val="00821ECE"/>
    <w:rsid w:val="00822928"/>
    <w:rsid w:val="0082294E"/>
    <w:rsid w:val="00825790"/>
    <w:rsid w:val="00826B60"/>
    <w:rsid w:val="00831541"/>
    <w:rsid w:val="0083573A"/>
    <w:rsid w:val="00836713"/>
    <w:rsid w:val="008445FD"/>
    <w:rsid w:val="0084599D"/>
    <w:rsid w:val="00846C73"/>
    <w:rsid w:val="0085019D"/>
    <w:rsid w:val="0085400F"/>
    <w:rsid w:val="00855E36"/>
    <w:rsid w:val="00856F3E"/>
    <w:rsid w:val="0086319D"/>
    <w:rsid w:val="008653C0"/>
    <w:rsid w:val="00867395"/>
    <w:rsid w:val="008679B5"/>
    <w:rsid w:val="00867BB4"/>
    <w:rsid w:val="0087126E"/>
    <w:rsid w:val="00873B4C"/>
    <w:rsid w:val="00873F48"/>
    <w:rsid w:val="0087465E"/>
    <w:rsid w:val="00875FED"/>
    <w:rsid w:val="00881EBC"/>
    <w:rsid w:val="00883116"/>
    <w:rsid w:val="0088315D"/>
    <w:rsid w:val="00884971"/>
    <w:rsid w:val="0088502F"/>
    <w:rsid w:val="00885418"/>
    <w:rsid w:val="00890A01"/>
    <w:rsid w:val="008912D4"/>
    <w:rsid w:val="0089135B"/>
    <w:rsid w:val="00891B48"/>
    <w:rsid w:val="008949BB"/>
    <w:rsid w:val="00894ACD"/>
    <w:rsid w:val="00895AAE"/>
    <w:rsid w:val="008A05C0"/>
    <w:rsid w:val="008A0BAF"/>
    <w:rsid w:val="008A138A"/>
    <w:rsid w:val="008A48A9"/>
    <w:rsid w:val="008A4BC7"/>
    <w:rsid w:val="008A57F8"/>
    <w:rsid w:val="008A5D82"/>
    <w:rsid w:val="008B0D98"/>
    <w:rsid w:val="008B2814"/>
    <w:rsid w:val="008B2FBB"/>
    <w:rsid w:val="008B7565"/>
    <w:rsid w:val="008C38B8"/>
    <w:rsid w:val="008C455C"/>
    <w:rsid w:val="008C4FA9"/>
    <w:rsid w:val="008C604B"/>
    <w:rsid w:val="008D30FB"/>
    <w:rsid w:val="008D4B76"/>
    <w:rsid w:val="008D6214"/>
    <w:rsid w:val="008D7669"/>
    <w:rsid w:val="008E0DAD"/>
    <w:rsid w:val="008E371A"/>
    <w:rsid w:val="008E4A51"/>
    <w:rsid w:val="008E78B1"/>
    <w:rsid w:val="008F0C02"/>
    <w:rsid w:val="008F173A"/>
    <w:rsid w:val="008F21DC"/>
    <w:rsid w:val="008F3258"/>
    <w:rsid w:val="008F3427"/>
    <w:rsid w:val="008F6093"/>
    <w:rsid w:val="009053A8"/>
    <w:rsid w:val="00906D72"/>
    <w:rsid w:val="00906EB0"/>
    <w:rsid w:val="00907EA3"/>
    <w:rsid w:val="00911585"/>
    <w:rsid w:val="00913D9A"/>
    <w:rsid w:val="0092031A"/>
    <w:rsid w:val="0092347E"/>
    <w:rsid w:val="009241F8"/>
    <w:rsid w:val="00924C1F"/>
    <w:rsid w:val="00925A9D"/>
    <w:rsid w:val="009277DB"/>
    <w:rsid w:val="00932DA3"/>
    <w:rsid w:val="00934813"/>
    <w:rsid w:val="009349E6"/>
    <w:rsid w:val="00936392"/>
    <w:rsid w:val="009363E8"/>
    <w:rsid w:val="009366D2"/>
    <w:rsid w:val="00936980"/>
    <w:rsid w:val="00940C46"/>
    <w:rsid w:val="0094657F"/>
    <w:rsid w:val="009468FF"/>
    <w:rsid w:val="009507F6"/>
    <w:rsid w:val="0095223F"/>
    <w:rsid w:val="009553F7"/>
    <w:rsid w:val="00956A72"/>
    <w:rsid w:val="00956DC6"/>
    <w:rsid w:val="00960CD1"/>
    <w:rsid w:val="009624CA"/>
    <w:rsid w:val="009626A2"/>
    <w:rsid w:val="00964CC6"/>
    <w:rsid w:val="009665E3"/>
    <w:rsid w:val="00972353"/>
    <w:rsid w:val="009740A8"/>
    <w:rsid w:val="00974268"/>
    <w:rsid w:val="00974585"/>
    <w:rsid w:val="00975051"/>
    <w:rsid w:val="009763F5"/>
    <w:rsid w:val="00976D3D"/>
    <w:rsid w:val="00977627"/>
    <w:rsid w:val="009810BE"/>
    <w:rsid w:val="00981697"/>
    <w:rsid w:val="009837B0"/>
    <w:rsid w:val="00983F2E"/>
    <w:rsid w:val="00985EBF"/>
    <w:rsid w:val="00991096"/>
    <w:rsid w:val="00991443"/>
    <w:rsid w:val="00994D49"/>
    <w:rsid w:val="009A05F1"/>
    <w:rsid w:val="009A15BC"/>
    <w:rsid w:val="009A1662"/>
    <w:rsid w:val="009A4247"/>
    <w:rsid w:val="009B126A"/>
    <w:rsid w:val="009B2183"/>
    <w:rsid w:val="009B2D58"/>
    <w:rsid w:val="009B419E"/>
    <w:rsid w:val="009B4D1E"/>
    <w:rsid w:val="009B6E43"/>
    <w:rsid w:val="009B7887"/>
    <w:rsid w:val="009C1642"/>
    <w:rsid w:val="009D02DF"/>
    <w:rsid w:val="009D3351"/>
    <w:rsid w:val="009D4A2F"/>
    <w:rsid w:val="009D7E29"/>
    <w:rsid w:val="009E1E24"/>
    <w:rsid w:val="009E2FCB"/>
    <w:rsid w:val="009E40E1"/>
    <w:rsid w:val="009E5173"/>
    <w:rsid w:val="009E6A76"/>
    <w:rsid w:val="009F0E66"/>
    <w:rsid w:val="009F143A"/>
    <w:rsid w:val="009F19FC"/>
    <w:rsid w:val="009F1A4D"/>
    <w:rsid w:val="009F50C4"/>
    <w:rsid w:val="009F52EA"/>
    <w:rsid w:val="009F64D9"/>
    <w:rsid w:val="009F6BE9"/>
    <w:rsid w:val="00A03E12"/>
    <w:rsid w:val="00A12E06"/>
    <w:rsid w:val="00A14467"/>
    <w:rsid w:val="00A14655"/>
    <w:rsid w:val="00A14F79"/>
    <w:rsid w:val="00A15C35"/>
    <w:rsid w:val="00A171A4"/>
    <w:rsid w:val="00A249B5"/>
    <w:rsid w:val="00A2646A"/>
    <w:rsid w:val="00A2693A"/>
    <w:rsid w:val="00A31C68"/>
    <w:rsid w:val="00A32167"/>
    <w:rsid w:val="00A32D95"/>
    <w:rsid w:val="00A33A89"/>
    <w:rsid w:val="00A351AD"/>
    <w:rsid w:val="00A35348"/>
    <w:rsid w:val="00A37C68"/>
    <w:rsid w:val="00A41CDB"/>
    <w:rsid w:val="00A42637"/>
    <w:rsid w:val="00A430F0"/>
    <w:rsid w:val="00A4311D"/>
    <w:rsid w:val="00A44972"/>
    <w:rsid w:val="00A464BF"/>
    <w:rsid w:val="00A47EE3"/>
    <w:rsid w:val="00A5542A"/>
    <w:rsid w:val="00A55D58"/>
    <w:rsid w:val="00A6188C"/>
    <w:rsid w:val="00A624FD"/>
    <w:rsid w:val="00A625F4"/>
    <w:rsid w:val="00A62987"/>
    <w:rsid w:val="00A63223"/>
    <w:rsid w:val="00A64AB7"/>
    <w:rsid w:val="00A66D01"/>
    <w:rsid w:val="00A67663"/>
    <w:rsid w:val="00A67706"/>
    <w:rsid w:val="00A67792"/>
    <w:rsid w:val="00A70787"/>
    <w:rsid w:val="00A71D1F"/>
    <w:rsid w:val="00A73B5B"/>
    <w:rsid w:val="00A754B0"/>
    <w:rsid w:val="00A7697E"/>
    <w:rsid w:val="00A813B6"/>
    <w:rsid w:val="00A825A6"/>
    <w:rsid w:val="00A84CBA"/>
    <w:rsid w:val="00A84CFF"/>
    <w:rsid w:val="00A857AB"/>
    <w:rsid w:val="00A873F0"/>
    <w:rsid w:val="00A930AF"/>
    <w:rsid w:val="00A9332E"/>
    <w:rsid w:val="00A93EAE"/>
    <w:rsid w:val="00A94BFB"/>
    <w:rsid w:val="00A94F9D"/>
    <w:rsid w:val="00A957CC"/>
    <w:rsid w:val="00AA0D0A"/>
    <w:rsid w:val="00AA183E"/>
    <w:rsid w:val="00AA32D0"/>
    <w:rsid w:val="00AA3B1B"/>
    <w:rsid w:val="00AA4783"/>
    <w:rsid w:val="00AA6134"/>
    <w:rsid w:val="00AA6AA6"/>
    <w:rsid w:val="00AA7420"/>
    <w:rsid w:val="00AA7C20"/>
    <w:rsid w:val="00AB0D1E"/>
    <w:rsid w:val="00AB134A"/>
    <w:rsid w:val="00AB14C5"/>
    <w:rsid w:val="00AB4476"/>
    <w:rsid w:val="00AB7966"/>
    <w:rsid w:val="00AB7FD0"/>
    <w:rsid w:val="00AC09F8"/>
    <w:rsid w:val="00AC15C3"/>
    <w:rsid w:val="00AC1EE2"/>
    <w:rsid w:val="00AC684F"/>
    <w:rsid w:val="00AD118F"/>
    <w:rsid w:val="00AD1EA4"/>
    <w:rsid w:val="00AD39C2"/>
    <w:rsid w:val="00AD4447"/>
    <w:rsid w:val="00AD53B6"/>
    <w:rsid w:val="00AD5D9A"/>
    <w:rsid w:val="00AD7303"/>
    <w:rsid w:val="00AE102B"/>
    <w:rsid w:val="00AE7098"/>
    <w:rsid w:val="00AE7B98"/>
    <w:rsid w:val="00AF3A47"/>
    <w:rsid w:val="00AF7083"/>
    <w:rsid w:val="00B02940"/>
    <w:rsid w:val="00B04854"/>
    <w:rsid w:val="00B0540B"/>
    <w:rsid w:val="00B06038"/>
    <w:rsid w:val="00B071CF"/>
    <w:rsid w:val="00B11109"/>
    <w:rsid w:val="00B11316"/>
    <w:rsid w:val="00B12F56"/>
    <w:rsid w:val="00B13F16"/>
    <w:rsid w:val="00B147D7"/>
    <w:rsid w:val="00B1601D"/>
    <w:rsid w:val="00B1603C"/>
    <w:rsid w:val="00B16B79"/>
    <w:rsid w:val="00B21611"/>
    <w:rsid w:val="00B21718"/>
    <w:rsid w:val="00B226A5"/>
    <w:rsid w:val="00B22AE4"/>
    <w:rsid w:val="00B23C3F"/>
    <w:rsid w:val="00B2451F"/>
    <w:rsid w:val="00B252B8"/>
    <w:rsid w:val="00B273CD"/>
    <w:rsid w:val="00B30488"/>
    <w:rsid w:val="00B3200C"/>
    <w:rsid w:val="00B331D6"/>
    <w:rsid w:val="00B33E2E"/>
    <w:rsid w:val="00B34962"/>
    <w:rsid w:val="00B4265D"/>
    <w:rsid w:val="00B44C57"/>
    <w:rsid w:val="00B524F7"/>
    <w:rsid w:val="00B527B5"/>
    <w:rsid w:val="00B54015"/>
    <w:rsid w:val="00B56FAF"/>
    <w:rsid w:val="00B6130E"/>
    <w:rsid w:val="00B64FB0"/>
    <w:rsid w:val="00B6513E"/>
    <w:rsid w:val="00B6647C"/>
    <w:rsid w:val="00B664F7"/>
    <w:rsid w:val="00B66C3D"/>
    <w:rsid w:val="00B67CC2"/>
    <w:rsid w:val="00B72CC3"/>
    <w:rsid w:val="00B72E56"/>
    <w:rsid w:val="00B737FC"/>
    <w:rsid w:val="00B74B1B"/>
    <w:rsid w:val="00B80AA7"/>
    <w:rsid w:val="00B81E79"/>
    <w:rsid w:val="00B82D4C"/>
    <w:rsid w:val="00B850E7"/>
    <w:rsid w:val="00B90F61"/>
    <w:rsid w:val="00B92067"/>
    <w:rsid w:val="00B95587"/>
    <w:rsid w:val="00B97E5A"/>
    <w:rsid w:val="00BA09DA"/>
    <w:rsid w:val="00BA2019"/>
    <w:rsid w:val="00BA4A4D"/>
    <w:rsid w:val="00BA4FBB"/>
    <w:rsid w:val="00BA5A61"/>
    <w:rsid w:val="00BB1CDA"/>
    <w:rsid w:val="00BB23B6"/>
    <w:rsid w:val="00BB4ED8"/>
    <w:rsid w:val="00BB6C9C"/>
    <w:rsid w:val="00BC17FA"/>
    <w:rsid w:val="00BC23D2"/>
    <w:rsid w:val="00BC2EC7"/>
    <w:rsid w:val="00BC30AB"/>
    <w:rsid w:val="00BC5D91"/>
    <w:rsid w:val="00BC72FC"/>
    <w:rsid w:val="00BC7BCC"/>
    <w:rsid w:val="00BD0052"/>
    <w:rsid w:val="00BD038F"/>
    <w:rsid w:val="00BD22EA"/>
    <w:rsid w:val="00BD2B19"/>
    <w:rsid w:val="00BD4A6A"/>
    <w:rsid w:val="00BD64ED"/>
    <w:rsid w:val="00BD77D5"/>
    <w:rsid w:val="00BE2409"/>
    <w:rsid w:val="00BE25F2"/>
    <w:rsid w:val="00BE33B9"/>
    <w:rsid w:val="00BE5A9E"/>
    <w:rsid w:val="00BE76D2"/>
    <w:rsid w:val="00BF016A"/>
    <w:rsid w:val="00BF2B34"/>
    <w:rsid w:val="00BF37E8"/>
    <w:rsid w:val="00BF5798"/>
    <w:rsid w:val="00BF5AF3"/>
    <w:rsid w:val="00BF74F1"/>
    <w:rsid w:val="00C033B4"/>
    <w:rsid w:val="00C0427D"/>
    <w:rsid w:val="00C05146"/>
    <w:rsid w:val="00C06F6F"/>
    <w:rsid w:val="00C11C5A"/>
    <w:rsid w:val="00C12D9B"/>
    <w:rsid w:val="00C14039"/>
    <w:rsid w:val="00C1468F"/>
    <w:rsid w:val="00C2590E"/>
    <w:rsid w:val="00C25C1D"/>
    <w:rsid w:val="00C2635B"/>
    <w:rsid w:val="00C329AA"/>
    <w:rsid w:val="00C3352E"/>
    <w:rsid w:val="00C342C8"/>
    <w:rsid w:val="00C376A3"/>
    <w:rsid w:val="00C42619"/>
    <w:rsid w:val="00C42A57"/>
    <w:rsid w:val="00C42AB8"/>
    <w:rsid w:val="00C42C9A"/>
    <w:rsid w:val="00C437D7"/>
    <w:rsid w:val="00C439E7"/>
    <w:rsid w:val="00C44DC5"/>
    <w:rsid w:val="00C45DF4"/>
    <w:rsid w:val="00C46F79"/>
    <w:rsid w:val="00C47560"/>
    <w:rsid w:val="00C517FB"/>
    <w:rsid w:val="00C5429B"/>
    <w:rsid w:val="00C551EE"/>
    <w:rsid w:val="00C56BEB"/>
    <w:rsid w:val="00C61B15"/>
    <w:rsid w:val="00C62AB7"/>
    <w:rsid w:val="00C62CB3"/>
    <w:rsid w:val="00C63DA4"/>
    <w:rsid w:val="00C70ADB"/>
    <w:rsid w:val="00C73665"/>
    <w:rsid w:val="00C73CA5"/>
    <w:rsid w:val="00C74DF1"/>
    <w:rsid w:val="00C75C1F"/>
    <w:rsid w:val="00C766E2"/>
    <w:rsid w:val="00C76A0A"/>
    <w:rsid w:val="00C77A3F"/>
    <w:rsid w:val="00C77E06"/>
    <w:rsid w:val="00C81DE6"/>
    <w:rsid w:val="00C820D6"/>
    <w:rsid w:val="00C85053"/>
    <w:rsid w:val="00C85A7B"/>
    <w:rsid w:val="00C867B3"/>
    <w:rsid w:val="00C875A6"/>
    <w:rsid w:val="00C9051A"/>
    <w:rsid w:val="00C90A91"/>
    <w:rsid w:val="00C911E7"/>
    <w:rsid w:val="00C94ECE"/>
    <w:rsid w:val="00C9758C"/>
    <w:rsid w:val="00CA1DB0"/>
    <w:rsid w:val="00CA2C07"/>
    <w:rsid w:val="00CA5845"/>
    <w:rsid w:val="00CB0D03"/>
    <w:rsid w:val="00CB1672"/>
    <w:rsid w:val="00CB38D2"/>
    <w:rsid w:val="00CB464B"/>
    <w:rsid w:val="00CB4D90"/>
    <w:rsid w:val="00CC05F6"/>
    <w:rsid w:val="00CC1DAA"/>
    <w:rsid w:val="00CC3F4A"/>
    <w:rsid w:val="00CD26E3"/>
    <w:rsid w:val="00CD3F0E"/>
    <w:rsid w:val="00CD6C96"/>
    <w:rsid w:val="00CE19F9"/>
    <w:rsid w:val="00CE1D09"/>
    <w:rsid w:val="00CE2D48"/>
    <w:rsid w:val="00CE30F2"/>
    <w:rsid w:val="00CE4E4E"/>
    <w:rsid w:val="00CE4FF5"/>
    <w:rsid w:val="00CE55DF"/>
    <w:rsid w:val="00CE6920"/>
    <w:rsid w:val="00CF0FC4"/>
    <w:rsid w:val="00CF287B"/>
    <w:rsid w:val="00CF35E8"/>
    <w:rsid w:val="00CF40C2"/>
    <w:rsid w:val="00CF4470"/>
    <w:rsid w:val="00CF4A0B"/>
    <w:rsid w:val="00CF5613"/>
    <w:rsid w:val="00CF5B7E"/>
    <w:rsid w:val="00CF6AD0"/>
    <w:rsid w:val="00D00A6A"/>
    <w:rsid w:val="00D02803"/>
    <w:rsid w:val="00D03F8D"/>
    <w:rsid w:val="00D06B33"/>
    <w:rsid w:val="00D07A49"/>
    <w:rsid w:val="00D07CA0"/>
    <w:rsid w:val="00D10D6C"/>
    <w:rsid w:val="00D11DE2"/>
    <w:rsid w:val="00D1212F"/>
    <w:rsid w:val="00D12558"/>
    <w:rsid w:val="00D1296D"/>
    <w:rsid w:val="00D12CBA"/>
    <w:rsid w:val="00D13932"/>
    <w:rsid w:val="00D13A68"/>
    <w:rsid w:val="00D152B7"/>
    <w:rsid w:val="00D1599A"/>
    <w:rsid w:val="00D16CC0"/>
    <w:rsid w:val="00D20A21"/>
    <w:rsid w:val="00D20A6E"/>
    <w:rsid w:val="00D22F3E"/>
    <w:rsid w:val="00D236FD"/>
    <w:rsid w:val="00D25880"/>
    <w:rsid w:val="00D2630F"/>
    <w:rsid w:val="00D265AA"/>
    <w:rsid w:val="00D26B14"/>
    <w:rsid w:val="00D272F7"/>
    <w:rsid w:val="00D2739E"/>
    <w:rsid w:val="00D336BE"/>
    <w:rsid w:val="00D35766"/>
    <w:rsid w:val="00D35B74"/>
    <w:rsid w:val="00D37192"/>
    <w:rsid w:val="00D37604"/>
    <w:rsid w:val="00D42304"/>
    <w:rsid w:val="00D42902"/>
    <w:rsid w:val="00D443F2"/>
    <w:rsid w:val="00D44FAD"/>
    <w:rsid w:val="00D478C7"/>
    <w:rsid w:val="00D513CA"/>
    <w:rsid w:val="00D55BF5"/>
    <w:rsid w:val="00D57144"/>
    <w:rsid w:val="00D61452"/>
    <w:rsid w:val="00D61586"/>
    <w:rsid w:val="00D637DE"/>
    <w:rsid w:val="00D6381A"/>
    <w:rsid w:val="00D64BE7"/>
    <w:rsid w:val="00D710A8"/>
    <w:rsid w:val="00D72272"/>
    <w:rsid w:val="00D722FD"/>
    <w:rsid w:val="00D730CE"/>
    <w:rsid w:val="00D742CD"/>
    <w:rsid w:val="00D7560B"/>
    <w:rsid w:val="00D75BF8"/>
    <w:rsid w:val="00D77372"/>
    <w:rsid w:val="00D7737F"/>
    <w:rsid w:val="00D80AE7"/>
    <w:rsid w:val="00D84920"/>
    <w:rsid w:val="00D866BF"/>
    <w:rsid w:val="00D86989"/>
    <w:rsid w:val="00D87856"/>
    <w:rsid w:val="00D9090B"/>
    <w:rsid w:val="00D952AA"/>
    <w:rsid w:val="00DA2DC3"/>
    <w:rsid w:val="00DA320E"/>
    <w:rsid w:val="00DA3681"/>
    <w:rsid w:val="00DA5ACA"/>
    <w:rsid w:val="00DB01B5"/>
    <w:rsid w:val="00DB3477"/>
    <w:rsid w:val="00DB3F2C"/>
    <w:rsid w:val="00DB4D1F"/>
    <w:rsid w:val="00DB5A44"/>
    <w:rsid w:val="00DB61EF"/>
    <w:rsid w:val="00DC0307"/>
    <w:rsid w:val="00DC145A"/>
    <w:rsid w:val="00DC2BD2"/>
    <w:rsid w:val="00DC3771"/>
    <w:rsid w:val="00DC3D8A"/>
    <w:rsid w:val="00DC42C6"/>
    <w:rsid w:val="00DC481F"/>
    <w:rsid w:val="00DC5221"/>
    <w:rsid w:val="00DC59B6"/>
    <w:rsid w:val="00DC66E7"/>
    <w:rsid w:val="00DC6821"/>
    <w:rsid w:val="00DC7C79"/>
    <w:rsid w:val="00DD0D42"/>
    <w:rsid w:val="00DD1586"/>
    <w:rsid w:val="00DD1A16"/>
    <w:rsid w:val="00DD249B"/>
    <w:rsid w:val="00DD72B2"/>
    <w:rsid w:val="00DE29EC"/>
    <w:rsid w:val="00DE6F38"/>
    <w:rsid w:val="00DF25D4"/>
    <w:rsid w:val="00DF42E9"/>
    <w:rsid w:val="00DF5370"/>
    <w:rsid w:val="00DF5FBE"/>
    <w:rsid w:val="00DF72C7"/>
    <w:rsid w:val="00DF7F14"/>
    <w:rsid w:val="00E02900"/>
    <w:rsid w:val="00E0330A"/>
    <w:rsid w:val="00E0698F"/>
    <w:rsid w:val="00E1006E"/>
    <w:rsid w:val="00E106C8"/>
    <w:rsid w:val="00E111CF"/>
    <w:rsid w:val="00E1269F"/>
    <w:rsid w:val="00E12FD4"/>
    <w:rsid w:val="00E142DA"/>
    <w:rsid w:val="00E146C7"/>
    <w:rsid w:val="00E1623F"/>
    <w:rsid w:val="00E23C78"/>
    <w:rsid w:val="00E24190"/>
    <w:rsid w:val="00E2433E"/>
    <w:rsid w:val="00E25512"/>
    <w:rsid w:val="00E25E1A"/>
    <w:rsid w:val="00E3108A"/>
    <w:rsid w:val="00E33290"/>
    <w:rsid w:val="00E33533"/>
    <w:rsid w:val="00E33892"/>
    <w:rsid w:val="00E34A5D"/>
    <w:rsid w:val="00E375A3"/>
    <w:rsid w:val="00E41115"/>
    <w:rsid w:val="00E439C4"/>
    <w:rsid w:val="00E44699"/>
    <w:rsid w:val="00E44FAD"/>
    <w:rsid w:val="00E461BB"/>
    <w:rsid w:val="00E54AD0"/>
    <w:rsid w:val="00E56C48"/>
    <w:rsid w:val="00E56F63"/>
    <w:rsid w:val="00E63B8A"/>
    <w:rsid w:val="00E6768D"/>
    <w:rsid w:val="00E67DB0"/>
    <w:rsid w:val="00E72175"/>
    <w:rsid w:val="00E72674"/>
    <w:rsid w:val="00E72F7F"/>
    <w:rsid w:val="00E74920"/>
    <w:rsid w:val="00E768C4"/>
    <w:rsid w:val="00E77904"/>
    <w:rsid w:val="00E80184"/>
    <w:rsid w:val="00E808D2"/>
    <w:rsid w:val="00E81270"/>
    <w:rsid w:val="00E82676"/>
    <w:rsid w:val="00E854BB"/>
    <w:rsid w:val="00E87002"/>
    <w:rsid w:val="00E8775E"/>
    <w:rsid w:val="00E90D3A"/>
    <w:rsid w:val="00E91911"/>
    <w:rsid w:val="00E91AB2"/>
    <w:rsid w:val="00E91D2D"/>
    <w:rsid w:val="00E9210F"/>
    <w:rsid w:val="00E92C42"/>
    <w:rsid w:val="00EA1317"/>
    <w:rsid w:val="00EA2016"/>
    <w:rsid w:val="00EA2D67"/>
    <w:rsid w:val="00EA3178"/>
    <w:rsid w:val="00EA6232"/>
    <w:rsid w:val="00EB040A"/>
    <w:rsid w:val="00EB0FFF"/>
    <w:rsid w:val="00EB11D7"/>
    <w:rsid w:val="00EB5AFE"/>
    <w:rsid w:val="00EB694F"/>
    <w:rsid w:val="00EB6B5C"/>
    <w:rsid w:val="00EB7733"/>
    <w:rsid w:val="00EB7EE1"/>
    <w:rsid w:val="00EC02F6"/>
    <w:rsid w:val="00EC0A57"/>
    <w:rsid w:val="00EC1325"/>
    <w:rsid w:val="00EC18CF"/>
    <w:rsid w:val="00EC268D"/>
    <w:rsid w:val="00EC3622"/>
    <w:rsid w:val="00ED0F5D"/>
    <w:rsid w:val="00ED377C"/>
    <w:rsid w:val="00ED4821"/>
    <w:rsid w:val="00ED61A7"/>
    <w:rsid w:val="00ED7239"/>
    <w:rsid w:val="00EE4562"/>
    <w:rsid w:val="00EF0179"/>
    <w:rsid w:val="00EF295A"/>
    <w:rsid w:val="00EF32F7"/>
    <w:rsid w:val="00EF4F1D"/>
    <w:rsid w:val="00EF6562"/>
    <w:rsid w:val="00F02903"/>
    <w:rsid w:val="00F04E25"/>
    <w:rsid w:val="00F10C11"/>
    <w:rsid w:val="00F1168A"/>
    <w:rsid w:val="00F13523"/>
    <w:rsid w:val="00F16393"/>
    <w:rsid w:val="00F16805"/>
    <w:rsid w:val="00F16CCE"/>
    <w:rsid w:val="00F212C8"/>
    <w:rsid w:val="00F21D40"/>
    <w:rsid w:val="00F21DF6"/>
    <w:rsid w:val="00F2412D"/>
    <w:rsid w:val="00F26E35"/>
    <w:rsid w:val="00F27CA6"/>
    <w:rsid w:val="00F304C1"/>
    <w:rsid w:val="00F314F4"/>
    <w:rsid w:val="00F34088"/>
    <w:rsid w:val="00F346FE"/>
    <w:rsid w:val="00F35862"/>
    <w:rsid w:val="00F35A8A"/>
    <w:rsid w:val="00F3601F"/>
    <w:rsid w:val="00F4503E"/>
    <w:rsid w:val="00F5115C"/>
    <w:rsid w:val="00F519AE"/>
    <w:rsid w:val="00F52353"/>
    <w:rsid w:val="00F56A31"/>
    <w:rsid w:val="00F56BE1"/>
    <w:rsid w:val="00F6241F"/>
    <w:rsid w:val="00F63FE8"/>
    <w:rsid w:val="00F64E64"/>
    <w:rsid w:val="00F669D3"/>
    <w:rsid w:val="00F71B31"/>
    <w:rsid w:val="00F740B5"/>
    <w:rsid w:val="00F76066"/>
    <w:rsid w:val="00F76887"/>
    <w:rsid w:val="00F800D9"/>
    <w:rsid w:val="00F83155"/>
    <w:rsid w:val="00F84B97"/>
    <w:rsid w:val="00F85315"/>
    <w:rsid w:val="00F854AF"/>
    <w:rsid w:val="00F8561C"/>
    <w:rsid w:val="00F93727"/>
    <w:rsid w:val="00F94293"/>
    <w:rsid w:val="00F94A23"/>
    <w:rsid w:val="00F96AB5"/>
    <w:rsid w:val="00FA0B19"/>
    <w:rsid w:val="00FA394D"/>
    <w:rsid w:val="00FA4C4D"/>
    <w:rsid w:val="00FA6156"/>
    <w:rsid w:val="00FB2B0F"/>
    <w:rsid w:val="00FB301F"/>
    <w:rsid w:val="00FB3B15"/>
    <w:rsid w:val="00FB4D67"/>
    <w:rsid w:val="00FB5EE1"/>
    <w:rsid w:val="00FB64AB"/>
    <w:rsid w:val="00FB6553"/>
    <w:rsid w:val="00FB6D5A"/>
    <w:rsid w:val="00FC00CC"/>
    <w:rsid w:val="00FC05C3"/>
    <w:rsid w:val="00FC255E"/>
    <w:rsid w:val="00FC2970"/>
    <w:rsid w:val="00FC319F"/>
    <w:rsid w:val="00FC3FD8"/>
    <w:rsid w:val="00FC424D"/>
    <w:rsid w:val="00FC4EB0"/>
    <w:rsid w:val="00FC5933"/>
    <w:rsid w:val="00FC59C6"/>
    <w:rsid w:val="00FC78CA"/>
    <w:rsid w:val="00FD1DBC"/>
    <w:rsid w:val="00FD4EBE"/>
    <w:rsid w:val="00FD77C4"/>
    <w:rsid w:val="00FE07EB"/>
    <w:rsid w:val="00FE25C1"/>
    <w:rsid w:val="00FE42A7"/>
    <w:rsid w:val="00FE5999"/>
    <w:rsid w:val="00FE65A7"/>
    <w:rsid w:val="00FE6B26"/>
    <w:rsid w:val="00FF2F0C"/>
    <w:rsid w:val="00FF59DE"/>
    <w:rsid w:val="00FF6492"/>
    <w:rsid w:val="00FF75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D4D1A9"/>
  <w15:chartTrackingRefBased/>
  <w15:docId w15:val="{0E236525-3FB9-4D05-AA25-98F43F36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50E"/>
  </w:style>
  <w:style w:type="paragraph" w:styleId="Heading1">
    <w:name w:val="heading 1"/>
    <w:basedOn w:val="Normal"/>
    <w:next w:val="Normal"/>
    <w:link w:val="Heading1Char"/>
    <w:uiPriority w:val="9"/>
    <w:qFormat/>
    <w:rsid w:val="00925A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5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F4A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A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5A9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F4A0B"/>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40A1C"/>
    <w:rPr>
      <w:color w:val="0563C1" w:themeColor="hyperlink"/>
      <w:u w:val="single"/>
    </w:rPr>
  </w:style>
  <w:style w:type="paragraph" w:styleId="Header">
    <w:name w:val="header"/>
    <w:basedOn w:val="Normal"/>
    <w:link w:val="HeaderChar"/>
    <w:uiPriority w:val="99"/>
    <w:unhideWhenUsed/>
    <w:rsid w:val="00AB0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D1E"/>
  </w:style>
  <w:style w:type="paragraph" w:styleId="Footer">
    <w:name w:val="footer"/>
    <w:basedOn w:val="Normal"/>
    <w:link w:val="FooterChar"/>
    <w:uiPriority w:val="99"/>
    <w:unhideWhenUsed/>
    <w:rsid w:val="00AB0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D1E"/>
  </w:style>
  <w:style w:type="paragraph" w:styleId="TOCHeading">
    <w:name w:val="TOC Heading"/>
    <w:basedOn w:val="Heading1"/>
    <w:next w:val="Normal"/>
    <w:uiPriority w:val="39"/>
    <w:unhideWhenUsed/>
    <w:qFormat/>
    <w:rsid w:val="00C05146"/>
    <w:pPr>
      <w:outlineLvl w:val="9"/>
    </w:pPr>
  </w:style>
  <w:style w:type="paragraph" w:styleId="TOC1">
    <w:name w:val="toc 1"/>
    <w:basedOn w:val="Normal"/>
    <w:next w:val="Normal"/>
    <w:autoRedefine/>
    <w:uiPriority w:val="39"/>
    <w:unhideWhenUsed/>
    <w:rsid w:val="00C05146"/>
    <w:pPr>
      <w:spacing w:after="100"/>
    </w:pPr>
  </w:style>
  <w:style w:type="paragraph" w:styleId="TOC2">
    <w:name w:val="toc 2"/>
    <w:basedOn w:val="Normal"/>
    <w:next w:val="Normal"/>
    <w:autoRedefine/>
    <w:uiPriority w:val="39"/>
    <w:unhideWhenUsed/>
    <w:rsid w:val="00C05146"/>
    <w:pPr>
      <w:spacing w:after="100"/>
      <w:ind w:left="220"/>
    </w:pPr>
  </w:style>
  <w:style w:type="paragraph" w:styleId="TOC3">
    <w:name w:val="toc 3"/>
    <w:basedOn w:val="Normal"/>
    <w:next w:val="Normal"/>
    <w:autoRedefine/>
    <w:uiPriority w:val="39"/>
    <w:unhideWhenUsed/>
    <w:rsid w:val="00C05146"/>
    <w:pPr>
      <w:spacing w:after="100"/>
      <w:ind w:left="440"/>
    </w:pPr>
  </w:style>
  <w:style w:type="paragraph" w:styleId="TOC4">
    <w:name w:val="toc 4"/>
    <w:basedOn w:val="Normal"/>
    <w:next w:val="Normal"/>
    <w:autoRedefine/>
    <w:uiPriority w:val="39"/>
    <w:unhideWhenUsed/>
    <w:rsid w:val="00C05146"/>
    <w:pPr>
      <w:spacing w:after="100"/>
      <w:ind w:left="660"/>
    </w:pPr>
    <w:rPr>
      <w:rFonts w:eastAsiaTheme="minorEastAsia"/>
    </w:rPr>
  </w:style>
  <w:style w:type="paragraph" w:styleId="TOC5">
    <w:name w:val="toc 5"/>
    <w:basedOn w:val="Normal"/>
    <w:next w:val="Normal"/>
    <w:autoRedefine/>
    <w:uiPriority w:val="39"/>
    <w:unhideWhenUsed/>
    <w:rsid w:val="00C05146"/>
    <w:pPr>
      <w:spacing w:after="100"/>
      <w:ind w:left="880"/>
    </w:pPr>
    <w:rPr>
      <w:rFonts w:eastAsiaTheme="minorEastAsia"/>
    </w:rPr>
  </w:style>
  <w:style w:type="paragraph" w:styleId="TOC6">
    <w:name w:val="toc 6"/>
    <w:basedOn w:val="Normal"/>
    <w:next w:val="Normal"/>
    <w:autoRedefine/>
    <w:uiPriority w:val="39"/>
    <w:unhideWhenUsed/>
    <w:rsid w:val="00C05146"/>
    <w:pPr>
      <w:spacing w:after="100"/>
      <w:ind w:left="1100"/>
    </w:pPr>
    <w:rPr>
      <w:rFonts w:eastAsiaTheme="minorEastAsia"/>
    </w:rPr>
  </w:style>
  <w:style w:type="paragraph" w:styleId="TOC7">
    <w:name w:val="toc 7"/>
    <w:basedOn w:val="Normal"/>
    <w:next w:val="Normal"/>
    <w:autoRedefine/>
    <w:uiPriority w:val="39"/>
    <w:unhideWhenUsed/>
    <w:rsid w:val="00C05146"/>
    <w:pPr>
      <w:spacing w:after="100"/>
      <w:ind w:left="1320"/>
    </w:pPr>
    <w:rPr>
      <w:rFonts w:eastAsiaTheme="minorEastAsia"/>
    </w:rPr>
  </w:style>
  <w:style w:type="paragraph" w:styleId="TOC8">
    <w:name w:val="toc 8"/>
    <w:basedOn w:val="Normal"/>
    <w:next w:val="Normal"/>
    <w:autoRedefine/>
    <w:uiPriority w:val="39"/>
    <w:unhideWhenUsed/>
    <w:rsid w:val="00C05146"/>
    <w:pPr>
      <w:spacing w:after="100"/>
      <w:ind w:left="1540"/>
    </w:pPr>
    <w:rPr>
      <w:rFonts w:eastAsiaTheme="minorEastAsia"/>
    </w:rPr>
  </w:style>
  <w:style w:type="paragraph" w:styleId="TOC9">
    <w:name w:val="toc 9"/>
    <w:basedOn w:val="Normal"/>
    <w:next w:val="Normal"/>
    <w:autoRedefine/>
    <w:uiPriority w:val="39"/>
    <w:unhideWhenUsed/>
    <w:rsid w:val="00C05146"/>
    <w:pPr>
      <w:spacing w:after="100"/>
      <w:ind w:left="1760"/>
    </w:pPr>
    <w:rPr>
      <w:rFonts w:eastAsiaTheme="minorEastAsia"/>
    </w:rPr>
  </w:style>
  <w:style w:type="paragraph" w:styleId="TableofFigures">
    <w:name w:val="table of figures"/>
    <w:basedOn w:val="Normal"/>
    <w:next w:val="Normal"/>
    <w:uiPriority w:val="99"/>
    <w:unhideWhenUsed/>
    <w:rsid w:val="00157B2D"/>
    <w:pPr>
      <w:spacing w:after="0"/>
      <w:ind w:left="440" w:hanging="440"/>
    </w:pPr>
    <w:rPr>
      <w:rFonts w:cstheme="minorHAnsi"/>
      <w:b/>
      <w:bCs/>
      <w:sz w:val="20"/>
      <w:szCs w:val="20"/>
    </w:rPr>
  </w:style>
  <w:style w:type="paragraph" w:styleId="Caption">
    <w:name w:val="caption"/>
    <w:basedOn w:val="Normal"/>
    <w:next w:val="Normal"/>
    <w:uiPriority w:val="35"/>
    <w:unhideWhenUsed/>
    <w:qFormat/>
    <w:rsid w:val="001B7FEF"/>
    <w:pPr>
      <w:spacing w:after="200" w:line="240" w:lineRule="auto"/>
    </w:pPr>
    <w:rPr>
      <w:i/>
      <w:iCs/>
      <w:color w:val="44546A" w:themeColor="text2"/>
      <w:sz w:val="18"/>
      <w:szCs w:val="18"/>
    </w:rPr>
  </w:style>
  <w:style w:type="paragraph" w:styleId="ListParagraph">
    <w:name w:val="List Paragraph"/>
    <w:basedOn w:val="Normal"/>
    <w:uiPriority w:val="34"/>
    <w:qFormat/>
    <w:rsid w:val="00AA183E"/>
    <w:pPr>
      <w:ind w:left="720"/>
      <w:contextualSpacing/>
    </w:pPr>
  </w:style>
  <w:style w:type="table" w:styleId="TableGrid">
    <w:name w:val="Table Grid"/>
    <w:basedOn w:val="TableNormal"/>
    <w:uiPriority w:val="39"/>
    <w:rsid w:val="00B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70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3390/jrfm1601000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688/f1000research.25345.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80/1540496X.2022.2161593" TargetMode="External"/><Relationship Id="rId4" Type="http://schemas.openxmlformats.org/officeDocument/2006/relationships/settings" Target="settings.xml"/><Relationship Id="rId9" Type="http://schemas.openxmlformats.org/officeDocument/2006/relationships/hyperlink" Target="https://doi.org/10.21511/imf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E41ABC-F409-4C84-86A4-5D789CE3E940}">
  <we:reference id="wa200000368" version="1.0.0.0" store="en-US" storeType="OMEX"/>
  <we:alternateReferences>
    <we:reference id="wa200000368" version="1.0.0.0" store="en-US" storeType="OMEX"/>
  </we:alternateReferences>
  <we:properties>
    <we:property name="documentId" value="&quot;31d82aedad02228f&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C1549-6641-40A6-8CE4-376A770D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3278</TotalTime>
  <Pages>13</Pages>
  <Words>7378</Words>
  <Characters>42056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1183</cp:lastModifiedBy>
  <cp:revision>881</cp:revision>
  <dcterms:created xsi:type="dcterms:W3CDTF">2025-08-26T14:44:00Z</dcterms:created>
  <dcterms:modified xsi:type="dcterms:W3CDTF">2025-11-10T05:16:00Z</dcterms:modified>
</cp:coreProperties>
</file>