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39356" w14:textId="608C03B0" w:rsidR="006F4540" w:rsidRPr="007A71C9" w:rsidRDefault="006F4540" w:rsidP="00FA17B1">
      <w:pPr>
        <w:spacing w:line="240" w:lineRule="auto"/>
        <w:jc w:val="both"/>
        <w:rPr>
          <w:b/>
          <w:bCs/>
          <w:shd w:val="clear" w:color="auto" w:fill="FFFFFF"/>
        </w:rPr>
      </w:pPr>
      <w:bookmarkStart w:id="0" w:name="_Toc203402584"/>
      <w:r w:rsidRPr="007A71C9">
        <w:rPr>
          <w:b/>
          <w:bCs/>
          <w:shd w:val="clear" w:color="auto" w:fill="FFFFFF"/>
        </w:rPr>
        <w:t>Effect of Technological Readiness in Detection and Prevention of Fraud among Registered Commercial Banks in Kenya</w:t>
      </w:r>
    </w:p>
    <w:p w14:paraId="2622D78F" w14:textId="5C0D70D6" w:rsidR="006F4540" w:rsidRPr="007A71C9" w:rsidRDefault="006F4540" w:rsidP="00FA17B1">
      <w:pPr>
        <w:spacing w:line="240" w:lineRule="auto"/>
        <w:jc w:val="both"/>
        <w:rPr>
          <w:b/>
          <w:bCs/>
        </w:rPr>
      </w:pPr>
      <w:r w:rsidRPr="007A71C9">
        <w:rPr>
          <w:b/>
          <w:bCs/>
        </w:rPr>
        <w:t>Abstract</w:t>
      </w:r>
    </w:p>
    <w:p w14:paraId="03DFB8EB" w14:textId="66E83B04" w:rsidR="00086629" w:rsidRPr="00086629" w:rsidRDefault="00086629" w:rsidP="00FA17B1">
      <w:pPr>
        <w:spacing w:after="0" w:line="240" w:lineRule="auto"/>
        <w:jc w:val="both"/>
      </w:pPr>
      <w:r w:rsidRPr="00086629">
        <w:rPr>
          <w:b/>
          <w:bCs/>
        </w:rPr>
        <w:t>Purpose</w:t>
      </w:r>
      <w:r w:rsidRPr="00086629">
        <w:t xml:space="preserve"> – This paper empirically investigates the effect of technology readiness</w:t>
      </w:r>
      <w:r w:rsidR="007F2AFD">
        <w:t xml:space="preserve">, </w:t>
      </w:r>
      <w:r w:rsidRPr="00086629">
        <w:t>specifically technological optimism, technological innovativeness, technological discomfort, and technological insecurity</w:t>
      </w:r>
      <w:r w:rsidR="007F2AFD">
        <w:t xml:space="preserve"> </w:t>
      </w:r>
      <w:r w:rsidRPr="00086629">
        <w:t xml:space="preserve">on fraud detection and prevention </w:t>
      </w:r>
      <w:r w:rsidR="008D6BDA">
        <w:t xml:space="preserve">(FDP) </w:t>
      </w:r>
      <w:r w:rsidRPr="00086629">
        <w:t>among registered commercial banks in Kenya.</w:t>
      </w:r>
      <w:bookmarkStart w:id="1" w:name="_GoBack"/>
      <w:bookmarkEnd w:id="1"/>
    </w:p>
    <w:p w14:paraId="38C5C47F" w14:textId="65102047" w:rsidR="00086629" w:rsidRPr="00086629" w:rsidRDefault="00086629" w:rsidP="00FA17B1">
      <w:pPr>
        <w:spacing w:after="0" w:line="240" w:lineRule="auto"/>
        <w:jc w:val="both"/>
      </w:pPr>
      <w:r w:rsidRPr="00086629">
        <w:rPr>
          <w:b/>
          <w:bCs/>
        </w:rPr>
        <w:t>Design/methodology/approach</w:t>
      </w:r>
      <w:r w:rsidRPr="00086629">
        <w:t xml:space="preserve"> – The study adopted </w:t>
      </w:r>
      <w:r w:rsidR="00854715">
        <w:t>both the</w:t>
      </w:r>
      <w:r w:rsidRPr="00086629">
        <w:t xml:space="preserve"> explanatory</w:t>
      </w:r>
      <w:r w:rsidR="00854715">
        <w:t xml:space="preserve"> and</w:t>
      </w:r>
      <w:r w:rsidRPr="00086629">
        <w:t xml:space="preserve"> cross</w:t>
      </w:r>
      <w:r w:rsidRPr="00086629">
        <w:noBreakHyphen/>
        <w:t xml:space="preserve">sectional research design. Data </w:t>
      </w:r>
      <w:r w:rsidR="008D6BDA">
        <w:t>was</w:t>
      </w:r>
      <w:r w:rsidRPr="00086629">
        <w:t xml:space="preserve"> collected using </w:t>
      </w:r>
      <w:r w:rsidR="008D6BDA">
        <w:t xml:space="preserve">a sample of 400 </w:t>
      </w:r>
      <w:r w:rsidRPr="00086629">
        <w:t xml:space="preserve">structured questionnaires </w:t>
      </w:r>
      <w:r w:rsidR="008D6BDA">
        <w:t xml:space="preserve">that were </w:t>
      </w:r>
      <w:r w:rsidRPr="00086629">
        <w:t>administered to staff across</w:t>
      </w:r>
      <w:r w:rsidR="00854715">
        <w:t xml:space="preserve"> various departments of the selected banks</w:t>
      </w:r>
      <w:r w:rsidR="008D6BDA">
        <w:t>. The hypotheses were tested using the results of multiple regression analysis.</w:t>
      </w:r>
    </w:p>
    <w:p w14:paraId="16100DA9" w14:textId="028CE738" w:rsidR="00086629" w:rsidRPr="00086629" w:rsidRDefault="00086629" w:rsidP="00FA17B1">
      <w:pPr>
        <w:spacing w:after="0" w:line="240" w:lineRule="auto"/>
        <w:jc w:val="both"/>
      </w:pPr>
      <w:r w:rsidRPr="00086629">
        <w:rPr>
          <w:b/>
          <w:bCs/>
        </w:rPr>
        <w:t>Research findings</w:t>
      </w:r>
      <w:r w:rsidRPr="00086629">
        <w:t xml:space="preserve"> –</w:t>
      </w:r>
      <w:r w:rsidR="008D6BDA">
        <w:t>the regression r</w:t>
      </w:r>
      <w:r w:rsidRPr="00086629">
        <w:t xml:space="preserve">esults </w:t>
      </w:r>
      <w:r w:rsidR="008D6BDA">
        <w:t>demonstrated</w:t>
      </w:r>
      <w:r w:rsidRPr="00086629">
        <w:t xml:space="preserve"> that technological innovativeness </w:t>
      </w:r>
      <w:r w:rsidR="008D6BDA">
        <w:t xml:space="preserve">and </w:t>
      </w:r>
      <w:r w:rsidR="008D6BDA" w:rsidRPr="00086629">
        <w:t xml:space="preserve">technological optimism </w:t>
      </w:r>
      <w:r w:rsidRPr="00086629">
        <w:t xml:space="preserve">positive and statistically significant effect on </w:t>
      </w:r>
      <w:r w:rsidR="008D6BDA">
        <w:t>FDP</w:t>
      </w:r>
      <w:r w:rsidRPr="00086629">
        <w:t xml:space="preserve">. In contrast, technological discomfort and technological insecurity </w:t>
      </w:r>
      <w:r w:rsidR="008D6BDA">
        <w:t>had a</w:t>
      </w:r>
      <w:r w:rsidRPr="00086629">
        <w:t xml:space="preserve"> significant</w:t>
      </w:r>
      <w:r w:rsidR="008D6BDA">
        <w:t xml:space="preserve"> and</w:t>
      </w:r>
      <w:r w:rsidRPr="00086629">
        <w:t xml:space="preserve"> negative </w:t>
      </w:r>
      <w:r w:rsidR="008D6BDA">
        <w:t xml:space="preserve">effect on FDP. </w:t>
      </w:r>
      <w:r w:rsidRPr="00086629">
        <w:t>The</w:t>
      </w:r>
      <w:r w:rsidR="008D6BDA">
        <w:t xml:space="preserve">se results </w:t>
      </w:r>
      <w:r w:rsidRPr="00086629">
        <w:t>confirm</w:t>
      </w:r>
      <w:r w:rsidR="008D6BDA">
        <w:t>ed</w:t>
      </w:r>
      <w:r w:rsidRPr="00086629">
        <w:t xml:space="preserve"> that readiness enablers (optimism, innovativeness) improve fraud</w:t>
      </w:r>
      <w:r w:rsidRPr="00086629">
        <w:noBreakHyphen/>
        <w:t xml:space="preserve">management outcomes, whereas readiness inhibitors (discomfort, insecurity) erode </w:t>
      </w:r>
      <w:r w:rsidR="008D6BDA">
        <w:t>its.</w:t>
      </w:r>
    </w:p>
    <w:p w14:paraId="00E8D7DA" w14:textId="6FB1B729" w:rsidR="00086629" w:rsidRDefault="00086629" w:rsidP="00FA17B1">
      <w:pPr>
        <w:spacing w:after="0" w:line="240" w:lineRule="auto"/>
        <w:jc w:val="both"/>
      </w:pPr>
      <w:r w:rsidRPr="00086629">
        <w:rPr>
          <w:b/>
          <w:bCs/>
        </w:rPr>
        <w:t>Practical implications</w:t>
      </w:r>
      <w:r w:rsidRPr="00086629">
        <w:t xml:space="preserve"> – The study contributes to the fraud</w:t>
      </w:r>
      <w:r w:rsidRPr="00086629">
        <w:noBreakHyphen/>
        <w:t>risk and digital</w:t>
      </w:r>
      <w:r w:rsidRPr="00086629">
        <w:noBreakHyphen/>
        <w:t xml:space="preserve">operations literature in emerging banking markets and offers actionable guidance for bank executives, risk </w:t>
      </w:r>
      <w:r w:rsidR="005E0BD1">
        <w:t>managers</w:t>
      </w:r>
      <w:r w:rsidRPr="00086629">
        <w:t>, and regulators. Managers should institutionalize innovative practices and cultivate optimism through clear performance narratives, feedback loops, and transparent model</w:t>
      </w:r>
      <w:r w:rsidRPr="00086629">
        <w:noBreakHyphen/>
        <w:t>risk governance. Concurrently, banks should mitigate discomfort and insecurity via user</w:t>
      </w:r>
      <w:r w:rsidRPr="00086629">
        <w:noBreakHyphen/>
        <w:t>centric design, role</w:t>
      </w:r>
      <w:r w:rsidRPr="00086629">
        <w:noBreakHyphen/>
        <w:t>specific training and certifications, embedded decision support, and peer</w:t>
      </w:r>
      <w:r w:rsidRPr="00086629">
        <w:noBreakHyphen/>
        <w:t>champion programs. Supervisory bodies and industry associations may leverage these insights to craft capability</w:t>
      </w:r>
      <w:r w:rsidRPr="00086629">
        <w:noBreakHyphen/>
        <w:t>building initiatives and incentives that align human readiness with technology investments, thereby strengthening sector</w:t>
      </w:r>
      <w:r w:rsidRPr="00086629">
        <w:noBreakHyphen/>
        <w:t>wide fraud detection and prevention.</w:t>
      </w:r>
    </w:p>
    <w:p w14:paraId="780AFAD6" w14:textId="77777777" w:rsidR="00086629" w:rsidRPr="00086629" w:rsidRDefault="00086629" w:rsidP="00FA17B1">
      <w:pPr>
        <w:spacing w:after="0" w:line="240" w:lineRule="auto"/>
        <w:jc w:val="both"/>
      </w:pPr>
    </w:p>
    <w:p w14:paraId="7FAD764C" w14:textId="67343B62" w:rsidR="00086629" w:rsidRPr="00086629" w:rsidRDefault="00086629" w:rsidP="00FA17B1">
      <w:pPr>
        <w:spacing w:line="240" w:lineRule="auto"/>
        <w:jc w:val="both"/>
      </w:pPr>
      <w:r w:rsidRPr="00086629">
        <w:rPr>
          <w:b/>
          <w:bCs/>
        </w:rPr>
        <w:t>Key words:</w:t>
      </w:r>
      <w:r w:rsidRPr="00086629">
        <w:t xml:space="preserve"> </w:t>
      </w:r>
      <w:r w:rsidR="005E0BD1" w:rsidRPr="00086629">
        <w:t>technology readiness</w:t>
      </w:r>
      <w:r w:rsidRPr="00086629">
        <w:t>; fraud detection; fraud prevention; Kenya; commercial banks.</w:t>
      </w:r>
    </w:p>
    <w:p w14:paraId="579D6E67" w14:textId="28E75DF2" w:rsidR="006F4540" w:rsidRPr="007A71C9" w:rsidRDefault="006F4540" w:rsidP="00FA17B1">
      <w:pPr>
        <w:pStyle w:val="ListParagraph"/>
        <w:numPr>
          <w:ilvl w:val="0"/>
          <w:numId w:val="1"/>
        </w:numPr>
        <w:ind w:left="360"/>
        <w:jc w:val="both"/>
        <w:rPr>
          <w:b/>
          <w:bCs/>
        </w:rPr>
      </w:pPr>
      <w:r w:rsidRPr="007A71C9">
        <w:rPr>
          <w:b/>
          <w:bCs/>
        </w:rPr>
        <w:t>Introduction</w:t>
      </w:r>
    </w:p>
    <w:p w14:paraId="7C223BDB" w14:textId="77777777" w:rsidR="007A71C9" w:rsidRPr="007A71C9" w:rsidRDefault="007A71C9" w:rsidP="00FA17B1">
      <w:pPr>
        <w:spacing w:line="240" w:lineRule="auto"/>
        <w:jc w:val="both"/>
      </w:pPr>
      <w:r w:rsidRPr="007A71C9">
        <w:t>At the global level, financial institutions continue to struggle to detect and prevent fraud at the pace and sophistication with which it evolves, despite unprecedented investments in digital risk controls and analytics. The Association of Certified Fraud Examiners’ (ACFE) 2024 Report to the Nations estimates that organizations lose about 5% of revenue to occupational fraud annually and documents billions of dollars in total losses across 1,900+ cases from 138 countries, underscoring the persistent detection gap (ACFE, 2024a, 2024b). In payments, worldwide card fraud losses reached about US$33.8 billion in 2023, with losses outpacing transaction growth in several markets (Nilson Report, 2025a, 2025b). UK Finance’s Annual Fraud Report 2024 similarly records £1.17 billion stolen via authorized and unauthorized fraud in 2023, with a record 3.31 million incidents subsequently reported for 2024—evidence that case volume is rising even when headline losses plateau (UK Finance, 2024; Reuters, 2025). At the system level, the UNODC still places global money</w:t>
      </w:r>
      <w:r w:rsidRPr="007A71C9">
        <w:noBreakHyphen/>
        <w:t xml:space="preserve">laundering at 2–5% of world GDP (roughly US$800 billion–US$2 trillion), reminding us that detection, interdiction and prosecution capture only a fraction of illicit flows (UNODC, n.d.). </w:t>
      </w:r>
    </w:p>
    <w:p w14:paraId="186AA159" w14:textId="77777777" w:rsidR="007A71C9" w:rsidRPr="007A71C9" w:rsidRDefault="007A71C9" w:rsidP="00FA17B1">
      <w:pPr>
        <w:spacing w:line="240" w:lineRule="auto"/>
        <w:jc w:val="both"/>
      </w:pPr>
      <w:r w:rsidRPr="007A71C9">
        <w:lastRenderedPageBreak/>
        <w:t>Recent INTERPOL analysis emphasizes how AI, large language models, phishing-/ransomware-as-a-service, and crypto rails are powering scalable, low-cost fraud campaigns, making prevention and detection harder for banks constrained by compliance and privacy obligations (INTERPOL, 2024a, 2024b). Within institutions, traditional rule</w:t>
      </w:r>
      <w:r w:rsidRPr="007A71C9">
        <w:noBreakHyphen/>
        <w:t>based AML/fraud controls generate high false positives (often &gt;70% and reported up to ~95% in some AML workflows), consuming investigators’ time and masking true risk (Raslan, 2023; Retail Banker International, 2025). While advanced analytics and agentic AI promise material productivity and detection gains—some analyses suggest order</w:t>
      </w:r>
      <w:r w:rsidRPr="007A71C9">
        <w:noBreakHyphen/>
        <w:t>of</w:t>
      </w:r>
      <w:r w:rsidRPr="007A71C9">
        <w:noBreakHyphen/>
        <w:t xml:space="preserve">magnitude improvements in KYC/AML case handling—effective deployment hinges on human factors in adoption (McKinsey, 2022; 2025a, 2025b; eMarketer, 2025). This is precisely where Technology Readiness (TR) becomes salient. </w:t>
      </w:r>
    </w:p>
    <w:p w14:paraId="2BCA54EB" w14:textId="04AA6829" w:rsidR="007A71C9" w:rsidRPr="007A71C9" w:rsidRDefault="007A71C9" w:rsidP="00FA17B1">
      <w:pPr>
        <w:spacing w:line="240" w:lineRule="auto"/>
        <w:jc w:val="both"/>
      </w:pPr>
      <w:r w:rsidRPr="007A71C9">
        <w:t>The Technology Readiness Index (TRI) conceptualizes individuals’ propensity to embrace technologies as a balance between enablers—optimism and innovativeness—and inhibitors—discomfort and insecurity (Parasuraman, 2000; Parasuraman &amp; Colby, 2015). Meta</w:t>
      </w:r>
      <w:r w:rsidRPr="007A71C9">
        <w:noBreakHyphen/>
        <w:t>analytic evidence across sectors confirms TRI’s robust association with technology usage and performance (Blut &amp; Wang, 2020). Studies integrating TRI with acceptance models (e.g., TAM/TRAM) show that employees’ optimism and innovativeness raise perceived usefulness and ease</w:t>
      </w:r>
      <w:r w:rsidRPr="007A71C9">
        <w:noBreakHyphen/>
        <w:t>of</w:t>
      </w:r>
      <w:r w:rsidRPr="007A71C9">
        <w:noBreakHyphen/>
        <w:t>use of new tools, while discomfort and insecurity depress adoption and skilled use—precisely the capabilities needed to operate modern fraud</w:t>
      </w:r>
      <w:r w:rsidRPr="007A71C9">
        <w:noBreakHyphen/>
        <w:t>detection platforms effectively (</w:t>
      </w:r>
      <w:proofErr w:type="spellStart"/>
      <w:r w:rsidRPr="007A71C9">
        <w:t>Godoe</w:t>
      </w:r>
      <w:proofErr w:type="spellEnd"/>
      <w:r w:rsidRPr="007A71C9">
        <w:t xml:space="preserve"> &amp; Johansen, 2012; Lin &amp; Hsieh, 2006; Liljander et al., 2006; </w:t>
      </w:r>
      <w:proofErr w:type="spellStart"/>
      <w:r w:rsidRPr="007A71C9">
        <w:t>Walczuch</w:t>
      </w:r>
      <w:proofErr w:type="spellEnd"/>
      <w:r w:rsidRPr="007A71C9">
        <w:t xml:space="preserve"> et al., 2007). Thus, globally, there is a detection problem magnified by adversaries’ technological advantages and by variability in workforce technology readiness—a behavioral determinant of whether banks’ detection/prevention systems are actually used to their potential (Parasuraman, 2000; Parasuraman &amp; Colby, 2015; Blut &amp; Wang, 2020). </w:t>
      </w:r>
    </w:p>
    <w:p w14:paraId="31D2F269" w14:textId="77777777" w:rsidR="007A71C9" w:rsidRPr="007A71C9" w:rsidRDefault="007A71C9" w:rsidP="00FA17B1">
      <w:pPr>
        <w:spacing w:line="240" w:lineRule="auto"/>
        <w:jc w:val="both"/>
      </w:pPr>
      <w:r w:rsidRPr="007A71C9">
        <w:t>Regionally, in Sub</w:t>
      </w:r>
      <w:r w:rsidRPr="007A71C9">
        <w:noBreakHyphen/>
        <w:t>Saharan Africa, the rapid digitization of payments and banking (mobile money, real</w:t>
      </w:r>
      <w:r w:rsidRPr="007A71C9">
        <w:noBreakHyphen/>
        <w:t>time rails, card</w:t>
      </w:r>
      <w:r w:rsidRPr="007A71C9">
        <w:noBreakHyphen/>
        <w:t>not</w:t>
      </w:r>
      <w:r w:rsidRPr="007A71C9">
        <w:noBreakHyphen/>
        <w:t>present e</w:t>
      </w:r>
      <w:r w:rsidRPr="007A71C9">
        <w:noBreakHyphen/>
        <w:t>commerce) has delivered financial inclusion while expanding the attack surface. The GSMA documents evolving mobile money fraud typologies—from SIM</w:t>
      </w:r>
      <w:r w:rsidRPr="007A71C9">
        <w:noBreakHyphen/>
        <w:t>swap and social engineering to synthetic identities—requiring staff proficiency with new detection tooling and customer</w:t>
      </w:r>
      <w:r w:rsidRPr="007A71C9">
        <w:noBreakHyphen/>
        <w:t xml:space="preserve">education workflows (GSMA, 2024a, 2025). In South Africa, SABRIC reports R452.3 million in domestic card fraud losses in 2023 (+9.1% YoY), situated within a broader R3.3 billion rise in financial crime that includes digital channels (SABRIC, 2024; banking.org.za, 2024). In Nigeria, the NIBSS 2023 Annual Fraud Landscape recorded a 23% increase in actual loss despite a 6% fall in fraud counts, and subsequent 2024 reporting indicates ₦52.26 billion in losses (~US$56m), up sharply from ₦17.67 billion in 2023, consistent with a trend towards fewer cases but higher value per incident (NIBSS, 2024; </w:t>
      </w:r>
      <w:proofErr w:type="spellStart"/>
      <w:r w:rsidRPr="007A71C9">
        <w:t>Nairametrics</w:t>
      </w:r>
      <w:proofErr w:type="spellEnd"/>
      <w:r w:rsidRPr="007A71C9">
        <w:t xml:space="preserve">, 2025; New Telegraph, 2025). </w:t>
      </w:r>
    </w:p>
    <w:p w14:paraId="0C288853" w14:textId="07DFDAA0" w:rsidR="007A71C9" w:rsidRPr="007A71C9" w:rsidRDefault="007A71C9" w:rsidP="00FA17B1">
      <w:pPr>
        <w:spacing w:line="240" w:lineRule="auto"/>
        <w:jc w:val="both"/>
      </w:pPr>
      <w:r w:rsidRPr="007A71C9">
        <w:t>These patterns—greater digitization, scaling case counts, rising value-at-risk—require not only better models but frontline readiness to adopt and continuously improve tools (triage, model feedback, anomaly review, and customer outreach). Systematic reviews of mobile fintech adoption in the region emphasize how human beliefs, skills, and perceived control shape the use of security</w:t>
      </w:r>
      <w:r w:rsidRPr="007A71C9">
        <w:noBreakHyphen/>
        <w:t>sensitive features (e.g., MFA, biometric KYC, risk prompts) (Kazeem &amp; co</w:t>
      </w:r>
      <w:r w:rsidRPr="007A71C9">
        <w:noBreakHyphen/>
        <w:t>authors, 2024). Here, TRI’s enablers (optimism/innovativeness) can accelerate the uptake of advanced analytics, rule</w:t>
      </w:r>
      <w:r w:rsidRPr="007A71C9">
        <w:noBreakHyphen/>
        <w:t>learning and case</w:t>
      </w:r>
      <w:r w:rsidRPr="007A71C9">
        <w:noBreakHyphen/>
        <w:t xml:space="preserve">management platforms; conversely, TRI’s inhibitors (discomfort/insecurity) can produce workarounds, tool avoidance, poor alert investigation, and weak model supervision, undermining fraud programs (Parasuraman, 2000; Parasuraman &amp; Colby, 2015; Blut &amp; Wang, 2020; Lin &amp; Hsieh, 2006; </w:t>
      </w:r>
      <w:proofErr w:type="spellStart"/>
      <w:r w:rsidRPr="007A71C9">
        <w:t>Walczuch</w:t>
      </w:r>
      <w:proofErr w:type="spellEnd"/>
      <w:r w:rsidRPr="007A71C9">
        <w:t xml:space="preserve"> et al., 2007). In short, across </w:t>
      </w:r>
      <w:r w:rsidRPr="007A71C9">
        <w:lastRenderedPageBreak/>
        <w:t>Africa’s fast</w:t>
      </w:r>
      <w:r w:rsidRPr="007A71C9">
        <w:noBreakHyphen/>
        <w:t>digitizing markets, technological readiness of bank staff is an under</w:t>
      </w:r>
      <w:r w:rsidRPr="007A71C9">
        <w:noBreakHyphen/>
        <w:t xml:space="preserve">examined lever for improving detection and prevention outcomes, complementing investments in AI/ML and data pipelines. </w:t>
      </w:r>
    </w:p>
    <w:p w14:paraId="0A02A089" w14:textId="5EB993E1" w:rsidR="007A71C9" w:rsidRDefault="007A71C9" w:rsidP="00FA17B1">
      <w:pPr>
        <w:spacing w:line="240" w:lineRule="auto"/>
        <w:jc w:val="both"/>
      </w:pPr>
      <w:r w:rsidRPr="007A71C9">
        <w:t>Locally in Kenya, the Central Bank of Kenya’s Financial Sector Stability Report (FSSR) 2024 highlights elevated operational risks amid rapid digitization; incidences of fraud, cyber</w:t>
      </w:r>
      <w:r w:rsidRPr="007A71C9">
        <w:noBreakHyphen/>
        <w:t>attacks, and data</w:t>
      </w:r>
      <w:r w:rsidRPr="007A71C9">
        <w:noBreakHyphen/>
        <w:t>privacy concerns increased in 2024, prompting tighter remedial controls (CBK, 2025a, pp. 58–61). The underlying threat environment has surged: cyber threats rose from ~805 million in 2022/23 to 3.52 billion in 2023/24 and to 7.96 billion in 2024/25, reflecting massive growth in malware, botnets/DDoS, and system vulnerabilities observed by KE</w:t>
      </w:r>
      <w:r w:rsidRPr="007A71C9">
        <w:noBreakHyphen/>
        <w:t>CIRT/CC (CBK, 2025a, p. 89; CA, 2024; KE</w:t>
      </w:r>
      <w:r w:rsidRPr="007A71C9">
        <w:noBreakHyphen/>
        <w:t xml:space="preserve">CIRT/CC, 2025). Within the banking sector, fraud activity spiked: reported cases grew from 173 (2023) to 353 (2024); exposure rose from </w:t>
      </w:r>
      <w:proofErr w:type="spellStart"/>
      <w:r w:rsidRPr="007A71C9">
        <w:t>KSh</w:t>
      </w:r>
      <w:proofErr w:type="spellEnd"/>
      <w:r w:rsidRPr="007A71C9">
        <w:t xml:space="preserve"> 680.9 million to </w:t>
      </w:r>
      <w:proofErr w:type="spellStart"/>
      <w:r w:rsidRPr="007A71C9">
        <w:t>KSh</w:t>
      </w:r>
      <w:proofErr w:type="spellEnd"/>
      <w:r w:rsidRPr="007A71C9">
        <w:t xml:space="preserve"> 1.963 billion; and actual losses climbed from </w:t>
      </w:r>
      <w:proofErr w:type="spellStart"/>
      <w:r w:rsidRPr="007A71C9">
        <w:t>KSh</w:t>
      </w:r>
      <w:proofErr w:type="spellEnd"/>
      <w:r w:rsidRPr="007A71C9">
        <w:t xml:space="preserve"> 412.5 million to </w:t>
      </w:r>
      <w:proofErr w:type="spellStart"/>
      <w:r w:rsidRPr="007A71C9">
        <w:t>KSh</w:t>
      </w:r>
      <w:proofErr w:type="spellEnd"/>
      <w:r w:rsidRPr="007A71C9">
        <w:t xml:space="preserve"> 1.594 billion—with mobile banking, online banking, identity theft and card fraud driving the bulk of losses (CBK, 2025a, p. 90). Complementary market intelligence shows widespread targeting of Kenyan consumers and firms across digital channels (TransUnion Africa, 2024a, 2024b), and the KBA State of the Banking Industry Report 2024 stresses the sector’s resilience but flags operational and cyber risks that demand capability upgrades (KBA, 2024). These statistics document a detection and prevention problem: as volumes and complexity rise, losses have grown faster than case</w:t>
      </w:r>
      <w:r w:rsidRPr="007A71C9">
        <w:noBreakHyphen/>
        <w:t>handling capacity, revealing gaps in adoption and effective use of the sophisticated tooling that Kenyan banks are deploying (e.g., model tuning, identity proofing, anomaly triage, and cross</w:t>
      </w:r>
      <w:r w:rsidRPr="007A71C9">
        <w:noBreakHyphen/>
        <w:t xml:space="preserve">channel linkage analysis). Against this backdrop, </w:t>
      </w:r>
      <w:r w:rsidR="00B626C2">
        <w:t>t</w:t>
      </w:r>
      <w:r w:rsidRPr="007A71C9">
        <w:t xml:space="preserve">echnology </w:t>
      </w:r>
      <w:r w:rsidR="00B626C2">
        <w:t>r</w:t>
      </w:r>
      <w:r w:rsidRPr="007A71C9">
        <w:t>eadiness provides a critical behavioral lens to explain intra</w:t>
      </w:r>
      <w:r w:rsidRPr="007A71C9">
        <w:noBreakHyphen/>
        <w:t>bank variance in outcomes: (</w:t>
      </w:r>
      <w:proofErr w:type="spellStart"/>
      <w:r w:rsidRPr="007A71C9">
        <w:t>i</w:t>
      </w:r>
      <w:proofErr w:type="spellEnd"/>
      <w:r w:rsidRPr="007A71C9">
        <w:t xml:space="preserve">) Technological optimism—the belief that technology increases control and efficiency—tends to raise confidence and persistence with complex fraud platforms (Parasuraman, 2000; Parasuraman &amp; Colby, 2015); (ii) Technological innovativeness is associated with earlier and deeper feature adoption, experimentation and feedback loops that improve model performance in local contexts (Blut &amp; Wang, 2020; </w:t>
      </w:r>
      <w:proofErr w:type="spellStart"/>
      <w:r w:rsidRPr="007A71C9">
        <w:t>Godoe</w:t>
      </w:r>
      <w:proofErr w:type="spellEnd"/>
      <w:r w:rsidRPr="007A71C9">
        <w:t xml:space="preserve"> &amp; Johansen, 2012); while (iii) Technological discomfort (feeling overwhelmed by technology) and (iv) technological insecurity (fears about system reliability or personal risk) correlate with avoidance, minimal compliance, and error</w:t>
      </w:r>
      <w:r w:rsidRPr="007A71C9">
        <w:noBreakHyphen/>
        <w:t xml:space="preserve">prone investigation, outcomes documented across service and financial settings and detrimental to fraud detection efficacy (Lin &amp; Hsieh, 2006; Liljander et al., 2006; </w:t>
      </w:r>
      <w:proofErr w:type="spellStart"/>
      <w:r w:rsidRPr="007A71C9">
        <w:t>Walczuch</w:t>
      </w:r>
      <w:proofErr w:type="spellEnd"/>
      <w:r w:rsidRPr="007A71C9">
        <w:t xml:space="preserve"> et al., 2007). As Kenyan regulators harden sectoral defenses—e.g., enhanced cyber guidance, KE</w:t>
      </w:r>
      <w:r w:rsidRPr="007A71C9">
        <w:noBreakHyphen/>
        <w:t>CIRT/CC monitoring, and sector</w:t>
      </w:r>
      <w:r w:rsidRPr="007A71C9">
        <w:noBreakHyphen/>
        <w:t>wide initiatives—banks’ frontline TRI profiles may determine whether AI</w:t>
      </w:r>
      <w:r w:rsidRPr="007A71C9">
        <w:noBreakHyphen/>
        <w:t xml:space="preserve">enabled fraud systems reduce false positives and lift true positive detection, or merely add cost and complexity. Empirically quantifying TRI’s four dimensions among registered commercial banks in Kenya, and testing their association with measurable </w:t>
      </w:r>
      <w:r w:rsidR="00B626C2">
        <w:t xml:space="preserve">fraud </w:t>
      </w:r>
      <w:r w:rsidRPr="007A71C9">
        <w:t>detection and prevention outcomes (e.g., alert</w:t>
      </w:r>
      <w:r w:rsidRPr="007A71C9">
        <w:noBreakHyphen/>
        <w:t>to</w:t>
      </w:r>
      <w:r w:rsidRPr="007A71C9">
        <w:noBreakHyphen/>
        <w:t>SAR conversion, loss per case, time</w:t>
      </w:r>
      <w:r w:rsidRPr="007A71C9">
        <w:noBreakHyphen/>
        <w:t>to</w:t>
      </w:r>
      <w:r w:rsidRPr="007A71C9">
        <w:noBreakHyphen/>
        <w:t>decision), directly addresses the documented local problem and offers policy</w:t>
      </w:r>
      <w:r w:rsidRPr="007A71C9">
        <w:noBreakHyphen/>
        <w:t>relevant insights for targeted capability building.</w:t>
      </w:r>
      <w:r w:rsidR="00B626C2">
        <w:t xml:space="preserve">  The rest of the paper is organized as follows. The next section presents the institutional set</w:t>
      </w:r>
      <w:r w:rsidR="00FA17B1">
        <w:t xml:space="preserve">ting of the </w:t>
      </w:r>
      <w:r w:rsidR="00B626C2">
        <w:t>Kenya</w:t>
      </w:r>
      <w:r w:rsidR="00FA17B1">
        <w:t>’s banking sector</w:t>
      </w:r>
      <w:r w:rsidR="00B626C2">
        <w:t xml:space="preserve">. Section </w:t>
      </w:r>
      <w:r w:rsidR="00FA17B1">
        <w:t>3</w:t>
      </w:r>
      <w:r w:rsidR="00B626C2">
        <w:t xml:space="preserve"> discusses the literature review and hypotheses development. Section </w:t>
      </w:r>
      <w:r w:rsidR="00FA17B1">
        <w:t>4</w:t>
      </w:r>
      <w:r w:rsidR="00B626C2">
        <w:t xml:space="preserve"> presents the methodology. Section </w:t>
      </w:r>
      <w:r w:rsidR="00A724EE">
        <w:t xml:space="preserve">5 </w:t>
      </w:r>
      <w:r w:rsidR="00B626C2">
        <w:t xml:space="preserve">presents the findings, while section </w:t>
      </w:r>
      <w:r w:rsidR="00A724EE">
        <w:t>6</w:t>
      </w:r>
      <w:r w:rsidR="00B626C2">
        <w:t xml:space="preserve"> concludes.</w:t>
      </w:r>
    </w:p>
    <w:p w14:paraId="74BAA152" w14:textId="77777777" w:rsidR="00FA17B1" w:rsidRDefault="00FA17B1" w:rsidP="00FA17B1">
      <w:pPr>
        <w:spacing w:line="240" w:lineRule="auto"/>
        <w:jc w:val="both"/>
      </w:pPr>
    </w:p>
    <w:p w14:paraId="605F1E51" w14:textId="1CF82E14" w:rsidR="00887AFF" w:rsidRPr="00B626C2" w:rsidRDefault="007A71C9" w:rsidP="00FA17B1">
      <w:pPr>
        <w:pStyle w:val="ListParagraph"/>
        <w:numPr>
          <w:ilvl w:val="0"/>
          <w:numId w:val="1"/>
        </w:numPr>
        <w:spacing w:line="240" w:lineRule="auto"/>
        <w:jc w:val="both"/>
        <w:rPr>
          <w:b/>
          <w:bCs/>
        </w:rPr>
      </w:pPr>
      <w:r w:rsidRPr="00B626C2">
        <w:rPr>
          <w:b/>
          <w:bCs/>
        </w:rPr>
        <w:t>Institutional set up</w:t>
      </w:r>
    </w:p>
    <w:p w14:paraId="7547EF06" w14:textId="77777777" w:rsidR="007A71C9" w:rsidRPr="007A71C9" w:rsidRDefault="007A71C9" w:rsidP="00FA17B1">
      <w:pPr>
        <w:spacing w:line="240" w:lineRule="auto"/>
        <w:jc w:val="both"/>
        <w:rPr>
          <w:rFonts w:eastAsia="Times New Roman"/>
        </w:rPr>
      </w:pPr>
      <w:r w:rsidRPr="007A71C9">
        <w:rPr>
          <w:rFonts w:eastAsia="Times New Roman"/>
        </w:rPr>
        <w:lastRenderedPageBreak/>
        <w:t>The Central Bank of Kenya is the primary regulator and supervisor of banks in Kenya, responsible for promoting financial stability and depositor protection. During the year ended June 30, 2024, the Kenyan banking industry comprised 38 commercial banks, 1 mortgage finance company, 1 mortgage refinance company, 14 microfinance banks, 10 representative offices of foreign banks, 77 foreign exchange bureaus, 26 money remittance providers, 3 credit reference bureaus and 58 digital credit providers (CBK, 2024).</w:t>
      </w:r>
    </w:p>
    <w:p w14:paraId="63A9A8B5" w14:textId="77777777" w:rsidR="007A71C9" w:rsidRPr="007A71C9" w:rsidRDefault="007A71C9" w:rsidP="00FA17B1">
      <w:pPr>
        <w:spacing w:line="240" w:lineRule="auto"/>
        <w:jc w:val="both"/>
        <w:rPr>
          <w:rFonts w:eastAsia="Times New Roman"/>
        </w:rPr>
      </w:pPr>
      <w:r w:rsidRPr="007A71C9">
        <w:rPr>
          <w:rFonts w:eastAsia="Times New Roman"/>
        </w:rPr>
        <w:t>The CBK Act, Companies Act, the Banking Act and other regulatory measures by CBK govern the banking sector in Kenya. According to Meshack, Kerongo and Nyamute (2017), the banking industry was deregulated and foreign currency regulations were liberalized in 1995. In addition to promoting the soundness, liquidity, and effectiveness of the financial system, the CBK develops and implements monetary policy (Otuori, 2013). According to Macharia (2013), the CBK publishes data on inflation, monetary policy indicators, commercial banks indicators, interest rates and economic indicators. These commercial banks operate both domestically and internationally, with their head offices in Nairobi. The majority are classified as small to medium-sized privately held institutions. However, major banks that control a significant percentage of the industry—many of which are foreign-owned while some are partially domestically owned—dominate the market.</w:t>
      </w:r>
    </w:p>
    <w:p w14:paraId="7EBA2328" w14:textId="77777777" w:rsidR="007A71C9" w:rsidRPr="007A71C9" w:rsidRDefault="007A71C9" w:rsidP="00FA17B1">
      <w:pPr>
        <w:spacing w:line="240" w:lineRule="auto"/>
        <w:jc w:val="both"/>
        <w:rPr>
          <w:rFonts w:eastAsia="Times New Roman"/>
        </w:rPr>
      </w:pPr>
      <w:r w:rsidRPr="007A71C9">
        <w:rPr>
          <w:rFonts w:eastAsia="Times New Roman"/>
        </w:rPr>
        <w:t>The Central Bank of Kenya (CBK) is actively involved in anti-money laundering (AML) efforts, particularly within the banking sector. The CBK supervises and enforces the Proceeds of Crime and Anti-Money Laundering Act, 2009, and related regulations for financial institutions, including commercial banks. This involves ensuring banks and other institutions identify, assess, monitor, and mitigate risks associated with money laundering and terrorist financing. The CBK also conducts surveys and assessments to gauge the effectiveness of AML/CFT/CPF measures and identify areas for improvement.</w:t>
      </w:r>
    </w:p>
    <w:p w14:paraId="45E3BBF4" w14:textId="77777777" w:rsidR="007A71C9" w:rsidRPr="007A71C9" w:rsidRDefault="007A71C9" w:rsidP="00FA17B1">
      <w:pPr>
        <w:spacing w:line="240" w:lineRule="auto"/>
        <w:jc w:val="both"/>
        <w:rPr>
          <w:rFonts w:eastAsia="Times New Roman"/>
        </w:rPr>
      </w:pPr>
      <w:r w:rsidRPr="007A71C9">
        <w:rPr>
          <w:rFonts w:eastAsia="Times New Roman"/>
        </w:rPr>
        <w:t>According to CBK, the majority of reported integrity breaches were related to internal fraud, forgery, cybercrime, theft of cash, concealment of cash shortages, disclosure of confidential information, breaches of internal policies and procedures, staff colluding with external parties, and soliciting funds from customers, among others.</w:t>
      </w:r>
    </w:p>
    <w:p w14:paraId="4CAE5462" w14:textId="77777777" w:rsidR="007A71C9" w:rsidRPr="007A71C9" w:rsidRDefault="007A71C9" w:rsidP="00FA17B1">
      <w:pPr>
        <w:spacing w:line="240" w:lineRule="auto"/>
        <w:jc w:val="both"/>
        <w:rPr>
          <w:rFonts w:eastAsia="Times New Roman"/>
        </w:rPr>
      </w:pPr>
      <w:r w:rsidRPr="007A71C9">
        <w:rPr>
          <w:rFonts w:eastAsia="Times New Roman"/>
        </w:rPr>
        <w:t>The Banking Sector has adopted and implemented Artificial Intelligence (AI) and Machine Learning (ML) in their operations through Big Data. AI/ML is used to improve operational efficiencies, predict customer behavior, and manage risks more effectively. The Central Bank of Kenya (CBK) has reviewed usage of AI and ML in the sector.</w:t>
      </w:r>
    </w:p>
    <w:p w14:paraId="56E81E26" w14:textId="77777777" w:rsidR="007A71C9" w:rsidRPr="007A71C9" w:rsidRDefault="007A71C9" w:rsidP="00FA17B1">
      <w:pPr>
        <w:spacing w:line="240" w:lineRule="auto"/>
        <w:jc w:val="both"/>
        <w:rPr>
          <w:rFonts w:eastAsia="Times New Roman"/>
        </w:rPr>
      </w:pPr>
      <w:r w:rsidRPr="007A71C9">
        <w:rPr>
          <w:rFonts w:eastAsia="Times New Roman"/>
        </w:rPr>
        <w:t>Several institutions have deployed ML-powered solutions to detect cases of potential insider threats as well as external cybersecurity threats. Insider threats are monitored by collecting and analyzing data on network use patterns, work hours, and approved devices on the network. External threats are monitored by identifying outliers or unusual activities in customers' transaction patterns. Moreover, cybersecurity tools such as Security Incident and Event Management (SIEM) are ML-enabled to automatically detect and respond to threats by quarantining suspicious processes, applications, and devices on the network, thus limiting the attack surface in case of a security incident.</w:t>
      </w:r>
    </w:p>
    <w:p w14:paraId="21D97CE3" w14:textId="77777777" w:rsidR="007A71C9" w:rsidRPr="007A71C9" w:rsidRDefault="007A71C9" w:rsidP="00FA17B1">
      <w:pPr>
        <w:spacing w:line="240" w:lineRule="auto"/>
        <w:jc w:val="both"/>
        <w:rPr>
          <w:rFonts w:eastAsia="Times New Roman"/>
        </w:rPr>
      </w:pPr>
      <w:r w:rsidRPr="007A71C9">
        <w:rPr>
          <w:rFonts w:eastAsia="Times New Roman"/>
        </w:rPr>
        <w:t xml:space="preserve">CBK's prudential guidelines address various aspects of corporate governance. First, the guidelines provide for the structure of the Board of Directors. The guidelines specify the composition, roles, and responsibilities of the board of directors. Second, they outline risk management strategies. </w:t>
      </w:r>
      <w:r w:rsidRPr="007A71C9">
        <w:rPr>
          <w:rFonts w:eastAsia="Times New Roman"/>
        </w:rPr>
        <w:lastRenderedPageBreak/>
        <w:t>Banks are required to have robust risk management frameworks to identify, assess, and mitigate various risks. Third, the guidelines regulate the appointment and oversight of senior management to ensure qualified personnel are in place.</w:t>
      </w:r>
    </w:p>
    <w:p w14:paraId="16B212AE" w14:textId="29614121" w:rsidR="007A71C9" w:rsidRPr="00B729FC" w:rsidRDefault="00B729FC" w:rsidP="00FA17B1">
      <w:pPr>
        <w:jc w:val="both"/>
      </w:pPr>
      <w:r w:rsidRPr="00B729FC">
        <w:t>Therefore, the study tries to answer three important questions to achieve the study’s goal: (</w:t>
      </w:r>
      <w:proofErr w:type="spellStart"/>
      <w:r w:rsidRPr="00B729FC">
        <w:t>i</w:t>
      </w:r>
      <w:proofErr w:type="spellEnd"/>
      <w:r w:rsidRPr="00B729FC">
        <w:t xml:space="preserve">) Does technological optimism affect the detection and prevention of fraud among registered commercial banks in Kenya? (ii) Does technological innovativeness affect the detection and prevention of fraud among registered commercial banks in Kenya? (iii) Do technological inhibitors—technological discomfort and technological insecurity—affect the detection and prevention of fraud among registered commercial banks in Kenya? The paper is organized as follows: </w:t>
      </w:r>
      <w:r w:rsidR="00FA17B1">
        <w:t xml:space="preserve">The following section presents the </w:t>
      </w:r>
      <w:proofErr w:type="gramStart"/>
      <w:r w:rsidR="00FA17B1">
        <w:t xml:space="preserve">literature </w:t>
      </w:r>
      <w:r w:rsidRPr="00B729FC">
        <w:t xml:space="preserve"> review</w:t>
      </w:r>
      <w:proofErr w:type="gramEnd"/>
      <w:r w:rsidRPr="00B729FC">
        <w:t xml:space="preserve"> </w:t>
      </w:r>
      <w:r w:rsidR="00FA17B1">
        <w:t xml:space="preserve"> and hypotheses development</w:t>
      </w:r>
      <w:r w:rsidRPr="00B729FC">
        <w:t xml:space="preserve">. Section 3 presents the </w:t>
      </w:r>
      <w:r w:rsidR="00FA17B1">
        <w:t xml:space="preserve">research </w:t>
      </w:r>
      <w:r w:rsidRPr="00B729FC">
        <w:t xml:space="preserve">methodology. Section 4 </w:t>
      </w:r>
      <w:r w:rsidR="00FA17B1">
        <w:t>presents</w:t>
      </w:r>
      <w:r w:rsidRPr="00B729FC">
        <w:t xml:space="preserve"> and discusses the empirical results. Section 5 concludes the paper with policy recommendations for bank management and regulators</w:t>
      </w:r>
      <w:r w:rsidR="00FA17B1">
        <w:t xml:space="preserve"> and suggestions for future studies</w:t>
      </w:r>
      <w:r w:rsidRPr="00B729FC">
        <w:t>.</w:t>
      </w:r>
    </w:p>
    <w:p w14:paraId="400FAE9B" w14:textId="147F6EE4" w:rsidR="006F4540" w:rsidRPr="007A71C9" w:rsidRDefault="006F4540" w:rsidP="00FA17B1">
      <w:pPr>
        <w:pStyle w:val="ListParagraph"/>
        <w:numPr>
          <w:ilvl w:val="0"/>
          <w:numId w:val="1"/>
        </w:numPr>
        <w:ind w:left="360"/>
        <w:jc w:val="both"/>
        <w:rPr>
          <w:b/>
          <w:bCs/>
        </w:rPr>
      </w:pPr>
      <w:r w:rsidRPr="007A71C9">
        <w:rPr>
          <w:b/>
          <w:bCs/>
        </w:rPr>
        <w:t>Literature review and hypotheses development</w:t>
      </w:r>
    </w:p>
    <w:p w14:paraId="648E9800" w14:textId="052C0397" w:rsidR="00C36643" w:rsidRPr="007A71C9" w:rsidRDefault="00C36643" w:rsidP="00FA17B1">
      <w:pPr>
        <w:spacing w:line="240" w:lineRule="auto"/>
        <w:jc w:val="both"/>
      </w:pPr>
      <w:r w:rsidRPr="007A71C9">
        <w:t>Viewed through the lens of Protection Motivation Theory (PMT), technological readiness and shape</w:t>
      </w:r>
      <w:r w:rsidR="00FA17B1">
        <w:t>s</w:t>
      </w:r>
      <w:r w:rsidRPr="007A71C9">
        <w:t xml:space="preserve"> banks’</w:t>
      </w:r>
      <w:r w:rsidR="00FA17B1">
        <w:t xml:space="preserve"> managements perception of</w:t>
      </w:r>
      <w:r w:rsidRPr="007A71C9">
        <w:t xml:space="preserve"> threat and coping appraisals, thereby motivating protective behavior that deters fraud (Rogers, 1975, 1983). Governance mandates (e.g., policies, oversight) heighten perceived severity and vulnerability, while robust readiness—analytics, multi-factor authentication, real-time monitoring—raises response efficacy and self-efficacy and lowers response costs, increasing compliance with secure practices and incident reporting (Johnston &amp; Warkentin, 2010; </w:t>
      </w:r>
      <w:proofErr w:type="spellStart"/>
      <w:r w:rsidRPr="007A71C9">
        <w:t>Ifinedo</w:t>
      </w:r>
      <w:proofErr w:type="spellEnd"/>
      <w:r w:rsidRPr="007A71C9">
        <w:t>, 2012). In Kenya’s commercial banks, investments in cyber controls, staff training, and secure digital channels thus operate as PMT-aligned levers that convert risk awareness into preventive action and early detection.</w:t>
      </w:r>
    </w:p>
    <w:p w14:paraId="3B5133B2" w14:textId="04927BBF" w:rsidR="000E780B" w:rsidRPr="00B626C2" w:rsidRDefault="00C36643" w:rsidP="00FA17B1">
      <w:pPr>
        <w:spacing w:line="240" w:lineRule="auto"/>
        <w:jc w:val="both"/>
      </w:pPr>
      <w:r w:rsidRPr="007A71C9">
        <w:t>The Agency Theory perspective explains fraud as a principal–agent problem exacerbated by information asymmetry and misaligned incentives; governance mechanisms—independent boards, effective audit committees, performance-sensitive monitoring, and transparent disclosures—mitigate moral hazard by tightening oversight and aligning interests (Jensen &amp; Meckling, 1976; Eisenhardt, 1989; Basel Committee on Banking Supervision, 2015). Technological readiness complements these levers through continuous auditing, segregation-of-duties controls, and anomaly detection that reduce monitoring costs and narrow discretion for opportunistic behavior (Vasarhelyi, Kogan, &amp; Tuttle, 2015; COSO, 2013). Framed by the Fraud Triangle, governance and technology specifically target opportunity (strong internal controls, surveillance), temper pressure (ethical culture, whistleblowing channels), and weaken rationalization (codes of conduct, enforcement), thereby shrinking the conditions under which internal and external actors perpetrate fraud (Cressey, 1953; Wells, 2011; Association of Certified Fraud Examiners [ACFE], 2022). Taken together, PMT clarifies why staff adopt protective behaviors; Agency Theory specifies how governance and monitoring align incentives; and the Fraud Triangle identifies where controls must bite. Hence, the combined theoretical scaffolding robustly anchors inquiry into the effect of technological readiness on fraud detection and prevention among registered commercial banks in Kenya, linking human motivation, incentive alignment, and situational opportunity into a coherent explanatory model (Rogers, 1983; Jensen &amp; Meckling, 1976; Cressey, 1953).</w:t>
      </w:r>
    </w:p>
    <w:p w14:paraId="0586BA04" w14:textId="4A7BEEAB" w:rsidR="000E780B" w:rsidRPr="007A71C9" w:rsidRDefault="000E780B" w:rsidP="00FA17B1">
      <w:pPr>
        <w:spacing w:line="240" w:lineRule="auto"/>
        <w:jc w:val="both"/>
        <w:rPr>
          <w:shd w:val="clear" w:color="auto" w:fill="FFFFFF"/>
        </w:rPr>
      </w:pPr>
      <w:r w:rsidRPr="007A71C9">
        <w:rPr>
          <w:shd w:val="clear" w:color="auto" w:fill="FFFFFF"/>
        </w:rPr>
        <w:fldChar w:fldCharType="begin"/>
      </w:r>
      <w:r w:rsidRPr="007A71C9">
        <w:rPr>
          <w:shd w:val="clear" w:color="auto" w:fill="FFFFFF"/>
        </w:rPr>
        <w:instrText xml:space="preserve"> ADDIN EN.CITE &lt;EndNote&gt;&lt;Cite AuthorYear="1"&gt;&lt;Author&gt;Susanto&lt;/Author&gt;&lt;Year&gt;2023&lt;/Year&gt;&lt;RecNum&gt;4&lt;/RecNum&gt;&lt;DisplayText&gt;Susanto, Pramono, Akbar, and Suwarno (2023)&lt;/DisplayText&gt;&lt;record&gt;&lt;rec-number&gt;4&lt;/rec-number&gt;&lt;foreign-keys&gt;&lt;key app="EN" db-id="xdex2xzvevtpr3eafwuxr5xn5wefrawew2ar" timestamp="1740635482"&gt;4&lt;/key&gt;&lt;/foreign-keys&gt;&lt;ref-type name="Journal Article"&gt;17&lt;/ref-type&gt;&lt;contributors&gt;&lt;authors&gt;&lt;author&gt;Susanto, Hendra&lt;/author&gt;&lt;author&gt;Pramono, Agus Joko&lt;/author&gt;&lt;author&gt;Akbar, Bahrullah&lt;/author&gt;&lt;author&gt;Suwarno, Suwarno&lt;/author&gt;&lt;/authors&gt;&lt;/contributors&gt;&lt;titles&gt;&lt;title&gt;The adoption and readiness of digital technologies among auditors in public accounting firms: a structural equation modeling analysis&lt;/title&gt;&lt;secondary-title&gt;Research Horizon&lt;/secondary-title&gt;&lt;/titles&gt;&lt;periodical&gt;&lt;full-title&gt;Research Horizon&lt;/full-title&gt;&lt;/periodical&gt;&lt;pages&gt;71-85&lt;/pages&gt;&lt;volume&gt;3&lt;/volume&gt;&lt;number&gt;2&lt;/number&gt;&lt;dates&gt;&lt;year&gt;2023&lt;/year&gt;&lt;/dates&gt;&lt;isbn&gt;2807-9531&lt;/isbn&gt;&lt;urls&gt;&lt;/urls&gt;&lt;/record&gt;&lt;/Cite&gt;&lt;/EndNote&gt;</w:instrText>
      </w:r>
      <w:r w:rsidRPr="007A71C9">
        <w:rPr>
          <w:shd w:val="clear" w:color="auto" w:fill="FFFFFF"/>
        </w:rPr>
        <w:fldChar w:fldCharType="separate"/>
      </w:r>
      <w:r w:rsidRPr="007A71C9">
        <w:rPr>
          <w:noProof/>
          <w:shd w:val="clear" w:color="auto" w:fill="FFFFFF"/>
        </w:rPr>
        <w:t>Susanto, Pramono, Akbar, and Suwarno (2023)</w:t>
      </w:r>
      <w:r w:rsidRPr="007A71C9">
        <w:rPr>
          <w:shd w:val="clear" w:color="auto" w:fill="FFFFFF"/>
        </w:rPr>
        <w:fldChar w:fldCharType="end"/>
      </w:r>
      <w:r w:rsidRPr="007A71C9">
        <w:rPr>
          <w:shd w:val="clear" w:color="auto" w:fill="FFFFFF"/>
        </w:rPr>
        <w:t xml:space="preserve"> investigated the influence of auditors' optimistic and innovative attitudes on their intention to conduct audits using Computer-Assisted Audit </w:t>
      </w:r>
      <w:r w:rsidRPr="007A71C9">
        <w:rPr>
          <w:shd w:val="clear" w:color="auto" w:fill="FFFFFF"/>
        </w:rPr>
        <w:lastRenderedPageBreak/>
        <w:t xml:space="preserve">Techniques (CAATs). The study adopts a quantitative approach and gathers data from 224 respondents employed in 20 Public Accounting Firms located in Central Java, selected through random sampling techniques. Structural Equation Modeling (SEM) is employed for data analysis. The research findings reveal that auditors' optimistic and innovative attitudes positively and significantly impact their perceived ease of use of CAATs and their perception of improved performance when utilizing CAATs in conducting audits. These positive perceptions subsequently influence the auditors' intention to adopt and incorporate CAATs in their audit practices. </w:t>
      </w:r>
    </w:p>
    <w:p w14:paraId="31C0C76B" w14:textId="051BCE8A" w:rsidR="00A44F04" w:rsidRDefault="00A44F04" w:rsidP="00FA17B1">
      <w:pPr>
        <w:spacing w:line="240" w:lineRule="auto"/>
        <w:jc w:val="both"/>
        <w:rPr>
          <w:shd w:val="clear" w:color="auto" w:fill="FFFFFF"/>
        </w:rPr>
      </w:pPr>
      <w:r w:rsidRPr="00A44F04">
        <w:rPr>
          <w:shd w:val="clear" w:color="auto" w:fill="FFFFFF"/>
        </w:rPr>
        <w:t>Othman</w:t>
      </w:r>
      <w:r>
        <w:rPr>
          <w:shd w:val="clear" w:color="auto" w:fill="FFFFFF"/>
        </w:rPr>
        <w:t xml:space="preserve"> et al., </w:t>
      </w:r>
      <w:r w:rsidRPr="00A44F04">
        <w:rPr>
          <w:shd w:val="clear" w:color="auto" w:fill="FFFFFF"/>
        </w:rPr>
        <w:t>(2020) examined the impact of self-service technology (SST) quality characteristics, particularly automated teller machines (ATMs), on customer satisfaction. The interaction effects of technological optimism on the aforementioned relationship are also analyzed. The utilization of SST is defined as a multidimensional construct comprising five aspects: dependability, security, convenience, functionality, and responsiveness. The findings were gathered via a survey of a random sample of Malaysian users utilizing cash-recycling ATMs. The suggested theoretical model was evaluated utilizing partial least squares (PLS) structural equation modeling (SEM). The findings indicate that reliability, convenience, and functionality are essential determinants influencing customer satisfaction in the utilization of ATMs. Technological optimism was determined to diminish the correlation between reliability and consumer happiness.</w:t>
      </w:r>
    </w:p>
    <w:p w14:paraId="251ABD85" w14:textId="0C4442BB" w:rsidR="000E780B" w:rsidRPr="00B626C2" w:rsidRDefault="000E780B" w:rsidP="00FA17B1">
      <w:pPr>
        <w:spacing w:line="240" w:lineRule="auto"/>
        <w:jc w:val="both"/>
        <w:rPr>
          <w:shd w:val="clear" w:color="auto" w:fill="FFFFFF"/>
        </w:rPr>
      </w:pPr>
      <w:r w:rsidRPr="007A71C9">
        <w:fldChar w:fldCharType="begin"/>
      </w:r>
      <w:r w:rsidRPr="007A71C9">
        <w:instrText xml:space="preserve"> ADDIN EN.CITE &lt;EndNote&gt;&lt;Cite AuthorYear="1"&gt;&lt;Author&gt;Rachman&lt;/Author&gt;&lt;Year&gt;2023&lt;/Year&gt;&lt;RecNum&gt;6&lt;/RecNum&gt;&lt;DisplayText&gt;Rachman and Hendayani (2023)&lt;/DisplayText&gt;&lt;record&gt;&lt;rec-number&gt;6&lt;/rec-number&gt;&lt;foreign-keys&gt;&lt;key app="EN" db-id="xdex2xzvevtpr3eafwuxr5xn5wefrawew2ar" timestamp="1740636367"&gt;6&lt;/key&gt;&lt;/foreign-keys&gt;&lt;ref-type name="Journal Article"&gt;17&lt;/ref-type&gt;&lt;contributors&gt;&lt;authors&gt;&lt;author&gt;Rachman, Nurida Dhatin Afiza&lt;/author&gt;&lt;author&gt;Hendayani, Ratih&lt;/author&gt;&lt;/authors&gt;&lt;/contributors&gt;&lt;titles&gt;&lt;title&gt;The Effect of E-Service Quality on Customer Satisfaction of Cash Recycling ATM Users with Technological Optimism as A Moderating Variable&lt;/title&gt;&lt;secondary-title&gt;International Journal of Economics, Business and Accounting Research (IJEBAR)&lt;/secondary-title&gt;&lt;/titles&gt;&lt;periodical&gt;&lt;full-title&gt;International Journal of Economics, Business and Accounting Research (IJEBAR)&lt;/full-title&gt;&lt;/periodical&gt;&lt;volume&gt;7&lt;/volume&gt;&lt;number&gt;2&lt;/number&gt;&lt;dates&gt;&lt;year&gt;2023&lt;/year&gt;&lt;/dates&gt;&lt;isbn&gt;2614-1280&lt;/isbn&gt;&lt;urls&gt;&lt;/urls&gt;&lt;/record&gt;&lt;/Cite&gt;&lt;/EndNote&gt;</w:instrText>
      </w:r>
      <w:r w:rsidRPr="007A71C9">
        <w:fldChar w:fldCharType="separate"/>
      </w:r>
      <w:r w:rsidRPr="007A71C9">
        <w:rPr>
          <w:noProof/>
        </w:rPr>
        <w:t>Rachman and Hendayani (2023)</w:t>
      </w:r>
      <w:r w:rsidRPr="007A71C9">
        <w:fldChar w:fldCharType="end"/>
      </w:r>
      <w:r w:rsidRPr="007A71C9">
        <w:t xml:space="preserve"> sought to </w:t>
      </w:r>
      <w:r w:rsidRPr="007A71C9">
        <w:rPr>
          <w:shd w:val="clear" w:color="auto" w:fill="FFFFFF"/>
        </w:rPr>
        <w:t>explain the relationship between reliability, security, convenience, functionality, responsiveness, and customer satisfaction in Cash Recycling ATM users, including technological optimism as a moderator. This study used quantitative methods with data analysis techniques, using partial least squares (PLS) structural equation modeling (SEM). The number of samples used in this study was 114 Bank BCA customers domiciled in Bandung City who had used BCA Cash Recycling ATMs to conduct banking transactions. The findings of this study show a positive and significant relationship between convenience and customer satisfaction. However, reliability, security, functionality, and responsiveness did not have a significant effect on customer satisfaction. Technological optimism did not have an interaction effect (moderation) on the relationship between the five factors of e-service quality on SST and customer satisfaction.</w:t>
      </w:r>
      <w:r w:rsidR="00B626C2">
        <w:rPr>
          <w:shd w:val="clear" w:color="auto" w:fill="FFFFFF"/>
        </w:rPr>
        <w:t xml:space="preserve"> </w:t>
      </w:r>
      <w:r w:rsidRPr="007A71C9">
        <w:t>Drawing from the theoretical and empirical review, we propose the following hypothesis:</w:t>
      </w:r>
    </w:p>
    <w:p w14:paraId="4434FB56" w14:textId="44910EAD" w:rsidR="000E780B" w:rsidRPr="007A71C9" w:rsidRDefault="000E780B" w:rsidP="00FA17B1">
      <w:pPr>
        <w:spacing w:line="240" w:lineRule="auto"/>
        <w:jc w:val="both"/>
        <w:rPr>
          <w:i/>
          <w:iCs/>
        </w:rPr>
      </w:pPr>
      <w:r w:rsidRPr="007A71C9">
        <w:rPr>
          <w:i/>
          <w:iCs/>
        </w:rPr>
        <w:t>H1. Technological optimism has a significant effect on the detection and prevention of fraud</w:t>
      </w:r>
    </w:p>
    <w:p w14:paraId="6BD4FE0E" w14:textId="77777777" w:rsidR="000E780B" w:rsidRPr="007A71C9" w:rsidRDefault="000E780B" w:rsidP="00FA17B1">
      <w:pPr>
        <w:spacing w:line="240" w:lineRule="auto"/>
        <w:jc w:val="both"/>
      </w:pPr>
      <w:r w:rsidRPr="007A71C9">
        <w:fldChar w:fldCharType="begin"/>
      </w:r>
      <w:r w:rsidRPr="007A71C9">
        <w:instrText xml:space="preserve"> ADDIN EN.CITE &lt;EndNote&gt;&lt;Cite AuthorYear="1"&gt;&lt;Author&gt;Ahmad&lt;/Author&gt;&lt;Year&gt;2023&lt;/Year&gt;&lt;RecNum&gt;7&lt;/RecNum&gt;&lt;DisplayText&gt;Ahmad et al. (2023)&lt;/DisplayText&gt;&lt;record&gt;&lt;rec-number&gt;7&lt;/rec-number&gt;&lt;foreign-keys&gt;&lt;key app="EN" db-id="xdex2xzvevtpr3eafwuxr5xn5wefrawew2ar" timestamp="1740636753"&gt;7&lt;/key&gt;&lt;/foreign-keys&gt;&lt;ref-type name="Journal Article"&gt;17&lt;/ref-type&gt;&lt;contributors&gt;&lt;authors&gt;&lt;author&gt;Ahmad, AYAB&lt;/author&gt;&lt;author&gt;Atta, AAMB&lt;/author&gt;&lt;author&gt;Alawawdeh, Hanan Ali&lt;/author&gt;&lt;author&gt;Aljundi, Nawaf Abdallah&lt;/author&gt;&lt;author&gt;Morshed, Amer&lt;/author&gt;&lt;author&gt;Dahbour, Saleh Amin&lt;/author&gt;&lt;author&gt;Alqaraleh, Mithkal Hmoud&lt;/author&gt;&lt;/authors&gt;&lt;/contributors&gt;&lt;titles&gt;&lt;title&gt;The effect of system quality and user quality of information technology on internal audit effectiveness in Jordan, and the moderating effect of management support&lt;/title&gt;&lt;secondary-title&gt;Applied Mathematics&lt;/secondary-title&gt;&lt;/titles&gt;&lt;periodical&gt;&lt;full-title&gt;Applied Mathematics&lt;/full-title&gt;&lt;/periodical&gt;&lt;pages&gt;859-866&lt;/pages&gt;&lt;volume&gt;17&lt;/volume&gt;&lt;number&gt;5&lt;/number&gt;&lt;dates&gt;&lt;year&gt;2023&lt;/year&gt;&lt;/dates&gt;&lt;urls&gt;&lt;/urls&gt;&lt;/record&gt;&lt;/Cite&gt;&lt;/EndNote&gt;</w:instrText>
      </w:r>
      <w:r w:rsidRPr="007A71C9">
        <w:fldChar w:fldCharType="separate"/>
      </w:r>
      <w:r w:rsidRPr="007A71C9">
        <w:t>Ahmad et al., (2023)</w:t>
      </w:r>
      <w:r w:rsidRPr="007A71C9">
        <w:fldChar w:fldCharType="end"/>
      </w:r>
      <w:r w:rsidRPr="007A71C9">
        <w:t xml:space="preserve"> sought to ascertain the moderating role that management support has in internal audit effectiveness in Jordan, as well as the impact of system quality and user quality of information technology. There were 172 responders in all, and they were split across Jordanian auditors. In the data analysis process, the quantitative analysis test which consists of the validity test, reliability test, test of conventional assumptions, and hypothesis test—is applied. Information technology systems and user quality are independent variables in this study. The dependent variable in this study is internal audit effectiveness, and the moderating variable is management support. The results of this study show that the effectiveness of internal audits is significantly impacted by the system quality and user quality of information technology. Additionally, with Management support acting as a moderating factor, the link between System quality and Audit effectiveness improves. The findings also indicate that when moderating variables are present, the connection between User quality and Audit effectiveness changes from positive to negative. Future research might look at risk management.</w:t>
      </w:r>
    </w:p>
    <w:p w14:paraId="1795BC72" w14:textId="77777777" w:rsidR="000E780B" w:rsidRPr="007A71C9" w:rsidRDefault="000E780B" w:rsidP="00FA17B1">
      <w:pPr>
        <w:spacing w:line="240" w:lineRule="auto"/>
        <w:jc w:val="both"/>
      </w:pPr>
      <w:r w:rsidRPr="007A71C9">
        <w:lastRenderedPageBreak/>
        <w:fldChar w:fldCharType="begin"/>
      </w:r>
      <w:r w:rsidRPr="007A71C9">
        <w:instrText xml:space="preserve"> ADDIN EN.CITE &lt;EndNote&gt;&lt;Cite AuthorYear="1"&gt;&lt;Author&gt;Anh&lt;/Author&gt;&lt;Year&gt;2024&lt;/Year&gt;&lt;RecNum&gt;8&lt;/RecNum&gt;&lt;DisplayText&gt;Anh et al. (2024)&lt;/DisplayText&gt;&lt;record&gt;&lt;rec-number&gt;8&lt;/rec-number&gt;&lt;foreign-keys&gt;&lt;key app="EN" db-id="xdex2xzvevtpr3eafwuxr5xn5wefrawew2ar" timestamp="1740636915"&gt;8&lt;/key&gt;&lt;/foreign-keys&gt;&lt;ref-type name="Journal Article"&gt;17&lt;/ref-type&gt;&lt;contributors&gt;&lt;authors&gt;&lt;author&gt;Anh, Nguyen Thi Mai&lt;/author&gt;&lt;author&gt;Hoa, Le Thi Khanh&lt;/author&gt;&lt;author&gt;Thao, Lai Phuong&lt;/author&gt;&lt;author&gt;Nhi, Duong Anh&lt;/author&gt;&lt;author&gt;Long, Nguyen Thanh&lt;/author&gt;&lt;author&gt;Truc, Nguyen Thanh&lt;/author&gt;&lt;author&gt;Ngoc Xuan, Vu&lt;/author&gt;&lt;/authors&gt;&lt;/contributors&gt;&lt;titles&gt;&lt;title&gt;The effect of technology readiness on adopting artificial intelligence in accounting and auditing in Vietnam&lt;/title&gt;&lt;secondary-title&gt;Journal of Risk and Financial Management&lt;/secondary-title&gt;&lt;/titles&gt;&lt;periodical&gt;&lt;full-title&gt;Journal of Risk and Financial Management&lt;/full-title&gt;&lt;/periodical&gt;&lt;pages&gt;27&lt;/pages&gt;&lt;volume&gt;17&lt;/volume&gt;&lt;number&gt;1&lt;/number&gt;&lt;dates&gt;&lt;year&gt;2024&lt;/year&gt;&lt;/dates&gt;&lt;isbn&gt;1911-8074&lt;/isbn&gt;&lt;urls&gt;&lt;/urls&gt;&lt;/record&gt;&lt;/Cite&gt;&lt;/EndNote&gt;</w:instrText>
      </w:r>
      <w:r w:rsidRPr="007A71C9">
        <w:fldChar w:fldCharType="separate"/>
      </w:r>
      <w:r w:rsidRPr="007A71C9">
        <w:t>Anh et al., (2024)</w:t>
      </w:r>
      <w:r w:rsidRPr="007A71C9">
        <w:fldChar w:fldCharType="end"/>
      </w:r>
      <w:r w:rsidRPr="007A71C9">
        <w:t xml:space="preserve"> focused on investigating the impact of technology readiness (TR) on the adoption of artificial intelligence (AD) by accountants and auditors, utilizing intermediary factors, such as perceived usefulness (PU) and perceived ease-of-use (PEOU), within companies in Vietnam. Based on 143 survey responses, the results demonstrate a positive relationship between TR and AI adoption among professionals in the accounting and auditing industry. Additionally, the analysis reveals that the intermediary factors PU and PEOU positively influence AI adoption. TR consistently relates with PU and PEOU in applying artificial intelligence in accounting and auditing. The result of the experiment study is that technology readiness positively impacts the AI adoption of accountants and auditors from companies in Vietnam. Hence, perceived usefulness and ease of use mediate the relationship between technology readiness and the adoption of AI technologies by workers in the accounting and auditing industry. This study contributes not only academically by enriching scientific knowledge on AI adoption but also holds practical significance by suggesting training and development policies from a business perspective in the future.</w:t>
      </w:r>
    </w:p>
    <w:p w14:paraId="509320F2" w14:textId="77777777" w:rsidR="008E4186" w:rsidRDefault="008E4186" w:rsidP="00FA17B1">
      <w:pPr>
        <w:spacing w:line="240" w:lineRule="auto"/>
        <w:jc w:val="both"/>
      </w:pPr>
      <w:proofErr w:type="spellStart"/>
      <w:r w:rsidRPr="008E4186">
        <w:t>Lugli</w:t>
      </w:r>
      <w:proofErr w:type="spellEnd"/>
      <w:r w:rsidRPr="008E4186">
        <w:t xml:space="preserve"> and </w:t>
      </w:r>
      <w:proofErr w:type="spellStart"/>
      <w:r w:rsidRPr="008E4186">
        <w:t>Bertacchini</w:t>
      </w:r>
      <w:proofErr w:type="spellEnd"/>
      <w:r w:rsidRPr="008E4186">
        <w:t xml:space="preserve"> (2023) examine the effects of digitalization on audit firms within the Italian setting, aiming to comprehend how this phenomenon has affected the quality disparities previously explored in the academic literature. The study employed a qualitative methodology, including semi-structured interviews. Sixteen professionals in the legal audit sector were interviewed. The firms engaged included PricewaterhouseCoopers, KPMG, Ernst &amp; Young, and Deloitte in the Big Four category, as well as BDO Italia Spa, </w:t>
      </w:r>
      <w:proofErr w:type="spellStart"/>
      <w:r w:rsidRPr="008E4186">
        <w:t>MooreAxis</w:t>
      </w:r>
      <w:proofErr w:type="spellEnd"/>
      <w:r w:rsidRPr="008E4186">
        <w:t xml:space="preserve"> </w:t>
      </w:r>
      <w:proofErr w:type="spellStart"/>
      <w:r w:rsidRPr="008E4186">
        <w:t>Srl</w:t>
      </w:r>
      <w:proofErr w:type="spellEnd"/>
      <w:r w:rsidRPr="008E4186">
        <w:t xml:space="preserve">, and </w:t>
      </w:r>
      <w:proofErr w:type="spellStart"/>
      <w:r w:rsidRPr="008E4186">
        <w:t>Analisi</w:t>
      </w:r>
      <w:proofErr w:type="spellEnd"/>
      <w:r w:rsidRPr="008E4186">
        <w:t xml:space="preserve"> Spa in the non-Big category. The data obtained from the interviews was subjected to thematic analysis. This study facilitated the identification of three subjects, which served as the focus for the presentation of the data. This research indicates that the digitalization of organizations has exacerbated the quality disparity between large and non-large enterprises. </w:t>
      </w:r>
      <w:proofErr w:type="spellStart"/>
      <w:r w:rsidRPr="008E4186">
        <w:t>BigN</w:t>
      </w:r>
      <w:proofErr w:type="spellEnd"/>
      <w:r w:rsidRPr="008E4186">
        <w:t xml:space="preserve"> has effectively capitalized on the advantages of emerging digital technologies owing to its superior investment capability.</w:t>
      </w:r>
    </w:p>
    <w:p w14:paraId="4CF40F8D" w14:textId="2BF0D11D" w:rsidR="006F4540" w:rsidRPr="007A71C9" w:rsidRDefault="000E780B" w:rsidP="00FA17B1">
      <w:pPr>
        <w:spacing w:line="240" w:lineRule="auto"/>
        <w:jc w:val="both"/>
      </w:pPr>
      <w:r w:rsidRPr="007A71C9">
        <w:t>Using a sample of 467 Chinese high technology firms, Wang et al., 2021, found that all of which applied for state-funded innovation grants, found that relative to honest companies, fraudulent firms are more likely to receive state grants and are less likely to recruit new employees or produce important inventions in the post-grant period.</w:t>
      </w:r>
    </w:p>
    <w:p w14:paraId="763196E2" w14:textId="77777777" w:rsidR="000E780B" w:rsidRPr="007A71C9" w:rsidRDefault="000E780B" w:rsidP="00FA17B1">
      <w:pPr>
        <w:spacing w:line="240" w:lineRule="auto"/>
        <w:jc w:val="both"/>
      </w:pPr>
      <w:r w:rsidRPr="007A71C9">
        <w:t>Drawing from the theoretical and empirical review, we propose the following hypothesis:</w:t>
      </w:r>
    </w:p>
    <w:p w14:paraId="677658A1" w14:textId="45A8A8A7" w:rsidR="000E780B" w:rsidRPr="007A71C9" w:rsidRDefault="000E780B" w:rsidP="00FA17B1">
      <w:pPr>
        <w:spacing w:line="240" w:lineRule="auto"/>
        <w:jc w:val="both"/>
        <w:rPr>
          <w:i/>
          <w:iCs/>
        </w:rPr>
      </w:pPr>
      <w:r w:rsidRPr="007A71C9">
        <w:rPr>
          <w:i/>
          <w:iCs/>
        </w:rPr>
        <w:t>H2. Technological innovativeness has a significant effect on the detection and prevention of fraud</w:t>
      </w:r>
    </w:p>
    <w:p w14:paraId="09F9F412" w14:textId="1175436E" w:rsidR="008E4186" w:rsidRDefault="008E4186" w:rsidP="008E4186">
      <w:pPr>
        <w:spacing w:after="0" w:line="240" w:lineRule="auto"/>
        <w:jc w:val="both"/>
      </w:pPr>
      <w:r>
        <w:t>Ashraf</w:t>
      </w:r>
      <w:r w:rsidR="004F2D51">
        <w:t xml:space="preserve"> et al.,</w:t>
      </w:r>
      <w:r>
        <w:t xml:space="preserve"> (2020) investigated the influence of information technology proficiency on audit committees regarding the dependability and timeliness of financial reporting. The researchers observed a decrease in the probability of material restatement, a decline in the incidence of information technology-related material weaknesses (which constitute 55 percent of all disclosed material weaknesses), and more prompt earnings announcements at firms possessing audit committee information technology expertise. The findings remain robust when accounting for a firm's other information technology characteristics and when employing entropy-balanced samples. Additionally, we address endogeneity concerns by demonstrating that our results persist in a subsample of firms with uniformly high-quality information technology. Ultimately, a difference-in-differences analysis, the incorporation of company fixed effects, and a falsification test predominantly corroborate our claim that the quality of financial reporting is markedly enhanced by the presence of an audit committee information technology expert.</w:t>
      </w:r>
    </w:p>
    <w:p w14:paraId="1704BA45" w14:textId="77777777" w:rsidR="000E780B" w:rsidRPr="007A71C9" w:rsidRDefault="000E780B" w:rsidP="00FA17B1">
      <w:pPr>
        <w:spacing w:after="0" w:line="240" w:lineRule="auto"/>
        <w:jc w:val="both"/>
      </w:pPr>
      <w:r w:rsidRPr="007A71C9">
        <w:lastRenderedPageBreak/>
        <w:fldChar w:fldCharType="begin"/>
      </w:r>
      <w:r w:rsidRPr="007A71C9">
        <w:instrText xml:space="preserve"> ADDIN EN.CITE &lt;EndNote&gt;&lt;Cite AuthorYear="1"&gt;&lt;Author&gt;Damerji&lt;/Author&gt;&lt;Year&gt;2021&lt;/Year&gt;&lt;RecNum&gt;12&lt;/RecNum&gt;&lt;DisplayText&gt;Damerji and Salimi (2021)&lt;/DisplayText&gt;&lt;record&gt;&lt;rec-number&gt;12&lt;/rec-number&gt;&lt;foreign-keys&gt;&lt;key app="EN" db-id="xdex2xzvevtpr3eafwuxr5xn5wefrawew2ar" timestamp="1740637901"&gt;12&lt;/key&gt;&lt;/foreign-keys&gt;&lt;ref-type name="Journal Article"&gt;17&lt;/ref-type&gt;&lt;contributors&gt;&lt;authors&gt;&lt;author&gt;Damerji, Hassan&lt;/author&gt;&lt;author&gt;Salimi, Anwar&lt;/author&gt;&lt;/authors&gt;&lt;/contributors&gt;&lt;titles&gt;&lt;title&gt;Mediating effect of use perceptions on technology readiness and adoption of artificial intelligence in accounting&lt;/title&gt;&lt;secondary-title&gt;Accounting Education&lt;/secondary-title&gt;&lt;/titles&gt;&lt;periodical&gt;&lt;full-title&gt;Accounting Education&lt;/full-title&gt;&lt;/periodical&gt;&lt;pages&gt;107-130&lt;/pages&gt;&lt;volume&gt;30&lt;/volume&gt;&lt;number&gt;2&lt;/number&gt;&lt;dates&gt;&lt;year&gt;2021&lt;/year&gt;&lt;/dates&gt;&lt;isbn&gt;0963-9284&lt;/isbn&gt;&lt;urls&gt;&lt;/urls&gt;&lt;/record&gt;&lt;/Cite&gt;&lt;/EndNote&gt;</w:instrText>
      </w:r>
      <w:r w:rsidRPr="007A71C9">
        <w:fldChar w:fldCharType="separate"/>
      </w:r>
      <w:r w:rsidRPr="007A71C9">
        <w:rPr>
          <w:noProof/>
        </w:rPr>
        <w:t>Damerji and Salimi (2021)</w:t>
      </w:r>
      <w:r w:rsidRPr="007A71C9">
        <w:fldChar w:fldCharType="end"/>
      </w:r>
      <w:r w:rsidRPr="007A71C9">
        <w:t xml:space="preserve"> examined whether perceived ease of use (PEOU) and perceived usefulness (PU) affect the relationship between accounting students’ level of technology readiness and their decision to adopt AI. The study involved an examination of individual students’ perceptions of technology readiness and technology adoption. An online questionnaire consisting of 31 items gathering demographic information and perceptions of technology readiness, technology adoption, PEOU, and PU was administered to student participants. The findings from the study indicated that technology readiness has a significant influence on technology adoption. However, mediation analysis using hierarchical regression showed that the relationship between technology readiness and technology adoption of Artificial Intelligence is affected by both PEOU and PU.</w:t>
      </w:r>
    </w:p>
    <w:p w14:paraId="272BA570" w14:textId="77777777" w:rsidR="000E780B" w:rsidRPr="007A71C9" w:rsidRDefault="000E780B" w:rsidP="00FA17B1">
      <w:pPr>
        <w:spacing w:line="240" w:lineRule="auto"/>
        <w:jc w:val="both"/>
      </w:pPr>
      <w:r w:rsidRPr="007A71C9">
        <w:t>Drawing from the theoretical and empirical review, we propose the following hypothesis:</w:t>
      </w:r>
    </w:p>
    <w:p w14:paraId="507673C2" w14:textId="7302A489" w:rsidR="000E780B" w:rsidRPr="007A71C9" w:rsidRDefault="000E780B" w:rsidP="00FA17B1">
      <w:pPr>
        <w:spacing w:line="240" w:lineRule="auto"/>
        <w:jc w:val="both"/>
        <w:rPr>
          <w:i/>
          <w:iCs/>
        </w:rPr>
      </w:pPr>
      <w:r w:rsidRPr="007A71C9">
        <w:rPr>
          <w:i/>
          <w:iCs/>
        </w:rPr>
        <w:t>H3. Technological discomfort has a significant effect on the detection and prevention of fraud</w:t>
      </w:r>
    </w:p>
    <w:p w14:paraId="670FD992" w14:textId="09AB2CF5" w:rsidR="000E780B" w:rsidRPr="007A71C9" w:rsidRDefault="000E780B" w:rsidP="00FA17B1">
      <w:pPr>
        <w:spacing w:after="0" w:line="240" w:lineRule="auto"/>
        <w:jc w:val="both"/>
      </w:pPr>
      <w:r w:rsidRPr="007A71C9">
        <w:rPr>
          <w:shd w:val="clear" w:color="auto" w:fill="F5F6F7"/>
        </w:rPr>
        <w:fldChar w:fldCharType="begin"/>
      </w:r>
      <w:r w:rsidRPr="007A71C9">
        <w:rPr>
          <w:shd w:val="clear" w:color="auto" w:fill="F5F6F7"/>
        </w:rPr>
        <w:instrText xml:space="preserve"> ADDIN EN.CITE &lt;EndNote&gt;&lt;Cite AuthorYear="1"&gt;&lt;Author&gt;Shuhidan&lt;/Author&gt;&lt;Year&gt;2023&lt;/Year&gt;&lt;RecNum&gt;13&lt;/RecNum&gt;&lt;DisplayText&gt;Shuhidan, Awang, Taib, Rashid, and Hasan (2023)&lt;/DisplayText&gt;&lt;record&gt;&lt;rec-number&gt;13&lt;/rec-number&gt;&lt;foreign-keys&gt;&lt;key app="EN" db-id="xdex2xzvevtpr3eafwuxr5xn5wefrawew2ar" timestamp="1740638734"&gt;13&lt;/key&gt;&lt;/foreign-keys&gt;&lt;ref-type name="Journal Article"&gt;17&lt;/ref-type&gt;&lt;contributors&gt;&lt;authors&gt;&lt;author&gt;Shuhidan, Shazalina Mohamed&lt;/author&gt;&lt;author&gt;Awang, Yunita&lt;/author&gt;&lt;author&gt;Taib, Azuraidah&lt;/author&gt;&lt;author&gt;Rashid, Norfadzilah&lt;/author&gt;&lt;author&gt;Hasan, Mohd Sidki&lt;/author&gt;&lt;/authors&gt;&lt;/contributors&gt;&lt;titles&gt;&lt;title&gt;Technology Readiness Among Future Accountants Towards Digitalization of Accounting Profession&lt;/title&gt;&lt;secondary-title&gt;Indonesian Journal of Sustainability Accounting and Management&lt;/secondary-title&gt;&lt;/titles&gt;&lt;periodical&gt;&lt;full-title&gt;Indonesian Journal of Sustainability Accounting and Management&lt;/full-title&gt;&lt;/periodical&gt;&lt;pages&gt;1–12-1–12&lt;/pages&gt;&lt;volume&gt;7&lt;/volume&gt;&lt;number&gt;S1&lt;/number&gt;&lt;dates&gt;&lt;year&gt;2023&lt;/year&gt;&lt;/dates&gt;&lt;isbn&gt;2597-6222&lt;/isbn&gt;&lt;urls&gt;&lt;/urls&gt;&lt;/record&gt;&lt;/Cite&gt;&lt;/EndNote&gt;</w:instrText>
      </w:r>
      <w:r w:rsidRPr="007A71C9">
        <w:rPr>
          <w:shd w:val="clear" w:color="auto" w:fill="F5F6F7"/>
        </w:rPr>
        <w:fldChar w:fldCharType="separate"/>
      </w:r>
      <w:r w:rsidRPr="007A71C9">
        <w:rPr>
          <w:noProof/>
          <w:shd w:val="clear" w:color="auto" w:fill="F5F6F7"/>
        </w:rPr>
        <w:t>Shuhidan</w:t>
      </w:r>
      <w:r w:rsidR="008E4186">
        <w:rPr>
          <w:noProof/>
          <w:shd w:val="clear" w:color="auto" w:fill="F5F6F7"/>
        </w:rPr>
        <w:t xml:space="preserve"> et al.,</w:t>
      </w:r>
      <w:r w:rsidRPr="007A71C9">
        <w:rPr>
          <w:noProof/>
          <w:shd w:val="clear" w:color="auto" w:fill="F5F6F7"/>
        </w:rPr>
        <w:t xml:space="preserve"> (2023)</w:t>
      </w:r>
      <w:r w:rsidRPr="007A71C9">
        <w:rPr>
          <w:shd w:val="clear" w:color="auto" w:fill="F5F6F7"/>
        </w:rPr>
        <w:fldChar w:fldCharType="end"/>
      </w:r>
      <w:r w:rsidRPr="007A71C9">
        <w:t xml:space="preserve"> investigated the link between optimism, innovativeness, discomfort, and insecurity about technology with technology readiness for the digitalization of the accounting profession among future accountants. This study employs a non-probability purposive sampling approach with future accountants as the research unit. Online surveys are used to gather data for this study, delivered to interns from the top six public universities in Malaysia for accounting and finance. The findings of this study </w:t>
      </w:r>
      <w:r w:rsidR="008E4186">
        <w:t>revealed</w:t>
      </w:r>
      <w:r w:rsidRPr="007A71C9">
        <w:t xml:space="preserve"> a moderate technology readiness level among the respondents. Despite respondents being optimistic about technology, they indicate feelings of discomfort towards technology</w:t>
      </w:r>
      <w:r w:rsidR="008E4186">
        <w:t>.</w:t>
      </w:r>
    </w:p>
    <w:p w14:paraId="661A9F29" w14:textId="73416993" w:rsidR="000E780B" w:rsidRPr="007A71C9" w:rsidRDefault="000E780B" w:rsidP="00FA17B1">
      <w:pPr>
        <w:spacing w:after="0" w:line="240" w:lineRule="auto"/>
        <w:jc w:val="both"/>
        <w:rPr>
          <w:shd w:val="clear" w:color="auto" w:fill="FFFFFF"/>
        </w:rPr>
      </w:pPr>
      <w:r w:rsidRPr="007A71C9">
        <w:rPr>
          <w:shd w:val="clear" w:color="auto" w:fill="FFFFFF"/>
        </w:rPr>
        <w:fldChar w:fldCharType="begin"/>
      </w:r>
      <w:r w:rsidRPr="007A71C9">
        <w:rPr>
          <w:shd w:val="clear" w:color="auto" w:fill="FFFFFF"/>
        </w:rPr>
        <w:instrText xml:space="preserve"> ADDIN EN.CITE &lt;EndNote&gt;&lt;Cite AuthorYear="1"&gt;&lt;Author&gt;Hassan&lt;/Author&gt;&lt;Year&gt;2025&lt;/Year&gt;&lt;RecNum&gt;14&lt;/RecNum&gt;&lt;DisplayText&gt;Hassan, Kiran, Gul, Khatatbeh, and Zainab (2025)&lt;/DisplayText&gt;&lt;record&gt;&lt;rec-number&gt;14&lt;/rec-number&gt;&lt;foreign-keys&gt;&lt;key app="EN" db-id="xdex2xzvevtpr3eafwuxr5xn5wefrawew2ar" timestamp="1740639099"&gt;14&lt;/key&gt;&lt;/foreign-keys&gt;&lt;ref-type name="Journal Article"&gt;17&lt;/ref-type&gt;&lt;contributors&gt;&lt;authors&gt;&lt;author&gt;Hassan, Syed Waleed Ul&lt;/author&gt;&lt;author&gt;Kiran, Samra&lt;/author&gt;&lt;author&gt;Gul, Samina&lt;/author&gt;&lt;author&gt;Khatatbeh, Ibrahim N&lt;/author&gt;&lt;author&gt;Zainab, Bibi&lt;/author&gt;&lt;/authors&gt;&lt;/contributors&gt;&lt;titles&gt;&lt;title&gt;The perception of accountants/auditors on the role of corporate governance and information technology in fraud detection and prevention&lt;/title&gt;&lt;secondary-title&gt;Journal of Financial Reporting and Accounting&lt;/secondary-title&gt;&lt;/titles&gt;&lt;periodical&gt;&lt;full-title&gt;Journal of Financial Reporting and Accounting&lt;/full-title&gt;&lt;/periodical&gt;&lt;pages&gt;5-29&lt;/pages&gt;&lt;volume&gt;23&lt;/volume&gt;&lt;number&gt;1&lt;/number&gt;&lt;dates&gt;&lt;year&gt;2025&lt;/year&gt;&lt;/dates&gt;&lt;isbn&gt;1985-2517&lt;/isbn&gt;&lt;urls&gt;&lt;/urls&gt;&lt;/record&gt;&lt;/Cite&gt;&lt;/EndNote&gt;</w:instrText>
      </w:r>
      <w:r w:rsidRPr="007A71C9">
        <w:rPr>
          <w:shd w:val="clear" w:color="auto" w:fill="FFFFFF"/>
        </w:rPr>
        <w:fldChar w:fldCharType="separate"/>
      </w:r>
      <w:r w:rsidRPr="007A71C9">
        <w:rPr>
          <w:noProof/>
          <w:shd w:val="clear" w:color="auto" w:fill="FFFFFF"/>
        </w:rPr>
        <w:t>Hassan</w:t>
      </w:r>
      <w:r w:rsidR="008E4186">
        <w:rPr>
          <w:noProof/>
          <w:shd w:val="clear" w:color="auto" w:fill="FFFFFF"/>
        </w:rPr>
        <w:t xml:space="preserve"> et al., </w:t>
      </w:r>
      <w:r w:rsidRPr="007A71C9">
        <w:rPr>
          <w:noProof/>
          <w:shd w:val="clear" w:color="auto" w:fill="FFFFFF"/>
        </w:rPr>
        <w:t>(2025)</w:t>
      </w:r>
      <w:r w:rsidRPr="007A71C9">
        <w:rPr>
          <w:shd w:val="clear" w:color="auto" w:fill="FFFFFF"/>
        </w:rPr>
        <w:fldChar w:fldCharType="end"/>
      </w:r>
      <w:r w:rsidRPr="007A71C9">
        <w:rPr>
          <w:shd w:val="clear" w:color="auto" w:fill="FFFFFF"/>
        </w:rPr>
        <w:t xml:space="preserve"> investigate</w:t>
      </w:r>
      <w:r w:rsidR="008E4186">
        <w:rPr>
          <w:shd w:val="clear" w:color="auto" w:fill="FFFFFF"/>
        </w:rPr>
        <w:t>d</w:t>
      </w:r>
      <w:r w:rsidRPr="007A71C9">
        <w:rPr>
          <w:shd w:val="clear" w:color="auto" w:fill="FFFFFF"/>
        </w:rPr>
        <w:t xml:space="preserve"> the perceptions of financial accountants and both internal and external auditors regarding the impact of corporate governance (CG) and information technology (IT) on the detection and prevention of fraud within organizations. Primary data were collected from 250 financial accountants, internal auditors and external auditors through questionnaires. The non-probability snowball sampling technique was used for data collection, with the sample </w:t>
      </w:r>
      <w:r w:rsidRPr="007A71C9">
        <w:rPr>
          <w:rStyle w:val="Emphasis"/>
          <w:shd w:val="clear" w:color="auto" w:fill="FFFFFF"/>
        </w:rPr>
        <w:t>t</w:t>
      </w:r>
      <w:r w:rsidRPr="007A71C9">
        <w:rPr>
          <w:shd w:val="clear" w:color="auto" w:fill="FFFFFF"/>
        </w:rPr>
        <w:t>-test, one-way ANOVA and paired sample </w:t>
      </w:r>
      <w:r w:rsidRPr="007A71C9">
        <w:rPr>
          <w:rStyle w:val="Emphasis"/>
          <w:shd w:val="clear" w:color="auto" w:fill="FFFFFF"/>
        </w:rPr>
        <w:t>t</w:t>
      </w:r>
      <w:r w:rsidRPr="007A71C9">
        <w:rPr>
          <w:shd w:val="clear" w:color="auto" w:fill="FFFFFF"/>
        </w:rPr>
        <w:t>-test applied for analysis. The results indicate that robust CG practices and IT techniques significantly aid in detecting and reducing fraudulent activities by minimizing opportunities, rationalizations, pressures and capabilities of potential employees to commit fraud. Internal controls also play a significant role in reducing instances of fraud. Notably, ethical officers and ethical training were not perceived as significantly effective in preventing and detecting fraud, leading to a perception that fraudulent practices are prevalent and increasing the risk of future fraudulent activities.</w:t>
      </w:r>
    </w:p>
    <w:p w14:paraId="2658E208" w14:textId="77777777" w:rsidR="000E780B" w:rsidRPr="007A71C9" w:rsidRDefault="000E780B" w:rsidP="00FA17B1">
      <w:pPr>
        <w:spacing w:after="0" w:line="240" w:lineRule="auto"/>
        <w:jc w:val="both"/>
        <w:rPr>
          <w:shd w:val="clear" w:color="auto" w:fill="FFFFFF"/>
        </w:rPr>
      </w:pPr>
    </w:p>
    <w:p w14:paraId="5C9D4783" w14:textId="3D8BA157" w:rsidR="000E780B" w:rsidRPr="00B626C2" w:rsidRDefault="000E780B" w:rsidP="00FA17B1">
      <w:pPr>
        <w:spacing w:after="0" w:line="240" w:lineRule="auto"/>
        <w:jc w:val="both"/>
        <w:rPr>
          <w:shd w:val="clear" w:color="auto" w:fill="FFFFFF"/>
        </w:rPr>
      </w:pPr>
      <w:r w:rsidRPr="007A71C9">
        <w:rPr>
          <w:shd w:val="clear" w:color="auto" w:fill="FFFFFF"/>
        </w:rPr>
        <w:fldChar w:fldCharType="begin"/>
      </w:r>
      <w:r w:rsidRPr="007A71C9">
        <w:rPr>
          <w:shd w:val="clear" w:color="auto" w:fill="FFFFFF"/>
        </w:rPr>
        <w:instrText xml:space="preserve"> ADDIN EN.CITE &lt;EndNote&gt;&lt;Cite AuthorYear="1"&gt;&lt;Author&gt;Almagrashi&lt;/Author&gt;&lt;Year&gt;2023&lt;/Year&gt;&lt;RecNum&gt;15&lt;/RecNum&gt;&lt;DisplayText&gt;Almagrashi, Mujalli, Khan, and Attia (2023)&lt;/DisplayText&gt;&lt;record&gt;&lt;rec-number&gt;15&lt;/rec-number&gt;&lt;foreign-keys&gt;&lt;key app="EN" db-id="xdex2xzvevtpr3eafwuxr5xn5wefrawew2ar" timestamp="1740639236"&gt;15&lt;/key&gt;&lt;/foreign-keys&gt;&lt;ref-type name="Journal Article"&gt;17&lt;/ref-type&gt;&lt;contributors&gt;&lt;authors&gt;&lt;author&gt;Almagrashi, Ahmad&lt;/author&gt;&lt;author&gt;Mujalli, Abdulwahab&lt;/author&gt;&lt;author&gt;Khan, Tehmina&lt;/author&gt;&lt;author&gt;Attia, Osama&lt;/author&gt;&lt;/authors&gt;&lt;/contributors&gt;&lt;titles&gt;&lt;title&gt;Factors determining internal auditors’ behavioral intention to use computer-assisted auditing techniques: an extension of the UTAUT model and an empirical study&lt;/title&gt;&lt;secondary-title&gt;Future Business Journal&lt;/secondary-title&gt;&lt;/titles&gt;&lt;periodical&gt;&lt;full-title&gt;Future Business Journal&lt;/full-title&gt;&lt;/periodical&gt;&lt;pages&gt;74&lt;/pages&gt;&lt;volume&gt;9&lt;/volume&gt;&lt;number&gt;1&lt;/number&gt;&lt;dates&gt;&lt;year&gt;2023&lt;/year&gt;&lt;/dates&gt;&lt;isbn&gt;2314-7210&lt;/isbn&gt;&lt;urls&gt;&lt;/urls&gt;&lt;/record&gt;&lt;/Cite&gt;&lt;/EndNote&gt;</w:instrText>
      </w:r>
      <w:r w:rsidRPr="007A71C9">
        <w:rPr>
          <w:shd w:val="clear" w:color="auto" w:fill="FFFFFF"/>
        </w:rPr>
        <w:fldChar w:fldCharType="separate"/>
      </w:r>
      <w:r w:rsidRPr="007A71C9">
        <w:rPr>
          <w:noProof/>
          <w:shd w:val="clear" w:color="auto" w:fill="FFFFFF"/>
        </w:rPr>
        <w:t>Almagrashi</w:t>
      </w:r>
      <w:r w:rsidR="008E4186">
        <w:rPr>
          <w:noProof/>
          <w:shd w:val="clear" w:color="auto" w:fill="FFFFFF"/>
        </w:rPr>
        <w:t xml:space="preserve"> et al., </w:t>
      </w:r>
      <w:r w:rsidRPr="007A71C9">
        <w:rPr>
          <w:noProof/>
          <w:shd w:val="clear" w:color="auto" w:fill="FFFFFF"/>
        </w:rPr>
        <w:t>(2023)</w:t>
      </w:r>
      <w:r w:rsidRPr="007A71C9">
        <w:rPr>
          <w:shd w:val="clear" w:color="auto" w:fill="FFFFFF"/>
        </w:rPr>
        <w:fldChar w:fldCharType="end"/>
      </w:r>
      <w:r w:rsidRPr="007A71C9">
        <w:rPr>
          <w:shd w:val="clear" w:color="auto" w:fill="FFFFFF"/>
        </w:rPr>
        <w:t xml:space="preserve"> aimed to develop and empirically test a model to predict the factors affecting internal auditors’ behavioral intentions regarding Computer-Assisted Audit Technologies (CAATs). </w:t>
      </w:r>
      <w:r w:rsidR="004F2D51" w:rsidRPr="004F2D51">
        <w:rPr>
          <w:shd w:val="clear" w:color="auto" w:fill="FFFFFF"/>
        </w:rPr>
        <w:t xml:space="preserve">This research examined the intention of internal auditors to utilize CAATs through the application of the extended unified theory of acceptance and use of technology (UTAUT) model. Additionally, contentment, trust, and organizational influence were incorporated to comprehend individuals' usage characteristics. Data were collected from internal auditors across all Saudi public sector institutions via an online poll. Structural equation modeling facilitated data analysis and validated or refuted theories. The primary determinants of CAATs include effort expectancy, performance expectancy, social and organizational influences, enabling conditions, trust, satisfaction, and behavioral intention. This study enhances previous technology theory by elucidating the elements that affect the adoption of CAATs. Furthermore, understanding these </w:t>
      </w:r>
      <w:r w:rsidR="004F2D51" w:rsidRPr="004F2D51">
        <w:rPr>
          <w:shd w:val="clear" w:color="auto" w:fill="FFFFFF"/>
        </w:rPr>
        <w:lastRenderedPageBreak/>
        <w:t>variables is crucial for lawmakers, regulators, and policymakers and the wider community.</w:t>
      </w:r>
      <w:r w:rsidR="004F2D51">
        <w:rPr>
          <w:shd w:val="clear" w:color="auto" w:fill="FFFFFF"/>
        </w:rPr>
        <w:t xml:space="preserve"> </w:t>
      </w:r>
      <w:r w:rsidRPr="007A71C9">
        <w:t>Drawing from the theoretical and empirical review, we propose the following hypothesis:</w:t>
      </w:r>
    </w:p>
    <w:p w14:paraId="18CD659A" w14:textId="12D4D1B3" w:rsidR="000E780B" w:rsidRPr="007A71C9" w:rsidRDefault="000E780B" w:rsidP="00FA17B1">
      <w:pPr>
        <w:spacing w:line="240" w:lineRule="auto"/>
        <w:jc w:val="both"/>
        <w:rPr>
          <w:i/>
          <w:iCs/>
        </w:rPr>
      </w:pPr>
      <w:r w:rsidRPr="007A71C9">
        <w:rPr>
          <w:i/>
          <w:iCs/>
        </w:rPr>
        <w:t>H4. Technological insecurity has a significant effect on the detection and prevention of fraud</w:t>
      </w:r>
    </w:p>
    <w:p w14:paraId="2DAA0C4B" w14:textId="726BBE95" w:rsidR="006F4540" w:rsidRPr="007A71C9" w:rsidRDefault="006F4540" w:rsidP="00FA17B1">
      <w:pPr>
        <w:pStyle w:val="ListParagraph"/>
        <w:numPr>
          <w:ilvl w:val="0"/>
          <w:numId w:val="1"/>
        </w:numPr>
        <w:ind w:left="360"/>
        <w:jc w:val="both"/>
        <w:rPr>
          <w:b/>
          <w:bCs/>
        </w:rPr>
      </w:pPr>
      <w:r w:rsidRPr="007A71C9">
        <w:rPr>
          <w:b/>
          <w:bCs/>
        </w:rPr>
        <w:t>Research methodology</w:t>
      </w:r>
    </w:p>
    <w:p w14:paraId="55781E44" w14:textId="5E8BA73B" w:rsidR="00892C05" w:rsidRPr="007A71C9" w:rsidRDefault="00B626C2" w:rsidP="00FA17B1">
      <w:pPr>
        <w:pStyle w:val="Heading2"/>
        <w:jc w:val="both"/>
      </w:pPr>
      <w:r>
        <w:t>4.1</w:t>
      </w:r>
      <w:r w:rsidR="00892C05" w:rsidRPr="007A71C9">
        <w:t xml:space="preserve"> Sample</w:t>
      </w:r>
    </w:p>
    <w:p w14:paraId="724F6544" w14:textId="07D7AC32" w:rsidR="00B729FC" w:rsidRPr="00B729FC" w:rsidRDefault="00B729FC" w:rsidP="00FA17B1">
      <w:pPr>
        <w:spacing w:line="240" w:lineRule="auto"/>
        <w:jc w:val="both"/>
      </w:pPr>
      <w:r w:rsidRPr="00B729FC">
        <w:t xml:space="preserve">The study targeted 17,284 staff members, comprising managers and supervisors from the 38 registered commercial banks in Kenya. According to the Central Bank of Kenya (CBK, 2020), there were 10,499 managers and 6,785 supervisors across the Kenyan banking sector as of 2020. </w:t>
      </w:r>
      <w:r w:rsidR="00854715">
        <w:t xml:space="preserve">The study applied the stratified random sampling to arrive at a sample of 400 respondents. </w:t>
      </w:r>
      <w:r w:rsidRPr="00B729FC">
        <w:t xml:space="preserve">The study focused on both managers and supervisors </w:t>
      </w:r>
      <w:r w:rsidR="00854715">
        <w:t xml:space="preserve">across five key banks departments </w:t>
      </w:r>
      <w:r w:rsidRPr="00B729FC">
        <w:t>since they play a critical role in strategic, operational, and decision-making processes within the banking industry.</w:t>
      </w:r>
      <w:r w:rsidR="00FA17B1">
        <w:t xml:space="preserve"> </w:t>
      </w:r>
      <w:r w:rsidR="00AB2D58">
        <w:t>The sample distribution is shown as table I.</w:t>
      </w:r>
    </w:p>
    <w:p w14:paraId="23FD2462" w14:textId="65D8971D" w:rsidR="00AB2D58" w:rsidRDefault="00AB2D58" w:rsidP="00FA17B1">
      <w:pPr>
        <w:pStyle w:val="Caption"/>
        <w:keepNext/>
        <w:jc w:val="both"/>
      </w:pPr>
      <w:r>
        <w:t xml:space="preserve">Table </w:t>
      </w:r>
      <w:r w:rsidR="00774D55">
        <w:fldChar w:fldCharType="begin"/>
      </w:r>
      <w:r w:rsidR="00774D55">
        <w:instrText xml:space="preserve"> SEQ Table \* ROMAN </w:instrText>
      </w:r>
      <w:r w:rsidR="00774D55">
        <w:fldChar w:fldCharType="separate"/>
      </w:r>
      <w:r>
        <w:rPr>
          <w:noProof/>
        </w:rPr>
        <w:t>I</w:t>
      </w:r>
      <w:r w:rsidR="00774D55">
        <w:rPr>
          <w:noProof/>
        </w:rPr>
        <w:fldChar w:fldCharType="end"/>
      </w:r>
      <w:r>
        <w:t>:</w:t>
      </w:r>
      <w:r w:rsidRPr="00AB2D58">
        <w:rPr>
          <w:b/>
          <w:bCs/>
        </w:rPr>
        <w:t xml:space="preserve"> </w:t>
      </w:r>
      <w:r w:rsidRPr="00B729FC">
        <w:rPr>
          <w:b/>
          <w:bCs/>
        </w:rPr>
        <w:t>Target Population Distribution</w:t>
      </w:r>
    </w:p>
    <w:tbl>
      <w:tblPr>
        <w:tblW w:w="8985" w:type="dxa"/>
        <w:tblCellSpacing w:w="15" w:type="dxa"/>
        <w:tblBorders>
          <w:top w:val="single" w:sz="18" w:space="0" w:color="auto"/>
          <w:bottom w:val="single" w:sz="18" w:space="0" w:color="auto"/>
        </w:tblBorders>
        <w:tblCellMar>
          <w:top w:w="15" w:type="dxa"/>
          <w:left w:w="15" w:type="dxa"/>
          <w:bottom w:w="15" w:type="dxa"/>
          <w:right w:w="15" w:type="dxa"/>
        </w:tblCellMar>
        <w:tblLook w:val="04A0" w:firstRow="1" w:lastRow="0" w:firstColumn="1" w:lastColumn="0" w:noHBand="0" w:noVBand="1"/>
      </w:tblPr>
      <w:tblGrid>
        <w:gridCol w:w="2443"/>
        <w:gridCol w:w="2588"/>
        <w:gridCol w:w="1728"/>
        <w:gridCol w:w="2226"/>
      </w:tblGrid>
      <w:tr w:rsidR="007A341B" w:rsidRPr="007A341B" w14:paraId="7A11BF73" w14:textId="77777777" w:rsidTr="007A341B">
        <w:trPr>
          <w:trHeight w:val="288"/>
          <w:tblHeader/>
          <w:tblCellSpacing w:w="15" w:type="dxa"/>
        </w:trPr>
        <w:tc>
          <w:tcPr>
            <w:tcW w:w="0" w:type="auto"/>
            <w:vAlign w:val="center"/>
            <w:hideMark/>
          </w:tcPr>
          <w:p w14:paraId="46838BB1" w14:textId="77777777" w:rsidR="007A341B" w:rsidRPr="007A341B" w:rsidRDefault="007A341B" w:rsidP="00FA17B1">
            <w:pPr>
              <w:spacing w:after="0" w:line="240" w:lineRule="auto"/>
              <w:jc w:val="both"/>
              <w:rPr>
                <w:rFonts w:eastAsia="Times New Roman"/>
                <w:b/>
                <w:bCs/>
              </w:rPr>
            </w:pPr>
            <w:bookmarkStart w:id="2" w:name="_Hlk211006445"/>
            <w:r w:rsidRPr="007A341B">
              <w:rPr>
                <w:rFonts w:eastAsia="Times New Roman"/>
                <w:b/>
                <w:bCs/>
              </w:rPr>
              <w:t>Department</w:t>
            </w:r>
          </w:p>
        </w:tc>
        <w:tc>
          <w:tcPr>
            <w:tcW w:w="0" w:type="auto"/>
            <w:vAlign w:val="center"/>
            <w:hideMark/>
          </w:tcPr>
          <w:p w14:paraId="3F92EDFA" w14:textId="77777777" w:rsidR="007A341B" w:rsidRPr="007A341B" w:rsidRDefault="007A341B" w:rsidP="00FA17B1">
            <w:pPr>
              <w:spacing w:after="0" w:line="240" w:lineRule="auto"/>
              <w:jc w:val="both"/>
              <w:rPr>
                <w:rFonts w:eastAsia="Times New Roman"/>
                <w:b/>
                <w:bCs/>
              </w:rPr>
            </w:pPr>
            <w:r w:rsidRPr="007A341B">
              <w:rPr>
                <w:rFonts w:eastAsia="Times New Roman"/>
                <w:b/>
                <w:bCs/>
              </w:rPr>
              <w:t>Target Population</w:t>
            </w:r>
          </w:p>
        </w:tc>
        <w:tc>
          <w:tcPr>
            <w:tcW w:w="0" w:type="auto"/>
            <w:vAlign w:val="center"/>
            <w:hideMark/>
          </w:tcPr>
          <w:p w14:paraId="02C06026" w14:textId="77777777" w:rsidR="007A341B" w:rsidRPr="007A341B" w:rsidRDefault="007A341B" w:rsidP="00FA17B1">
            <w:pPr>
              <w:spacing w:after="0" w:line="240" w:lineRule="auto"/>
              <w:jc w:val="both"/>
              <w:rPr>
                <w:rFonts w:eastAsia="Times New Roman"/>
                <w:b/>
                <w:bCs/>
              </w:rPr>
            </w:pPr>
            <w:r w:rsidRPr="007A341B">
              <w:rPr>
                <w:rFonts w:eastAsia="Times New Roman"/>
                <w:b/>
                <w:bCs/>
              </w:rPr>
              <w:t>Sample Size</w:t>
            </w:r>
          </w:p>
        </w:tc>
        <w:tc>
          <w:tcPr>
            <w:tcW w:w="0" w:type="auto"/>
            <w:vAlign w:val="center"/>
            <w:hideMark/>
          </w:tcPr>
          <w:p w14:paraId="29353A7E" w14:textId="77777777" w:rsidR="007A341B" w:rsidRPr="007A341B" w:rsidRDefault="007A341B" w:rsidP="00FA17B1">
            <w:pPr>
              <w:spacing w:after="0" w:line="240" w:lineRule="auto"/>
              <w:jc w:val="both"/>
              <w:rPr>
                <w:rFonts w:eastAsia="Times New Roman"/>
                <w:b/>
                <w:bCs/>
              </w:rPr>
            </w:pPr>
            <w:r w:rsidRPr="007A341B">
              <w:rPr>
                <w:rFonts w:eastAsia="Times New Roman"/>
                <w:b/>
                <w:bCs/>
              </w:rPr>
              <w:t>Percentage (%)</w:t>
            </w:r>
          </w:p>
        </w:tc>
      </w:tr>
      <w:tr w:rsidR="007A341B" w:rsidRPr="007A341B" w14:paraId="0FEF7C52" w14:textId="77777777" w:rsidTr="007A341B">
        <w:trPr>
          <w:trHeight w:val="298"/>
          <w:tblCellSpacing w:w="15" w:type="dxa"/>
        </w:trPr>
        <w:tc>
          <w:tcPr>
            <w:tcW w:w="0" w:type="auto"/>
            <w:tcBorders>
              <w:top w:val="single" w:sz="18" w:space="0" w:color="auto"/>
              <w:bottom w:val="nil"/>
            </w:tcBorders>
            <w:vAlign w:val="center"/>
            <w:hideMark/>
          </w:tcPr>
          <w:p w14:paraId="15EAA128" w14:textId="77777777" w:rsidR="007A341B" w:rsidRPr="007A341B" w:rsidRDefault="007A341B" w:rsidP="00FA17B1">
            <w:pPr>
              <w:spacing w:after="0" w:line="240" w:lineRule="auto"/>
              <w:jc w:val="both"/>
              <w:rPr>
                <w:rFonts w:eastAsia="Times New Roman"/>
              </w:rPr>
            </w:pPr>
            <w:r w:rsidRPr="007A341B">
              <w:rPr>
                <w:rFonts w:eastAsia="Times New Roman"/>
              </w:rPr>
              <w:t>Risk Management</w:t>
            </w:r>
          </w:p>
        </w:tc>
        <w:tc>
          <w:tcPr>
            <w:tcW w:w="0" w:type="auto"/>
            <w:tcBorders>
              <w:top w:val="single" w:sz="18" w:space="0" w:color="auto"/>
              <w:bottom w:val="nil"/>
            </w:tcBorders>
            <w:vAlign w:val="center"/>
            <w:hideMark/>
          </w:tcPr>
          <w:p w14:paraId="6535311A" w14:textId="77777777" w:rsidR="007A341B" w:rsidRPr="007A341B" w:rsidRDefault="007A341B" w:rsidP="00FA17B1">
            <w:pPr>
              <w:spacing w:after="0" w:line="240" w:lineRule="auto"/>
              <w:jc w:val="both"/>
              <w:rPr>
                <w:rFonts w:eastAsia="Times New Roman"/>
              </w:rPr>
            </w:pPr>
            <w:r w:rsidRPr="007A341B">
              <w:rPr>
                <w:rFonts w:eastAsia="Times New Roman"/>
              </w:rPr>
              <w:t>4,500</w:t>
            </w:r>
          </w:p>
        </w:tc>
        <w:tc>
          <w:tcPr>
            <w:tcW w:w="0" w:type="auto"/>
            <w:tcBorders>
              <w:top w:val="single" w:sz="18" w:space="0" w:color="auto"/>
              <w:bottom w:val="nil"/>
            </w:tcBorders>
            <w:vAlign w:val="center"/>
            <w:hideMark/>
          </w:tcPr>
          <w:p w14:paraId="44A9ADC7" w14:textId="77777777" w:rsidR="007A341B" w:rsidRPr="007A341B" w:rsidRDefault="007A341B" w:rsidP="00FA17B1">
            <w:pPr>
              <w:spacing w:after="0" w:line="240" w:lineRule="auto"/>
              <w:jc w:val="both"/>
              <w:rPr>
                <w:rFonts w:eastAsia="Times New Roman"/>
              </w:rPr>
            </w:pPr>
            <w:r w:rsidRPr="007A341B">
              <w:rPr>
                <w:rFonts w:eastAsia="Times New Roman"/>
              </w:rPr>
              <w:t>104</w:t>
            </w:r>
          </w:p>
        </w:tc>
        <w:tc>
          <w:tcPr>
            <w:tcW w:w="0" w:type="auto"/>
            <w:tcBorders>
              <w:top w:val="single" w:sz="18" w:space="0" w:color="auto"/>
              <w:bottom w:val="nil"/>
            </w:tcBorders>
            <w:vAlign w:val="center"/>
            <w:hideMark/>
          </w:tcPr>
          <w:p w14:paraId="3C7C8462" w14:textId="77777777" w:rsidR="007A341B" w:rsidRPr="007A341B" w:rsidRDefault="007A341B" w:rsidP="00FA17B1">
            <w:pPr>
              <w:spacing w:after="0" w:line="240" w:lineRule="auto"/>
              <w:jc w:val="both"/>
              <w:rPr>
                <w:rFonts w:eastAsia="Times New Roman"/>
              </w:rPr>
            </w:pPr>
            <w:r w:rsidRPr="007A341B">
              <w:rPr>
                <w:rFonts w:eastAsia="Times New Roman"/>
              </w:rPr>
              <w:t>26.0</w:t>
            </w:r>
          </w:p>
        </w:tc>
      </w:tr>
      <w:tr w:rsidR="007A341B" w:rsidRPr="007A341B" w14:paraId="1091DAAD" w14:textId="77777777" w:rsidTr="007A341B">
        <w:trPr>
          <w:trHeight w:val="288"/>
          <w:tblCellSpacing w:w="15" w:type="dxa"/>
        </w:trPr>
        <w:tc>
          <w:tcPr>
            <w:tcW w:w="0" w:type="auto"/>
            <w:tcBorders>
              <w:top w:val="nil"/>
              <w:bottom w:val="nil"/>
            </w:tcBorders>
            <w:vAlign w:val="center"/>
            <w:hideMark/>
          </w:tcPr>
          <w:p w14:paraId="71810BA9" w14:textId="77777777" w:rsidR="007A341B" w:rsidRPr="007A341B" w:rsidRDefault="007A341B" w:rsidP="00FA17B1">
            <w:pPr>
              <w:spacing w:after="0" w:line="240" w:lineRule="auto"/>
              <w:jc w:val="both"/>
              <w:rPr>
                <w:rFonts w:eastAsia="Times New Roman"/>
              </w:rPr>
            </w:pPr>
            <w:r w:rsidRPr="007A341B">
              <w:rPr>
                <w:rFonts w:eastAsia="Times New Roman"/>
              </w:rPr>
              <w:t>Internal Audit</w:t>
            </w:r>
          </w:p>
        </w:tc>
        <w:tc>
          <w:tcPr>
            <w:tcW w:w="0" w:type="auto"/>
            <w:tcBorders>
              <w:top w:val="nil"/>
              <w:bottom w:val="nil"/>
            </w:tcBorders>
            <w:vAlign w:val="center"/>
            <w:hideMark/>
          </w:tcPr>
          <w:p w14:paraId="7EA9433C" w14:textId="77777777" w:rsidR="007A341B" w:rsidRPr="007A341B" w:rsidRDefault="007A341B" w:rsidP="00FA17B1">
            <w:pPr>
              <w:spacing w:after="0" w:line="240" w:lineRule="auto"/>
              <w:jc w:val="both"/>
              <w:rPr>
                <w:rFonts w:eastAsia="Times New Roman"/>
              </w:rPr>
            </w:pPr>
            <w:r w:rsidRPr="007A341B">
              <w:rPr>
                <w:rFonts w:eastAsia="Times New Roman"/>
              </w:rPr>
              <w:t>3,200</w:t>
            </w:r>
          </w:p>
        </w:tc>
        <w:tc>
          <w:tcPr>
            <w:tcW w:w="0" w:type="auto"/>
            <w:tcBorders>
              <w:top w:val="nil"/>
              <w:bottom w:val="nil"/>
            </w:tcBorders>
            <w:vAlign w:val="center"/>
            <w:hideMark/>
          </w:tcPr>
          <w:p w14:paraId="3E8543EA" w14:textId="77777777" w:rsidR="007A341B" w:rsidRPr="007A341B" w:rsidRDefault="007A341B" w:rsidP="00FA17B1">
            <w:pPr>
              <w:spacing w:after="0" w:line="240" w:lineRule="auto"/>
              <w:jc w:val="both"/>
              <w:rPr>
                <w:rFonts w:eastAsia="Times New Roman"/>
              </w:rPr>
            </w:pPr>
            <w:r w:rsidRPr="007A341B">
              <w:rPr>
                <w:rFonts w:eastAsia="Times New Roman"/>
              </w:rPr>
              <w:t>74</w:t>
            </w:r>
          </w:p>
        </w:tc>
        <w:tc>
          <w:tcPr>
            <w:tcW w:w="0" w:type="auto"/>
            <w:tcBorders>
              <w:top w:val="nil"/>
              <w:bottom w:val="nil"/>
            </w:tcBorders>
            <w:vAlign w:val="center"/>
            <w:hideMark/>
          </w:tcPr>
          <w:p w14:paraId="198B503C" w14:textId="77777777" w:rsidR="007A341B" w:rsidRPr="007A341B" w:rsidRDefault="007A341B" w:rsidP="00FA17B1">
            <w:pPr>
              <w:spacing w:after="0" w:line="240" w:lineRule="auto"/>
              <w:jc w:val="both"/>
              <w:rPr>
                <w:rFonts w:eastAsia="Times New Roman"/>
              </w:rPr>
            </w:pPr>
            <w:r w:rsidRPr="007A341B">
              <w:rPr>
                <w:rFonts w:eastAsia="Times New Roman"/>
              </w:rPr>
              <w:t>18.5</w:t>
            </w:r>
          </w:p>
        </w:tc>
      </w:tr>
      <w:tr w:rsidR="007A341B" w:rsidRPr="007A341B" w14:paraId="4139E43E" w14:textId="77777777" w:rsidTr="007A341B">
        <w:trPr>
          <w:trHeight w:val="298"/>
          <w:tblCellSpacing w:w="15" w:type="dxa"/>
        </w:trPr>
        <w:tc>
          <w:tcPr>
            <w:tcW w:w="0" w:type="auto"/>
            <w:tcBorders>
              <w:top w:val="nil"/>
              <w:bottom w:val="nil"/>
            </w:tcBorders>
            <w:vAlign w:val="center"/>
            <w:hideMark/>
          </w:tcPr>
          <w:p w14:paraId="467EE043" w14:textId="77777777" w:rsidR="007A341B" w:rsidRPr="007A341B" w:rsidRDefault="007A341B" w:rsidP="00FA17B1">
            <w:pPr>
              <w:spacing w:after="0" w:line="240" w:lineRule="auto"/>
              <w:jc w:val="both"/>
              <w:rPr>
                <w:rFonts w:eastAsia="Times New Roman"/>
              </w:rPr>
            </w:pPr>
            <w:r w:rsidRPr="007A341B">
              <w:rPr>
                <w:rFonts w:eastAsia="Times New Roman"/>
              </w:rPr>
              <w:t>Operations</w:t>
            </w:r>
          </w:p>
        </w:tc>
        <w:tc>
          <w:tcPr>
            <w:tcW w:w="0" w:type="auto"/>
            <w:tcBorders>
              <w:top w:val="nil"/>
              <w:bottom w:val="nil"/>
            </w:tcBorders>
            <w:vAlign w:val="center"/>
            <w:hideMark/>
          </w:tcPr>
          <w:p w14:paraId="0C6E33C6" w14:textId="77777777" w:rsidR="007A341B" w:rsidRPr="007A341B" w:rsidRDefault="007A341B" w:rsidP="00FA17B1">
            <w:pPr>
              <w:spacing w:after="0" w:line="240" w:lineRule="auto"/>
              <w:jc w:val="both"/>
              <w:rPr>
                <w:rFonts w:eastAsia="Times New Roman"/>
              </w:rPr>
            </w:pPr>
            <w:r w:rsidRPr="007A341B">
              <w:rPr>
                <w:rFonts w:eastAsia="Times New Roman"/>
              </w:rPr>
              <w:t>5,800</w:t>
            </w:r>
          </w:p>
        </w:tc>
        <w:tc>
          <w:tcPr>
            <w:tcW w:w="0" w:type="auto"/>
            <w:tcBorders>
              <w:top w:val="nil"/>
              <w:bottom w:val="nil"/>
            </w:tcBorders>
            <w:vAlign w:val="center"/>
            <w:hideMark/>
          </w:tcPr>
          <w:p w14:paraId="7AC4E6B4" w14:textId="77777777" w:rsidR="007A341B" w:rsidRPr="007A341B" w:rsidRDefault="007A341B" w:rsidP="00FA17B1">
            <w:pPr>
              <w:spacing w:after="0" w:line="240" w:lineRule="auto"/>
              <w:jc w:val="both"/>
              <w:rPr>
                <w:rFonts w:eastAsia="Times New Roman"/>
              </w:rPr>
            </w:pPr>
            <w:r w:rsidRPr="007A341B">
              <w:rPr>
                <w:rFonts w:eastAsia="Times New Roman"/>
              </w:rPr>
              <w:t>134</w:t>
            </w:r>
          </w:p>
        </w:tc>
        <w:tc>
          <w:tcPr>
            <w:tcW w:w="0" w:type="auto"/>
            <w:tcBorders>
              <w:top w:val="nil"/>
              <w:bottom w:val="nil"/>
            </w:tcBorders>
            <w:vAlign w:val="center"/>
            <w:hideMark/>
          </w:tcPr>
          <w:p w14:paraId="6ED374EF" w14:textId="77777777" w:rsidR="007A341B" w:rsidRPr="007A341B" w:rsidRDefault="007A341B" w:rsidP="00FA17B1">
            <w:pPr>
              <w:spacing w:after="0" w:line="240" w:lineRule="auto"/>
              <w:jc w:val="both"/>
              <w:rPr>
                <w:rFonts w:eastAsia="Times New Roman"/>
              </w:rPr>
            </w:pPr>
            <w:r w:rsidRPr="007A341B">
              <w:rPr>
                <w:rFonts w:eastAsia="Times New Roman"/>
              </w:rPr>
              <w:t>33.6</w:t>
            </w:r>
          </w:p>
        </w:tc>
      </w:tr>
      <w:tr w:rsidR="007A341B" w:rsidRPr="007A341B" w14:paraId="4EDD3CD0" w14:textId="77777777" w:rsidTr="007A341B">
        <w:trPr>
          <w:trHeight w:val="288"/>
          <w:tblCellSpacing w:w="15" w:type="dxa"/>
        </w:trPr>
        <w:tc>
          <w:tcPr>
            <w:tcW w:w="0" w:type="auto"/>
            <w:tcBorders>
              <w:top w:val="nil"/>
              <w:bottom w:val="nil"/>
            </w:tcBorders>
            <w:vAlign w:val="center"/>
            <w:hideMark/>
          </w:tcPr>
          <w:p w14:paraId="64F5FC42" w14:textId="77777777" w:rsidR="007A341B" w:rsidRPr="007A341B" w:rsidRDefault="007A341B" w:rsidP="00FA17B1">
            <w:pPr>
              <w:spacing w:after="0" w:line="240" w:lineRule="auto"/>
              <w:jc w:val="both"/>
              <w:rPr>
                <w:rFonts w:eastAsia="Times New Roman"/>
              </w:rPr>
            </w:pPr>
            <w:r w:rsidRPr="007A341B">
              <w:rPr>
                <w:rFonts w:eastAsia="Times New Roman"/>
              </w:rPr>
              <w:t>IT/Technology</w:t>
            </w:r>
          </w:p>
        </w:tc>
        <w:tc>
          <w:tcPr>
            <w:tcW w:w="0" w:type="auto"/>
            <w:tcBorders>
              <w:top w:val="nil"/>
              <w:bottom w:val="nil"/>
            </w:tcBorders>
            <w:vAlign w:val="center"/>
            <w:hideMark/>
          </w:tcPr>
          <w:p w14:paraId="4BDB52BB" w14:textId="77777777" w:rsidR="007A341B" w:rsidRPr="007A341B" w:rsidRDefault="007A341B" w:rsidP="00FA17B1">
            <w:pPr>
              <w:spacing w:after="0" w:line="240" w:lineRule="auto"/>
              <w:jc w:val="both"/>
              <w:rPr>
                <w:rFonts w:eastAsia="Times New Roman"/>
              </w:rPr>
            </w:pPr>
            <w:r w:rsidRPr="007A341B">
              <w:rPr>
                <w:rFonts w:eastAsia="Times New Roman"/>
              </w:rPr>
              <w:t>2,100</w:t>
            </w:r>
          </w:p>
        </w:tc>
        <w:tc>
          <w:tcPr>
            <w:tcW w:w="0" w:type="auto"/>
            <w:tcBorders>
              <w:top w:val="nil"/>
              <w:bottom w:val="nil"/>
            </w:tcBorders>
            <w:vAlign w:val="center"/>
            <w:hideMark/>
          </w:tcPr>
          <w:p w14:paraId="3801B935" w14:textId="77777777" w:rsidR="007A341B" w:rsidRPr="007A341B" w:rsidRDefault="007A341B" w:rsidP="00FA17B1">
            <w:pPr>
              <w:spacing w:after="0" w:line="240" w:lineRule="auto"/>
              <w:jc w:val="both"/>
              <w:rPr>
                <w:rFonts w:eastAsia="Times New Roman"/>
              </w:rPr>
            </w:pPr>
            <w:r w:rsidRPr="007A341B">
              <w:rPr>
                <w:rFonts w:eastAsia="Times New Roman"/>
              </w:rPr>
              <w:t>49</w:t>
            </w:r>
          </w:p>
        </w:tc>
        <w:tc>
          <w:tcPr>
            <w:tcW w:w="0" w:type="auto"/>
            <w:tcBorders>
              <w:top w:val="nil"/>
              <w:bottom w:val="nil"/>
            </w:tcBorders>
            <w:vAlign w:val="center"/>
            <w:hideMark/>
          </w:tcPr>
          <w:p w14:paraId="352B07F6" w14:textId="77777777" w:rsidR="007A341B" w:rsidRPr="007A341B" w:rsidRDefault="007A341B" w:rsidP="00FA17B1">
            <w:pPr>
              <w:spacing w:after="0" w:line="240" w:lineRule="auto"/>
              <w:jc w:val="both"/>
              <w:rPr>
                <w:rFonts w:eastAsia="Times New Roman"/>
              </w:rPr>
            </w:pPr>
            <w:r w:rsidRPr="007A341B">
              <w:rPr>
                <w:rFonts w:eastAsia="Times New Roman"/>
              </w:rPr>
              <w:t>12.2</w:t>
            </w:r>
          </w:p>
        </w:tc>
      </w:tr>
      <w:tr w:rsidR="007A341B" w:rsidRPr="007A341B" w14:paraId="75145ACE" w14:textId="77777777" w:rsidTr="007A341B">
        <w:trPr>
          <w:trHeight w:val="298"/>
          <w:tblCellSpacing w:w="15" w:type="dxa"/>
        </w:trPr>
        <w:tc>
          <w:tcPr>
            <w:tcW w:w="0" w:type="auto"/>
            <w:tcBorders>
              <w:top w:val="nil"/>
              <w:bottom w:val="single" w:sz="18" w:space="0" w:color="auto"/>
            </w:tcBorders>
            <w:vAlign w:val="center"/>
            <w:hideMark/>
          </w:tcPr>
          <w:p w14:paraId="1872C63D" w14:textId="77777777" w:rsidR="007A341B" w:rsidRPr="007A341B" w:rsidRDefault="007A341B" w:rsidP="00FA17B1">
            <w:pPr>
              <w:spacing w:after="0" w:line="240" w:lineRule="auto"/>
              <w:jc w:val="both"/>
              <w:rPr>
                <w:rFonts w:eastAsia="Times New Roman"/>
              </w:rPr>
            </w:pPr>
            <w:r w:rsidRPr="007A341B">
              <w:rPr>
                <w:rFonts w:eastAsia="Times New Roman"/>
              </w:rPr>
              <w:t>Compliance</w:t>
            </w:r>
          </w:p>
        </w:tc>
        <w:tc>
          <w:tcPr>
            <w:tcW w:w="0" w:type="auto"/>
            <w:tcBorders>
              <w:top w:val="nil"/>
              <w:bottom w:val="single" w:sz="18" w:space="0" w:color="auto"/>
            </w:tcBorders>
            <w:vAlign w:val="center"/>
            <w:hideMark/>
          </w:tcPr>
          <w:p w14:paraId="062BE15D" w14:textId="77777777" w:rsidR="007A341B" w:rsidRPr="007A341B" w:rsidRDefault="007A341B" w:rsidP="00FA17B1">
            <w:pPr>
              <w:spacing w:after="0" w:line="240" w:lineRule="auto"/>
              <w:jc w:val="both"/>
              <w:rPr>
                <w:rFonts w:eastAsia="Times New Roman"/>
              </w:rPr>
            </w:pPr>
            <w:r w:rsidRPr="007A341B">
              <w:rPr>
                <w:rFonts w:eastAsia="Times New Roman"/>
              </w:rPr>
              <w:t>1,684</w:t>
            </w:r>
          </w:p>
        </w:tc>
        <w:tc>
          <w:tcPr>
            <w:tcW w:w="0" w:type="auto"/>
            <w:tcBorders>
              <w:top w:val="nil"/>
              <w:bottom w:val="single" w:sz="18" w:space="0" w:color="auto"/>
            </w:tcBorders>
            <w:vAlign w:val="center"/>
            <w:hideMark/>
          </w:tcPr>
          <w:p w14:paraId="5C716009" w14:textId="77777777" w:rsidR="007A341B" w:rsidRPr="007A341B" w:rsidRDefault="007A341B" w:rsidP="00FA17B1">
            <w:pPr>
              <w:spacing w:after="0" w:line="240" w:lineRule="auto"/>
              <w:jc w:val="both"/>
              <w:rPr>
                <w:rFonts w:eastAsia="Times New Roman"/>
              </w:rPr>
            </w:pPr>
            <w:r w:rsidRPr="007A341B">
              <w:rPr>
                <w:rFonts w:eastAsia="Times New Roman"/>
              </w:rPr>
              <w:t>39</w:t>
            </w:r>
          </w:p>
        </w:tc>
        <w:tc>
          <w:tcPr>
            <w:tcW w:w="0" w:type="auto"/>
            <w:tcBorders>
              <w:top w:val="nil"/>
              <w:bottom w:val="single" w:sz="18" w:space="0" w:color="auto"/>
            </w:tcBorders>
            <w:vAlign w:val="center"/>
            <w:hideMark/>
          </w:tcPr>
          <w:p w14:paraId="047E1C67" w14:textId="77777777" w:rsidR="007A341B" w:rsidRPr="007A341B" w:rsidRDefault="007A341B" w:rsidP="00FA17B1">
            <w:pPr>
              <w:spacing w:after="0" w:line="240" w:lineRule="auto"/>
              <w:jc w:val="both"/>
              <w:rPr>
                <w:rFonts w:eastAsia="Times New Roman"/>
              </w:rPr>
            </w:pPr>
            <w:r w:rsidRPr="007A341B">
              <w:rPr>
                <w:rFonts w:eastAsia="Times New Roman"/>
              </w:rPr>
              <w:t>9.7</w:t>
            </w:r>
          </w:p>
        </w:tc>
      </w:tr>
      <w:tr w:rsidR="007A341B" w:rsidRPr="00B148AD" w14:paraId="6A8F0955" w14:textId="77777777" w:rsidTr="007A341B">
        <w:trPr>
          <w:trHeight w:val="288"/>
          <w:tblCellSpacing w:w="15" w:type="dxa"/>
        </w:trPr>
        <w:tc>
          <w:tcPr>
            <w:tcW w:w="0" w:type="auto"/>
            <w:vAlign w:val="center"/>
            <w:hideMark/>
          </w:tcPr>
          <w:p w14:paraId="28EC844D" w14:textId="77777777" w:rsidR="007A341B" w:rsidRPr="007A341B" w:rsidRDefault="007A341B" w:rsidP="00FA17B1">
            <w:pPr>
              <w:spacing w:after="0" w:line="240" w:lineRule="auto"/>
              <w:jc w:val="both"/>
              <w:rPr>
                <w:rFonts w:eastAsia="Times New Roman"/>
              </w:rPr>
            </w:pPr>
            <w:r w:rsidRPr="007A341B">
              <w:rPr>
                <w:rFonts w:eastAsia="Times New Roman"/>
                <w:b/>
                <w:bCs/>
              </w:rPr>
              <w:t>Total</w:t>
            </w:r>
          </w:p>
        </w:tc>
        <w:tc>
          <w:tcPr>
            <w:tcW w:w="0" w:type="auto"/>
            <w:vAlign w:val="center"/>
            <w:hideMark/>
          </w:tcPr>
          <w:p w14:paraId="149C545E" w14:textId="77777777" w:rsidR="007A341B" w:rsidRPr="007A341B" w:rsidRDefault="007A341B" w:rsidP="00FA17B1">
            <w:pPr>
              <w:spacing w:after="0" w:line="240" w:lineRule="auto"/>
              <w:jc w:val="both"/>
              <w:rPr>
                <w:rFonts w:eastAsia="Times New Roman"/>
              </w:rPr>
            </w:pPr>
            <w:r w:rsidRPr="007A341B">
              <w:rPr>
                <w:rFonts w:eastAsia="Times New Roman"/>
                <w:b/>
                <w:bCs/>
              </w:rPr>
              <w:t>17,284</w:t>
            </w:r>
          </w:p>
        </w:tc>
        <w:tc>
          <w:tcPr>
            <w:tcW w:w="0" w:type="auto"/>
            <w:vAlign w:val="center"/>
            <w:hideMark/>
          </w:tcPr>
          <w:p w14:paraId="4C5D5E2F" w14:textId="77777777" w:rsidR="007A341B" w:rsidRPr="007A341B" w:rsidRDefault="007A341B" w:rsidP="00FA17B1">
            <w:pPr>
              <w:spacing w:after="0" w:line="240" w:lineRule="auto"/>
              <w:jc w:val="both"/>
              <w:rPr>
                <w:rFonts w:eastAsia="Times New Roman"/>
              </w:rPr>
            </w:pPr>
            <w:r w:rsidRPr="007A341B">
              <w:rPr>
                <w:rFonts w:eastAsia="Times New Roman"/>
                <w:b/>
                <w:bCs/>
              </w:rPr>
              <w:t>400</w:t>
            </w:r>
          </w:p>
        </w:tc>
        <w:tc>
          <w:tcPr>
            <w:tcW w:w="0" w:type="auto"/>
            <w:vAlign w:val="center"/>
            <w:hideMark/>
          </w:tcPr>
          <w:p w14:paraId="34F30838" w14:textId="77777777" w:rsidR="007A341B" w:rsidRPr="007A341B" w:rsidRDefault="007A341B" w:rsidP="00FA17B1">
            <w:pPr>
              <w:spacing w:after="0" w:line="240" w:lineRule="auto"/>
              <w:jc w:val="both"/>
              <w:rPr>
                <w:rFonts w:eastAsia="Times New Roman"/>
              </w:rPr>
            </w:pPr>
            <w:r w:rsidRPr="007A341B">
              <w:rPr>
                <w:rFonts w:eastAsia="Times New Roman"/>
                <w:b/>
                <w:bCs/>
              </w:rPr>
              <w:t>100.0</w:t>
            </w:r>
          </w:p>
        </w:tc>
      </w:tr>
    </w:tbl>
    <w:bookmarkEnd w:id="2"/>
    <w:p w14:paraId="64F78B78" w14:textId="77777777" w:rsidR="00B729FC" w:rsidRPr="00B729FC" w:rsidRDefault="00B729FC" w:rsidP="00FA17B1">
      <w:pPr>
        <w:spacing w:line="240" w:lineRule="auto"/>
        <w:jc w:val="both"/>
        <w:rPr>
          <w:b/>
          <w:bCs/>
        </w:rPr>
      </w:pPr>
      <w:r w:rsidRPr="00B729FC">
        <w:rPr>
          <w:b/>
          <w:bCs/>
        </w:rPr>
        <w:t>Source: CBK (2020)</w:t>
      </w:r>
    </w:p>
    <w:p w14:paraId="1F8CEBE7" w14:textId="1F4D89E3" w:rsidR="006F4540" w:rsidRDefault="00B626C2" w:rsidP="00FA17B1">
      <w:pPr>
        <w:jc w:val="both"/>
        <w:rPr>
          <w:b/>
          <w:bCs/>
        </w:rPr>
      </w:pPr>
      <w:r>
        <w:rPr>
          <w:b/>
          <w:bCs/>
        </w:rPr>
        <w:t>4</w:t>
      </w:r>
      <w:r w:rsidR="00B729FC" w:rsidRPr="00B729FC">
        <w:rPr>
          <w:b/>
          <w:bCs/>
        </w:rPr>
        <w:t>.2 Measurement of variables</w:t>
      </w:r>
    </w:p>
    <w:p w14:paraId="10AC17FC" w14:textId="3D9129FA" w:rsidR="00B729FC" w:rsidRPr="00B729FC" w:rsidRDefault="00B626C2" w:rsidP="00FA17B1">
      <w:pPr>
        <w:spacing w:before="100" w:beforeAutospacing="1" w:after="100" w:afterAutospacing="1" w:line="240" w:lineRule="auto"/>
        <w:jc w:val="both"/>
      </w:pPr>
      <w:r>
        <w:t xml:space="preserve">The study used primary data that was collected using structured questionnaires. </w:t>
      </w:r>
      <w:r w:rsidR="00B729FC">
        <w:t>A</w:t>
      </w:r>
      <w:r w:rsidR="00B729FC" w:rsidRPr="00B729FC">
        <w:t xml:space="preserve"> five-point </w:t>
      </w:r>
      <w:r w:rsidR="00B729FC">
        <w:t xml:space="preserve">Likert </w:t>
      </w:r>
      <w:r w:rsidR="00B729FC" w:rsidRPr="00B729FC">
        <w:t xml:space="preserve">scale </w:t>
      </w:r>
      <w:r w:rsidR="00B729FC">
        <w:t xml:space="preserve">was </w:t>
      </w:r>
      <w:r>
        <w:t xml:space="preserve">used </w:t>
      </w:r>
      <w:r w:rsidR="00B729FC">
        <w:t xml:space="preserve">to </w:t>
      </w:r>
      <w:r w:rsidR="00B729FC" w:rsidRPr="00B729FC">
        <w:t xml:space="preserve">measure </w:t>
      </w:r>
      <w:r>
        <w:t xml:space="preserve">the </w:t>
      </w:r>
      <w:r w:rsidR="00B729FC">
        <w:t>variables</w:t>
      </w:r>
      <w:r>
        <w:t xml:space="preserve">. The Likert scale ranged from strongly disagree (1), disagree (2), undecided (3), agree (4) and strongly agree (5). The items used for each of the variable and the source is </w:t>
      </w:r>
      <w:r w:rsidR="00B729FC">
        <w:t>as show</w:t>
      </w:r>
      <w:r>
        <w:t>n</w:t>
      </w:r>
      <w:r w:rsidR="00B729FC">
        <w:t xml:space="preserve"> in table </w:t>
      </w:r>
      <w:r w:rsidR="00AB2D58">
        <w:t>II</w:t>
      </w:r>
      <w:r w:rsidR="00B729FC">
        <w:t xml:space="preserve"> below:</w:t>
      </w:r>
      <w:r w:rsidR="00B729FC" w:rsidRPr="00B729FC">
        <w:t xml:space="preserve"> </w:t>
      </w:r>
    </w:p>
    <w:p w14:paraId="5BE43F8B" w14:textId="5AD2D37D" w:rsidR="00B729FC" w:rsidRPr="00B729FC" w:rsidRDefault="00B729FC" w:rsidP="00FA17B1">
      <w:pPr>
        <w:pStyle w:val="Caption"/>
        <w:keepNext/>
        <w:jc w:val="both"/>
        <w:rPr>
          <w:b/>
          <w:bCs/>
          <w:i w:val="0"/>
          <w:iCs w:val="0"/>
          <w:color w:val="000000" w:themeColor="text1"/>
          <w:sz w:val="24"/>
          <w:szCs w:val="24"/>
        </w:rPr>
      </w:pPr>
      <w:r w:rsidRPr="00B729FC">
        <w:rPr>
          <w:b/>
          <w:bCs/>
          <w:i w:val="0"/>
          <w:iCs w:val="0"/>
          <w:color w:val="000000" w:themeColor="text1"/>
          <w:sz w:val="24"/>
          <w:szCs w:val="24"/>
        </w:rPr>
        <w:t>Table</w:t>
      </w:r>
      <w:r>
        <w:rPr>
          <w:b/>
          <w:bCs/>
          <w:i w:val="0"/>
          <w:iCs w:val="0"/>
          <w:color w:val="000000" w:themeColor="text1"/>
          <w:sz w:val="24"/>
          <w:szCs w:val="24"/>
        </w:rPr>
        <w:t xml:space="preserve"> </w:t>
      </w:r>
      <w:r w:rsidR="00AB2D58">
        <w:rPr>
          <w:b/>
          <w:bCs/>
          <w:i w:val="0"/>
          <w:iCs w:val="0"/>
          <w:color w:val="000000" w:themeColor="text1"/>
          <w:sz w:val="24"/>
          <w:szCs w:val="24"/>
        </w:rPr>
        <w:t>II:</w:t>
      </w:r>
      <w:r w:rsidRPr="00B729FC">
        <w:rPr>
          <w:b/>
          <w:bCs/>
          <w:i w:val="0"/>
          <w:iCs w:val="0"/>
          <w:color w:val="000000" w:themeColor="text1"/>
          <w:sz w:val="24"/>
          <w:szCs w:val="24"/>
        </w:rPr>
        <w:t xml:space="preserve"> Measurement of variables</w:t>
      </w:r>
    </w:p>
    <w:tbl>
      <w:tblPr>
        <w:tblStyle w:val="TableGrid"/>
        <w:tblW w:w="0" w:type="auto"/>
        <w:tblInd w:w="61" w:type="dxa"/>
        <w:tblLook w:val="04A0" w:firstRow="1" w:lastRow="0" w:firstColumn="1" w:lastColumn="0" w:noHBand="0" w:noVBand="1"/>
      </w:tblPr>
      <w:tblGrid>
        <w:gridCol w:w="1416"/>
        <w:gridCol w:w="2020"/>
        <w:gridCol w:w="2858"/>
        <w:gridCol w:w="1003"/>
        <w:gridCol w:w="1992"/>
      </w:tblGrid>
      <w:tr w:rsidR="00B729FC" w:rsidRPr="00B729FC" w14:paraId="6BAC529A" w14:textId="77777777" w:rsidTr="000F6CEA">
        <w:tc>
          <w:tcPr>
            <w:tcW w:w="1416" w:type="dxa"/>
          </w:tcPr>
          <w:p w14:paraId="72218674" w14:textId="77777777" w:rsidR="00B729FC" w:rsidRPr="00B729FC" w:rsidRDefault="00B729FC" w:rsidP="00FA17B1">
            <w:pPr>
              <w:pStyle w:val="NoSpacing"/>
              <w:rPr>
                <w:sz w:val="24"/>
                <w:szCs w:val="24"/>
              </w:rPr>
            </w:pPr>
            <w:r w:rsidRPr="00B729FC">
              <w:rPr>
                <w:sz w:val="24"/>
                <w:szCs w:val="24"/>
              </w:rPr>
              <w:t>Types of the variable</w:t>
            </w:r>
          </w:p>
        </w:tc>
        <w:tc>
          <w:tcPr>
            <w:tcW w:w="0" w:type="auto"/>
          </w:tcPr>
          <w:p w14:paraId="0B300FE6" w14:textId="77777777" w:rsidR="00B729FC" w:rsidRPr="00B729FC" w:rsidRDefault="00B729FC" w:rsidP="00FA17B1">
            <w:pPr>
              <w:pStyle w:val="NoSpacing"/>
              <w:rPr>
                <w:sz w:val="24"/>
                <w:szCs w:val="24"/>
              </w:rPr>
            </w:pPr>
            <w:r w:rsidRPr="00B729FC">
              <w:rPr>
                <w:sz w:val="24"/>
                <w:szCs w:val="24"/>
              </w:rPr>
              <w:t>Variable</w:t>
            </w:r>
          </w:p>
        </w:tc>
        <w:tc>
          <w:tcPr>
            <w:tcW w:w="0" w:type="auto"/>
          </w:tcPr>
          <w:p w14:paraId="4DDE927E" w14:textId="77777777" w:rsidR="00B729FC" w:rsidRPr="00B729FC" w:rsidRDefault="00B729FC" w:rsidP="00FA17B1">
            <w:pPr>
              <w:pStyle w:val="NoSpacing"/>
              <w:rPr>
                <w:sz w:val="24"/>
                <w:szCs w:val="24"/>
              </w:rPr>
            </w:pPr>
            <w:r w:rsidRPr="00B729FC">
              <w:rPr>
                <w:sz w:val="24"/>
                <w:szCs w:val="24"/>
              </w:rPr>
              <w:t>Dimensions/indicators / constructs</w:t>
            </w:r>
          </w:p>
        </w:tc>
        <w:tc>
          <w:tcPr>
            <w:tcW w:w="0" w:type="auto"/>
          </w:tcPr>
          <w:p w14:paraId="6EA6BE7E" w14:textId="77777777" w:rsidR="00B729FC" w:rsidRPr="00B729FC" w:rsidRDefault="00B729FC" w:rsidP="00FA17B1">
            <w:pPr>
              <w:pStyle w:val="NoSpacing"/>
              <w:rPr>
                <w:sz w:val="24"/>
                <w:szCs w:val="24"/>
              </w:rPr>
            </w:pPr>
            <w:r w:rsidRPr="00B729FC">
              <w:rPr>
                <w:sz w:val="24"/>
                <w:szCs w:val="24"/>
              </w:rPr>
              <w:t>Number</w:t>
            </w:r>
          </w:p>
        </w:tc>
        <w:tc>
          <w:tcPr>
            <w:tcW w:w="0" w:type="auto"/>
          </w:tcPr>
          <w:p w14:paraId="0DE6D5FF" w14:textId="77777777" w:rsidR="00B729FC" w:rsidRPr="00B729FC" w:rsidRDefault="00B729FC" w:rsidP="00FA17B1">
            <w:pPr>
              <w:pStyle w:val="NoSpacing"/>
              <w:rPr>
                <w:sz w:val="24"/>
                <w:szCs w:val="24"/>
              </w:rPr>
            </w:pPr>
            <w:r w:rsidRPr="00B729FC">
              <w:rPr>
                <w:sz w:val="24"/>
                <w:szCs w:val="24"/>
              </w:rPr>
              <w:t>Source</w:t>
            </w:r>
          </w:p>
        </w:tc>
      </w:tr>
      <w:tr w:rsidR="00B729FC" w:rsidRPr="00B729FC" w14:paraId="5F906C84" w14:textId="77777777" w:rsidTr="000F6CEA">
        <w:tc>
          <w:tcPr>
            <w:tcW w:w="1416" w:type="dxa"/>
          </w:tcPr>
          <w:p w14:paraId="4CE9DC46" w14:textId="77777777" w:rsidR="00B729FC" w:rsidRPr="00B729FC" w:rsidRDefault="00B729FC" w:rsidP="00FA17B1">
            <w:pPr>
              <w:pStyle w:val="NoSpacing"/>
              <w:rPr>
                <w:sz w:val="24"/>
                <w:szCs w:val="24"/>
              </w:rPr>
            </w:pPr>
            <w:r w:rsidRPr="00B729FC">
              <w:rPr>
                <w:sz w:val="24"/>
                <w:szCs w:val="24"/>
              </w:rPr>
              <w:t>Dependent variable.</w:t>
            </w:r>
          </w:p>
        </w:tc>
        <w:tc>
          <w:tcPr>
            <w:tcW w:w="0" w:type="auto"/>
          </w:tcPr>
          <w:p w14:paraId="42B44CDC" w14:textId="77777777" w:rsidR="00B729FC" w:rsidRPr="00B729FC" w:rsidRDefault="00B729FC" w:rsidP="00FA17B1">
            <w:pPr>
              <w:pStyle w:val="NoSpacing"/>
              <w:rPr>
                <w:sz w:val="24"/>
                <w:szCs w:val="24"/>
              </w:rPr>
            </w:pPr>
            <w:r w:rsidRPr="00B729FC">
              <w:rPr>
                <w:sz w:val="24"/>
                <w:szCs w:val="24"/>
              </w:rPr>
              <w:t>Fraud detection and prevention</w:t>
            </w:r>
          </w:p>
          <w:p w14:paraId="19F56F30" w14:textId="77777777" w:rsidR="00B729FC" w:rsidRPr="00B729FC" w:rsidRDefault="00B729FC" w:rsidP="00FA17B1">
            <w:pPr>
              <w:pStyle w:val="NoSpacing"/>
              <w:rPr>
                <w:sz w:val="24"/>
                <w:szCs w:val="24"/>
              </w:rPr>
            </w:pPr>
          </w:p>
        </w:tc>
        <w:tc>
          <w:tcPr>
            <w:tcW w:w="0" w:type="auto"/>
          </w:tcPr>
          <w:p w14:paraId="77B7410D" w14:textId="77777777" w:rsidR="00B729FC" w:rsidRPr="00B729FC" w:rsidRDefault="00B729FC" w:rsidP="00FA17B1">
            <w:pPr>
              <w:pStyle w:val="NoSpacing"/>
              <w:numPr>
                <w:ilvl w:val="0"/>
                <w:numId w:val="3"/>
              </w:numPr>
              <w:ind w:left="426"/>
              <w:rPr>
                <w:rStyle w:val="Strong"/>
                <w:b w:val="0"/>
                <w:bCs w:val="0"/>
                <w:color w:val="000000"/>
                <w:sz w:val="24"/>
                <w:szCs w:val="24"/>
                <w:bdr w:val="none" w:sz="0" w:space="0" w:color="auto" w:frame="1"/>
                <w:shd w:val="clear" w:color="auto" w:fill="FFFFFF"/>
              </w:rPr>
            </w:pPr>
            <w:r w:rsidRPr="00B729FC">
              <w:rPr>
                <w:rStyle w:val="Strong"/>
                <w:b w:val="0"/>
                <w:bCs w:val="0"/>
                <w:color w:val="000000"/>
                <w:sz w:val="24"/>
                <w:szCs w:val="24"/>
                <w:bdr w:val="none" w:sz="0" w:space="0" w:color="auto" w:frame="1"/>
                <w:shd w:val="clear" w:color="auto" w:fill="FFFFFF"/>
              </w:rPr>
              <w:t>Fraud audit</w:t>
            </w:r>
          </w:p>
          <w:p w14:paraId="4C478DE7" w14:textId="77777777" w:rsidR="00B729FC" w:rsidRPr="00B729FC" w:rsidRDefault="00B729FC" w:rsidP="00FA17B1">
            <w:pPr>
              <w:pStyle w:val="NoSpacing"/>
              <w:numPr>
                <w:ilvl w:val="0"/>
                <w:numId w:val="3"/>
              </w:numPr>
              <w:ind w:left="426"/>
              <w:rPr>
                <w:rStyle w:val="Strong"/>
                <w:b w:val="0"/>
                <w:bCs w:val="0"/>
                <w:color w:val="000000"/>
                <w:sz w:val="24"/>
                <w:szCs w:val="24"/>
                <w:bdr w:val="none" w:sz="0" w:space="0" w:color="auto" w:frame="1"/>
                <w:shd w:val="clear" w:color="auto" w:fill="FFFFFF"/>
              </w:rPr>
            </w:pPr>
            <w:r w:rsidRPr="00B729FC">
              <w:rPr>
                <w:rStyle w:val="Strong"/>
                <w:b w:val="0"/>
                <w:bCs w:val="0"/>
                <w:color w:val="000000"/>
                <w:sz w:val="24"/>
                <w:szCs w:val="24"/>
                <w:bdr w:val="none" w:sz="0" w:space="0" w:color="auto" w:frame="1"/>
                <w:shd w:val="clear" w:color="auto" w:fill="FFFFFF"/>
              </w:rPr>
              <w:t>Code of conduct</w:t>
            </w:r>
          </w:p>
          <w:p w14:paraId="701BAC42" w14:textId="77777777" w:rsidR="00B729FC" w:rsidRPr="00B729FC" w:rsidRDefault="00B729FC" w:rsidP="00FA17B1">
            <w:pPr>
              <w:pStyle w:val="NoSpacing"/>
              <w:numPr>
                <w:ilvl w:val="0"/>
                <w:numId w:val="3"/>
              </w:numPr>
              <w:ind w:left="426"/>
              <w:rPr>
                <w:rStyle w:val="Strong"/>
                <w:b w:val="0"/>
                <w:bCs w:val="0"/>
                <w:color w:val="000000"/>
                <w:sz w:val="24"/>
                <w:szCs w:val="24"/>
                <w:bdr w:val="none" w:sz="0" w:space="0" w:color="auto" w:frame="1"/>
                <w:shd w:val="clear" w:color="auto" w:fill="FFFFFF"/>
              </w:rPr>
            </w:pPr>
            <w:r w:rsidRPr="00B729FC">
              <w:rPr>
                <w:rStyle w:val="Strong"/>
                <w:b w:val="0"/>
                <w:bCs w:val="0"/>
                <w:color w:val="000000"/>
                <w:sz w:val="24"/>
                <w:szCs w:val="24"/>
                <w:bdr w:val="none" w:sz="0" w:space="0" w:color="auto" w:frame="1"/>
                <w:shd w:val="clear" w:color="auto" w:fill="FFFFFF"/>
              </w:rPr>
              <w:t>Fraud reporting</w:t>
            </w:r>
          </w:p>
          <w:p w14:paraId="70AC5BE8" w14:textId="77777777" w:rsidR="00B729FC" w:rsidRPr="00B729FC" w:rsidRDefault="00B729FC" w:rsidP="00FA17B1">
            <w:pPr>
              <w:pStyle w:val="NoSpacing"/>
              <w:numPr>
                <w:ilvl w:val="0"/>
                <w:numId w:val="3"/>
              </w:numPr>
              <w:ind w:left="426"/>
              <w:rPr>
                <w:sz w:val="24"/>
                <w:szCs w:val="24"/>
              </w:rPr>
            </w:pPr>
            <w:r w:rsidRPr="00B729FC">
              <w:rPr>
                <w:rStyle w:val="Strong"/>
                <w:b w:val="0"/>
                <w:bCs w:val="0"/>
                <w:color w:val="000000"/>
                <w:sz w:val="24"/>
                <w:szCs w:val="24"/>
                <w:bdr w:val="none" w:sz="0" w:space="0" w:color="auto" w:frame="1"/>
                <w:shd w:val="clear" w:color="auto" w:fill="FFFFFF"/>
              </w:rPr>
              <w:t>Surveillance</w:t>
            </w:r>
          </w:p>
          <w:p w14:paraId="1F4EBDE8" w14:textId="77777777" w:rsidR="00B729FC" w:rsidRPr="00B729FC" w:rsidRDefault="00B729FC" w:rsidP="00FA17B1">
            <w:pPr>
              <w:pStyle w:val="NoSpacing"/>
              <w:rPr>
                <w:sz w:val="24"/>
                <w:szCs w:val="24"/>
              </w:rPr>
            </w:pPr>
          </w:p>
        </w:tc>
        <w:tc>
          <w:tcPr>
            <w:tcW w:w="0" w:type="auto"/>
          </w:tcPr>
          <w:p w14:paraId="2AD8330B" w14:textId="19B029AC" w:rsidR="00B729FC" w:rsidRPr="00B729FC" w:rsidRDefault="00B729FC" w:rsidP="00FA17B1">
            <w:pPr>
              <w:pStyle w:val="NoSpacing"/>
              <w:rPr>
                <w:sz w:val="24"/>
                <w:szCs w:val="24"/>
              </w:rPr>
            </w:pPr>
            <w:r w:rsidRPr="00B729FC">
              <w:rPr>
                <w:sz w:val="24"/>
                <w:szCs w:val="24"/>
              </w:rPr>
              <w:t>3</w:t>
            </w:r>
            <w:r w:rsidR="00FA17B1">
              <w:rPr>
                <w:sz w:val="24"/>
                <w:szCs w:val="24"/>
              </w:rPr>
              <w:t>2</w:t>
            </w:r>
          </w:p>
        </w:tc>
        <w:tc>
          <w:tcPr>
            <w:tcW w:w="0" w:type="auto"/>
          </w:tcPr>
          <w:p w14:paraId="432AE498" w14:textId="77777777" w:rsidR="00B729FC" w:rsidRPr="00B729FC" w:rsidRDefault="00B729FC" w:rsidP="00FA17B1">
            <w:pPr>
              <w:pStyle w:val="NoSpacing"/>
              <w:rPr>
                <w:sz w:val="24"/>
                <w:szCs w:val="24"/>
              </w:rPr>
            </w:pPr>
            <w:proofErr w:type="spellStart"/>
            <w:r w:rsidRPr="00B729FC">
              <w:rPr>
                <w:sz w:val="24"/>
                <w:szCs w:val="24"/>
              </w:rPr>
              <w:t>Halbouni</w:t>
            </w:r>
            <w:proofErr w:type="spellEnd"/>
            <w:r w:rsidRPr="00B729FC">
              <w:rPr>
                <w:sz w:val="24"/>
                <w:szCs w:val="24"/>
              </w:rPr>
              <w:t xml:space="preserve"> </w:t>
            </w:r>
            <w:r w:rsidRPr="00B729FC">
              <w:rPr>
                <w:i/>
                <w:iCs/>
                <w:sz w:val="24"/>
                <w:szCs w:val="24"/>
              </w:rPr>
              <w:t>et al.,</w:t>
            </w:r>
            <w:r w:rsidRPr="00B729FC">
              <w:rPr>
                <w:sz w:val="24"/>
                <w:szCs w:val="24"/>
              </w:rPr>
              <w:t xml:space="preserve"> 2016; </w:t>
            </w:r>
            <w:proofErr w:type="spellStart"/>
            <w:r w:rsidRPr="00B729FC">
              <w:rPr>
                <w:sz w:val="24"/>
                <w:szCs w:val="24"/>
              </w:rPr>
              <w:t>Bierstaker</w:t>
            </w:r>
            <w:proofErr w:type="spellEnd"/>
            <w:r w:rsidRPr="00B729FC">
              <w:rPr>
                <w:sz w:val="24"/>
                <w:szCs w:val="24"/>
              </w:rPr>
              <w:t xml:space="preserve"> et al., 2006)</w:t>
            </w:r>
          </w:p>
        </w:tc>
      </w:tr>
      <w:tr w:rsidR="00B729FC" w:rsidRPr="00B729FC" w14:paraId="4F2C56CD" w14:textId="77777777" w:rsidTr="000F6CEA">
        <w:trPr>
          <w:trHeight w:val="1124"/>
        </w:trPr>
        <w:tc>
          <w:tcPr>
            <w:tcW w:w="1416" w:type="dxa"/>
            <w:vMerge w:val="restart"/>
          </w:tcPr>
          <w:p w14:paraId="429FE0DD" w14:textId="77777777" w:rsidR="00B729FC" w:rsidRPr="00B729FC" w:rsidRDefault="00B729FC" w:rsidP="00FA17B1">
            <w:pPr>
              <w:pStyle w:val="NoSpacing"/>
              <w:rPr>
                <w:sz w:val="24"/>
                <w:szCs w:val="24"/>
              </w:rPr>
            </w:pPr>
            <w:r w:rsidRPr="00B729FC">
              <w:rPr>
                <w:sz w:val="24"/>
                <w:szCs w:val="24"/>
              </w:rPr>
              <w:lastRenderedPageBreak/>
              <w:t>Independent Variable</w:t>
            </w:r>
          </w:p>
        </w:tc>
        <w:tc>
          <w:tcPr>
            <w:tcW w:w="0" w:type="auto"/>
          </w:tcPr>
          <w:p w14:paraId="0A82611F" w14:textId="77777777" w:rsidR="00B729FC" w:rsidRPr="00B729FC" w:rsidRDefault="00B729FC" w:rsidP="00FA17B1">
            <w:pPr>
              <w:pStyle w:val="NoSpacing"/>
              <w:rPr>
                <w:sz w:val="24"/>
                <w:szCs w:val="24"/>
              </w:rPr>
            </w:pPr>
            <w:r w:rsidRPr="00B729FC">
              <w:rPr>
                <w:sz w:val="24"/>
                <w:szCs w:val="24"/>
              </w:rPr>
              <w:t>Technological Optimism</w:t>
            </w:r>
          </w:p>
          <w:p w14:paraId="46D485C7" w14:textId="77777777" w:rsidR="00B729FC" w:rsidRPr="00B729FC" w:rsidRDefault="00B729FC" w:rsidP="00FA17B1">
            <w:pPr>
              <w:pStyle w:val="NoSpacing"/>
              <w:rPr>
                <w:sz w:val="24"/>
                <w:szCs w:val="24"/>
              </w:rPr>
            </w:pPr>
          </w:p>
        </w:tc>
        <w:tc>
          <w:tcPr>
            <w:tcW w:w="0" w:type="auto"/>
          </w:tcPr>
          <w:p w14:paraId="621D00E0" w14:textId="77777777" w:rsidR="00B729FC" w:rsidRPr="00B729FC" w:rsidRDefault="00B729FC" w:rsidP="00FA17B1">
            <w:pPr>
              <w:pStyle w:val="NoSpacing"/>
              <w:numPr>
                <w:ilvl w:val="0"/>
                <w:numId w:val="5"/>
              </w:numPr>
              <w:ind w:left="318" w:hanging="284"/>
              <w:rPr>
                <w:sz w:val="24"/>
                <w:szCs w:val="24"/>
              </w:rPr>
            </w:pPr>
            <w:r w:rsidRPr="00B729FC">
              <w:rPr>
                <w:sz w:val="24"/>
                <w:szCs w:val="24"/>
              </w:rPr>
              <w:t>Technology control daily live</w:t>
            </w:r>
          </w:p>
          <w:p w14:paraId="0DB78C8F" w14:textId="77777777" w:rsidR="00B729FC" w:rsidRPr="00B729FC" w:rsidRDefault="00B729FC" w:rsidP="00FA17B1">
            <w:pPr>
              <w:pStyle w:val="NoSpacing"/>
              <w:numPr>
                <w:ilvl w:val="0"/>
                <w:numId w:val="5"/>
              </w:numPr>
              <w:ind w:left="318" w:hanging="284"/>
              <w:rPr>
                <w:sz w:val="24"/>
                <w:szCs w:val="24"/>
              </w:rPr>
            </w:pPr>
            <w:r w:rsidRPr="00B729FC">
              <w:rPr>
                <w:sz w:val="24"/>
                <w:szCs w:val="24"/>
              </w:rPr>
              <w:t>Technology fits your needs</w:t>
            </w:r>
          </w:p>
          <w:p w14:paraId="5598151A" w14:textId="77777777" w:rsidR="00B729FC" w:rsidRPr="00B729FC" w:rsidRDefault="00B729FC" w:rsidP="00FA17B1">
            <w:pPr>
              <w:pStyle w:val="NoSpacing"/>
              <w:numPr>
                <w:ilvl w:val="0"/>
                <w:numId w:val="5"/>
              </w:numPr>
              <w:ind w:left="318" w:hanging="284"/>
              <w:rPr>
                <w:sz w:val="24"/>
                <w:szCs w:val="24"/>
              </w:rPr>
            </w:pPr>
            <w:r w:rsidRPr="00B729FC">
              <w:rPr>
                <w:sz w:val="24"/>
                <w:szCs w:val="24"/>
              </w:rPr>
              <w:t>Technology is convenient</w:t>
            </w:r>
          </w:p>
        </w:tc>
        <w:tc>
          <w:tcPr>
            <w:tcW w:w="0" w:type="auto"/>
          </w:tcPr>
          <w:p w14:paraId="466E6767" w14:textId="77777777" w:rsidR="00B729FC" w:rsidRPr="00B729FC" w:rsidRDefault="00B729FC" w:rsidP="00FA17B1">
            <w:pPr>
              <w:pStyle w:val="NoSpacing"/>
              <w:rPr>
                <w:sz w:val="24"/>
                <w:szCs w:val="24"/>
              </w:rPr>
            </w:pPr>
            <w:r w:rsidRPr="00B729FC">
              <w:rPr>
                <w:sz w:val="24"/>
                <w:szCs w:val="24"/>
              </w:rPr>
              <w:t>10</w:t>
            </w:r>
          </w:p>
        </w:tc>
        <w:tc>
          <w:tcPr>
            <w:tcW w:w="0" w:type="auto"/>
          </w:tcPr>
          <w:p w14:paraId="1481B5E9" w14:textId="77777777" w:rsidR="00B729FC" w:rsidRPr="00B729FC" w:rsidRDefault="00B729FC" w:rsidP="00FA17B1">
            <w:pPr>
              <w:pStyle w:val="NoSpacing"/>
              <w:rPr>
                <w:sz w:val="24"/>
                <w:szCs w:val="24"/>
              </w:rPr>
            </w:pPr>
            <w:proofErr w:type="spellStart"/>
            <w:r w:rsidRPr="00B729FC">
              <w:rPr>
                <w:sz w:val="24"/>
                <w:szCs w:val="24"/>
              </w:rPr>
              <w:t>Walczuch</w:t>
            </w:r>
            <w:proofErr w:type="spellEnd"/>
            <w:r w:rsidRPr="00B729FC">
              <w:rPr>
                <w:sz w:val="24"/>
                <w:szCs w:val="24"/>
              </w:rPr>
              <w:t xml:space="preserve"> et al., 2007</w:t>
            </w:r>
          </w:p>
        </w:tc>
      </w:tr>
      <w:tr w:rsidR="00B729FC" w:rsidRPr="00B729FC" w14:paraId="7AF5B516" w14:textId="77777777" w:rsidTr="000F6CEA">
        <w:trPr>
          <w:trHeight w:val="1124"/>
        </w:trPr>
        <w:tc>
          <w:tcPr>
            <w:tcW w:w="1416" w:type="dxa"/>
            <w:vMerge/>
          </w:tcPr>
          <w:p w14:paraId="730AE849" w14:textId="77777777" w:rsidR="00B729FC" w:rsidRPr="00B729FC" w:rsidRDefault="00B729FC" w:rsidP="00FA17B1">
            <w:pPr>
              <w:pStyle w:val="NoSpacing"/>
              <w:rPr>
                <w:sz w:val="24"/>
                <w:szCs w:val="24"/>
              </w:rPr>
            </w:pPr>
          </w:p>
        </w:tc>
        <w:tc>
          <w:tcPr>
            <w:tcW w:w="0" w:type="auto"/>
          </w:tcPr>
          <w:p w14:paraId="047E355B" w14:textId="77777777" w:rsidR="00B729FC" w:rsidRPr="00B729FC" w:rsidRDefault="00B729FC" w:rsidP="00FA17B1">
            <w:pPr>
              <w:pStyle w:val="NoSpacing"/>
              <w:rPr>
                <w:sz w:val="24"/>
                <w:szCs w:val="24"/>
              </w:rPr>
            </w:pPr>
            <w:r w:rsidRPr="00B729FC">
              <w:rPr>
                <w:sz w:val="24"/>
                <w:szCs w:val="24"/>
              </w:rPr>
              <w:t>Technological Innovativeness</w:t>
            </w:r>
          </w:p>
          <w:p w14:paraId="78D188D8" w14:textId="77777777" w:rsidR="00B729FC" w:rsidRPr="00B729FC" w:rsidRDefault="00B729FC" w:rsidP="00FA17B1">
            <w:pPr>
              <w:pStyle w:val="NoSpacing"/>
              <w:ind w:left="318"/>
              <w:rPr>
                <w:sz w:val="24"/>
                <w:szCs w:val="24"/>
              </w:rPr>
            </w:pPr>
          </w:p>
        </w:tc>
        <w:tc>
          <w:tcPr>
            <w:tcW w:w="0" w:type="auto"/>
          </w:tcPr>
          <w:p w14:paraId="197BCDCB" w14:textId="77777777" w:rsidR="00B729FC" w:rsidRPr="00B729FC" w:rsidRDefault="00B729FC" w:rsidP="00FA17B1">
            <w:pPr>
              <w:pStyle w:val="NoSpacing"/>
              <w:numPr>
                <w:ilvl w:val="0"/>
                <w:numId w:val="5"/>
              </w:numPr>
              <w:ind w:left="318" w:hanging="284"/>
              <w:rPr>
                <w:sz w:val="24"/>
                <w:szCs w:val="24"/>
              </w:rPr>
            </w:pPr>
            <w:r w:rsidRPr="00B729FC">
              <w:rPr>
                <w:sz w:val="24"/>
                <w:szCs w:val="24"/>
              </w:rPr>
              <w:t>New technology available</w:t>
            </w:r>
          </w:p>
          <w:p w14:paraId="3D929A05" w14:textId="77777777" w:rsidR="00B729FC" w:rsidRPr="00B729FC" w:rsidRDefault="00B729FC" w:rsidP="00FA17B1">
            <w:pPr>
              <w:pStyle w:val="NoSpacing"/>
              <w:numPr>
                <w:ilvl w:val="0"/>
                <w:numId w:val="5"/>
              </w:numPr>
              <w:ind w:left="318" w:hanging="284"/>
              <w:rPr>
                <w:sz w:val="24"/>
                <w:szCs w:val="24"/>
              </w:rPr>
            </w:pPr>
            <w:r w:rsidRPr="00B729FC">
              <w:rPr>
                <w:sz w:val="24"/>
                <w:szCs w:val="24"/>
              </w:rPr>
              <w:t>Can identify emerging technologies</w:t>
            </w:r>
          </w:p>
          <w:p w14:paraId="3C2B9147" w14:textId="77777777" w:rsidR="00B729FC" w:rsidRPr="00B729FC" w:rsidRDefault="00B729FC" w:rsidP="00FA17B1">
            <w:pPr>
              <w:pStyle w:val="NoSpacing"/>
              <w:numPr>
                <w:ilvl w:val="0"/>
                <w:numId w:val="5"/>
              </w:numPr>
              <w:ind w:left="318" w:hanging="284"/>
              <w:rPr>
                <w:sz w:val="24"/>
                <w:szCs w:val="24"/>
              </w:rPr>
            </w:pPr>
            <w:r w:rsidRPr="00B729FC">
              <w:rPr>
                <w:sz w:val="24"/>
                <w:szCs w:val="24"/>
              </w:rPr>
              <w:t>No problem using technology</w:t>
            </w:r>
          </w:p>
        </w:tc>
        <w:tc>
          <w:tcPr>
            <w:tcW w:w="0" w:type="auto"/>
          </w:tcPr>
          <w:p w14:paraId="6E711400" w14:textId="77777777" w:rsidR="00B729FC" w:rsidRPr="00B729FC" w:rsidRDefault="00B729FC" w:rsidP="00FA17B1">
            <w:pPr>
              <w:pStyle w:val="NoSpacing"/>
              <w:rPr>
                <w:sz w:val="24"/>
                <w:szCs w:val="24"/>
              </w:rPr>
            </w:pPr>
            <w:r w:rsidRPr="00B729FC">
              <w:rPr>
                <w:sz w:val="24"/>
                <w:szCs w:val="24"/>
              </w:rPr>
              <w:t>7</w:t>
            </w:r>
          </w:p>
        </w:tc>
        <w:tc>
          <w:tcPr>
            <w:tcW w:w="0" w:type="auto"/>
          </w:tcPr>
          <w:p w14:paraId="03194195" w14:textId="77777777" w:rsidR="00B729FC" w:rsidRPr="00B729FC" w:rsidRDefault="00B729FC" w:rsidP="00FA17B1">
            <w:pPr>
              <w:pStyle w:val="NoSpacing"/>
              <w:rPr>
                <w:sz w:val="24"/>
                <w:szCs w:val="24"/>
              </w:rPr>
            </w:pPr>
            <w:proofErr w:type="spellStart"/>
            <w:r w:rsidRPr="00B729FC">
              <w:rPr>
                <w:sz w:val="24"/>
                <w:szCs w:val="24"/>
              </w:rPr>
              <w:t>Walczuch</w:t>
            </w:r>
            <w:proofErr w:type="spellEnd"/>
            <w:r w:rsidRPr="00B729FC">
              <w:rPr>
                <w:sz w:val="24"/>
                <w:szCs w:val="24"/>
              </w:rPr>
              <w:t xml:space="preserve"> et al., 2007</w:t>
            </w:r>
          </w:p>
        </w:tc>
      </w:tr>
      <w:tr w:rsidR="00B729FC" w:rsidRPr="00B729FC" w14:paraId="421558A2" w14:textId="77777777" w:rsidTr="000F6CEA">
        <w:trPr>
          <w:trHeight w:val="1124"/>
        </w:trPr>
        <w:tc>
          <w:tcPr>
            <w:tcW w:w="1416" w:type="dxa"/>
            <w:vMerge/>
          </w:tcPr>
          <w:p w14:paraId="3F310388" w14:textId="77777777" w:rsidR="00B729FC" w:rsidRPr="00B729FC" w:rsidRDefault="00B729FC" w:rsidP="00FA17B1">
            <w:pPr>
              <w:pStyle w:val="NoSpacing"/>
              <w:rPr>
                <w:sz w:val="24"/>
                <w:szCs w:val="24"/>
              </w:rPr>
            </w:pPr>
          </w:p>
        </w:tc>
        <w:tc>
          <w:tcPr>
            <w:tcW w:w="0" w:type="auto"/>
          </w:tcPr>
          <w:p w14:paraId="56615099" w14:textId="77777777" w:rsidR="00B729FC" w:rsidRPr="00B729FC" w:rsidRDefault="00B729FC" w:rsidP="00FA17B1">
            <w:pPr>
              <w:pStyle w:val="NoSpacing"/>
              <w:rPr>
                <w:sz w:val="24"/>
                <w:szCs w:val="24"/>
              </w:rPr>
            </w:pPr>
            <w:r w:rsidRPr="00B729FC">
              <w:rPr>
                <w:sz w:val="24"/>
                <w:szCs w:val="24"/>
              </w:rPr>
              <w:t>Technological Discomfort</w:t>
            </w:r>
          </w:p>
          <w:p w14:paraId="6E5DCF67" w14:textId="77777777" w:rsidR="00B729FC" w:rsidRPr="00B729FC" w:rsidRDefault="00B729FC" w:rsidP="00FA17B1">
            <w:pPr>
              <w:pStyle w:val="NoSpacing"/>
              <w:ind w:left="318"/>
              <w:rPr>
                <w:sz w:val="24"/>
                <w:szCs w:val="24"/>
              </w:rPr>
            </w:pPr>
          </w:p>
        </w:tc>
        <w:tc>
          <w:tcPr>
            <w:tcW w:w="0" w:type="auto"/>
          </w:tcPr>
          <w:p w14:paraId="1FEA89BF" w14:textId="77777777" w:rsidR="00B729FC" w:rsidRPr="00B729FC" w:rsidRDefault="00B729FC" w:rsidP="00FA17B1">
            <w:pPr>
              <w:pStyle w:val="NoSpacing"/>
              <w:numPr>
                <w:ilvl w:val="0"/>
                <w:numId w:val="5"/>
              </w:numPr>
              <w:ind w:left="318" w:hanging="284"/>
              <w:rPr>
                <w:sz w:val="24"/>
                <w:szCs w:val="24"/>
              </w:rPr>
            </w:pPr>
            <w:r w:rsidRPr="00B729FC">
              <w:rPr>
                <w:sz w:val="24"/>
                <w:szCs w:val="24"/>
              </w:rPr>
              <w:t>Technology not for ordinary persons</w:t>
            </w:r>
          </w:p>
          <w:p w14:paraId="03B32A73" w14:textId="77777777" w:rsidR="00B729FC" w:rsidRPr="00B729FC" w:rsidRDefault="00B729FC" w:rsidP="00FA17B1">
            <w:pPr>
              <w:pStyle w:val="NoSpacing"/>
              <w:numPr>
                <w:ilvl w:val="0"/>
                <w:numId w:val="5"/>
              </w:numPr>
              <w:ind w:left="318" w:hanging="284"/>
              <w:rPr>
                <w:sz w:val="24"/>
                <w:szCs w:val="24"/>
              </w:rPr>
            </w:pPr>
            <w:r w:rsidRPr="00B729FC">
              <w:rPr>
                <w:sz w:val="24"/>
                <w:szCs w:val="24"/>
              </w:rPr>
              <w:t>Manuals are difficult to use</w:t>
            </w:r>
          </w:p>
          <w:p w14:paraId="0B702AE3" w14:textId="77777777" w:rsidR="00B729FC" w:rsidRPr="00B729FC" w:rsidRDefault="00B729FC" w:rsidP="00FA17B1">
            <w:pPr>
              <w:pStyle w:val="NoSpacing"/>
              <w:numPr>
                <w:ilvl w:val="0"/>
                <w:numId w:val="5"/>
              </w:numPr>
              <w:ind w:left="318" w:hanging="284"/>
              <w:rPr>
                <w:sz w:val="24"/>
                <w:szCs w:val="24"/>
              </w:rPr>
            </w:pPr>
            <w:r w:rsidRPr="00B729FC">
              <w:rPr>
                <w:sz w:val="24"/>
                <w:szCs w:val="24"/>
              </w:rPr>
              <w:t>Embarrassed if unable to use technology</w:t>
            </w:r>
          </w:p>
        </w:tc>
        <w:tc>
          <w:tcPr>
            <w:tcW w:w="0" w:type="auto"/>
          </w:tcPr>
          <w:p w14:paraId="692A0747" w14:textId="77777777" w:rsidR="00B729FC" w:rsidRPr="00B729FC" w:rsidRDefault="00B729FC" w:rsidP="00FA17B1">
            <w:pPr>
              <w:pStyle w:val="NoSpacing"/>
              <w:rPr>
                <w:sz w:val="24"/>
                <w:szCs w:val="24"/>
              </w:rPr>
            </w:pPr>
            <w:r w:rsidRPr="00B729FC">
              <w:rPr>
                <w:sz w:val="24"/>
                <w:szCs w:val="24"/>
              </w:rPr>
              <w:t>10</w:t>
            </w:r>
          </w:p>
        </w:tc>
        <w:tc>
          <w:tcPr>
            <w:tcW w:w="0" w:type="auto"/>
          </w:tcPr>
          <w:p w14:paraId="0C660D35" w14:textId="77777777" w:rsidR="00B729FC" w:rsidRPr="00B729FC" w:rsidRDefault="00B729FC" w:rsidP="00FA17B1">
            <w:pPr>
              <w:pStyle w:val="NoSpacing"/>
              <w:rPr>
                <w:sz w:val="24"/>
                <w:szCs w:val="24"/>
              </w:rPr>
            </w:pPr>
            <w:proofErr w:type="spellStart"/>
            <w:r w:rsidRPr="00B729FC">
              <w:rPr>
                <w:sz w:val="24"/>
                <w:szCs w:val="24"/>
              </w:rPr>
              <w:t>Walczuch</w:t>
            </w:r>
            <w:proofErr w:type="spellEnd"/>
            <w:r w:rsidRPr="00B729FC">
              <w:rPr>
                <w:sz w:val="24"/>
                <w:szCs w:val="24"/>
              </w:rPr>
              <w:t xml:space="preserve"> et al., 2007</w:t>
            </w:r>
          </w:p>
        </w:tc>
      </w:tr>
      <w:tr w:rsidR="00B729FC" w:rsidRPr="00B729FC" w14:paraId="18BBB388" w14:textId="77777777" w:rsidTr="000F6CEA">
        <w:trPr>
          <w:trHeight w:val="1124"/>
        </w:trPr>
        <w:tc>
          <w:tcPr>
            <w:tcW w:w="1416" w:type="dxa"/>
            <w:vMerge/>
          </w:tcPr>
          <w:p w14:paraId="47F62966" w14:textId="77777777" w:rsidR="00B729FC" w:rsidRPr="00B729FC" w:rsidRDefault="00B729FC" w:rsidP="00FA17B1">
            <w:pPr>
              <w:pStyle w:val="NoSpacing"/>
              <w:rPr>
                <w:sz w:val="24"/>
                <w:szCs w:val="24"/>
              </w:rPr>
            </w:pPr>
          </w:p>
        </w:tc>
        <w:tc>
          <w:tcPr>
            <w:tcW w:w="0" w:type="auto"/>
          </w:tcPr>
          <w:p w14:paraId="499F1322" w14:textId="77777777" w:rsidR="00B729FC" w:rsidRPr="00B729FC" w:rsidRDefault="00B729FC" w:rsidP="00FA17B1">
            <w:pPr>
              <w:spacing w:line="240" w:lineRule="auto"/>
              <w:rPr>
                <w:sz w:val="24"/>
                <w:szCs w:val="24"/>
              </w:rPr>
            </w:pPr>
            <w:r w:rsidRPr="00B729FC">
              <w:rPr>
                <w:sz w:val="24"/>
                <w:szCs w:val="24"/>
              </w:rPr>
              <w:t>Technological Insecurity</w:t>
            </w:r>
          </w:p>
          <w:p w14:paraId="76ADDA76" w14:textId="77777777" w:rsidR="00B729FC" w:rsidRPr="00B729FC" w:rsidRDefault="00B729FC" w:rsidP="00FA17B1">
            <w:pPr>
              <w:pStyle w:val="NoSpacing"/>
              <w:rPr>
                <w:sz w:val="24"/>
                <w:szCs w:val="24"/>
              </w:rPr>
            </w:pPr>
          </w:p>
        </w:tc>
        <w:tc>
          <w:tcPr>
            <w:tcW w:w="0" w:type="auto"/>
          </w:tcPr>
          <w:p w14:paraId="06A2DC47" w14:textId="77777777" w:rsidR="00B729FC" w:rsidRPr="00B729FC" w:rsidRDefault="00B729FC" w:rsidP="00FA17B1">
            <w:pPr>
              <w:pStyle w:val="NoSpacing"/>
              <w:numPr>
                <w:ilvl w:val="0"/>
                <w:numId w:val="5"/>
              </w:numPr>
              <w:ind w:left="318" w:hanging="284"/>
              <w:rPr>
                <w:sz w:val="24"/>
                <w:szCs w:val="24"/>
              </w:rPr>
            </w:pPr>
            <w:r w:rsidRPr="00B729FC">
              <w:rPr>
                <w:sz w:val="24"/>
                <w:szCs w:val="24"/>
              </w:rPr>
              <w:t>Safe when using technology</w:t>
            </w:r>
          </w:p>
          <w:p w14:paraId="30E94990" w14:textId="77777777" w:rsidR="00B729FC" w:rsidRPr="00B729FC" w:rsidRDefault="00B729FC" w:rsidP="00FA17B1">
            <w:pPr>
              <w:pStyle w:val="NoSpacing"/>
              <w:numPr>
                <w:ilvl w:val="0"/>
                <w:numId w:val="5"/>
              </w:numPr>
              <w:ind w:left="318" w:hanging="284"/>
              <w:rPr>
                <w:sz w:val="24"/>
                <w:szCs w:val="24"/>
              </w:rPr>
            </w:pPr>
            <w:r w:rsidRPr="00B729FC">
              <w:rPr>
                <w:sz w:val="24"/>
                <w:szCs w:val="24"/>
              </w:rPr>
              <w:t>Safe to transact online</w:t>
            </w:r>
          </w:p>
          <w:p w14:paraId="00B7F4E1" w14:textId="77777777" w:rsidR="00B729FC" w:rsidRPr="00B729FC" w:rsidRDefault="00B729FC" w:rsidP="00FA17B1">
            <w:pPr>
              <w:pStyle w:val="NoSpacing"/>
              <w:numPr>
                <w:ilvl w:val="0"/>
                <w:numId w:val="5"/>
              </w:numPr>
              <w:ind w:left="318" w:hanging="284"/>
              <w:rPr>
                <w:sz w:val="24"/>
                <w:szCs w:val="24"/>
              </w:rPr>
            </w:pPr>
            <w:r w:rsidRPr="00B729FC">
              <w:rPr>
                <w:sz w:val="24"/>
                <w:szCs w:val="24"/>
              </w:rPr>
              <w:t>Confirmation electronic of transaction</w:t>
            </w:r>
          </w:p>
        </w:tc>
        <w:tc>
          <w:tcPr>
            <w:tcW w:w="0" w:type="auto"/>
          </w:tcPr>
          <w:p w14:paraId="2C3A0DDE" w14:textId="77777777" w:rsidR="00B729FC" w:rsidRPr="00B729FC" w:rsidRDefault="00B729FC" w:rsidP="00FA17B1">
            <w:pPr>
              <w:pStyle w:val="NoSpacing"/>
              <w:rPr>
                <w:sz w:val="24"/>
                <w:szCs w:val="24"/>
              </w:rPr>
            </w:pPr>
            <w:r w:rsidRPr="00B729FC">
              <w:rPr>
                <w:sz w:val="24"/>
                <w:szCs w:val="24"/>
              </w:rPr>
              <w:t>9</w:t>
            </w:r>
          </w:p>
        </w:tc>
        <w:tc>
          <w:tcPr>
            <w:tcW w:w="0" w:type="auto"/>
          </w:tcPr>
          <w:p w14:paraId="4A32C4FB" w14:textId="77777777" w:rsidR="00B729FC" w:rsidRPr="00B729FC" w:rsidRDefault="00B729FC" w:rsidP="00FA17B1">
            <w:pPr>
              <w:pStyle w:val="NoSpacing"/>
              <w:rPr>
                <w:sz w:val="24"/>
                <w:szCs w:val="24"/>
              </w:rPr>
            </w:pPr>
            <w:proofErr w:type="spellStart"/>
            <w:r w:rsidRPr="00B729FC">
              <w:rPr>
                <w:sz w:val="24"/>
                <w:szCs w:val="24"/>
              </w:rPr>
              <w:t>Walczuch</w:t>
            </w:r>
            <w:proofErr w:type="spellEnd"/>
            <w:r w:rsidRPr="00B729FC">
              <w:rPr>
                <w:sz w:val="24"/>
                <w:szCs w:val="24"/>
              </w:rPr>
              <w:t xml:space="preserve"> et al., 2007</w:t>
            </w:r>
          </w:p>
        </w:tc>
      </w:tr>
    </w:tbl>
    <w:p w14:paraId="2942B73A" w14:textId="1BB9335B" w:rsidR="00D7349D" w:rsidRPr="007A71C9" w:rsidRDefault="00D7349D" w:rsidP="00FA17B1">
      <w:pPr>
        <w:autoSpaceDE w:val="0"/>
        <w:autoSpaceDN w:val="0"/>
        <w:adjustRightInd w:val="0"/>
        <w:spacing w:line="240" w:lineRule="auto"/>
        <w:jc w:val="both"/>
        <w:rPr>
          <w:b/>
          <w:bCs/>
        </w:rPr>
      </w:pPr>
      <w:r w:rsidRPr="007A71C9">
        <w:rPr>
          <w:b/>
          <w:bCs/>
        </w:rPr>
        <w:t xml:space="preserve">Source: </w:t>
      </w:r>
      <w:r w:rsidR="00E20A2B">
        <w:rPr>
          <w:b/>
          <w:bCs/>
        </w:rPr>
        <w:t>Adopted and modified</w:t>
      </w:r>
      <w:r w:rsidR="00FA17B1">
        <w:rPr>
          <w:b/>
          <w:bCs/>
        </w:rPr>
        <w:t xml:space="preserve"> from earlier studies</w:t>
      </w:r>
      <w:r w:rsidR="00E20A2B">
        <w:rPr>
          <w:b/>
          <w:bCs/>
        </w:rPr>
        <w:t>.</w:t>
      </w:r>
    </w:p>
    <w:p w14:paraId="7464C299" w14:textId="16B65463" w:rsidR="00D7349D" w:rsidRPr="001B1A47" w:rsidRDefault="00D7349D" w:rsidP="00FA17B1">
      <w:pPr>
        <w:pStyle w:val="Heading2"/>
        <w:jc w:val="both"/>
      </w:pPr>
      <w:r w:rsidRPr="001B1A47">
        <w:t>3.3 Model specification</w:t>
      </w:r>
    </w:p>
    <w:p w14:paraId="114ED216" w14:textId="77777777" w:rsidR="00D012F1" w:rsidRDefault="00D012F1" w:rsidP="00FA17B1">
      <w:pPr>
        <w:spacing w:before="100" w:beforeAutospacing="1" w:after="100" w:afterAutospacing="1" w:line="240" w:lineRule="auto"/>
        <w:jc w:val="both"/>
      </w:pPr>
      <w:r>
        <w:t>The study used the following multiple regression model to test the hypotheses</w:t>
      </w:r>
    </w:p>
    <w:p w14:paraId="256FEBFF" w14:textId="39FE2605" w:rsidR="00D7349D" w:rsidRDefault="00014887" w:rsidP="00FA17B1">
      <w:pPr>
        <w:spacing w:before="100" w:beforeAutospacing="1" w:after="100" w:afterAutospacing="1" w:line="240" w:lineRule="auto"/>
        <w:jc w:val="both"/>
      </w:pPr>
      <w:r>
        <w:t>FDP</w:t>
      </w:r>
      <w:r w:rsidR="00D7349D" w:rsidRPr="00824A19">
        <w:t>= β</w:t>
      </w:r>
      <w:r w:rsidR="00D7349D" w:rsidRPr="00824A19">
        <w:rPr>
          <w:vertAlign w:val="subscript"/>
        </w:rPr>
        <w:t xml:space="preserve">0 </w:t>
      </w:r>
      <w:r w:rsidR="00D7349D" w:rsidRPr="00014887">
        <w:t>+</w:t>
      </w:r>
      <w:r w:rsidR="00D7349D" w:rsidRPr="00824A19">
        <w:t xml:space="preserve"> </w:t>
      </w:r>
      <m:oMath>
        <m:sSub>
          <m:sSubPr>
            <m:ctrlPr>
              <w:rPr>
                <w:rFonts w:ascii="Cambria Math" w:hAnsi="Cambria Math"/>
                <w:i/>
              </w:rPr>
            </m:ctrlPr>
          </m:sSubPr>
          <m:e>
            <m:r>
              <w:rPr>
                <w:rFonts w:ascii="Cambria Math" w:hAnsi="Cambria Math"/>
              </w:rPr>
              <m:t>B</m:t>
            </m:r>
          </m:e>
          <m:sub>
            <m:r>
              <w:rPr>
                <w:rFonts w:ascii="Cambria Math" w:hAnsi="Cambria Math"/>
              </w:rPr>
              <m:t>1</m:t>
            </m:r>
          </m:sub>
        </m:sSub>
      </m:oMath>
      <w:r w:rsidR="00D7349D" w:rsidRPr="00824A19">
        <w:t xml:space="preserve">  </w:t>
      </w:r>
      <w:r>
        <w:t>TOP</w:t>
      </w:r>
      <w:r w:rsidR="00D7349D" w:rsidRPr="00824A19">
        <w:t xml:space="preserve"> + </w:t>
      </w:r>
      <m:oMath>
        <m:sSub>
          <m:sSubPr>
            <m:ctrlPr>
              <w:rPr>
                <w:rFonts w:ascii="Cambria Math" w:hAnsi="Cambria Math"/>
                <w:i/>
              </w:rPr>
            </m:ctrlPr>
          </m:sSubPr>
          <m:e>
            <m:r>
              <w:rPr>
                <w:rFonts w:ascii="Cambria Math" w:hAnsi="Cambria Math"/>
              </w:rPr>
              <m:t>B</m:t>
            </m:r>
          </m:e>
          <m:sub>
            <m:r>
              <w:rPr>
                <w:rFonts w:ascii="Cambria Math" w:hAnsi="Cambria Math"/>
              </w:rPr>
              <m:t>2</m:t>
            </m:r>
          </m:sub>
        </m:sSub>
      </m:oMath>
      <w:r w:rsidR="00D7349D" w:rsidRPr="00824A19">
        <w:t xml:space="preserve">  </w:t>
      </w:r>
      <w:r>
        <w:t>INV</w:t>
      </w:r>
      <w:r w:rsidR="00D7349D" w:rsidRPr="00824A19">
        <w:t xml:space="preserve"> + </w:t>
      </w:r>
      <m:oMath>
        <m:sSub>
          <m:sSubPr>
            <m:ctrlPr>
              <w:rPr>
                <w:rFonts w:ascii="Cambria Math" w:hAnsi="Cambria Math"/>
                <w:i/>
              </w:rPr>
            </m:ctrlPr>
          </m:sSubPr>
          <m:e>
            <m:r>
              <w:rPr>
                <w:rFonts w:ascii="Cambria Math" w:hAnsi="Cambria Math"/>
              </w:rPr>
              <m:t>B</m:t>
            </m:r>
          </m:e>
          <m:sub>
            <m:r>
              <w:rPr>
                <w:rFonts w:ascii="Cambria Math" w:hAnsi="Cambria Math"/>
              </w:rPr>
              <m:t>3</m:t>
            </m:r>
          </m:sub>
        </m:sSub>
      </m:oMath>
      <w:r w:rsidR="00D7349D" w:rsidRPr="00824A19">
        <w:t xml:space="preserve"> </w:t>
      </w:r>
      <w:r>
        <w:t>DIS</w:t>
      </w:r>
      <w:r w:rsidR="00D7349D" w:rsidRPr="00824A19">
        <w:rPr>
          <w:vertAlign w:val="subscript"/>
        </w:rPr>
        <w:t xml:space="preserve"> </w:t>
      </w:r>
      <w:r w:rsidR="00D7349D" w:rsidRPr="00824A19">
        <w:t xml:space="preserve">+ </w:t>
      </w:r>
      <m:oMath>
        <m:sSub>
          <m:sSubPr>
            <m:ctrlPr>
              <w:rPr>
                <w:rFonts w:ascii="Cambria Math" w:hAnsi="Cambria Math"/>
                <w:i/>
              </w:rPr>
            </m:ctrlPr>
          </m:sSubPr>
          <m:e>
            <m:r>
              <w:rPr>
                <w:rFonts w:ascii="Cambria Math" w:hAnsi="Cambria Math"/>
              </w:rPr>
              <m:t>B</m:t>
            </m:r>
          </m:e>
          <m:sub>
            <m:r>
              <w:rPr>
                <w:rFonts w:ascii="Cambria Math" w:hAnsi="Cambria Math"/>
              </w:rPr>
              <m:t>4</m:t>
            </m:r>
          </m:sub>
        </m:sSub>
      </m:oMath>
      <w:r w:rsidR="00D7349D" w:rsidRPr="00824A19">
        <w:t xml:space="preserve">  </w:t>
      </w:r>
      <w:r>
        <w:t>INS</w:t>
      </w:r>
      <w:r w:rsidR="00D7349D" w:rsidRPr="00824A19">
        <w:t xml:space="preserve"> +ε</w:t>
      </w:r>
    </w:p>
    <w:p w14:paraId="2D227617" w14:textId="429F7AA7" w:rsidR="007D091B" w:rsidRPr="00824A19" w:rsidRDefault="007D091B" w:rsidP="00FA17B1">
      <w:pPr>
        <w:pStyle w:val="NoSpacing"/>
        <w:jc w:val="both"/>
      </w:pPr>
      <w:r>
        <w:t>Where;</w:t>
      </w:r>
      <w:r w:rsidR="00014887">
        <w:t xml:space="preserve"> FDP,</w:t>
      </w:r>
      <w:r w:rsidR="00E20A2B">
        <w:t xml:space="preserve"> f</w:t>
      </w:r>
      <w:r w:rsidR="00014887">
        <w:t xml:space="preserve">raud detection and prevention; TOP, </w:t>
      </w:r>
      <w:r w:rsidR="00014887" w:rsidRPr="00B729FC">
        <w:t>Technological Optimism</w:t>
      </w:r>
      <w:r w:rsidR="00014887">
        <w:t xml:space="preserve">; INV, innovativeness; DIS, discomfort; INS, insecurity. B1-B4, beta coefficients; B0, constant; </w:t>
      </w:r>
      <w:r w:rsidR="00014887" w:rsidRPr="00824A19">
        <w:t>ε</w:t>
      </w:r>
      <w:r w:rsidR="00014887">
        <w:t xml:space="preserve"> error term.</w:t>
      </w:r>
    </w:p>
    <w:p w14:paraId="60D2F417" w14:textId="225F2FD4" w:rsidR="00AB6A30" w:rsidRDefault="00E20A2B" w:rsidP="00FA17B1">
      <w:pPr>
        <w:pStyle w:val="Heading1"/>
        <w:numPr>
          <w:ilvl w:val="0"/>
          <w:numId w:val="1"/>
        </w:numPr>
        <w:spacing w:line="240" w:lineRule="auto"/>
        <w:ind w:left="360"/>
        <w:jc w:val="both"/>
      </w:pPr>
      <w:bookmarkStart w:id="3" w:name="_Toc195019628"/>
      <w:r>
        <w:t>Findings and discussion</w:t>
      </w:r>
    </w:p>
    <w:p w14:paraId="6016DFD3" w14:textId="39363DB8" w:rsidR="00854715" w:rsidRDefault="00854715" w:rsidP="00FA17B1">
      <w:pPr>
        <w:pStyle w:val="Heading1"/>
        <w:numPr>
          <w:ilvl w:val="1"/>
          <w:numId w:val="1"/>
        </w:numPr>
        <w:spacing w:line="240" w:lineRule="auto"/>
        <w:jc w:val="both"/>
      </w:pPr>
      <w:r>
        <w:t xml:space="preserve"> Response rate</w:t>
      </w:r>
    </w:p>
    <w:p w14:paraId="25EB2B93" w14:textId="49F35BFA" w:rsidR="00FA17B1" w:rsidRDefault="00FA17B1" w:rsidP="00FA17B1">
      <w:pPr>
        <w:spacing w:after="0" w:line="240" w:lineRule="auto"/>
        <w:jc w:val="both"/>
        <w:rPr>
          <w:rFonts w:eastAsia="Times New Roman"/>
          <w:lang w:val="en-GB" w:eastAsia="en-GB"/>
        </w:rPr>
      </w:pPr>
      <w:r>
        <w:t>Data collection was conducted between July and September 2025. Of the 400 questionnaires distributed, 336 were returned, representing an 84% return rate. However, 34 questionnaires were incomplete or improperly filled and were excluded from analysis. This yielded 302 valid responses, representing a 75.5% effective response rate. According to Khan et al. (2021), a response rate above 50% is adequate for generalization of results. The high response rate was achieved through direct delivery and collection of questionnaires by trained research assistants, with follow-up reminders to non-respondents</w:t>
      </w:r>
    </w:p>
    <w:p w14:paraId="2DB43EC2" w14:textId="3C38B9F2" w:rsidR="00AB2D58" w:rsidRPr="00AB2D58" w:rsidRDefault="00AB2D58" w:rsidP="00FA17B1">
      <w:pPr>
        <w:pStyle w:val="ListParagraph"/>
        <w:numPr>
          <w:ilvl w:val="1"/>
          <w:numId w:val="1"/>
        </w:numPr>
        <w:spacing w:after="0" w:line="240" w:lineRule="auto"/>
        <w:jc w:val="both"/>
        <w:rPr>
          <w:rFonts w:eastAsia="Times New Roman"/>
          <w:b/>
          <w:bCs/>
          <w:lang w:val="en-GB" w:eastAsia="en-GB"/>
        </w:rPr>
      </w:pPr>
      <w:r w:rsidRPr="00AB2D58">
        <w:rPr>
          <w:rFonts w:eastAsia="Times New Roman"/>
          <w:b/>
          <w:bCs/>
          <w:lang w:val="en-GB" w:eastAsia="en-GB"/>
        </w:rPr>
        <w:lastRenderedPageBreak/>
        <w:t xml:space="preserve"> Reliability and validity</w:t>
      </w:r>
    </w:p>
    <w:p w14:paraId="07CA1A19" w14:textId="77777777" w:rsidR="00423250" w:rsidRPr="00423250" w:rsidRDefault="00AB2D58" w:rsidP="00423250">
      <w:pPr>
        <w:autoSpaceDE w:val="0"/>
        <w:autoSpaceDN w:val="0"/>
        <w:adjustRightInd w:val="0"/>
        <w:spacing w:after="0" w:line="240" w:lineRule="auto"/>
        <w:jc w:val="both"/>
        <w:rPr>
          <w:lang w:val="en-GB"/>
        </w:rPr>
      </w:pPr>
      <w:r>
        <w:t xml:space="preserve">The results for reliability and validity tests are presented in table III. The dependent variable (FPT) was measured using 32 </w:t>
      </w:r>
      <w:r w:rsidRPr="00844871">
        <w:t xml:space="preserve">dimensions, that had Cronbach Alpha values of </w:t>
      </w:r>
      <w:r>
        <w:t>0.925</w:t>
      </w:r>
      <w:r w:rsidRPr="00844871">
        <w:t xml:space="preserve">. </w:t>
      </w:r>
      <w:r>
        <w:t>The four independent variables comprising of optimism, innovativeness, discomfort and security were measured using 10, 7, 10 and 9 items respectively. These predictor variables reported Cronbach alphas of 0.882, 0.804, 0.835 and 0.850 respectively. Since, all the variable had a Cronbach alpha greater than 0.7; reliability requirement was met.</w:t>
      </w:r>
      <w:r w:rsidRPr="00844871">
        <w:t xml:space="preserve"> </w:t>
      </w:r>
      <w:r w:rsidR="00423250" w:rsidRPr="00423250">
        <w:rPr>
          <w:lang w:val="en-GB"/>
        </w:rPr>
        <w:t xml:space="preserve">The Kaiser–Meyer–Olkin (KMO) statistic, which assesses sample adequacy, was employed to evaluate the extent of intercorrelations among the variables and the suitability of principal component analysis. For implementation, the values must above 0.50 for both the entire test and every variable (Hair, Black, Babin, &amp; Anderson, 2014). </w:t>
      </w:r>
    </w:p>
    <w:p w14:paraId="10EF0EAF" w14:textId="6F57F377" w:rsidR="00AB2D58" w:rsidRDefault="00AB2D58" w:rsidP="00FA17B1">
      <w:pPr>
        <w:autoSpaceDE w:val="0"/>
        <w:autoSpaceDN w:val="0"/>
        <w:adjustRightInd w:val="0"/>
        <w:spacing w:after="0" w:line="240" w:lineRule="auto"/>
        <w:jc w:val="both"/>
      </w:pPr>
      <w:r>
        <w:t>The results shown in table III confirm that the requirement was not violated</w:t>
      </w:r>
      <w:r w:rsidRPr="00844871">
        <w:t xml:space="preserve"> </w:t>
      </w:r>
    </w:p>
    <w:p w14:paraId="30E41C1D" w14:textId="131CD1C4" w:rsidR="00AB2D58" w:rsidRDefault="00AB2D58" w:rsidP="00FA17B1">
      <w:pPr>
        <w:pStyle w:val="Caption"/>
        <w:keepNext/>
        <w:jc w:val="both"/>
      </w:pPr>
      <w:r>
        <w:t>Table II</w:t>
      </w:r>
      <w:r w:rsidR="00774D55">
        <w:fldChar w:fldCharType="begin"/>
      </w:r>
      <w:r w:rsidR="00774D55">
        <w:instrText xml:space="preserve"> SEQ Table_4. \* ARABIC </w:instrText>
      </w:r>
      <w:r w:rsidR="00774D55">
        <w:fldChar w:fldCharType="separate"/>
      </w:r>
      <w:r>
        <w:rPr>
          <w:noProof/>
        </w:rPr>
        <w:t>1</w:t>
      </w:r>
      <w:r w:rsidR="00774D55">
        <w:rPr>
          <w:noProof/>
        </w:rPr>
        <w:fldChar w:fldCharType="end"/>
      </w:r>
      <w:r>
        <w:t>. Reliability and validity</w:t>
      </w:r>
    </w:p>
    <w:tbl>
      <w:tblPr>
        <w:tblStyle w:val="TableGrid"/>
        <w:tblW w:w="9360"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576"/>
        <w:gridCol w:w="1175"/>
        <w:gridCol w:w="1981"/>
        <w:gridCol w:w="871"/>
        <w:gridCol w:w="1143"/>
        <w:gridCol w:w="2614"/>
      </w:tblGrid>
      <w:tr w:rsidR="00AB2D58" w:rsidRPr="00146BEA" w14:paraId="5089038B" w14:textId="77777777" w:rsidTr="00F43583">
        <w:trPr>
          <w:trHeight w:val="535"/>
        </w:trPr>
        <w:tc>
          <w:tcPr>
            <w:tcW w:w="0" w:type="auto"/>
            <w:tcBorders>
              <w:top w:val="single" w:sz="18" w:space="0" w:color="auto"/>
              <w:bottom w:val="single" w:sz="18" w:space="0" w:color="auto"/>
            </w:tcBorders>
          </w:tcPr>
          <w:p w14:paraId="42A180C6" w14:textId="77777777" w:rsidR="00AB2D58" w:rsidRPr="00146BEA" w:rsidRDefault="00AB2D58" w:rsidP="00FA17B1">
            <w:pPr>
              <w:autoSpaceDE w:val="0"/>
              <w:autoSpaceDN w:val="0"/>
              <w:adjustRightInd w:val="0"/>
              <w:rPr>
                <w:sz w:val="24"/>
                <w:szCs w:val="24"/>
              </w:rPr>
            </w:pPr>
            <w:r w:rsidRPr="00146BEA">
              <w:rPr>
                <w:sz w:val="24"/>
                <w:szCs w:val="24"/>
              </w:rPr>
              <w:t>Variable</w:t>
            </w:r>
          </w:p>
        </w:tc>
        <w:tc>
          <w:tcPr>
            <w:tcW w:w="0" w:type="auto"/>
            <w:tcBorders>
              <w:top w:val="single" w:sz="18" w:space="0" w:color="auto"/>
              <w:bottom w:val="single" w:sz="18" w:space="0" w:color="auto"/>
            </w:tcBorders>
          </w:tcPr>
          <w:p w14:paraId="48D61341" w14:textId="77777777" w:rsidR="00AB2D58" w:rsidRPr="00146BEA" w:rsidRDefault="00AB2D58" w:rsidP="00FA17B1">
            <w:pPr>
              <w:autoSpaceDE w:val="0"/>
              <w:autoSpaceDN w:val="0"/>
              <w:adjustRightInd w:val="0"/>
              <w:rPr>
                <w:sz w:val="24"/>
                <w:szCs w:val="24"/>
              </w:rPr>
            </w:pPr>
            <w:r w:rsidRPr="00146BEA">
              <w:rPr>
                <w:sz w:val="24"/>
                <w:szCs w:val="24"/>
              </w:rPr>
              <w:t>KMO</w:t>
            </w:r>
          </w:p>
        </w:tc>
        <w:tc>
          <w:tcPr>
            <w:tcW w:w="0" w:type="auto"/>
            <w:tcBorders>
              <w:top w:val="single" w:sz="18" w:space="0" w:color="auto"/>
              <w:bottom w:val="single" w:sz="18" w:space="0" w:color="auto"/>
            </w:tcBorders>
          </w:tcPr>
          <w:p w14:paraId="57AD90F5" w14:textId="77777777" w:rsidR="00AB2D58" w:rsidRPr="00146BEA" w:rsidRDefault="00AB2D58" w:rsidP="00FA17B1">
            <w:pPr>
              <w:autoSpaceDE w:val="0"/>
              <w:autoSpaceDN w:val="0"/>
              <w:adjustRightInd w:val="0"/>
              <w:rPr>
                <w:sz w:val="24"/>
                <w:szCs w:val="24"/>
              </w:rPr>
            </w:pPr>
            <w:r w:rsidRPr="00146BEA">
              <w:rPr>
                <w:color w:val="264A60"/>
                <w:sz w:val="24"/>
                <w:szCs w:val="24"/>
              </w:rPr>
              <w:t>Chi-Square</w:t>
            </w:r>
          </w:p>
        </w:tc>
        <w:tc>
          <w:tcPr>
            <w:tcW w:w="0" w:type="auto"/>
            <w:tcBorders>
              <w:top w:val="single" w:sz="18" w:space="0" w:color="auto"/>
              <w:bottom w:val="single" w:sz="18" w:space="0" w:color="auto"/>
            </w:tcBorders>
          </w:tcPr>
          <w:p w14:paraId="389EF9DF" w14:textId="77777777" w:rsidR="00AB2D58" w:rsidRPr="00146BEA" w:rsidRDefault="00AB2D58" w:rsidP="00FA17B1">
            <w:pPr>
              <w:autoSpaceDE w:val="0"/>
              <w:autoSpaceDN w:val="0"/>
              <w:adjustRightInd w:val="0"/>
              <w:rPr>
                <w:sz w:val="24"/>
                <w:szCs w:val="24"/>
              </w:rPr>
            </w:pPr>
            <w:r w:rsidRPr="00146BEA">
              <w:rPr>
                <w:sz w:val="24"/>
                <w:szCs w:val="24"/>
              </w:rPr>
              <w:t>Df</w:t>
            </w:r>
          </w:p>
        </w:tc>
        <w:tc>
          <w:tcPr>
            <w:tcW w:w="0" w:type="auto"/>
            <w:tcBorders>
              <w:top w:val="single" w:sz="18" w:space="0" w:color="auto"/>
              <w:bottom w:val="single" w:sz="18" w:space="0" w:color="auto"/>
            </w:tcBorders>
          </w:tcPr>
          <w:p w14:paraId="45E4A4F2" w14:textId="77777777" w:rsidR="00AB2D58" w:rsidRPr="00146BEA" w:rsidRDefault="00AB2D58" w:rsidP="00FA17B1">
            <w:pPr>
              <w:autoSpaceDE w:val="0"/>
              <w:autoSpaceDN w:val="0"/>
              <w:adjustRightInd w:val="0"/>
              <w:rPr>
                <w:sz w:val="24"/>
                <w:szCs w:val="24"/>
              </w:rPr>
            </w:pPr>
            <w:r w:rsidRPr="00146BEA">
              <w:rPr>
                <w:sz w:val="24"/>
                <w:szCs w:val="24"/>
              </w:rPr>
              <w:t>Sig</w:t>
            </w:r>
          </w:p>
        </w:tc>
        <w:tc>
          <w:tcPr>
            <w:tcW w:w="0" w:type="auto"/>
            <w:tcBorders>
              <w:top w:val="single" w:sz="18" w:space="0" w:color="auto"/>
              <w:bottom w:val="single" w:sz="18" w:space="0" w:color="auto"/>
            </w:tcBorders>
          </w:tcPr>
          <w:p w14:paraId="6F98B5F2" w14:textId="77777777" w:rsidR="00AB2D58" w:rsidRPr="00146BEA" w:rsidRDefault="00AB2D58" w:rsidP="00FA17B1">
            <w:pPr>
              <w:autoSpaceDE w:val="0"/>
              <w:autoSpaceDN w:val="0"/>
              <w:adjustRightInd w:val="0"/>
            </w:pPr>
            <w:r>
              <w:rPr>
                <w:sz w:val="24"/>
                <w:szCs w:val="24"/>
              </w:rPr>
              <w:t>Cronbach alpha</w:t>
            </w:r>
          </w:p>
        </w:tc>
      </w:tr>
      <w:tr w:rsidR="00AB2D58" w:rsidRPr="00146BEA" w14:paraId="68A50BA9" w14:textId="77777777" w:rsidTr="00F43583">
        <w:trPr>
          <w:trHeight w:val="473"/>
        </w:trPr>
        <w:tc>
          <w:tcPr>
            <w:tcW w:w="0" w:type="auto"/>
            <w:tcBorders>
              <w:top w:val="single" w:sz="18" w:space="0" w:color="auto"/>
            </w:tcBorders>
          </w:tcPr>
          <w:p w14:paraId="3359C470" w14:textId="06074F12" w:rsidR="00AB2D58" w:rsidRPr="00146BEA" w:rsidRDefault="00AB2D58" w:rsidP="00FA17B1">
            <w:pPr>
              <w:autoSpaceDE w:val="0"/>
              <w:autoSpaceDN w:val="0"/>
              <w:adjustRightInd w:val="0"/>
              <w:rPr>
                <w:sz w:val="24"/>
                <w:szCs w:val="24"/>
              </w:rPr>
            </w:pPr>
            <w:r w:rsidRPr="00146BEA">
              <w:rPr>
                <w:sz w:val="24"/>
                <w:szCs w:val="24"/>
              </w:rPr>
              <w:t>F</w:t>
            </w:r>
            <w:r w:rsidR="00014887">
              <w:rPr>
                <w:sz w:val="24"/>
                <w:szCs w:val="24"/>
              </w:rPr>
              <w:t>DP</w:t>
            </w:r>
          </w:p>
        </w:tc>
        <w:tc>
          <w:tcPr>
            <w:tcW w:w="0" w:type="auto"/>
            <w:tcBorders>
              <w:top w:val="single" w:sz="18" w:space="0" w:color="auto"/>
            </w:tcBorders>
          </w:tcPr>
          <w:p w14:paraId="15D1C778" w14:textId="77777777" w:rsidR="00AB2D58" w:rsidRPr="00146BEA" w:rsidRDefault="00AB2D58" w:rsidP="00FA17B1">
            <w:pPr>
              <w:autoSpaceDE w:val="0"/>
              <w:autoSpaceDN w:val="0"/>
              <w:adjustRightInd w:val="0"/>
              <w:rPr>
                <w:sz w:val="24"/>
                <w:szCs w:val="24"/>
              </w:rPr>
            </w:pPr>
            <w:r w:rsidRPr="00146BEA">
              <w:rPr>
                <w:sz w:val="24"/>
                <w:szCs w:val="24"/>
              </w:rPr>
              <w:t>.882</w:t>
            </w:r>
          </w:p>
        </w:tc>
        <w:tc>
          <w:tcPr>
            <w:tcW w:w="0" w:type="auto"/>
            <w:tcBorders>
              <w:top w:val="single" w:sz="18" w:space="0" w:color="auto"/>
            </w:tcBorders>
          </w:tcPr>
          <w:p w14:paraId="2BDE04B6" w14:textId="77777777" w:rsidR="00AB2D58" w:rsidRPr="00146BEA" w:rsidRDefault="00AB2D58" w:rsidP="00FA17B1">
            <w:pPr>
              <w:autoSpaceDE w:val="0"/>
              <w:autoSpaceDN w:val="0"/>
              <w:adjustRightInd w:val="0"/>
              <w:rPr>
                <w:sz w:val="24"/>
                <w:szCs w:val="24"/>
              </w:rPr>
            </w:pPr>
            <w:r w:rsidRPr="00146BEA">
              <w:rPr>
                <w:sz w:val="24"/>
                <w:szCs w:val="24"/>
              </w:rPr>
              <w:t>4572.285</w:t>
            </w:r>
          </w:p>
        </w:tc>
        <w:tc>
          <w:tcPr>
            <w:tcW w:w="0" w:type="auto"/>
            <w:tcBorders>
              <w:top w:val="single" w:sz="18" w:space="0" w:color="auto"/>
            </w:tcBorders>
          </w:tcPr>
          <w:p w14:paraId="7F6783D8" w14:textId="77777777" w:rsidR="00AB2D58" w:rsidRPr="00146BEA" w:rsidRDefault="00AB2D58" w:rsidP="00FA17B1">
            <w:pPr>
              <w:autoSpaceDE w:val="0"/>
              <w:autoSpaceDN w:val="0"/>
              <w:adjustRightInd w:val="0"/>
              <w:rPr>
                <w:sz w:val="24"/>
                <w:szCs w:val="24"/>
              </w:rPr>
            </w:pPr>
            <w:r w:rsidRPr="00146BEA">
              <w:rPr>
                <w:sz w:val="24"/>
                <w:szCs w:val="24"/>
              </w:rPr>
              <w:t>496</w:t>
            </w:r>
          </w:p>
        </w:tc>
        <w:tc>
          <w:tcPr>
            <w:tcW w:w="0" w:type="auto"/>
            <w:tcBorders>
              <w:top w:val="single" w:sz="18" w:space="0" w:color="auto"/>
            </w:tcBorders>
          </w:tcPr>
          <w:p w14:paraId="4139EB7B" w14:textId="77777777" w:rsidR="00AB2D58" w:rsidRPr="00146BEA" w:rsidRDefault="00AB2D58" w:rsidP="00FA17B1">
            <w:pPr>
              <w:autoSpaceDE w:val="0"/>
              <w:autoSpaceDN w:val="0"/>
              <w:adjustRightInd w:val="0"/>
              <w:rPr>
                <w:sz w:val="24"/>
                <w:szCs w:val="24"/>
              </w:rPr>
            </w:pPr>
            <w:r w:rsidRPr="00146BEA">
              <w:rPr>
                <w:sz w:val="24"/>
                <w:szCs w:val="24"/>
              </w:rPr>
              <w:t>0.000</w:t>
            </w:r>
          </w:p>
        </w:tc>
        <w:tc>
          <w:tcPr>
            <w:tcW w:w="0" w:type="auto"/>
            <w:tcBorders>
              <w:top w:val="single" w:sz="18" w:space="0" w:color="auto"/>
            </w:tcBorders>
          </w:tcPr>
          <w:p w14:paraId="660BAAD1" w14:textId="77777777" w:rsidR="00AB2D58" w:rsidRPr="00146BEA" w:rsidRDefault="00AB2D58" w:rsidP="00FA17B1">
            <w:pPr>
              <w:autoSpaceDE w:val="0"/>
              <w:autoSpaceDN w:val="0"/>
              <w:adjustRightInd w:val="0"/>
            </w:pPr>
            <w:r w:rsidRPr="008C65CE">
              <w:rPr>
                <w:sz w:val="24"/>
                <w:szCs w:val="24"/>
                <w:highlight w:val="yellow"/>
              </w:rPr>
              <w:t>.925</w:t>
            </w:r>
          </w:p>
        </w:tc>
      </w:tr>
      <w:tr w:rsidR="00AB2D58" w:rsidRPr="00146BEA" w14:paraId="72D8B4A0" w14:textId="77777777" w:rsidTr="00F43583">
        <w:trPr>
          <w:trHeight w:val="451"/>
        </w:trPr>
        <w:tc>
          <w:tcPr>
            <w:tcW w:w="0" w:type="auto"/>
          </w:tcPr>
          <w:p w14:paraId="444FD619" w14:textId="483E9E21" w:rsidR="00AB2D58" w:rsidRPr="00146BEA" w:rsidRDefault="00AB2D58" w:rsidP="00FA17B1">
            <w:pPr>
              <w:autoSpaceDE w:val="0"/>
              <w:autoSpaceDN w:val="0"/>
              <w:adjustRightInd w:val="0"/>
              <w:rPr>
                <w:sz w:val="24"/>
                <w:szCs w:val="24"/>
              </w:rPr>
            </w:pPr>
            <w:r w:rsidRPr="00146BEA">
              <w:rPr>
                <w:sz w:val="24"/>
                <w:szCs w:val="24"/>
              </w:rPr>
              <w:t>T</w:t>
            </w:r>
            <w:r w:rsidR="00014887">
              <w:rPr>
                <w:sz w:val="24"/>
                <w:szCs w:val="24"/>
              </w:rPr>
              <w:t>O</w:t>
            </w:r>
            <w:r w:rsidRPr="00146BEA">
              <w:rPr>
                <w:sz w:val="24"/>
                <w:szCs w:val="24"/>
              </w:rPr>
              <w:t>P</w:t>
            </w:r>
          </w:p>
        </w:tc>
        <w:tc>
          <w:tcPr>
            <w:tcW w:w="0" w:type="auto"/>
          </w:tcPr>
          <w:p w14:paraId="45D55EF0" w14:textId="77777777" w:rsidR="00AB2D58" w:rsidRPr="00146BEA" w:rsidRDefault="00AB2D58" w:rsidP="00FA17B1">
            <w:pPr>
              <w:autoSpaceDE w:val="0"/>
              <w:autoSpaceDN w:val="0"/>
              <w:adjustRightInd w:val="0"/>
              <w:rPr>
                <w:sz w:val="24"/>
                <w:szCs w:val="24"/>
              </w:rPr>
            </w:pPr>
            <w:r w:rsidRPr="00146BEA">
              <w:rPr>
                <w:sz w:val="24"/>
                <w:szCs w:val="24"/>
              </w:rPr>
              <w:t>.894</w:t>
            </w:r>
          </w:p>
        </w:tc>
        <w:tc>
          <w:tcPr>
            <w:tcW w:w="0" w:type="auto"/>
          </w:tcPr>
          <w:p w14:paraId="25A7FF92" w14:textId="77777777" w:rsidR="00AB2D58" w:rsidRPr="00146BEA" w:rsidRDefault="00AB2D58" w:rsidP="00FA17B1">
            <w:pPr>
              <w:autoSpaceDE w:val="0"/>
              <w:autoSpaceDN w:val="0"/>
              <w:adjustRightInd w:val="0"/>
              <w:rPr>
                <w:sz w:val="24"/>
                <w:szCs w:val="24"/>
              </w:rPr>
            </w:pPr>
            <w:r w:rsidRPr="00146BEA">
              <w:rPr>
                <w:sz w:val="24"/>
                <w:szCs w:val="24"/>
              </w:rPr>
              <w:t>1245.319</w:t>
            </w:r>
          </w:p>
        </w:tc>
        <w:tc>
          <w:tcPr>
            <w:tcW w:w="0" w:type="auto"/>
          </w:tcPr>
          <w:p w14:paraId="39044A79" w14:textId="77777777" w:rsidR="00AB2D58" w:rsidRPr="00146BEA" w:rsidRDefault="00AB2D58" w:rsidP="00FA17B1">
            <w:pPr>
              <w:autoSpaceDE w:val="0"/>
              <w:autoSpaceDN w:val="0"/>
              <w:adjustRightInd w:val="0"/>
              <w:rPr>
                <w:sz w:val="24"/>
                <w:szCs w:val="24"/>
              </w:rPr>
            </w:pPr>
            <w:r w:rsidRPr="00146BEA">
              <w:rPr>
                <w:sz w:val="24"/>
                <w:szCs w:val="24"/>
              </w:rPr>
              <w:t>45</w:t>
            </w:r>
          </w:p>
        </w:tc>
        <w:tc>
          <w:tcPr>
            <w:tcW w:w="0" w:type="auto"/>
          </w:tcPr>
          <w:p w14:paraId="74A9D3E7" w14:textId="77777777" w:rsidR="00AB2D58" w:rsidRPr="00146BEA" w:rsidRDefault="00AB2D58" w:rsidP="00FA17B1">
            <w:pPr>
              <w:autoSpaceDE w:val="0"/>
              <w:autoSpaceDN w:val="0"/>
              <w:adjustRightInd w:val="0"/>
              <w:rPr>
                <w:sz w:val="24"/>
                <w:szCs w:val="24"/>
              </w:rPr>
            </w:pPr>
            <w:r w:rsidRPr="00146BEA">
              <w:rPr>
                <w:sz w:val="24"/>
                <w:szCs w:val="24"/>
              </w:rPr>
              <w:t>0.000</w:t>
            </w:r>
          </w:p>
        </w:tc>
        <w:tc>
          <w:tcPr>
            <w:tcW w:w="0" w:type="auto"/>
          </w:tcPr>
          <w:p w14:paraId="32333DDA" w14:textId="77777777" w:rsidR="00AB2D58" w:rsidRPr="00146BEA" w:rsidRDefault="00AB2D58" w:rsidP="00FA17B1">
            <w:pPr>
              <w:autoSpaceDE w:val="0"/>
              <w:autoSpaceDN w:val="0"/>
              <w:adjustRightInd w:val="0"/>
            </w:pPr>
            <w:r w:rsidRPr="00146BEA">
              <w:rPr>
                <w:sz w:val="24"/>
                <w:szCs w:val="24"/>
              </w:rPr>
              <w:t>.</w:t>
            </w:r>
            <w:r>
              <w:rPr>
                <w:sz w:val="24"/>
                <w:szCs w:val="24"/>
              </w:rPr>
              <w:t>882</w:t>
            </w:r>
          </w:p>
        </w:tc>
      </w:tr>
      <w:tr w:rsidR="00AB2D58" w:rsidRPr="00146BEA" w14:paraId="7DBC098E" w14:textId="77777777" w:rsidTr="00F43583">
        <w:trPr>
          <w:trHeight w:val="473"/>
        </w:trPr>
        <w:tc>
          <w:tcPr>
            <w:tcW w:w="0" w:type="auto"/>
          </w:tcPr>
          <w:p w14:paraId="7E96558F" w14:textId="77777777" w:rsidR="00AB2D58" w:rsidRPr="00146BEA" w:rsidRDefault="00AB2D58" w:rsidP="00FA17B1">
            <w:pPr>
              <w:autoSpaceDE w:val="0"/>
              <w:autoSpaceDN w:val="0"/>
              <w:adjustRightInd w:val="0"/>
              <w:rPr>
                <w:sz w:val="24"/>
                <w:szCs w:val="24"/>
              </w:rPr>
            </w:pPr>
            <w:r w:rsidRPr="00146BEA">
              <w:rPr>
                <w:sz w:val="24"/>
                <w:szCs w:val="24"/>
              </w:rPr>
              <w:t>INV</w:t>
            </w:r>
          </w:p>
        </w:tc>
        <w:tc>
          <w:tcPr>
            <w:tcW w:w="0" w:type="auto"/>
          </w:tcPr>
          <w:p w14:paraId="685D3D77" w14:textId="77777777" w:rsidR="00AB2D58" w:rsidRPr="00146BEA" w:rsidRDefault="00AB2D58" w:rsidP="00FA17B1">
            <w:pPr>
              <w:autoSpaceDE w:val="0"/>
              <w:autoSpaceDN w:val="0"/>
              <w:adjustRightInd w:val="0"/>
              <w:rPr>
                <w:sz w:val="24"/>
                <w:szCs w:val="24"/>
              </w:rPr>
            </w:pPr>
            <w:r w:rsidRPr="00146BEA">
              <w:rPr>
                <w:sz w:val="24"/>
                <w:szCs w:val="24"/>
              </w:rPr>
              <w:t>.854</w:t>
            </w:r>
          </w:p>
        </w:tc>
        <w:tc>
          <w:tcPr>
            <w:tcW w:w="0" w:type="auto"/>
          </w:tcPr>
          <w:p w14:paraId="5C0BFB6F" w14:textId="77777777" w:rsidR="00AB2D58" w:rsidRPr="00146BEA" w:rsidRDefault="00AB2D58" w:rsidP="00FA17B1">
            <w:pPr>
              <w:autoSpaceDE w:val="0"/>
              <w:autoSpaceDN w:val="0"/>
              <w:adjustRightInd w:val="0"/>
              <w:rPr>
                <w:sz w:val="24"/>
                <w:szCs w:val="24"/>
              </w:rPr>
            </w:pPr>
            <w:r w:rsidRPr="00146BEA">
              <w:rPr>
                <w:sz w:val="24"/>
                <w:szCs w:val="24"/>
              </w:rPr>
              <w:t>659.644</w:t>
            </w:r>
          </w:p>
        </w:tc>
        <w:tc>
          <w:tcPr>
            <w:tcW w:w="0" w:type="auto"/>
          </w:tcPr>
          <w:p w14:paraId="52B9BF2B" w14:textId="77777777" w:rsidR="00AB2D58" w:rsidRPr="00146BEA" w:rsidRDefault="00AB2D58" w:rsidP="00FA17B1">
            <w:pPr>
              <w:autoSpaceDE w:val="0"/>
              <w:autoSpaceDN w:val="0"/>
              <w:adjustRightInd w:val="0"/>
              <w:rPr>
                <w:sz w:val="24"/>
                <w:szCs w:val="24"/>
              </w:rPr>
            </w:pPr>
            <w:r w:rsidRPr="00146BEA">
              <w:rPr>
                <w:sz w:val="24"/>
                <w:szCs w:val="24"/>
              </w:rPr>
              <w:t>21</w:t>
            </w:r>
          </w:p>
        </w:tc>
        <w:tc>
          <w:tcPr>
            <w:tcW w:w="0" w:type="auto"/>
          </w:tcPr>
          <w:p w14:paraId="3AE7B966" w14:textId="77777777" w:rsidR="00AB2D58" w:rsidRPr="00146BEA" w:rsidRDefault="00AB2D58" w:rsidP="00FA17B1">
            <w:pPr>
              <w:autoSpaceDE w:val="0"/>
              <w:autoSpaceDN w:val="0"/>
              <w:adjustRightInd w:val="0"/>
              <w:rPr>
                <w:sz w:val="24"/>
                <w:szCs w:val="24"/>
              </w:rPr>
            </w:pPr>
            <w:r w:rsidRPr="00146BEA">
              <w:rPr>
                <w:sz w:val="24"/>
                <w:szCs w:val="24"/>
              </w:rPr>
              <w:t>0.000</w:t>
            </w:r>
          </w:p>
        </w:tc>
        <w:tc>
          <w:tcPr>
            <w:tcW w:w="0" w:type="auto"/>
          </w:tcPr>
          <w:p w14:paraId="66C063A8" w14:textId="77777777" w:rsidR="00AB2D58" w:rsidRPr="00146BEA" w:rsidRDefault="00AB2D58" w:rsidP="00FA17B1">
            <w:pPr>
              <w:autoSpaceDE w:val="0"/>
              <w:autoSpaceDN w:val="0"/>
              <w:adjustRightInd w:val="0"/>
            </w:pPr>
            <w:r w:rsidRPr="00146BEA">
              <w:rPr>
                <w:sz w:val="24"/>
                <w:szCs w:val="24"/>
              </w:rPr>
              <w:t>.</w:t>
            </w:r>
            <w:r>
              <w:rPr>
                <w:sz w:val="24"/>
                <w:szCs w:val="24"/>
              </w:rPr>
              <w:t>804</w:t>
            </w:r>
          </w:p>
        </w:tc>
      </w:tr>
      <w:tr w:rsidR="00AB2D58" w:rsidRPr="00146BEA" w14:paraId="228DB785" w14:textId="77777777" w:rsidTr="00F43583">
        <w:trPr>
          <w:trHeight w:val="473"/>
        </w:trPr>
        <w:tc>
          <w:tcPr>
            <w:tcW w:w="0" w:type="auto"/>
          </w:tcPr>
          <w:p w14:paraId="31C79183" w14:textId="77777777" w:rsidR="00AB2D58" w:rsidRPr="00146BEA" w:rsidRDefault="00AB2D58" w:rsidP="00FA17B1">
            <w:pPr>
              <w:autoSpaceDE w:val="0"/>
              <w:autoSpaceDN w:val="0"/>
              <w:adjustRightInd w:val="0"/>
              <w:rPr>
                <w:sz w:val="24"/>
                <w:szCs w:val="24"/>
              </w:rPr>
            </w:pPr>
            <w:r w:rsidRPr="00146BEA">
              <w:rPr>
                <w:sz w:val="24"/>
                <w:szCs w:val="24"/>
              </w:rPr>
              <w:t>DIS</w:t>
            </w:r>
          </w:p>
        </w:tc>
        <w:tc>
          <w:tcPr>
            <w:tcW w:w="0" w:type="auto"/>
          </w:tcPr>
          <w:p w14:paraId="50260B0E" w14:textId="77777777" w:rsidR="00AB2D58" w:rsidRPr="00146BEA" w:rsidRDefault="00AB2D58" w:rsidP="00FA17B1">
            <w:pPr>
              <w:autoSpaceDE w:val="0"/>
              <w:autoSpaceDN w:val="0"/>
              <w:adjustRightInd w:val="0"/>
              <w:rPr>
                <w:sz w:val="24"/>
                <w:szCs w:val="24"/>
              </w:rPr>
            </w:pPr>
            <w:r w:rsidRPr="00146BEA">
              <w:rPr>
                <w:sz w:val="24"/>
                <w:szCs w:val="24"/>
              </w:rPr>
              <w:t>.826</w:t>
            </w:r>
          </w:p>
        </w:tc>
        <w:tc>
          <w:tcPr>
            <w:tcW w:w="0" w:type="auto"/>
          </w:tcPr>
          <w:p w14:paraId="5E830854" w14:textId="77777777" w:rsidR="00AB2D58" w:rsidRPr="00146BEA" w:rsidRDefault="00AB2D58" w:rsidP="00FA17B1">
            <w:pPr>
              <w:autoSpaceDE w:val="0"/>
              <w:autoSpaceDN w:val="0"/>
              <w:adjustRightInd w:val="0"/>
              <w:rPr>
                <w:sz w:val="24"/>
                <w:szCs w:val="24"/>
              </w:rPr>
            </w:pPr>
            <w:r w:rsidRPr="00146BEA">
              <w:rPr>
                <w:sz w:val="24"/>
                <w:szCs w:val="24"/>
              </w:rPr>
              <w:t>1208.629</w:t>
            </w:r>
          </w:p>
        </w:tc>
        <w:tc>
          <w:tcPr>
            <w:tcW w:w="0" w:type="auto"/>
          </w:tcPr>
          <w:p w14:paraId="63E35C19" w14:textId="77777777" w:rsidR="00AB2D58" w:rsidRPr="00146BEA" w:rsidRDefault="00AB2D58" w:rsidP="00FA17B1">
            <w:pPr>
              <w:autoSpaceDE w:val="0"/>
              <w:autoSpaceDN w:val="0"/>
              <w:adjustRightInd w:val="0"/>
              <w:rPr>
                <w:sz w:val="24"/>
                <w:szCs w:val="24"/>
              </w:rPr>
            </w:pPr>
            <w:r w:rsidRPr="00146BEA">
              <w:rPr>
                <w:sz w:val="24"/>
                <w:szCs w:val="24"/>
              </w:rPr>
              <w:t>45</w:t>
            </w:r>
          </w:p>
        </w:tc>
        <w:tc>
          <w:tcPr>
            <w:tcW w:w="0" w:type="auto"/>
          </w:tcPr>
          <w:p w14:paraId="24512644" w14:textId="77777777" w:rsidR="00AB2D58" w:rsidRPr="00146BEA" w:rsidRDefault="00AB2D58" w:rsidP="00FA17B1">
            <w:pPr>
              <w:autoSpaceDE w:val="0"/>
              <w:autoSpaceDN w:val="0"/>
              <w:adjustRightInd w:val="0"/>
              <w:rPr>
                <w:sz w:val="24"/>
                <w:szCs w:val="24"/>
              </w:rPr>
            </w:pPr>
            <w:r w:rsidRPr="00146BEA">
              <w:rPr>
                <w:sz w:val="24"/>
                <w:szCs w:val="24"/>
              </w:rPr>
              <w:t>0.000</w:t>
            </w:r>
          </w:p>
        </w:tc>
        <w:tc>
          <w:tcPr>
            <w:tcW w:w="0" w:type="auto"/>
          </w:tcPr>
          <w:p w14:paraId="5835C9DB" w14:textId="77777777" w:rsidR="00AB2D58" w:rsidRPr="00146BEA" w:rsidRDefault="00AB2D58" w:rsidP="00FA17B1">
            <w:pPr>
              <w:autoSpaceDE w:val="0"/>
              <w:autoSpaceDN w:val="0"/>
              <w:adjustRightInd w:val="0"/>
            </w:pPr>
            <w:r w:rsidRPr="00146BEA">
              <w:rPr>
                <w:sz w:val="24"/>
                <w:szCs w:val="24"/>
              </w:rPr>
              <w:t>.</w:t>
            </w:r>
            <w:r>
              <w:rPr>
                <w:sz w:val="24"/>
                <w:szCs w:val="24"/>
              </w:rPr>
              <w:t>835</w:t>
            </w:r>
          </w:p>
        </w:tc>
      </w:tr>
      <w:tr w:rsidR="00AB2D58" w:rsidRPr="00146BEA" w14:paraId="4CD04B78" w14:textId="77777777" w:rsidTr="00F43583">
        <w:trPr>
          <w:trHeight w:val="473"/>
        </w:trPr>
        <w:tc>
          <w:tcPr>
            <w:tcW w:w="0" w:type="auto"/>
          </w:tcPr>
          <w:p w14:paraId="31C61E71" w14:textId="77777777" w:rsidR="00AB2D58" w:rsidRPr="00146BEA" w:rsidRDefault="00AB2D58" w:rsidP="00FA17B1">
            <w:pPr>
              <w:autoSpaceDE w:val="0"/>
              <w:autoSpaceDN w:val="0"/>
              <w:adjustRightInd w:val="0"/>
              <w:rPr>
                <w:sz w:val="24"/>
                <w:szCs w:val="24"/>
              </w:rPr>
            </w:pPr>
            <w:r w:rsidRPr="00146BEA">
              <w:rPr>
                <w:sz w:val="24"/>
                <w:szCs w:val="24"/>
              </w:rPr>
              <w:t>INS</w:t>
            </w:r>
          </w:p>
        </w:tc>
        <w:tc>
          <w:tcPr>
            <w:tcW w:w="0" w:type="auto"/>
          </w:tcPr>
          <w:p w14:paraId="188AA693" w14:textId="77777777" w:rsidR="00AB2D58" w:rsidRPr="00146BEA" w:rsidRDefault="00AB2D58" w:rsidP="00FA17B1">
            <w:pPr>
              <w:autoSpaceDE w:val="0"/>
              <w:autoSpaceDN w:val="0"/>
              <w:adjustRightInd w:val="0"/>
              <w:rPr>
                <w:sz w:val="24"/>
                <w:szCs w:val="24"/>
              </w:rPr>
            </w:pPr>
            <w:r w:rsidRPr="00146BEA">
              <w:rPr>
                <w:sz w:val="24"/>
                <w:szCs w:val="24"/>
              </w:rPr>
              <w:t>.822</w:t>
            </w:r>
          </w:p>
        </w:tc>
        <w:tc>
          <w:tcPr>
            <w:tcW w:w="0" w:type="auto"/>
          </w:tcPr>
          <w:p w14:paraId="1A2520DC" w14:textId="77777777" w:rsidR="00AB2D58" w:rsidRPr="00146BEA" w:rsidRDefault="00AB2D58" w:rsidP="00FA17B1">
            <w:pPr>
              <w:autoSpaceDE w:val="0"/>
              <w:autoSpaceDN w:val="0"/>
              <w:adjustRightInd w:val="0"/>
              <w:rPr>
                <w:sz w:val="24"/>
                <w:szCs w:val="24"/>
              </w:rPr>
            </w:pPr>
            <w:r w:rsidRPr="00146BEA">
              <w:rPr>
                <w:sz w:val="24"/>
                <w:szCs w:val="24"/>
              </w:rPr>
              <w:t>1417.515</w:t>
            </w:r>
          </w:p>
        </w:tc>
        <w:tc>
          <w:tcPr>
            <w:tcW w:w="0" w:type="auto"/>
          </w:tcPr>
          <w:p w14:paraId="1D6A4807" w14:textId="77777777" w:rsidR="00AB2D58" w:rsidRPr="00146BEA" w:rsidRDefault="00AB2D58" w:rsidP="00FA17B1">
            <w:pPr>
              <w:autoSpaceDE w:val="0"/>
              <w:autoSpaceDN w:val="0"/>
              <w:adjustRightInd w:val="0"/>
              <w:rPr>
                <w:sz w:val="24"/>
                <w:szCs w:val="24"/>
              </w:rPr>
            </w:pPr>
            <w:r w:rsidRPr="00146BEA">
              <w:rPr>
                <w:sz w:val="24"/>
                <w:szCs w:val="24"/>
              </w:rPr>
              <w:t>36</w:t>
            </w:r>
          </w:p>
        </w:tc>
        <w:tc>
          <w:tcPr>
            <w:tcW w:w="0" w:type="auto"/>
          </w:tcPr>
          <w:p w14:paraId="1159FF8D" w14:textId="77777777" w:rsidR="00AB2D58" w:rsidRPr="00146BEA" w:rsidRDefault="00AB2D58" w:rsidP="00FA17B1">
            <w:pPr>
              <w:autoSpaceDE w:val="0"/>
              <w:autoSpaceDN w:val="0"/>
              <w:adjustRightInd w:val="0"/>
              <w:rPr>
                <w:sz w:val="24"/>
                <w:szCs w:val="24"/>
              </w:rPr>
            </w:pPr>
            <w:r w:rsidRPr="00146BEA">
              <w:rPr>
                <w:sz w:val="24"/>
                <w:szCs w:val="24"/>
              </w:rPr>
              <w:t>0.000</w:t>
            </w:r>
          </w:p>
        </w:tc>
        <w:tc>
          <w:tcPr>
            <w:tcW w:w="0" w:type="auto"/>
          </w:tcPr>
          <w:p w14:paraId="44AD70E1" w14:textId="77777777" w:rsidR="00AB2D58" w:rsidRPr="00146BEA" w:rsidRDefault="00AB2D58" w:rsidP="00FA17B1">
            <w:pPr>
              <w:autoSpaceDE w:val="0"/>
              <w:autoSpaceDN w:val="0"/>
              <w:adjustRightInd w:val="0"/>
            </w:pPr>
            <w:r w:rsidRPr="00146BEA">
              <w:rPr>
                <w:sz w:val="24"/>
                <w:szCs w:val="24"/>
              </w:rPr>
              <w:t>.</w:t>
            </w:r>
            <w:r>
              <w:rPr>
                <w:sz w:val="24"/>
                <w:szCs w:val="24"/>
              </w:rPr>
              <w:t>850</w:t>
            </w:r>
          </w:p>
        </w:tc>
      </w:tr>
    </w:tbl>
    <w:p w14:paraId="4405BD15" w14:textId="77777777" w:rsidR="00387A19" w:rsidRPr="00387A19" w:rsidRDefault="00387A19" w:rsidP="00FA17B1">
      <w:pPr>
        <w:autoSpaceDE w:val="0"/>
        <w:autoSpaceDN w:val="0"/>
        <w:adjustRightInd w:val="0"/>
        <w:spacing w:after="0" w:line="240" w:lineRule="auto"/>
        <w:jc w:val="both"/>
        <w:rPr>
          <w:b/>
          <w:bCs/>
        </w:rPr>
      </w:pPr>
      <w:r w:rsidRPr="00387A19">
        <w:rPr>
          <w:b/>
          <w:bCs/>
        </w:rPr>
        <w:t>Source: Field data (2025)</w:t>
      </w:r>
    </w:p>
    <w:p w14:paraId="2603EB38" w14:textId="192E7B7B" w:rsidR="00D7349D" w:rsidRPr="00AB6A30" w:rsidRDefault="00D7349D" w:rsidP="00FA17B1">
      <w:pPr>
        <w:pStyle w:val="ListParagraph"/>
        <w:numPr>
          <w:ilvl w:val="1"/>
          <w:numId w:val="1"/>
        </w:numPr>
        <w:spacing w:after="0" w:line="240" w:lineRule="auto"/>
        <w:jc w:val="both"/>
        <w:rPr>
          <w:rFonts w:eastAsia="Times New Roman"/>
          <w:b/>
          <w:bCs/>
          <w:lang w:val="en-GB" w:eastAsia="en-GB"/>
        </w:rPr>
      </w:pPr>
      <w:r w:rsidRPr="00AB6A30">
        <w:rPr>
          <w:b/>
          <w:bCs/>
        </w:rPr>
        <w:t>Descriptive Statistics</w:t>
      </w:r>
      <w:bookmarkEnd w:id="3"/>
    </w:p>
    <w:p w14:paraId="2CE47EBB" w14:textId="2D34FC5A" w:rsidR="00920EDA" w:rsidRPr="00920EDA" w:rsidRDefault="007129EF" w:rsidP="00FA17B1">
      <w:pPr>
        <w:jc w:val="both"/>
        <w:rPr>
          <w:lang w:eastAsia="en-US"/>
        </w:rPr>
      </w:pPr>
      <w:r w:rsidRPr="007129EF">
        <w:rPr>
          <w:lang w:eastAsia="en-US"/>
        </w:rPr>
        <w:t xml:space="preserve">The descriptive statistics for </w:t>
      </w:r>
      <w:r w:rsidR="00AB2D58">
        <w:rPr>
          <w:lang w:eastAsia="en-US"/>
        </w:rPr>
        <w:t xml:space="preserve">the variables are shown in table IV. The table shows that </w:t>
      </w:r>
      <w:r w:rsidRPr="007129EF">
        <w:rPr>
          <w:lang w:eastAsia="en-US"/>
        </w:rPr>
        <w:t xml:space="preserve">technology readiness indicated that technological optimism was the most highly adopted technology readiness dimension in the banks, with a mean of 3.96 and a standard deviation of 0.856. This was followed by technological discomfort (mean = 3.76, SD = 1.024), while technological insecurity (mean = 3.04, SD = 1.176) was the least applied. The banks also exhibited a moderate level of technological innovativeness (mean = 3.13, SD = 1.039). Additionally, they demonstrated </w:t>
      </w:r>
      <w:r w:rsidR="00AB2D58" w:rsidRPr="007129EF">
        <w:rPr>
          <w:lang w:eastAsia="en-US"/>
        </w:rPr>
        <w:t>strong fraud detection and prevention, with a mean of 4.18 and a standard deviation of 0.798.</w:t>
      </w:r>
    </w:p>
    <w:p w14:paraId="29811837" w14:textId="026B88F5" w:rsidR="007129EF" w:rsidRPr="007129EF" w:rsidRDefault="007129EF" w:rsidP="00FA17B1">
      <w:pPr>
        <w:pStyle w:val="Caption"/>
        <w:keepNext/>
        <w:jc w:val="both"/>
        <w:rPr>
          <w:b/>
          <w:bCs/>
          <w:i w:val="0"/>
          <w:iCs w:val="0"/>
          <w:sz w:val="24"/>
          <w:szCs w:val="24"/>
        </w:rPr>
      </w:pPr>
      <w:r w:rsidRPr="007129EF">
        <w:rPr>
          <w:b/>
          <w:bCs/>
          <w:i w:val="0"/>
          <w:iCs w:val="0"/>
          <w:color w:val="000000" w:themeColor="text1"/>
          <w:sz w:val="24"/>
          <w:szCs w:val="24"/>
        </w:rPr>
        <w:t>Table</w:t>
      </w:r>
      <w:r>
        <w:rPr>
          <w:b/>
          <w:bCs/>
          <w:i w:val="0"/>
          <w:iCs w:val="0"/>
          <w:color w:val="000000" w:themeColor="text1"/>
          <w:sz w:val="24"/>
          <w:szCs w:val="24"/>
        </w:rPr>
        <w:t xml:space="preserve"> </w:t>
      </w:r>
      <w:r w:rsidR="00AB2D58">
        <w:rPr>
          <w:b/>
          <w:bCs/>
          <w:i w:val="0"/>
          <w:iCs w:val="0"/>
          <w:color w:val="000000" w:themeColor="text1"/>
          <w:sz w:val="24"/>
          <w:szCs w:val="24"/>
        </w:rPr>
        <w:t>IV</w:t>
      </w:r>
      <w:r w:rsidRPr="007129EF">
        <w:rPr>
          <w:b/>
          <w:bCs/>
          <w:i w:val="0"/>
          <w:iCs w:val="0"/>
          <w:color w:val="000000" w:themeColor="text1"/>
          <w:sz w:val="24"/>
          <w:szCs w:val="24"/>
        </w:rPr>
        <w:t>: Descriptive statistics results</w:t>
      </w:r>
    </w:p>
    <w:tbl>
      <w:tblPr>
        <w:tblW w:w="4824" w:type="pct"/>
        <w:tblInd w:w="66" w:type="dxa"/>
        <w:tblBorders>
          <w:top w:val="single" w:sz="18" w:space="0" w:color="auto"/>
          <w:bottom w:val="single" w:sz="18" w:space="0" w:color="auto"/>
        </w:tblBorders>
        <w:shd w:val="clear" w:color="auto" w:fill="FFFFFF" w:themeFill="background1"/>
        <w:tblCellMar>
          <w:left w:w="0" w:type="dxa"/>
          <w:right w:w="0" w:type="dxa"/>
        </w:tblCellMar>
        <w:tblLook w:val="04A0" w:firstRow="1" w:lastRow="0" w:firstColumn="1" w:lastColumn="0" w:noHBand="0" w:noVBand="1"/>
      </w:tblPr>
      <w:tblGrid>
        <w:gridCol w:w="3050"/>
        <w:gridCol w:w="1600"/>
        <w:gridCol w:w="1662"/>
        <w:gridCol w:w="1140"/>
        <w:gridCol w:w="1579"/>
      </w:tblGrid>
      <w:tr w:rsidR="00017199" w:rsidRPr="001B1A47" w14:paraId="5102D92C" w14:textId="77777777" w:rsidTr="00A724EE">
        <w:trPr>
          <w:cantSplit/>
          <w:trHeight w:val="956"/>
        </w:trPr>
        <w:tc>
          <w:tcPr>
            <w:tcW w:w="1689" w:type="pct"/>
            <w:tcBorders>
              <w:bottom w:val="single" w:sz="18" w:space="0" w:color="auto"/>
            </w:tcBorders>
            <w:shd w:val="clear" w:color="auto" w:fill="FFFFFF" w:themeFill="background1"/>
            <w:vAlign w:val="bottom"/>
          </w:tcPr>
          <w:p w14:paraId="4CEC4E5A" w14:textId="77777777" w:rsidR="00017199" w:rsidRPr="00017199" w:rsidRDefault="00017199" w:rsidP="00FA17B1">
            <w:pPr>
              <w:spacing w:after="0" w:line="240" w:lineRule="auto"/>
              <w:contextualSpacing/>
              <w:jc w:val="both"/>
            </w:pPr>
          </w:p>
        </w:tc>
        <w:tc>
          <w:tcPr>
            <w:tcW w:w="886" w:type="pct"/>
            <w:tcBorders>
              <w:bottom w:val="single" w:sz="18" w:space="0" w:color="auto"/>
            </w:tcBorders>
            <w:shd w:val="clear" w:color="auto" w:fill="FFFFFF" w:themeFill="background1"/>
            <w:vAlign w:val="bottom"/>
          </w:tcPr>
          <w:p w14:paraId="2086B8E6" w14:textId="2DFC81EC" w:rsidR="00017199" w:rsidRPr="00017199" w:rsidRDefault="00017199" w:rsidP="00FA17B1">
            <w:pPr>
              <w:spacing w:after="0" w:line="240" w:lineRule="auto"/>
              <w:contextualSpacing/>
              <w:jc w:val="both"/>
            </w:pPr>
            <w:r w:rsidRPr="00017199">
              <w:t>Minimum</w:t>
            </w:r>
          </w:p>
        </w:tc>
        <w:tc>
          <w:tcPr>
            <w:tcW w:w="920" w:type="pct"/>
            <w:tcBorders>
              <w:bottom w:val="single" w:sz="18" w:space="0" w:color="auto"/>
            </w:tcBorders>
            <w:shd w:val="clear" w:color="auto" w:fill="FFFFFF" w:themeFill="background1"/>
            <w:vAlign w:val="bottom"/>
          </w:tcPr>
          <w:p w14:paraId="6B70201A" w14:textId="77777777" w:rsidR="00017199" w:rsidRPr="00017199" w:rsidRDefault="00017199" w:rsidP="00FA17B1">
            <w:pPr>
              <w:spacing w:after="0" w:line="240" w:lineRule="auto"/>
              <w:contextualSpacing/>
              <w:jc w:val="both"/>
            </w:pPr>
            <w:r w:rsidRPr="00017199">
              <w:t>Maximum</w:t>
            </w:r>
          </w:p>
        </w:tc>
        <w:tc>
          <w:tcPr>
            <w:tcW w:w="631" w:type="pct"/>
            <w:tcBorders>
              <w:bottom w:val="single" w:sz="18" w:space="0" w:color="auto"/>
            </w:tcBorders>
            <w:shd w:val="clear" w:color="auto" w:fill="FFFFFF" w:themeFill="background1"/>
            <w:vAlign w:val="bottom"/>
          </w:tcPr>
          <w:p w14:paraId="478C6966" w14:textId="77777777" w:rsidR="00017199" w:rsidRPr="00017199" w:rsidRDefault="00017199" w:rsidP="00FA17B1">
            <w:pPr>
              <w:spacing w:after="0" w:line="240" w:lineRule="auto"/>
              <w:contextualSpacing/>
              <w:jc w:val="both"/>
            </w:pPr>
            <w:r w:rsidRPr="00017199">
              <w:t>Mean</w:t>
            </w:r>
          </w:p>
        </w:tc>
        <w:tc>
          <w:tcPr>
            <w:tcW w:w="874" w:type="pct"/>
            <w:tcBorders>
              <w:bottom w:val="single" w:sz="18" w:space="0" w:color="auto"/>
            </w:tcBorders>
            <w:shd w:val="clear" w:color="auto" w:fill="FFFFFF" w:themeFill="background1"/>
            <w:vAlign w:val="bottom"/>
          </w:tcPr>
          <w:p w14:paraId="70B453E1" w14:textId="77777777" w:rsidR="00017199" w:rsidRPr="00017199" w:rsidRDefault="00017199" w:rsidP="00FA17B1">
            <w:pPr>
              <w:spacing w:after="0" w:line="240" w:lineRule="auto"/>
              <w:contextualSpacing/>
              <w:jc w:val="both"/>
            </w:pPr>
            <w:r w:rsidRPr="00017199">
              <w:t>Std. Deviation</w:t>
            </w:r>
          </w:p>
        </w:tc>
      </w:tr>
      <w:tr w:rsidR="00017199" w:rsidRPr="001B1A47" w14:paraId="49E161FF" w14:textId="77777777" w:rsidTr="00A724EE">
        <w:trPr>
          <w:cantSplit/>
          <w:trHeight w:val="457"/>
        </w:trPr>
        <w:tc>
          <w:tcPr>
            <w:tcW w:w="1689" w:type="pct"/>
            <w:tcBorders>
              <w:top w:val="single" w:sz="18" w:space="0" w:color="auto"/>
              <w:bottom w:val="nil"/>
            </w:tcBorders>
            <w:shd w:val="clear" w:color="auto" w:fill="FFFFFF" w:themeFill="background1"/>
          </w:tcPr>
          <w:p w14:paraId="75523F54" w14:textId="5EEC0E39" w:rsidR="00017199" w:rsidRPr="00017199" w:rsidRDefault="00017199" w:rsidP="00FA17B1">
            <w:pPr>
              <w:spacing w:after="0" w:line="240" w:lineRule="auto"/>
              <w:contextualSpacing/>
              <w:jc w:val="both"/>
            </w:pPr>
            <w:r w:rsidRPr="00017199">
              <w:t>Technological Optimism</w:t>
            </w:r>
          </w:p>
        </w:tc>
        <w:tc>
          <w:tcPr>
            <w:tcW w:w="886" w:type="pct"/>
            <w:tcBorders>
              <w:top w:val="single" w:sz="18" w:space="0" w:color="auto"/>
              <w:bottom w:val="nil"/>
            </w:tcBorders>
            <w:shd w:val="clear" w:color="auto" w:fill="FFFFFF" w:themeFill="background1"/>
          </w:tcPr>
          <w:p w14:paraId="6F546B41" w14:textId="776649F2" w:rsidR="00017199" w:rsidRPr="00017199" w:rsidRDefault="00017199" w:rsidP="00FA17B1">
            <w:pPr>
              <w:spacing w:after="0" w:line="240" w:lineRule="auto"/>
              <w:contextualSpacing/>
              <w:jc w:val="both"/>
            </w:pPr>
            <w:r w:rsidRPr="00017199">
              <w:rPr>
                <w:color w:val="010205"/>
              </w:rPr>
              <w:t>1</w:t>
            </w:r>
          </w:p>
        </w:tc>
        <w:tc>
          <w:tcPr>
            <w:tcW w:w="920" w:type="pct"/>
            <w:tcBorders>
              <w:top w:val="single" w:sz="18" w:space="0" w:color="auto"/>
              <w:bottom w:val="nil"/>
            </w:tcBorders>
            <w:shd w:val="clear" w:color="auto" w:fill="FFFFFF" w:themeFill="background1"/>
          </w:tcPr>
          <w:p w14:paraId="14A392A1" w14:textId="022FE485" w:rsidR="00017199" w:rsidRPr="00017199" w:rsidRDefault="00017199" w:rsidP="00FA17B1">
            <w:pPr>
              <w:spacing w:after="0" w:line="240" w:lineRule="auto"/>
              <w:contextualSpacing/>
              <w:jc w:val="both"/>
            </w:pPr>
            <w:r w:rsidRPr="00017199">
              <w:rPr>
                <w:color w:val="010205"/>
              </w:rPr>
              <w:t>5</w:t>
            </w:r>
          </w:p>
        </w:tc>
        <w:tc>
          <w:tcPr>
            <w:tcW w:w="631" w:type="pct"/>
            <w:tcBorders>
              <w:top w:val="single" w:sz="18" w:space="0" w:color="auto"/>
              <w:bottom w:val="nil"/>
            </w:tcBorders>
            <w:shd w:val="clear" w:color="auto" w:fill="FFFFFF" w:themeFill="background1"/>
          </w:tcPr>
          <w:p w14:paraId="623CE142" w14:textId="7CBFDF95" w:rsidR="00017199" w:rsidRPr="00017199" w:rsidRDefault="00017199" w:rsidP="00FA17B1">
            <w:pPr>
              <w:spacing w:after="0" w:line="240" w:lineRule="auto"/>
              <w:contextualSpacing/>
              <w:jc w:val="both"/>
            </w:pPr>
            <w:r w:rsidRPr="00017199">
              <w:rPr>
                <w:color w:val="010205"/>
              </w:rPr>
              <w:t>3.96</w:t>
            </w:r>
          </w:p>
        </w:tc>
        <w:tc>
          <w:tcPr>
            <w:tcW w:w="874" w:type="pct"/>
            <w:tcBorders>
              <w:top w:val="single" w:sz="18" w:space="0" w:color="auto"/>
              <w:bottom w:val="nil"/>
            </w:tcBorders>
            <w:shd w:val="clear" w:color="auto" w:fill="FFFFFF" w:themeFill="background1"/>
          </w:tcPr>
          <w:p w14:paraId="549A98B6" w14:textId="2E20991B" w:rsidR="00017199" w:rsidRPr="00017199" w:rsidRDefault="00017199" w:rsidP="00FA17B1">
            <w:pPr>
              <w:spacing w:after="0" w:line="240" w:lineRule="auto"/>
              <w:contextualSpacing/>
              <w:jc w:val="both"/>
            </w:pPr>
            <w:r w:rsidRPr="00017199">
              <w:rPr>
                <w:color w:val="010205"/>
              </w:rPr>
              <w:t>.856</w:t>
            </w:r>
          </w:p>
        </w:tc>
      </w:tr>
      <w:tr w:rsidR="00017199" w:rsidRPr="001B1A47" w14:paraId="557143DE" w14:textId="77777777" w:rsidTr="00A724EE">
        <w:trPr>
          <w:cantSplit/>
          <w:trHeight w:val="421"/>
        </w:trPr>
        <w:tc>
          <w:tcPr>
            <w:tcW w:w="1689" w:type="pct"/>
            <w:tcBorders>
              <w:top w:val="nil"/>
              <w:bottom w:val="nil"/>
            </w:tcBorders>
            <w:shd w:val="clear" w:color="auto" w:fill="FFFFFF" w:themeFill="background1"/>
          </w:tcPr>
          <w:p w14:paraId="66795258" w14:textId="6348C688" w:rsidR="00017199" w:rsidRPr="00017199" w:rsidRDefault="00017199" w:rsidP="00FA17B1">
            <w:pPr>
              <w:spacing w:after="0" w:line="240" w:lineRule="auto"/>
              <w:contextualSpacing/>
              <w:jc w:val="both"/>
              <w:rPr>
                <w:color w:val="000000" w:themeColor="text1"/>
              </w:rPr>
            </w:pPr>
            <w:r w:rsidRPr="00017199">
              <w:t>Technological Innovativeness</w:t>
            </w:r>
          </w:p>
        </w:tc>
        <w:tc>
          <w:tcPr>
            <w:tcW w:w="886" w:type="pct"/>
            <w:tcBorders>
              <w:top w:val="nil"/>
              <w:bottom w:val="nil"/>
            </w:tcBorders>
            <w:shd w:val="clear" w:color="auto" w:fill="FFFFFF" w:themeFill="background1"/>
          </w:tcPr>
          <w:p w14:paraId="5758EA96" w14:textId="6A728D11" w:rsidR="00017199" w:rsidRPr="00017199" w:rsidRDefault="00017199" w:rsidP="00FA17B1">
            <w:pPr>
              <w:spacing w:after="0" w:line="240" w:lineRule="auto"/>
              <w:contextualSpacing/>
              <w:jc w:val="both"/>
              <w:rPr>
                <w:color w:val="000000" w:themeColor="text1"/>
              </w:rPr>
            </w:pPr>
            <w:r w:rsidRPr="00017199">
              <w:rPr>
                <w:color w:val="010205"/>
              </w:rPr>
              <w:t>1</w:t>
            </w:r>
          </w:p>
        </w:tc>
        <w:tc>
          <w:tcPr>
            <w:tcW w:w="920" w:type="pct"/>
            <w:tcBorders>
              <w:top w:val="nil"/>
              <w:bottom w:val="nil"/>
            </w:tcBorders>
            <w:shd w:val="clear" w:color="auto" w:fill="FFFFFF" w:themeFill="background1"/>
          </w:tcPr>
          <w:p w14:paraId="092C568F" w14:textId="15E0DF71" w:rsidR="00017199" w:rsidRPr="00017199" w:rsidRDefault="00017199" w:rsidP="00FA17B1">
            <w:pPr>
              <w:spacing w:after="0" w:line="240" w:lineRule="auto"/>
              <w:contextualSpacing/>
              <w:jc w:val="both"/>
              <w:rPr>
                <w:color w:val="000000" w:themeColor="text1"/>
              </w:rPr>
            </w:pPr>
            <w:r w:rsidRPr="00017199">
              <w:rPr>
                <w:color w:val="010205"/>
              </w:rPr>
              <w:t>5</w:t>
            </w:r>
          </w:p>
        </w:tc>
        <w:tc>
          <w:tcPr>
            <w:tcW w:w="631" w:type="pct"/>
            <w:tcBorders>
              <w:top w:val="nil"/>
              <w:bottom w:val="nil"/>
            </w:tcBorders>
            <w:shd w:val="clear" w:color="auto" w:fill="FFFFFF" w:themeFill="background1"/>
          </w:tcPr>
          <w:p w14:paraId="05016C2B" w14:textId="6F568FE0" w:rsidR="00017199" w:rsidRPr="00017199" w:rsidRDefault="00017199" w:rsidP="00FA17B1">
            <w:pPr>
              <w:spacing w:after="0" w:line="240" w:lineRule="auto"/>
              <w:contextualSpacing/>
              <w:jc w:val="both"/>
              <w:rPr>
                <w:color w:val="000000" w:themeColor="text1"/>
              </w:rPr>
            </w:pPr>
            <w:r w:rsidRPr="00017199">
              <w:rPr>
                <w:color w:val="010205"/>
              </w:rPr>
              <w:t>3.13</w:t>
            </w:r>
          </w:p>
        </w:tc>
        <w:tc>
          <w:tcPr>
            <w:tcW w:w="874" w:type="pct"/>
            <w:tcBorders>
              <w:top w:val="nil"/>
              <w:bottom w:val="nil"/>
            </w:tcBorders>
            <w:shd w:val="clear" w:color="auto" w:fill="FFFFFF" w:themeFill="background1"/>
          </w:tcPr>
          <w:p w14:paraId="229F5449" w14:textId="653754E0" w:rsidR="00017199" w:rsidRPr="00017199" w:rsidRDefault="00017199" w:rsidP="00FA17B1">
            <w:pPr>
              <w:spacing w:after="0" w:line="240" w:lineRule="auto"/>
              <w:contextualSpacing/>
              <w:jc w:val="both"/>
              <w:rPr>
                <w:color w:val="000000" w:themeColor="text1"/>
              </w:rPr>
            </w:pPr>
            <w:r w:rsidRPr="00017199">
              <w:rPr>
                <w:color w:val="010205"/>
              </w:rPr>
              <w:t>1.039</w:t>
            </w:r>
          </w:p>
        </w:tc>
      </w:tr>
      <w:tr w:rsidR="00017199" w:rsidRPr="001B1A47" w14:paraId="4D4DA9E2" w14:textId="77777777" w:rsidTr="00A724EE">
        <w:trPr>
          <w:cantSplit/>
          <w:trHeight w:val="284"/>
        </w:trPr>
        <w:tc>
          <w:tcPr>
            <w:tcW w:w="1689" w:type="pct"/>
            <w:tcBorders>
              <w:top w:val="nil"/>
              <w:bottom w:val="nil"/>
            </w:tcBorders>
            <w:shd w:val="clear" w:color="auto" w:fill="FFFFFF" w:themeFill="background1"/>
          </w:tcPr>
          <w:p w14:paraId="75458332" w14:textId="4FF6A822" w:rsidR="00017199" w:rsidRPr="00017199" w:rsidRDefault="00017199" w:rsidP="00FA17B1">
            <w:pPr>
              <w:spacing w:after="0" w:line="240" w:lineRule="auto"/>
              <w:contextualSpacing/>
              <w:jc w:val="both"/>
              <w:rPr>
                <w:color w:val="000000" w:themeColor="text1"/>
              </w:rPr>
            </w:pPr>
            <w:r w:rsidRPr="00017199">
              <w:t>Technological Discomfort</w:t>
            </w:r>
          </w:p>
        </w:tc>
        <w:tc>
          <w:tcPr>
            <w:tcW w:w="886" w:type="pct"/>
            <w:tcBorders>
              <w:top w:val="nil"/>
              <w:bottom w:val="nil"/>
            </w:tcBorders>
            <w:shd w:val="clear" w:color="auto" w:fill="FFFFFF" w:themeFill="background1"/>
          </w:tcPr>
          <w:p w14:paraId="06C7166B" w14:textId="09B92196" w:rsidR="00017199" w:rsidRPr="00017199" w:rsidRDefault="00017199" w:rsidP="00FA17B1">
            <w:pPr>
              <w:spacing w:after="0" w:line="240" w:lineRule="auto"/>
              <w:contextualSpacing/>
              <w:jc w:val="both"/>
              <w:rPr>
                <w:color w:val="000000" w:themeColor="text1"/>
              </w:rPr>
            </w:pPr>
            <w:r w:rsidRPr="00017199">
              <w:rPr>
                <w:color w:val="010205"/>
              </w:rPr>
              <w:t>1</w:t>
            </w:r>
          </w:p>
        </w:tc>
        <w:tc>
          <w:tcPr>
            <w:tcW w:w="920" w:type="pct"/>
            <w:tcBorders>
              <w:top w:val="nil"/>
              <w:bottom w:val="nil"/>
            </w:tcBorders>
            <w:shd w:val="clear" w:color="auto" w:fill="FFFFFF" w:themeFill="background1"/>
          </w:tcPr>
          <w:p w14:paraId="1EB3C716" w14:textId="2147BC46" w:rsidR="00017199" w:rsidRPr="00017199" w:rsidRDefault="00017199" w:rsidP="00FA17B1">
            <w:pPr>
              <w:spacing w:after="0" w:line="240" w:lineRule="auto"/>
              <w:contextualSpacing/>
              <w:jc w:val="both"/>
              <w:rPr>
                <w:color w:val="000000" w:themeColor="text1"/>
              </w:rPr>
            </w:pPr>
            <w:r w:rsidRPr="00017199">
              <w:rPr>
                <w:color w:val="010205"/>
              </w:rPr>
              <w:t>5</w:t>
            </w:r>
          </w:p>
        </w:tc>
        <w:tc>
          <w:tcPr>
            <w:tcW w:w="631" w:type="pct"/>
            <w:tcBorders>
              <w:top w:val="nil"/>
              <w:bottom w:val="nil"/>
            </w:tcBorders>
            <w:shd w:val="clear" w:color="auto" w:fill="FFFFFF" w:themeFill="background1"/>
          </w:tcPr>
          <w:p w14:paraId="71E96404" w14:textId="3FCEF6F6" w:rsidR="00017199" w:rsidRPr="00017199" w:rsidRDefault="00017199" w:rsidP="00FA17B1">
            <w:pPr>
              <w:spacing w:after="0" w:line="240" w:lineRule="auto"/>
              <w:contextualSpacing/>
              <w:jc w:val="both"/>
              <w:rPr>
                <w:color w:val="000000" w:themeColor="text1"/>
              </w:rPr>
            </w:pPr>
            <w:r w:rsidRPr="00017199">
              <w:rPr>
                <w:color w:val="010205"/>
              </w:rPr>
              <w:t>3.76</w:t>
            </w:r>
          </w:p>
        </w:tc>
        <w:tc>
          <w:tcPr>
            <w:tcW w:w="874" w:type="pct"/>
            <w:tcBorders>
              <w:top w:val="nil"/>
              <w:bottom w:val="nil"/>
            </w:tcBorders>
            <w:shd w:val="clear" w:color="auto" w:fill="FFFFFF" w:themeFill="background1"/>
          </w:tcPr>
          <w:p w14:paraId="21AEE32B" w14:textId="4B998D5E" w:rsidR="00017199" w:rsidRPr="00017199" w:rsidRDefault="00017199" w:rsidP="00FA17B1">
            <w:pPr>
              <w:spacing w:after="0" w:line="240" w:lineRule="auto"/>
              <w:contextualSpacing/>
              <w:jc w:val="both"/>
              <w:rPr>
                <w:color w:val="000000" w:themeColor="text1"/>
              </w:rPr>
            </w:pPr>
            <w:r w:rsidRPr="00017199">
              <w:rPr>
                <w:color w:val="010205"/>
              </w:rPr>
              <w:t>1.024</w:t>
            </w:r>
          </w:p>
        </w:tc>
      </w:tr>
      <w:tr w:rsidR="00017199" w:rsidRPr="001B1A47" w14:paraId="4322B31B" w14:textId="77777777" w:rsidTr="00A724EE">
        <w:trPr>
          <w:cantSplit/>
          <w:trHeight w:val="431"/>
        </w:trPr>
        <w:tc>
          <w:tcPr>
            <w:tcW w:w="1689" w:type="pct"/>
            <w:tcBorders>
              <w:top w:val="nil"/>
              <w:bottom w:val="nil"/>
            </w:tcBorders>
            <w:shd w:val="clear" w:color="auto" w:fill="FFFFFF" w:themeFill="background1"/>
          </w:tcPr>
          <w:p w14:paraId="377B24F5" w14:textId="549042F9" w:rsidR="00017199" w:rsidRPr="00017199" w:rsidRDefault="00017199" w:rsidP="00FA17B1">
            <w:pPr>
              <w:spacing w:after="0" w:line="240" w:lineRule="auto"/>
              <w:contextualSpacing/>
              <w:jc w:val="both"/>
              <w:rPr>
                <w:color w:val="000000" w:themeColor="text1"/>
              </w:rPr>
            </w:pPr>
            <w:r w:rsidRPr="00017199">
              <w:t>Technological Insecurity</w:t>
            </w:r>
          </w:p>
        </w:tc>
        <w:tc>
          <w:tcPr>
            <w:tcW w:w="886" w:type="pct"/>
            <w:tcBorders>
              <w:top w:val="nil"/>
              <w:bottom w:val="nil"/>
            </w:tcBorders>
            <w:shd w:val="clear" w:color="auto" w:fill="FFFFFF" w:themeFill="background1"/>
          </w:tcPr>
          <w:p w14:paraId="0A45AD63" w14:textId="7EA2E9C6" w:rsidR="00017199" w:rsidRPr="00017199" w:rsidRDefault="00017199" w:rsidP="00FA17B1">
            <w:pPr>
              <w:spacing w:after="0" w:line="240" w:lineRule="auto"/>
              <w:contextualSpacing/>
              <w:jc w:val="both"/>
              <w:rPr>
                <w:color w:val="000000" w:themeColor="text1"/>
              </w:rPr>
            </w:pPr>
            <w:r w:rsidRPr="00017199">
              <w:rPr>
                <w:color w:val="010205"/>
              </w:rPr>
              <w:t>1</w:t>
            </w:r>
          </w:p>
        </w:tc>
        <w:tc>
          <w:tcPr>
            <w:tcW w:w="920" w:type="pct"/>
            <w:tcBorders>
              <w:top w:val="nil"/>
              <w:bottom w:val="nil"/>
            </w:tcBorders>
            <w:shd w:val="clear" w:color="auto" w:fill="FFFFFF" w:themeFill="background1"/>
          </w:tcPr>
          <w:p w14:paraId="2E197566" w14:textId="58FFF9EC" w:rsidR="00017199" w:rsidRPr="00017199" w:rsidRDefault="00017199" w:rsidP="00FA17B1">
            <w:pPr>
              <w:spacing w:after="0" w:line="240" w:lineRule="auto"/>
              <w:contextualSpacing/>
              <w:jc w:val="both"/>
              <w:rPr>
                <w:color w:val="000000" w:themeColor="text1"/>
              </w:rPr>
            </w:pPr>
            <w:r w:rsidRPr="00017199">
              <w:rPr>
                <w:color w:val="010205"/>
              </w:rPr>
              <w:t>5</w:t>
            </w:r>
          </w:p>
        </w:tc>
        <w:tc>
          <w:tcPr>
            <w:tcW w:w="631" w:type="pct"/>
            <w:tcBorders>
              <w:top w:val="nil"/>
              <w:bottom w:val="nil"/>
            </w:tcBorders>
            <w:shd w:val="clear" w:color="auto" w:fill="FFFFFF" w:themeFill="background1"/>
          </w:tcPr>
          <w:p w14:paraId="21B99A01" w14:textId="4A468B0B" w:rsidR="00017199" w:rsidRPr="00017199" w:rsidRDefault="00017199" w:rsidP="00FA17B1">
            <w:pPr>
              <w:spacing w:after="0" w:line="240" w:lineRule="auto"/>
              <w:contextualSpacing/>
              <w:jc w:val="both"/>
              <w:rPr>
                <w:color w:val="000000" w:themeColor="text1"/>
              </w:rPr>
            </w:pPr>
            <w:r w:rsidRPr="00017199">
              <w:rPr>
                <w:color w:val="010205"/>
              </w:rPr>
              <w:t>3.04</w:t>
            </w:r>
          </w:p>
        </w:tc>
        <w:tc>
          <w:tcPr>
            <w:tcW w:w="874" w:type="pct"/>
            <w:tcBorders>
              <w:top w:val="nil"/>
              <w:bottom w:val="nil"/>
            </w:tcBorders>
            <w:shd w:val="clear" w:color="auto" w:fill="FFFFFF" w:themeFill="background1"/>
          </w:tcPr>
          <w:p w14:paraId="6855EAEF" w14:textId="31C0243E" w:rsidR="00017199" w:rsidRPr="00017199" w:rsidRDefault="00017199" w:rsidP="00FA17B1">
            <w:pPr>
              <w:spacing w:after="0" w:line="240" w:lineRule="auto"/>
              <w:contextualSpacing/>
              <w:jc w:val="both"/>
              <w:rPr>
                <w:color w:val="000000" w:themeColor="text1"/>
              </w:rPr>
            </w:pPr>
            <w:r w:rsidRPr="00017199">
              <w:rPr>
                <w:color w:val="010205"/>
              </w:rPr>
              <w:t>1.176</w:t>
            </w:r>
          </w:p>
        </w:tc>
      </w:tr>
      <w:tr w:rsidR="00017199" w:rsidRPr="001B1A47" w14:paraId="64A56372" w14:textId="77777777" w:rsidTr="00A724EE">
        <w:trPr>
          <w:cantSplit/>
          <w:trHeight w:val="568"/>
        </w:trPr>
        <w:tc>
          <w:tcPr>
            <w:tcW w:w="1689" w:type="pct"/>
            <w:tcBorders>
              <w:top w:val="nil"/>
              <w:bottom w:val="single" w:sz="18" w:space="0" w:color="auto"/>
            </w:tcBorders>
            <w:shd w:val="clear" w:color="auto" w:fill="FFFFFF" w:themeFill="background1"/>
          </w:tcPr>
          <w:p w14:paraId="3B648D45" w14:textId="66F05564" w:rsidR="00017199" w:rsidRPr="00017199" w:rsidRDefault="00017199" w:rsidP="00FA17B1">
            <w:pPr>
              <w:spacing w:after="0" w:line="240" w:lineRule="auto"/>
              <w:contextualSpacing/>
              <w:jc w:val="both"/>
              <w:rPr>
                <w:color w:val="000000" w:themeColor="text1"/>
              </w:rPr>
            </w:pPr>
            <w:r w:rsidRPr="00017199">
              <w:rPr>
                <w:color w:val="000000" w:themeColor="text1"/>
              </w:rPr>
              <w:lastRenderedPageBreak/>
              <w:t>Fraud Detection and Prevention</w:t>
            </w:r>
          </w:p>
        </w:tc>
        <w:tc>
          <w:tcPr>
            <w:tcW w:w="886" w:type="pct"/>
            <w:tcBorders>
              <w:top w:val="nil"/>
              <w:bottom w:val="single" w:sz="18" w:space="0" w:color="auto"/>
            </w:tcBorders>
            <w:shd w:val="clear" w:color="auto" w:fill="FFFFFF" w:themeFill="background1"/>
          </w:tcPr>
          <w:p w14:paraId="1B8C7393" w14:textId="6753C61D" w:rsidR="00017199" w:rsidRPr="00017199" w:rsidRDefault="00017199" w:rsidP="00FA17B1">
            <w:pPr>
              <w:spacing w:after="0" w:line="240" w:lineRule="auto"/>
              <w:contextualSpacing/>
              <w:jc w:val="both"/>
              <w:rPr>
                <w:color w:val="000000" w:themeColor="text1"/>
              </w:rPr>
            </w:pPr>
            <w:r w:rsidRPr="00017199">
              <w:rPr>
                <w:color w:val="010205"/>
              </w:rPr>
              <w:t>1</w:t>
            </w:r>
          </w:p>
        </w:tc>
        <w:tc>
          <w:tcPr>
            <w:tcW w:w="920" w:type="pct"/>
            <w:tcBorders>
              <w:top w:val="nil"/>
              <w:bottom w:val="single" w:sz="18" w:space="0" w:color="auto"/>
            </w:tcBorders>
            <w:shd w:val="clear" w:color="auto" w:fill="FFFFFF" w:themeFill="background1"/>
          </w:tcPr>
          <w:p w14:paraId="763A8A44" w14:textId="13E426E6" w:rsidR="00017199" w:rsidRPr="00017199" w:rsidRDefault="00017199" w:rsidP="00FA17B1">
            <w:pPr>
              <w:spacing w:after="0" w:line="240" w:lineRule="auto"/>
              <w:contextualSpacing/>
              <w:jc w:val="both"/>
              <w:rPr>
                <w:color w:val="000000" w:themeColor="text1"/>
              </w:rPr>
            </w:pPr>
            <w:r w:rsidRPr="00017199">
              <w:rPr>
                <w:color w:val="010205"/>
              </w:rPr>
              <w:t>5</w:t>
            </w:r>
          </w:p>
        </w:tc>
        <w:tc>
          <w:tcPr>
            <w:tcW w:w="631" w:type="pct"/>
            <w:tcBorders>
              <w:top w:val="nil"/>
              <w:bottom w:val="single" w:sz="18" w:space="0" w:color="auto"/>
            </w:tcBorders>
            <w:shd w:val="clear" w:color="auto" w:fill="FFFFFF" w:themeFill="background1"/>
          </w:tcPr>
          <w:p w14:paraId="3ED757ED" w14:textId="32B4F4C3" w:rsidR="00017199" w:rsidRPr="00017199" w:rsidRDefault="00017199" w:rsidP="00FA17B1">
            <w:pPr>
              <w:spacing w:after="0" w:line="240" w:lineRule="auto"/>
              <w:contextualSpacing/>
              <w:jc w:val="both"/>
              <w:rPr>
                <w:color w:val="000000" w:themeColor="text1"/>
              </w:rPr>
            </w:pPr>
            <w:r w:rsidRPr="00017199">
              <w:rPr>
                <w:color w:val="010205"/>
              </w:rPr>
              <w:t>4.18</w:t>
            </w:r>
          </w:p>
        </w:tc>
        <w:tc>
          <w:tcPr>
            <w:tcW w:w="874" w:type="pct"/>
            <w:tcBorders>
              <w:top w:val="nil"/>
              <w:bottom w:val="single" w:sz="18" w:space="0" w:color="auto"/>
            </w:tcBorders>
            <w:shd w:val="clear" w:color="auto" w:fill="FFFFFF" w:themeFill="background1"/>
          </w:tcPr>
          <w:p w14:paraId="6654F770" w14:textId="631EA0F3" w:rsidR="00017199" w:rsidRPr="00017199" w:rsidRDefault="00017199" w:rsidP="00FA17B1">
            <w:pPr>
              <w:spacing w:after="0" w:line="240" w:lineRule="auto"/>
              <w:contextualSpacing/>
              <w:jc w:val="both"/>
              <w:rPr>
                <w:color w:val="000000" w:themeColor="text1"/>
              </w:rPr>
            </w:pPr>
            <w:r w:rsidRPr="00017199">
              <w:rPr>
                <w:color w:val="010205"/>
              </w:rPr>
              <w:t>.798</w:t>
            </w:r>
          </w:p>
        </w:tc>
      </w:tr>
    </w:tbl>
    <w:p w14:paraId="516612E8" w14:textId="77777777" w:rsidR="007129EF" w:rsidRPr="007A71C9" w:rsidRDefault="007129EF" w:rsidP="00FA17B1">
      <w:pPr>
        <w:autoSpaceDE w:val="0"/>
        <w:autoSpaceDN w:val="0"/>
        <w:adjustRightInd w:val="0"/>
        <w:spacing w:line="240" w:lineRule="auto"/>
        <w:jc w:val="both"/>
        <w:rPr>
          <w:b/>
          <w:bCs/>
        </w:rPr>
      </w:pPr>
      <w:r w:rsidRPr="007A71C9">
        <w:rPr>
          <w:b/>
          <w:bCs/>
        </w:rPr>
        <w:t>Source: Field data (2025)</w:t>
      </w:r>
    </w:p>
    <w:p w14:paraId="1FE583B4" w14:textId="00AA7745" w:rsidR="006F4540" w:rsidRPr="007A71C9" w:rsidRDefault="006F4540" w:rsidP="00FA17B1">
      <w:pPr>
        <w:pStyle w:val="Heading2"/>
        <w:jc w:val="both"/>
      </w:pPr>
      <w:r w:rsidRPr="007A71C9">
        <w:t xml:space="preserve"> Correlation analysis</w:t>
      </w:r>
      <w:bookmarkEnd w:id="0"/>
    </w:p>
    <w:p w14:paraId="42FA4909" w14:textId="3A1A495F" w:rsidR="006F4540" w:rsidRDefault="006F4540" w:rsidP="00FA17B1">
      <w:pPr>
        <w:spacing w:line="240" w:lineRule="auto"/>
        <w:jc w:val="both"/>
      </w:pPr>
      <w:r w:rsidRPr="007A71C9">
        <w:t xml:space="preserve">The study used the Pearson pairwise correlation to test the nature and the strength of the relationship between the variables. Based on table </w:t>
      </w:r>
      <w:r w:rsidR="00AB2D58">
        <w:t>V,</w:t>
      </w:r>
      <w:r w:rsidRPr="007A71C9">
        <w:t xml:space="preserve"> the correlation of detection and prevention of fraud with optimism, (r= .326, p&lt;0.05) innovativeness (r=,.429 p&lt;0.05). However, the correlation between detection and prevention of fraud with discomfort (r=.-.055, p&lt;0.05) and insecurity (r=-.127, p&lt;0.05) was negative and significant.  Furthermore, all the coefficients were below 0.8, which confirms that the predictors variables did not suffer from multicollinearity.</w:t>
      </w:r>
    </w:p>
    <w:p w14:paraId="16D0C466" w14:textId="7D393225" w:rsidR="006F4540" w:rsidRPr="00D7349D" w:rsidRDefault="006F4540" w:rsidP="00FA17B1">
      <w:pPr>
        <w:pStyle w:val="Caption"/>
        <w:jc w:val="both"/>
        <w:rPr>
          <w:b/>
          <w:i w:val="0"/>
          <w:iCs w:val="0"/>
          <w:color w:val="auto"/>
          <w:sz w:val="24"/>
          <w:szCs w:val="24"/>
        </w:rPr>
      </w:pPr>
      <w:bookmarkStart w:id="4" w:name="_Toc203399698"/>
      <w:r w:rsidRPr="00D7349D">
        <w:rPr>
          <w:b/>
          <w:i w:val="0"/>
          <w:iCs w:val="0"/>
          <w:color w:val="auto"/>
          <w:sz w:val="24"/>
          <w:szCs w:val="24"/>
        </w:rPr>
        <w:t xml:space="preserve">Table </w:t>
      </w:r>
      <w:r w:rsidR="00AB2D58">
        <w:rPr>
          <w:b/>
          <w:i w:val="0"/>
          <w:iCs w:val="0"/>
          <w:color w:val="auto"/>
          <w:sz w:val="24"/>
          <w:szCs w:val="24"/>
        </w:rPr>
        <w:t>V</w:t>
      </w:r>
      <w:r w:rsidRPr="00D7349D">
        <w:rPr>
          <w:b/>
          <w:i w:val="0"/>
          <w:iCs w:val="0"/>
          <w:color w:val="auto"/>
          <w:sz w:val="24"/>
          <w:szCs w:val="24"/>
        </w:rPr>
        <w:t>: Correlation Analysis</w:t>
      </w:r>
      <w:bookmarkEnd w:id="4"/>
    </w:p>
    <w:tbl>
      <w:tblPr>
        <w:tblW w:w="87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CellMar>
          <w:left w:w="0" w:type="dxa"/>
          <w:right w:w="0" w:type="dxa"/>
        </w:tblCellMar>
        <w:tblLook w:val="0000" w:firstRow="0" w:lastRow="0" w:firstColumn="0" w:lastColumn="0" w:noHBand="0" w:noVBand="0"/>
      </w:tblPr>
      <w:tblGrid>
        <w:gridCol w:w="817"/>
        <w:gridCol w:w="2217"/>
        <w:gridCol w:w="1142"/>
        <w:gridCol w:w="1142"/>
        <w:gridCol w:w="1142"/>
        <w:gridCol w:w="1142"/>
        <w:gridCol w:w="1142"/>
      </w:tblGrid>
      <w:tr w:rsidR="00133A72" w:rsidRPr="007A71C9" w14:paraId="48866754" w14:textId="77777777" w:rsidTr="00A724EE">
        <w:trPr>
          <w:cantSplit/>
          <w:trHeight w:val="314"/>
        </w:trPr>
        <w:tc>
          <w:tcPr>
            <w:tcW w:w="3034" w:type="dxa"/>
            <w:gridSpan w:val="2"/>
            <w:tcBorders>
              <w:top w:val="single" w:sz="18" w:space="0" w:color="auto"/>
              <w:left w:val="nil"/>
              <w:bottom w:val="single" w:sz="18" w:space="0" w:color="auto"/>
              <w:right w:val="nil"/>
            </w:tcBorders>
            <w:shd w:val="clear" w:color="auto" w:fill="FFFFFF" w:themeFill="background1"/>
            <w:vAlign w:val="bottom"/>
          </w:tcPr>
          <w:p w14:paraId="040E1568" w14:textId="77777777" w:rsidR="00133A72" w:rsidRPr="007A71C9" w:rsidRDefault="00133A72" w:rsidP="00FA17B1">
            <w:pPr>
              <w:autoSpaceDE w:val="0"/>
              <w:autoSpaceDN w:val="0"/>
              <w:adjustRightInd w:val="0"/>
              <w:spacing w:after="0" w:line="240" w:lineRule="auto"/>
              <w:jc w:val="both"/>
              <w:rPr>
                <w:color w:val="000000" w:themeColor="text1"/>
              </w:rPr>
            </w:pPr>
          </w:p>
        </w:tc>
        <w:tc>
          <w:tcPr>
            <w:tcW w:w="1142" w:type="dxa"/>
            <w:tcBorders>
              <w:top w:val="single" w:sz="18" w:space="0" w:color="auto"/>
              <w:left w:val="nil"/>
              <w:bottom w:val="single" w:sz="18" w:space="0" w:color="auto"/>
              <w:right w:val="nil"/>
            </w:tcBorders>
            <w:shd w:val="clear" w:color="auto" w:fill="FFFFFF" w:themeFill="background1"/>
            <w:vAlign w:val="bottom"/>
          </w:tcPr>
          <w:p w14:paraId="2B57DA13" w14:textId="184E36FA" w:rsidR="00133A72" w:rsidRPr="007A71C9" w:rsidRDefault="009B3C1A" w:rsidP="00FA17B1">
            <w:pPr>
              <w:autoSpaceDE w:val="0"/>
              <w:autoSpaceDN w:val="0"/>
              <w:adjustRightInd w:val="0"/>
              <w:spacing w:after="0" w:line="240" w:lineRule="auto"/>
              <w:ind w:left="60" w:right="60"/>
              <w:jc w:val="both"/>
              <w:rPr>
                <w:color w:val="000000" w:themeColor="text1"/>
              </w:rPr>
            </w:pPr>
            <w:r>
              <w:rPr>
                <w:color w:val="000000" w:themeColor="text1"/>
              </w:rPr>
              <w:t>FDP</w:t>
            </w:r>
          </w:p>
        </w:tc>
        <w:tc>
          <w:tcPr>
            <w:tcW w:w="1142" w:type="dxa"/>
            <w:tcBorders>
              <w:top w:val="single" w:sz="18" w:space="0" w:color="auto"/>
              <w:left w:val="nil"/>
              <w:bottom w:val="single" w:sz="18" w:space="0" w:color="auto"/>
              <w:right w:val="nil"/>
            </w:tcBorders>
            <w:shd w:val="clear" w:color="auto" w:fill="FFFFFF" w:themeFill="background1"/>
            <w:vAlign w:val="bottom"/>
          </w:tcPr>
          <w:p w14:paraId="6455D395" w14:textId="4834D137" w:rsidR="00133A72" w:rsidRPr="007A71C9" w:rsidRDefault="009B3C1A" w:rsidP="00FA17B1">
            <w:pPr>
              <w:autoSpaceDE w:val="0"/>
              <w:autoSpaceDN w:val="0"/>
              <w:adjustRightInd w:val="0"/>
              <w:spacing w:after="0" w:line="240" w:lineRule="auto"/>
              <w:ind w:left="60" w:right="60"/>
              <w:jc w:val="both"/>
              <w:rPr>
                <w:color w:val="000000" w:themeColor="text1"/>
              </w:rPr>
            </w:pPr>
            <w:r>
              <w:rPr>
                <w:color w:val="000000" w:themeColor="text1"/>
              </w:rPr>
              <w:t>TOP</w:t>
            </w:r>
          </w:p>
        </w:tc>
        <w:tc>
          <w:tcPr>
            <w:tcW w:w="1142" w:type="dxa"/>
            <w:tcBorders>
              <w:top w:val="single" w:sz="18" w:space="0" w:color="auto"/>
              <w:left w:val="nil"/>
              <w:bottom w:val="single" w:sz="18" w:space="0" w:color="auto"/>
              <w:right w:val="nil"/>
            </w:tcBorders>
            <w:shd w:val="clear" w:color="auto" w:fill="FFFFFF" w:themeFill="background1"/>
            <w:vAlign w:val="bottom"/>
          </w:tcPr>
          <w:p w14:paraId="4BA2DC4F"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INV</w:t>
            </w:r>
          </w:p>
        </w:tc>
        <w:tc>
          <w:tcPr>
            <w:tcW w:w="1142" w:type="dxa"/>
            <w:tcBorders>
              <w:top w:val="single" w:sz="18" w:space="0" w:color="auto"/>
              <w:left w:val="nil"/>
              <w:bottom w:val="single" w:sz="18" w:space="0" w:color="auto"/>
              <w:right w:val="nil"/>
            </w:tcBorders>
            <w:shd w:val="clear" w:color="auto" w:fill="FFFFFF" w:themeFill="background1"/>
            <w:vAlign w:val="bottom"/>
          </w:tcPr>
          <w:p w14:paraId="41EAB318"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DIS</w:t>
            </w:r>
          </w:p>
        </w:tc>
        <w:tc>
          <w:tcPr>
            <w:tcW w:w="1142" w:type="dxa"/>
            <w:tcBorders>
              <w:top w:val="single" w:sz="18" w:space="0" w:color="auto"/>
              <w:left w:val="nil"/>
              <w:bottom w:val="single" w:sz="18" w:space="0" w:color="auto"/>
              <w:right w:val="single" w:sz="8" w:space="0" w:color="E0E0E0"/>
            </w:tcBorders>
            <w:shd w:val="clear" w:color="auto" w:fill="FFFFFF" w:themeFill="background1"/>
            <w:vAlign w:val="bottom"/>
          </w:tcPr>
          <w:p w14:paraId="63E564E0"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INS</w:t>
            </w:r>
          </w:p>
        </w:tc>
      </w:tr>
      <w:tr w:rsidR="00133A72" w:rsidRPr="007A71C9" w14:paraId="18FF2C20" w14:textId="77777777" w:rsidTr="00A724EE">
        <w:trPr>
          <w:cantSplit/>
          <w:trHeight w:val="314"/>
        </w:trPr>
        <w:tc>
          <w:tcPr>
            <w:tcW w:w="817" w:type="dxa"/>
            <w:vMerge w:val="restart"/>
            <w:tcBorders>
              <w:top w:val="single" w:sz="18" w:space="0" w:color="auto"/>
              <w:left w:val="nil"/>
              <w:bottom w:val="nil"/>
              <w:right w:val="nil"/>
            </w:tcBorders>
            <w:shd w:val="clear" w:color="auto" w:fill="FFFFFF" w:themeFill="background1"/>
          </w:tcPr>
          <w:p w14:paraId="6736DB81" w14:textId="67D1ABB1"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F</w:t>
            </w:r>
            <w:r w:rsidR="009B3C1A">
              <w:rPr>
                <w:color w:val="000000" w:themeColor="text1"/>
              </w:rPr>
              <w:t>DP</w:t>
            </w:r>
          </w:p>
        </w:tc>
        <w:tc>
          <w:tcPr>
            <w:tcW w:w="2217" w:type="dxa"/>
            <w:tcBorders>
              <w:top w:val="single" w:sz="18" w:space="0" w:color="auto"/>
              <w:left w:val="nil"/>
              <w:bottom w:val="nil"/>
              <w:right w:val="nil"/>
            </w:tcBorders>
            <w:shd w:val="clear" w:color="auto" w:fill="FFFFFF" w:themeFill="background1"/>
          </w:tcPr>
          <w:p w14:paraId="3E8FC379"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Pearson Correlation</w:t>
            </w:r>
          </w:p>
        </w:tc>
        <w:tc>
          <w:tcPr>
            <w:tcW w:w="1142" w:type="dxa"/>
            <w:tcBorders>
              <w:top w:val="single" w:sz="18" w:space="0" w:color="auto"/>
              <w:left w:val="nil"/>
              <w:bottom w:val="nil"/>
              <w:right w:val="nil"/>
            </w:tcBorders>
            <w:shd w:val="clear" w:color="auto" w:fill="FFFFFF" w:themeFill="background1"/>
          </w:tcPr>
          <w:p w14:paraId="2C4ACA1B"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1</w:t>
            </w:r>
          </w:p>
        </w:tc>
        <w:tc>
          <w:tcPr>
            <w:tcW w:w="1142" w:type="dxa"/>
            <w:tcBorders>
              <w:top w:val="single" w:sz="18" w:space="0" w:color="auto"/>
              <w:left w:val="nil"/>
              <w:bottom w:val="nil"/>
              <w:right w:val="nil"/>
            </w:tcBorders>
            <w:shd w:val="clear" w:color="auto" w:fill="FFFFFF" w:themeFill="background1"/>
          </w:tcPr>
          <w:p w14:paraId="4C383CC8" w14:textId="77777777" w:rsidR="00133A72" w:rsidRPr="007A71C9" w:rsidRDefault="00133A72" w:rsidP="00FA17B1">
            <w:pPr>
              <w:autoSpaceDE w:val="0"/>
              <w:autoSpaceDN w:val="0"/>
              <w:adjustRightInd w:val="0"/>
              <w:spacing w:after="0" w:line="240" w:lineRule="auto"/>
              <w:ind w:left="60" w:right="60"/>
              <w:jc w:val="both"/>
              <w:rPr>
                <w:color w:val="000000" w:themeColor="text1"/>
              </w:rPr>
            </w:pPr>
          </w:p>
        </w:tc>
        <w:tc>
          <w:tcPr>
            <w:tcW w:w="1142" w:type="dxa"/>
            <w:tcBorders>
              <w:top w:val="single" w:sz="18" w:space="0" w:color="auto"/>
              <w:left w:val="nil"/>
              <w:bottom w:val="nil"/>
              <w:right w:val="nil"/>
            </w:tcBorders>
            <w:shd w:val="clear" w:color="auto" w:fill="FFFFFF" w:themeFill="background1"/>
          </w:tcPr>
          <w:p w14:paraId="2480AFBB" w14:textId="77777777" w:rsidR="00133A72" w:rsidRPr="007A71C9" w:rsidRDefault="00133A72" w:rsidP="00FA17B1">
            <w:pPr>
              <w:autoSpaceDE w:val="0"/>
              <w:autoSpaceDN w:val="0"/>
              <w:adjustRightInd w:val="0"/>
              <w:spacing w:after="0" w:line="240" w:lineRule="auto"/>
              <w:ind w:left="60" w:right="60"/>
              <w:jc w:val="both"/>
              <w:rPr>
                <w:color w:val="000000" w:themeColor="text1"/>
              </w:rPr>
            </w:pPr>
          </w:p>
        </w:tc>
        <w:tc>
          <w:tcPr>
            <w:tcW w:w="1142" w:type="dxa"/>
            <w:tcBorders>
              <w:top w:val="single" w:sz="18" w:space="0" w:color="auto"/>
              <w:left w:val="nil"/>
              <w:bottom w:val="nil"/>
              <w:right w:val="nil"/>
            </w:tcBorders>
            <w:shd w:val="clear" w:color="auto" w:fill="FFFFFF" w:themeFill="background1"/>
          </w:tcPr>
          <w:p w14:paraId="77E2620F" w14:textId="77777777" w:rsidR="00133A72" w:rsidRPr="007A71C9" w:rsidRDefault="00133A72" w:rsidP="00FA17B1">
            <w:pPr>
              <w:autoSpaceDE w:val="0"/>
              <w:autoSpaceDN w:val="0"/>
              <w:adjustRightInd w:val="0"/>
              <w:spacing w:after="0" w:line="240" w:lineRule="auto"/>
              <w:ind w:left="60" w:right="60"/>
              <w:jc w:val="both"/>
              <w:rPr>
                <w:color w:val="000000" w:themeColor="text1"/>
              </w:rPr>
            </w:pPr>
          </w:p>
        </w:tc>
        <w:tc>
          <w:tcPr>
            <w:tcW w:w="1142" w:type="dxa"/>
            <w:tcBorders>
              <w:top w:val="single" w:sz="18" w:space="0" w:color="auto"/>
              <w:left w:val="nil"/>
              <w:bottom w:val="nil"/>
              <w:right w:val="nil"/>
            </w:tcBorders>
            <w:shd w:val="clear" w:color="auto" w:fill="FFFFFF" w:themeFill="background1"/>
          </w:tcPr>
          <w:p w14:paraId="42D8E471" w14:textId="77777777" w:rsidR="00133A72" w:rsidRPr="007A71C9" w:rsidRDefault="00133A72" w:rsidP="00FA17B1">
            <w:pPr>
              <w:autoSpaceDE w:val="0"/>
              <w:autoSpaceDN w:val="0"/>
              <w:adjustRightInd w:val="0"/>
              <w:spacing w:after="0" w:line="240" w:lineRule="auto"/>
              <w:ind w:left="60" w:right="60"/>
              <w:jc w:val="both"/>
              <w:rPr>
                <w:color w:val="000000" w:themeColor="text1"/>
              </w:rPr>
            </w:pPr>
          </w:p>
        </w:tc>
      </w:tr>
      <w:tr w:rsidR="00133A72" w:rsidRPr="007A71C9" w14:paraId="7752542D" w14:textId="77777777" w:rsidTr="00A724EE">
        <w:trPr>
          <w:cantSplit/>
          <w:trHeight w:val="141"/>
        </w:trPr>
        <w:tc>
          <w:tcPr>
            <w:tcW w:w="817" w:type="dxa"/>
            <w:vMerge/>
            <w:tcBorders>
              <w:top w:val="nil"/>
              <w:left w:val="nil"/>
              <w:bottom w:val="nil"/>
              <w:right w:val="nil"/>
            </w:tcBorders>
            <w:shd w:val="clear" w:color="auto" w:fill="FFFFFF" w:themeFill="background1"/>
          </w:tcPr>
          <w:p w14:paraId="104C7AF4" w14:textId="77777777" w:rsidR="00133A72" w:rsidRPr="007A71C9" w:rsidRDefault="00133A72" w:rsidP="00FA17B1">
            <w:pPr>
              <w:autoSpaceDE w:val="0"/>
              <w:autoSpaceDN w:val="0"/>
              <w:adjustRightInd w:val="0"/>
              <w:spacing w:after="0" w:line="240" w:lineRule="auto"/>
              <w:jc w:val="both"/>
              <w:rPr>
                <w:color w:val="000000" w:themeColor="text1"/>
              </w:rPr>
            </w:pPr>
          </w:p>
        </w:tc>
        <w:tc>
          <w:tcPr>
            <w:tcW w:w="2217" w:type="dxa"/>
            <w:tcBorders>
              <w:top w:val="nil"/>
              <w:left w:val="nil"/>
              <w:bottom w:val="nil"/>
              <w:right w:val="nil"/>
            </w:tcBorders>
            <w:shd w:val="clear" w:color="auto" w:fill="FFFFFF" w:themeFill="background1"/>
          </w:tcPr>
          <w:p w14:paraId="6115A660"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Sig. (2-tailed)</w:t>
            </w:r>
          </w:p>
        </w:tc>
        <w:tc>
          <w:tcPr>
            <w:tcW w:w="1142" w:type="dxa"/>
            <w:tcBorders>
              <w:top w:val="nil"/>
              <w:left w:val="nil"/>
              <w:bottom w:val="nil"/>
              <w:right w:val="nil"/>
            </w:tcBorders>
            <w:shd w:val="clear" w:color="auto" w:fill="FFFFFF" w:themeFill="background1"/>
            <w:vAlign w:val="center"/>
          </w:tcPr>
          <w:p w14:paraId="169C9282" w14:textId="77777777" w:rsidR="00133A72" w:rsidRPr="007A71C9" w:rsidRDefault="00133A72" w:rsidP="00FA17B1">
            <w:pPr>
              <w:autoSpaceDE w:val="0"/>
              <w:autoSpaceDN w:val="0"/>
              <w:adjustRightInd w:val="0"/>
              <w:spacing w:after="0" w:line="240" w:lineRule="auto"/>
              <w:jc w:val="both"/>
              <w:rPr>
                <w:color w:val="000000" w:themeColor="text1"/>
              </w:rPr>
            </w:pPr>
          </w:p>
        </w:tc>
        <w:tc>
          <w:tcPr>
            <w:tcW w:w="1142" w:type="dxa"/>
            <w:tcBorders>
              <w:top w:val="nil"/>
              <w:left w:val="nil"/>
              <w:bottom w:val="nil"/>
              <w:right w:val="nil"/>
            </w:tcBorders>
            <w:shd w:val="clear" w:color="auto" w:fill="FFFFFF" w:themeFill="background1"/>
          </w:tcPr>
          <w:p w14:paraId="0FAD52B5" w14:textId="77777777" w:rsidR="00133A72" w:rsidRPr="007A71C9" w:rsidRDefault="00133A72" w:rsidP="00FA17B1">
            <w:pPr>
              <w:autoSpaceDE w:val="0"/>
              <w:autoSpaceDN w:val="0"/>
              <w:adjustRightInd w:val="0"/>
              <w:spacing w:after="0" w:line="240" w:lineRule="auto"/>
              <w:ind w:left="60" w:right="60"/>
              <w:jc w:val="both"/>
              <w:rPr>
                <w:color w:val="000000" w:themeColor="text1"/>
              </w:rPr>
            </w:pPr>
          </w:p>
        </w:tc>
        <w:tc>
          <w:tcPr>
            <w:tcW w:w="1142" w:type="dxa"/>
            <w:tcBorders>
              <w:top w:val="nil"/>
              <w:left w:val="nil"/>
              <w:bottom w:val="nil"/>
              <w:right w:val="nil"/>
            </w:tcBorders>
            <w:shd w:val="clear" w:color="auto" w:fill="FFFFFF" w:themeFill="background1"/>
          </w:tcPr>
          <w:p w14:paraId="074A9631" w14:textId="77777777" w:rsidR="00133A72" w:rsidRPr="007A71C9" w:rsidRDefault="00133A72" w:rsidP="00FA17B1">
            <w:pPr>
              <w:autoSpaceDE w:val="0"/>
              <w:autoSpaceDN w:val="0"/>
              <w:adjustRightInd w:val="0"/>
              <w:spacing w:after="0" w:line="240" w:lineRule="auto"/>
              <w:ind w:left="60" w:right="60"/>
              <w:jc w:val="both"/>
              <w:rPr>
                <w:color w:val="000000" w:themeColor="text1"/>
              </w:rPr>
            </w:pPr>
          </w:p>
        </w:tc>
        <w:tc>
          <w:tcPr>
            <w:tcW w:w="1142" w:type="dxa"/>
            <w:tcBorders>
              <w:top w:val="nil"/>
              <w:left w:val="nil"/>
              <w:bottom w:val="nil"/>
              <w:right w:val="nil"/>
            </w:tcBorders>
            <w:shd w:val="clear" w:color="auto" w:fill="FFFFFF" w:themeFill="background1"/>
          </w:tcPr>
          <w:p w14:paraId="53707E43" w14:textId="77777777" w:rsidR="00133A72" w:rsidRPr="007A71C9" w:rsidRDefault="00133A72" w:rsidP="00FA17B1">
            <w:pPr>
              <w:autoSpaceDE w:val="0"/>
              <w:autoSpaceDN w:val="0"/>
              <w:adjustRightInd w:val="0"/>
              <w:spacing w:after="0" w:line="240" w:lineRule="auto"/>
              <w:ind w:left="60" w:right="60"/>
              <w:jc w:val="both"/>
              <w:rPr>
                <w:color w:val="000000" w:themeColor="text1"/>
              </w:rPr>
            </w:pPr>
          </w:p>
        </w:tc>
        <w:tc>
          <w:tcPr>
            <w:tcW w:w="1142" w:type="dxa"/>
            <w:tcBorders>
              <w:top w:val="nil"/>
              <w:left w:val="nil"/>
              <w:bottom w:val="nil"/>
              <w:right w:val="nil"/>
            </w:tcBorders>
            <w:shd w:val="clear" w:color="auto" w:fill="FFFFFF" w:themeFill="background1"/>
          </w:tcPr>
          <w:p w14:paraId="1DA8AD7A" w14:textId="77777777" w:rsidR="00133A72" w:rsidRPr="007A71C9" w:rsidRDefault="00133A72" w:rsidP="00FA17B1">
            <w:pPr>
              <w:autoSpaceDE w:val="0"/>
              <w:autoSpaceDN w:val="0"/>
              <w:adjustRightInd w:val="0"/>
              <w:spacing w:after="0" w:line="240" w:lineRule="auto"/>
              <w:ind w:left="60" w:right="60"/>
              <w:jc w:val="both"/>
              <w:rPr>
                <w:color w:val="000000" w:themeColor="text1"/>
              </w:rPr>
            </w:pPr>
          </w:p>
        </w:tc>
      </w:tr>
      <w:tr w:rsidR="00133A72" w:rsidRPr="007A71C9" w14:paraId="445782C1" w14:textId="77777777" w:rsidTr="00A724EE">
        <w:trPr>
          <w:cantSplit/>
          <w:trHeight w:val="141"/>
        </w:trPr>
        <w:tc>
          <w:tcPr>
            <w:tcW w:w="817" w:type="dxa"/>
            <w:vMerge/>
            <w:tcBorders>
              <w:top w:val="nil"/>
              <w:left w:val="nil"/>
              <w:bottom w:val="nil"/>
              <w:right w:val="nil"/>
            </w:tcBorders>
            <w:shd w:val="clear" w:color="auto" w:fill="FFFFFF" w:themeFill="background1"/>
          </w:tcPr>
          <w:p w14:paraId="2C74477F" w14:textId="77777777" w:rsidR="00133A72" w:rsidRPr="007A71C9" w:rsidRDefault="00133A72" w:rsidP="00FA17B1">
            <w:pPr>
              <w:autoSpaceDE w:val="0"/>
              <w:autoSpaceDN w:val="0"/>
              <w:adjustRightInd w:val="0"/>
              <w:spacing w:after="0" w:line="240" w:lineRule="auto"/>
              <w:jc w:val="both"/>
              <w:rPr>
                <w:color w:val="000000" w:themeColor="text1"/>
              </w:rPr>
            </w:pPr>
          </w:p>
        </w:tc>
        <w:tc>
          <w:tcPr>
            <w:tcW w:w="2217" w:type="dxa"/>
            <w:tcBorders>
              <w:top w:val="nil"/>
              <w:left w:val="nil"/>
              <w:bottom w:val="nil"/>
              <w:right w:val="nil"/>
            </w:tcBorders>
            <w:shd w:val="clear" w:color="auto" w:fill="FFFFFF" w:themeFill="background1"/>
          </w:tcPr>
          <w:p w14:paraId="03E7A470"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N</w:t>
            </w:r>
          </w:p>
        </w:tc>
        <w:tc>
          <w:tcPr>
            <w:tcW w:w="1142" w:type="dxa"/>
            <w:tcBorders>
              <w:top w:val="nil"/>
              <w:left w:val="nil"/>
              <w:bottom w:val="nil"/>
              <w:right w:val="nil"/>
            </w:tcBorders>
            <w:shd w:val="clear" w:color="auto" w:fill="FFFFFF" w:themeFill="background1"/>
          </w:tcPr>
          <w:p w14:paraId="689C133C"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302</w:t>
            </w:r>
          </w:p>
        </w:tc>
        <w:tc>
          <w:tcPr>
            <w:tcW w:w="1142" w:type="dxa"/>
            <w:tcBorders>
              <w:top w:val="nil"/>
              <w:left w:val="nil"/>
              <w:bottom w:val="nil"/>
              <w:right w:val="nil"/>
            </w:tcBorders>
            <w:shd w:val="clear" w:color="auto" w:fill="FFFFFF" w:themeFill="background1"/>
          </w:tcPr>
          <w:p w14:paraId="469AC7A1" w14:textId="77777777" w:rsidR="00133A72" w:rsidRPr="007A71C9" w:rsidRDefault="00133A72" w:rsidP="00FA17B1">
            <w:pPr>
              <w:autoSpaceDE w:val="0"/>
              <w:autoSpaceDN w:val="0"/>
              <w:adjustRightInd w:val="0"/>
              <w:spacing w:after="0" w:line="240" w:lineRule="auto"/>
              <w:ind w:left="60" w:right="60"/>
              <w:jc w:val="both"/>
              <w:rPr>
                <w:color w:val="000000" w:themeColor="text1"/>
              </w:rPr>
            </w:pPr>
          </w:p>
        </w:tc>
        <w:tc>
          <w:tcPr>
            <w:tcW w:w="1142" w:type="dxa"/>
            <w:tcBorders>
              <w:top w:val="nil"/>
              <w:left w:val="nil"/>
              <w:bottom w:val="nil"/>
              <w:right w:val="nil"/>
            </w:tcBorders>
            <w:shd w:val="clear" w:color="auto" w:fill="FFFFFF" w:themeFill="background1"/>
          </w:tcPr>
          <w:p w14:paraId="3AE9355E" w14:textId="77777777" w:rsidR="00133A72" w:rsidRPr="007A71C9" w:rsidRDefault="00133A72" w:rsidP="00FA17B1">
            <w:pPr>
              <w:autoSpaceDE w:val="0"/>
              <w:autoSpaceDN w:val="0"/>
              <w:adjustRightInd w:val="0"/>
              <w:spacing w:after="0" w:line="240" w:lineRule="auto"/>
              <w:ind w:left="60" w:right="60"/>
              <w:jc w:val="both"/>
              <w:rPr>
                <w:color w:val="000000" w:themeColor="text1"/>
              </w:rPr>
            </w:pPr>
          </w:p>
        </w:tc>
        <w:tc>
          <w:tcPr>
            <w:tcW w:w="1142" w:type="dxa"/>
            <w:tcBorders>
              <w:top w:val="nil"/>
              <w:left w:val="nil"/>
              <w:bottom w:val="nil"/>
              <w:right w:val="nil"/>
            </w:tcBorders>
            <w:shd w:val="clear" w:color="auto" w:fill="FFFFFF" w:themeFill="background1"/>
          </w:tcPr>
          <w:p w14:paraId="1FB134BC" w14:textId="77777777" w:rsidR="00133A72" w:rsidRPr="007A71C9" w:rsidRDefault="00133A72" w:rsidP="00FA17B1">
            <w:pPr>
              <w:autoSpaceDE w:val="0"/>
              <w:autoSpaceDN w:val="0"/>
              <w:adjustRightInd w:val="0"/>
              <w:spacing w:after="0" w:line="240" w:lineRule="auto"/>
              <w:ind w:left="60" w:right="60"/>
              <w:jc w:val="both"/>
              <w:rPr>
                <w:color w:val="000000" w:themeColor="text1"/>
              </w:rPr>
            </w:pPr>
          </w:p>
        </w:tc>
        <w:tc>
          <w:tcPr>
            <w:tcW w:w="1142" w:type="dxa"/>
            <w:tcBorders>
              <w:top w:val="nil"/>
              <w:left w:val="nil"/>
              <w:bottom w:val="nil"/>
              <w:right w:val="nil"/>
            </w:tcBorders>
            <w:shd w:val="clear" w:color="auto" w:fill="FFFFFF" w:themeFill="background1"/>
          </w:tcPr>
          <w:p w14:paraId="6C40E51D" w14:textId="77777777" w:rsidR="00133A72" w:rsidRPr="007A71C9" w:rsidRDefault="00133A72" w:rsidP="00FA17B1">
            <w:pPr>
              <w:autoSpaceDE w:val="0"/>
              <w:autoSpaceDN w:val="0"/>
              <w:adjustRightInd w:val="0"/>
              <w:spacing w:after="0" w:line="240" w:lineRule="auto"/>
              <w:ind w:left="60" w:right="60"/>
              <w:jc w:val="both"/>
              <w:rPr>
                <w:color w:val="000000" w:themeColor="text1"/>
              </w:rPr>
            </w:pPr>
          </w:p>
        </w:tc>
      </w:tr>
      <w:tr w:rsidR="00133A72" w:rsidRPr="007A71C9" w14:paraId="410586D9" w14:textId="77777777" w:rsidTr="00A724EE">
        <w:trPr>
          <w:cantSplit/>
          <w:trHeight w:val="314"/>
        </w:trPr>
        <w:tc>
          <w:tcPr>
            <w:tcW w:w="817" w:type="dxa"/>
            <w:vMerge w:val="restart"/>
            <w:tcBorders>
              <w:top w:val="nil"/>
              <w:left w:val="nil"/>
              <w:bottom w:val="nil"/>
              <w:right w:val="nil"/>
            </w:tcBorders>
            <w:shd w:val="clear" w:color="auto" w:fill="FFFFFF" w:themeFill="background1"/>
          </w:tcPr>
          <w:p w14:paraId="6C400891" w14:textId="32DADD2D" w:rsidR="00133A72" w:rsidRPr="007A71C9" w:rsidRDefault="009B3C1A" w:rsidP="00FA17B1">
            <w:pPr>
              <w:autoSpaceDE w:val="0"/>
              <w:autoSpaceDN w:val="0"/>
              <w:adjustRightInd w:val="0"/>
              <w:spacing w:after="0" w:line="240" w:lineRule="auto"/>
              <w:ind w:left="60" w:right="60"/>
              <w:jc w:val="both"/>
              <w:rPr>
                <w:color w:val="000000" w:themeColor="text1"/>
              </w:rPr>
            </w:pPr>
            <w:r>
              <w:rPr>
                <w:color w:val="000000" w:themeColor="text1"/>
              </w:rPr>
              <w:t>TOP</w:t>
            </w:r>
          </w:p>
        </w:tc>
        <w:tc>
          <w:tcPr>
            <w:tcW w:w="2217" w:type="dxa"/>
            <w:tcBorders>
              <w:top w:val="nil"/>
              <w:left w:val="nil"/>
              <w:bottom w:val="nil"/>
              <w:right w:val="nil"/>
            </w:tcBorders>
            <w:shd w:val="clear" w:color="auto" w:fill="FFFFFF" w:themeFill="background1"/>
          </w:tcPr>
          <w:p w14:paraId="6F959670"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Pearson Correlation</w:t>
            </w:r>
          </w:p>
        </w:tc>
        <w:tc>
          <w:tcPr>
            <w:tcW w:w="1142" w:type="dxa"/>
            <w:tcBorders>
              <w:top w:val="nil"/>
              <w:left w:val="nil"/>
              <w:bottom w:val="nil"/>
              <w:right w:val="nil"/>
            </w:tcBorders>
            <w:shd w:val="clear" w:color="auto" w:fill="FFFFFF" w:themeFill="background1"/>
          </w:tcPr>
          <w:p w14:paraId="58B938F4"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.326</w:t>
            </w:r>
            <w:r w:rsidRPr="007A71C9">
              <w:rPr>
                <w:color w:val="000000" w:themeColor="text1"/>
                <w:vertAlign w:val="superscript"/>
              </w:rPr>
              <w:t>**</w:t>
            </w:r>
          </w:p>
        </w:tc>
        <w:tc>
          <w:tcPr>
            <w:tcW w:w="1142" w:type="dxa"/>
            <w:tcBorders>
              <w:top w:val="nil"/>
              <w:left w:val="nil"/>
              <w:bottom w:val="nil"/>
              <w:right w:val="nil"/>
            </w:tcBorders>
            <w:shd w:val="clear" w:color="auto" w:fill="FFFFFF" w:themeFill="background1"/>
          </w:tcPr>
          <w:p w14:paraId="54CAC2A1"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1</w:t>
            </w:r>
          </w:p>
        </w:tc>
        <w:tc>
          <w:tcPr>
            <w:tcW w:w="1142" w:type="dxa"/>
            <w:tcBorders>
              <w:top w:val="nil"/>
              <w:left w:val="nil"/>
              <w:bottom w:val="nil"/>
              <w:right w:val="nil"/>
            </w:tcBorders>
            <w:shd w:val="clear" w:color="auto" w:fill="FFFFFF" w:themeFill="background1"/>
          </w:tcPr>
          <w:p w14:paraId="01997A1A" w14:textId="77777777" w:rsidR="00133A72" w:rsidRPr="007A71C9" w:rsidRDefault="00133A72" w:rsidP="00FA17B1">
            <w:pPr>
              <w:autoSpaceDE w:val="0"/>
              <w:autoSpaceDN w:val="0"/>
              <w:adjustRightInd w:val="0"/>
              <w:spacing w:after="0" w:line="240" w:lineRule="auto"/>
              <w:ind w:left="60" w:right="60"/>
              <w:jc w:val="both"/>
              <w:rPr>
                <w:color w:val="000000" w:themeColor="text1"/>
              </w:rPr>
            </w:pPr>
          </w:p>
        </w:tc>
        <w:tc>
          <w:tcPr>
            <w:tcW w:w="1142" w:type="dxa"/>
            <w:tcBorders>
              <w:top w:val="nil"/>
              <w:left w:val="nil"/>
              <w:bottom w:val="nil"/>
              <w:right w:val="nil"/>
            </w:tcBorders>
            <w:shd w:val="clear" w:color="auto" w:fill="FFFFFF" w:themeFill="background1"/>
          </w:tcPr>
          <w:p w14:paraId="77EDE23A" w14:textId="77777777" w:rsidR="00133A72" w:rsidRPr="007A71C9" w:rsidRDefault="00133A72" w:rsidP="00FA17B1">
            <w:pPr>
              <w:autoSpaceDE w:val="0"/>
              <w:autoSpaceDN w:val="0"/>
              <w:adjustRightInd w:val="0"/>
              <w:spacing w:after="0" w:line="240" w:lineRule="auto"/>
              <w:ind w:left="60" w:right="60"/>
              <w:jc w:val="both"/>
              <w:rPr>
                <w:color w:val="000000" w:themeColor="text1"/>
              </w:rPr>
            </w:pPr>
          </w:p>
        </w:tc>
        <w:tc>
          <w:tcPr>
            <w:tcW w:w="1142" w:type="dxa"/>
            <w:tcBorders>
              <w:top w:val="nil"/>
              <w:left w:val="nil"/>
              <w:bottom w:val="nil"/>
              <w:right w:val="nil"/>
            </w:tcBorders>
            <w:shd w:val="clear" w:color="auto" w:fill="FFFFFF" w:themeFill="background1"/>
          </w:tcPr>
          <w:p w14:paraId="7C0CC068" w14:textId="77777777" w:rsidR="00133A72" w:rsidRPr="007A71C9" w:rsidRDefault="00133A72" w:rsidP="00FA17B1">
            <w:pPr>
              <w:autoSpaceDE w:val="0"/>
              <w:autoSpaceDN w:val="0"/>
              <w:adjustRightInd w:val="0"/>
              <w:spacing w:after="0" w:line="240" w:lineRule="auto"/>
              <w:ind w:left="60" w:right="60"/>
              <w:jc w:val="both"/>
              <w:rPr>
                <w:color w:val="000000" w:themeColor="text1"/>
              </w:rPr>
            </w:pPr>
          </w:p>
        </w:tc>
      </w:tr>
      <w:tr w:rsidR="00133A72" w:rsidRPr="007A71C9" w14:paraId="743AAF4A" w14:textId="77777777" w:rsidTr="00A724EE">
        <w:trPr>
          <w:cantSplit/>
          <w:trHeight w:val="141"/>
        </w:trPr>
        <w:tc>
          <w:tcPr>
            <w:tcW w:w="817" w:type="dxa"/>
            <w:vMerge/>
            <w:tcBorders>
              <w:top w:val="nil"/>
              <w:left w:val="nil"/>
              <w:bottom w:val="nil"/>
              <w:right w:val="nil"/>
            </w:tcBorders>
            <w:shd w:val="clear" w:color="auto" w:fill="FFFFFF" w:themeFill="background1"/>
          </w:tcPr>
          <w:p w14:paraId="0C13099A" w14:textId="77777777" w:rsidR="00133A72" w:rsidRPr="007A71C9" w:rsidRDefault="00133A72" w:rsidP="00FA17B1">
            <w:pPr>
              <w:autoSpaceDE w:val="0"/>
              <w:autoSpaceDN w:val="0"/>
              <w:adjustRightInd w:val="0"/>
              <w:spacing w:after="0" w:line="240" w:lineRule="auto"/>
              <w:jc w:val="both"/>
              <w:rPr>
                <w:color w:val="000000" w:themeColor="text1"/>
              </w:rPr>
            </w:pPr>
          </w:p>
        </w:tc>
        <w:tc>
          <w:tcPr>
            <w:tcW w:w="2217" w:type="dxa"/>
            <w:tcBorders>
              <w:top w:val="nil"/>
              <w:left w:val="nil"/>
              <w:bottom w:val="nil"/>
              <w:right w:val="nil"/>
            </w:tcBorders>
            <w:shd w:val="clear" w:color="auto" w:fill="FFFFFF" w:themeFill="background1"/>
          </w:tcPr>
          <w:p w14:paraId="51641975"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Sig. (2-tailed)</w:t>
            </w:r>
          </w:p>
        </w:tc>
        <w:tc>
          <w:tcPr>
            <w:tcW w:w="1142" w:type="dxa"/>
            <w:tcBorders>
              <w:top w:val="nil"/>
              <w:left w:val="nil"/>
              <w:bottom w:val="nil"/>
              <w:right w:val="nil"/>
            </w:tcBorders>
            <w:shd w:val="clear" w:color="auto" w:fill="FFFFFF" w:themeFill="background1"/>
          </w:tcPr>
          <w:p w14:paraId="08318668"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.000</w:t>
            </w:r>
          </w:p>
        </w:tc>
        <w:tc>
          <w:tcPr>
            <w:tcW w:w="1142" w:type="dxa"/>
            <w:tcBorders>
              <w:top w:val="nil"/>
              <w:left w:val="nil"/>
              <w:bottom w:val="nil"/>
              <w:right w:val="nil"/>
            </w:tcBorders>
            <w:shd w:val="clear" w:color="auto" w:fill="FFFFFF" w:themeFill="background1"/>
            <w:vAlign w:val="center"/>
          </w:tcPr>
          <w:p w14:paraId="6EFE02A5" w14:textId="77777777" w:rsidR="00133A72" w:rsidRPr="007A71C9" w:rsidRDefault="00133A72" w:rsidP="00FA17B1">
            <w:pPr>
              <w:autoSpaceDE w:val="0"/>
              <w:autoSpaceDN w:val="0"/>
              <w:adjustRightInd w:val="0"/>
              <w:spacing w:after="0" w:line="240" w:lineRule="auto"/>
              <w:jc w:val="both"/>
              <w:rPr>
                <w:color w:val="000000" w:themeColor="text1"/>
              </w:rPr>
            </w:pPr>
          </w:p>
        </w:tc>
        <w:tc>
          <w:tcPr>
            <w:tcW w:w="1142" w:type="dxa"/>
            <w:tcBorders>
              <w:top w:val="nil"/>
              <w:left w:val="nil"/>
              <w:bottom w:val="nil"/>
              <w:right w:val="nil"/>
            </w:tcBorders>
            <w:shd w:val="clear" w:color="auto" w:fill="FFFFFF" w:themeFill="background1"/>
          </w:tcPr>
          <w:p w14:paraId="21B85CFE" w14:textId="77777777" w:rsidR="00133A72" w:rsidRPr="007A71C9" w:rsidRDefault="00133A72" w:rsidP="00FA17B1">
            <w:pPr>
              <w:autoSpaceDE w:val="0"/>
              <w:autoSpaceDN w:val="0"/>
              <w:adjustRightInd w:val="0"/>
              <w:spacing w:after="0" w:line="240" w:lineRule="auto"/>
              <w:ind w:left="60" w:right="60"/>
              <w:jc w:val="both"/>
              <w:rPr>
                <w:color w:val="000000" w:themeColor="text1"/>
              </w:rPr>
            </w:pPr>
          </w:p>
        </w:tc>
        <w:tc>
          <w:tcPr>
            <w:tcW w:w="1142" w:type="dxa"/>
            <w:tcBorders>
              <w:top w:val="nil"/>
              <w:left w:val="nil"/>
              <w:bottom w:val="nil"/>
              <w:right w:val="nil"/>
            </w:tcBorders>
            <w:shd w:val="clear" w:color="auto" w:fill="FFFFFF" w:themeFill="background1"/>
          </w:tcPr>
          <w:p w14:paraId="38D4493A" w14:textId="77777777" w:rsidR="00133A72" w:rsidRPr="007A71C9" w:rsidRDefault="00133A72" w:rsidP="00FA17B1">
            <w:pPr>
              <w:autoSpaceDE w:val="0"/>
              <w:autoSpaceDN w:val="0"/>
              <w:adjustRightInd w:val="0"/>
              <w:spacing w:after="0" w:line="240" w:lineRule="auto"/>
              <w:ind w:left="60" w:right="60"/>
              <w:jc w:val="both"/>
              <w:rPr>
                <w:color w:val="000000" w:themeColor="text1"/>
              </w:rPr>
            </w:pPr>
          </w:p>
        </w:tc>
        <w:tc>
          <w:tcPr>
            <w:tcW w:w="1142" w:type="dxa"/>
            <w:tcBorders>
              <w:top w:val="nil"/>
              <w:left w:val="nil"/>
              <w:bottom w:val="nil"/>
              <w:right w:val="nil"/>
            </w:tcBorders>
            <w:shd w:val="clear" w:color="auto" w:fill="FFFFFF" w:themeFill="background1"/>
          </w:tcPr>
          <w:p w14:paraId="4309FE74" w14:textId="77777777" w:rsidR="00133A72" w:rsidRPr="007A71C9" w:rsidRDefault="00133A72" w:rsidP="00FA17B1">
            <w:pPr>
              <w:autoSpaceDE w:val="0"/>
              <w:autoSpaceDN w:val="0"/>
              <w:adjustRightInd w:val="0"/>
              <w:spacing w:after="0" w:line="240" w:lineRule="auto"/>
              <w:ind w:left="60" w:right="60"/>
              <w:jc w:val="both"/>
              <w:rPr>
                <w:color w:val="000000" w:themeColor="text1"/>
              </w:rPr>
            </w:pPr>
          </w:p>
        </w:tc>
      </w:tr>
      <w:tr w:rsidR="00133A72" w:rsidRPr="007A71C9" w14:paraId="67CDAEEA" w14:textId="77777777" w:rsidTr="00A724EE">
        <w:trPr>
          <w:cantSplit/>
          <w:trHeight w:val="141"/>
        </w:trPr>
        <w:tc>
          <w:tcPr>
            <w:tcW w:w="817" w:type="dxa"/>
            <w:vMerge/>
            <w:tcBorders>
              <w:top w:val="nil"/>
              <w:left w:val="nil"/>
              <w:bottom w:val="nil"/>
              <w:right w:val="nil"/>
            </w:tcBorders>
            <w:shd w:val="clear" w:color="auto" w:fill="FFFFFF" w:themeFill="background1"/>
          </w:tcPr>
          <w:p w14:paraId="0A6393E9" w14:textId="77777777" w:rsidR="00133A72" w:rsidRPr="007A71C9" w:rsidRDefault="00133A72" w:rsidP="00FA17B1">
            <w:pPr>
              <w:autoSpaceDE w:val="0"/>
              <w:autoSpaceDN w:val="0"/>
              <w:adjustRightInd w:val="0"/>
              <w:spacing w:after="0" w:line="240" w:lineRule="auto"/>
              <w:jc w:val="both"/>
              <w:rPr>
                <w:color w:val="000000" w:themeColor="text1"/>
              </w:rPr>
            </w:pPr>
          </w:p>
        </w:tc>
        <w:tc>
          <w:tcPr>
            <w:tcW w:w="2217" w:type="dxa"/>
            <w:tcBorders>
              <w:top w:val="nil"/>
              <w:left w:val="nil"/>
              <w:bottom w:val="nil"/>
              <w:right w:val="nil"/>
            </w:tcBorders>
            <w:shd w:val="clear" w:color="auto" w:fill="FFFFFF" w:themeFill="background1"/>
          </w:tcPr>
          <w:p w14:paraId="292E0605"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N</w:t>
            </w:r>
          </w:p>
        </w:tc>
        <w:tc>
          <w:tcPr>
            <w:tcW w:w="1142" w:type="dxa"/>
            <w:tcBorders>
              <w:top w:val="nil"/>
              <w:left w:val="nil"/>
              <w:bottom w:val="nil"/>
              <w:right w:val="nil"/>
            </w:tcBorders>
            <w:shd w:val="clear" w:color="auto" w:fill="FFFFFF" w:themeFill="background1"/>
          </w:tcPr>
          <w:p w14:paraId="65A9C661"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302</w:t>
            </w:r>
          </w:p>
        </w:tc>
        <w:tc>
          <w:tcPr>
            <w:tcW w:w="1142" w:type="dxa"/>
            <w:tcBorders>
              <w:top w:val="nil"/>
              <w:left w:val="nil"/>
              <w:bottom w:val="nil"/>
              <w:right w:val="nil"/>
            </w:tcBorders>
            <w:shd w:val="clear" w:color="auto" w:fill="FFFFFF" w:themeFill="background1"/>
          </w:tcPr>
          <w:p w14:paraId="3D2C6BE7"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302</w:t>
            </w:r>
          </w:p>
        </w:tc>
        <w:tc>
          <w:tcPr>
            <w:tcW w:w="1142" w:type="dxa"/>
            <w:tcBorders>
              <w:top w:val="nil"/>
              <w:left w:val="nil"/>
              <w:bottom w:val="nil"/>
              <w:right w:val="nil"/>
            </w:tcBorders>
            <w:shd w:val="clear" w:color="auto" w:fill="FFFFFF" w:themeFill="background1"/>
          </w:tcPr>
          <w:p w14:paraId="6C344FA3" w14:textId="77777777" w:rsidR="00133A72" w:rsidRPr="007A71C9" w:rsidRDefault="00133A72" w:rsidP="00FA17B1">
            <w:pPr>
              <w:autoSpaceDE w:val="0"/>
              <w:autoSpaceDN w:val="0"/>
              <w:adjustRightInd w:val="0"/>
              <w:spacing w:after="0" w:line="240" w:lineRule="auto"/>
              <w:ind w:left="60" w:right="60"/>
              <w:jc w:val="both"/>
              <w:rPr>
                <w:color w:val="000000" w:themeColor="text1"/>
              </w:rPr>
            </w:pPr>
          </w:p>
        </w:tc>
        <w:tc>
          <w:tcPr>
            <w:tcW w:w="1142" w:type="dxa"/>
            <w:tcBorders>
              <w:top w:val="nil"/>
              <w:left w:val="nil"/>
              <w:bottom w:val="nil"/>
              <w:right w:val="nil"/>
            </w:tcBorders>
            <w:shd w:val="clear" w:color="auto" w:fill="FFFFFF" w:themeFill="background1"/>
          </w:tcPr>
          <w:p w14:paraId="2DE00E70" w14:textId="77777777" w:rsidR="00133A72" w:rsidRPr="007A71C9" w:rsidRDefault="00133A72" w:rsidP="00FA17B1">
            <w:pPr>
              <w:autoSpaceDE w:val="0"/>
              <w:autoSpaceDN w:val="0"/>
              <w:adjustRightInd w:val="0"/>
              <w:spacing w:after="0" w:line="240" w:lineRule="auto"/>
              <w:ind w:left="60" w:right="60"/>
              <w:jc w:val="both"/>
              <w:rPr>
                <w:color w:val="000000" w:themeColor="text1"/>
              </w:rPr>
            </w:pPr>
          </w:p>
        </w:tc>
        <w:tc>
          <w:tcPr>
            <w:tcW w:w="1142" w:type="dxa"/>
            <w:tcBorders>
              <w:top w:val="nil"/>
              <w:left w:val="nil"/>
              <w:bottom w:val="nil"/>
              <w:right w:val="nil"/>
            </w:tcBorders>
            <w:shd w:val="clear" w:color="auto" w:fill="FFFFFF" w:themeFill="background1"/>
          </w:tcPr>
          <w:p w14:paraId="079699A9" w14:textId="77777777" w:rsidR="00133A72" w:rsidRPr="007A71C9" w:rsidRDefault="00133A72" w:rsidP="00FA17B1">
            <w:pPr>
              <w:autoSpaceDE w:val="0"/>
              <w:autoSpaceDN w:val="0"/>
              <w:adjustRightInd w:val="0"/>
              <w:spacing w:after="0" w:line="240" w:lineRule="auto"/>
              <w:ind w:left="60" w:right="60"/>
              <w:jc w:val="both"/>
              <w:rPr>
                <w:color w:val="000000" w:themeColor="text1"/>
              </w:rPr>
            </w:pPr>
          </w:p>
        </w:tc>
      </w:tr>
      <w:tr w:rsidR="00133A72" w:rsidRPr="007A71C9" w14:paraId="7FB53525" w14:textId="77777777" w:rsidTr="00A724EE">
        <w:trPr>
          <w:cantSplit/>
          <w:trHeight w:val="314"/>
        </w:trPr>
        <w:tc>
          <w:tcPr>
            <w:tcW w:w="817" w:type="dxa"/>
            <w:vMerge w:val="restart"/>
            <w:tcBorders>
              <w:top w:val="nil"/>
              <w:left w:val="nil"/>
              <w:bottom w:val="nil"/>
              <w:right w:val="nil"/>
            </w:tcBorders>
            <w:shd w:val="clear" w:color="auto" w:fill="FFFFFF" w:themeFill="background1"/>
          </w:tcPr>
          <w:p w14:paraId="58BC3AB2"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INV</w:t>
            </w:r>
          </w:p>
        </w:tc>
        <w:tc>
          <w:tcPr>
            <w:tcW w:w="2217" w:type="dxa"/>
            <w:tcBorders>
              <w:top w:val="nil"/>
              <w:left w:val="nil"/>
              <w:bottom w:val="nil"/>
              <w:right w:val="nil"/>
            </w:tcBorders>
            <w:shd w:val="clear" w:color="auto" w:fill="FFFFFF" w:themeFill="background1"/>
          </w:tcPr>
          <w:p w14:paraId="4824A9E3"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Pearson Correlation</w:t>
            </w:r>
          </w:p>
        </w:tc>
        <w:tc>
          <w:tcPr>
            <w:tcW w:w="1142" w:type="dxa"/>
            <w:tcBorders>
              <w:top w:val="nil"/>
              <w:left w:val="nil"/>
              <w:bottom w:val="nil"/>
              <w:right w:val="nil"/>
            </w:tcBorders>
            <w:shd w:val="clear" w:color="auto" w:fill="FFFFFF" w:themeFill="background1"/>
          </w:tcPr>
          <w:p w14:paraId="41964088"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.429</w:t>
            </w:r>
            <w:r w:rsidRPr="007A71C9">
              <w:rPr>
                <w:color w:val="000000" w:themeColor="text1"/>
                <w:vertAlign w:val="superscript"/>
              </w:rPr>
              <w:t>**</w:t>
            </w:r>
          </w:p>
        </w:tc>
        <w:tc>
          <w:tcPr>
            <w:tcW w:w="1142" w:type="dxa"/>
            <w:tcBorders>
              <w:top w:val="nil"/>
              <w:left w:val="nil"/>
              <w:bottom w:val="nil"/>
              <w:right w:val="nil"/>
            </w:tcBorders>
            <w:shd w:val="clear" w:color="auto" w:fill="FFFFFF" w:themeFill="background1"/>
          </w:tcPr>
          <w:p w14:paraId="3C367DCB"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.244</w:t>
            </w:r>
            <w:r w:rsidRPr="007A71C9">
              <w:rPr>
                <w:color w:val="000000" w:themeColor="text1"/>
                <w:vertAlign w:val="superscript"/>
              </w:rPr>
              <w:t>**</w:t>
            </w:r>
          </w:p>
        </w:tc>
        <w:tc>
          <w:tcPr>
            <w:tcW w:w="1142" w:type="dxa"/>
            <w:tcBorders>
              <w:top w:val="nil"/>
              <w:left w:val="nil"/>
              <w:bottom w:val="nil"/>
              <w:right w:val="nil"/>
            </w:tcBorders>
            <w:shd w:val="clear" w:color="auto" w:fill="FFFFFF" w:themeFill="background1"/>
          </w:tcPr>
          <w:p w14:paraId="1184AD2A"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1</w:t>
            </w:r>
          </w:p>
        </w:tc>
        <w:tc>
          <w:tcPr>
            <w:tcW w:w="1142" w:type="dxa"/>
            <w:tcBorders>
              <w:top w:val="nil"/>
              <w:left w:val="nil"/>
              <w:bottom w:val="nil"/>
              <w:right w:val="nil"/>
            </w:tcBorders>
            <w:shd w:val="clear" w:color="auto" w:fill="FFFFFF" w:themeFill="background1"/>
          </w:tcPr>
          <w:p w14:paraId="29F3E49F" w14:textId="77777777" w:rsidR="00133A72" w:rsidRPr="007A71C9" w:rsidRDefault="00133A72" w:rsidP="00FA17B1">
            <w:pPr>
              <w:autoSpaceDE w:val="0"/>
              <w:autoSpaceDN w:val="0"/>
              <w:adjustRightInd w:val="0"/>
              <w:spacing w:after="0" w:line="240" w:lineRule="auto"/>
              <w:ind w:left="60" w:right="60"/>
              <w:jc w:val="both"/>
              <w:rPr>
                <w:color w:val="000000" w:themeColor="text1"/>
              </w:rPr>
            </w:pPr>
          </w:p>
        </w:tc>
        <w:tc>
          <w:tcPr>
            <w:tcW w:w="1142" w:type="dxa"/>
            <w:tcBorders>
              <w:top w:val="nil"/>
              <w:left w:val="nil"/>
              <w:bottom w:val="nil"/>
              <w:right w:val="nil"/>
            </w:tcBorders>
            <w:shd w:val="clear" w:color="auto" w:fill="FFFFFF" w:themeFill="background1"/>
          </w:tcPr>
          <w:p w14:paraId="0C9682BA" w14:textId="77777777" w:rsidR="00133A72" w:rsidRPr="007A71C9" w:rsidRDefault="00133A72" w:rsidP="00FA17B1">
            <w:pPr>
              <w:autoSpaceDE w:val="0"/>
              <w:autoSpaceDN w:val="0"/>
              <w:adjustRightInd w:val="0"/>
              <w:spacing w:after="0" w:line="240" w:lineRule="auto"/>
              <w:ind w:left="60" w:right="60"/>
              <w:jc w:val="both"/>
              <w:rPr>
                <w:color w:val="000000" w:themeColor="text1"/>
              </w:rPr>
            </w:pPr>
          </w:p>
        </w:tc>
      </w:tr>
      <w:tr w:rsidR="00133A72" w:rsidRPr="007A71C9" w14:paraId="50834488" w14:textId="77777777" w:rsidTr="00A724EE">
        <w:trPr>
          <w:cantSplit/>
          <w:trHeight w:val="141"/>
        </w:trPr>
        <w:tc>
          <w:tcPr>
            <w:tcW w:w="817" w:type="dxa"/>
            <w:vMerge/>
            <w:tcBorders>
              <w:top w:val="nil"/>
              <w:left w:val="nil"/>
              <w:bottom w:val="nil"/>
              <w:right w:val="nil"/>
            </w:tcBorders>
            <w:shd w:val="clear" w:color="auto" w:fill="FFFFFF" w:themeFill="background1"/>
          </w:tcPr>
          <w:p w14:paraId="65C4C6A6" w14:textId="77777777" w:rsidR="00133A72" w:rsidRPr="007A71C9" w:rsidRDefault="00133A72" w:rsidP="00FA17B1">
            <w:pPr>
              <w:autoSpaceDE w:val="0"/>
              <w:autoSpaceDN w:val="0"/>
              <w:adjustRightInd w:val="0"/>
              <w:spacing w:after="0" w:line="240" w:lineRule="auto"/>
              <w:jc w:val="both"/>
              <w:rPr>
                <w:color w:val="000000" w:themeColor="text1"/>
              </w:rPr>
            </w:pPr>
          </w:p>
        </w:tc>
        <w:tc>
          <w:tcPr>
            <w:tcW w:w="2217" w:type="dxa"/>
            <w:tcBorders>
              <w:top w:val="nil"/>
              <w:left w:val="nil"/>
              <w:bottom w:val="nil"/>
              <w:right w:val="nil"/>
            </w:tcBorders>
            <w:shd w:val="clear" w:color="auto" w:fill="FFFFFF" w:themeFill="background1"/>
          </w:tcPr>
          <w:p w14:paraId="4905B209"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Sig. (2-tailed)</w:t>
            </w:r>
          </w:p>
        </w:tc>
        <w:tc>
          <w:tcPr>
            <w:tcW w:w="1142" w:type="dxa"/>
            <w:tcBorders>
              <w:top w:val="nil"/>
              <w:left w:val="nil"/>
              <w:bottom w:val="nil"/>
              <w:right w:val="nil"/>
            </w:tcBorders>
            <w:shd w:val="clear" w:color="auto" w:fill="FFFFFF" w:themeFill="background1"/>
          </w:tcPr>
          <w:p w14:paraId="7A8BD40A"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.000</w:t>
            </w:r>
          </w:p>
        </w:tc>
        <w:tc>
          <w:tcPr>
            <w:tcW w:w="1142" w:type="dxa"/>
            <w:tcBorders>
              <w:top w:val="nil"/>
              <w:left w:val="nil"/>
              <w:bottom w:val="nil"/>
              <w:right w:val="nil"/>
            </w:tcBorders>
            <w:shd w:val="clear" w:color="auto" w:fill="FFFFFF" w:themeFill="background1"/>
          </w:tcPr>
          <w:p w14:paraId="61527C7E"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.000</w:t>
            </w:r>
          </w:p>
        </w:tc>
        <w:tc>
          <w:tcPr>
            <w:tcW w:w="1142" w:type="dxa"/>
            <w:tcBorders>
              <w:top w:val="nil"/>
              <w:left w:val="nil"/>
              <w:bottom w:val="nil"/>
              <w:right w:val="nil"/>
            </w:tcBorders>
            <w:shd w:val="clear" w:color="auto" w:fill="FFFFFF" w:themeFill="background1"/>
            <w:vAlign w:val="center"/>
          </w:tcPr>
          <w:p w14:paraId="347EC72A" w14:textId="77777777" w:rsidR="00133A72" w:rsidRPr="007A71C9" w:rsidRDefault="00133A72" w:rsidP="00FA17B1">
            <w:pPr>
              <w:autoSpaceDE w:val="0"/>
              <w:autoSpaceDN w:val="0"/>
              <w:adjustRightInd w:val="0"/>
              <w:spacing w:after="0" w:line="240" w:lineRule="auto"/>
              <w:jc w:val="both"/>
              <w:rPr>
                <w:color w:val="000000" w:themeColor="text1"/>
              </w:rPr>
            </w:pPr>
          </w:p>
        </w:tc>
        <w:tc>
          <w:tcPr>
            <w:tcW w:w="1142" w:type="dxa"/>
            <w:tcBorders>
              <w:top w:val="nil"/>
              <w:left w:val="nil"/>
              <w:bottom w:val="nil"/>
              <w:right w:val="nil"/>
            </w:tcBorders>
            <w:shd w:val="clear" w:color="auto" w:fill="FFFFFF" w:themeFill="background1"/>
          </w:tcPr>
          <w:p w14:paraId="7EAB647B" w14:textId="77777777" w:rsidR="00133A72" w:rsidRPr="007A71C9" w:rsidRDefault="00133A72" w:rsidP="00FA17B1">
            <w:pPr>
              <w:autoSpaceDE w:val="0"/>
              <w:autoSpaceDN w:val="0"/>
              <w:adjustRightInd w:val="0"/>
              <w:spacing w:after="0" w:line="240" w:lineRule="auto"/>
              <w:ind w:left="60" w:right="60"/>
              <w:jc w:val="both"/>
              <w:rPr>
                <w:color w:val="000000" w:themeColor="text1"/>
              </w:rPr>
            </w:pPr>
          </w:p>
        </w:tc>
        <w:tc>
          <w:tcPr>
            <w:tcW w:w="1142" w:type="dxa"/>
            <w:tcBorders>
              <w:top w:val="nil"/>
              <w:left w:val="nil"/>
              <w:bottom w:val="nil"/>
              <w:right w:val="nil"/>
            </w:tcBorders>
            <w:shd w:val="clear" w:color="auto" w:fill="FFFFFF" w:themeFill="background1"/>
          </w:tcPr>
          <w:p w14:paraId="103AB4CD" w14:textId="77777777" w:rsidR="00133A72" w:rsidRPr="007A71C9" w:rsidRDefault="00133A72" w:rsidP="00FA17B1">
            <w:pPr>
              <w:autoSpaceDE w:val="0"/>
              <w:autoSpaceDN w:val="0"/>
              <w:adjustRightInd w:val="0"/>
              <w:spacing w:after="0" w:line="240" w:lineRule="auto"/>
              <w:ind w:left="60" w:right="60"/>
              <w:jc w:val="both"/>
              <w:rPr>
                <w:color w:val="000000" w:themeColor="text1"/>
              </w:rPr>
            </w:pPr>
          </w:p>
        </w:tc>
      </w:tr>
      <w:tr w:rsidR="00133A72" w:rsidRPr="007A71C9" w14:paraId="5A62CB09" w14:textId="77777777" w:rsidTr="00A724EE">
        <w:trPr>
          <w:cantSplit/>
          <w:trHeight w:val="141"/>
        </w:trPr>
        <w:tc>
          <w:tcPr>
            <w:tcW w:w="817" w:type="dxa"/>
            <w:vMerge/>
            <w:tcBorders>
              <w:top w:val="nil"/>
              <w:left w:val="nil"/>
              <w:bottom w:val="nil"/>
              <w:right w:val="nil"/>
            </w:tcBorders>
            <w:shd w:val="clear" w:color="auto" w:fill="FFFFFF" w:themeFill="background1"/>
          </w:tcPr>
          <w:p w14:paraId="56E8E5CE" w14:textId="77777777" w:rsidR="00133A72" w:rsidRPr="007A71C9" w:rsidRDefault="00133A72" w:rsidP="00FA17B1">
            <w:pPr>
              <w:autoSpaceDE w:val="0"/>
              <w:autoSpaceDN w:val="0"/>
              <w:adjustRightInd w:val="0"/>
              <w:spacing w:after="0" w:line="240" w:lineRule="auto"/>
              <w:jc w:val="both"/>
              <w:rPr>
                <w:color w:val="000000" w:themeColor="text1"/>
              </w:rPr>
            </w:pPr>
          </w:p>
        </w:tc>
        <w:tc>
          <w:tcPr>
            <w:tcW w:w="2217" w:type="dxa"/>
            <w:tcBorders>
              <w:top w:val="nil"/>
              <w:left w:val="nil"/>
              <w:bottom w:val="nil"/>
              <w:right w:val="nil"/>
            </w:tcBorders>
            <w:shd w:val="clear" w:color="auto" w:fill="FFFFFF" w:themeFill="background1"/>
          </w:tcPr>
          <w:p w14:paraId="3FC4E5DB"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N</w:t>
            </w:r>
          </w:p>
        </w:tc>
        <w:tc>
          <w:tcPr>
            <w:tcW w:w="1142" w:type="dxa"/>
            <w:tcBorders>
              <w:top w:val="nil"/>
              <w:left w:val="nil"/>
              <w:bottom w:val="nil"/>
              <w:right w:val="nil"/>
            </w:tcBorders>
            <w:shd w:val="clear" w:color="auto" w:fill="FFFFFF" w:themeFill="background1"/>
          </w:tcPr>
          <w:p w14:paraId="7FB2CA1D"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302</w:t>
            </w:r>
          </w:p>
        </w:tc>
        <w:tc>
          <w:tcPr>
            <w:tcW w:w="1142" w:type="dxa"/>
            <w:tcBorders>
              <w:top w:val="nil"/>
              <w:left w:val="nil"/>
              <w:bottom w:val="nil"/>
              <w:right w:val="nil"/>
            </w:tcBorders>
            <w:shd w:val="clear" w:color="auto" w:fill="FFFFFF" w:themeFill="background1"/>
          </w:tcPr>
          <w:p w14:paraId="0900A649"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302</w:t>
            </w:r>
          </w:p>
        </w:tc>
        <w:tc>
          <w:tcPr>
            <w:tcW w:w="1142" w:type="dxa"/>
            <w:tcBorders>
              <w:top w:val="nil"/>
              <w:left w:val="nil"/>
              <w:bottom w:val="nil"/>
              <w:right w:val="nil"/>
            </w:tcBorders>
            <w:shd w:val="clear" w:color="auto" w:fill="FFFFFF" w:themeFill="background1"/>
          </w:tcPr>
          <w:p w14:paraId="78F7F9C9"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302</w:t>
            </w:r>
          </w:p>
        </w:tc>
        <w:tc>
          <w:tcPr>
            <w:tcW w:w="1142" w:type="dxa"/>
            <w:tcBorders>
              <w:top w:val="nil"/>
              <w:left w:val="nil"/>
              <w:bottom w:val="nil"/>
              <w:right w:val="nil"/>
            </w:tcBorders>
            <w:shd w:val="clear" w:color="auto" w:fill="FFFFFF" w:themeFill="background1"/>
          </w:tcPr>
          <w:p w14:paraId="5C3687DB" w14:textId="77777777" w:rsidR="00133A72" w:rsidRPr="007A71C9" w:rsidRDefault="00133A72" w:rsidP="00FA17B1">
            <w:pPr>
              <w:autoSpaceDE w:val="0"/>
              <w:autoSpaceDN w:val="0"/>
              <w:adjustRightInd w:val="0"/>
              <w:spacing w:after="0" w:line="240" w:lineRule="auto"/>
              <w:ind w:left="60" w:right="60"/>
              <w:jc w:val="both"/>
              <w:rPr>
                <w:color w:val="000000" w:themeColor="text1"/>
              </w:rPr>
            </w:pPr>
          </w:p>
        </w:tc>
        <w:tc>
          <w:tcPr>
            <w:tcW w:w="1142" w:type="dxa"/>
            <w:tcBorders>
              <w:top w:val="nil"/>
              <w:left w:val="nil"/>
              <w:bottom w:val="nil"/>
              <w:right w:val="nil"/>
            </w:tcBorders>
            <w:shd w:val="clear" w:color="auto" w:fill="FFFFFF" w:themeFill="background1"/>
          </w:tcPr>
          <w:p w14:paraId="3306D5DE" w14:textId="77777777" w:rsidR="00133A72" w:rsidRPr="007A71C9" w:rsidRDefault="00133A72" w:rsidP="00FA17B1">
            <w:pPr>
              <w:autoSpaceDE w:val="0"/>
              <w:autoSpaceDN w:val="0"/>
              <w:adjustRightInd w:val="0"/>
              <w:spacing w:after="0" w:line="240" w:lineRule="auto"/>
              <w:ind w:left="60" w:right="60"/>
              <w:jc w:val="both"/>
              <w:rPr>
                <w:color w:val="000000" w:themeColor="text1"/>
              </w:rPr>
            </w:pPr>
          </w:p>
        </w:tc>
      </w:tr>
      <w:tr w:rsidR="00133A72" w:rsidRPr="007A71C9" w14:paraId="56D15128" w14:textId="77777777" w:rsidTr="00A724EE">
        <w:trPr>
          <w:cantSplit/>
          <w:trHeight w:val="314"/>
        </w:trPr>
        <w:tc>
          <w:tcPr>
            <w:tcW w:w="817" w:type="dxa"/>
            <w:vMerge w:val="restart"/>
            <w:tcBorders>
              <w:top w:val="nil"/>
              <w:left w:val="nil"/>
              <w:bottom w:val="nil"/>
              <w:right w:val="nil"/>
            </w:tcBorders>
            <w:shd w:val="clear" w:color="auto" w:fill="FFFFFF" w:themeFill="background1"/>
          </w:tcPr>
          <w:p w14:paraId="1B1410C2"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DIS</w:t>
            </w:r>
          </w:p>
        </w:tc>
        <w:tc>
          <w:tcPr>
            <w:tcW w:w="2217" w:type="dxa"/>
            <w:tcBorders>
              <w:top w:val="nil"/>
              <w:left w:val="nil"/>
              <w:bottom w:val="nil"/>
              <w:right w:val="nil"/>
            </w:tcBorders>
            <w:shd w:val="clear" w:color="auto" w:fill="FFFFFF" w:themeFill="background1"/>
          </w:tcPr>
          <w:p w14:paraId="6BD398F2"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Pearson Correlation</w:t>
            </w:r>
          </w:p>
        </w:tc>
        <w:tc>
          <w:tcPr>
            <w:tcW w:w="1142" w:type="dxa"/>
            <w:tcBorders>
              <w:top w:val="nil"/>
              <w:left w:val="nil"/>
              <w:bottom w:val="nil"/>
              <w:right w:val="nil"/>
            </w:tcBorders>
            <w:shd w:val="clear" w:color="auto" w:fill="FFFFFF" w:themeFill="background1"/>
          </w:tcPr>
          <w:p w14:paraId="2F9F7E24"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-.055</w:t>
            </w:r>
          </w:p>
        </w:tc>
        <w:tc>
          <w:tcPr>
            <w:tcW w:w="1142" w:type="dxa"/>
            <w:tcBorders>
              <w:top w:val="nil"/>
              <w:left w:val="nil"/>
              <w:bottom w:val="nil"/>
              <w:right w:val="nil"/>
            </w:tcBorders>
            <w:shd w:val="clear" w:color="auto" w:fill="FFFFFF" w:themeFill="background1"/>
          </w:tcPr>
          <w:p w14:paraId="14B6F93B"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.040</w:t>
            </w:r>
          </w:p>
        </w:tc>
        <w:tc>
          <w:tcPr>
            <w:tcW w:w="1142" w:type="dxa"/>
            <w:tcBorders>
              <w:top w:val="nil"/>
              <w:left w:val="nil"/>
              <w:bottom w:val="nil"/>
              <w:right w:val="nil"/>
            </w:tcBorders>
            <w:shd w:val="clear" w:color="auto" w:fill="FFFFFF" w:themeFill="background1"/>
          </w:tcPr>
          <w:p w14:paraId="4A841138"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.005</w:t>
            </w:r>
          </w:p>
        </w:tc>
        <w:tc>
          <w:tcPr>
            <w:tcW w:w="1142" w:type="dxa"/>
            <w:tcBorders>
              <w:top w:val="nil"/>
              <w:left w:val="nil"/>
              <w:bottom w:val="nil"/>
              <w:right w:val="nil"/>
            </w:tcBorders>
            <w:shd w:val="clear" w:color="auto" w:fill="FFFFFF" w:themeFill="background1"/>
          </w:tcPr>
          <w:p w14:paraId="47956171"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1</w:t>
            </w:r>
          </w:p>
        </w:tc>
        <w:tc>
          <w:tcPr>
            <w:tcW w:w="1142" w:type="dxa"/>
            <w:tcBorders>
              <w:top w:val="nil"/>
              <w:left w:val="nil"/>
              <w:bottom w:val="nil"/>
              <w:right w:val="nil"/>
            </w:tcBorders>
            <w:shd w:val="clear" w:color="auto" w:fill="FFFFFF" w:themeFill="background1"/>
          </w:tcPr>
          <w:p w14:paraId="48C80C8F" w14:textId="77777777" w:rsidR="00133A72" w:rsidRPr="007A71C9" w:rsidRDefault="00133A72" w:rsidP="00FA17B1">
            <w:pPr>
              <w:autoSpaceDE w:val="0"/>
              <w:autoSpaceDN w:val="0"/>
              <w:adjustRightInd w:val="0"/>
              <w:spacing w:after="0" w:line="240" w:lineRule="auto"/>
              <w:ind w:left="60" w:right="60"/>
              <w:jc w:val="both"/>
              <w:rPr>
                <w:color w:val="000000" w:themeColor="text1"/>
              </w:rPr>
            </w:pPr>
          </w:p>
        </w:tc>
      </w:tr>
      <w:tr w:rsidR="00133A72" w:rsidRPr="007A71C9" w14:paraId="1604DE8B" w14:textId="77777777" w:rsidTr="00A724EE">
        <w:trPr>
          <w:cantSplit/>
          <w:trHeight w:val="141"/>
        </w:trPr>
        <w:tc>
          <w:tcPr>
            <w:tcW w:w="817" w:type="dxa"/>
            <w:vMerge/>
            <w:tcBorders>
              <w:top w:val="nil"/>
              <w:left w:val="nil"/>
              <w:bottom w:val="nil"/>
              <w:right w:val="nil"/>
            </w:tcBorders>
            <w:shd w:val="clear" w:color="auto" w:fill="FFFFFF" w:themeFill="background1"/>
          </w:tcPr>
          <w:p w14:paraId="37235B1A" w14:textId="77777777" w:rsidR="00133A72" w:rsidRPr="007A71C9" w:rsidRDefault="00133A72" w:rsidP="00FA17B1">
            <w:pPr>
              <w:autoSpaceDE w:val="0"/>
              <w:autoSpaceDN w:val="0"/>
              <w:adjustRightInd w:val="0"/>
              <w:spacing w:after="0" w:line="240" w:lineRule="auto"/>
              <w:jc w:val="both"/>
              <w:rPr>
                <w:color w:val="000000" w:themeColor="text1"/>
              </w:rPr>
            </w:pPr>
          </w:p>
        </w:tc>
        <w:tc>
          <w:tcPr>
            <w:tcW w:w="2217" w:type="dxa"/>
            <w:tcBorders>
              <w:top w:val="nil"/>
              <w:left w:val="nil"/>
              <w:bottom w:val="nil"/>
              <w:right w:val="nil"/>
            </w:tcBorders>
            <w:shd w:val="clear" w:color="auto" w:fill="FFFFFF" w:themeFill="background1"/>
          </w:tcPr>
          <w:p w14:paraId="626AB9AD"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Sig. (2-tailed)</w:t>
            </w:r>
          </w:p>
        </w:tc>
        <w:tc>
          <w:tcPr>
            <w:tcW w:w="1142" w:type="dxa"/>
            <w:tcBorders>
              <w:top w:val="nil"/>
              <w:left w:val="nil"/>
              <w:bottom w:val="nil"/>
              <w:right w:val="nil"/>
            </w:tcBorders>
            <w:shd w:val="clear" w:color="auto" w:fill="FFFFFF" w:themeFill="background1"/>
          </w:tcPr>
          <w:p w14:paraId="33621BC2"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.339</w:t>
            </w:r>
          </w:p>
        </w:tc>
        <w:tc>
          <w:tcPr>
            <w:tcW w:w="1142" w:type="dxa"/>
            <w:tcBorders>
              <w:top w:val="nil"/>
              <w:left w:val="nil"/>
              <w:bottom w:val="nil"/>
              <w:right w:val="nil"/>
            </w:tcBorders>
            <w:shd w:val="clear" w:color="auto" w:fill="FFFFFF" w:themeFill="background1"/>
          </w:tcPr>
          <w:p w14:paraId="55CFA942"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.490</w:t>
            </w:r>
          </w:p>
        </w:tc>
        <w:tc>
          <w:tcPr>
            <w:tcW w:w="1142" w:type="dxa"/>
            <w:tcBorders>
              <w:top w:val="nil"/>
              <w:left w:val="nil"/>
              <w:bottom w:val="nil"/>
              <w:right w:val="nil"/>
            </w:tcBorders>
            <w:shd w:val="clear" w:color="auto" w:fill="FFFFFF" w:themeFill="background1"/>
          </w:tcPr>
          <w:p w14:paraId="1A9D2345"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.935</w:t>
            </w:r>
          </w:p>
        </w:tc>
        <w:tc>
          <w:tcPr>
            <w:tcW w:w="1142" w:type="dxa"/>
            <w:tcBorders>
              <w:top w:val="nil"/>
              <w:left w:val="nil"/>
              <w:bottom w:val="nil"/>
              <w:right w:val="nil"/>
            </w:tcBorders>
            <w:shd w:val="clear" w:color="auto" w:fill="FFFFFF" w:themeFill="background1"/>
            <w:vAlign w:val="center"/>
          </w:tcPr>
          <w:p w14:paraId="195EBCD3" w14:textId="77777777" w:rsidR="00133A72" w:rsidRPr="007A71C9" w:rsidRDefault="00133A72" w:rsidP="00FA17B1">
            <w:pPr>
              <w:autoSpaceDE w:val="0"/>
              <w:autoSpaceDN w:val="0"/>
              <w:adjustRightInd w:val="0"/>
              <w:spacing w:after="0" w:line="240" w:lineRule="auto"/>
              <w:jc w:val="both"/>
              <w:rPr>
                <w:color w:val="000000" w:themeColor="text1"/>
              </w:rPr>
            </w:pPr>
          </w:p>
        </w:tc>
        <w:tc>
          <w:tcPr>
            <w:tcW w:w="1142" w:type="dxa"/>
            <w:tcBorders>
              <w:top w:val="nil"/>
              <w:left w:val="nil"/>
              <w:bottom w:val="nil"/>
              <w:right w:val="nil"/>
            </w:tcBorders>
            <w:shd w:val="clear" w:color="auto" w:fill="FFFFFF" w:themeFill="background1"/>
          </w:tcPr>
          <w:p w14:paraId="627EAB50" w14:textId="77777777" w:rsidR="00133A72" w:rsidRPr="007A71C9" w:rsidRDefault="00133A72" w:rsidP="00FA17B1">
            <w:pPr>
              <w:autoSpaceDE w:val="0"/>
              <w:autoSpaceDN w:val="0"/>
              <w:adjustRightInd w:val="0"/>
              <w:spacing w:after="0" w:line="240" w:lineRule="auto"/>
              <w:ind w:left="60" w:right="60"/>
              <w:jc w:val="both"/>
              <w:rPr>
                <w:color w:val="000000" w:themeColor="text1"/>
              </w:rPr>
            </w:pPr>
          </w:p>
        </w:tc>
      </w:tr>
      <w:tr w:rsidR="00133A72" w:rsidRPr="007A71C9" w14:paraId="27FAE8AA" w14:textId="77777777" w:rsidTr="00A724EE">
        <w:trPr>
          <w:cantSplit/>
          <w:trHeight w:val="141"/>
        </w:trPr>
        <w:tc>
          <w:tcPr>
            <w:tcW w:w="817" w:type="dxa"/>
            <w:vMerge/>
            <w:tcBorders>
              <w:top w:val="nil"/>
              <w:left w:val="nil"/>
              <w:bottom w:val="nil"/>
              <w:right w:val="nil"/>
            </w:tcBorders>
            <w:shd w:val="clear" w:color="auto" w:fill="FFFFFF" w:themeFill="background1"/>
          </w:tcPr>
          <w:p w14:paraId="53DA3DEE" w14:textId="77777777" w:rsidR="00133A72" w:rsidRPr="007A71C9" w:rsidRDefault="00133A72" w:rsidP="00FA17B1">
            <w:pPr>
              <w:autoSpaceDE w:val="0"/>
              <w:autoSpaceDN w:val="0"/>
              <w:adjustRightInd w:val="0"/>
              <w:spacing w:after="0" w:line="240" w:lineRule="auto"/>
              <w:jc w:val="both"/>
              <w:rPr>
                <w:color w:val="000000" w:themeColor="text1"/>
              </w:rPr>
            </w:pPr>
          </w:p>
        </w:tc>
        <w:tc>
          <w:tcPr>
            <w:tcW w:w="2217" w:type="dxa"/>
            <w:tcBorders>
              <w:top w:val="nil"/>
              <w:left w:val="nil"/>
              <w:bottom w:val="nil"/>
              <w:right w:val="nil"/>
            </w:tcBorders>
            <w:shd w:val="clear" w:color="auto" w:fill="FFFFFF" w:themeFill="background1"/>
          </w:tcPr>
          <w:p w14:paraId="7686BF94"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N</w:t>
            </w:r>
          </w:p>
        </w:tc>
        <w:tc>
          <w:tcPr>
            <w:tcW w:w="1142" w:type="dxa"/>
            <w:tcBorders>
              <w:top w:val="nil"/>
              <w:left w:val="nil"/>
              <w:bottom w:val="nil"/>
              <w:right w:val="nil"/>
            </w:tcBorders>
            <w:shd w:val="clear" w:color="auto" w:fill="FFFFFF" w:themeFill="background1"/>
          </w:tcPr>
          <w:p w14:paraId="2A709517"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302</w:t>
            </w:r>
          </w:p>
        </w:tc>
        <w:tc>
          <w:tcPr>
            <w:tcW w:w="1142" w:type="dxa"/>
            <w:tcBorders>
              <w:top w:val="nil"/>
              <w:left w:val="nil"/>
              <w:bottom w:val="nil"/>
              <w:right w:val="nil"/>
            </w:tcBorders>
            <w:shd w:val="clear" w:color="auto" w:fill="FFFFFF" w:themeFill="background1"/>
          </w:tcPr>
          <w:p w14:paraId="3C1464CE"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302</w:t>
            </w:r>
          </w:p>
        </w:tc>
        <w:tc>
          <w:tcPr>
            <w:tcW w:w="1142" w:type="dxa"/>
            <w:tcBorders>
              <w:top w:val="nil"/>
              <w:left w:val="nil"/>
              <w:bottom w:val="nil"/>
              <w:right w:val="nil"/>
            </w:tcBorders>
            <w:shd w:val="clear" w:color="auto" w:fill="FFFFFF" w:themeFill="background1"/>
          </w:tcPr>
          <w:p w14:paraId="756BF751"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302</w:t>
            </w:r>
          </w:p>
        </w:tc>
        <w:tc>
          <w:tcPr>
            <w:tcW w:w="1142" w:type="dxa"/>
            <w:tcBorders>
              <w:top w:val="nil"/>
              <w:left w:val="nil"/>
              <w:bottom w:val="nil"/>
              <w:right w:val="nil"/>
            </w:tcBorders>
            <w:shd w:val="clear" w:color="auto" w:fill="FFFFFF" w:themeFill="background1"/>
          </w:tcPr>
          <w:p w14:paraId="49FBDF61"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302</w:t>
            </w:r>
          </w:p>
        </w:tc>
        <w:tc>
          <w:tcPr>
            <w:tcW w:w="1142" w:type="dxa"/>
            <w:tcBorders>
              <w:top w:val="nil"/>
              <w:left w:val="nil"/>
              <w:bottom w:val="nil"/>
              <w:right w:val="nil"/>
            </w:tcBorders>
            <w:shd w:val="clear" w:color="auto" w:fill="FFFFFF" w:themeFill="background1"/>
          </w:tcPr>
          <w:p w14:paraId="5EB556F1" w14:textId="77777777" w:rsidR="00133A72" w:rsidRPr="007A71C9" w:rsidRDefault="00133A72" w:rsidP="00FA17B1">
            <w:pPr>
              <w:autoSpaceDE w:val="0"/>
              <w:autoSpaceDN w:val="0"/>
              <w:adjustRightInd w:val="0"/>
              <w:spacing w:after="0" w:line="240" w:lineRule="auto"/>
              <w:ind w:left="60" w:right="60"/>
              <w:jc w:val="both"/>
              <w:rPr>
                <w:color w:val="000000" w:themeColor="text1"/>
              </w:rPr>
            </w:pPr>
          </w:p>
        </w:tc>
      </w:tr>
      <w:tr w:rsidR="00133A72" w:rsidRPr="007A71C9" w14:paraId="13550BF4" w14:textId="77777777" w:rsidTr="00A724EE">
        <w:trPr>
          <w:cantSplit/>
          <w:trHeight w:val="314"/>
        </w:trPr>
        <w:tc>
          <w:tcPr>
            <w:tcW w:w="817" w:type="dxa"/>
            <w:vMerge w:val="restart"/>
            <w:tcBorders>
              <w:top w:val="nil"/>
              <w:left w:val="nil"/>
              <w:bottom w:val="nil"/>
              <w:right w:val="nil"/>
            </w:tcBorders>
            <w:shd w:val="clear" w:color="auto" w:fill="FFFFFF" w:themeFill="background1"/>
          </w:tcPr>
          <w:p w14:paraId="5FBC911B"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INS</w:t>
            </w:r>
          </w:p>
        </w:tc>
        <w:tc>
          <w:tcPr>
            <w:tcW w:w="2217" w:type="dxa"/>
            <w:tcBorders>
              <w:top w:val="nil"/>
              <w:left w:val="nil"/>
              <w:bottom w:val="nil"/>
              <w:right w:val="nil"/>
            </w:tcBorders>
            <w:shd w:val="clear" w:color="auto" w:fill="FFFFFF" w:themeFill="background1"/>
          </w:tcPr>
          <w:p w14:paraId="6017A05C"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Pearson Correlation</w:t>
            </w:r>
          </w:p>
        </w:tc>
        <w:tc>
          <w:tcPr>
            <w:tcW w:w="1142" w:type="dxa"/>
            <w:tcBorders>
              <w:top w:val="nil"/>
              <w:left w:val="nil"/>
              <w:bottom w:val="nil"/>
              <w:right w:val="nil"/>
            </w:tcBorders>
            <w:shd w:val="clear" w:color="auto" w:fill="FFFFFF" w:themeFill="background1"/>
          </w:tcPr>
          <w:p w14:paraId="056FC450"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-.127</w:t>
            </w:r>
            <w:r w:rsidRPr="007A71C9">
              <w:rPr>
                <w:color w:val="000000" w:themeColor="text1"/>
                <w:vertAlign w:val="superscript"/>
              </w:rPr>
              <w:t>*</w:t>
            </w:r>
          </w:p>
        </w:tc>
        <w:tc>
          <w:tcPr>
            <w:tcW w:w="1142" w:type="dxa"/>
            <w:tcBorders>
              <w:top w:val="nil"/>
              <w:left w:val="nil"/>
              <w:bottom w:val="nil"/>
              <w:right w:val="nil"/>
            </w:tcBorders>
            <w:shd w:val="clear" w:color="auto" w:fill="FFFFFF" w:themeFill="background1"/>
          </w:tcPr>
          <w:p w14:paraId="2BCAF134"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-.081</w:t>
            </w:r>
          </w:p>
        </w:tc>
        <w:tc>
          <w:tcPr>
            <w:tcW w:w="1142" w:type="dxa"/>
            <w:tcBorders>
              <w:top w:val="nil"/>
              <w:left w:val="nil"/>
              <w:bottom w:val="nil"/>
              <w:right w:val="nil"/>
            </w:tcBorders>
            <w:shd w:val="clear" w:color="auto" w:fill="FFFFFF" w:themeFill="background1"/>
          </w:tcPr>
          <w:p w14:paraId="23941DF3"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.103</w:t>
            </w:r>
          </w:p>
        </w:tc>
        <w:tc>
          <w:tcPr>
            <w:tcW w:w="1142" w:type="dxa"/>
            <w:tcBorders>
              <w:top w:val="nil"/>
              <w:left w:val="nil"/>
              <w:bottom w:val="nil"/>
              <w:right w:val="nil"/>
            </w:tcBorders>
            <w:shd w:val="clear" w:color="auto" w:fill="FFFFFF" w:themeFill="background1"/>
          </w:tcPr>
          <w:p w14:paraId="044DC6C0"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-.313</w:t>
            </w:r>
            <w:r w:rsidRPr="007A71C9">
              <w:rPr>
                <w:color w:val="000000" w:themeColor="text1"/>
                <w:vertAlign w:val="superscript"/>
              </w:rPr>
              <w:t>**</w:t>
            </w:r>
          </w:p>
        </w:tc>
        <w:tc>
          <w:tcPr>
            <w:tcW w:w="1142" w:type="dxa"/>
            <w:tcBorders>
              <w:top w:val="nil"/>
              <w:left w:val="nil"/>
              <w:bottom w:val="nil"/>
              <w:right w:val="nil"/>
            </w:tcBorders>
            <w:shd w:val="clear" w:color="auto" w:fill="FFFFFF" w:themeFill="background1"/>
          </w:tcPr>
          <w:p w14:paraId="36CE7490"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1</w:t>
            </w:r>
          </w:p>
        </w:tc>
      </w:tr>
      <w:tr w:rsidR="00133A72" w:rsidRPr="007A71C9" w14:paraId="4AE87735" w14:textId="77777777" w:rsidTr="00A724EE">
        <w:trPr>
          <w:cantSplit/>
          <w:trHeight w:val="141"/>
        </w:trPr>
        <w:tc>
          <w:tcPr>
            <w:tcW w:w="817" w:type="dxa"/>
            <w:vMerge/>
            <w:tcBorders>
              <w:top w:val="nil"/>
              <w:left w:val="nil"/>
              <w:bottom w:val="nil"/>
              <w:right w:val="nil"/>
            </w:tcBorders>
            <w:shd w:val="clear" w:color="auto" w:fill="FFFFFF" w:themeFill="background1"/>
          </w:tcPr>
          <w:p w14:paraId="40B853D3" w14:textId="77777777" w:rsidR="00133A72" w:rsidRPr="007A71C9" w:rsidRDefault="00133A72" w:rsidP="00FA17B1">
            <w:pPr>
              <w:autoSpaceDE w:val="0"/>
              <w:autoSpaceDN w:val="0"/>
              <w:adjustRightInd w:val="0"/>
              <w:spacing w:after="0" w:line="240" w:lineRule="auto"/>
              <w:jc w:val="both"/>
              <w:rPr>
                <w:color w:val="000000" w:themeColor="text1"/>
              </w:rPr>
            </w:pPr>
          </w:p>
        </w:tc>
        <w:tc>
          <w:tcPr>
            <w:tcW w:w="2217" w:type="dxa"/>
            <w:tcBorders>
              <w:top w:val="nil"/>
              <w:left w:val="nil"/>
              <w:bottom w:val="nil"/>
              <w:right w:val="nil"/>
            </w:tcBorders>
            <w:shd w:val="clear" w:color="auto" w:fill="FFFFFF" w:themeFill="background1"/>
          </w:tcPr>
          <w:p w14:paraId="7A74AABA"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Sig. (2-tailed)</w:t>
            </w:r>
          </w:p>
        </w:tc>
        <w:tc>
          <w:tcPr>
            <w:tcW w:w="1142" w:type="dxa"/>
            <w:tcBorders>
              <w:top w:val="nil"/>
              <w:left w:val="nil"/>
              <w:bottom w:val="nil"/>
              <w:right w:val="nil"/>
            </w:tcBorders>
            <w:shd w:val="clear" w:color="auto" w:fill="FFFFFF" w:themeFill="background1"/>
          </w:tcPr>
          <w:p w14:paraId="68C6A30B"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.028</w:t>
            </w:r>
          </w:p>
        </w:tc>
        <w:tc>
          <w:tcPr>
            <w:tcW w:w="1142" w:type="dxa"/>
            <w:tcBorders>
              <w:top w:val="nil"/>
              <w:left w:val="nil"/>
              <w:bottom w:val="nil"/>
              <w:right w:val="nil"/>
            </w:tcBorders>
            <w:shd w:val="clear" w:color="auto" w:fill="FFFFFF" w:themeFill="background1"/>
          </w:tcPr>
          <w:p w14:paraId="2769D868"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.163</w:t>
            </w:r>
          </w:p>
        </w:tc>
        <w:tc>
          <w:tcPr>
            <w:tcW w:w="1142" w:type="dxa"/>
            <w:tcBorders>
              <w:top w:val="nil"/>
              <w:left w:val="nil"/>
              <w:bottom w:val="nil"/>
              <w:right w:val="nil"/>
            </w:tcBorders>
            <w:shd w:val="clear" w:color="auto" w:fill="FFFFFF" w:themeFill="background1"/>
          </w:tcPr>
          <w:p w14:paraId="229FC77A"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.074</w:t>
            </w:r>
          </w:p>
        </w:tc>
        <w:tc>
          <w:tcPr>
            <w:tcW w:w="1142" w:type="dxa"/>
            <w:tcBorders>
              <w:top w:val="nil"/>
              <w:left w:val="nil"/>
              <w:bottom w:val="nil"/>
              <w:right w:val="nil"/>
            </w:tcBorders>
            <w:shd w:val="clear" w:color="auto" w:fill="FFFFFF" w:themeFill="background1"/>
          </w:tcPr>
          <w:p w14:paraId="66B467EA"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.000</w:t>
            </w:r>
          </w:p>
        </w:tc>
        <w:tc>
          <w:tcPr>
            <w:tcW w:w="1142" w:type="dxa"/>
            <w:tcBorders>
              <w:top w:val="nil"/>
              <w:left w:val="nil"/>
              <w:bottom w:val="nil"/>
              <w:right w:val="nil"/>
            </w:tcBorders>
            <w:shd w:val="clear" w:color="auto" w:fill="FFFFFF" w:themeFill="background1"/>
            <w:vAlign w:val="center"/>
          </w:tcPr>
          <w:p w14:paraId="3203589F" w14:textId="77777777" w:rsidR="00133A72" w:rsidRPr="007A71C9" w:rsidRDefault="00133A72" w:rsidP="00FA17B1">
            <w:pPr>
              <w:autoSpaceDE w:val="0"/>
              <w:autoSpaceDN w:val="0"/>
              <w:adjustRightInd w:val="0"/>
              <w:spacing w:after="0" w:line="240" w:lineRule="auto"/>
              <w:jc w:val="both"/>
              <w:rPr>
                <w:color w:val="000000" w:themeColor="text1"/>
              </w:rPr>
            </w:pPr>
          </w:p>
        </w:tc>
      </w:tr>
      <w:tr w:rsidR="00133A72" w:rsidRPr="007A71C9" w14:paraId="5A523FC0" w14:textId="77777777" w:rsidTr="00A724EE">
        <w:trPr>
          <w:cantSplit/>
          <w:trHeight w:val="141"/>
        </w:trPr>
        <w:tc>
          <w:tcPr>
            <w:tcW w:w="817" w:type="dxa"/>
            <w:vMerge/>
            <w:tcBorders>
              <w:top w:val="nil"/>
              <w:left w:val="nil"/>
              <w:bottom w:val="single" w:sz="18" w:space="0" w:color="auto"/>
              <w:right w:val="nil"/>
            </w:tcBorders>
            <w:shd w:val="clear" w:color="auto" w:fill="FFFFFF" w:themeFill="background1"/>
          </w:tcPr>
          <w:p w14:paraId="53320857" w14:textId="77777777" w:rsidR="00133A72" w:rsidRPr="007A71C9" w:rsidRDefault="00133A72" w:rsidP="00FA17B1">
            <w:pPr>
              <w:autoSpaceDE w:val="0"/>
              <w:autoSpaceDN w:val="0"/>
              <w:adjustRightInd w:val="0"/>
              <w:spacing w:after="0" w:line="240" w:lineRule="auto"/>
              <w:jc w:val="both"/>
              <w:rPr>
                <w:color w:val="000000" w:themeColor="text1"/>
              </w:rPr>
            </w:pPr>
          </w:p>
        </w:tc>
        <w:tc>
          <w:tcPr>
            <w:tcW w:w="2217" w:type="dxa"/>
            <w:tcBorders>
              <w:top w:val="nil"/>
              <w:left w:val="nil"/>
              <w:bottom w:val="single" w:sz="18" w:space="0" w:color="auto"/>
              <w:right w:val="nil"/>
            </w:tcBorders>
            <w:shd w:val="clear" w:color="auto" w:fill="FFFFFF" w:themeFill="background1"/>
          </w:tcPr>
          <w:p w14:paraId="4176D483"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N</w:t>
            </w:r>
          </w:p>
        </w:tc>
        <w:tc>
          <w:tcPr>
            <w:tcW w:w="1142" w:type="dxa"/>
            <w:tcBorders>
              <w:top w:val="nil"/>
              <w:left w:val="nil"/>
              <w:bottom w:val="single" w:sz="18" w:space="0" w:color="auto"/>
              <w:right w:val="nil"/>
            </w:tcBorders>
            <w:shd w:val="clear" w:color="auto" w:fill="FFFFFF" w:themeFill="background1"/>
          </w:tcPr>
          <w:p w14:paraId="06C37671"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302</w:t>
            </w:r>
          </w:p>
        </w:tc>
        <w:tc>
          <w:tcPr>
            <w:tcW w:w="1142" w:type="dxa"/>
            <w:tcBorders>
              <w:top w:val="nil"/>
              <w:left w:val="nil"/>
              <w:bottom w:val="single" w:sz="18" w:space="0" w:color="auto"/>
              <w:right w:val="nil"/>
            </w:tcBorders>
            <w:shd w:val="clear" w:color="auto" w:fill="FFFFFF" w:themeFill="background1"/>
          </w:tcPr>
          <w:p w14:paraId="13A38028"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302</w:t>
            </w:r>
          </w:p>
        </w:tc>
        <w:tc>
          <w:tcPr>
            <w:tcW w:w="1142" w:type="dxa"/>
            <w:tcBorders>
              <w:top w:val="nil"/>
              <w:left w:val="nil"/>
              <w:bottom w:val="single" w:sz="18" w:space="0" w:color="auto"/>
              <w:right w:val="nil"/>
            </w:tcBorders>
            <w:shd w:val="clear" w:color="auto" w:fill="FFFFFF" w:themeFill="background1"/>
          </w:tcPr>
          <w:p w14:paraId="02782D5E"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302</w:t>
            </w:r>
          </w:p>
        </w:tc>
        <w:tc>
          <w:tcPr>
            <w:tcW w:w="1142" w:type="dxa"/>
            <w:tcBorders>
              <w:top w:val="nil"/>
              <w:left w:val="nil"/>
              <w:bottom w:val="single" w:sz="18" w:space="0" w:color="auto"/>
              <w:right w:val="nil"/>
            </w:tcBorders>
            <w:shd w:val="clear" w:color="auto" w:fill="FFFFFF" w:themeFill="background1"/>
          </w:tcPr>
          <w:p w14:paraId="5771106A"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302</w:t>
            </w:r>
          </w:p>
        </w:tc>
        <w:tc>
          <w:tcPr>
            <w:tcW w:w="1142" w:type="dxa"/>
            <w:tcBorders>
              <w:top w:val="nil"/>
              <w:left w:val="nil"/>
              <w:bottom w:val="single" w:sz="18" w:space="0" w:color="auto"/>
              <w:right w:val="nil"/>
            </w:tcBorders>
            <w:shd w:val="clear" w:color="auto" w:fill="FFFFFF" w:themeFill="background1"/>
          </w:tcPr>
          <w:p w14:paraId="278FA53A" w14:textId="77777777" w:rsidR="00133A72" w:rsidRPr="007A71C9" w:rsidRDefault="00133A72" w:rsidP="00FA17B1">
            <w:pPr>
              <w:autoSpaceDE w:val="0"/>
              <w:autoSpaceDN w:val="0"/>
              <w:adjustRightInd w:val="0"/>
              <w:spacing w:after="0" w:line="240" w:lineRule="auto"/>
              <w:ind w:left="60" w:right="60"/>
              <w:jc w:val="both"/>
              <w:rPr>
                <w:color w:val="000000" w:themeColor="text1"/>
              </w:rPr>
            </w:pPr>
            <w:r w:rsidRPr="007A71C9">
              <w:rPr>
                <w:color w:val="000000" w:themeColor="text1"/>
              </w:rPr>
              <w:t>302</w:t>
            </w:r>
          </w:p>
        </w:tc>
      </w:tr>
    </w:tbl>
    <w:p w14:paraId="70C8BC29" w14:textId="77777777" w:rsidR="006F4540" w:rsidRPr="007A71C9" w:rsidRDefault="006F4540" w:rsidP="00FA17B1">
      <w:pPr>
        <w:autoSpaceDE w:val="0"/>
        <w:autoSpaceDN w:val="0"/>
        <w:adjustRightInd w:val="0"/>
        <w:spacing w:line="240" w:lineRule="auto"/>
        <w:jc w:val="both"/>
        <w:rPr>
          <w:b/>
          <w:bCs/>
        </w:rPr>
      </w:pPr>
      <w:r w:rsidRPr="007A71C9">
        <w:rPr>
          <w:b/>
          <w:bCs/>
        </w:rPr>
        <w:t>Source: Field data (2025)</w:t>
      </w:r>
    </w:p>
    <w:p w14:paraId="5FE763D5" w14:textId="283E773E" w:rsidR="006F4540" w:rsidRPr="007A71C9" w:rsidRDefault="006F4540" w:rsidP="00FA17B1">
      <w:pPr>
        <w:pStyle w:val="Heading2"/>
        <w:jc w:val="both"/>
      </w:pPr>
      <w:bookmarkStart w:id="5" w:name="_Toc203402585"/>
      <w:r w:rsidRPr="007A71C9">
        <w:t xml:space="preserve"> Regression Results</w:t>
      </w:r>
      <w:bookmarkEnd w:id="5"/>
    </w:p>
    <w:p w14:paraId="0816C9EB" w14:textId="0499067C" w:rsidR="008070AD" w:rsidRDefault="006F4540" w:rsidP="00FA17B1">
      <w:pPr>
        <w:spacing w:line="240" w:lineRule="auto"/>
        <w:jc w:val="both"/>
      </w:pPr>
      <w:r w:rsidRPr="007A71C9">
        <w:t xml:space="preserve">The study used multiple regression results to test for the hypotheses. The model’s summary results shown in table </w:t>
      </w:r>
      <w:r w:rsidR="00AB2D58">
        <w:t>VI</w:t>
      </w:r>
      <w:r w:rsidRPr="007A71C9">
        <w:t xml:space="preserve"> demonstrates that the dimensions of technological readiness (optimism, innovativeness, discomfort and insecurity) explain 27.1% variability in the detection and prevention of fraud among registered commercial banks in Kenya. While variables not considered in the estimation model explains the difference.</w:t>
      </w:r>
      <w:r w:rsidR="008070AD">
        <w:t xml:space="preserve"> While, t</w:t>
      </w:r>
      <w:r w:rsidRPr="007A71C9">
        <w:t xml:space="preserve">he ANOVA results presented </w:t>
      </w:r>
      <w:r w:rsidR="008070AD">
        <w:t>demonstrate that the</w:t>
      </w:r>
      <w:r w:rsidRPr="007A71C9">
        <w:t xml:space="preserve"> p value of 0.000 </w:t>
      </w:r>
      <w:r w:rsidR="008070AD">
        <w:t xml:space="preserve">of </w:t>
      </w:r>
      <w:r w:rsidRPr="007A71C9">
        <w:t xml:space="preserve">the </w:t>
      </w:r>
      <w:proofErr w:type="gramStart"/>
      <w:r w:rsidRPr="007A71C9">
        <w:t>model</w:t>
      </w:r>
      <w:proofErr w:type="gramEnd"/>
      <w:r w:rsidRPr="007A71C9">
        <w:t xml:space="preserve"> is statistically significant. This is further confirmed by the F-value of 27.666 which is greater than the critical value</w:t>
      </w:r>
      <w:r w:rsidR="008070AD">
        <w:t>.</w:t>
      </w:r>
    </w:p>
    <w:p w14:paraId="599097A6" w14:textId="24C1E7C5" w:rsidR="006F4540" w:rsidRDefault="006F4540" w:rsidP="00FA17B1">
      <w:pPr>
        <w:spacing w:line="240" w:lineRule="auto"/>
        <w:jc w:val="both"/>
      </w:pPr>
      <w:r w:rsidRPr="007A71C9">
        <w:t xml:space="preserve">The </w:t>
      </w:r>
      <w:r w:rsidR="008070AD">
        <w:t xml:space="preserve">ordinary least of squares </w:t>
      </w:r>
      <w:r w:rsidRPr="007A71C9">
        <w:t xml:space="preserve">regression results </w:t>
      </w:r>
      <w:r w:rsidR="00FA42C5">
        <w:t xml:space="preserve">are </w:t>
      </w:r>
      <w:r w:rsidRPr="007A71C9">
        <w:t xml:space="preserve">presented in table </w:t>
      </w:r>
      <w:r w:rsidR="00AB2D58">
        <w:t>VI</w:t>
      </w:r>
      <w:r w:rsidR="00FA42C5">
        <w:t>. Based on the findings,</w:t>
      </w:r>
      <w:r w:rsidRPr="007A71C9">
        <w:t xml:space="preserve"> all the predictor variable had a statistically significant effect (at 5% significance level) on detection and prevention of fraud among registered commercial banks in Kenya. Specifically, one unit increase in technological optimism would lead on 0.219 unit increase in detection of fraud. While, one unit increase in innovativeness is likely to lead to 0.395 improvement in detection and </w:t>
      </w:r>
      <w:r w:rsidRPr="007A71C9">
        <w:lastRenderedPageBreak/>
        <w:t>prevention of fraud. On the other hand, a unit increase in technological discomfort and security is likely to reduce detection and prevention of fraud by 0.080 and 0.109 respectively.</w:t>
      </w:r>
    </w:p>
    <w:p w14:paraId="71DA75B3" w14:textId="5C841286" w:rsidR="004316AF" w:rsidRPr="004316AF" w:rsidRDefault="004316AF" w:rsidP="00FA17B1">
      <w:pPr>
        <w:autoSpaceDE w:val="0"/>
        <w:autoSpaceDN w:val="0"/>
        <w:adjustRightInd w:val="0"/>
        <w:spacing w:after="0" w:line="240" w:lineRule="auto"/>
        <w:jc w:val="both"/>
      </w:pPr>
      <w:r w:rsidRPr="004316AF">
        <w:t xml:space="preserve">This paper evaluates four hypotheses to assess the effect of technology readiness dimensions—technological optimism, technological innovativeness, technological discomfort, and technological insecurity—on fraud detection </w:t>
      </w:r>
      <w:r w:rsidR="009B3C1A">
        <w:t>and prevention</w:t>
      </w:r>
      <w:r w:rsidRPr="004316AF">
        <w:t xml:space="preserve"> (</w:t>
      </w:r>
      <w:r w:rsidR="009B3C1A">
        <w:t>FDP</w:t>
      </w:r>
      <w:r w:rsidRPr="004316AF">
        <w:t xml:space="preserve">) among registered commercial banks in Kenya. The regression results show that technological optimism exhibits a positive and statistically significant </w:t>
      </w:r>
      <w:r>
        <w:t>relationship</w:t>
      </w:r>
      <w:r w:rsidRPr="004316AF">
        <w:t xml:space="preserve"> with </w:t>
      </w:r>
      <w:r w:rsidR="009B3C1A">
        <w:t>FDP</w:t>
      </w:r>
      <w:r w:rsidRPr="004316AF">
        <w:t xml:space="preserve"> (β = 0.219, t = 4.260, p &lt; .001), validating H1 and indicating that employees who believe technology enhances control and efficiency tend to use fraud</w:t>
      </w:r>
      <w:r w:rsidRPr="004316AF">
        <w:noBreakHyphen/>
        <w:t xml:space="preserve">management tools more effectively (Parasuraman, 2000; Parasuraman &amp; Colby, 2015). Consistent with prior evidence that readiness enablers lift adoption and performance (Blut &amp; Wang, 2020; Lin &amp; Hsieh, 2006), the unstandardized coefficient (B = 0.182, SE = 0.043) suggests that each unit increase in optimism is associated with a substantive improvement in </w:t>
      </w:r>
      <w:r w:rsidR="002A7784">
        <w:t>FDP</w:t>
      </w:r>
      <w:r w:rsidRPr="004316AF">
        <w:t>. Technological innovativeness demonstrates the largest standardized effect (β = 0.395, t = 7.670, p &lt; .001), supporting H2 and aligning with studies that link innovative predispositions to deeper, earlier use of advanced features (e.g., analytics tuning, cross</w:t>
      </w:r>
      <w:r w:rsidRPr="004316AF">
        <w:noBreakHyphen/>
        <w:t>channel linkage analysis) and superior operational outcomes (</w:t>
      </w:r>
      <w:proofErr w:type="spellStart"/>
      <w:r w:rsidRPr="004316AF">
        <w:t>Godoe</w:t>
      </w:r>
      <w:proofErr w:type="spellEnd"/>
      <w:r w:rsidRPr="004316AF">
        <w:t xml:space="preserve"> &amp; Johansen, 2012; Liljander et al., 2006). The unstandardized estimate (B = 0.370, SE = 0.048) underscores this practical significance: a one</w:t>
      </w:r>
      <w:r w:rsidRPr="004316AF">
        <w:noBreakHyphen/>
        <w:t xml:space="preserve">unit rise in innovativeness corresponds to a meaningful gain in </w:t>
      </w:r>
      <w:r w:rsidR="009B3C1A">
        <w:t>FDP</w:t>
      </w:r>
      <w:r w:rsidRPr="004316AF">
        <w:t>, corroborating meta</w:t>
      </w:r>
      <w:r w:rsidRPr="004316AF">
        <w:noBreakHyphen/>
        <w:t xml:space="preserve">analytic findings that readiness enablers are strong predictors of technology-enabled performance (Blut &amp; Wang, 2020). Turning to inhibitors, technological discomfort is negatively and significantly related to </w:t>
      </w:r>
      <w:r w:rsidR="009B3C1A">
        <w:t>FDP</w:t>
      </w:r>
      <w:r w:rsidRPr="004316AF">
        <w:t xml:space="preserve"> (β = –0.125, t = –2.393, p = .017), confirming H3 and echoing evidence that anxiety and overload reduce effective tool use and increase reliance on workarounds that can degrade detection quality (</w:t>
      </w:r>
      <w:proofErr w:type="spellStart"/>
      <w:r w:rsidRPr="004316AF">
        <w:t>Walczuch</w:t>
      </w:r>
      <w:proofErr w:type="spellEnd"/>
      <w:r w:rsidRPr="004316AF">
        <w:t xml:space="preserve"> et al., 2007; Lin &amp; Hsieh, 2006). Likewise, technological insecurity shows a negative and statistically significant effect (β = –0.189, t = –3.580, p &lt; .001), supporting H4 and suggesting that doubts about system reliability or personal risk undermine trust in model outputs, hamper alert triage, and slow time</w:t>
      </w:r>
      <w:r w:rsidRPr="004316AF">
        <w:noBreakHyphen/>
        <w:t>to</w:t>
      </w:r>
      <w:r w:rsidRPr="004316AF">
        <w:noBreakHyphen/>
        <w:t xml:space="preserve">decision in fraud operations (Parasuraman &amp; Colby, 2015; </w:t>
      </w:r>
      <w:proofErr w:type="spellStart"/>
      <w:r w:rsidRPr="004316AF">
        <w:t>Godoe</w:t>
      </w:r>
      <w:proofErr w:type="spellEnd"/>
      <w:r w:rsidRPr="004316AF">
        <w:t xml:space="preserve"> &amp; Johansen, 2012). Taken together, the pattern of coefficients—positive, largest for innovativeness; positive for optimism; negative for discomfort and insecurity—is theoretically coherent within the Technology Readiness Index and practically salient for financial</w:t>
      </w:r>
      <w:r w:rsidRPr="004316AF">
        <w:noBreakHyphen/>
        <w:t xml:space="preserve">crime </w:t>
      </w:r>
      <w:proofErr w:type="spellStart"/>
      <w:r w:rsidRPr="004316AF">
        <w:t>programmes</w:t>
      </w:r>
      <w:proofErr w:type="spellEnd"/>
      <w:r w:rsidRPr="004316AF">
        <w:t xml:space="preserve"> that depend on frontline adoption to translate AI/analytics investment into measurable detection gains (ACFE, 2024; McKinsey &amp; Company, 2025). The significant intercept (B = 1.864, p &lt; .001) indicates a non</w:t>
      </w:r>
      <w:r w:rsidRPr="004316AF">
        <w:noBreakHyphen/>
        <w:t xml:space="preserve">zero baseline of </w:t>
      </w:r>
      <w:r w:rsidR="009B3C1A">
        <w:t>FDP</w:t>
      </w:r>
      <w:r w:rsidRPr="004316AF">
        <w:t>, but performance meaningfully improves when readiness enablers are cultivated and inhibitors mitigated through targeted capability building, change management, and user</w:t>
      </w:r>
      <w:r w:rsidRPr="004316AF">
        <w:noBreakHyphen/>
        <w:t>centric tool design (Blut &amp; Wang, 2020; Parasuraman, 2000).</w:t>
      </w:r>
    </w:p>
    <w:p w14:paraId="1B169C0A" w14:textId="77777777" w:rsidR="006F4540" w:rsidRPr="007A71C9" w:rsidRDefault="006F4540" w:rsidP="00FA17B1">
      <w:pPr>
        <w:autoSpaceDE w:val="0"/>
        <w:autoSpaceDN w:val="0"/>
        <w:adjustRightInd w:val="0"/>
        <w:spacing w:after="0" w:line="400" w:lineRule="atLeast"/>
        <w:jc w:val="both"/>
      </w:pPr>
    </w:p>
    <w:p w14:paraId="7FA7DE25" w14:textId="1C6CBB8E" w:rsidR="00DD2574" w:rsidRPr="00DD2574" w:rsidRDefault="00DD2574" w:rsidP="00FA17B1">
      <w:pPr>
        <w:pStyle w:val="Caption"/>
        <w:keepNext/>
        <w:ind w:left="360"/>
        <w:jc w:val="both"/>
        <w:rPr>
          <w:b/>
          <w:bCs/>
          <w:i w:val="0"/>
          <w:iCs w:val="0"/>
          <w:color w:val="000000" w:themeColor="text1"/>
          <w:sz w:val="24"/>
          <w:szCs w:val="24"/>
        </w:rPr>
      </w:pPr>
      <w:r w:rsidRPr="00DD2574">
        <w:rPr>
          <w:b/>
          <w:bCs/>
          <w:i w:val="0"/>
          <w:iCs w:val="0"/>
          <w:color w:val="000000" w:themeColor="text1"/>
          <w:sz w:val="24"/>
          <w:szCs w:val="24"/>
        </w:rPr>
        <w:t xml:space="preserve">Table </w:t>
      </w:r>
      <w:r w:rsidR="008043FA">
        <w:rPr>
          <w:b/>
          <w:bCs/>
          <w:i w:val="0"/>
          <w:iCs w:val="0"/>
          <w:color w:val="000000" w:themeColor="text1"/>
          <w:sz w:val="24"/>
          <w:szCs w:val="24"/>
        </w:rPr>
        <w:t>VI</w:t>
      </w:r>
      <w:r w:rsidRPr="00DD2574">
        <w:rPr>
          <w:b/>
          <w:bCs/>
          <w:i w:val="0"/>
          <w:iCs w:val="0"/>
          <w:color w:val="000000" w:themeColor="text1"/>
          <w:sz w:val="24"/>
          <w:szCs w:val="24"/>
        </w:rPr>
        <w:t>: Regression results</w:t>
      </w:r>
    </w:p>
    <w:tbl>
      <w:tblPr>
        <w:tblW w:w="8542" w:type="dxa"/>
        <w:tblInd w:w="360" w:type="dxa"/>
        <w:tblBorders>
          <w:top w:val="single" w:sz="18" w:space="0" w:color="auto"/>
          <w:bottom w:val="single" w:sz="18" w:space="0" w:color="auto"/>
        </w:tblBorders>
        <w:shd w:val="clear" w:color="auto" w:fill="FFFFFF" w:themeFill="background1"/>
        <w:tblLayout w:type="fixed"/>
        <w:tblCellMar>
          <w:left w:w="0" w:type="dxa"/>
          <w:right w:w="0" w:type="dxa"/>
        </w:tblCellMar>
        <w:tblLook w:val="0000" w:firstRow="0" w:lastRow="0" w:firstColumn="0" w:lastColumn="0" w:noHBand="0" w:noVBand="0"/>
      </w:tblPr>
      <w:tblGrid>
        <w:gridCol w:w="1974"/>
        <w:gridCol w:w="283"/>
        <w:gridCol w:w="392"/>
        <w:gridCol w:w="773"/>
        <w:gridCol w:w="632"/>
        <w:gridCol w:w="773"/>
        <w:gridCol w:w="777"/>
        <w:gridCol w:w="773"/>
        <w:gridCol w:w="309"/>
        <w:gridCol w:w="773"/>
        <w:gridCol w:w="310"/>
        <w:gridCol w:w="773"/>
      </w:tblGrid>
      <w:tr w:rsidR="00DD2574" w:rsidRPr="00DD2574" w14:paraId="679505DD" w14:textId="77777777" w:rsidTr="00A724EE">
        <w:trPr>
          <w:cantSplit/>
          <w:trHeight w:val="323"/>
        </w:trPr>
        <w:tc>
          <w:tcPr>
            <w:tcW w:w="8542" w:type="dxa"/>
            <w:gridSpan w:val="12"/>
            <w:tcBorders>
              <w:bottom w:val="single" w:sz="18" w:space="0" w:color="auto"/>
            </w:tcBorders>
            <w:shd w:val="clear" w:color="auto" w:fill="FFFFFF" w:themeFill="background1"/>
            <w:vAlign w:val="center"/>
          </w:tcPr>
          <w:p w14:paraId="4D6CF237" w14:textId="77777777" w:rsidR="006F4540" w:rsidRPr="00DD2574" w:rsidRDefault="006F4540" w:rsidP="00FA17B1">
            <w:pPr>
              <w:autoSpaceDE w:val="0"/>
              <w:autoSpaceDN w:val="0"/>
              <w:adjustRightInd w:val="0"/>
              <w:spacing w:after="0" w:line="320" w:lineRule="atLeast"/>
              <w:ind w:left="60" w:right="60"/>
              <w:jc w:val="both"/>
              <w:rPr>
                <w:color w:val="000000" w:themeColor="text1"/>
              </w:rPr>
            </w:pPr>
            <w:proofErr w:type="spellStart"/>
            <w:r w:rsidRPr="00DD2574">
              <w:rPr>
                <w:b/>
                <w:bCs/>
                <w:color w:val="000000" w:themeColor="text1"/>
              </w:rPr>
              <w:t>Coefficients</w:t>
            </w:r>
            <w:r w:rsidRPr="00DD2574">
              <w:rPr>
                <w:b/>
                <w:bCs/>
                <w:color w:val="000000" w:themeColor="text1"/>
                <w:vertAlign w:val="superscript"/>
              </w:rPr>
              <w:t>a</w:t>
            </w:r>
            <w:proofErr w:type="spellEnd"/>
          </w:p>
        </w:tc>
      </w:tr>
      <w:tr w:rsidR="00DD2574" w:rsidRPr="00DD2574" w14:paraId="1B555E19" w14:textId="77777777" w:rsidTr="00A724EE">
        <w:trPr>
          <w:cantSplit/>
          <w:trHeight w:val="637"/>
        </w:trPr>
        <w:tc>
          <w:tcPr>
            <w:tcW w:w="2257" w:type="dxa"/>
            <w:gridSpan w:val="2"/>
            <w:vMerge w:val="restart"/>
            <w:tcBorders>
              <w:top w:val="single" w:sz="18" w:space="0" w:color="auto"/>
              <w:bottom w:val="nil"/>
            </w:tcBorders>
            <w:shd w:val="clear" w:color="auto" w:fill="FFFFFF" w:themeFill="background1"/>
            <w:vAlign w:val="bottom"/>
          </w:tcPr>
          <w:p w14:paraId="5B0EDFFA" w14:textId="60137DB8" w:rsidR="006F4540" w:rsidRPr="00DD2574" w:rsidRDefault="006F4540" w:rsidP="00FA17B1">
            <w:pPr>
              <w:autoSpaceDE w:val="0"/>
              <w:autoSpaceDN w:val="0"/>
              <w:adjustRightInd w:val="0"/>
              <w:spacing w:after="0" w:line="320" w:lineRule="atLeast"/>
              <w:ind w:left="60" w:right="60"/>
              <w:jc w:val="both"/>
              <w:rPr>
                <w:color w:val="000000" w:themeColor="text1"/>
              </w:rPr>
            </w:pPr>
          </w:p>
        </w:tc>
        <w:tc>
          <w:tcPr>
            <w:tcW w:w="2570" w:type="dxa"/>
            <w:gridSpan w:val="4"/>
            <w:tcBorders>
              <w:top w:val="single" w:sz="18" w:space="0" w:color="auto"/>
              <w:bottom w:val="nil"/>
            </w:tcBorders>
            <w:shd w:val="clear" w:color="auto" w:fill="FFFFFF" w:themeFill="background1"/>
            <w:vAlign w:val="bottom"/>
          </w:tcPr>
          <w:p w14:paraId="64B35ADA" w14:textId="77777777" w:rsidR="006F4540" w:rsidRPr="00DD2574" w:rsidRDefault="006F4540" w:rsidP="00FA17B1">
            <w:pPr>
              <w:autoSpaceDE w:val="0"/>
              <w:autoSpaceDN w:val="0"/>
              <w:adjustRightInd w:val="0"/>
              <w:spacing w:after="0" w:line="320" w:lineRule="atLeast"/>
              <w:ind w:left="60" w:right="60"/>
              <w:jc w:val="both"/>
              <w:rPr>
                <w:color w:val="000000" w:themeColor="text1"/>
              </w:rPr>
            </w:pPr>
            <w:r w:rsidRPr="00DD2574">
              <w:rPr>
                <w:color w:val="000000" w:themeColor="text1"/>
              </w:rPr>
              <w:t>Unstandardized Coefficients</w:t>
            </w:r>
          </w:p>
        </w:tc>
        <w:tc>
          <w:tcPr>
            <w:tcW w:w="1550" w:type="dxa"/>
            <w:gridSpan w:val="2"/>
            <w:tcBorders>
              <w:top w:val="single" w:sz="18" w:space="0" w:color="auto"/>
              <w:bottom w:val="nil"/>
            </w:tcBorders>
            <w:shd w:val="clear" w:color="auto" w:fill="FFFFFF" w:themeFill="background1"/>
            <w:vAlign w:val="bottom"/>
          </w:tcPr>
          <w:p w14:paraId="4FB13FA7" w14:textId="77777777" w:rsidR="006F4540" w:rsidRPr="00DD2574" w:rsidRDefault="006F4540" w:rsidP="00FA17B1">
            <w:pPr>
              <w:autoSpaceDE w:val="0"/>
              <w:autoSpaceDN w:val="0"/>
              <w:adjustRightInd w:val="0"/>
              <w:spacing w:after="0" w:line="320" w:lineRule="atLeast"/>
              <w:ind w:left="60" w:right="60"/>
              <w:jc w:val="both"/>
              <w:rPr>
                <w:color w:val="000000" w:themeColor="text1"/>
              </w:rPr>
            </w:pPr>
            <w:r w:rsidRPr="00DD2574">
              <w:rPr>
                <w:color w:val="000000" w:themeColor="text1"/>
              </w:rPr>
              <w:t>Standardized Coefficients</w:t>
            </w:r>
          </w:p>
        </w:tc>
        <w:tc>
          <w:tcPr>
            <w:tcW w:w="1082" w:type="dxa"/>
            <w:gridSpan w:val="2"/>
            <w:vMerge w:val="restart"/>
            <w:tcBorders>
              <w:top w:val="single" w:sz="18" w:space="0" w:color="auto"/>
              <w:bottom w:val="nil"/>
            </w:tcBorders>
            <w:shd w:val="clear" w:color="auto" w:fill="FFFFFF" w:themeFill="background1"/>
            <w:vAlign w:val="bottom"/>
          </w:tcPr>
          <w:p w14:paraId="5DE3B711" w14:textId="73FA001E" w:rsidR="006F4540" w:rsidRPr="00DD2574" w:rsidRDefault="00020423" w:rsidP="00FA17B1">
            <w:pPr>
              <w:autoSpaceDE w:val="0"/>
              <w:autoSpaceDN w:val="0"/>
              <w:adjustRightInd w:val="0"/>
              <w:spacing w:after="0" w:line="320" w:lineRule="atLeast"/>
              <w:ind w:left="60" w:right="60"/>
              <w:jc w:val="both"/>
              <w:rPr>
                <w:color w:val="000000" w:themeColor="text1"/>
              </w:rPr>
            </w:pPr>
            <w:r w:rsidRPr="00DD2574">
              <w:rPr>
                <w:color w:val="000000" w:themeColor="text1"/>
              </w:rPr>
              <w:t>T</w:t>
            </w:r>
          </w:p>
        </w:tc>
        <w:tc>
          <w:tcPr>
            <w:tcW w:w="1083" w:type="dxa"/>
            <w:gridSpan w:val="2"/>
            <w:vMerge w:val="restart"/>
            <w:tcBorders>
              <w:top w:val="single" w:sz="18" w:space="0" w:color="auto"/>
              <w:bottom w:val="nil"/>
            </w:tcBorders>
            <w:shd w:val="clear" w:color="auto" w:fill="FFFFFF" w:themeFill="background1"/>
            <w:vAlign w:val="bottom"/>
          </w:tcPr>
          <w:p w14:paraId="03F2F95F" w14:textId="77777777" w:rsidR="006F4540" w:rsidRPr="00DD2574" w:rsidRDefault="006F4540" w:rsidP="00FA17B1">
            <w:pPr>
              <w:autoSpaceDE w:val="0"/>
              <w:autoSpaceDN w:val="0"/>
              <w:adjustRightInd w:val="0"/>
              <w:spacing w:after="0" w:line="320" w:lineRule="atLeast"/>
              <w:ind w:left="60" w:right="60"/>
              <w:jc w:val="both"/>
              <w:rPr>
                <w:color w:val="000000" w:themeColor="text1"/>
              </w:rPr>
            </w:pPr>
            <w:r w:rsidRPr="00DD2574">
              <w:rPr>
                <w:color w:val="000000" w:themeColor="text1"/>
              </w:rPr>
              <w:t>Sig.</w:t>
            </w:r>
          </w:p>
        </w:tc>
      </w:tr>
      <w:tr w:rsidR="00DD2574" w:rsidRPr="00DD2574" w14:paraId="6A3FCE1F" w14:textId="77777777" w:rsidTr="00A724EE">
        <w:trPr>
          <w:cantSplit/>
          <w:trHeight w:val="145"/>
        </w:trPr>
        <w:tc>
          <w:tcPr>
            <w:tcW w:w="2257" w:type="dxa"/>
            <w:gridSpan w:val="2"/>
            <w:vMerge/>
            <w:tcBorders>
              <w:top w:val="nil"/>
              <w:bottom w:val="nil"/>
            </w:tcBorders>
            <w:shd w:val="clear" w:color="auto" w:fill="FFFFFF" w:themeFill="background1"/>
            <w:vAlign w:val="bottom"/>
          </w:tcPr>
          <w:p w14:paraId="35079B7B" w14:textId="77777777" w:rsidR="006F4540" w:rsidRPr="00DD2574" w:rsidRDefault="006F4540" w:rsidP="00FA17B1">
            <w:pPr>
              <w:autoSpaceDE w:val="0"/>
              <w:autoSpaceDN w:val="0"/>
              <w:adjustRightInd w:val="0"/>
              <w:spacing w:after="0" w:line="240" w:lineRule="auto"/>
              <w:jc w:val="both"/>
              <w:rPr>
                <w:color w:val="000000" w:themeColor="text1"/>
              </w:rPr>
            </w:pPr>
          </w:p>
        </w:tc>
        <w:tc>
          <w:tcPr>
            <w:tcW w:w="1165" w:type="dxa"/>
            <w:gridSpan w:val="2"/>
            <w:tcBorders>
              <w:top w:val="nil"/>
              <w:bottom w:val="nil"/>
            </w:tcBorders>
            <w:shd w:val="clear" w:color="auto" w:fill="FFFFFF" w:themeFill="background1"/>
            <w:vAlign w:val="bottom"/>
          </w:tcPr>
          <w:p w14:paraId="7FE49293" w14:textId="77777777" w:rsidR="006F4540" w:rsidRPr="00DD2574" w:rsidRDefault="006F4540" w:rsidP="00FA17B1">
            <w:pPr>
              <w:autoSpaceDE w:val="0"/>
              <w:autoSpaceDN w:val="0"/>
              <w:adjustRightInd w:val="0"/>
              <w:spacing w:after="0" w:line="320" w:lineRule="atLeast"/>
              <w:ind w:left="60" w:right="60"/>
              <w:jc w:val="both"/>
              <w:rPr>
                <w:color w:val="000000" w:themeColor="text1"/>
              </w:rPr>
            </w:pPr>
            <w:r w:rsidRPr="00DD2574">
              <w:rPr>
                <w:color w:val="000000" w:themeColor="text1"/>
              </w:rPr>
              <w:t>B</w:t>
            </w:r>
          </w:p>
        </w:tc>
        <w:tc>
          <w:tcPr>
            <w:tcW w:w="1405" w:type="dxa"/>
            <w:gridSpan w:val="2"/>
            <w:tcBorders>
              <w:top w:val="nil"/>
              <w:bottom w:val="nil"/>
            </w:tcBorders>
            <w:shd w:val="clear" w:color="auto" w:fill="FFFFFF" w:themeFill="background1"/>
            <w:vAlign w:val="bottom"/>
          </w:tcPr>
          <w:p w14:paraId="7ED809E2" w14:textId="77777777" w:rsidR="006F4540" w:rsidRPr="00DD2574" w:rsidRDefault="006F4540" w:rsidP="00FA17B1">
            <w:pPr>
              <w:autoSpaceDE w:val="0"/>
              <w:autoSpaceDN w:val="0"/>
              <w:adjustRightInd w:val="0"/>
              <w:spacing w:after="0" w:line="320" w:lineRule="atLeast"/>
              <w:ind w:left="60" w:right="60"/>
              <w:jc w:val="both"/>
              <w:rPr>
                <w:color w:val="000000" w:themeColor="text1"/>
              </w:rPr>
            </w:pPr>
            <w:r w:rsidRPr="00DD2574">
              <w:rPr>
                <w:color w:val="000000" w:themeColor="text1"/>
              </w:rPr>
              <w:t>Std. Error</w:t>
            </w:r>
          </w:p>
        </w:tc>
        <w:tc>
          <w:tcPr>
            <w:tcW w:w="1550" w:type="dxa"/>
            <w:gridSpan w:val="2"/>
            <w:tcBorders>
              <w:top w:val="nil"/>
              <w:bottom w:val="nil"/>
            </w:tcBorders>
            <w:shd w:val="clear" w:color="auto" w:fill="FFFFFF" w:themeFill="background1"/>
            <w:vAlign w:val="bottom"/>
          </w:tcPr>
          <w:p w14:paraId="4100264D" w14:textId="77777777" w:rsidR="006F4540" w:rsidRPr="00DD2574" w:rsidRDefault="006F4540" w:rsidP="00FA17B1">
            <w:pPr>
              <w:autoSpaceDE w:val="0"/>
              <w:autoSpaceDN w:val="0"/>
              <w:adjustRightInd w:val="0"/>
              <w:spacing w:after="0" w:line="320" w:lineRule="atLeast"/>
              <w:ind w:left="60" w:right="60"/>
              <w:jc w:val="both"/>
              <w:rPr>
                <w:color w:val="000000" w:themeColor="text1"/>
              </w:rPr>
            </w:pPr>
            <w:r w:rsidRPr="00DD2574">
              <w:rPr>
                <w:color w:val="000000" w:themeColor="text1"/>
              </w:rPr>
              <w:t>Beta</w:t>
            </w:r>
          </w:p>
        </w:tc>
        <w:tc>
          <w:tcPr>
            <w:tcW w:w="1082" w:type="dxa"/>
            <w:gridSpan w:val="2"/>
            <w:vMerge/>
            <w:tcBorders>
              <w:top w:val="nil"/>
              <w:bottom w:val="nil"/>
            </w:tcBorders>
            <w:shd w:val="clear" w:color="auto" w:fill="FFFFFF" w:themeFill="background1"/>
            <w:vAlign w:val="bottom"/>
          </w:tcPr>
          <w:p w14:paraId="3DCA33E9" w14:textId="77777777" w:rsidR="006F4540" w:rsidRPr="00DD2574" w:rsidRDefault="006F4540" w:rsidP="00FA17B1">
            <w:pPr>
              <w:autoSpaceDE w:val="0"/>
              <w:autoSpaceDN w:val="0"/>
              <w:adjustRightInd w:val="0"/>
              <w:spacing w:after="0" w:line="240" w:lineRule="auto"/>
              <w:jc w:val="both"/>
              <w:rPr>
                <w:color w:val="000000" w:themeColor="text1"/>
              </w:rPr>
            </w:pPr>
          </w:p>
        </w:tc>
        <w:tc>
          <w:tcPr>
            <w:tcW w:w="1083" w:type="dxa"/>
            <w:gridSpan w:val="2"/>
            <w:vMerge/>
            <w:tcBorders>
              <w:top w:val="nil"/>
              <w:bottom w:val="nil"/>
            </w:tcBorders>
            <w:shd w:val="clear" w:color="auto" w:fill="FFFFFF" w:themeFill="background1"/>
            <w:vAlign w:val="bottom"/>
          </w:tcPr>
          <w:p w14:paraId="1136469E" w14:textId="77777777" w:rsidR="006F4540" w:rsidRPr="00DD2574" w:rsidRDefault="006F4540" w:rsidP="00FA17B1">
            <w:pPr>
              <w:autoSpaceDE w:val="0"/>
              <w:autoSpaceDN w:val="0"/>
              <w:adjustRightInd w:val="0"/>
              <w:spacing w:after="0" w:line="240" w:lineRule="auto"/>
              <w:jc w:val="both"/>
              <w:rPr>
                <w:color w:val="000000" w:themeColor="text1"/>
              </w:rPr>
            </w:pPr>
          </w:p>
        </w:tc>
      </w:tr>
      <w:tr w:rsidR="002B14E0" w:rsidRPr="00DD2574" w14:paraId="2EF7E553" w14:textId="77777777" w:rsidTr="00A724EE">
        <w:trPr>
          <w:gridAfter w:val="1"/>
          <w:wAfter w:w="773" w:type="dxa"/>
          <w:cantSplit/>
          <w:trHeight w:val="323"/>
        </w:trPr>
        <w:tc>
          <w:tcPr>
            <w:tcW w:w="1974" w:type="dxa"/>
            <w:tcBorders>
              <w:top w:val="nil"/>
              <w:bottom w:val="nil"/>
            </w:tcBorders>
            <w:shd w:val="clear" w:color="auto" w:fill="FFFFFF" w:themeFill="background1"/>
          </w:tcPr>
          <w:p w14:paraId="480937D8" w14:textId="77777777" w:rsidR="002B14E0" w:rsidRPr="00DD2574" w:rsidRDefault="002B14E0" w:rsidP="00FA17B1">
            <w:pPr>
              <w:autoSpaceDE w:val="0"/>
              <w:autoSpaceDN w:val="0"/>
              <w:adjustRightInd w:val="0"/>
              <w:spacing w:after="0" w:line="320" w:lineRule="atLeast"/>
              <w:ind w:left="60" w:right="60"/>
              <w:jc w:val="both"/>
              <w:rPr>
                <w:color w:val="000000" w:themeColor="text1"/>
              </w:rPr>
            </w:pPr>
            <w:r w:rsidRPr="00DD2574">
              <w:rPr>
                <w:color w:val="000000" w:themeColor="text1"/>
              </w:rPr>
              <w:t>(Constant)</w:t>
            </w:r>
          </w:p>
        </w:tc>
        <w:tc>
          <w:tcPr>
            <w:tcW w:w="675" w:type="dxa"/>
            <w:gridSpan w:val="2"/>
            <w:tcBorders>
              <w:top w:val="nil"/>
              <w:bottom w:val="nil"/>
            </w:tcBorders>
            <w:shd w:val="clear" w:color="auto" w:fill="FFFFFF" w:themeFill="background1"/>
          </w:tcPr>
          <w:p w14:paraId="24B023F3" w14:textId="77777777" w:rsidR="002B14E0" w:rsidRPr="00DD2574" w:rsidRDefault="002B14E0" w:rsidP="00FA17B1">
            <w:pPr>
              <w:autoSpaceDE w:val="0"/>
              <w:autoSpaceDN w:val="0"/>
              <w:adjustRightInd w:val="0"/>
              <w:spacing w:after="0" w:line="320" w:lineRule="atLeast"/>
              <w:ind w:left="60" w:right="60"/>
              <w:jc w:val="both"/>
              <w:rPr>
                <w:color w:val="000000" w:themeColor="text1"/>
              </w:rPr>
            </w:pPr>
            <w:r w:rsidRPr="00DD2574">
              <w:rPr>
                <w:color w:val="000000" w:themeColor="text1"/>
              </w:rPr>
              <w:t>1.864</w:t>
            </w:r>
          </w:p>
        </w:tc>
        <w:tc>
          <w:tcPr>
            <w:tcW w:w="1405" w:type="dxa"/>
            <w:gridSpan w:val="2"/>
            <w:tcBorders>
              <w:top w:val="nil"/>
              <w:bottom w:val="nil"/>
            </w:tcBorders>
            <w:shd w:val="clear" w:color="auto" w:fill="FFFFFF" w:themeFill="background1"/>
          </w:tcPr>
          <w:p w14:paraId="145FE9E3" w14:textId="77777777" w:rsidR="002B14E0" w:rsidRPr="00DD2574" w:rsidRDefault="002B14E0" w:rsidP="00FA17B1">
            <w:pPr>
              <w:autoSpaceDE w:val="0"/>
              <w:autoSpaceDN w:val="0"/>
              <w:adjustRightInd w:val="0"/>
              <w:spacing w:after="0" w:line="320" w:lineRule="atLeast"/>
              <w:ind w:left="60" w:right="60"/>
              <w:jc w:val="both"/>
              <w:rPr>
                <w:color w:val="000000" w:themeColor="text1"/>
              </w:rPr>
            </w:pPr>
            <w:r w:rsidRPr="00DD2574">
              <w:rPr>
                <w:color w:val="000000" w:themeColor="text1"/>
              </w:rPr>
              <w:t>.248</w:t>
            </w:r>
          </w:p>
        </w:tc>
        <w:tc>
          <w:tcPr>
            <w:tcW w:w="1550" w:type="dxa"/>
            <w:gridSpan w:val="2"/>
            <w:tcBorders>
              <w:top w:val="nil"/>
              <w:bottom w:val="nil"/>
            </w:tcBorders>
            <w:shd w:val="clear" w:color="auto" w:fill="FFFFFF" w:themeFill="background1"/>
            <w:vAlign w:val="center"/>
          </w:tcPr>
          <w:p w14:paraId="3E9C5D51" w14:textId="77777777" w:rsidR="002B14E0" w:rsidRPr="00DD2574" w:rsidRDefault="002B14E0" w:rsidP="00FA17B1">
            <w:pPr>
              <w:autoSpaceDE w:val="0"/>
              <w:autoSpaceDN w:val="0"/>
              <w:adjustRightInd w:val="0"/>
              <w:spacing w:after="0" w:line="240" w:lineRule="auto"/>
              <w:jc w:val="both"/>
              <w:rPr>
                <w:color w:val="000000" w:themeColor="text1"/>
              </w:rPr>
            </w:pPr>
          </w:p>
        </w:tc>
        <w:tc>
          <w:tcPr>
            <w:tcW w:w="1082" w:type="dxa"/>
            <w:gridSpan w:val="2"/>
            <w:tcBorders>
              <w:top w:val="nil"/>
              <w:bottom w:val="nil"/>
            </w:tcBorders>
            <w:shd w:val="clear" w:color="auto" w:fill="FFFFFF" w:themeFill="background1"/>
          </w:tcPr>
          <w:p w14:paraId="0FB4BA94" w14:textId="77777777" w:rsidR="002B14E0" w:rsidRPr="00DD2574" w:rsidRDefault="002B14E0" w:rsidP="00FA17B1">
            <w:pPr>
              <w:autoSpaceDE w:val="0"/>
              <w:autoSpaceDN w:val="0"/>
              <w:adjustRightInd w:val="0"/>
              <w:spacing w:after="0" w:line="320" w:lineRule="atLeast"/>
              <w:ind w:left="60" w:right="60"/>
              <w:jc w:val="both"/>
              <w:rPr>
                <w:color w:val="000000" w:themeColor="text1"/>
              </w:rPr>
            </w:pPr>
            <w:r w:rsidRPr="00DD2574">
              <w:rPr>
                <w:color w:val="000000" w:themeColor="text1"/>
              </w:rPr>
              <w:t>7.508</w:t>
            </w:r>
          </w:p>
        </w:tc>
        <w:tc>
          <w:tcPr>
            <w:tcW w:w="1083" w:type="dxa"/>
            <w:gridSpan w:val="2"/>
            <w:tcBorders>
              <w:top w:val="nil"/>
              <w:bottom w:val="nil"/>
            </w:tcBorders>
            <w:shd w:val="clear" w:color="auto" w:fill="FFFFFF" w:themeFill="background1"/>
          </w:tcPr>
          <w:p w14:paraId="2366848D" w14:textId="77777777" w:rsidR="002B14E0" w:rsidRPr="00DD2574" w:rsidRDefault="002B14E0" w:rsidP="00FA17B1">
            <w:pPr>
              <w:autoSpaceDE w:val="0"/>
              <w:autoSpaceDN w:val="0"/>
              <w:adjustRightInd w:val="0"/>
              <w:spacing w:after="0" w:line="320" w:lineRule="atLeast"/>
              <w:ind w:left="60" w:right="60"/>
              <w:jc w:val="both"/>
              <w:rPr>
                <w:color w:val="000000" w:themeColor="text1"/>
              </w:rPr>
            </w:pPr>
            <w:r w:rsidRPr="00DD2574">
              <w:rPr>
                <w:color w:val="000000" w:themeColor="text1"/>
              </w:rPr>
              <w:t>.000</w:t>
            </w:r>
          </w:p>
        </w:tc>
      </w:tr>
      <w:tr w:rsidR="002B14E0" w:rsidRPr="00DD2574" w14:paraId="2618060C" w14:textId="77777777" w:rsidTr="00A724EE">
        <w:trPr>
          <w:gridAfter w:val="1"/>
          <w:wAfter w:w="773" w:type="dxa"/>
          <w:cantSplit/>
          <w:trHeight w:val="145"/>
        </w:trPr>
        <w:tc>
          <w:tcPr>
            <w:tcW w:w="1974" w:type="dxa"/>
            <w:tcBorders>
              <w:top w:val="nil"/>
              <w:bottom w:val="nil"/>
            </w:tcBorders>
            <w:shd w:val="clear" w:color="auto" w:fill="FFFFFF" w:themeFill="background1"/>
          </w:tcPr>
          <w:p w14:paraId="6F2C4AA6" w14:textId="44007C56" w:rsidR="002B14E0" w:rsidRPr="002B14E0" w:rsidRDefault="002B14E0" w:rsidP="00FA17B1">
            <w:pPr>
              <w:pStyle w:val="NoSpacing"/>
              <w:jc w:val="both"/>
            </w:pPr>
            <w:r w:rsidRPr="00B729FC">
              <w:t>Technological Optimism</w:t>
            </w:r>
          </w:p>
        </w:tc>
        <w:tc>
          <w:tcPr>
            <w:tcW w:w="675" w:type="dxa"/>
            <w:gridSpan w:val="2"/>
            <w:tcBorders>
              <w:top w:val="nil"/>
              <w:bottom w:val="nil"/>
            </w:tcBorders>
            <w:shd w:val="clear" w:color="auto" w:fill="FFFFFF" w:themeFill="background1"/>
          </w:tcPr>
          <w:p w14:paraId="1138ACA2" w14:textId="77777777" w:rsidR="002B14E0" w:rsidRPr="00DD2574" w:rsidRDefault="002B14E0" w:rsidP="00FA17B1">
            <w:pPr>
              <w:autoSpaceDE w:val="0"/>
              <w:autoSpaceDN w:val="0"/>
              <w:adjustRightInd w:val="0"/>
              <w:spacing w:after="0" w:line="320" w:lineRule="atLeast"/>
              <w:ind w:left="60" w:right="60"/>
              <w:jc w:val="both"/>
              <w:rPr>
                <w:color w:val="000000" w:themeColor="text1"/>
              </w:rPr>
            </w:pPr>
            <w:r w:rsidRPr="00DD2574">
              <w:rPr>
                <w:color w:val="000000" w:themeColor="text1"/>
              </w:rPr>
              <w:t>.182</w:t>
            </w:r>
          </w:p>
        </w:tc>
        <w:tc>
          <w:tcPr>
            <w:tcW w:w="1405" w:type="dxa"/>
            <w:gridSpan w:val="2"/>
            <w:tcBorders>
              <w:top w:val="nil"/>
              <w:bottom w:val="nil"/>
            </w:tcBorders>
            <w:shd w:val="clear" w:color="auto" w:fill="FFFFFF" w:themeFill="background1"/>
          </w:tcPr>
          <w:p w14:paraId="46436CBD" w14:textId="77777777" w:rsidR="002B14E0" w:rsidRPr="00DD2574" w:rsidRDefault="002B14E0" w:rsidP="00FA17B1">
            <w:pPr>
              <w:autoSpaceDE w:val="0"/>
              <w:autoSpaceDN w:val="0"/>
              <w:adjustRightInd w:val="0"/>
              <w:spacing w:after="0" w:line="320" w:lineRule="atLeast"/>
              <w:ind w:left="60" w:right="60"/>
              <w:jc w:val="both"/>
              <w:rPr>
                <w:color w:val="000000" w:themeColor="text1"/>
              </w:rPr>
            </w:pPr>
            <w:r w:rsidRPr="00DD2574">
              <w:rPr>
                <w:color w:val="000000" w:themeColor="text1"/>
              </w:rPr>
              <w:t>.043</w:t>
            </w:r>
          </w:p>
        </w:tc>
        <w:tc>
          <w:tcPr>
            <w:tcW w:w="1550" w:type="dxa"/>
            <w:gridSpan w:val="2"/>
            <w:tcBorders>
              <w:top w:val="nil"/>
              <w:bottom w:val="nil"/>
            </w:tcBorders>
            <w:shd w:val="clear" w:color="auto" w:fill="FFFFFF" w:themeFill="background1"/>
          </w:tcPr>
          <w:p w14:paraId="23AF56BE" w14:textId="77777777" w:rsidR="002B14E0" w:rsidRPr="00DD2574" w:rsidRDefault="002B14E0" w:rsidP="00FA17B1">
            <w:pPr>
              <w:autoSpaceDE w:val="0"/>
              <w:autoSpaceDN w:val="0"/>
              <w:adjustRightInd w:val="0"/>
              <w:spacing w:after="0" w:line="320" w:lineRule="atLeast"/>
              <w:ind w:left="60" w:right="60"/>
              <w:jc w:val="both"/>
              <w:rPr>
                <w:color w:val="000000" w:themeColor="text1"/>
              </w:rPr>
            </w:pPr>
            <w:r w:rsidRPr="00DD2574">
              <w:rPr>
                <w:color w:val="000000" w:themeColor="text1"/>
              </w:rPr>
              <w:t>.219</w:t>
            </w:r>
          </w:p>
        </w:tc>
        <w:tc>
          <w:tcPr>
            <w:tcW w:w="1082" w:type="dxa"/>
            <w:gridSpan w:val="2"/>
            <w:tcBorders>
              <w:top w:val="nil"/>
              <w:bottom w:val="nil"/>
            </w:tcBorders>
            <w:shd w:val="clear" w:color="auto" w:fill="FFFFFF" w:themeFill="background1"/>
          </w:tcPr>
          <w:p w14:paraId="189F86D3" w14:textId="77777777" w:rsidR="002B14E0" w:rsidRPr="00DD2574" w:rsidRDefault="002B14E0" w:rsidP="00FA17B1">
            <w:pPr>
              <w:autoSpaceDE w:val="0"/>
              <w:autoSpaceDN w:val="0"/>
              <w:adjustRightInd w:val="0"/>
              <w:spacing w:after="0" w:line="320" w:lineRule="atLeast"/>
              <w:ind w:left="60" w:right="60"/>
              <w:jc w:val="both"/>
              <w:rPr>
                <w:color w:val="000000" w:themeColor="text1"/>
              </w:rPr>
            </w:pPr>
            <w:r w:rsidRPr="00DD2574">
              <w:rPr>
                <w:color w:val="000000" w:themeColor="text1"/>
              </w:rPr>
              <w:t>4.260</w:t>
            </w:r>
          </w:p>
        </w:tc>
        <w:tc>
          <w:tcPr>
            <w:tcW w:w="1083" w:type="dxa"/>
            <w:gridSpan w:val="2"/>
            <w:tcBorders>
              <w:top w:val="nil"/>
              <w:bottom w:val="nil"/>
            </w:tcBorders>
            <w:shd w:val="clear" w:color="auto" w:fill="FFFFFF" w:themeFill="background1"/>
          </w:tcPr>
          <w:p w14:paraId="3B04114A" w14:textId="77777777" w:rsidR="002B14E0" w:rsidRPr="00DD2574" w:rsidRDefault="002B14E0" w:rsidP="00FA17B1">
            <w:pPr>
              <w:autoSpaceDE w:val="0"/>
              <w:autoSpaceDN w:val="0"/>
              <w:adjustRightInd w:val="0"/>
              <w:spacing w:after="0" w:line="320" w:lineRule="atLeast"/>
              <w:ind w:left="60" w:right="60"/>
              <w:jc w:val="both"/>
              <w:rPr>
                <w:color w:val="000000" w:themeColor="text1"/>
              </w:rPr>
            </w:pPr>
            <w:r w:rsidRPr="00DD2574">
              <w:rPr>
                <w:color w:val="000000" w:themeColor="text1"/>
              </w:rPr>
              <w:t>.000</w:t>
            </w:r>
          </w:p>
        </w:tc>
      </w:tr>
      <w:tr w:rsidR="002B14E0" w:rsidRPr="00DD2574" w14:paraId="58D12BF0" w14:textId="77777777" w:rsidTr="00A724EE">
        <w:trPr>
          <w:gridAfter w:val="1"/>
          <w:wAfter w:w="773" w:type="dxa"/>
          <w:cantSplit/>
          <w:trHeight w:val="145"/>
        </w:trPr>
        <w:tc>
          <w:tcPr>
            <w:tcW w:w="1974" w:type="dxa"/>
            <w:tcBorders>
              <w:top w:val="nil"/>
              <w:bottom w:val="nil"/>
            </w:tcBorders>
            <w:shd w:val="clear" w:color="auto" w:fill="FFFFFF" w:themeFill="background1"/>
          </w:tcPr>
          <w:p w14:paraId="37D1C2AE" w14:textId="11B57DA9" w:rsidR="002B14E0" w:rsidRPr="002B14E0" w:rsidRDefault="002B14E0" w:rsidP="00FA17B1">
            <w:pPr>
              <w:pStyle w:val="NoSpacing"/>
              <w:jc w:val="both"/>
            </w:pPr>
            <w:r w:rsidRPr="00B729FC">
              <w:lastRenderedPageBreak/>
              <w:t xml:space="preserve">Technological </w:t>
            </w:r>
            <w:r>
              <w:t>Innovativeness</w:t>
            </w:r>
          </w:p>
        </w:tc>
        <w:tc>
          <w:tcPr>
            <w:tcW w:w="675" w:type="dxa"/>
            <w:gridSpan w:val="2"/>
            <w:tcBorders>
              <w:top w:val="nil"/>
              <w:bottom w:val="nil"/>
            </w:tcBorders>
            <w:shd w:val="clear" w:color="auto" w:fill="FFFFFF" w:themeFill="background1"/>
          </w:tcPr>
          <w:p w14:paraId="05265825" w14:textId="77777777" w:rsidR="002B14E0" w:rsidRPr="00DD2574" w:rsidRDefault="002B14E0" w:rsidP="00FA17B1">
            <w:pPr>
              <w:autoSpaceDE w:val="0"/>
              <w:autoSpaceDN w:val="0"/>
              <w:adjustRightInd w:val="0"/>
              <w:spacing w:after="0" w:line="320" w:lineRule="atLeast"/>
              <w:ind w:left="60" w:right="60"/>
              <w:jc w:val="both"/>
              <w:rPr>
                <w:color w:val="000000" w:themeColor="text1"/>
              </w:rPr>
            </w:pPr>
            <w:r w:rsidRPr="00DD2574">
              <w:rPr>
                <w:color w:val="000000" w:themeColor="text1"/>
              </w:rPr>
              <w:t>.370</w:t>
            </w:r>
          </w:p>
        </w:tc>
        <w:tc>
          <w:tcPr>
            <w:tcW w:w="1405" w:type="dxa"/>
            <w:gridSpan w:val="2"/>
            <w:tcBorders>
              <w:top w:val="nil"/>
              <w:bottom w:val="nil"/>
            </w:tcBorders>
            <w:shd w:val="clear" w:color="auto" w:fill="FFFFFF" w:themeFill="background1"/>
          </w:tcPr>
          <w:p w14:paraId="2B104023" w14:textId="77777777" w:rsidR="002B14E0" w:rsidRPr="00DD2574" w:rsidRDefault="002B14E0" w:rsidP="00FA17B1">
            <w:pPr>
              <w:autoSpaceDE w:val="0"/>
              <w:autoSpaceDN w:val="0"/>
              <w:adjustRightInd w:val="0"/>
              <w:spacing w:after="0" w:line="320" w:lineRule="atLeast"/>
              <w:ind w:left="60" w:right="60"/>
              <w:jc w:val="both"/>
              <w:rPr>
                <w:color w:val="000000" w:themeColor="text1"/>
              </w:rPr>
            </w:pPr>
            <w:r w:rsidRPr="00DD2574">
              <w:rPr>
                <w:color w:val="000000" w:themeColor="text1"/>
              </w:rPr>
              <w:t>.048</w:t>
            </w:r>
          </w:p>
        </w:tc>
        <w:tc>
          <w:tcPr>
            <w:tcW w:w="1550" w:type="dxa"/>
            <w:gridSpan w:val="2"/>
            <w:tcBorders>
              <w:top w:val="nil"/>
              <w:bottom w:val="nil"/>
            </w:tcBorders>
            <w:shd w:val="clear" w:color="auto" w:fill="FFFFFF" w:themeFill="background1"/>
          </w:tcPr>
          <w:p w14:paraId="29793723" w14:textId="77777777" w:rsidR="002B14E0" w:rsidRPr="00DD2574" w:rsidRDefault="002B14E0" w:rsidP="00FA17B1">
            <w:pPr>
              <w:autoSpaceDE w:val="0"/>
              <w:autoSpaceDN w:val="0"/>
              <w:adjustRightInd w:val="0"/>
              <w:spacing w:after="0" w:line="320" w:lineRule="atLeast"/>
              <w:ind w:left="60" w:right="60"/>
              <w:jc w:val="both"/>
              <w:rPr>
                <w:color w:val="000000" w:themeColor="text1"/>
              </w:rPr>
            </w:pPr>
            <w:r w:rsidRPr="00DD2574">
              <w:rPr>
                <w:color w:val="000000" w:themeColor="text1"/>
              </w:rPr>
              <w:t>.395</w:t>
            </w:r>
          </w:p>
        </w:tc>
        <w:tc>
          <w:tcPr>
            <w:tcW w:w="1082" w:type="dxa"/>
            <w:gridSpan w:val="2"/>
            <w:tcBorders>
              <w:top w:val="nil"/>
              <w:bottom w:val="nil"/>
            </w:tcBorders>
            <w:shd w:val="clear" w:color="auto" w:fill="FFFFFF" w:themeFill="background1"/>
          </w:tcPr>
          <w:p w14:paraId="2A450AF0" w14:textId="77777777" w:rsidR="002B14E0" w:rsidRPr="00DD2574" w:rsidRDefault="002B14E0" w:rsidP="00FA17B1">
            <w:pPr>
              <w:autoSpaceDE w:val="0"/>
              <w:autoSpaceDN w:val="0"/>
              <w:adjustRightInd w:val="0"/>
              <w:spacing w:after="0" w:line="320" w:lineRule="atLeast"/>
              <w:ind w:left="60" w:right="60"/>
              <w:jc w:val="both"/>
              <w:rPr>
                <w:color w:val="000000" w:themeColor="text1"/>
              </w:rPr>
            </w:pPr>
            <w:r w:rsidRPr="00DD2574">
              <w:rPr>
                <w:color w:val="000000" w:themeColor="text1"/>
              </w:rPr>
              <w:t>7.670</w:t>
            </w:r>
          </w:p>
        </w:tc>
        <w:tc>
          <w:tcPr>
            <w:tcW w:w="1083" w:type="dxa"/>
            <w:gridSpan w:val="2"/>
            <w:tcBorders>
              <w:top w:val="nil"/>
              <w:bottom w:val="nil"/>
            </w:tcBorders>
            <w:shd w:val="clear" w:color="auto" w:fill="FFFFFF" w:themeFill="background1"/>
          </w:tcPr>
          <w:p w14:paraId="35C16F22" w14:textId="77777777" w:rsidR="002B14E0" w:rsidRPr="00DD2574" w:rsidRDefault="002B14E0" w:rsidP="00FA17B1">
            <w:pPr>
              <w:autoSpaceDE w:val="0"/>
              <w:autoSpaceDN w:val="0"/>
              <w:adjustRightInd w:val="0"/>
              <w:spacing w:after="0" w:line="320" w:lineRule="atLeast"/>
              <w:ind w:left="60" w:right="60"/>
              <w:jc w:val="both"/>
              <w:rPr>
                <w:color w:val="000000" w:themeColor="text1"/>
              </w:rPr>
            </w:pPr>
            <w:r w:rsidRPr="00DD2574">
              <w:rPr>
                <w:color w:val="000000" w:themeColor="text1"/>
              </w:rPr>
              <w:t>.000</w:t>
            </w:r>
          </w:p>
        </w:tc>
      </w:tr>
      <w:tr w:rsidR="002B14E0" w:rsidRPr="00DD2574" w14:paraId="29F7A965" w14:textId="77777777" w:rsidTr="00A724EE">
        <w:trPr>
          <w:gridAfter w:val="1"/>
          <w:wAfter w:w="773" w:type="dxa"/>
          <w:cantSplit/>
          <w:trHeight w:val="145"/>
        </w:trPr>
        <w:tc>
          <w:tcPr>
            <w:tcW w:w="1974" w:type="dxa"/>
            <w:tcBorders>
              <w:top w:val="nil"/>
              <w:bottom w:val="nil"/>
            </w:tcBorders>
            <w:shd w:val="clear" w:color="auto" w:fill="FFFFFF" w:themeFill="background1"/>
          </w:tcPr>
          <w:p w14:paraId="7C16A831" w14:textId="7ED199F6" w:rsidR="002B14E0" w:rsidRPr="002B14E0" w:rsidRDefault="002B14E0" w:rsidP="00FA17B1">
            <w:pPr>
              <w:pStyle w:val="NoSpacing"/>
              <w:jc w:val="both"/>
            </w:pPr>
            <w:r w:rsidRPr="00B729FC">
              <w:t xml:space="preserve">Technological </w:t>
            </w:r>
            <w:r>
              <w:t>Discomfort</w:t>
            </w:r>
          </w:p>
        </w:tc>
        <w:tc>
          <w:tcPr>
            <w:tcW w:w="675" w:type="dxa"/>
            <w:gridSpan w:val="2"/>
            <w:tcBorders>
              <w:top w:val="nil"/>
              <w:bottom w:val="nil"/>
            </w:tcBorders>
            <w:shd w:val="clear" w:color="auto" w:fill="FFFFFF" w:themeFill="background1"/>
          </w:tcPr>
          <w:p w14:paraId="0C3F493A" w14:textId="77777777" w:rsidR="002B14E0" w:rsidRPr="00DD2574" w:rsidRDefault="002B14E0" w:rsidP="00FA17B1">
            <w:pPr>
              <w:autoSpaceDE w:val="0"/>
              <w:autoSpaceDN w:val="0"/>
              <w:adjustRightInd w:val="0"/>
              <w:spacing w:after="0" w:line="320" w:lineRule="atLeast"/>
              <w:ind w:left="60" w:right="60"/>
              <w:jc w:val="both"/>
              <w:rPr>
                <w:color w:val="000000" w:themeColor="text1"/>
              </w:rPr>
            </w:pPr>
            <w:r w:rsidRPr="00DD2574">
              <w:rPr>
                <w:color w:val="000000" w:themeColor="text1"/>
              </w:rPr>
              <w:t>-.080</w:t>
            </w:r>
          </w:p>
        </w:tc>
        <w:tc>
          <w:tcPr>
            <w:tcW w:w="1405" w:type="dxa"/>
            <w:gridSpan w:val="2"/>
            <w:tcBorders>
              <w:top w:val="nil"/>
              <w:bottom w:val="nil"/>
            </w:tcBorders>
            <w:shd w:val="clear" w:color="auto" w:fill="FFFFFF" w:themeFill="background1"/>
          </w:tcPr>
          <w:p w14:paraId="72E8FF6C" w14:textId="77777777" w:rsidR="002B14E0" w:rsidRPr="00DD2574" w:rsidRDefault="002B14E0" w:rsidP="00FA17B1">
            <w:pPr>
              <w:autoSpaceDE w:val="0"/>
              <w:autoSpaceDN w:val="0"/>
              <w:adjustRightInd w:val="0"/>
              <w:spacing w:after="0" w:line="320" w:lineRule="atLeast"/>
              <w:ind w:left="60" w:right="60"/>
              <w:jc w:val="both"/>
              <w:rPr>
                <w:color w:val="000000" w:themeColor="text1"/>
              </w:rPr>
            </w:pPr>
            <w:r w:rsidRPr="00DD2574">
              <w:rPr>
                <w:color w:val="000000" w:themeColor="text1"/>
              </w:rPr>
              <w:t>.034</w:t>
            </w:r>
          </w:p>
        </w:tc>
        <w:tc>
          <w:tcPr>
            <w:tcW w:w="1550" w:type="dxa"/>
            <w:gridSpan w:val="2"/>
            <w:tcBorders>
              <w:top w:val="nil"/>
              <w:bottom w:val="nil"/>
            </w:tcBorders>
            <w:shd w:val="clear" w:color="auto" w:fill="FFFFFF" w:themeFill="background1"/>
          </w:tcPr>
          <w:p w14:paraId="6F9BCBC4" w14:textId="77777777" w:rsidR="002B14E0" w:rsidRPr="00DD2574" w:rsidRDefault="002B14E0" w:rsidP="00FA17B1">
            <w:pPr>
              <w:autoSpaceDE w:val="0"/>
              <w:autoSpaceDN w:val="0"/>
              <w:adjustRightInd w:val="0"/>
              <w:spacing w:after="0" w:line="320" w:lineRule="atLeast"/>
              <w:ind w:left="60" w:right="60"/>
              <w:jc w:val="both"/>
              <w:rPr>
                <w:color w:val="000000" w:themeColor="text1"/>
              </w:rPr>
            </w:pPr>
            <w:r w:rsidRPr="00DD2574">
              <w:rPr>
                <w:color w:val="000000" w:themeColor="text1"/>
              </w:rPr>
              <w:t>-.125</w:t>
            </w:r>
          </w:p>
        </w:tc>
        <w:tc>
          <w:tcPr>
            <w:tcW w:w="1082" w:type="dxa"/>
            <w:gridSpan w:val="2"/>
            <w:tcBorders>
              <w:top w:val="nil"/>
              <w:bottom w:val="nil"/>
            </w:tcBorders>
            <w:shd w:val="clear" w:color="auto" w:fill="FFFFFF" w:themeFill="background1"/>
          </w:tcPr>
          <w:p w14:paraId="46E51005" w14:textId="77777777" w:rsidR="002B14E0" w:rsidRPr="00DD2574" w:rsidRDefault="002B14E0" w:rsidP="00FA17B1">
            <w:pPr>
              <w:autoSpaceDE w:val="0"/>
              <w:autoSpaceDN w:val="0"/>
              <w:adjustRightInd w:val="0"/>
              <w:spacing w:after="0" w:line="320" w:lineRule="atLeast"/>
              <w:ind w:left="60" w:right="60"/>
              <w:jc w:val="both"/>
              <w:rPr>
                <w:color w:val="000000" w:themeColor="text1"/>
              </w:rPr>
            </w:pPr>
            <w:r w:rsidRPr="00DD2574">
              <w:rPr>
                <w:color w:val="000000" w:themeColor="text1"/>
              </w:rPr>
              <w:t>-2.393</w:t>
            </w:r>
          </w:p>
        </w:tc>
        <w:tc>
          <w:tcPr>
            <w:tcW w:w="1083" w:type="dxa"/>
            <w:gridSpan w:val="2"/>
            <w:tcBorders>
              <w:top w:val="nil"/>
              <w:bottom w:val="nil"/>
            </w:tcBorders>
            <w:shd w:val="clear" w:color="auto" w:fill="FFFFFF" w:themeFill="background1"/>
          </w:tcPr>
          <w:p w14:paraId="5CA4665B" w14:textId="77777777" w:rsidR="002B14E0" w:rsidRPr="00DD2574" w:rsidRDefault="002B14E0" w:rsidP="00FA17B1">
            <w:pPr>
              <w:autoSpaceDE w:val="0"/>
              <w:autoSpaceDN w:val="0"/>
              <w:adjustRightInd w:val="0"/>
              <w:spacing w:after="0" w:line="320" w:lineRule="atLeast"/>
              <w:ind w:left="60" w:right="60"/>
              <w:jc w:val="both"/>
              <w:rPr>
                <w:color w:val="000000" w:themeColor="text1"/>
              </w:rPr>
            </w:pPr>
            <w:r w:rsidRPr="00DD2574">
              <w:rPr>
                <w:color w:val="000000" w:themeColor="text1"/>
              </w:rPr>
              <w:t>.017</w:t>
            </w:r>
          </w:p>
        </w:tc>
      </w:tr>
      <w:tr w:rsidR="002B14E0" w:rsidRPr="00DD2574" w14:paraId="16335E29" w14:textId="77777777" w:rsidTr="00A724EE">
        <w:trPr>
          <w:gridAfter w:val="1"/>
          <w:wAfter w:w="773" w:type="dxa"/>
          <w:cantSplit/>
          <w:trHeight w:val="145"/>
        </w:trPr>
        <w:tc>
          <w:tcPr>
            <w:tcW w:w="1974" w:type="dxa"/>
            <w:tcBorders>
              <w:top w:val="nil"/>
              <w:bottom w:val="nil"/>
            </w:tcBorders>
            <w:shd w:val="clear" w:color="auto" w:fill="FFFFFF" w:themeFill="background1"/>
          </w:tcPr>
          <w:p w14:paraId="7C48C2F5" w14:textId="4B9855EC" w:rsidR="002B14E0" w:rsidRPr="002B14E0" w:rsidRDefault="002B14E0" w:rsidP="00FA17B1">
            <w:pPr>
              <w:pStyle w:val="NoSpacing"/>
              <w:jc w:val="both"/>
            </w:pPr>
            <w:r w:rsidRPr="00B729FC">
              <w:t xml:space="preserve">Technological </w:t>
            </w:r>
            <w:r>
              <w:t>Insecurity</w:t>
            </w:r>
          </w:p>
        </w:tc>
        <w:tc>
          <w:tcPr>
            <w:tcW w:w="675" w:type="dxa"/>
            <w:gridSpan w:val="2"/>
            <w:tcBorders>
              <w:top w:val="nil"/>
              <w:bottom w:val="nil"/>
            </w:tcBorders>
            <w:shd w:val="clear" w:color="auto" w:fill="FFFFFF" w:themeFill="background1"/>
          </w:tcPr>
          <w:p w14:paraId="0E6C249F" w14:textId="77777777" w:rsidR="002B14E0" w:rsidRPr="00DD2574" w:rsidRDefault="002B14E0" w:rsidP="00FA17B1">
            <w:pPr>
              <w:autoSpaceDE w:val="0"/>
              <w:autoSpaceDN w:val="0"/>
              <w:adjustRightInd w:val="0"/>
              <w:spacing w:after="0" w:line="320" w:lineRule="atLeast"/>
              <w:ind w:left="60" w:right="60"/>
              <w:jc w:val="both"/>
              <w:rPr>
                <w:color w:val="000000" w:themeColor="text1"/>
              </w:rPr>
            </w:pPr>
            <w:r w:rsidRPr="00DD2574">
              <w:rPr>
                <w:color w:val="000000" w:themeColor="text1"/>
              </w:rPr>
              <w:t>-.109</w:t>
            </w:r>
          </w:p>
        </w:tc>
        <w:tc>
          <w:tcPr>
            <w:tcW w:w="1405" w:type="dxa"/>
            <w:gridSpan w:val="2"/>
            <w:tcBorders>
              <w:top w:val="nil"/>
              <w:bottom w:val="nil"/>
            </w:tcBorders>
            <w:shd w:val="clear" w:color="auto" w:fill="FFFFFF" w:themeFill="background1"/>
          </w:tcPr>
          <w:p w14:paraId="65C5A5BA" w14:textId="77777777" w:rsidR="002B14E0" w:rsidRPr="00DD2574" w:rsidRDefault="002B14E0" w:rsidP="00FA17B1">
            <w:pPr>
              <w:autoSpaceDE w:val="0"/>
              <w:autoSpaceDN w:val="0"/>
              <w:adjustRightInd w:val="0"/>
              <w:spacing w:after="0" w:line="320" w:lineRule="atLeast"/>
              <w:ind w:left="60" w:right="60"/>
              <w:jc w:val="both"/>
              <w:rPr>
                <w:color w:val="000000" w:themeColor="text1"/>
              </w:rPr>
            </w:pPr>
            <w:r w:rsidRPr="00DD2574">
              <w:rPr>
                <w:color w:val="000000" w:themeColor="text1"/>
              </w:rPr>
              <w:t>.030</w:t>
            </w:r>
          </w:p>
        </w:tc>
        <w:tc>
          <w:tcPr>
            <w:tcW w:w="1550" w:type="dxa"/>
            <w:gridSpan w:val="2"/>
            <w:tcBorders>
              <w:top w:val="nil"/>
              <w:bottom w:val="nil"/>
            </w:tcBorders>
            <w:shd w:val="clear" w:color="auto" w:fill="FFFFFF" w:themeFill="background1"/>
          </w:tcPr>
          <w:p w14:paraId="6A73B2B9" w14:textId="77777777" w:rsidR="002B14E0" w:rsidRPr="00DD2574" w:rsidRDefault="002B14E0" w:rsidP="00FA17B1">
            <w:pPr>
              <w:autoSpaceDE w:val="0"/>
              <w:autoSpaceDN w:val="0"/>
              <w:adjustRightInd w:val="0"/>
              <w:spacing w:after="0" w:line="320" w:lineRule="atLeast"/>
              <w:ind w:left="60" w:right="60"/>
              <w:jc w:val="both"/>
              <w:rPr>
                <w:color w:val="000000" w:themeColor="text1"/>
              </w:rPr>
            </w:pPr>
            <w:r w:rsidRPr="00DD2574">
              <w:rPr>
                <w:color w:val="000000" w:themeColor="text1"/>
              </w:rPr>
              <w:t>-.189</w:t>
            </w:r>
          </w:p>
        </w:tc>
        <w:tc>
          <w:tcPr>
            <w:tcW w:w="1082" w:type="dxa"/>
            <w:gridSpan w:val="2"/>
            <w:tcBorders>
              <w:top w:val="nil"/>
              <w:bottom w:val="nil"/>
            </w:tcBorders>
            <w:shd w:val="clear" w:color="auto" w:fill="FFFFFF" w:themeFill="background1"/>
          </w:tcPr>
          <w:p w14:paraId="739C6175" w14:textId="77777777" w:rsidR="002B14E0" w:rsidRPr="00DD2574" w:rsidRDefault="002B14E0" w:rsidP="00FA17B1">
            <w:pPr>
              <w:autoSpaceDE w:val="0"/>
              <w:autoSpaceDN w:val="0"/>
              <w:adjustRightInd w:val="0"/>
              <w:spacing w:after="0" w:line="320" w:lineRule="atLeast"/>
              <w:ind w:left="60" w:right="60"/>
              <w:jc w:val="both"/>
              <w:rPr>
                <w:color w:val="000000" w:themeColor="text1"/>
              </w:rPr>
            </w:pPr>
            <w:r w:rsidRPr="00DD2574">
              <w:rPr>
                <w:color w:val="000000" w:themeColor="text1"/>
              </w:rPr>
              <w:t>-3.580</w:t>
            </w:r>
          </w:p>
        </w:tc>
        <w:tc>
          <w:tcPr>
            <w:tcW w:w="1083" w:type="dxa"/>
            <w:gridSpan w:val="2"/>
            <w:tcBorders>
              <w:top w:val="nil"/>
              <w:bottom w:val="nil"/>
            </w:tcBorders>
            <w:shd w:val="clear" w:color="auto" w:fill="FFFFFF" w:themeFill="background1"/>
          </w:tcPr>
          <w:p w14:paraId="5153C82E" w14:textId="77777777" w:rsidR="002B14E0" w:rsidRPr="00DD2574" w:rsidRDefault="002B14E0" w:rsidP="00FA17B1">
            <w:pPr>
              <w:autoSpaceDE w:val="0"/>
              <w:autoSpaceDN w:val="0"/>
              <w:adjustRightInd w:val="0"/>
              <w:spacing w:after="0" w:line="320" w:lineRule="atLeast"/>
              <w:ind w:left="60" w:right="60"/>
              <w:jc w:val="both"/>
              <w:rPr>
                <w:color w:val="000000" w:themeColor="text1"/>
              </w:rPr>
            </w:pPr>
            <w:r w:rsidRPr="00DD2574">
              <w:rPr>
                <w:color w:val="000000" w:themeColor="text1"/>
              </w:rPr>
              <w:t>.000</w:t>
            </w:r>
          </w:p>
        </w:tc>
      </w:tr>
      <w:tr w:rsidR="00020423" w:rsidRPr="00DD2574" w14:paraId="0BC9A1A8" w14:textId="77777777" w:rsidTr="00A724EE">
        <w:trPr>
          <w:gridAfter w:val="1"/>
          <w:wAfter w:w="773" w:type="dxa"/>
          <w:cantSplit/>
          <w:trHeight w:val="145"/>
        </w:trPr>
        <w:tc>
          <w:tcPr>
            <w:tcW w:w="1974" w:type="dxa"/>
            <w:tcBorders>
              <w:top w:val="nil"/>
              <w:bottom w:val="nil"/>
            </w:tcBorders>
            <w:shd w:val="clear" w:color="auto" w:fill="FFFFFF" w:themeFill="background1"/>
          </w:tcPr>
          <w:p w14:paraId="4231CEBE" w14:textId="18359855" w:rsidR="00020423" w:rsidRPr="007A71C9" w:rsidRDefault="00020423" w:rsidP="00FA17B1">
            <w:pPr>
              <w:pStyle w:val="NoSpacing"/>
              <w:jc w:val="both"/>
            </w:pPr>
            <w:r>
              <w:t>Model summary</w:t>
            </w:r>
          </w:p>
        </w:tc>
        <w:tc>
          <w:tcPr>
            <w:tcW w:w="675" w:type="dxa"/>
            <w:gridSpan w:val="2"/>
            <w:tcBorders>
              <w:top w:val="nil"/>
              <w:bottom w:val="nil"/>
            </w:tcBorders>
            <w:shd w:val="clear" w:color="auto" w:fill="FFFFFF" w:themeFill="background1"/>
          </w:tcPr>
          <w:p w14:paraId="0BD51F46" w14:textId="77777777" w:rsidR="00020423" w:rsidRPr="00DD2574" w:rsidRDefault="00020423" w:rsidP="00FA17B1">
            <w:pPr>
              <w:autoSpaceDE w:val="0"/>
              <w:autoSpaceDN w:val="0"/>
              <w:adjustRightInd w:val="0"/>
              <w:spacing w:after="0" w:line="320" w:lineRule="atLeast"/>
              <w:ind w:left="60" w:right="60"/>
              <w:jc w:val="both"/>
              <w:rPr>
                <w:color w:val="000000" w:themeColor="text1"/>
              </w:rPr>
            </w:pPr>
          </w:p>
        </w:tc>
        <w:tc>
          <w:tcPr>
            <w:tcW w:w="1405" w:type="dxa"/>
            <w:gridSpan w:val="2"/>
            <w:tcBorders>
              <w:top w:val="nil"/>
              <w:bottom w:val="nil"/>
            </w:tcBorders>
            <w:shd w:val="clear" w:color="auto" w:fill="FFFFFF" w:themeFill="background1"/>
          </w:tcPr>
          <w:p w14:paraId="0A1D8884" w14:textId="77777777" w:rsidR="00020423" w:rsidRPr="007A71C9" w:rsidRDefault="00020423" w:rsidP="00FA17B1">
            <w:pPr>
              <w:autoSpaceDE w:val="0"/>
              <w:autoSpaceDN w:val="0"/>
              <w:adjustRightInd w:val="0"/>
              <w:spacing w:after="0" w:line="320" w:lineRule="atLeast"/>
              <w:ind w:left="60" w:right="60"/>
              <w:jc w:val="both"/>
            </w:pPr>
          </w:p>
        </w:tc>
        <w:tc>
          <w:tcPr>
            <w:tcW w:w="1550" w:type="dxa"/>
            <w:gridSpan w:val="2"/>
            <w:tcBorders>
              <w:top w:val="nil"/>
              <w:bottom w:val="nil"/>
            </w:tcBorders>
            <w:shd w:val="clear" w:color="auto" w:fill="FFFFFF" w:themeFill="background1"/>
          </w:tcPr>
          <w:p w14:paraId="2A0AD964" w14:textId="77777777" w:rsidR="00020423" w:rsidRDefault="00020423" w:rsidP="00FA17B1">
            <w:pPr>
              <w:autoSpaceDE w:val="0"/>
              <w:autoSpaceDN w:val="0"/>
              <w:adjustRightInd w:val="0"/>
              <w:spacing w:after="0" w:line="320" w:lineRule="atLeast"/>
              <w:ind w:left="60" w:right="60"/>
              <w:jc w:val="both"/>
              <w:rPr>
                <w:color w:val="000000" w:themeColor="text1"/>
              </w:rPr>
            </w:pPr>
          </w:p>
        </w:tc>
        <w:tc>
          <w:tcPr>
            <w:tcW w:w="1082" w:type="dxa"/>
            <w:gridSpan w:val="2"/>
            <w:tcBorders>
              <w:top w:val="nil"/>
              <w:bottom w:val="nil"/>
            </w:tcBorders>
            <w:shd w:val="clear" w:color="auto" w:fill="FFFFFF" w:themeFill="background1"/>
          </w:tcPr>
          <w:p w14:paraId="7D4295F6" w14:textId="77777777" w:rsidR="00020423" w:rsidRPr="00DD2574" w:rsidRDefault="00020423" w:rsidP="00FA17B1">
            <w:pPr>
              <w:autoSpaceDE w:val="0"/>
              <w:autoSpaceDN w:val="0"/>
              <w:adjustRightInd w:val="0"/>
              <w:spacing w:after="0" w:line="320" w:lineRule="atLeast"/>
              <w:ind w:left="60" w:right="60"/>
              <w:jc w:val="both"/>
              <w:rPr>
                <w:color w:val="000000" w:themeColor="text1"/>
              </w:rPr>
            </w:pPr>
          </w:p>
        </w:tc>
        <w:tc>
          <w:tcPr>
            <w:tcW w:w="1083" w:type="dxa"/>
            <w:gridSpan w:val="2"/>
            <w:tcBorders>
              <w:top w:val="nil"/>
              <w:bottom w:val="nil"/>
            </w:tcBorders>
            <w:shd w:val="clear" w:color="auto" w:fill="FFFFFF" w:themeFill="background1"/>
          </w:tcPr>
          <w:p w14:paraId="7E7FE6E4" w14:textId="77777777" w:rsidR="00020423" w:rsidRPr="00DD2574" w:rsidRDefault="00020423" w:rsidP="00FA17B1">
            <w:pPr>
              <w:autoSpaceDE w:val="0"/>
              <w:autoSpaceDN w:val="0"/>
              <w:adjustRightInd w:val="0"/>
              <w:spacing w:after="0" w:line="320" w:lineRule="atLeast"/>
              <w:ind w:left="60" w:right="60"/>
              <w:jc w:val="both"/>
              <w:rPr>
                <w:color w:val="000000" w:themeColor="text1"/>
              </w:rPr>
            </w:pPr>
          </w:p>
        </w:tc>
      </w:tr>
      <w:tr w:rsidR="00020423" w:rsidRPr="00DD2574" w14:paraId="75D8059A" w14:textId="77777777" w:rsidTr="00A724EE">
        <w:trPr>
          <w:gridAfter w:val="1"/>
          <w:wAfter w:w="773" w:type="dxa"/>
          <w:cantSplit/>
          <w:trHeight w:val="145"/>
        </w:trPr>
        <w:tc>
          <w:tcPr>
            <w:tcW w:w="1974" w:type="dxa"/>
            <w:tcBorders>
              <w:top w:val="nil"/>
              <w:bottom w:val="nil"/>
            </w:tcBorders>
            <w:shd w:val="clear" w:color="auto" w:fill="FFFFFF" w:themeFill="background1"/>
          </w:tcPr>
          <w:p w14:paraId="250F995C" w14:textId="32F48D50" w:rsidR="00020423" w:rsidRPr="007A71C9" w:rsidRDefault="00020423" w:rsidP="00FA17B1">
            <w:pPr>
              <w:pStyle w:val="NoSpacing"/>
              <w:jc w:val="both"/>
            </w:pPr>
            <w:r w:rsidRPr="007A71C9">
              <w:t xml:space="preserve">F-value </w:t>
            </w:r>
          </w:p>
        </w:tc>
        <w:tc>
          <w:tcPr>
            <w:tcW w:w="675" w:type="dxa"/>
            <w:gridSpan w:val="2"/>
            <w:tcBorders>
              <w:top w:val="nil"/>
              <w:bottom w:val="nil"/>
            </w:tcBorders>
            <w:shd w:val="clear" w:color="auto" w:fill="FFFFFF" w:themeFill="background1"/>
          </w:tcPr>
          <w:p w14:paraId="627B22FB" w14:textId="77777777" w:rsidR="00020423" w:rsidRPr="00DD2574" w:rsidRDefault="00020423" w:rsidP="00FA17B1">
            <w:pPr>
              <w:autoSpaceDE w:val="0"/>
              <w:autoSpaceDN w:val="0"/>
              <w:adjustRightInd w:val="0"/>
              <w:spacing w:after="0" w:line="320" w:lineRule="atLeast"/>
              <w:ind w:left="60" w:right="60"/>
              <w:jc w:val="both"/>
              <w:rPr>
                <w:color w:val="000000" w:themeColor="text1"/>
              </w:rPr>
            </w:pPr>
          </w:p>
        </w:tc>
        <w:tc>
          <w:tcPr>
            <w:tcW w:w="1405" w:type="dxa"/>
            <w:gridSpan w:val="2"/>
            <w:tcBorders>
              <w:top w:val="nil"/>
              <w:bottom w:val="nil"/>
            </w:tcBorders>
            <w:shd w:val="clear" w:color="auto" w:fill="FFFFFF" w:themeFill="background1"/>
          </w:tcPr>
          <w:p w14:paraId="28F9D8BE" w14:textId="6ADE0316" w:rsidR="00020423" w:rsidRPr="00DD2574" w:rsidRDefault="00020423" w:rsidP="00FA17B1">
            <w:pPr>
              <w:autoSpaceDE w:val="0"/>
              <w:autoSpaceDN w:val="0"/>
              <w:adjustRightInd w:val="0"/>
              <w:spacing w:after="0" w:line="320" w:lineRule="atLeast"/>
              <w:ind w:left="60" w:right="60"/>
              <w:jc w:val="both"/>
              <w:rPr>
                <w:color w:val="000000" w:themeColor="text1"/>
              </w:rPr>
            </w:pPr>
            <w:r w:rsidRPr="007A71C9">
              <w:t>27.666</w:t>
            </w:r>
          </w:p>
        </w:tc>
        <w:tc>
          <w:tcPr>
            <w:tcW w:w="1550" w:type="dxa"/>
            <w:gridSpan w:val="2"/>
            <w:tcBorders>
              <w:top w:val="nil"/>
              <w:bottom w:val="nil"/>
            </w:tcBorders>
            <w:shd w:val="clear" w:color="auto" w:fill="FFFFFF" w:themeFill="background1"/>
          </w:tcPr>
          <w:p w14:paraId="13FCB789" w14:textId="38CFC655" w:rsidR="00020423" w:rsidRPr="00DD2574" w:rsidRDefault="00020423" w:rsidP="00FA17B1">
            <w:pPr>
              <w:autoSpaceDE w:val="0"/>
              <w:autoSpaceDN w:val="0"/>
              <w:adjustRightInd w:val="0"/>
              <w:spacing w:after="0" w:line="320" w:lineRule="atLeast"/>
              <w:ind w:left="60" w:right="60"/>
              <w:jc w:val="both"/>
              <w:rPr>
                <w:color w:val="000000" w:themeColor="text1"/>
              </w:rPr>
            </w:pPr>
            <w:r>
              <w:rPr>
                <w:color w:val="000000" w:themeColor="text1"/>
              </w:rPr>
              <w:t>P=0.00</w:t>
            </w:r>
          </w:p>
        </w:tc>
        <w:tc>
          <w:tcPr>
            <w:tcW w:w="1082" w:type="dxa"/>
            <w:gridSpan w:val="2"/>
            <w:tcBorders>
              <w:top w:val="nil"/>
              <w:bottom w:val="nil"/>
            </w:tcBorders>
            <w:shd w:val="clear" w:color="auto" w:fill="FFFFFF" w:themeFill="background1"/>
          </w:tcPr>
          <w:p w14:paraId="6119B352" w14:textId="77777777" w:rsidR="00020423" w:rsidRPr="00DD2574" w:rsidRDefault="00020423" w:rsidP="00FA17B1">
            <w:pPr>
              <w:autoSpaceDE w:val="0"/>
              <w:autoSpaceDN w:val="0"/>
              <w:adjustRightInd w:val="0"/>
              <w:spacing w:after="0" w:line="320" w:lineRule="atLeast"/>
              <w:ind w:left="60" w:right="60"/>
              <w:jc w:val="both"/>
              <w:rPr>
                <w:color w:val="000000" w:themeColor="text1"/>
              </w:rPr>
            </w:pPr>
          </w:p>
        </w:tc>
        <w:tc>
          <w:tcPr>
            <w:tcW w:w="1083" w:type="dxa"/>
            <w:gridSpan w:val="2"/>
            <w:tcBorders>
              <w:top w:val="nil"/>
              <w:bottom w:val="nil"/>
            </w:tcBorders>
            <w:shd w:val="clear" w:color="auto" w:fill="FFFFFF" w:themeFill="background1"/>
          </w:tcPr>
          <w:p w14:paraId="3201459A" w14:textId="77777777" w:rsidR="00020423" w:rsidRPr="00DD2574" w:rsidRDefault="00020423" w:rsidP="00FA17B1">
            <w:pPr>
              <w:autoSpaceDE w:val="0"/>
              <w:autoSpaceDN w:val="0"/>
              <w:adjustRightInd w:val="0"/>
              <w:spacing w:after="0" w:line="320" w:lineRule="atLeast"/>
              <w:ind w:left="60" w:right="60"/>
              <w:jc w:val="both"/>
              <w:rPr>
                <w:color w:val="000000" w:themeColor="text1"/>
              </w:rPr>
            </w:pPr>
          </w:p>
        </w:tc>
      </w:tr>
      <w:tr w:rsidR="00020423" w:rsidRPr="00DD2574" w14:paraId="529C7F25" w14:textId="77777777" w:rsidTr="00A724EE">
        <w:trPr>
          <w:gridAfter w:val="1"/>
          <w:wAfter w:w="773" w:type="dxa"/>
          <w:cantSplit/>
          <w:trHeight w:val="145"/>
        </w:trPr>
        <w:tc>
          <w:tcPr>
            <w:tcW w:w="1974" w:type="dxa"/>
            <w:tcBorders>
              <w:top w:val="nil"/>
              <w:bottom w:val="nil"/>
            </w:tcBorders>
            <w:shd w:val="clear" w:color="auto" w:fill="FFFFFF" w:themeFill="background1"/>
          </w:tcPr>
          <w:p w14:paraId="08D04E35" w14:textId="2659CE5F" w:rsidR="00020423" w:rsidRPr="00B729FC" w:rsidRDefault="00020423" w:rsidP="00FA17B1">
            <w:pPr>
              <w:pStyle w:val="NoSpacing"/>
              <w:jc w:val="both"/>
            </w:pPr>
            <w:r>
              <w:t>R-squared</w:t>
            </w:r>
          </w:p>
        </w:tc>
        <w:tc>
          <w:tcPr>
            <w:tcW w:w="675" w:type="dxa"/>
            <w:gridSpan w:val="2"/>
            <w:tcBorders>
              <w:top w:val="nil"/>
              <w:bottom w:val="nil"/>
            </w:tcBorders>
            <w:shd w:val="clear" w:color="auto" w:fill="FFFFFF" w:themeFill="background1"/>
          </w:tcPr>
          <w:p w14:paraId="3A5501EC" w14:textId="77777777" w:rsidR="00020423" w:rsidRPr="00DD2574" w:rsidRDefault="00020423" w:rsidP="00FA17B1">
            <w:pPr>
              <w:autoSpaceDE w:val="0"/>
              <w:autoSpaceDN w:val="0"/>
              <w:adjustRightInd w:val="0"/>
              <w:spacing w:after="0" w:line="320" w:lineRule="atLeast"/>
              <w:ind w:left="60" w:right="60"/>
              <w:jc w:val="both"/>
              <w:rPr>
                <w:color w:val="000000" w:themeColor="text1"/>
              </w:rPr>
            </w:pPr>
          </w:p>
        </w:tc>
        <w:tc>
          <w:tcPr>
            <w:tcW w:w="1405" w:type="dxa"/>
            <w:gridSpan w:val="2"/>
            <w:tcBorders>
              <w:top w:val="nil"/>
              <w:bottom w:val="nil"/>
            </w:tcBorders>
            <w:shd w:val="clear" w:color="auto" w:fill="FFFFFF" w:themeFill="background1"/>
          </w:tcPr>
          <w:p w14:paraId="6A379D30" w14:textId="434DD6E2" w:rsidR="00020423" w:rsidRPr="00DD2574" w:rsidRDefault="00020423" w:rsidP="00FA17B1">
            <w:pPr>
              <w:autoSpaceDE w:val="0"/>
              <w:autoSpaceDN w:val="0"/>
              <w:adjustRightInd w:val="0"/>
              <w:spacing w:after="0" w:line="320" w:lineRule="atLeast"/>
              <w:ind w:left="60" w:right="60"/>
              <w:jc w:val="both"/>
              <w:rPr>
                <w:color w:val="000000" w:themeColor="text1"/>
              </w:rPr>
            </w:pPr>
            <w:r>
              <w:rPr>
                <w:color w:val="000000" w:themeColor="text1"/>
              </w:rPr>
              <w:t>27.1%</w:t>
            </w:r>
          </w:p>
        </w:tc>
        <w:tc>
          <w:tcPr>
            <w:tcW w:w="1550" w:type="dxa"/>
            <w:gridSpan w:val="2"/>
            <w:tcBorders>
              <w:top w:val="nil"/>
              <w:bottom w:val="nil"/>
            </w:tcBorders>
            <w:shd w:val="clear" w:color="auto" w:fill="FFFFFF" w:themeFill="background1"/>
          </w:tcPr>
          <w:p w14:paraId="72962E33" w14:textId="77777777" w:rsidR="00020423" w:rsidRPr="00DD2574" w:rsidRDefault="00020423" w:rsidP="00FA17B1">
            <w:pPr>
              <w:autoSpaceDE w:val="0"/>
              <w:autoSpaceDN w:val="0"/>
              <w:adjustRightInd w:val="0"/>
              <w:spacing w:after="0" w:line="320" w:lineRule="atLeast"/>
              <w:ind w:left="60" w:right="60"/>
              <w:jc w:val="both"/>
              <w:rPr>
                <w:color w:val="000000" w:themeColor="text1"/>
              </w:rPr>
            </w:pPr>
          </w:p>
        </w:tc>
        <w:tc>
          <w:tcPr>
            <w:tcW w:w="1082" w:type="dxa"/>
            <w:gridSpan w:val="2"/>
            <w:tcBorders>
              <w:top w:val="nil"/>
              <w:bottom w:val="nil"/>
            </w:tcBorders>
            <w:shd w:val="clear" w:color="auto" w:fill="FFFFFF" w:themeFill="background1"/>
          </w:tcPr>
          <w:p w14:paraId="06774CB9" w14:textId="77777777" w:rsidR="00020423" w:rsidRPr="00DD2574" w:rsidRDefault="00020423" w:rsidP="00FA17B1">
            <w:pPr>
              <w:autoSpaceDE w:val="0"/>
              <w:autoSpaceDN w:val="0"/>
              <w:adjustRightInd w:val="0"/>
              <w:spacing w:after="0" w:line="320" w:lineRule="atLeast"/>
              <w:ind w:left="60" w:right="60"/>
              <w:jc w:val="both"/>
              <w:rPr>
                <w:color w:val="000000" w:themeColor="text1"/>
              </w:rPr>
            </w:pPr>
          </w:p>
        </w:tc>
        <w:tc>
          <w:tcPr>
            <w:tcW w:w="1083" w:type="dxa"/>
            <w:gridSpan w:val="2"/>
            <w:tcBorders>
              <w:top w:val="nil"/>
              <w:bottom w:val="nil"/>
            </w:tcBorders>
            <w:shd w:val="clear" w:color="auto" w:fill="FFFFFF" w:themeFill="background1"/>
          </w:tcPr>
          <w:p w14:paraId="29C701CB" w14:textId="77777777" w:rsidR="00020423" w:rsidRPr="00DD2574" w:rsidRDefault="00020423" w:rsidP="00FA17B1">
            <w:pPr>
              <w:autoSpaceDE w:val="0"/>
              <w:autoSpaceDN w:val="0"/>
              <w:adjustRightInd w:val="0"/>
              <w:spacing w:after="0" w:line="320" w:lineRule="atLeast"/>
              <w:ind w:left="60" w:right="60"/>
              <w:jc w:val="both"/>
              <w:rPr>
                <w:color w:val="000000" w:themeColor="text1"/>
              </w:rPr>
            </w:pPr>
          </w:p>
        </w:tc>
      </w:tr>
      <w:tr w:rsidR="00020423" w:rsidRPr="00DD2574" w14:paraId="3C4AD6D4" w14:textId="77777777" w:rsidTr="00A724EE">
        <w:trPr>
          <w:cantSplit/>
          <w:trHeight w:val="313"/>
        </w:trPr>
        <w:tc>
          <w:tcPr>
            <w:tcW w:w="8542" w:type="dxa"/>
            <w:gridSpan w:val="12"/>
            <w:tcBorders>
              <w:top w:val="single" w:sz="18" w:space="0" w:color="auto"/>
            </w:tcBorders>
            <w:shd w:val="clear" w:color="auto" w:fill="FFFFFF" w:themeFill="background1"/>
          </w:tcPr>
          <w:p w14:paraId="4BB00F61" w14:textId="5A1FC748" w:rsidR="00020423" w:rsidRPr="00DD2574" w:rsidRDefault="00020423" w:rsidP="00FA17B1">
            <w:pPr>
              <w:autoSpaceDE w:val="0"/>
              <w:autoSpaceDN w:val="0"/>
              <w:adjustRightInd w:val="0"/>
              <w:spacing w:after="0" w:line="320" w:lineRule="atLeast"/>
              <w:ind w:left="60" w:right="60"/>
              <w:jc w:val="both"/>
              <w:rPr>
                <w:color w:val="000000" w:themeColor="text1"/>
              </w:rPr>
            </w:pPr>
            <w:r w:rsidRPr="00DD2574">
              <w:rPr>
                <w:color w:val="000000" w:themeColor="text1"/>
              </w:rPr>
              <w:t xml:space="preserve">a. Dependent Variable: </w:t>
            </w:r>
            <w:r w:rsidR="009B3C1A">
              <w:rPr>
                <w:color w:val="000000" w:themeColor="text1"/>
              </w:rPr>
              <w:t>FDP</w:t>
            </w:r>
          </w:p>
        </w:tc>
      </w:tr>
    </w:tbl>
    <w:p w14:paraId="7E5D15AE" w14:textId="77777777" w:rsidR="00920EDA" w:rsidRPr="00DD2574" w:rsidRDefault="00920EDA" w:rsidP="00FA17B1">
      <w:pPr>
        <w:autoSpaceDE w:val="0"/>
        <w:autoSpaceDN w:val="0"/>
        <w:adjustRightInd w:val="0"/>
        <w:spacing w:after="0" w:line="240" w:lineRule="auto"/>
        <w:ind w:left="360"/>
        <w:jc w:val="both"/>
        <w:rPr>
          <w:b/>
          <w:bCs/>
        </w:rPr>
      </w:pPr>
      <w:r w:rsidRPr="00DD2574">
        <w:rPr>
          <w:b/>
          <w:bCs/>
        </w:rPr>
        <w:t>Source: Field data (2025)</w:t>
      </w:r>
    </w:p>
    <w:p w14:paraId="52DFF5A5" w14:textId="7AC6F83B" w:rsidR="002B14E0" w:rsidRPr="00A724EE" w:rsidRDefault="002B14E0" w:rsidP="00FA17B1">
      <w:pPr>
        <w:pStyle w:val="ListParagraph"/>
        <w:numPr>
          <w:ilvl w:val="0"/>
          <w:numId w:val="1"/>
        </w:numPr>
        <w:jc w:val="both"/>
        <w:rPr>
          <w:b/>
          <w:bCs/>
        </w:rPr>
      </w:pPr>
      <w:r w:rsidRPr="00A724EE">
        <w:rPr>
          <w:b/>
          <w:bCs/>
        </w:rPr>
        <w:t>Conclusion and recommendation</w:t>
      </w:r>
    </w:p>
    <w:p w14:paraId="620C5058" w14:textId="1A3BD2B2" w:rsidR="00920EDA" w:rsidRPr="00920EDA" w:rsidRDefault="00920EDA" w:rsidP="00FA17B1">
      <w:pPr>
        <w:spacing w:line="240" w:lineRule="auto"/>
        <w:ind w:left="360"/>
        <w:jc w:val="both"/>
      </w:pPr>
      <w:r w:rsidRPr="00920EDA">
        <w:t>This study examined the relationship between the dimensions of technology readiness—technological optimism, technological innovativeness, technological discomfort, and technological insecurity—and the performance of fraud prevention and detection (FP</w:t>
      </w:r>
      <w:r w:rsidR="00E31E37">
        <w:t>D</w:t>
      </w:r>
      <w:r w:rsidRPr="00920EDA">
        <w:t xml:space="preserve">) among registered commercial banks in Kenya. The regression results provided substantial empirical evidence that enablers of readiness improve outcomes while inhibitors erode them: technological innovativeness showed the largest positive and statistically significant effect on </w:t>
      </w:r>
      <w:r w:rsidR="00E31E37">
        <w:t>FPD</w:t>
      </w:r>
      <w:r w:rsidRPr="00920EDA">
        <w:t xml:space="preserve">, followed by technological optimism. In contrast, both technological discomfort and technological insecurity exhibited significant negative associations with </w:t>
      </w:r>
      <w:r w:rsidR="00E31E37">
        <w:t>FPD</w:t>
      </w:r>
      <w:r w:rsidRPr="00920EDA">
        <w:t>, indicating that anxiety, perceived complexity, and doubts about system reliability materially hinder detection and prevention effectiveness. Collectively, these findings reject all four null hypotheses and highlight that technological innovativeness is the most influential positive driver, suggesting that teams inclined to experiment with, learn, and extend advanced fraud</w:t>
      </w:r>
      <w:r w:rsidRPr="00920EDA">
        <w:noBreakHyphen/>
        <w:t>management capabilities (e.g., analytics tuning, cross</w:t>
      </w:r>
      <w:r w:rsidRPr="00920EDA">
        <w:noBreakHyphen/>
        <w:t>channel linkage, behavioral signals) deliver superior operational results. Optimism further supports tool engagement and disciplined use, while the two inhibitors operate as drag forces on performance by fostering avoidance, minimal compliance, and slower, less accurate investigation. The significant constant indicates a non</w:t>
      </w:r>
      <w:r w:rsidRPr="00920EDA">
        <w:noBreakHyphen/>
        <w:t xml:space="preserve">zero baseline of </w:t>
      </w:r>
      <w:r w:rsidR="00E31E37">
        <w:t>FDP</w:t>
      </w:r>
      <w:r w:rsidRPr="00920EDA">
        <w:t>, but the pattern of coefficients shows that building readiness enablers and suppressing inhibitors is central to translating investments in AI/analytics, identity proofing, and case</w:t>
      </w:r>
      <w:r w:rsidRPr="00920EDA">
        <w:noBreakHyphen/>
        <w:t>management into measurable risk reduction.</w:t>
      </w:r>
    </w:p>
    <w:p w14:paraId="0D7320DB" w14:textId="43BEF8D1" w:rsidR="00920EDA" w:rsidRPr="00920EDA" w:rsidRDefault="00920EDA" w:rsidP="00FA17B1">
      <w:pPr>
        <w:spacing w:line="240" w:lineRule="auto"/>
        <w:ind w:left="360"/>
        <w:jc w:val="both"/>
      </w:pPr>
      <w:r w:rsidRPr="00920EDA">
        <w:t>In light of these findings, several implications and recommendations arise. First, bank leadership should institutionalize innovativeness within fraud</w:t>
      </w:r>
      <w:r w:rsidRPr="00920EDA">
        <w:noBreakHyphen/>
        <w:t>risk functions by creating structured experimentation cycles (sandboxing, A/B testing of rules, challenger models), resourcing analytics partnerships, and rewarding frontline suggestions that improve alert quality and time</w:t>
      </w:r>
      <w:r w:rsidRPr="00920EDA">
        <w:noBreakHyphen/>
        <w:t>to</w:t>
      </w:r>
      <w:r w:rsidRPr="00920EDA">
        <w:noBreakHyphen/>
        <w:t>decision. Second, to deepen technological optimism, management should pair new tools with clear performance narratives (precision/recall improvements, loss</w:t>
      </w:r>
      <w:r w:rsidRPr="00920EDA">
        <w:noBreakHyphen/>
        <w:t>per</w:t>
      </w:r>
      <w:r w:rsidRPr="00920EDA">
        <w:noBreakHyphen/>
        <w:t>case reductions), transparent model</w:t>
      </w:r>
      <w:r w:rsidRPr="00920EDA">
        <w:noBreakHyphen/>
        <w:t>risk governance, and frequent feedback loops so that investigators see tangible value from their inputs. Third, to mitigate technological discomfort and insecurity, institutions should invest in user</w:t>
      </w:r>
      <w:r w:rsidRPr="00920EDA">
        <w:noBreakHyphen/>
        <w:t>centric design, role</w:t>
      </w:r>
      <w:r w:rsidRPr="00920EDA">
        <w:noBreakHyphen/>
        <w:t>tailored training and certifications, peer</w:t>
      </w:r>
      <w:r w:rsidRPr="00920EDA">
        <w:noBreakHyphen/>
        <w:t>champion/coach networks, and just</w:t>
      </w:r>
      <w:r w:rsidRPr="00920EDA">
        <w:noBreakHyphen/>
        <w:t>in</w:t>
      </w:r>
      <w:r w:rsidRPr="00920EDA">
        <w:noBreakHyphen/>
        <w:t>time guidance embedded in case</w:t>
      </w:r>
      <w:r w:rsidRPr="00920EDA">
        <w:noBreakHyphen/>
        <w:t>management workflows; these reduce cognitive load and build trust in model outputs. Fourth, banks should operationalize readiness metrics alongside traditional KPIs—e.g., TRI pulse checks by unit, adoption depth by feature, alert</w:t>
      </w:r>
      <w:r w:rsidRPr="00920EDA">
        <w:noBreakHyphen/>
        <w:t xml:space="preserve">handling proficiency—to target </w:t>
      </w:r>
      <w:r w:rsidRPr="00920EDA">
        <w:lastRenderedPageBreak/>
        <w:t>interventions where inhibitors are most binding. Finally, sector actors—the Central Bank of Kenya (CBK) and the Kenya Bankers Association (KBA)—are encouraged to sustain supportive frameworks: capability</w:t>
      </w:r>
      <w:r w:rsidRPr="00920EDA">
        <w:noBreakHyphen/>
        <w:t>building programs, shared best</w:t>
      </w:r>
      <w:r w:rsidRPr="00920EDA">
        <w:noBreakHyphen/>
        <w:t>practice repositories and threat</w:t>
      </w:r>
      <w:r w:rsidRPr="00920EDA">
        <w:noBreakHyphen/>
        <w:t>intel exchanges, and supervisory incentives for measured innovation (e.g., model</w:t>
      </w:r>
      <w:r w:rsidRPr="00920EDA">
        <w:noBreakHyphen/>
        <w:t>risk sandboxes and standardized performance disclosures). Taken together, these steps align human readiness with technology investment, strengthening Kenya’s banking sector capacity to detect and prevent fraud efficiently and at scale.</w:t>
      </w:r>
      <w:r w:rsidR="00597BF2" w:rsidRPr="00597BF2">
        <w:t xml:space="preserve"> Notwithstanding the insights provided by this study regarding the correlation between technology readiness and fraud detection and prevention, it possesses </w:t>
      </w:r>
      <w:r w:rsidR="00597BF2">
        <w:t>several</w:t>
      </w:r>
      <w:r w:rsidR="00597BF2" w:rsidRPr="00597BF2">
        <w:t xml:space="preserve"> </w:t>
      </w:r>
      <w:r w:rsidR="00597BF2">
        <w:t>limitations</w:t>
      </w:r>
      <w:r w:rsidR="00597BF2" w:rsidRPr="00597BF2">
        <w:t>.</w:t>
      </w:r>
      <w:r w:rsidR="00597BF2">
        <w:t xml:space="preserve"> </w:t>
      </w:r>
      <w:r w:rsidR="00597BF2" w:rsidRPr="00597BF2">
        <w:t>First, the study exclusively examined Kenyan banks, which may face distinct fraud threats. Consequently, future research may include non-banking enterprises as well as financial organizations in other jurisdictions. Secondly, fraud detection was assessed qualitatively. This may be subjective as it does not identify specific banking companies potentially experiencing fraud. Future research may employ quantitative metrics of fraud with companies identified as experiencing fraud. Ultimately, subsequent research may examine potential modifiers, including CEO characteristics, among others.</w:t>
      </w:r>
    </w:p>
    <w:p w14:paraId="20C194EA" w14:textId="44CA2F02" w:rsidR="00C36643" w:rsidRPr="00DD2574" w:rsidRDefault="00C36643" w:rsidP="00FA17B1">
      <w:pPr>
        <w:ind w:left="360"/>
        <w:jc w:val="both"/>
        <w:rPr>
          <w:b/>
          <w:bCs/>
        </w:rPr>
      </w:pPr>
      <w:r w:rsidRPr="00DD2574">
        <w:rPr>
          <w:b/>
          <w:bCs/>
        </w:rPr>
        <w:t>References</w:t>
      </w:r>
    </w:p>
    <w:p w14:paraId="00D674C1" w14:textId="77777777" w:rsidR="00D648F9" w:rsidRPr="00C36643" w:rsidRDefault="00D648F9" w:rsidP="00FA17B1">
      <w:pPr>
        <w:pStyle w:val="ListParagraph"/>
        <w:numPr>
          <w:ilvl w:val="0"/>
          <w:numId w:val="7"/>
        </w:numPr>
        <w:spacing w:line="240" w:lineRule="auto"/>
        <w:jc w:val="both"/>
      </w:pPr>
      <w:r w:rsidRPr="00C36643">
        <w:t xml:space="preserve">ACFE. (2022). </w:t>
      </w:r>
      <w:r w:rsidRPr="00D648F9">
        <w:rPr>
          <w:i/>
          <w:iCs/>
        </w:rPr>
        <w:t>Report to the nations: 2022 global study on occupational fraud and abuse</w:t>
      </w:r>
      <w:r w:rsidRPr="00C36643">
        <w:t>. Association of Certified Fraud Examiners.</w:t>
      </w:r>
    </w:p>
    <w:p w14:paraId="3E49C17E" w14:textId="77777777" w:rsidR="00D648F9" w:rsidRPr="004316AF" w:rsidRDefault="00D648F9" w:rsidP="00FA17B1">
      <w:pPr>
        <w:pStyle w:val="ListParagraph"/>
        <w:numPr>
          <w:ilvl w:val="0"/>
          <w:numId w:val="7"/>
        </w:numPr>
        <w:spacing w:line="240" w:lineRule="auto"/>
        <w:jc w:val="both"/>
      </w:pPr>
      <w:r w:rsidRPr="004316AF">
        <w:t xml:space="preserve">ACFE. (2024). </w:t>
      </w:r>
      <w:r w:rsidRPr="00D648F9">
        <w:rPr>
          <w:i/>
          <w:iCs/>
        </w:rPr>
        <w:t>Occupational Fraud 2024: A report to the nations</w:t>
      </w:r>
      <w:r w:rsidRPr="004316AF">
        <w:t>. Association of Certified Fraud Examiners.</w:t>
      </w:r>
    </w:p>
    <w:p w14:paraId="2E90CD27" w14:textId="77777777" w:rsidR="00D648F9" w:rsidRPr="007A71C9" w:rsidRDefault="00D648F9" w:rsidP="00FA17B1">
      <w:pPr>
        <w:pStyle w:val="ListParagraph"/>
        <w:numPr>
          <w:ilvl w:val="0"/>
          <w:numId w:val="7"/>
        </w:numPr>
        <w:spacing w:line="240" w:lineRule="auto"/>
        <w:jc w:val="both"/>
      </w:pPr>
      <w:r w:rsidRPr="007A71C9">
        <w:t xml:space="preserve">ACFE. (2024a). </w:t>
      </w:r>
      <w:r w:rsidRPr="00D648F9">
        <w:rPr>
          <w:i/>
          <w:iCs/>
        </w:rPr>
        <w:t>Occupational Fraud 2024: A Report to the Nations</w:t>
      </w:r>
      <w:r w:rsidRPr="007A71C9">
        <w:t xml:space="preserve"> (13th ed.). Association of Certified Fraud Examiners. </w:t>
      </w:r>
    </w:p>
    <w:p w14:paraId="041B0FF6" w14:textId="77777777" w:rsidR="00D648F9" w:rsidRPr="007A71C9" w:rsidRDefault="00D648F9" w:rsidP="00FA17B1">
      <w:pPr>
        <w:pStyle w:val="ListParagraph"/>
        <w:numPr>
          <w:ilvl w:val="0"/>
          <w:numId w:val="7"/>
        </w:numPr>
        <w:spacing w:line="240" w:lineRule="auto"/>
        <w:jc w:val="both"/>
      </w:pPr>
      <w:r w:rsidRPr="007A71C9">
        <w:t xml:space="preserve">ACFE. (2024b). </w:t>
      </w:r>
      <w:r w:rsidRPr="00D648F9">
        <w:rPr>
          <w:i/>
          <w:iCs/>
        </w:rPr>
        <w:t>About the 2024 Report to the Nations</w:t>
      </w:r>
      <w:r w:rsidRPr="007A71C9">
        <w:t xml:space="preserve">. Association of Certified Fraud Examiners. </w:t>
      </w:r>
    </w:p>
    <w:p w14:paraId="1D400C16" w14:textId="77777777" w:rsidR="00D648F9" w:rsidRPr="00D648F9" w:rsidRDefault="00D648F9" w:rsidP="00FA17B1">
      <w:pPr>
        <w:pStyle w:val="ListParagraph"/>
        <w:numPr>
          <w:ilvl w:val="0"/>
          <w:numId w:val="7"/>
        </w:numPr>
        <w:spacing w:line="240" w:lineRule="auto"/>
        <w:jc w:val="both"/>
      </w:pPr>
      <w:r w:rsidRPr="00D648F9">
        <w:t>Ahmad, A. Y. A. B. A. (</w:t>
      </w:r>
      <w:proofErr w:type="spellStart"/>
      <w:r w:rsidRPr="00D648F9">
        <w:t>Ayassrah</w:t>
      </w:r>
      <w:proofErr w:type="spellEnd"/>
      <w:r w:rsidRPr="00D648F9">
        <w:t xml:space="preserve">), Bani Atta, A. A. M., Alawawdeh, H. A., </w:t>
      </w:r>
      <w:proofErr w:type="spellStart"/>
      <w:r w:rsidRPr="00D648F9">
        <w:t>Aljundi</w:t>
      </w:r>
      <w:proofErr w:type="spellEnd"/>
      <w:r w:rsidRPr="00D648F9">
        <w:t xml:space="preserve">, N. A., Morshed, A., &amp; Dahbour, S. A. (2023). The effect of system quality and user quality of information technology on internal audit effectiveness in Jordan, and the moderating effect of management support. </w:t>
      </w:r>
      <w:r w:rsidRPr="00D648F9">
        <w:rPr>
          <w:i/>
          <w:iCs/>
        </w:rPr>
        <w:t>Applied Mathematics &amp; Information Sciences, 17</w:t>
      </w:r>
      <w:r w:rsidRPr="00D648F9">
        <w:t>(5), Article 12. https://doi.org/10.18576/amis/170512</w:t>
      </w:r>
    </w:p>
    <w:p w14:paraId="3D1C78EA" w14:textId="77777777" w:rsidR="00D648F9" w:rsidRPr="00D648F9" w:rsidRDefault="00D648F9" w:rsidP="00FA17B1">
      <w:pPr>
        <w:pStyle w:val="ListParagraph"/>
        <w:numPr>
          <w:ilvl w:val="0"/>
          <w:numId w:val="7"/>
        </w:numPr>
        <w:spacing w:line="240" w:lineRule="auto"/>
        <w:jc w:val="both"/>
      </w:pPr>
      <w:proofErr w:type="spellStart"/>
      <w:r w:rsidRPr="00D648F9">
        <w:t>Almagrashi</w:t>
      </w:r>
      <w:proofErr w:type="spellEnd"/>
      <w:r w:rsidRPr="00D648F9">
        <w:t>, A., Mujalli, A., Khan, M. A., &amp; Attia, E. (2023). Factors determining internal auditors’ behavioral intention to use computer</w:t>
      </w:r>
      <w:r w:rsidRPr="00D648F9">
        <w:noBreakHyphen/>
        <w:t xml:space="preserve">assisted auditing techniques: An extension of the UTAUT model and an empirical study. </w:t>
      </w:r>
      <w:r w:rsidRPr="00D648F9">
        <w:rPr>
          <w:i/>
          <w:iCs/>
        </w:rPr>
        <w:t>Future Business Journal, 9</w:t>
      </w:r>
      <w:r w:rsidRPr="00D648F9">
        <w:t>(1), 60. https://doi.org/10.1186/s43093-023-00231-2</w:t>
      </w:r>
    </w:p>
    <w:p w14:paraId="08578972" w14:textId="77777777" w:rsidR="00D648F9" w:rsidRPr="00D648F9" w:rsidRDefault="00D648F9" w:rsidP="00FA17B1">
      <w:pPr>
        <w:pStyle w:val="ListParagraph"/>
        <w:numPr>
          <w:ilvl w:val="0"/>
          <w:numId w:val="7"/>
        </w:numPr>
        <w:spacing w:line="240" w:lineRule="auto"/>
        <w:jc w:val="both"/>
      </w:pPr>
      <w:r w:rsidRPr="00D648F9">
        <w:t xml:space="preserve">Anh, N. T. M., Hoa, L. T. K., Thao, L. P., Nhi, D. A., Long, N. T., Truc, N. T., &amp; Ngoc Xuan, V. (2024). The effect of technology readiness on adopting artificial intelligence in accounting and auditing in Vietnam. </w:t>
      </w:r>
      <w:r w:rsidRPr="00D648F9">
        <w:rPr>
          <w:i/>
          <w:iCs/>
        </w:rPr>
        <w:t>Journal of Risk and Financial Management, 17</w:t>
      </w:r>
      <w:r w:rsidRPr="00D648F9">
        <w:t>(1), 27. https://doi.org/10.3390/jrfm17010027</w:t>
      </w:r>
    </w:p>
    <w:p w14:paraId="21408520" w14:textId="77777777" w:rsidR="00D648F9" w:rsidRPr="00D648F9" w:rsidRDefault="00D648F9" w:rsidP="00FA17B1">
      <w:pPr>
        <w:pStyle w:val="ListParagraph"/>
        <w:numPr>
          <w:ilvl w:val="0"/>
          <w:numId w:val="7"/>
        </w:numPr>
        <w:spacing w:line="240" w:lineRule="auto"/>
        <w:jc w:val="both"/>
      </w:pPr>
      <w:r w:rsidRPr="00D648F9">
        <w:t xml:space="preserve">Ashraf, M., Michas, P. N., &amp; Russomanno, D. (2020). The impact of audit committee information technology expertise on the reliability and timeliness of financial reporting. </w:t>
      </w:r>
      <w:r w:rsidRPr="00D648F9">
        <w:rPr>
          <w:i/>
          <w:iCs/>
        </w:rPr>
        <w:t>The Accounting Review, 95</w:t>
      </w:r>
      <w:r w:rsidRPr="00D648F9">
        <w:t>(5), 23–56. https://doi.org/10.2308/accr-52622</w:t>
      </w:r>
    </w:p>
    <w:p w14:paraId="433FE4A2" w14:textId="77777777" w:rsidR="00D648F9" w:rsidRPr="00C36643" w:rsidRDefault="00D648F9" w:rsidP="00FA17B1">
      <w:pPr>
        <w:pStyle w:val="ListParagraph"/>
        <w:numPr>
          <w:ilvl w:val="0"/>
          <w:numId w:val="7"/>
        </w:numPr>
        <w:spacing w:line="240" w:lineRule="auto"/>
        <w:jc w:val="both"/>
      </w:pPr>
      <w:r w:rsidRPr="00C36643">
        <w:t xml:space="preserve">Basel Committee on Banking Supervision. (2015). </w:t>
      </w:r>
      <w:r w:rsidRPr="00D648F9">
        <w:rPr>
          <w:i/>
          <w:iCs/>
        </w:rPr>
        <w:t>Corporate governance principles for banks</w:t>
      </w:r>
      <w:r w:rsidRPr="00C36643">
        <w:t>. Bank for International Settlements.</w:t>
      </w:r>
    </w:p>
    <w:p w14:paraId="0532E3B0" w14:textId="77777777" w:rsidR="00D648F9" w:rsidRPr="00D648F9" w:rsidRDefault="00D648F9" w:rsidP="00FA17B1">
      <w:pPr>
        <w:pStyle w:val="ListParagraph"/>
        <w:numPr>
          <w:ilvl w:val="0"/>
          <w:numId w:val="7"/>
        </w:numPr>
        <w:spacing w:line="240" w:lineRule="auto"/>
        <w:jc w:val="both"/>
      </w:pPr>
      <w:proofErr w:type="spellStart"/>
      <w:r w:rsidRPr="00D648F9">
        <w:t>Bierstaker</w:t>
      </w:r>
      <w:proofErr w:type="spellEnd"/>
      <w:r w:rsidRPr="00D648F9">
        <w:t xml:space="preserve">, J. L., Brody, R. G., &amp; Pacini, C. (2006). Accountants’ perceptions regarding fraud detection and prevention methods. </w:t>
      </w:r>
      <w:r w:rsidRPr="00D648F9">
        <w:rPr>
          <w:i/>
          <w:iCs/>
        </w:rPr>
        <w:t>Managerial Auditing Journal, 21</w:t>
      </w:r>
      <w:r w:rsidRPr="00D648F9">
        <w:t>(5), 520–535. https://doi.org/10.1108/02686900610667283</w:t>
      </w:r>
    </w:p>
    <w:p w14:paraId="0C557955" w14:textId="77777777" w:rsidR="00D648F9" w:rsidRPr="007A71C9" w:rsidRDefault="00D648F9" w:rsidP="00FA17B1">
      <w:pPr>
        <w:pStyle w:val="ListParagraph"/>
        <w:numPr>
          <w:ilvl w:val="0"/>
          <w:numId w:val="7"/>
        </w:numPr>
        <w:spacing w:line="240" w:lineRule="auto"/>
        <w:jc w:val="both"/>
      </w:pPr>
      <w:r w:rsidRPr="007A71C9">
        <w:lastRenderedPageBreak/>
        <w:t>Blut, M., &amp; Wang, C. (2020). Technology readiness: A meta</w:t>
      </w:r>
      <w:r w:rsidRPr="007A71C9">
        <w:noBreakHyphen/>
        <w:t xml:space="preserve">analysis of conceptualizations of the construct and its impact on technology usage. </w:t>
      </w:r>
      <w:r w:rsidRPr="00D648F9">
        <w:rPr>
          <w:i/>
          <w:iCs/>
        </w:rPr>
        <w:t>Journal of the Academy of Marketing Science, 48</w:t>
      </w:r>
      <w:r w:rsidRPr="007A71C9">
        <w:t xml:space="preserve">(4), 649–669. https://doi.org/10.1007/s11747-019-00680-8 </w:t>
      </w:r>
    </w:p>
    <w:p w14:paraId="4C8E2D07" w14:textId="77777777" w:rsidR="00D648F9" w:rsidRPr="007A71C9" w:rsidRDefault="00D648F9" w:rsidP="00FA17B1">
      <w:pPr>
        <w:pStyle w:val="ListParagraph"/>
        <w:numPr>
          <w:ilvl w:val="0"/>
          <w:numId w:val="7"/>
        </w:numPr>
        <w:spacing w:line="240" w:lineRule="auto"/>
        <w:jc w:val="both"/>
      </w:pPr>
      <w:r w:rsidRPr="007A71C9">
        <w:t xml:space="preserve">Central Bank of Kenya (CBK). (2025a). </w:t>
      </w:r>
      <w:r w:rsidRPr="00D648F9">
        <w:rPr>
          <w:i/>
          <w:iCs/>
        </w:rPr>
        <w:t>Financial Sector Stability Report 2024</w:t>
      </w:r>
      <w:r w:rsidRPr="007A71C9">
        <w:t xml:space="preserve">. Central Bank of Kenya. (Tables 13 &amp; 14; pp. 89–90). </w:t>
      </w:r>
    </w:p>
    <w:p w14:paraId="05625172" w14:textId="77777777" w:rsidR="00D648F9" w:rsidRPr="00D648F9" w:rsidRDefault="00D648F9" w:rsidP="00FA17B1">
      <w:pPr>
        <w:pStyle w:val="ListParagraph"/>
        <w:numPr>
          <w:ilvl w:val="0"/>
          <w:numId w:val="7"/>
        </w:numPr>
        <w:spacing w:line="240" w:lineRule="auto"/>
        <w:jc w:val="both"/>
      </w:pPr>
      <w:r w:rsidRPr="00D648F9">
        <w:t xml:space="preserve">Central Bank of Kenya. (2021). </w:t>
      </w:r>
      <w:r w:rsidRPr="00D648F9">
        <w:rPr>
          <w:i/>
          <w:iCs/>
        </w:rPr>
        <w:t>Bank supervision annual report 2020</w:t>
      </w:r>
      <w:r w:rsidRPr="00D648F9">
        <w:t>. Central Bank of Kenya. (Original work about 2020 banking year).</w:t>
      </w:r>
    </w:p>
    <w:p w14:paraId="27DB251C" w14:textId="77777777" w:rsidR="00D648F9" w:rsidRPr="007A71C9" w:rsidRDefault="00D648F9" w:rsidP="00FA17B1">
      <w:pPr>
        <w:pStyle w:val="ListParagraph"/>
        <w:numPr>
          <w:ilvl w:val="0"/>
          <w:numId w:val="7"/>
        </w:numPr>
        <w:spacing w:line="240" w:lineRule="auto"/>
        <w:jc w:val="both"/>
      </w:pPr>
      <w:r w:rsidRPr="007A71C9">
        <w:t>Communications Authority of Kenya (CA) / KE</w:t>
      </w:r>
      <w:r w:rsidRPr="007A71C9">
        <w:noBreakHyphen/>
        <w:t xml:space="preserve">CIRT/CC. (2024). </w:t>
      </w:r>
      <w:r w:rsidRPr="00D648F9">
        <w:rPr>
          <w:i/>
          <w:iCs/>
        </w:rPr>
        <w:t>Q4 2023/24 Cyber Security Report</w:t>
      </w:r>
      <w:r w:rsidRPr="007A71C9">
        <w:t xml:space="preserve">. Nairobi: CAK. </w:t>
      </w:r>
    </w:p>
    <w:p w14:paraId="1D2B5A79" w14:textId="77777777" w:rsidR="00D648F9" w:rsidRPr="00C36643" w:rsidRDefault="00D648F9" w:rsidP="00FA17B1">
      <w:pPr>
        <w:pStyle w:val="ListParagraph"/>
        <w:numPr>
          <w:ilvl w:val="0"/>
          <w:numId w:val="7"/>
        </w:numPr>
        <w:spacing w:line="240" w:lineRule="auto"/>
        <w:jc w:val="both"/>
      </w:pPr>
      <w:r w:rsidRPr="00C36643">
        <w:t xml:space="preserve">COSO. (2013). </w:t>
      </w:r>
      <w:r w:rsidRPr="00D648F9">
        <w:rPr>
          <w:i/>
          <w:iCs/>
        </w:rPr>
        <w:t>Internal control—Integrated framework</w:t>
      </w:r>
      <w:r w:rsidRPr="00C36643">
        <w:t>. Committee of Sponsoring Organizations of the Treadway Commission.</w:t>
      </w:r>
    </w:p>
    <w:p w14:paraId="233A8962" w14:textId="77777777" w:rsidR="00D648F9" w:rsidRPr="00C36643" w:rsidRDefault="00D648F9" w:rsidP="00FA17B1">
      <w:pPr>
        <w:pStyle w:val="ListParagraph"/>
        <w:numPr>
          <w:ilvl w:val="0"/>
          <w:numId w:val="7"/>
        </w:numPr>
        <w:spacing w:line="240" w:lineRule="auto"/>
        <w:jc w:val="both"/>
      </w:pPr>
      <w:r w:rsidRPr="00C36643">
        <w:t xml:space="preserve">Cressey, D. R. (1953). </w:t>
      </w:r>
      <w:r w:rsidRPr="00D648F9">
        <w:rPr>
          <w:i/>
          <w:iCs/>
        </w:rPr>
        <w:t>Other people’s money: A study in the social psychology of embezzlement</w:t>
      </w:r>
      <w:r w:rsidRPr="00C36643">
        <w:t>. Free Press.</w:t>
      </w:r>
    </w:p>
    <w:p w14:paraId="17B53BA3" w14:textId="77777777" w:rsidR="00D648F9" w:rsidRPr="00D648F9" w:rsidRDefault="00D648F9" w:rsidP="00FA17B1">
      <w:pPr>
        <w:pStyle w:val="ListParagraph"/>
        <w:numPr>
          <w:ilvl w:val="0"/>
          <w:numId w:val="7"/>
        </w:numPr>
        <w:spacing w:line="240" w:lineRule="auto"/>
        <w:jc w:val="both"/>
      </w:pPr>
      <w:proofErr w:type="spellStart"/>
      <w:r w:rsidRPr="00D648F9">
        <w:t>Damerji</w:t>
      </w:r>
      <w:proofErr w:type="spellEnd"/>
      <w:r w:rsidRPr="00D648F9">
        <w:t xml:space="preserve">, H., &amp; Salimi, A. (2021). Mediating effect of use perceptions on technology readiness and adoption of artificial intelligence in accounting. </w:t>
      </w:r>
      <w:r w:rsidRPr="00D648F9">
        <w:rPr>
          <w:i/>
          <w:iCs/>
        </w:rPr>
        <w:t>Accounting Education, 30</w:t>
      </w:r>
      <w:r w:rsidRPr="00D648F9">
        <w:t>(2), 107–130. https://doi.org/10.1080/09639284.2021.1872035</w:t>
      </w:r>
    </w:p>
    <w:p w14:paraId="1EBD9730" w14:textId="77777777" w:rsidR="00D648F9" w:rsidRPr="00C36643" w:rsidRDefault="00D648F9" w:rsidP="00FA17B1">
      <w:pPr>
        <w:pStyle w:val="ListParagraph"/>
        <w:numPr>
          <w:ilvl w:val="0"/>
          <w:numId w:val="7"/>
        </w:numPr>
        <w:spacing w:line="240" w:lineRule="auto"/>
        <w:jc w:val="both"/>
      </w:pPr>
      <w:r w:rsidRPr="00C36643">
        <w:t xml:space="preserve">Eisenhardt, K. M. (1989). Agency theory: An assessment and review. </w:t>
      </w:r>
      <w:r w:rsidRPr="00D648F9">
        <w:rPr>
          <w:i/>
          <w:iCs/>
        </w:rPr>
        <w:t>Academy of Management Review, 14</w:t>
      </w:r>
      <w:r w:rsidRPr="00C36643">
        <w:t>(1), 57–74.</w:t>
      </w:r>
    </w:p>
    <w:p w14:paraId="6A5DBE0A" w14:textId="77777777" w:rsidR="00D648F9" w:rsidRPr="007A71C9" w:rsidRDefault="00D648F9" w:rsidP="00FA17B1">
      <w:pPr>
        <w:pStyle w:val="ListParagraph"/>
        <w:numPr>
          <w:ilvl w:val="0"/>
          <w:numId w:val="7"/>
        </w:numPr>
        <w:spacing w:line="240" w:lineRule="auto"/>
        <w:jc w:val="both"/>
      </w:pPr>
      <w:proofErr w:type="spellStart"/>
      <w:r w:rsidRPr="007A71C9">
        <w:t>Godoe</w:t>
      </w:r>
      <w:proofErr w:type="spellEnd"/>
      <w:r w:rsidRPr="007A71C9">
        <w:t xml:space="preserve">, P., &amp; Johansen, T. S. (2012). Understanding adoption of new technologies: Technology readiness and technology acceptance as an integrated concept. </w:t>
      </w:r>
      <w:r w:rsidRPr="00D648F9">
        <w:rPr>
          <w:i/>
          <w:iCs/>
        </w:rPr>
        <w:t>Journal of European Psychology Students, 3</w:t>
      </w:r>
      <w:r w:rsidRPr="007A71C9">
        <w:t xml:space="preserve">(1), 38–52. </w:t>
      </w:r>
    </w:p>
    <w:p w14:paraId="0CD5A656" w14:textId="77777777" w:rsidR="00D648F9" w:rsidRPr="007A71C9" w:rsidRDefault="00D648F9" w:rsidP="00FA17B1">
      <w:pPr>
        <w:pStyle w:val="ListParagraph"/>
        <w:numPr>
          <w:ilvl w:val="0"/>
          <w:numId w:val="7"/>
        </w:numPr>
        <w:spacing w:line="240" w:lineRule="auto"/>
        <w:jc w:val="both"/>
      </w:pPr>
      <w:r w:rsidRPr="007A71C9">
        <w:t xml:space="preserve">GSMA. (2024a). </w:t>
      </w:r>
      <w:r w:rsidRPr="00D648F9">
        <w:rPr>
          <w:i/>
          <w:iCs/>
        </w:rPr>
        <w:t>Mobile money fraud typologies and mitigation strategies</w:t>
      </w:r>
      <w:r w:rsidRPr="007A71C9">
        <w:t xml:space="preserve">. GSMA. </w:t>
      </w:r>
    </w:p>
    <w:p w14:paraId="7B5AF619" w14:textId="77777777" w:rsidR="00D648F9" w:rsidRPr="007A71C9" w:rsidRDefault="00D648F9" w:rsidP="00FA17B1">
      <w:pPr>
        <w:pStyle w:val="ListParagraph"/>
        <w:numPr>
          <w:ilvl w:val="0"/>
          <w:numId w:val="7"/>
        </w:numPr>
        <w:spacing w:line="240" w:lineRule="auto"/>
        <w:jc w:val="both"/>
      </w:pPr>
      <w:r w:rsidRPr="007A71C9">
        <w:t xml:space="preserve">GSMA. (2025). </w:t>
      </w:r>
      <w:r w:rsidRPr="00D648F9">
        <w:rPr>
          <w:i/>
          <w:iCs/>
        </w:rPr>
        <w:t>Fraud and scams: Safety report</w:t>
      </w:r>
      <w:r w:rsidRPr="007A71C9">
        <w:t xml:space="preserve">. GSMA. </w:t>
      </w:r>
    </w:p>
    <w:p w14:paraId="6BA01A82" w14:textId="77777777" w:rsidR="00D648F9" w:rsidRPr="00D648F9" w:rsidRDefault="00D648F9" w:rsidP="00FA17B1">
      <w:pPr>
        <w:pStyle w:val="ListParagraph"/>
        <w:numPr>
          <w:ilvl w:val="0"/>
          <w:numId w:val="7"/>
        </w:numPr>
        <w:spacing w:line="240" w:lineRule="auto"/>
        <w:jc w:val="both"/>
      </w:pPr>
      <w:proofErr w:type="spellStart"/>
      <w:r w:rsidRPr="00D648F9">
        <w:t>Halbouni</w:t>
      </w:r>
      <w:proofErr w:type="spellEnd"/>
      <w:r w:rsidRPr="00D648F9">
        <w:t xml:space="preserve">, S. S., Obeid, N., &amp; </w:t>
      </w:r>
      <w:proofErr w:type="spellStart"/>
      <w:r w:rsidRPr="00D648F9">
        <w:t>Garbou</w:t>
      </w:r>
      <w:proofErr w:type="spellEnd"/>
      <w:r w:rsidRPr="00D648F9">
        <w:t xml:space="preserve">, A. (2016). Corporate governance and information technology in fraud prevention and detection: Evidence from the UAE. </w:t>
      </w:r>
      <w:r w:rsidRPr="00D648F9">
        <w:rPr>
          <w:i/>
          <w:iCs/>
        </w:rPr>
        <w:t>Managerial Auditing Journal, 31</w:t>
      </w:r>
      <w:r w:rsidRPr="00D648F9">
        <w:t>(6/7), 589–628. https://doi.org/10.1108/MAJ-02-2015-1163</w:t>
      </w:r>
    </w:p>
    <w:p w14:paraId="7825F020" w14:textId="77777777" w:rsidR="00D648F9" w:rsidRPr="00D648F9" w:rsidRDefault="00D648F9" w:rsidP="00FA17B1">
      <w:pPr>
        <w:pStyle w:val="ListParagraph"/>
        <w:numPr>
          <w:ilvl w:val="0"/>
          <w:numId w:val="7"/>
        </w:numPr>
        <w:spacing w:line="240" w:lineRule="auto"/>
        <w:jc w:val="both"/>
      </w:pPr>
      <w:r w:rsidRPr="00D648F9">
        <w:t xml:space="preserve">Hassan, S. W. U., Kiran, S., Gul, S., </w:t>
      </w:r>
      <w:proofErr w:type="spellStart"/>
      <w:r w:rsidRPr="00D648F9">
        <w:t>Khatatbeh</w:t>
      </w:r>
      <w:proofErr w:type="spellEnd"/>
      <w:r w:rsidRPr="00D648F9">
        <w:t xml:space="preserve">, I. N., &amp; Zainab, B. (2025). The perception of accountants/auditors on the role of corporate governance and information technology in fraud detection and prevention. </w:t>
      </w:r>
      <w:r w:rsidRPr="00D648F9">
        <w:rPr>
          <w:i/>
          <w:iCs/>
        </w:rPr>
        <w:t>Journal of Financial Reporting and Accounting, 23</w:t>
      </w:r>
      <w:r w:rsidRPr="00D648F9">
        <w:t>(1), 5–29. https://doi.org/10.1108/JFRA-05-2023-0235</w:t>
      </w:r>
    </w:p>
    <w:p w14:paraId="6279E20D" w14:textId="77777777" w:rsidR="00D648F9" w:rsidRPr="00C36643" w:rsidRDefault="00D648F9" w:rsidP="00FA17B1">
      <w:pPr>
        <w:pStyle w:val="ListParagraph"/>
        <w:numPr>
          <w:ilvl w:val="0"/>
          <w:numId w:val="7"/>
        </w:numPr>
        <w:spacing w:line="240" w:lineRule="auto"/>
        <w:jc w:val="both"/>
      </w:pPr>
      <w:proofErr w:type="spellStart"/>
      <w:r w:rsidRPr="00C36643">
        <w:t>Ifinedo</w:t>
      </w:r>
      <w:proofErr w:type="spellEnd"/>
      <w:r w:rsidRPr="00C36643">
        <w:t xml:space="preserve">, P. (2012). Understanding information systems security policy compliance. </w:t>
      </w:r>
      <w:r w:rsidRPr="00D648F9">
        <w:rPr>
          <w:i/>
          <w:iCs/>
        </w:rPr>
        <w:t>Computers &amp; Security, 31</w:t>
      </w:r>
      <w:r w:rsidRPr="00C36643">
        <w:t>(1), 83–95.</w:t>
      </w:r>
    </w:p>
    <w:p w14:paraId="78E1F23F" w14:textId="77777777" w:rsidR="00D648F9" w:rsidRPr="007A71C9" w:rsidRDefault="00D648F9" w:rsidP="00FA17B1">
      <w:pPr>
        <w:pStyle w:val="ListParagraph"/>
        <w:numPr>
          <w:ilvl w:val="0"/>
          <w:numId w:val="7"/>
        </w:numPr>
        <w:spacing w:line="240" w:lineRule="auto"/>
        <w:jc w:val="both"/>
      </w:pPr>
      <w:r w:rsidRPr="007A71C9">
        <w:t xml:space="preserve">INTERPOL. (2024a). </w:t>
      </w:r>
      <w:r w:rsidRPr="00D648F9">
        <w:rPr>
          <w:i/>
          <w:iCs/>
        </w:rPr>
        <w:t>Global Financial Fraud Assessment: A global threat boosted by technology</w:t>
      </w:r>
      <w:r w:rsidRPr="007A71C9">
        <w:t xml:space="preserve">. INTERPOL. </w:t>
      </w:r>
    </w:p>
    <w:p w14:paraId="0F175FD0" w14:textId="77777777" w:rsidR="00D648F9" w:rsidRPr="007A71C9" w:rsidRDefault="00D648F9" w:rsidP="00FA17B1">
      <w:pPr>
        <w:pStyle w:val="ListParagraph"/>
        <w:numPr>
          <w:ilvl w:val="0"/>
          <w:numId w:val="7"/>
        </w:numPr>
        <w:spacing w:line="240" w:lineRule="auto"/>
        <w:jc w:val="both"/>
      </w:pPr>
      <w:r w:rsidRPr="007A71C9">
        <w:t xml:space="preserve">INTERPOL. (2024b, March 11). </w:t>
      </w:r>
      <w:r w:rsidRPr="00D648F9">
        <w:rPr>
          <w:i/>
          <w:iCs/>
        </w:rPr>
        <w:t>Financial fraud assessment: A global threat boosted by technology</w:t>
      </w:r>
      <w:r w:rsidRPr="007A71C9">
        <w:t xml:space="preserve">. News release. </w:t>
      </w:r>
    </w:p>
    <w:p w14:paraId="0EC36B08" w14:textId="77777777" w:rsidR="00D648F9" w:rsidRPr="00C36643" w:rsidRDefault="00D648F9" w:rsidP="00FA17B1">
      <w:pPr>
        <w:pStyle w:val="ListParagraph"/>
        <w:numPr>
          <w:ilvl w:val="0"/>
          <w:numId w:val="7"/>
        </w:numPr>
        <w:spacing w:line="240" w:lineRule="auto"/>
        <w:jc w:val="both"/>
      </w:pPr>
      <w:r w:rsidRPr="00C36643">
        <w:t xml:space="preserve">Jensen, M. C., &amp; Meckling, W. H. (1976). Theory of the firm. </w:t>
      </w:r>
      <w:r w:rsidRPr="00D648F9">
        <w:rPr>
          <w:i/>
          <w:iCs/>
        </w:rPr>
        <w:t>Journal of Financial Economics, 3</w:t>
      </w:r>
      <w:r w:rsidRPr="00C36643">
        <w:t>(4), 305–360.</w:t>
      </w:r>
    </w:p>
    <w:p w14:paraId="79EDDBC8" w14:textId="77777777" w:rsidR="00D648F9" w:rsidRPr="00C36643" w:rsidRDefault="00D648F9" w:rsidP="00FA17B1">
      <w:pPr>
        <w:pStyle w:val="ListParagraph"/>
        <w:numPr>
          <w:ilvl w:val="0"/>
          <w:numId w:val="7"/>
        </w:numPr>
        <w:spacing w:line="240" w:lineRule="auto"/>
        <w:jc w:val="both"/>
      </w:pPr>
      <w:r w:rsidRPr="00C36643">
        <w:t xml:space="preserve">Johnston, A. C., &amp; Warkentin, M. (2010). Fear appeals and information security behaviors. </w:t>
      </w:r>
      <w:r w:rsidRPr="00D648F9">
        <w:rPr>
          <w:i/>
          <w:iCs/>
        </w:rPr>
        <w:t>MIS Quarterly, 34</w:t>
      </w:r>
      <w:r w:rsidRPr="00C36643">
        <w:t>(3), 549–566.</w:t>
      </w:r>
    </w:p>
    <w:p w14:paraId="35158B9B" w14:textId="77777777" w:rsidR="00D648F9" w:rsidRPr="007A71C9" w:rsidRDefault="00D648F9" w:rsidP="00FA17B1">
      <w:pPr>
        <w:pStyle w:val="ListParagraph"/>
        <w:numPr>
          <w:ilvl w:val="0"/>
          <w:numId w:val="7"/>
        </w:numPr>
        <w:spacing w:line="240" w:lineRule="auto"/>
        <w:jc w:val="both"/>
      </w:pPr>
      <w:r w:rsidRPr="007A71C9">
        <w:t xml:space="preserve">Kenya Bankers Association (KBA). (2024). </w:t>
      </w:r>
      <w:r w:rsidRPr="00D648F9">
        <w:rPr>
          <w:i/>
          <w:iCs/>
        </w:rPr>
        <w:t>State of the Banking Industry Report 2024</w:t>
      </w:r>
      <w:r w:rsidRPr="007A71C9">
        <w:t xml:space="preserve">. KBA Centre for Research on Financial Markets &amp; Policy. </w:t>
      </w:r>
    </w:p>
    <w:p w14:paraId="1BF13304" w14:textId="77777777" w:rsidR="00D648F9" w:rsidRPr="007A71C9" w:rsidRDefault="00D648F9" w:rsidP="00FA17B1">
      <w:pPr>
        <w:pStyle w:val="ListParagraph"/>
        <w:numPr>
          <w:ilvl w:val="0"/>
          <w:numId w:val="7"/>
        </w:numPr>
        <w:spacing w:line="240" w:lineRule="auto"/>
        <w:jc w:val="both"/>
      </w:pPr>
      <w:r w:rsidRPr="007A71C9">
        <w:t xml:space="preserve">Liljander, V., Gillberg, F., </w:t>
      </w:r>
      <w:proofErr w:type="spellStart"/>
      <w:r w:rsidRPr="007A71C9">
        <w:t>Gummerus</w:t>
      </w:r>
      <w:proofErr w:type="spellEnd"/>
      <w:r w:rsidRPr="007A71C9">
        <w:t>, J., &amp; van Riel, A. (2006). Technology readiness and the evaluation and adoption of self</w:t>
      </w:r>
      <w:r w:rsidRPr="007A71C9">
        <w:noBreakHyphen/>
        <w:t xml:space="preserve">service technologies. </w:t>
      </w:r>
      <w:r w:rsidRPr="00D648F9">
        <w:rPr>
          <w:i/>
          <w:iCs/>
        </w:rPr>
        <w:t>Journal of Retailing and Consumer Services, 13</w:t>
      </w:r>
      <w:r w:rsidRPr="007A71C9">
        <w:t xml:space="preserve">(3), 177–191. </w:t>
      </w:r>
    </w:p>
    <w:p w14:paraId="78C81DF5" w14:textId="77777777" w:rsidR="00D648F9" w:rsidRPr="007A71C9" w:rsidRDefault="00D648F9" w:rsidP="00FA17B1">
      <w:pPr>
        <w:pStyle w:val="ListParagraph"/>
        <w:numPr>
          <w:ilvl w:val="0"/>
          <w:numId w:val="7"/>
        </w:numPr>
        <w:spacing w:line="240" w:lineRule="auto"/>
        <w:jc w:val="both"/>
      </w:pPr>
      <w:r w:rsidRPr="007A71C9">
        <w:lastRenderedPageBreak/>
        <w:t>Lin, J.</w:t>
      </w:r>
      <w:r w:rsidRPr="007A71C9">
        <w:noBreakHyphen/>
        <w:t>S. C., &amp; Hsieh, P.</w:t>
      </w:r>
      <w:r w:rsidRPr="007A71C9">
        <w:noBreakHyphen/>
        <w:t>L. (2006). The role of technology readiness in customers’ perception and adoption of self</w:t>
      </w:r>
      <w:r w:rsidRPr="007A71C9">
        <w:noBreakHyphen/>
        <w:t xml:space="preserve">service technologies. </w:t>
      </w:r>
      <w:r w:rsidRPr="00D648F9">
        <w:rPr>
          <w:i/>
          <w:iCs/>
        </w:rPr>
        <w:t>International Journal of Service Industry Management, 17</w:t>
      </w:r>
      <w:r w:rsidRPr="007A71C9">
        <w:t xml:space="preserve">(5), 497–517. </w:t>
      </w:r>
    </w:p>
    <w:p w14:paraId="110FD770" w14:textId="77777777" w:rsidR="00D648F9" w:rsidRPr="00D648F9" w:rsidRDefault="00D648F9" w:rsidP="00FA17B1">
      <w:pPr>
        <w:pStyle w:val="ListParagraph"/>
        <w:numPr>
          <w:ilvl w:val="0"/>
          <w:numId w:val="7"/>
        </w:numPr>
        <w:spacing w:line="240" w:lineRule="auto"/>
        <w:jc w:val="both"/>
      </w:pPr>
      <w:r w:rsidRPr="00D648F9">
        <w:t xml:space="preserve">Lugli, E., &amp; </w:t>
      </w:r>
      <w:proofErr w:type="spellStart"/>
      <w:r w:rsidRPr="00D648F9">
        <w:t>Bertacchini</w:t>
      </w:r>
      <w:proofErr w:type="spellEnd"/>
      <w:r w:rsidRPr="00D648F9">
        <w:t xml:space="preserve">, F. (2023). Audit quality and digitalization: Some insights from the Italian context. </w:t>
      </w:r>
      <w:proofErr w:type="spellStart"/>
      <w:r w:rsidRPr="00D648F9">
        <w:rPr>
          <w:i/>
          <w:iCs/>
        </w:rPr>
        <w:t>Meditari</w:t>
      </w:r>
      <w:proofErr w:type="spellEnd"/>
      <w:r w:rsidRPr="00D648F9">
        <w:rPr>
          <w:i/>
          <w:iCs/>
        </w:rPr>
        <w:t xml:space="preserve"> Accountancy Research, 31</w:t>
      </w:r>
      <w:r w:rsidRPr="00D648F9">
        <w:t>(4), 841–860. https://doi.org/10.1108/MEDAR-08-2021-1399</w:t>
      </w:r>
    </w:p>
    <w:p w14:paraId="27C89CA3" w14:textId="77777777" w:rsidR="00D648F9" w:rsidRPr="007A71C9" w:rsidRDefault="00D648F9" w:rsidP="00FA17B1">
      <w:pPr>
        <w:pStyle w:val="ListParagraph"/>
        <w:numPr>
          <w:ilvl w:val="0"/>
          <w:numId w:val="7"/>
        </w:numPr>
        <w:spacing w:line="240" w:lineRule="auto"/>
        <w:jc w:val="both"/>
      </w:pPr>
      <w:r w:rsidRPr="007A71C9">
        <w:t xml:space="preserve">McKinsey &amp; Company. (2022, October 7). </w:t>
      </w:r>
      <w:r w:rsidRPr="00D648F9">
        <w:rPr>
          <w:i/>
          <w:iCs/>
        </w:rPr>
        <w:t>The fight against money laundering: Machine learning is a game changer</w:t>
      </w:r>
      <w:r w:rsidRPr="007A71C9">
        <w:t xml:space="preserve">. </w:t>
      </w:r>
    </w:p>
    <w:p w14:paraId="562DCE7D" w14:textId="77777777" w:rsidR="00D648F9" w:rsidRPr="004316AF" w:rsidRDefault="00D648F9" w:rsidP="00FA17B1">
      <w:pPr>
        <w:pStyle w:val="ListParagraph"/>
        <w:numPr>
          <w:ilvl w:val="0"/>
          <w:numId w:val="7"/>
        </w:numPr>
        <w:spacing w:line="240" w:lineRule="auto"/>
        <w:jc w:val="both"/>
      </w:pPr>
      <w:r w:rsidRPr="004316AF">
        <w:t xml:space="preserve">McKinsey &amp; Company. (2025). </w:t>
      </w:r>
      <w:r w:rsidRPr="00D648F9">
        <w:rPr>
          <w:i/>
          <w:iCs/>
        </w:rPr>
        <w:t>How agentic AI can change the way banks fight financial crime</w:t>
      </w:r>
      <w:r w:rsidRPr="004316AF">
        <w:t>. McKinsey &amp; Company.</w:t>
      </w:r>
    </w:p>
    <w:p w14:paraId="365770DF" w14:textId="77777777" w:rsidR="00D648F9" w:rsidRPr="007A71C9" w:rsidRDefault="00D648F9" w:rsidP="00FA17B1">
      <w:pPr>
        <w:pStyle w:val="ListParagraph"/>
        <w:numPr>
          <w:ilvl w:val="0"/>
          <w:numId w:val="7"/>
        </w:numPr>
        <w:spacing w:line="240" w:lineRule="auto"/>
        <w:jc w:val="both"/>
      </w:pPr>
      <w:r w:rsidRPr="007A71C9">
        <w:t xml:space="preserve">McKinsey &amp; Company. (2025a). </w:t>
      </w:r>
      <w:r w:rsidRPr="00D648F9">
        <w:rPr>
          <w:i/>
          <w:iCs/>
        </w:rPr>
        <w:t>How agentic AI can change the way banks fight financial crime</w:t>
      </w:r>
      <w:r w:rsidRPr="007A71C9">
        <w:t xml:space="preserve">. </w:t>
      </w:r>
    </w:p>
    <w:p w14:paraId="5391DE39" w14:textId="77777777" w:rsidR="00D648F9" w:rsidRPr="007A71C9" w:rsidRDefault="00D648F9" w:rsidP="00FA17B1">
      <w:pPr>
        <w:pStyle w:val="ListParagraph"/>
        <w:numPr>
          <w:ilvl w:val="0"/>
          <w:numId w:val="7"/>
        </w:numPr>
        <w:spacing w:line="240" w:lineRule="auto"/>
        <w:jc w:val="both"/>
      </w:pPr>
      <w:r w:rsidRPr="007A71C9">
        <w:t xml:space="preserve">McKinsey &amp; Company. (2025b). </w:t>
      </w:r>
      <w:r w:rsidRPr="00D648F9">
        <w:rPr>
          <w:i/>
          <w:iCs/>
        </w:rPr>
        <w:t>Digital banking: Speed, scale, and the agentic arms race</w:t>
      </w:r>
      <w:r w:rsidRPr="007A71C9">
        <w:t xml:space="preserve">. </w:t>
      </w:r>
    </w:p>
    <w:p w14:paraId="1E0707ED" w14:textId="77777777" w:rsidR="00D648F9" w:rsidRPr="007A71C9" w:rsidRDefault="00D648F9" w:rsidP="00FA17B1">
      <w:pPr>
        <w:pStyle w:val="ListParagraph"/>
        <w:numPr>
          <w:ilvl w:val="0"/>
          <w:numId w:val="7"/>
        </w:numPr>
        <w:spacing w:line="240" w:lineRule="auto"/>
        <w:jc w:val="both"/>
      </w:pPr>
      <w:proofErr w:type="spellStart"/>
      <w:r w:rsidRPr="007A71C9">
        <w:t>Nairametrics</w:t>
      </w:r>
      <w:proofErr w:type="spellEnd"/>
      <w:r w:rsidRPr="007A71C9">
        <w:t xml:space="preserve">. (2025, February 26). Nigeria’s financial sector suffers ₦52.26 billion loss to fraud in 2024 — NIBSS report. </w:t>
      </w:r>
    </w:p>
    <w:p w14:paraId="0EC7D310" w14:textId="77777777" w:rsidR="00D648F9" w:rsidRPr="007A71C9" w:rsidRDefault="00D648F9" w:rsidP="00FA17B1">
      <w:pPr>
        <w:pStyle w:val="ListParagraph"/>
        <w:numPr>
          <w:ilvl w:val="0"/>
          <w:numId w:val="7"/>
        </w:numPr>
        <w:spacing w:line="240" w:lineRule="auto"/>
        <w:jc w:val="both"/>
      </w:pPr>
      <w:r w:rsidRPr="007A71C9">
        <w:t>Nigeria Inter</w:t>
      </w:r>
      <w:r w:rsidRPr="007A71C9">
        <w:noBreakHyphen/>
        <w:t xml:space="preserve">Bank Settlement System (NIBSS). (2024). </w:t>
      </w:r>
      <w:r w:rsidRPr="00D648F9">
        <w:rPr>
          <w:i/>
          <w:iCs/>
        </w:rPr>
        <w:t>2023 Annual Fraud Landscape</w:t>
      </w:r>
      <w:r w:rsidRPr="007A71C9">
        <w:t xml:space="preserve">. NIBSS. </w:t>
      </w:r>
    </w:p>
    <w:p w14:paraId="22F8B6A0" w14:textId="77777777" w:rsidR="00D648F9" w:rsidRPr="007A71C9" w:rsidRDefault="00D648F9" w:rsidP="00FA17B1">
      <w:pPr>
        <w:pStyle w:val="ListParagraph"/>
        <w:numPr>
          <w:ilvl w:val="0"/>
          <w:numId w:val="7"/>
        </w:numPr>
        <w:spacing w:line="240" w:lineRule="auto"/>
        <w:jc w:val="both"/>
      </w:pPr>
      <w:r w:rsidRPr="007A71C9">
        <w:t xml:space="preserve">Nilson Report. (2025a, January 6). </w:t>
      </w:r>
      <w:r w:rsidRPr="00D648F9">
        <w:rPr>
          <w:i/>
          <w:iCs/>
        </w:rPr>
        <w:t>Payment card fraud losses approach $34 billion</w:t>
      </w:r>
      <w:r w:rsidRPr="007A71C9">
        <w:t xml:space="preserve">. GlobeNewswire. </w:t>
      </w:r>
    </w:p>
    <w:p w14:paraId="3A82D93D" w14:textId="77777777" w:rsidR="00D648F9" w:rsidRPr="007A71C9" w:rsidRDefault="00D648F9" w:rsidP="00FA17B1">
      <w:pPr>
        <w:pStyle w:val="ListParagraph"/>
        <w:numPr>
          <w:ilvl w:val="0"/>
          <w:numId w:val="7"/>
        </w:numPr>
        <w:spacing w:line="240" w:lineRule="auto"/>
        <w:jc w:val="both"/>
      </w:pPr>
      <w:r w:rsidRPr="007A71C9">
        <w:t xml:space="preserve">Nilson Report. (2025b). </w:t>
      </w:r>
      <w:r w:rsidRPr="00D648F9">
        <w:rPr>
          <w:i/>
          <w:iCs/>
        </w:rPr>
        <w:t>Card fraud losses worldwide in 2023</w:t>
      </w:r>
      <w:r w:rsidRPr="007A71C9">
        <w:t xml:space="preserve">. NilsonReport.com. </w:t>
      </w:r>
    </w:p>
    <w:p w14:paraId="48D4CD14" w14:textId="77777777" w:rsidR="00D648F9" w:rsidRPr="00D648F9" w:rsidRDefault="00D648F9" w:rsidP="00FA17B1">
      <w:pPr>
        <w:pStyle w:val="ListParagraph"/>
        <w:numPr>
          <w:ilvl w:val="0"/>
          <w:numId w:val="7"/>
        </w:numPr>
        <w:spacing w:line="240" w:lineRule="auto"/>
        <w:jc w:val="both"/>
      </w:pPr>
      <w:r w:rsidRPr="00D648F9">
        <w:t>Othman, A. Q., Hamzah, M. I., &amp; Abu Hassan, N. R. (2020). Investigating self</w:t>
      </w:r>
      <w:r w:rsidRPr="00D648F9">
        <w:noBreakHyphen/>
        <w:t>service technology quality attributes of cash</w:t>
      </w:r>
      <w:r w:rsidRPr="00D648F9">
        <w:noBreakHyphen/>
        <w:t xml:space="preserve">recycling ATMs on customer satisfaction: The moderating effect of technological optimism. </w:t>
      </w:r>
      <w:r w:rsidRPr="00D648F9">
        <w:rPr>
          <w:i/>
          <w:iCs/>
        </w:rPr>
        <w:t>Journal of Enterprise Information Management, 33</w:t>
      </w:r>
      <w:r w:rsidRPr="00D648F9">
        <w:t>(3), 559–578. https://doi.org/10.1108/JEIM-09-2019-0295</w:t>
      </w:r>
    </w:p>
    <w:p w14:paraId="26CC62E4" w14:textId="77777777" w:rsidR="00D648F9" w:rsidRPr="007A71C9" w:rsidRDefault="00D648F9" w:rsidP="00FA17B1">
      <w:pPr>
        <w:pStyle w:val="ListParagraph"/>
        <w:numPr>
          <w:ilvl w:val="0"/>
          <w:numId w:val="7"/>
        </w:numPr>
        <w:spacing w:line="240" w:lineRule="auto"/>
        <w:jc w:val="both"/>
      </w:pPr>
      <w:r w:rsidRPr="007A71C9">
        <w:t>Parasuraman, A. (2000). Technology Readiness Index (TRI): A multiple</w:t>
      </w:r>
      <w:r w:rsidRPr="007A71C9">
        <w:noBreakHyphen/>
        <w:t xml:space="preserve">item scale to measure readiness to embrace new technologies. </w:t>
      </w:r>
      <w:r w:rsidRPr="00D648F9">
        <w:rPr>
          <w:i/>
          <w:iCs/>
        </w:rPr>
        <w:t>Journal of Service Research, 2</w:t>
      </w:r>
      <w:r w:rsidRPr="007A71C9">
        <w:t xml:space="preserve">(4), 307–320. </w:t>
      </w:r>
    </w:p>
    <w:p w14:paraId="6BA09A94" w14:textId="77777777" w:rsidR="00D648F9" w:rsidRPr="007A71C9" w:rsidRDefault="00D648F9" w:rsidP="00FA17B1">
      <w:pPr>
        <w:pStyle w:val="ListParagraph"/>
        <w:numPr>
          <w:ilvl w:val="0"/>
          <w:numId w:val="7"/>
        </w:numPr>
        <w:spacing w:line="240" w:lineRule="auto"/>
        <w:jc w:val="both"/>
      </w:pPr>
      <w:r w:rsidRPr="007A71C9">
        <w:t xml:space="preserve">Parasuraman, A., &amp; Colby, C. L. (2015). An updated and streamlined Technology Readiness Index: TRI 2.0. </w:t>
      </w:r>
      <w:r w:rsidRPr="00D648F9">
        <w:rPr>
          <w:i/>
          <w:iCs/>
        </w:rPr>
        <w:t>Journal of Service Research, 18</w:t>
      </w:r>
      <w:r w:rsidRPr="007A71C9">
        <w:t xml:space="preserve">(1), 59–74. </w:t>
      </w:r>
    </w:p>
    <w:p w14:paraId="27C8A666" w14:textId="77777777" w:rsidR="00D648F9" w:rsidRPr="007A71C9" w:rsidRDefault="00D648F9" w:rsidP="00FA17B1">
      <w:pPr>
        <w:pStyle w:val="ListParagraph"/>
        <w:numPr>
          <w:ilvl w:val="0"/>
          <w:numId w:val="7"/>
        </w:numPr>
        <w:spacing w:line="240" w:lineRule="auto"/>
        <w:jc w:val="both"/>
      </w:pPr>
      <w:r w:rsidRPr="007A71C9">
        <w:t xml:space="preserve">PwC. (2024). </w:t>
      </w:r>
      <w:r w:rsidRPr="00D648F9">
        <w:rPr>
          <w:i/>
          <w:iCs/>
        </w:rPr>
        <w:t>Global Economic Crime and Fraud Survey 2024</w:t>
      </w:r>
      <w:r w:rsidRPr="007A71C9">
        <w:t xml:space="preserve">. PricewaterhouseCoopers. </w:t>
      </w:r>
    </w:p>
    <w:p w14:paraId="57A4570B" w14:textId="77777777" w:rsidR="00D648F9" w:rsidRPr="00D648F9" w:rsidRDefault="00D648F9" w:rsidP="00FA17B1">
      <w:pPr>
        <w:pStyle w:val="ListParagraph"/>
        <w:numPr>
          <w:ilvl w:val="0"/>
          <w:numId w:val="7"/>
        </w:numPr>
        <w:spacing w:line="240" w:lineRule="auto"/>
        <w:jc w:val="both"/>
      </w:pPr>
      <w:r w:rsidRPr="00D648F9">
        <w:t xml:space="preserve">Rachman, N. D., &amp; </w:t>
      </w:r>
      <w:proofErr w:type="spellStart"/>
      <w:r w:rsidRPr="00D648F9">
        <w:t>Hendayani</w:t>
      </w:r>
      <w:proofErr w:type="spellEnd"/>
      <w:r w:rsidRPr="00D648F9">
        <w:t>, R. (2023). The effect of e</w:t>
      </w:r>
      <w:r w:rsidRPr="00D648F9">
        <w:noBreakHyphen/>
        <w:t xml:space="preserve">service quality on customer satisfaction of cash recycling ATM users with technological optimism as a moderating variable. </w:t>
      </w:r>
      <w:r w:rsidRPr="00D648F9">
        <w:rPr>
          <w:i/>
          <w:iCs/>
        </w:rPr>
        <w:t>International Journal of Economics, Business and Accounting Research, 7</w:t>
      </w:r>
      <w:r w:rsidRPr="00D648F9">
        <w:t>(2).</w:t>
      </w:r>
    </w:p>
    <w:p w14:paraId="56AC1F7B" w14:textId="77777777" w:rsidR="00D648F9" w:rsidRPr="007A71C9" w:rsidRDefault="00D648F9" w:rsidP="00FA17B1">
      <w:pPr>
        <w:pStyle w:val="ListParagraph"/>
        <w:numPr>
          <w:ilvl w:val="0"/>
          <w:numId w:val="7"/>
        </w:numPr>
        <w:spacing w:line="240" w:lineRule="auto"/>
        <w:jc w:val="both"/>
      </w:pPr>
      <w:r w:rsidRPr="007A71C9">
        <w:t>Raslan, R. (2023). Automatic suppression of false positive alerts in anti</w:t>
      </w:r>
      <w:r w:rsidRPr="007A71C9">
        <w:noBreakHyphen/>
        <w:t xml:space="preserve">money laundering. </w:t>
      </w:r>
      <w:r w:rsidRPr="00D648F9">
        <w:rPr>
          <w:i/>
          <w:iCs/>
        </w:rPr>
        <w:t>The Journal of Supercomputing, 79</w:t>
      </w:r>
      <w:r w:rsidRPr="007A71C9">
        <w:t xml:space="preserve">, 15360–15379. </w:t>
      </w:r>
    </w:p>
    <w:p w14:paraId="24408D66" w14:textId="77777777" w:rsidR="00D648F9" w:rsidRPr="007A71C9" w:rsidRDefault="00D648F9" w:rsidP="00FA17B1">
      <w:pPr>
        <w:pStyle w:val="ListParagraph"/>
        <w:numPr>
          <w:ilvl w:val="0"/>
          <w:numId w:val="7"/>
        </w:numPr>
        <w:spacing w:line="240" w:lineRule="auto"/>
        <w:jc w:val="both"/>
      </w:pPr>
      <w:r w:rsidRPr="007A71C9">
        <w:t xml:space="preserve">Reuters. (2025, May 27). Britain sees 12% spike in fraud cases as banks battle £1.6 billion epidemic. </w:t>
      </w:r>
    </w:p>
    <w:p w14:paraId="5B7D421E" w14:textId="77777777" w:rsidR="00D648F9" w:rsidRPr="00C36643" w:rsidRDefault="00D648F9" w:rsidP="00FA17B1">
      <w:pPr>
        <w:pStyle w:val="ListParagraph"/>
        <w:numPr>
          <w:ilvl w:val="0"/>
          <w:numId w:val="7"/>
        </w:numPr>
        <w:spacing w:line="240" w:lineRule="auto"/>
        <w:jc w:val="both"/>
      </w:pPr>
      <w:r w:rsidRPr="00C36643">
        <w:t xml:space="preserve">Rogers, R. W. (1975). A protection motivation theory of fear appeals and attitude change. </w:t>
      </w:r>
      <w:r w:rsidRPr="00D648F9">
        <w:rPr>
          <w:i/>
          <w:iCs/>
        </w:rPr>
        <w:t>Journal of Psychology, 91</w:t>
      </w:r>
      <w:r w:rsidRPr="00C36643">
        <w:t>, 93–114.</w:t>
      </w:r>
    </w:p>
    <w:p w14:paraId="6F5E5E59" w14:textId="77777777" w:rsidR="00D648F9" w:rsidRPr="00C36643" w:rsidRDefault="00D648F9" w:rsidP="00FA17B1">
      <w:pPr>
        <w:pStyle w:val="ListParagraph"/>
        <w:numPr>
          <w:ilvl w:val="0"/>
          <w:numId w:val="7"/>
        </w:numPr>
        <w:spacing w:line="240" w:lineRule="auto"/>
        <w:jc w:val="both"/>
      </w:pPr>
      <w:r w:rsidRPr="00C36643">
        <w:t xml:space="preserve">Rogers, R. W. (1983). Cognitive and physiological processes in fear appeals and attitude change. In J. Cacioppo &amp; R. Petty (Eds.), </w:t>
      </w:r>
      <w:r w:rsidRPr="00D648F9">
        <w:rPr>
          <w:i/>
          <w:iCs/>
        </w:rPr>
        <w:t>Social psychophysiology</w:t>
      </w:r>
      <w:r w:rsidRPr="00C36643">
        <w:t xml:space="preserve"> (pp. 153–176). Guilford.</w:t>
      </w:r>
    </w:p>
    <w:p w14:paraId="12567A4A" w14:textId="77777777" w:rsidR="00D648F9" w:rsidRPr="007A71C9" w:rsidRDefault="00D648F9" w:rsidP="00FA17B1">
      <w:pPr>
        <w:pStyle w:val="ListParagraph"/>
        <w:numPr>
          <w:ilvl w:val="0"/>
          <w:numId w:val="7"/>
        </w:numPr>
        <w:spacing w:line="240" w:lineRule="auto"/>
        <w:jc w:val="both"/>
      </w:pPr>
      <w:r w:rsidRPr="007A71C9">
        <w:t xml:space="preserve">SABRIC. (2024). </w:t>
      </w:r>
      <w:r w:rsidRPr="00D648F9">
        <w:rPr>
          <w:i/>
          <w:iCs/>
        </w:rPr>
        <w:t>Annual Crime Statistics 2023</w:t>
      </w:r>
      <w:r w:rsidRPr="007A71C9">
        <w:t xml:space="preserve">. South African Banking Risk Information Centre. </w:t>
      </w:r>
    </w:p>
    <w:p w14:paraId="1A9E2966" w14:textId="77777777" w:rsidR="00D648F9" w:rsidRPr="00D648F9" w:rsidRDefault="00D648F9" w:rsidP="00FA17B1">
      <w:pPr>
        <w:pStyle w:val="ListParagraph"/>
        <w:numPr>
          <w:ilvl w:val="0"/>
          <w:numId w:val="7"/>
        </w:numPr>
        <w:spacing w:line="240" w:lineRule="auto"/>
        <w:jc w:val="both"/>
      </w:pPr>
      <w:proofErr w:type="spellStart"/>
      <w:r w:rsidRPr="00D648F9">
        <w:lastRenderedPageBreak/>
        <w:t>Shuhidan</w:t>
      </w:r>
      <w:proofErr w:type="spellEnd"/>
      <w:r w:rsidRPr="00D648F9">
        <w:t xml:space="preserve">, S. M., Awang, Y., Taib, A., Rashid, N., &amp; Hasan, M. S. (2023). Technology readiness among future accountants towards digitalization of the accounting profession. </w:t>
      </w:r>
      <w:r w:rsidRPr="00D648F9">
        <w:rPr>
          <w:i/>
          <w:iCs/>
        </w:rPr>
        <w:t>International Journal of Supply Chain and Advanced Management, 7</w:t>
      </w:r>
      <w:r w:rsidRPr="00D648F9">
        <w:t>(S1), 1–12.</w:t>
      </w:r>
    </w:p>
    <w:p w14:paraId="40A6F097" w14:textId="77777777" w:rsidR="00D648F9" w:rsidRPr="00D648F9" w:rsidRDefault="00D648F9" w:rsidP="00FA17B1">
      <w:pPr>
        <w:pStyle w:val="ListParagraph"/>
        <w:numPr>
          <w:ilvl w:val="0"/>
          <w:numId w:val="7"/>
        </w:numPr>
        <w:spacing w:line="240" w:lineRule="auto"/>
        <w:jc w:val="both"/>
      </w:pPr>
      <w:r w:rsidRPr="00D648F9">
        <w:t xml:space="preserve">Susanto, H., </w:t>
      </w:r>
      <w:proofErr w:type="spellStart"/>
      <w:r w:rsidRPr="00D648F9">
        <w:t>Pramono</w:t>
      </w:r>
      <w:proofErr w:type="spellEnd"/>
      <w:r w:rsidRPr="00D648F9">
        <w:t xml:space="preserve">, A. J., Akbar, B., &amp; </w:t>
      </w:r>
      <w:proofErr w:type="spellStart"/>
      <w:r w:rsidRPr="00D648F9">
        <w:t>Suwarno</w:t>
      </w:r>
      <w:proofErr w:type="spellEnd"/>
      <w:r w:rsidRPr="00D648F9">
        <w:t xml:space="preserve">, S. (2023). The adoption and readiness of digital technologies among auditors in public accounting firms: A structural equation modeling analysis. </w:t>
      </w:r>
      <w:r w:rsidRPr="00D648F9">
        <w:rPr>
          <w:i/>
          <w:iCs/>
        </w:rPr>
        <w:t>Research Horizon, 3</w:t>
      </w:r>
      <w:r w:rsidRPr="00D648F9">
        <w:t>(2), 71–85.</w:t>
      </w:r>
    </w:p>
    <w:p w14:paraId="5F68B615" w14:textId="77777777" w:rsidR="00D648F9" w:rsidRPr="007A71C9" w:rsidRDefault="00D648F9" w:rsidP="00FA17B1">
      <w:pPr>
        <w:pStyle w:val="ListParagraph"/>
        <w:numPr>
          <w:ilvl w:val="0"/>
          <w:numId w:val="7"/>
        </w:numPr>
        <w:spacing w:line="240" w:lineRule="auto"/>
        <w:jc w:val="both"/>
      </w:pPr>
      <w:r w:rsidRPr="007A71C9">
        <w:t xml:space="preserve">TransUnion Africa. (2024a). </w:t>
      </w:r>
      <w:r w:rsidRPr="00D648F9">
        <w:rPr>
          <w:i/>
          <w:iCs/>
        </w:rPr>
        <w:t>Kenya: 2024 State of Omnichannel Fraud Report</w:t>
      </w:r>
      <w:r w:rsidRPr="007A71C9">
        <w:t xml:space="preserve">. </w:t>
      </w:r>
    </w:p>
    <w:p w14:paraId="4F1E2CAE" w14:textId="77777777" w:rsidR="00D648F9" w:rsidRPr="007A71C9" w:rsidRDefault="00D648F9" w:rsidP="00FA17B1">
      <w:pPr>
        <w:pStyle w:val="ListParagraph"/>
        <w:numPr>
          <w:ilvl w:val="0"/>
          <w:numId w:val="7"/>
        </w:numPr>
        <w:spacing w:line="240" w:lineRule="auto"/>
        <w:jc w:val="both"/>
      </w:pPr>
      <w:r w:rsidRPr="007A71C9">
        <w:t xml:space="preserve">TransUnion Africa. (2024b). </w:t>
      </w:r>
      <w:r w:rsidRPr="00D648F9">
        <w:rPr>
          <w:i/>
          <w:iCs/>
        </w:rPr>
        <w:t>Kenya: H2 2024 State of Omnichannel Fraud Report (update)</w:t>
      </w:r>
      <w:r w:rsidRPr="007A71C9">
        <w:t xml:space="preserve">. </w:t>
      </w:r>
    </w:p>
    <w:p w14:paraId="53A4DC03" w14:textId="77777777" w:rsidR="00D648F9" w:rsidRPr="007A71C9" w:rsidRDefault="00D648F9" w:rsidP="00FA17B1">
      <w:pPr>
        <w:pStyle w:val="ListParagraph"/>
        <w:numPr>
          <w:ilvl w:val="0"/>
          <w:numId w:val="7"/>
        </w:numPr>
        <w:spacing w:line="240" w:lineRule="auto"/>
        <w:jc w:val="both"/>
      </w:pPr>
      <w:r w:rsidRPr="007A71C9">
        <w:t xml:space="preserve">UK Finance. (2024). </w:t>
      </w:r>
      <w:r w:rsidRPr="00D648F9">
        <w:rPr>
          <w:i/>
          <w:iCs/>
        </w:rPr>
        <w:t>Annual Fraud Report 2024</w:t>
      </w:r>
      <w:r w:rsidRPr="007A71C9">
        <w:t xml:space="preserve">. UK Finance. </w:t>
      </w:r>
    </w:p>
    <w:p w14:paraId="76993FE5" w14:textId="77777777" w:rsidR="00D648F9" w:rsidRDefault="00D648F9" w:rsidP="00FA17B1">
      <w:pPr>
        <w:pStyle w:val="ListParagraph"/>
        <w:numPr>
          <w:ilvl w:val="0"/>
          <w:numId w:val="7"/>
        </w:numPr>
        <w:spacing w:line="240" w:lineRule="auto"/>
        <w:jc w:val="both"/>
      </w:pPr>
      <w:r w:rsidRPr="007A71C9">
        <w:t xml:space="preserve">United Nations Office on Drugs and Crime (UNODC). (n.d.). </w:t>
      </w:r>
      <w:r w:rsidRPr="00D648F9">
        <w:rPr>
          <w:i/>
          <w:iCs/>
        </w:rPr>
        <w:t>Money</w:t>
      </w:r>
      <w:r w:rsidRPr="00D648F9">
        <w:rPr>
          <w:i/>
          <w:iCs/>
        </w:rPr>
        <w:noBreakHyphen/>
        <w:t>laundering overview</w:t>
      </w:r>
      <w:r w:rsidRPr="007A71C9">
        <w:t>. UNODC</w:t>
      </w:r>
    </w:p>
    <w:p w14:paraId="7035281A" w14:textId="77777777" w:rsidR="00D648F9" w:rsidRPr="00C36643" w:rsidRDefault="00D648F9" w:rsidP="00FA17B1">
      <w:pPr>
        <w:pStyle w:val="ListParagraph"/>
        <w:numPr>
          <w:ilvl w:val="0"/>
          <w:numId w:val="7"/>
        </w:numPr>
        <w:spacing w:line="240" w:lineRule="auto"/>
        <w:jc w:val="both"/>
      </w:pPr>
      <w:r w:rsidRPr="00C36643">
        <w:t xml:space="preserve">Vasarhelyi, M. A., Kogan, A., &amp; Tuttle, B. (2015). Big data in accounting. </w:t>
      </w:r>
      <w:r w:rsidRPr="00D648F9">
        <w:rPr>
          <w:i/>
          <w:iCs/>
        </w:rPr>
        <w:t>Accounting Horizons, 29</w:t>
      </w:r>
      <w:r w:rsidRPr="00C36643">
        <w:t>(2), 423–429.</w:t>
      </w:r>
    </w:p>
    <w:p w14:paraId="42506DA6" w14:textId="77777777" w:rsidR="00D648F9" w:rsidRPr="007A71C9" w:rsidRDefault="00D648F9" w:rsidP="00FA17B1">
      <w:pPr>
        <w:pStyle w:val="ListParagraph"/>
        <w:numPr>
          <w:ilvl w:val="0"/>
          <w:numId w:val="7"/>
        </w:numPr>
        <w:spacing w:line="240" w:lineRule="auto"/>
        <w:jc w:val="both"/>
      </w:pPr>
      <w:proofErr w:type="spellStart"/>
      <w:r w:rsidRPr="007A71C9">
        <w:t>Walczuch</w:t>
      </w:r>
      <w:proofErr w:type="spellEnd"/>
      <w:r w:rsidRPr="007A71C9">
        <w:t xml:space="preserve">, R., </w:t>
      </w:r>
      <w:proofErr w:type="spellStart"/>
      <w:r w:rsidRPr="007A71C9">
        <w:t>Lemmink</w:t>
      </w:r>
      <w:proofErr w:type="spellEnd"/>
      <w:r w:rsidRPr="007A71C9">
        <w:t xml:space="preserve">, J., &amp; </w:t>
      </w:r>
      <w:proofErr w:type="spellStart"/>
      <w:r w:rsidRPr="007A71C9">
        <w:t>Streukens</w:t>
      </w:r>
      <w:proofErr w:type="spellEnd"/>
      <w:r w:rsidRPr="007A71C9">
        <w:t xml:space="preserve">, S. (2007). The effect of service employees’ technology readiness on technology acceptance. </w:t>
      </w:r>
      <w:r w:rsidRPr="00D648F9">
        <w:rPr>
          <w:i/>
          <w:iCs/>
        </w:rPr>
        <w:t>Information &amp; Management, 44</w:t>
      </w:r>
      <w:r w:rsidRPr="007A71C9">
        <w:t xml:space="preserve">(2), 206–215. </w:t>
      </w:r>
    </w:p>
    <w:p w14:paraId="0D8179BD" w14:textId="77777777" w:rsidR="00D648F9" w:rsidRPr="00D648F9" w:rsidRDefault="00D648F9" w:rsidP="00FA17B1">
      <w:pPr>
        <w:pStyle w:val="ListParagraph"/>
        <w:numPr>
          <w:ilvl w:val="0"/>
          <w:numId w:val="7"/>
        </w:numPr>
        <w:spacing w:line="240" w:lineRule="auto"/>
        <w:jc w:val="both"/>
      </w:pPr>
      <w:r w:rsidRPr="00D648F9">
        <w:t xml:space="preserve">Wang, Y., Stuart, T., &amp; Li, J. (2021). Fraud and innovation. </w:t>
      </w:r>
      <w:r w:rsidRPr="00D648F9">
        <w:rPr>
          <w:i/>
          <w:iCs/>
        </w:rPr>
        <w:t>Administrative Science Quarterly, 66</w:t>
      </w:r>
      <w:r w:rsidRPr="00D648F9">
        <w:t>(2), 267–297. https://doi.org/10.1177/0001839220927350</w:t>
      </w:r>
    </w:p>
    <w:p w14:paraId="3B27ED6D" w14:textId="77777777" w:rsidR="00D648F9" w:rsidRDefault="00D648F9" w:rsidP="00FA17B1">
      <w:pPr>
        <w:pStyle w:val="ListParagraph"/>
        <w:numPr>
          <w:ilvl w:val="0"/>
          <w:numId w:val="7"/>
        </w:numPr>
        <w:spacing w:line="240" w:lineRule="auto"/>
        <w:jc w:val="both"/>
      </w:pPr>
      <w:r w:rsidRPr="00C36643">
        <w:t xml:space="preserve">Wells, J. T. (2011). </w:t>
      </w:r>
      <w:r w:rsidRPr="00D648F9">
        <w:rPr>
          <w:i/>
          <w:iCs/>
        </w:rPr>
        <w:t>Corporate fraud handbook</w:t>
      </w:r>
      <w:r w:rsidRPr="00C36643">
        <w:t xml:space="preserve"> (3rd ed.). Wiley.</w:t>
      </w:r>
    </w:p>
    <w:p w14:paraId="05CC370F" w14:textId="77777777" w:rsidR="00D648F9" w:rsidRPr="00D648F9" w:rsidRDefault="00D648F9" w:rsidP="00FA17B1">
      <w:pPr>
        <w:pStyle w:val="ListParagraph"/>
        <w:numPr>
          <w:ilvl w:val="0"/>
          <w:numId w:val="7"/>
        </w:numPr>
        <w:spacing w:line="240" w:lineRule="auto"/>
        <w:jc w:val="both"/>
      </w:pPr>
      <w:r w:rsidRPr="00D648F9">
        <w:t xml:space="preserve">Yamane, T. (1967). </w:t>
      </w:r>
      <w:r w:rsidRPr="00D648F9">
        <w:rPr>
          <w:i/>
          <w:iCs/>
        </w:rPr>
        <w:t>Statistics: An introductory analysis</w:t>
      </w:r>
      <w:r w:rsidRPr="00D648F9">
        <w:t xml:space="preserve"> (2nd ed.). Harper &amp; Row.</w:t>
      </w:r>
    </w:p>
    <w:p w14:paraId="53D07BBC" w14:textId="77777777" w:rsidR="00D648F9" w:rsidRPr="004316AF" w:rsidRDefault="00D648F9" w:rsidP="00FA17B1">
      <w:pPr>
        <w:ind w:left="360"/>
        <w:jc w:val="both"/>
      </w:pPr>
    </w:p>
    <w:p w14:paraId="6355B757" w14:textId="77777777" w:rsidR="004316AF" w:rsidRPr="007A71C9" w:rsidRDefault="004316AF" w:rsidP="00FA17B1">
      <w:pPr>
        <w:ind w:left="720"/>
        <w:jc w:val="both"/>
      </w:pPr>
    </w:p>
    <w:p w14:paraId="472CCB5C" w14:textId="77777777" w:rsidR="007A71C9" w:rsidRPr="007A71C9" w:rsidRDefault="007A71C9" w:rsidP="00FA17B1">
      <w:pPr>
        <w:jc w:val="both"/>
      </w:pPr>
    </w:p>
    <w:p w14:paraId="400D2207" w14:textId="77777777" w:rsidR="00887AFF" w:rsidRPr="00C36643" w:rsidRDefault="00887AFF" w:rsidP="00FA17B1">
      <w:pPr>
        <w:jc w:val="both"/>
      </w:pPr>
    </w:p>
    <w:p w14:paraId="3889BDAC" w14:textId="77777777" w:rsidR="00C36643" w:rsidRPr="007A71C9" w:rsidRDefault="00C36643" w:rsidP="00FA17B1">
      <w:pPr>
        <w:jc w:val="both"/>
      </w:pPr>
    </w:p>
    <w:p w14:paraId="64F31041" w14:textId="77777777" w:rsidR="007A71C9" w:rsidRPr="007A71C9" w:rsidRDefault="007A71C9" w:rsidP="00FA17B1">
      <w:pPr>
        <w:jc w:val="both"/>
      </w:pPr>
    </w:p>
    <w:sectPr w:rsidR="007A71C9" w:rsidRPr="007A71C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62021"/>
    <w:multiLevelType w:val="multilevel"/>
    <w:tmpl w:val="8D4AC33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1610140"/>
    <w:multiLevelType w:val="multilevel"/>
    <w:tmpl w:val="48066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220677"/>
    <w:multiLevelType w:val="multilevel"/>
    <w:tmpl w:val="FBC4438C"/>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3ED1833"/>
    <w:multiLevelType w:val="hybridMultilevel"/>
    <w:tmpl w:val="1A802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AC71B6"/>
    <w:multiLevelType w:val="multilevel"/>
    <w:tmpl w:val="E2848E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A4551FD"/>
    <w:multiLevelType w:val="hybridMultilevel"/>
    <w:tmpl w:val="1590A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3820C2"/>
    <w:multiLevelType w:val="hybridMultilevel"/>
    <w:tmpl w:val="E61E99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7E5C7321"/>
    <w:multiLevelType w:val="hybridMultilevel"/>
    <w:tmpl w:val="B99AE5F8"/>
    <w:lvl w:ilvl="0" w:tplc="B1127BB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6"/>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540"/>
    <w:rsid w:val="00014887"/>
    <w:rsid w:val="00017199"/>
    <w:rsid w:val="00020423"/>
    <w:rsid w:val="00086629"/>
    <w:rsid w:val="00094F56"/>
    <w:rsid w:val="000E780B"/>
    <w:rsid w:val="000F6CEA"/>
    <w:rsid w:val="00133A72"/>
    <w:rsid w:val="00226A17"/>
    <w:rsid w:val="002A7784"/>
    <w:rsid w:val="002B14E0"/>
    <w:rsid w:val="00387A19"/>
    <w:rsid w:val="003E0B23"/>
    <w:rsid w:val="00423250"/>
    <w:rsid w:val="004316AF"/>
    <w:rsid w:val="00441A66"/>
    <w:rsid w:val="00492486"/>
    <w:rsid w:val="004B51E5"/>
    <w:rsid w:val="004C26F0"/>
    <w:rsid w:val="004E2D40"/>
    <w:rsid w:val="004F2D51"/>
    <w:rsid w:val="004F5783"/>
    <w:rsid w:val="00526361"/>
    <w:rsid w:val="00597BF2"/>
    <w:rsid w:val="005E0BD1"/>
    <w:rsid w:val="005E28AD"/>
    <w:rsid w:val="006437DE"/>
    <w:rsid w:val="00654383"/>
    <w:rsid w:val="00655DCE"/>
    <w:rsid w:val="006875B3"/>
    <w:rsid w:val="006F4540"/>
    <w:rsid w:val="007004FF"/>
    <w:rsid w:val="007129EF"/>
    <w:rsid w:val="00774D55"/>
    <w:rsid w:val="0077794B"/>
    <w:rsid w:val="007A341B"/>
    <w:rsid w:val="007A71C9"/>
    <w:rsid w:val="007B4C3F"/>
    <w:rsid w:val="007D091B"/>
    <w:rsid w:val="007E0255"/>
    <w:rsid w:val="007F2AFD"/>
    <w:rsid w:val="008043FA"/>
    <w:rsid w:val="008070AD"/>
    <w:rsid w:val="00854715"/>
    <w:rsid w:val="00887AFF"/>
    <w:rsid w:val="00892C05"/>
    <w:rsid w:val="008D050C"/>
    <w:rsid w:val="008D6BDA"/>
    <w:rsid w:val="008E4186"/>
    <w:rsid w:val="00920EDA"/>
    <w:rsid w:val="009B3C1A"/>
    <w:rsid w:val="009C4FDC"/>
    <w:rsid w:val="00A03754"/>
    <w:rsid w:val="00A33589"/>
    <w:rsid w:val="00A44F04"/>
    <w:rsid w:val="00A44F20"/>
    <w:rsid w:val="00A46DDA"/>
    <w:rsid w:val="00A724EE"/>
    <w:rsid w:val="00AB2D58"/>
    <w:rsid w:val="00AB6A30"/>
    <w:rsid w:val="00AC007C"/>
    <w:rsid w:val="00AD54E0"/>
    <w:rsid w:val="00B04903"/>
    <w:rsid w:val="00B51A8D"/>
    <w:rsid w:val="00B626C2"/>
    <w:rsid w:val="00B729FC"/>
    <w:rsid w:val="00B81191"/>
    <w:rsid w:val="00BA3E50"/>
    <w:rsid w:val="00BC6407"/>
    <w:rsid w:val="00BE0981"/>
    <w:rsid w:val="00C36643"/>
    <w:rsid w:val="00CD0546"/>
    <w:rsid w:val="00D012F1"/>
    <w:rsid w:val="00D648F9"/>
    <w:rsid w:val="00D7349D"/>
    <w:rsid w:val="00DD2574"/>
    <w:rsid w:val="00DF1D66"/>
    <w:rsid w:val="00E20A2B"/>
    <w:rsid w:val="00E20F1F"/>
    <w:rsid w:val="00E31E37"/>
    <w:rsid w:val="00E84299"/>
    <w:rsid w:val="00EA3DD2"/>
    <w:rsid w:val="00EB3FC4"/>
    <w:rsid w:val="00F22A50"/>
    <w:rsid w:val="00F2539D"/>
    <w:rsid w:val="00FA17B1"/>
    <w:rsid w:val="00FA3014"/>
    <w:rsid w:val="00FA4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773DC"/>
  <w15:chartTrackingRefBased/>
  <w15:docId w15:val="{573AB960-EB1B-4D78-AA58-12AE3DB77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7A19"/>
    <w:pPr>
      <w:spacing w:line="259" w:lineRule="auto"/>
    </w:pPr>
    <w:rPr>
      <w:rFonts w:ascii="Times New Roman" w:eastAsiaTheme="minorEastAsia" w:hAnsi="Times New Roman" w:cs="Times New Roman"/>
      <w:kern w:val="0"/>
      <w:lang w:eastAsia="zh-CN"/>
      <w14:ligatures w14:val="none"/>
    </w:rPr>
  </w:style>
  <w:style w:type="paragraph" w:styleId="Heading1">
    <w:name w:val="heading 1"/>
    <w:basedOn w:val="Normal"/>
    <w:next w:val="Normal"/>
    <w:link w:val="Heading1Char"/>
    <w:autoRedefine/>
    <w:uiPriority w:val="9"/>
    <w:qFormat/>
    <w:rsid w:val="002B14E0"/>
    <w:pPr>
      <w:keepNext/>
      <w:keepLines/>
      <w:spacing w:before="360" w:after="80"/>
      <w:ind w:left="360"/>
      <w:outlineLvl w:val="0"/>
    </w:pPr>
    <w:rPr>
      <w:rFonts w:eastAsiaTheme="majorEastAsia" w:cstheme="majorBidi"/>
      <w:b/>
      <w:bCs/>
      <w:color w:val="000000" w:themeColor="text1"/>
      <w:szCs w:val="40"/>
    </w:rPr>
  </w:style>
  <w:style w:type="paragraph" w:styleId="Heading2">
    <w:name w:val="heading 2"/>
    <w:basedOn w:val="Normal"/>
    <w:next w:val="Normal"/>
    <w:link w:val="Heading2Char"/>
    <w:autoRedefine/>
    <w:uiPriority w:val="9"/>
    <w:unhideWhenUsed/>
    <w:qFormat/>
    <w:rsid w:val="00A724EE"/>
    <w:pPr>
      <w:keepNext/>
      <w:keepLines/>
      <w:numPr>
        <w:ilvl w:val="1"/>
        <w:numId w:val="1"/>
      </w:numPr>
      <w:spacing w:before="160" w:after="80"/>
      <w:outlineLvl w:val="1"/>
    </w:pPr>
    <w:rPr>
      <w:rFonts w:eastAsiaTheme="majorEastAsia" w:cstheme="majorBidi"/>
      <w:b/>
      <w:bCs/>
      <w:color w:val="000000" w:themeColor="text1"/>
      <w:szCs w:val="32"/>
      <w:lang w:eastAsia="en-US"/>
    </w:rPr>
  </w:style>
  <w:style w:type="paragraph" w:styleId="Heading3">
    <w:name w:val="heading 3"/>
    <w:basedOn w:val="Normal"/>
    <w:next w:val="Normal"/>
    <w:link w:val="Heading3Char"/>
    <w:autoRedefine/>
    <w:uiPriority w:val="9"/>
    <w:unhideWhenUsed/>
    <w:qFormat/>
    <w:rsid w:val="00094F56"/>
    <w:pPr>
      <w:keepNext/>
      <w:keepLines/>
      <w:spacing w:before="24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semiHidden/>
    <w:unhideWhenUsed/>
    <w:qFormat/>
    <w:rsid w:val="006F45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45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45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5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5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5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4E0"/>
    <w:rPr>
      <w:rFonts w:ascii="Times New Roman" w:eastAsiaTheme="majorEastAsia" w:hAnsi="Times New Roman" w:cstheme="majorBidi"/>
      <w:b/>
      <w:bCs/>
      <w:color w:val="000000" w:themeColor="text1"/>
      <w:kern w:val="0"/>
      <w:szCs w:val="40"/>
      <w:lang w:eastAsia="zh-CN"/>
      <w14:ligatures w14:val="none"/>
    </w:rPr>
  </w:style>
  <w:style w:type="character" w:customStyle="1" w:styleId="Heading2Char">
    <w:name w:val="Heading 2 Char"/>
    <w:basedOn w:val="DefaultParagraphFont"/>
    <w:link w:val="Heading2"/>
    <w:uiPriority w:val="9"/>
    <w:rsid w:val="00A724EE"/>
    <w:rPr>
      <w:rFonts w:ascii="Times New Roman" w:eastAsiaTheme="majorEastAsia" w:hAnsi="Times New Roman" w:cstheme="majorBidi"/>
      <w:b/>
      <w:bCs/>
      <w:color w:val="000000" w:themeColor="text1"/>
      <w:kern w:val="0"/>
      <w:szCs w:val="32"/>
      <w14:ligatures w14:val="none"/>
    </w:rPr>
  </w:style>
  <w:style w:type="character" w:customStyle="1" w:styleId="Heading3Char">
    <w:name w:val="Heading 3 Char"/>
    <w:basedOn w:val="DefaultParagraphFont"/>
    <w:link w:val="Heading3"/>
    <w:uiPriority w:val="9"/>
    <w:rsid w:val="00094F56"/>
    <w:rPr>
      <w:rFonts w:ascii="Times New Roman" w:eastAsiaTheme="majorEastAsia" w:hAnsi="Times New Roman" w:cstheme="majorBidi"/>
      <w:b/>
      <w:color w:val="000000" w:themeColor="text1"/>
      <w:szCs w:val="28"/>
    </w:rPr>
  </w:style>
  <w:style w:type="character" w:customStyle="1" w:styleId="Heading4Char">
    <w:name w:val="Heading 4 Char"/>
    <w:basedOn w:val="DefaultParagraphFont"/>
    <w:link w:val="Heading4"/>
    <w:uiPriority w:val="9"/>
    <w:semiHidden/>
    <w:rsid w:val="006F45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45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45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5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5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540"/>
    <w:rPr>
      <w:rFonts w:eastAsiaTheme="majorEastAsia" w:cstheme="majorBidi"/>
      <w:color w:val="272727" w:themeColor="text1" w:themeTint="D8"/>
    </w:rPr>
  </w:style>
  <w:style w:type="paragraph" w:styleId="Title">
    <w:name w:val="Title"/>
    <w:basedOn w:val="Normal"/>
    <w:next w:val="Normal"/>
    <w:link w:val="TitleChar"/>
    <w:uiPriority w:val="10"/>
    <w:qFormat/>
    <w:rsid w:val="006F45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5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5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5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540"/>
    <w:pPr>
      <w:spacing w:before="160"/>
      <w:jc w:val="center"/>
    </w:pPr>
    <w:rPr>
      <w:i/>
      <w:iCs/>
      <w:color w:val="404040" w:themeColor="text1" w:themeTint="BF"/>
    </w:rPr>
  </w:style>
  <w:style w:type="character" w:customStyle="1" w:styleId="QuoteChar">
    <w:name w:val="Quote Char"/>
    <w:basedOn w:val="DefaultParagraphFont"/>
    <w:link w:val="Quote"/>
    <w:uiPriority w:val="29"/>
    <w:rsid w:val="006F4540"/>
    <w:rPr>
      <w:i/>
      <w:iCs/>
      <w:color w:val="404040" w:themeColor="text1" w:themeTint="BF"/>
    </w:rPr>
  </w:style>
  <w:style w:type="paragraph" w:styleId="ListParagraph">
    <w:name w:val="List Paragraph"/>
    <w:basedOn w:val="Normal"/>
    <w:uiPriority w:val="34"/>
    <w:qFormat/>
    <w:rsid w:val="006F4540"/>
    <w:pPr>
      <w:ind w:left="720"/>
      <w:contextualSpacing/>
    </w:pPr>
  </w:style>
  <w:style w:type="character" w:styleId="IntenseEmphasis">
    <w:name w:val="Intense Emphasis"/>
    <w:basedOn w:val="DefaultParagraphFont"/>
    <w:uiPriority w:val="21"/>
    <w:qFormat/>
    <w:rsid w:val="006F4540"/>
    <w:rPr>
      <w:i/>
      <w:iCs/>
      <w:color w:val="2F5496" w:themeColor="accent1" w:themeShade="BF"/>
    </w:rPr>
  </w:style>
  <w:style w:type="paragraph" w:styleId="IntenseQuote">
    <w:name w:val="Intense Quote"/>
    <w:basedOn w:val="Normal"/>
    <w:next w:val="Normal"/>
    <w:link w:val="IntenseQuoteChar"/>
    <w:uiPriority w:val="30"/>
    <w:qFormat/>
    <w:rsid w:val="006F45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4540"/>
    <w:rPr>
      <w:i/>
      <w:iCs/>
      <w:color w:val="2F5496" w:themeColor="accent1" w:themeShade="BF"/>
    </w:rPr>
  </w:style>
  <w:style w:type="character" w:styleId="IntenseReference">
    <w:name w:val="Intense Reference"/>
    <w:basedOn w:val="DefaultParagraphFont"/>
    <w:uiPriority w:val="32"/>
    <w:qFormat/>
    <w:rsid w:val="006F4540"/>
    <w:rPr>
      <w:b/>
      <w:bCs/>
      <w:smallCaps/>
      <w:color w:val="2F5496" w:themeColor="accent1" w:themeShade="BF"/>
      <w:spacing w:val="5"/>
    </w:rPr>
  </w:style>
  <w:style w:type="paragraph" w:styleId="Caption">
    <w:name w:val="caption"/>
    <w:basedOn w:val="Normal"/>
    <w:next w:val="Normal"/>
    <w:uiPriority w:val="35"/>
    <w:unhideWhenUsed/>
    <w:qFormat/>
    <w:rsid w:val="006F4540"/>
    <w:pPr>
      <w:spacing w:after="200" w:line="240" w:lineRule="auto"/>
    </w:pPr>
    <w:rPr>
      <w:i/>
      <w:iCs/>
      <w:color w:val="44546A" w:themeColor="text2"/>
      <w:sz w:val="18"/>
      <w:szCs w:val="18"/>
    </w:rPr>
  </w:style>
  <w:style w:type="character" w:styleId="Hyperlink">
    <w:name w:val="Hyperlink"/>
    <w:basedOn w:val="DefaultParagraphFont"/>
    <w:uiPriority w:val="99"/>
    <w:unhideWhenUsed/>
    <w:rsid w:val="006F4540"/>
    <w:rPr>
      <w:color w:val="0000FF"/>
      <w:u w:val="single"/>
    </w:rPr>
  </w:style>
  <w:style w:type="character" w:styleId="UnresolvedMention">
    <w:name w:val="Unresolved Mention"/>
    <w:basedOn w:val="DefaultParagraphFont"/>
    <w:uiPriority w:val="99"/>
    <w:semiHidden/>
    <w:unhideWhenUsed/>
    <w:rsid w:val="006F4540"/>
    <w:rPr>
      <w:color w:val="605E5C"/>
      <w:shd w:val="clear" w:color="auto" w:fill="E1DFDD"/>
    </w:rPr>
  </w:style>
  <w:style w:type="character" w:styleId="Emphasis">
    <w:name w:val="Emphasis"/>
    <w:basedOn w:val="DefaultParagraphFont"/>
    <w:uiPriority w:val="20"/>
    <w:qFormat/>
    <w:rsid w:val="000E780B"/>
    <w:rPr>
      <w:i/>
      <w:iCs/>
    </w:rPr>
  </w:style>
  <w:style w:type="paragraph" w:styleId="NormalWeb">
    <w:name w:val="Normal (Web)"/>
    <w:basedOn w:val="Normal"/>
    <w:uiPriority w:val="99"/>
    <w:semiHidden/>
    <w:unhideWhenUsed/>
    <w:rsid w:val="00C36643"/>
    <w:pPr>
      <w:spacing w:before="100" w:beforeAutospacing="1" w:after="100" w:afterAutospacing="1" w:line="240" w:lineRule="auto"/>
    </w:pPr>
    <w:rPr>
      <w:rFonts w:eastAsia="Times New Roman"/>
      <w:lang w:eastAsia="en-US"/>
    </w:rPr>
  </w:style>
  <w:style w:type="character" w:styleId="Strong">
    <w:name w:val="Strong"/>
    <w:basedOn w:val="DefaultParagraphFont"/>
    <w:uiPriority w:val="22"/>
    <w:qFormat/>
    <w:rsid w:val="00C36643"/>
    <w:rPr>
      <w:b/>
      <w:bCs/>
    </w:rPr>
  </w:style>
  <w:style w:type="character" w:customStyle="1" w:styleId="ms-1">
    <w:name w:val="ms-1"/>
    <w:basedOn w:val="DefaultParagraphFont"/>
    <w:rsid w:val="007A71C9"/>
  </w:style>
  <w:style w:type="character" w:customStyle="1" w:styleId="max-w-15ch">
    <w:name w:val="max-w-[15ch]"/>
    <w:basedOn w:val="DefaultParagraphFont"/>
    <w:rsid w:val="007A71C9"/>
  </w:style>
  <w:style w:type="character" w:customStyle="1" w:styleId="-me-1">
    <w:name w:val="-me-1"/>
    <w:basedOn w:val="DefaultParagraphFont"/>
    <w:rsid w:val="007A71C9"/>
  </w:style>
  <w:style w:type="paragraph" w:styleId="NoSpacing">
    <w:name w:val="No Spacing"/>
    <w:link w:val="NoSpacingChar"/>
    <w:uiPriority w:val="1"/>
    <w:qFormat/>
    <w:rsid w:val="00B729FC"/>
    <w:pPr>
      <w:spacing w:after="0" w:line="240" w:lineRule="auto"/>
    </w:pPr>
    <w:rPr>
      <w:rFonts w:ascii="Times New Roman" w:eastAsiaTheme="minorEastAsia" w:hAnsi="Times New Roman" w:cs="Times New Roman"/>
      <w:kern w:val="0"/>
      <w:lang w:eastAsia="zh-CN"/>
      <w14:ligatures w14:val="none"/>
    </w:rPr>
  </w:style>
  <w:style w:type="character" w:customStyle="1" w:styleId="NoSpacingChar">
    <w:name w:val="No Spacing Char"/>
    <w:link w:val="NoSpacing"/>
    <w:uiPriority w:val="1"/>
    <w:qFormat/>
    <w:rsid w:val="00B729FC"/>
    <w:rPr>
      <w:rFonts w:ascii="Times New Roman" w:eastAsiaTheme="minorEastAsia" w:hAnsi="Times New Roman" w:cs="Times New Roman"/>
      <w:kern w:val="0"/>
      <w:lang w:eastAsia="zh-CN"/>
      <w14:ligatures w14:val="none"/>
    </w:rPr>
  </w:style>
  <w:style w:type="table" w:styleId="TableGrid">
    <w:name w:val="Table Grid"/>
    <w:basedOn w:val="TableNormal"/>
    <w:uiPriority w:val="39"/>
    <w:qFormat/>
    <w:rsid w:val="00B729FC"/>
    <w:pPr>
      <w:spacing w:after="0" w:line="240" w:lineRule="auto"/>
      <w:jc w:val="both"/>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9531</Words>
  <Characters>54333</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ndiko</dc:creator>
  <cp:keywords/>
  <dc:description/>
  <cp:lastModifiedBy>Editor-11</cp:lastModifiedBy>
  <cp:revision>3</cp:revision>
  <dcterms:created xsi:type="dcterms:W3CDTF">2025-10-31T14:41:00Z</dcterms:created>
  <dcterms:modified xsi:type="dcterms:W3CDTF">2025-11-01T06:18:00Z</dcterms:modified>
</cp:coreProperties>
</file>