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B4E54" w14:textId="1BC7EB0A" w:rsidR="00163BC4" w:rsidRPr="00C4585A" w:rsidRDefault="00D0779D" w:rsidP="00DF5AAC">
      <w:pPr>
        <w:pStyle w:val="Author"/>
        <w:spacing w:line="240" w:lineRule="auto"/>
        <w:jc w:val="left"/>
        <w:rPr>
          <w:rFonts w:ascii="Arial" w:hAnsi="Arial" w:cs="Arial"/>
          <w:bCs/>
          <w:iCs/>
          <w:kern w:val="28"/>
          <w:sz w:val="36"/>
        </w:rPr>
      </w:pPr>
      <w:bookmarkStart w:id="0" w:name="_GoBack"/>
      <w:bookmarkEnd w:id="0"/>
      <w:r w:rsidRPr="00D0779D">
        <w:rPr>
          <w:rFonts w:ascii="Arial" w:hAnsi="Arial" w:cs="Arial"/>
          <w:bCs/>
          <w:iCs/>
          <w:kern w:val="28"/>
          <w:sz w:val="36"/>
        </w:rPr>
        <w:t>From Reputation to Value: The Strategic Role of CSR in Enhancing Firm Performance in Indonesia</w:t>
      </w:r>
    </w:p>
    <w:p w14:paraId="70F8A35C" w14:textId="77777777" w:rsidR="00A258C3" w:rsidRPr="00C4585A" w:rsidRDefault="00A258C3" w:rsidP="00441B6F">
      <w:pPr>
        <w:pStyle w:val="Author"/>
        <w:spacing w:line="240" w:lineRule="auto"/>
        <w:jc w:val="both"/>
        <w:rPr>
          <w:rFonts w:ascii="Arial" w:hAnsi="Arial" w:cs="Arial"/>
          <w:sz w:val="36"/>
        </w:rPr>
      </w:pPr>
    </w:p>
    <w:p w14:paraId="7EDC57B0" w14:textId="77777777" w:rsidR="002C57D2" w:rsidRPr="00C4585A" w:rsidRDefault="002C57D2" w:rsidP="00441B6F">
      <w:pPr>
        <w:pStyle w:val="Affiliation"/>
        <w:spacing w:after="0" w:line="240" w:lineRule="auto"/>
        <w:jc w:val="both"/>
        <w:rPr>
          <w:rFonts w:ascii="Arial" w:hAnsi="Arial" w:cs="Arial"/>
        </w:rPr>
      </w:pPr>
    </w:p>
    <w:p w14:paraId="661CEF39" w14:textId="525AA4BF" w:rsidR="00B01FCD" w:rsidRPr="00C4585A" w:rsidRDefault="004F3D43" w:rsidP="00441B6F">
      <w:pPr>
        <w:pStyle w:val="Copyright"/>
        <w:spacing w:after="0" w:line="240" w:lineRule="auto"/>
        <w:jc w:val="both"/>
        <w:rPr>
          <w:rFonts w:ascii="Arial" w:hAnsi="Arial" w:cs="Arial"/>
        </w:rPr>
        <w:sectPr w:rsidR="00B01FCD" w:rsidRPr="00C4585A" w:rsidSect="00665883">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C4585A">
        <w:rPr>
          <w:rFonts w:ascii="Arial" w:hAnsi="Arial" w:cs="Arial"/>
          <w:noProof/>
        </w:rPr>
        <mc:AlternateContent>
          <mc:Choice Requires="wps">
            <w:drawing>
              <wp:inline distT="0" distB="0" distL="0" distR="0" wp14:anchorId="668F9221" wp14:editId="001575F3">
                <wp:extent cx="5303520" cy="635"/>
                <wp:effectExtent l="13335" t="17145" r="17145" b="11430"/>
                <wp:docPr id="154396096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3AFA8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C4585A">
        <w:rPr>
          <w:rFonts w:ascii="Arial" w:hAnsi="Arial" w:cs="Arial"/>
        </w:rPr>
        <w:t>.</w:t>
      </w:r>
    </w:p>
    <w:p w14:paraId="7F125A4F" w14:textId="53BDD2F7" w:rsidR="00B01FCD" w:rsidRPr="00C4585A" w:rsidRDefault="00B01FCD" w:rsidP="00441B6F">
      <w:pPr>
        <w:pStyle w:val="AbstHead"/>
        <w:spacing w:after="0"/>
        <w:jc w:val="both"/>
        <w:rPr>
          <w:rFonts w:ascii="Arial" w:hAnsi="Arial" w:cs="Arial"/>
        </w:rPr>
      </w:pPr>
      <w:r w:rsidRPr="00C4585A">
        <w:rPr>
          <w:rFonts w:ascii="Arial" w:hAnsi="Arial" w:cs="Arial"/>
        </w:rPr>
        <w:t>ABSTRACT</w:t>
      </w:r>
    </w:p>
    <w:p w14:paraId="7E1F8B85" w14:textId="77777777" w:rsidR="00790ADA" w:rsidRPr="00C4585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4585A" w14:paraId="6E922C03" w14:textId="77777777" w:rsidTr="001E44FE">
        <w:tc>
          <w:tcPr>
            <w:tcW w:w="9576" w:type="dxa"/>
            <w:shd w:val="clear" w:color="auto" w:fill="F2F2F2"/>
          </w:tcPr>
          <w:p w14:paraId="3B69B965" w14:textId="42691397" w:rsidR="00BA1B01" w:rsidRPr="00C4585A" w:rsidRDefault="00BA1B01" w:rsidP="00441B6F">
            <w:pPr>
              <w:pStyle w:val="Body"/>
              <w:spacing w:after="0"/>
              <w:rPr>
                <w:rFonts w:ascii="Arial" w:eastAsia="Calibri" w:hAnsi="Arial" w:cs="Arial"/>
                <w:szCs w:val="22"/>
              </w:rPr>
            </w:pPr>
            <w:r w:rsidRPr="00C4585A">
              <w:rPr>
                <w:rFonts w:ascii="Arial" w:eastAsia="Calibri" w:hAnsi="Arial" w:cs="Arial"/>
                <w:b/>
                <w:szCs w:val="22"/>
              </w:rPr>
              <w:t xml:space="preserve">Aims: </w:t>
            </w:r>
            <w:r w:rsidR="00B600C0" w:rsidRPr="00C4585A">
              <w:rPr>
                <w:rFonts w:ascii="Arial" w:eastAsia="Calibri" w:hAnsi="Arial" w:cs="Arial"/>
                <w:szCs w:val="22"/>
              </w:rPr>
              <w:t xml:space="preserve">This study investigates whether corporate social responsibility (CSR) mediates the effect of firm reputation on firm value in publicly listed companies in Indonesia. </w:t>
            </w:r>
          </w:p>
          <w:p w14:paraId="61FA18F4" w14:textId="692DA9FE" w:rsidR="00BA1B01" w:rsidRPr="00C4585A" w:rsidRDefault="00BA1B01" w:rsidP="00842DE6">
            <w:pPr>
              <w:pStyle w:val="Body"/>
              <w:spacing w:after="0"/>
              <w:rPr>
                <w:rFonts w:ascii="Arial" w:eastAsia="Calibri" w:hAnsi="Arial" w:cs="Arial"/>
                <w:szCs w:val="22"/>
              </w:rPr>
            </w:pPr>
            <w:r w:rsidRPr="00C4585A">
              <w:rPr>
                <w:rFonts w:ascii="Arial" w:eastAsia="Calibri" w:hAnsi="Arial" w:cs="Arial"/>
                <w:b/>
                <w:szCs w:val="22"/>
              </w:rPr>
              <w:t>Study design:</w:t>
            </w:r>
            <w:r w:rsidRPr="00C4585A">
              <w:rPr>
                <w:rFonts w:ascii="Arial" w:eastAsia="Calibri" w:hAnsi="Arial" w:cs="Arial"/>
                <w:szCs w:val="22"/>
              </w:rPr>
              <w:t xml:space="preserve">  </w:t>
            </w:r>
            <w:r w:rsidR="00842DE6" w:rsidRPr="00842DE6">
              <w:rPr>
                <w:rFonts w:ascii="Arial" w:eastAsia="Calibri" w:hAnsi="Arial" w:cs="Arial"/>
                <w:szCs w:val="22"/>
              </w:rPr>
              <w:t xml:space="preserve">This study adopts a quantitative descriptive approach employing a panel data regression design to analyze the effect of </w:t>
            </w:r>
            <w:r w:rsidR="001904B5">
              <w:rPr>
                <w:rFonts w:ascii="Arial" w:eastAsia="Calibri" w:hAnsi="Arial" w:cs="Arial"/>
                <w:szCs w:val="22"/>
              </w:rPr>
              <w:t>firm</w:t>
            </w:r>
            <w:r w:rsidR="00842DE6" w:rsidRPr="00842DE6">
              <w:rPr>
                <w:rFonts w:ascii="Arial" w:eastAsia="Calibri" w:hAnsi="Arial" w:cs="Arial"/>
                <w:szCs w:val="22"/>
              </w:rPr>
              <w:t xml:space="preserve"> reputation on firm value and to examine the mediating role of Corporate Social Responsibility (CSR) activities. Statistical analyses were conducted using secondary data derived from publicly available reports. This methodological approach was chosen to ensure a rigorous examination of causal relationships across firms and over time, enhancing both internal validity and </w:t>
            </w:r>
            <w:proofErr w:type="spellStart"/>
            <w:proofErr w:type="gramStart"/>
            <w:r w:rsidR="00842DE6" w:rsidRPr="00842DE6">
              <w:rPr>
                <w:rFonts w:ascii="Arial" w:eastAsia="Calibri" w:hAnsi="Arial" w:cs="Arial"/>
                <w:szCs w:val="22"/>
              </w:rPr>
              <w:t>generalizability.The</w:t>
            </w:r>
            <w:proofErr w:type="spellEnd"/>
            <w:proofErr w:type="gramEnd"/>
            <w:r w:rsidR="00842DE6" w:rsidRPr="00842DE6">
              <w:rPr>
                <w:rFonts w:ascii="Arial" w:eastAsia="Calibri" w:hAnsi="Arial" w:cs="Arial"/>
                <w:szCs w:val="22"/>
              </w:rPr>
              <w:t xml:space="preserve"> sample was selected using a purposive sampling technique based on specific criteria: (1) companies that consistently published annual and sustainability reports (CSR disclosures) during the observation period; (2) firms providing complete data for the variables of </w:t>
            </w:r>
            <w:r w:rsidR="001904B5">
              <w:rPr>
                <w:rFonts w:ascii="Arial" w:eastAsia="Calibri" w:hAnsi="Arial" w:cs="Arial"/>
                <w:szCs w:val="22"/>
              </w:rPr>
              <w:t>firm</w:t>
            </w:r>
            <w:r w:rsidR="00842DE6" w:rsidRPr="00842DE6">
              <w:rPr>
                <w:rFonts w:ascii="Arial" w:eastAsia="Calibri" w:hAnsi="Arial" w:cs="Arial"/>
                <w:szCs w:val="22"/>
              </w:rPr>
              <w:t xml:space="preserve"> reputation</w:t>
            </w:r>
            <w:r w:rsidR="00842DE6">
              <w:rPr>
                <w:rFonts w:ascii="Arial" w:eastAsia="Calibri" w:hAnsi="Arial" w:cs="Arial"/>
                <w:szCs w:val="22"/>
              </w:rPr>
              <w:t>.</w:t>
            </w:r>
            <w:r w:rsidR="00842DE6" w:rsidRPr="00842DE6">
              <w:rPr>
                <w:rFonts w:ascii="Arial" w:eastAsia="Calibri" w:hAnsi="Arial" w:cs="Arial"/>
                <w:szCs w:val="22"/>
              </w:rPr>
              <w:t xml:space="preserve"> Firm reputation is proxied by brand image (awards and recognition) and Big-4 auditor affiliation, while firm value is measured using Economic Value Added (EVA). CSR is measured using a CSR disclosure score, which represents an index calculated as the ratio between the number of items disclosed by the company and the total number of items required to be disclosed. Control variables include Return on Assets (ROA) and firm size. Applying these criteria resulted in a final sample of 51 companies, yielding 306 firm-year observations included in the empirical analysis.</w:t>
            </w:r>
            <w:r w:rsidR="000F592C" w:rsidRPr="00C4585A">
              <w:rPr>
                <w:rFonts w:ascii="Arial" w:eastAsia="Calibri" w:hAnsi="Arial" w:cs="Arial"/>
                <w:szCs w:val="22"/>
              </w:rPr>
              <w:t xml:space="preserve"> </w:t>
            </w:r>
          </w:p>
          <w:p w14:paraId="529C2A7F" w14:textId="31C86E28" w:rsidR="00BA1B01" w:rsidRPr="00C4585A" w:rsidRDefault="00BA1B01" w:rsidP="00842DE6">
            <w:pPr>
              <w:pStyle w:val="Body"/>
              <w:spacing w:after="0"/>
              <w:rPr>
                <w:rFonts w:ascii="Arial" w:eastAsia="Calibri" w:hAnsi="Arial" w:cs="Arial"/>
                <w:szCs w:val="22"/>
              </w:rPr>
            </w:pPr>
            <w:r w:rsidRPr="00C4585A">
              <w:rPr>
                <w:rFonts w:ascii="Arial" w:eastAsia="Calibri" w:hAnsi="Arial" w:cs="Arial"/>
                <w:b/>
                <w:szCs w:val="22"/>
              </w:rPr>
              <w:t>Place and Duration of Study:</w:t>
            </w:r>
            <w:r w:rsidR="00B8105B" w:rsidRPr="00C4585A">
              <w:rPr>
                <w:rFonts w:ascii="Arial" w:eastAsia="Calibri" w:hAnsi="Arial" w:cs="Arial"/>
                <w:szCs w:val="22"/>
              </w:rPr>
              <w:t xml:space="preserve"> </w:t>
            </w:r>
            <w:r w:rsidR="000F592C" w:rsidRPr="00C4585A">
              <w:rPr>
                <w:rFonts w:ascii="Arial" w:eastAsia="Calibri" w:hAnsi="Arial" w:cs="Arial"/>
                <w:szCs w:val="22"/>
              </w:rPr>
              <w:t xml:space="preserve">This study examines companies listed on the Indonesia Stock Exchange (IDX) over a </w:t>
            </w:r>
            <w:proofErr w:type="gramStart"/>
            <w:r w:rsidR="000F592C" w:rsidRPr="00C4585A">
              <w:rPr>
                <w:rFonts w:ascii="Arial" w:eastAsia="Calibri" w:hAnsi="Arial" w:cs="Arial"/>
                <w:szCs w:val="22"/>
              </w:rPr>
              <w:t>six year</w:t>
            </w:r>
            <w:proofErr w:type="gramEnd"/>
            <w:r w:rsidR="000F592C" w:rsidRPr="00C4585A">
              <w:rPr>
                <w:rFonts w:ascii="Arial" w:eastAsia="Calibri" w:hAnsi="Arial" w:cs="Arial"/>
                <w:szCs w:val="22"/>
              </w:rPr>
              <w:t xml:space="preserve"> period, spanning from </w:t>
            </w:r>
            <w:r w:rsidR="00B8105B" w:rsidRPr="00C4585A">
              <w:rPr>
                <w:rFonts w:ascii="Arial" w:eastAsia="Calibri" w:hAnsi="Arial" w:cs="Arial"/>
                <w:szCs w:val="22"/>
              </w:rPr>
              <w:t>201</w:t>
            </w:r>
            <w:r w:rsidR="00B11F52">
              <w:rPr>
                <w:rFonts w:ascii="Arial" w:eastAsia="Calibri" w:hAnsi="Arial" w:cs="Arial"/>
                <w:szCs w:val="22"/>
              </w:rPr>
              <w:t>7</w:t>
            </w:r>
            <w:r w:rsidR="000F592C" w:rsidRPr="00C4585A">
              <w:rPr>
                <w:rFonts w:ascii="Arial" w:eastAsia="Calibri" w:hAnsi="Arial" w:cs="Arial"/>
                <w:szCs w:val="22"/>
              </w:rPr>
              <w:t xml:space="preserve"> to </w:t>
            </w:r>
            <w:r w:rsidR="00B8105B" w:rsidRPr="00C4585A">
              <w:rPr>
                <w:rFonts w:ascii="Arial" w:eastAsia="Calibri" w:hAnsi="Arial" w:cs="Arial"/>
                <w:szCs w:val="22"/>
              </w:rPr>
              <w:t>202</w:t>
            </w:r>
            <w:r w:rsidR="00B11F52">
              <w:rPr>
                <w:rFonts w:ascii="Arial" w:eastAsia="Calibri" w:hAnsi="Arial" w:cs="Arial"/>
                <w:szCs w:val="22"/>
              </w:rPr>
              <w:t>2</w:t>
            </w:r>
            <w:r w:rsidR="00B8105B" w:rsidRPr="00C4585A">
              <w:rPr>
                <w:rFonts w:ascii="Arial" w:eastAsia="Calibri" w:hAnsi="Arial" w:cs="Arial"/>
                <w:szCs w:val="22"/>
              </w:rPr>
              <w:t xml:space="preserve">. </w:t>
            </w:r>
          </w:p>
          <w:p w14:paraId="4C172C84" w14:textId="6AD0EE9A" w:rsidR="00BA1B01" w:rsidRPr="00C4585A" w:rsidRDefault="00BA1B01" w:rsidP="00441B6F">
            <w:pPr>
              <w:pStyle w:val="Body"/>
              <w:spacing w:after="0"/>
              <w:rPr>
                <w:rFonts w:ascii="Arial" w:eastAsia="Calibri" w:hAnsi="Arial" w:cs="Arial"/>
                <w:szCs w:val="22"/>
              </w:rPr>
            </w:pPr>
            <w:r w:rsidRPr="00C4585A">
              <w:rPr>
                <w:rFonts w:ascii="Arial" w:eastAsia="Calibri" w:hAnsi="Arial" w:cs="Arial"/>
                <w:b/>
                <w:bCs/>
                <w:szCs w:val="22"/>
              </w:rPr>
              <w:t>Methodology:</w:t>
            </w:r>
            <w:r w:rsidRPr="00C4585A">
              <w:rPr>
                <w:rFonts w:ascii="Arial" w:eastAsia="Calibri" w:hAnsi="Arial" w:cs="Arial"/>
                <w:szCs w:val="22"/>
              </w:rPr>
              <w:t xml:space="preserve"> </w:t>
            </w:r>
            <w:r w:rsidR="003C7F78" w:rsidRPr="003C7F78">
              <w:rPr>
                <w:rFonts w:ascii="Arial" w:eastAsia="Calibri" w:hAnsi="Arial" w:cs="Arial"/>
                <w:szCs w:val="22"/>
              </w:rPr>
              <w:t>This study employed a panel data regression approach using observations from 51 firms over six years. The analysis began with descriptive statistics to capture the general characteristics of all variables. Model selection was then conducted through the Chow, Hausman, and Lagrange Multiplier (LM) tests to determine the most suitable estimation model. Afterward, hypothesis testing was performed to evaluate the relationships among variables, followed by a Sobel test to examine the mediating role of Corporate Social Responsibility (CSR) in linking firm reputation and firm value.</w:t>
            </w:r>
          </w:p>
          <w:p w14:paraId="3013B0C0" w14:textId="2C0CBD88" w:rsidR="00BA1B01" w:rsidRPr="00C4585A" w:rsidRDefault="00BA1B01" w:rsidP="00AF59A2">
            <w:pPr>
              <w:pStyle w:val="Body"/>
              <w:spacing w:after="0"/>
              <w:rPr>
                <w:rFonts w:ascii="Arial" w:eastAsia="Calibri" w:hAnsi="Arial" w:cs="Arial"/>
                <w:b/>
                <w:bCs/>
                <w:szCs w:val="22"/>
              </w:rPr>
            </w:pPr>
            <w:r w:rsidRPr="00C4585A">
              <w:rPr>
                <w:rFonts w:ascii="Arial" w:eastAsia="Calibri" w:hAnsi="Arial" w:cs="Arial"/>
                <w:b/>
                <w:bCs/>
                <w:szCs w:val="22"/>
              </w:rPr>
              <w:t>Results:</w:t>
            </w:r>
            <w:r w:rsidR="00AF59A2">
              <w:t xml:space="preserve"> </w:t>
            </w:r>
            <w:r w:rsidR="0074121E" w:rsidRPr="0074121E">
              <w:rPr>
                <w:rFonts w:ascii="Arial" w:eastAsia="Calibri" w:hAnsi="Arial" w:cs="Arial"/>
                <w:szCs w:val="22"/>
              </w:rPr>
              <w:t>Empirical findings indicate that corporate reputation has a positive and significant influence on firm value (EVA). Furthermore, corporate reputation exhibits a significant influence on the level of Corporate Social Responsibility (CSR) disclosure, while CSR itself significantly increases firm value. Mediation analysis using the Sobel test confirms that CSR acts as a statistically significant mediator in the relationship between corporate reputation and firm value. These findings suggest that CSR serves as a strategic translation mechanism through which reputation assets are converted into economic value, underscoring the important role of CSR in linking intangible reputation factors to tangible financial performance among public companies in Indonesia.</w:t>
            </w:r>
          </w:p>
          <w:p w14:paraId="3DC5F699" w14:textId="3820E3A9" w:rsidR="00505F06" w:rsidRPr="00C4585A" w:rsidRDefault="00BA1B01" w:rsidP="00AF59A2">
            <w:pPr>
              <w:pStyle w:val="Body"/>
              <w:spacing w:after="0"/>
              <w:rPr>
                <w:rFonts w:ascii="Arial" w:eastAsia="Calibri" w:hAnsi="Arial" w:cs="Arial"/>
                <w:szCs w:val="22"/>
              </w:rPr>
            </w:pPr>
            <w:r w:rsidRPr="00C4585A">
              <w:rPr>
                <w:rFonts w:ascii="Arial" w:eastAsia="Calibri" w:hAnsi="Arial" w:cs="Arial"/>
                <w:b/>
                <w:bCs/>
                <w:szCs w:val="22"/>
              </w:rPr>
              <w:t>Conclusion:</w:t>
            </w:r>
            <w:r w:rsidRPr="00C4585A">
              <w:rPr>
                <w:rFonts w:ascii="Arial" w:eastAsia="Calibri" w:hAnsi="Arial" w:cs="Arial"/>
                <w:szCs w:val="22"/>
              </w:rPr>
              <w:t xml:space="preserve"> </w:t>
            </w:r>
            <w:r w:rsidR="0074121E" w:rsidRPr="0074121E">
              <w:rPr>
                <w:rFonts w:ascii="Arial" w:eastAsia="Calibri" w:hAnsi="Arial" w:cs="Arial"/>
                <w:szCs w:val="22"/>
              </w:rPr>
              <w:t xml:space="preserve">Corporate reputation has a significant positive effect on corporate value, both directly and indirectly through disclosure of Corporate Social Responsibility (CSR) activities. Corporate reputation, reflected in external awards and auditor affiliations, contributes to increased transparency and credibility of CSR, ultimately increasing the company's economic value. CSR is not only a moral or legal obligation, but also a strategic tool to </w:t>
            </w:r>
            <w:r w:rsidR="0074121E" w:rsidRPr="0074121E">
              <w:rPr>
                <w:rFonts w:ascii="Arial" w:eastAsia="Calibri" w:hAnsi="Arial" w:cs="Arial"/>
                <w:szCs w:val="22"/>
              </w:rPr>
              <w:lastRenderedPageBreak/>
              <w:t xml:space="preserve">actualize the power of reputation into financial added value. The implications of this study emphasize the strategic importance of reputation management through the implementation of high-quality audit mechanisms and the company's active involvement in sustainable business practices. And capital market authorities are encouraged to improve the quality of supervision related to corporate reporting and to promote greater transparency through comprehensive information </w:t>
            </w:r>
            <w:proofErr w:type="gramStart"/>
            <w:r w:rsidR="0074121E" w:rsidRPr="0074121E">
              <w:rPr>
                <w:rFonts w:ascii="Arial" w:eastAsia="Calibri" w:hAnsi="Arial" w:cs="Arial"/>
                <w:szCs w:val="22"/>
              </w:rPr>
              <w:t>disclosure.</w:t>
            </w:r>
            <w:r w:rsidR="000F4783" w:rsidRPr="000F4783">
              <w:rPr>
                <w:rFonts w:ascii="Arial" w:eastAsia="Calibri" w:hAnsi="Arial" w:cs="Arial"/>
                <w:szCs w:val="22"/>
              </w:rPr>
              <w:t>.</w:t>
            </w:r>
            <w:proofErr w:type="gramEnd"/>
          </w:p>
        </w:tc>
      </w:tr>
    </w:tbl>
    <w:p w14:paraId="78AF6686" w14:textId="77777777" w:rsidR="00636EB2" w:rsidRPr="00C4585A" w:rsidRDefault="00636EB2" w:rsidP="00441B6F">
      <w:pPr>
        <w:pStyle w:val="Body"/>
        <w:spacing w:after="0"/>
        <w:rPr>
          <w:rFonts w:ascii="Arial" w:hAnsi="Arial" w:cs="Arial"/>
          <w:i/>
        </w:rPr>
      </w:pPr>
    </w:p>
    <w:p w14:paraId="7BFD1132" w14:textId="4A2E2F4C" w:rsidR="00A24E7E" w:rsidRPr="00C4585A" w:rsidRDefault="00A24E7E" w:rsidP="00441B6F">
      <w:pPr>
        <w:pStyle w:val="Body"/>
        <w:spacing w:after="0"/>
        <w:rPr>
          <w:rFonts w:ascii="Arial" w:hAnsi="Arial" w:cs="Arial"/>
          <w:i/>
        </w:rPr>
      </w:pPr>
      <w:r w:rsidRPr="00C4585A">
        <w:rPr>
          <w:rFonts w:ascii="Arial" w:hAnsi="Arial" w:cs="Arial"/>
          <w:i/>
        </w:rPr>
        <w:t>Keywords:</w:t>
      </w:r>
      <w:r w:rsidR="00A04AC4" w:rsidRPr="00C4585A">
        <w:t xml:space="preserve"> </w:t>
      </w:r>
      <w:r w:rsidR="00A04AC4" w:rsidRPr="00C4585A">
        <w:rPr>
          <w:rFonts w:ascii="Arial" w:hAnsi="Arial" w:cs="Arial"/>
          <w:i/>
        </w:rPr>
        <w:t xml:space="preserve">Firm reputation, CSR, firm value, </w:t>
      </w:r>
      <w:r w:rsidR="0080530D" w:rsidRPr="00C4585A">
        <w:rPr>
          <w:rFonts w:ascii="Arial" w:hAnsi="Arial" w:cs="Arial"/>
          <w:i/>
        </w:rPr>
        <w:t>brand image</w:t>
      </w:r>
      <w:r w:rsidR="00A04AC4" w:rsidRPr="00C4585A">
        <w:rPr>
          <w:rFonts w:ascii="Arial" w:hAnsi="Arial" w:cs="Arial"/>
          <w:i/>
        </w:rPr>
        <w:t xml:space="preserve">, </w:t>
      </w:r>
      <w:r w:rsidR="0080530D" w:rsidRPr="00C4585A">
        <w:rPr>
          <w:rFonts w:ascii="Arial" w:hAnsi="Arial" w:cs="Arial"/>
          <w:i/>
        </w:rPr>
        <w:t>big-4 Auditors, EVA</w:t>
      </w:r>
    </w:p>
    <w:p w14:paraId="3689A85F" w14:textId="77777777" w:rsidR="00790ADA" w:rsidRPr="00C4585A" w:rsidRDefault="00790ADA" w:rsidP="00441B6F">
      <w:pPr>
        <w:pStyle w:val="Body"/>
        <w:spacing w:after="0"/>
        <w:rPr>
          <w:rFonts w:ascii="Arial" w:hAnsi="Arial" w:cs="Arial"/>
          <w:i/>
        </w:rPr>
      </w:pPr>
    </w:p>
    <w:p w14:paraId="6F96B1E1" w14:textId="77777777" w:rsidR="0024282C" w:rsidRPr="00C4585A" w:rsidRDefault="0024282C" w:rsidP="00441B6F">
      <w:pPr>
        <w:pStyle w:val="Body"/>
        <w:spacing w:after="0"/>
        <w:rPr>
          <w:rFonts w:ascii="Arial" w:hAnsi="Arial" w:cs="Arial"/>
          <w:i/>
          <w:sz w:val="18"/>
        </w:rPr>
      </w:pPr>
    </w:p>
    <w:p w14:paraId="577F613A" w14:textId="69573590" w:rsidR="007F7B32" w:rsidRPr="00C4585A" w:rsidRDefault="00902823" w:rsidP="00441B6F">
      <w:pPr>
        <w:pStyle w:val="AbstHead"/>
        <w:spacing w:after="0"/>
        <w:jc w:val="both"/>
        <w:rPr>
          <w:rFonts w:ascii="Arial" w:hAnsi="Arial" w:cs="Arial"/>
        </w:rPr>
      </w:pPr>
      <w:r w:rsidRPr="00C4585A">
        <w:rPr>
          <w:rFonts w:ascii="Arial" w:hAnsi="Arial" w:cs="Arial"/>
        </w:rPr>
        <w:t xml:space="preserve">1. </w:t>
      </w:r>
      <w:r w:rsidR="00B01FCD" w:rsidRPr="00C4585A">
        <w:rPr>
          <w:rFonts w:ascii="Arial" w:hAnsi="Arial" w:cs="Arial"/>
        </w:rPr>
        <w:t>INTRODUCTION</w:t>
      </w:r>
      <w:r w:rsidR="007F7B32" w:rsidRPr="00C4585A">
        <w:rPr>
          <w:rFonts w:ascii="Arial" w:hAnsi="Arial" w:cs="Arial"/>
        </w:rPr>
        <w:t xml:space="preserve"> </w:t>
      </w:r>
    </w:p>
    <w:p w14:paraId="4CC1D938" w14:textId="77777777" w:rsidR="00790ADA" w:rsidRPr="00C4585A" w:rsidRDefault="00790ADA" w:rsidP="00441B6F">
      <w:pPr>
        <w:pStyle w:val="AbstHead"/>
        <w:spacing w:after="0"/>
        <w:jc w:val="both"/>
        <w:rPr>
          <w:rFonts w:ascii="Arial" w:hAnsi="Arial" w:cs="Arial"/>
        </w:rPr>
      </w:pPr>
    </w:p>
    <w:p w14:paraId="1EBFDD92" w14:textId="5627F2D6" w:rsidR="00C42B9F" w:rsidRDefault="00C42B9F" w:rsidP="00154320">
      <w:pPr>
        <w:pStyle w:val="Body"/>
        <w:spacing w:after="0"/>
        <w:rPr>
          <w:rFonts w:ascii="Arial" w:hAnsi="Arial" w:cs="Arial"/>
        </w:rPr>
      </w:pPr>
      <w:r w:rsidRPr="00C42B9F">
        <w:rPr>
          <w:rFonts w:ascii="Arial" w:hAnsi="Arial" w:cs="Arial"/>
        </w:rPr>
        <w:t>In today's stakeholder-driven environment, corporate value is increasingly shaped by intangible assets. Research emphasizes that the source of corporate value today is no longer solely tangible assets, but relies heavily on intangible assets. Intangible assets, such as reputation and social legitimacy, are considered difficult-to-imitate drivers of competitive advantage and ultimately increase corporate value.</w:t>
      </w:r>
      <w:r>
        <w:rPr>
          <w:rFonts w:ascii="Arial" w:hAnsi="Arial" w:cs="Arial"/>
        </w:rPr>
        <w:t xml:space="preserve"> </w:t>
      </w:r>
      <w:r w:rsidR="00355A2A" w:rsidRPr="00C42B9F">
        <w:rPr>
          <w:rFonts w:ascii="Arial" w:hAnsi="Arial" w:cs="Arial"/>
        </w:rPr>
        <w:t xml:space="preserve">Firm value is seen as a reflection of investors' assessment of a company's future prospects. High firm value is considered attractive because it indicates strong management, lower risk, and business sustainability. </w:t>
      </w:r>
      <w:r w:rsidR="00FE6B4D">
        <w:rPr>
          <w:rFonts w:ascii="Arial" w:hAnsi="Arial" w:cs="Arial"/>
        </w:rPr>
        <w:t>In Indonesian, t</w:t>
      </w:r>
      <w:r w:rsidR="00355A2A" w:rsidRPr="00C42B9F">
        <w:rPr>
          <w:rFonts w:ascii="Arial" w:hAnsi="Arial" w:cs="Arial"/>
        </w:rPr>
        <w:t>his is relevant not only for investors but also for regulators such as the Financial Services Authority (OJK) and the Indonesia Stock Exchange (IDX), as it relates to the attractiveness of the domestic capital market.</w:t>
      </w:r>
    </w:p>
    <w:p w14:paraId="756DA3BB" w14:textId="47F1518E" w:rsidR="001650F0" w:rsidRPr="00C4585A" w:rsidRDefault="001650F0" w:rsidP="00154320">
      <w:pPr>
        <w:pStyle w:val="Body"/>
        <w:spacing w:after="0"/>
        <w:rPr>
          <w:rFonts w:ascii="Arial" w:hAnsi="Arial" w:cs="Arial"/>
        </w:rPr>
      </w:pPr>
      <w:r w:rsidRPr="00C4585A">
        <w:rPr>
          <w:rFonts w:ascii="Arial" w:hAnsi="Arial" w:cs="Arial"/>
        </w:rPr>
        <w:t>Reputation, derived from brand perception, public awards, and affiliations with trusted audit institutions, serves as a crucial signal to investors and regulators. However, how this reputational capital translates into measurable firm value is still a crucial question for emerging markets, where transparency, governance structures, and investor protections vary significantly.</w:t>
      </w:r>
    </w:p>
    <w:p w14:paraId="106D9031" w14:textId="2F808EFC" w:rsidR="00F278E3" w:rsidRDefault="00355A2A" w:rsidP="00154320">
      <w:pPr>
        <w:pStyle w:val="Body"/>
        <w:spacing w:after="0"/>
        <w:rPr>
          <w:rFonts w:ascii="Arial" w:hAnsi="Arial" w:cs="Arial"/>
        </w:rPr>
      </w:pPr>
      <w:r w:rsidRPr="00355A2A">
        <w:rPr>
          <w:rFonts w:ascii="Arial" w:hAnsi="Arial" w:cs="Arial"/>
        </w:rPr>
        <w:t>Corporate social responsibility (CSR) is often proposed as a channel through which intangible factors such as reputation influence stakeholder trust and thereby enhance firm value. Companies can adopt CSR as a proactive strategy to institutionalize the strength of their reputation, thereby signaling alignment with societal expectations and a long-term stakeholder orientation.</w:t>
      </w:r>
      <w:r w:rsidR="00802B41">
        <w:rPr>
          <w:rFonts w:ascii="Arial" w:hAnsi="Arial" w:cs="Arial"/>
        </w:rPr>
        <w:t xml:space="preserve"> </w:t>
      </w:r>
      <w:r w:rsidRPr="00355A2A">
        <w:rPr>
          <w:rFonts w:ascii="Arial" w:hAnsi="Arial" w:cs="Arial"/>
        </w:rPr>
        <w:t xml:space="preserve"> </w:t>
      </w:r>
      <w:r w:rsidR="00802B41" w:rsidRPr="00802B41">
        <w:rPr>
          <w:rFonts w:ascii="Arial" w:hAnsi="Arial" w:cs="Arial"/>
        </w:rPr>
        <w:t>In the context of Indonesia, a country marked by regulatory evolution, increasing investor activism, and growing awareness of ESG as a mediating pathway, further study is warranted. Indonesia has CSR regulatory obligations through the Limited Liability Company Law No. 40/2007 and POJK 51/2017, which encourage institutional investors to pay greater attention to sustainable corporate governance</w:t>
      </w:r>
      <w:r w:rsidR="00CE71AC">
        <w:rPr>
          <w:rFonts w:ascii="Arial" w:hAnsi="Arial" w:cs="Arial"/>
        </w:rPr>
        <w:t xml:space="preserve"> </w:t>
      </w:r>
      <w:r w:rsidR="00CE71AC">
        <w:rPr>
          <w:rFonts w:ascii="Arial" w:hAnsi="Arial" w:cs="Arial"/>
        </w:rPr>
        <w:fldChar w:fldCharType="begin"/>
      </w:r>
      <w:r w:rsidR="00CE71AC">
        <w:rPr>
          <w:rFonts w:ascii="Arial" w:hAnsi="Arial" w:cs="Arial"/>
        </w:rPr>
        <w:instrText xml:space="preserve"> ADDIN EN.CITE &lt;EndNote&gt;&lt;Cite&gt;&lt;Author&gt;RI&lt;/Author&gt;&lt;Year&gt;2007&lt;/Year&gt;&lt;RecNum&gt;7259&lt;/RecNum&gt;&lt;DisplayText&gt;(RI, 2007; RI, 2017)&lt;/DisplayText&gt;&lt;record&gt;&lt;rec-number&gt;7259&lt;/rec-number&gt;&lt;foreign-keys&gt;&lt;key app="EN" db-id="vad00f5scteex2eftaoxddt09d5ex9r9awed" timestamp="1761722776"&gt;7259&lt;/key&gt;&lt;/foreign-keys&gt;&lt;ref-type name="Legal Rule or Regulation"&gt;50&lt;/ref-type&gt;&lt;contributors&gt;&lt;authors&gt;&lt;author&gt;RI, Kemenkumham&lt;/author&gt;&lt;/authors&gt;&lt;/contributors&gt;&lt;titles&gt;&lt;title&gt;Perseroan Terbatas&lt;/title&gt;&lt;/titles&gt;&lt;dates&gt;&lt;year&gt;2007&lt;/year&gt;&lt;/dates&gt;&lt;pub-location&gt;Jakarta&lt;/pub-location&gt;&lt;urls&gt;&lt;/urls&gt;&lt;/record&gt;&lt;/Cite&gt;&lt;Cite&gt;&lt;Author&gt;RI&lt;/Author&gt;&lt;Year&gt;2017&lt;/Year&gt;&lt;RecNum&gt;7252&lt;/RecNum&gt;&lt;record&gt;&lt;rec-number&gt;7252&lt;/rec-number&gt;&lt;foreign-keys&gt;&lt;key app="EN" db-id="vad00f5scteex2eftaoxddt09d5ex9r9awed" timestamp="1759302385"&gt;7252&lt;/key&gt;&lt;/foreign-keys&gt;&lt;ref-type name="Government Document"&gt;46&lt;/ref-type&gt;&lt;contributors&gt;&lt;authors&gt;&lt;author&gt;RI, OJK &lt;/author&gt;&lt;/authors&gt;&lt;secondary-authors&gt;&lt;author&gt;Hukum dan Hak Asasi Manusia&lt;/author&gt;&lt;/secondary-authors&gt;&lt;/contributors&gt;&lt;titles&gt;&lt;title&gt;Salinan&amp;#xD;Peraturan Otoritas Jasa Keuangan Nomor 51 /POJK.03/2017 Tentang&amp;#xD;Penerapan Keuangan Berkelanjutan&amp;#xD;Bagi Lembaga Jasa Keuangan, Emiten, Dan Perusahaan Publik&lt;/title&gt;&lt;/titles&gt;&lt;dates&gt;&lt;year&gt;2017&lt;/year&gt;&lt;/dates&gt;&lt;pub-location&gt;Jakarta&lt;/pub-location&gt;&lt;urls&gt;&lt;/urls&gt;&lt;/record&gt;&lt;/Cite&gt;&lt;/EndNote&gt;</w:instrText>
      </w:r>
      <w:r w:rsidR="00CE71AC">
        <w:rPr>
          <w:rFonts w:ascii="Arial" w:hAnsi="Arial" w:cs="Arial"/>
        </w:rPr>
        <w:fldChar w:fldCharType="separate"/>
      </w:r>
      <w:r w:rsidR="00CE71AC">
        <w:rPr>
          <w:rFonts w:ascii="Arial" w:hAnsi="Arial" w:cs="Arial"/>
          <w:noProof/>
        </w:rPr>
        <w:t>(RI, 2007; RI, 2017)</w:t>
      </w:r>
      <w:r w:rsidR="00CE71AC">
        <w:rPr>
          <w:rFonts w:ascii="Arial" w:hAnsi="Arial" w:cs="Arial"/>
        </w:rPr>
        <w:fldChar w:fldCharType="end"/>
      </w:r>
      <w:r w:rsidR="00802B41" w:rsidRPr="00802B41">
        <w:rPr>
          <w:rFonts w:ascii="Arial" w:hAnsi="Arial" w:cs="Arial"/>
        </w:rPr>
        <w:t>. CSR practices are increasingly viewed not only as charity but also as a business strategy (shared value). However, CSR disclosure across various sectors remains diverse and suboptimal.</w:t>
      </w:r>
      <w:r w:rsidR="00802B41">
        <w:rPr>
          <w:rFonts w:ascii="Arial" w:hAnsi="Arial" w:cs="Arial"/>
        </w:rPr>
        <w:t xml:space="preserve"> </w:t>
      </w:r>
      <w:r w:rsidR="00802B41" w:rsidRPr="00802B41">
        <w:rPr>
          <w:rFonts w:ascii="Arial" w:hAnsi="Arial" w:cs="Arial"/>
        </w:rPr>
        <w:t>The phenomenon is that strong CSR practices (e.g., Unilever Indonesia) are demonstrated by reducing emissions and environmental risks, strengthening social networks with communities, increasing consumer loyalty, strengthening supply chains, and resulting in increased economic value and competitiveness. Conversely, poor CSR practices (related to environmental and social issues in Papua) are associated with significant environmental damage, decreased public and investor trust, and the potential for decreased company value and high social/legal costs. In essence, reputation and social legitimacy are now factored into company valuations. CSR has become an economic factor, not just a moral one.</w:t>
      </w:r>
    </w:p>
    <w:p w14:paraId="7C0F8A87" w14:textId="29196E26" w:rsidR="00C42B9F" w:rsidRDefault="00C42B9F" w:rsidP="00154320">
      <w:pPr>
        <w:pStyle w:val="Body"/>
        <w:spacing w:after="0"/>
        <w:rPr>
          <w:rFonts w:ascii="Arial" w:hAnsi="Arial" w:cs="Arial"/>
        </w:rPr>
      </w:pPr>
      <w:r w:rsidRPr="00C42B9F">
        <w:rPr>
          <w:rFonts w:ascii="Arial" w:hAnsi="Arial" w:cs="Arial"/>
        </w:rPr>
        <w:t>This paper seeks to explore the mediating role of CSR in the relationship between corporate reputation and firm value, while also providing empirical insights with theoretical and policy implications.</w:t>
      </w:r>
    </w:p>
    <w:p w14:paraId="3876944C" w14:textId="77777777" w:rsidR="00C42B9F" w:rsidRDefault="00C42B9F" w:rsidP="00154320">
      <w:pPr>
        <w:pStyle w:val="Body"/>
        <w:spacing w:after="0"/>
        <w:rPr>
          <w:rFonts w:ascii="Arial" w:hAnsi="Arial" w:cs="Arial"/>
        </w:rPr>
      </w:pPr>
    </w:p>
    <w:p w14:paraId="1A75B824" w14:textId="70849B36" w:rsidR="00154320" w:rsidRPr="00317ACE" w:rsidRDefault="00154320" w:rsidP="00B770C3">
      <w:pPr>
        <w:pStyle w:val="Body"/>
        <w:spacing w:after="0"/>
        <w:rPr>
          <w:rFonts w:ascii="Arial" w:hAnsi="Arial" w:cs="Arial"/>
          <w:b/>
          <w:bCs/>
          <w:sz w:val="22"/>
          <w:szCs w:val="22"/>
        </w:rPr>
      </w:pPr>
      <w:r w:rsidRPr="00317ACE">
        <w:rPr>
          <w:rFonts w:ascii="Arial" w:hAnsi="Arial" w:cs="Arial"/>
          <w:b/>
          <w:bCs/>
          <w:sz w:val="22"/>
          <w:szCs w:val="22"/>
        </w:rPr>
        <w:t>Literature Review and Hypothesis Development</w:t>
      </w:r>
    </w:p>
    <w:p w14:paraId="745B460D" w14:textId="77777777" w:rsidR="00334E24" w:rsidRPr="00317ACE" w:rsidRDefault="00334E24" w:rsidP="00B770C3">
      <w:pPr>
        <w:pStyle w:val="Body"/>
        <w:spacing w:after="0"/>
        <w:rPr>
          <w:rFonts w:ascii="Arial" w:hAnsi="Arial" w:cs="Arial"/>
          <w:b/>
          <w:bCs/>
          <w:sz w:val="22"/>
          <w:szCs w:val="22"/>
        </w:rPr>
      </w:pPr>
    </w:p>
    <w:p w14:paraId="312609F5" w14:textId="7AB5B378" w:rsidR="00154320" w:rsidRPr="00317ACE" w:rsidRDefault="00154320" w:rsidP="00B770C3">
      <w:pPr>
        <w:pStyle w:val="Body"/>
        <w:spacing w:after="0"/>
        <w:rPr>
          <w:rFonts w:ascii="Arial" w:hAnsi="Arial" w:cs="Arial"/>
          <w:b/>
          <w:bCs/>
          <w:sz w:val="22"/>
          <w:szCs w:val="22"/>
        </w:rPr>
      </w:pPr>
      <w:r w:rsidRPr="00317ACE">
        <w:rPr>
          <w:rFonts w:ascii="Arial" w:hAnsi="Arial" w:cs="Arial"/>
          <w:b/>
          <w:bCs/>
          <w:sz w:val="22"/>
          <w:szCs w:val="22"/>
        </w:rPr>
        <w:t>1.1 Firm Reputation and Firm Value</w:t>
      </w:r>
    </w:p>
    <w:p w14:paraId="1B58BD6B" w14:textId="04B6294B" w:rsidR="00154320" w:rsidRPr="00C4585A" w:rsidRDefault="00154320" w:rsidP="00334E24">
      <w:pPr>
        <w:pStyle w:val="Body"/>
        <w:spacing w:after="0"/>
        <w:rPr>
          <w:rFonts w:ascii="Arial" w:hAnsi="Arial" w:cs="Arial"/>
        </w:rPr>
      </w:pPr>
      <w:r w:rsidRPr="00C4585A">
        <w:rPr>
          <w:rFonts w:ascii="Arial" w:hAnsi="Arial" w:cs="Arial"/>
        </w:rPr>
        <w:lastRenderedPageBreak/>
        <w:t xml:space="preserve">Firm reputation represents a collective perception of a company’s credibility, integrity, and performance over time. It is accumulated through consistent stakeholder engagement, awards, governance practices, and third-party validation </w:t>
      </w:r>
      <w:r w:rsidR="008913E4" w:rsidRPr="00C4585A">
        <w:rPr>
          <w:rFonts w:ascii="Arial" w:hAnsi="Arial" w:cs="Arial"/>
        </w:rPr>
        <w:fldChar w:fldCharType="begin"/>
      </w:r>
      <w:r w:rsidR="008913E4" w:rsidRPr="00C4585A">
        <w:rPr>
          <w:rFonts w:ascii="Arial" w:hAnsi="Arial" w:cs="Arial"/>
        </w:rPr>
        <w:instrText xml:space="preserve"> ADDIN EN.CITE &lt;EndNote&gt;&lt;Cite&gt;&lt;Author&gt;Fombrun&lt;/Author&gt;&lt;Year&gt;1990&lt;/Year&gt;&lt;RecNum&gt;1189&lt;/RecNum&gt;&lt;DisplayText&gt;(Fombrun &amp;amp; Shanley, 1990)&lt;/DisplayText&gt;&lt;record&gt;&lt;rec-number&gt;1189&lt;/rec-number&gt;&lt;foreign-keys&gt;&lt;key app="EN" db-id="vad00f5scteex2eftaoxddt09d5ex9r9awed" timestamp="1692782868"&gt;1189&lt;/key&gt;&lt;/foreign-keys&gt;&lt;ref-type name="Journal Article"&gt;17&lt;/ref-type&gt;&lt;contributors&gt;&lt;authors&gt;&lt;author&gt;Fombrun, Charles &lt;/author&gt;&lt;author&gt;Shanley, Mark&lt;/author&gt;&lt;/authors&gt;&lt;/contributors&gt;&lt;titles&gt;&lt;title&gt;What&amp;apos;s in a Name? Reputation Building and Corporate Strategy&lt;/title&gt;&lt;secondary-title&gt;The Academy of Management Journal&lt;/secondary-title&gt;&lt;/titles&gt;&lt;periodical&gt;&lt;full-title&gt;The Academy of Management Journal&lt;/full-title&gt;&lt;/periodical&gt;&lt;pages&gt;233-258&lt;/pages&gt;&lt;volume&gt;33&lt;/volume&gt;&lt;number&gt;2&lt;/number&gt;&lt;section&gt;233&lt;/section&gt;&lt;dates&gt;&lt;year&gt;1990&lt;/year&gt;&lt;/dates&gt;&lt;urls&gt;&lt;related-urls&gt;&lt;url&gt;http://www.jstor.org/stable/256324?origin=JSTOR-pdf&lt;/url&gt;&lt;/related-urls&gt;&lt;/urls&gt;&lt;electronic-resource-num&gt;10.2307/256324 &lt;/electronic-resource-num&gt;&lt;/record&gt;&lt;/Cite&gt;&lt;/EndNote&gt;</w:instrText>
      </w:r>
      <w:r w:rsidR="008913E4" w:rsidRPr="00C4585A">
        <w:rPr>
          <w:rFonts w:ascii="Arial" w:hAnsi="Arial" w:cs="Arial"/>
        </w:rPr>
        <w:fldChar w:fldCharType="separate"/>
      </w:r>
      <w:r w:rsidR="008913E4" w:rsidRPr="00C4585A">
        <w:rPr>
          <w:rFonts w:ascii="Arial" w:hAnsi="Arial" w:cs="Arial"/>
          <w:noProof/>
        </w:rPr>
        <w:t>(Fombrun &amp; Shanley, 1990)</w:t>
      </w:r>
      <w:r w:rsidR="008913E4" w:rsidRPr="00C4585A">
        <w:rPr>
          <w:rFonts w:ascii="Arial" w:hAnsi="Arial" w:cs="Arial"/>
        </w:rPr>
        <w:fldChar w:fldCharType="end"/>
      </w:r>
      <w:r w:rsidRPr="00C4585A">
        <w:rPr>
          <w:rFonts w:ascii="Arial" w:hAnsi="Arial" w:cs="Arial"/>
        </w:rPr>
        <w:t>. In financial markets, high-reputation firms are often favored by institutional investors, benefit from lower capital costs, and exhibit higher valuation multiples. Several empirical studies confirm a positive link between reputation and firm performance, but mechanisms remain under debate.</w:t>
      </w:r>
    </w:p>
    <w:p w14:paraId="016C93E6" w14:textId="7C96AE20" w:rsidR="00937408" w:rsidRPr="00C4585A" w:rsidRDefault="00937408" w:rsidP="00334E24">
      <w:pPr>
        <w:pStyle w:val="Body"/>
        <w:spacing w:after="0"/>
        <w:rPr>
          <w:rFonts w:ascii="Arial" w:hAnsi="Arial" w:cs="Arial"/>
        </w:rPr>
      </w:pPr>
      <w:r w:rsidRPr="00C4585A">
        <w:rPr>
          <w:rFonts w:ascii="Arial" w:hAnsi="Arial" w:cs="Arial"/>
        </w:rPr>
        <w:t>In Indonesia, where brand trust is crucial due to information asymmetry and limited law enforcement, corporate reputation is generally proxied using brand recognition indicators and Big-4 auditor engagement. Both indicators reflect external validation and internal compliance.</w:t>
      </w:r>
    </w:p>
    <w:p w14:paraId="0B082F98" w14:textId="77777777" w:rsidR="00937408" w:rsidRPr="00C4585A" w:rsidRDefault="00937408" w:rsidP="00334E24">
      <w:pPr>
        <w:pStyle w:val="Body"/>
        <w:spacing w:after="0"/>
        <w:rPr>
          <w:rFonts w:ascii="Arial" w:hAnsi="Arial" w:cs="Arial"/>
        </w:rPr>
      </w:pPr>
    </w:p>
    <w:p w14:paraId="5ED3AC3F" w14:textId="2FEC3E6D" w:rsidR="00D54BDD" w:rsidRPr="00C4585A" w:rsidRDefault="00D54BDD" w:rsidP="00334E24">
      <w:pPr>
        <w:pStyle w:val="Body"/>
        <w:spacing w:after="0"/>
        <w:rPr>
          <w:rFonts w:ascii="Arial" w:hAnsi="Arial" w:cs="Arial"/>
          <w:b/>
          <w:bCs/>
        </w:rPr>
      </w:pPr>
      <w:r w:rsidRPr="00C4585A">
        <w:rPr>
          <w:rFonts w:ascii="Arial" w:hAnsi="Arial" w:cs="Arial"/>
          <w:b/>
          <w:bCs/>
        </w:rPr>
        <w:t>1.1</w:t>
      </w:r>
      <w:r w:rsidR="00087AEF" w:rsidRPr="00C4585A">
        <w:rPr>
          <w:rFonts w:ascii="Arial" w:hAnsi="Arial" w:cs="Arial"/>
          <w:b/>
          <w:bCs/>
        </w:rPr>
        <w:t>.1</w:t>
      </w:r>
      <w:r w:rsidRPr="00C4585A">
        <w:rPr>
          <w:rFonts w:ascii="Arial" w:hAnsi="Arial" w:cs="Arial"/>
          <w:b/>
          <w:bCs/>
        </w:rPr>
        <w:t xml:space="preserve"> Relationship between Big-4 KAP Audit and Firm Value</w:t>
      </w:r>
    </w:p>
    <w:p w14:paraId="36677B4D" w14:textId="1C37A25E" w:rsidR="00154320" w:rsidRPr="00C4585A" w:rsidRDefault="00D54BDD" w:rsidP="00334E24">
      <w:pPr>
        <w:pStyle w:val="Body"/>
        <w:spacing w:after="0"/>
        <w:rPr>
          <w:rFonts w:ascii="Arial" w:hAnsi="Arial" w:cs="Arial"/>
        </w:rPr>
      </w:pPr>
      <w:r w:rsidRPr="00C4585A">
        <w:rPr>
          <w:rFonts w:ascii="Arial" w:hAnsi="Arial" w:cs="Arial"/>
        </w:rPr>
        <w:t xml:space="preserve">Audits by Big-4 Public Accounting Firms (KAP), namely Deloitte, PwC, EY, and KPMG, represent a representation of external reputation and quality assurance for a company's financial statements. Within the framework of Signaling Theory </w:t>
      </w:r>
      <w:r w:rsidR="008913E4" w:rsidRPr="00C4585A">
        <w:rPr>
          <w:rFonts w:ascii="Arial" w:hAnsi="Arial" w:cs="Arial"/>
        </w:rPr>
        <w:fldChar w:fldCharType="begin"/>
      </w:r>
      <w:r w:rsidR="008913E4" w:rsidRPr="00C4585A">
        <w:rPr>
          <w:rFonts w:ascii="Arial" w:hAnsi="Arial" w:cs="Arial"/>
        </w:rPr>
        <w:instrText xml:space="preserve"> ADDIN EN.CITE &lt;EndNote&gt;&lt;Cite&gt;&lt;Author&gt;Connelly&lt;/Author&gt;&lt;Year&gt;2011&lt;/Year&gt;&lt;RecNum&gt;1149&lt;/RecNum&gt;&lt;DisplayText&gt;(Connelly et al., 2011)&lt;/DisplayText&gt;&lt;record&gt;&lt;rec-number&gt;1149&lt;/rec-number&gt;&lt;foreign-keys&gt;&lt;key app="EN" db-id="vad00f5scteex2eftaoxddt09d5ex9r9awed" timestamp="1692260642"&gt;1149&lt;/key&gt;&lt;/foreign-keys&gt;&lt;ref-type name="Journal Article"&gt;17&lt;/ref-type&gt;&lt;contributors&gt;&lt;authors&gt;&lt;author&gt;Connelly, Brian L.&lt;/author&gt;&lt;author&gt;Certo, S. Trevis&lt;/author&gt;&lt;author&gt;Ireland, R. Duane&lt;/author&gt;&lt;author&gt;Reutzel, Christopher R.&lt;/author&gt;&lt;/authors&gt;&lt;/contributors&gt;&lt;titles&gt;&lt;title&gt;Signaling Theory: A Review and Assessment&lt;/title&gt;&lt;secondary-title&gt;Journal of Management&lt;/secondary-title&gt;&lt;/titles&gt;&lt;periodical&gt;&lt;full-title&gt;Journal of Management&lt;/full-title&gt;&lt;/periodical&gt;&lt;pages&gt;39-67&lt;/pages&gt;&lt;volume&gt;37&lt;/volume&gt;&lt;number&gt;1&lt;/number&gt;&lt;section&gt;39&lt;/section&gt;&lt;dates&gt;&lt;year&gt;2011&lt;/year&gt;&lt;/dates&gt;&lt;isbn&gt;0149-2063&amp;#xD;1557-1211&lt;/isbn&gt;&lt;urls&gt;&lt;/urls&gt;&lt;electronic-resource-num&gt;10.1177/0149206310388419&lt;/electronic-resource-num&gt;&lt;/record&gt;&lt;/Cite&gt;&lt;/EndNote&gt;</w:instrText>
      </w:r>
      <w:r w:rsidR="008913E4" w:rsidRPr="00C4585A">
        <w:rPr>
          <w:rFonts w:ascii="Arial" w:hAnsi="Arial" w:cs="Arial"/>
        </w:rPr>
        <w:fldChar w:fldCharType="separate"/>
      </w:r>
      <w:r w:rsidR="008913E4" w:rsidRPr="00C4585A">
        <w:rPr>
          <w:rFonts w:ascii="Arial" w:hAnsi="Arial" w:cs="Arial"/>
          <w:noProof/>
        </w:rPr>
        <w:t>(Connelly et al., 2011)</w:t>
      </w:r>
      <w:r w:rsidR="008913E4" w:rsidRPr="00C4585A">
        <w:rPr>
          <w:rFonts w:ascii="Arial" w:hAnsi="Arial" w:cs="Arial"/>
        </w:rPr>
        <w:fldChar w:fldCharType="end"/>
      </w:r>
      <w:r w:rsidRPr="00C4585A">
        <w:rPr>
          <w:rFonts w:ascii="Arial" w:hAnsi="Arial" w:cs="Arial"/>
        </w:rPr>
        <w:t xml:space="preserve">, the involvement of Big-4 public accounting firms sends a positive signal to investors and stakeholders regarding the company's credibility, as well as quality assurance that can reduce information risk, thereby increasing market confidence, ultimately increasing firm value. </w:t>
      </w:r>
      <w:r w:rsidR="008913E4" w:rsidRPr="00C4585A">
        <w:rPr>
          <w:rFonts w:ascii="Arial" w:hAnsi="Arial" w:cs="Arial"/>
        </w:rPr>
        <w:fldChar w:fldCharType="begin"/>
      </w:r>
      <w:r w:rsidR="008913E4" w:rsidRPr="00C4585A">
        <w:rPr>
          <w:rFonts w:ascii="Arial" w:hAnsi="Arial" w:cs="Arial"/>
        </w:rPr>
        <w:instrText xml:space="preserve"> ADDIN EN.CITE &lt;EndNote&gt;&lt;Cite AuthorYear="1"&gt;&lt;Author&gt;Natalia&lt;/Author&gt;&lt;Year&gt;2024&lt;/Year&gt;&lt;RecNum&gt;7254&lt;/RecNum&gt;&lt;DisplayText&gt;Natalia et al. (2024)&lt;/DisplayText&gt;&lt;record&gt;&lt;rec-number&gt;7254&lt;/rec-number&gt;&lt;foreign-keys&gt;&lt;key app="EN" db-id="vad00f5scteex2eftaoxddt09d5ex9r9awed" timestamp="1760060128"&gt;7254&lt;/key&gt;&lt;/foreign-keys&gt;&lt;ref-type name="Conference Proceedings"&gt;10&lt;/ref-type&gt;&lt;contributors&gt;&lt;authors&gt;&lt;author&gt;Natalia, Lita., &lt;/author&gt;&lt;author&gt;Widarsono, Agus., &lt;/author&gt;&lt;author&gt;Widyaningsih, Aristanti.&lt;/author&gt;&lt;/authors&gt;&lt;/contributors&gt;&lt;titles&gt;&lt;title&gt;The Role Of Auditee, Auditor, and Angagement To Audit Fee at SOEs&lt;/title&gt;&lt;secondary-title&gt;International Conference on Accounting &amp;amp; Finance&lt;/secondary-title&gt;&lt;/titles&gt;&lt;pages&gt;11-24&lt;/pages&gt;&lt;volume&gt;2&lt;/volume&gt;&lt;dates&gt;&lt;year&gt;2024&lt;/year&gt;&lt;/dates&gt;&lt;pub-location&gt;Departemen Akuntansi, Fakultas Bisnis &amp;amp; Ekonomi, Universitas Islam Indonesia.&lt;/pub-location&gt;&lt;urls&gt;&lt;/urls&gt;&lt;/record&gt;&lt;/Cite&gt;&lt;/EndNote&gt;</w:instrText>
      </w:r>
      <w:r w:rsidR="008913E4" w:rsidRPr="00C4585A">
        <w:rPr>
          <w:rFonts w:ascii="Arial" w:hAnsi="Arial" w:cs="Arial"/>
        </w:rPr>
        <w:fldChar w:fldCharType="separate"/>
      </w:r>
      <w:r w:rsidR="008913E4" w:rsidRPr="00C4585A">
        <w:rPr>
          <w:rFonts w:ascii="Arial" w:hAnsi="Arial" w:cs="Arial"/>
          <w:noProof/>
        </w:rPr>
        <w:t>Natalia et al. (2024)</w:t>
      </w:r>
      <w:r w:rsidR="008913E4" w:rsidRPr="00C4585A">
        <w:rPr>
          <w:rFonts w:ascii="Arial" w:hAnsi="Arial" w:cs="Arial"/>
        </w:rPr>
        <w:fldChar w:fldCharType="end"/>
      </w:r>
      <w:r w:rsidRPr="00C4585A">
        <w:rPr>
          <w:rFonts w:ascii="Arial" w:hAnsi="Arial" w:cs="Arial"/>
        </w:rPr>
        <w:t xml:space="preserve"> assessed that due to their higher reputation and quality expectations, audit fees for companies using Big-4 public accounting firms tend to be higher. And generally, due to their scale and international exposure, they have higher technical capabilities, training, and quality human resources </w:t>
      </w:r>
      <w:r w:rsidR="008913E4" w:rsidRPr="00C4585A">
        <w:rPr>
          <w:rFonts w:ascii="Arial" w:hAnsi="Arial" w:cs="Arial"/>
        </w:rPr>
        <w:fldChar w:fldCharType="begin"/>
      </w:r>
      <w:r w:rsidR="008913E4" w:rsidRPr="00C4585A">
        <w:rPr>
          <w:rFonts w:ascii="Arial" w:hAnsi="Arial" w:cs="Arial"/>
        </w:rPr>
        <w:instrText xml:space="preserve"> ADDIN EN.CITE &lt;EndNote&gt;&lt;Cite&gt;&lt;Author&gt;Hidayah&lt;/Author&gt;&lt;Year&gt;2021&lt;/Year&gt;&lt;RecNum&gt;7255&lt;/RecNum&gt;&lt;DisplayText&gt;(Hidayah et al., 2021)&lt;/DisplayText&gt;&lt;record&gt;&lt;rec-number&gt;7255&lt;/rec-number&gt;&lt;foreign-keys&gt;&lt;key app="EN" db-id="vad00f5scteex2eftaoxddt09d5ex9r9awed" timestamp="1760061972"&gt;7255&lt;/key&gt;&lt;/foreign-keys&gt;&lt;ref-type name="Conference Paper"&gt;47&lt;/ref-type&gt;&lt;contributors&gt;&lt;authors&gt;&lt;author&gt;Hidayah, Retnoningrum&lt;/author&gt;&lt;author&gt;Darmawan, Wisnu&lt;/author&gt;&lt;author&gt;Suryarini, Trisni&lt;/author&gt;&lt;author&gt;Suryandari, Dhini&lt;/author&gt;&lt;author&gt;Rahayu, Rita&lt;/author&gt;&lt;/authors&gt;&lt;/contributors&gt;&lt;titles&gt;&lt;title&gt;The Effect of the Size of Public Accounting Firms (KAP) and Specialist Auditors on Audit Quality with the Audit Committee as a Moderating Variable&lt;/title&gt;&lt;secondary-title&gt;Proceedings of the 3rd International Conference on Economics, Business and Economic Education Science, ICE-BEES 2020, 22-23 July 2020, Semarang, Indonesia&lt;/secondary-title&gt;&lt;/titles&gt;&lt;dates&gt;&lt;year&gt;2021&lt;/year&gt;&lt;/dates&gt;&lt;urls&gt;&lt;/urls&gt;&lt;electronic-resource-num&gt;10.4108/eai.22-7-2020.2307931&lt;/electronic-resource-num&gt;&lt;/record&gt;&lt;/Cite&gt;&lt;/EndNote&gt;</w:instrText>
      </w:r>
      <w:r w:rsidR="008913E4" w:rsidRPr="00C4585A">
        <w:rPr>
          <w:rFonts w:ascii="Arial" w:hAnsi="Arial" w:cs="Arial"/>
        </w:rPr>
        <w:fldChar w:fldCharType="separate"/>
      </w:r>
      <w:r w:rsidR="008913E4" w:rsidRPr="00C4585A">
        <w:rPr>
          <w:rFonts w:ascii="Arial" w:hAnsi="Arial" w:cs="Arial"/>
          <w:noProof/>
        </w:rPr>
        <w:t>(Hidayah et al., 2021)</w:t>
      </w:r>
      <w:r w:rsidR="008913E4" w:rsidRPr="00C4585A">
        <w:rPr>
          <w:rFonts w:ascii="Arial" w:hAnsi="Arial" w:cs="Arial"/>
        </w:rPr>
        <w:fldChar w:fldCharType="end"/>
      </w:r>
      <w:r w:rsidRPr="00C4585A">
        <w:rPr>
          <w:rFonts w:ascii="Arial" w:hAnsi="Arial" w:cs="Arial"/>
        </w:rPr>
        <w:t>. Based on this, we propose the following hypothesis:</w:t>
      </w:r>
    </w:p>
    <w:p w14:paraId="63955EAA" w14:textId="69ED5EFE" w:rsidR="00D54BDD" w:rsidRPr="00C4585A" w:rsidRDefault="00A706A8" w:rsidP="00334E24">
      <w:pPr>
        <w:pStyle w:val="Body"/>
        <w:spacing w:after="0"/>
        <w:rPr>
          <w:rFonts w:ascii="Arial" w:hAnsi="Arial" w:cs="Arial"/>
        </w:rPr>
      </w:pPr>
      <w:r>
        <w:rPr>
          <w:rFonts w:ascii="Arial" w:hAnsi="Arial" w:cs="Arial"/>
        </w:rPr>
        <w:t>Hypothesis 0:</w:t>
      </w:r>
      <w:r w:rsidRPr="00A706A8">
        <w:rPr>
          <w:rFonts w:ascii="Arial" w:hAnsi="Arial" w:cs="Arial"/>
        </w:rPr>
        <w:t xml:space="preserve"> Big-4 KAP </w:t>
      </w:r>
      <w:r>
        <w:rPr>
          <w:rFonts w:ascii="Arial" w:hAnsi="Arial" w:cs="Arial"/>
        </w:rPr>
        <w:t>A</w:t>
      </w:r>
      <w:r w:rsidRPr="00A706A8">
        <w:rPr>
          <w:rFonts w:ascii="Arial" w:hAnsi="Arial" w:cs="Arial"/>
        </w:rPr>
        <w:t xml:space="preserve">udit do not have a positive effect on </w:t>
      </w:r>
      <w:r>
        <w:rPr>
          <w:rFonts w:ascii="Arial" w:hAnsi="Arial" w:cs="Arial"/>
        </w:rPr>
        <w:t>firm</w:t>
      </w:r>
      <w:r w:rsidRPr="00A706A8">
        <w:rPr>
          <w:rFonts w:ascii="Arial" w:hAnsi="Arial" w:cs="Arial"/>
        </w:rPr>
        <w:t xml:space="preserve"> value.</w:t>
      </w:r>
    </w:p>
    <w:p w14:paraId="3AF2131D" w14:textId="699CCA5E" w:rsidR="00154320" w:rsidRPr="00C4585A" w:rsidRDefault="00154320" w:rsidP="00334E24">
      <w:pPr>
        <w:pStyle w:val="Body"/>
        <w:spacing w:after="0"/>
        <w:rPr>
          <w:rFonts w:ascii="Arial" w:hAnsi="Arial" w:cs="Arial"/>
        </w:rPr>
      </w:pPr>
      <w:r w:rsidRPr="00C4585A">
        <w:rPr>
          <w:rFonts w:ascii="Arial" w:hAnsi="Arial" w:cs="Arial"/>
        </w:rPr>
        <w:t>Hypothesis 1:</w:t>
      </w:r>
      <w:r w:rsidR="00D54BDD" w:rsidRPr="00C4585A">
        <w:t xml:space="preserve"> </w:t>
      </w:r>
      <w:r w:rsidR="00D54BDD" w:rsidRPr="00C4585A">
        <w:rPr>
          <w:rFonts w:ascii="Arial" w:hAnsi="Arial" w:cs="Arial"/>
        </w:rPr>
        <w:t xml:space="preserve">Big-4 </w:t>
      </w:r>
      <w:r w:rsidR="006F7392" w:rsidRPr="00C4585A">
        <w:t>KAP Audit</w:t>
      </w:r>
      <w:r w:rsidR="006F7392" w:rsidRPr="00C4585A">
        <w:rPr>
          <w:rFonts w:ascii="Arial" w:hAnsi="Arial" w:cs="Arial"/>
        </w:rPr>
        <w:t xml:space="preserve"> </w:t>
      </w:r>
      <w:r w:rsidR="00D54BDD" w:rsidRPr="00C4585A">
        <w:rPr>
          <w:rFonts w:ascii="Arial" w:hAnsi="Arial" w:cs="Arial"/>
        </w:rPr>
        <w:t>have a positive effect on firm value.</w:t>
      </w:r>
    </w:p>
    <w:p w14:paraId="2EEE53C5" w14:textId="77777777" w:rsidR="00334E24" w:rsidRPr="00C4585A" w:rsidRDefault="00334E24" w:rsidP="00334E24">
      <w:pPr>
        <w:pStyle w:val="Body"/>
        <w:spacing w:after="0"/>
        <w:rPr>
          <w:rFonts w:ascii="Arial" w:hAnsi="Arial" w:cs="Arial"/>
        </w:rPr>
      </w:pPr>
    </w:p>
    <w:p w14:paraId="0AB04F23" w14:textId="642B7F3A" w:rsidR="006F7392" w:rsidRPr="00C4585A" w:rsidRDefault="006F7392" w:rsidP="00334E24">
      <w:pPr>
        <w:pStyle w:val="Body"/>
        <w:spacing w:after="0"/>
        <w:rPr>
          <w:rFonts w:ascii="Arial" w:hAnsi="Arial" w:cs="Arial"/>
          <w:b/>
          <w:bCs/>
        </w:rPr>
      </w:pPr>
      <w:r w:rsidRPr="00C4585A">
        <w:rPr>
          <w:rFonts w:ascii="Arial" w:hAnsi="Arial" w:cs="Arial"/>
          <w:b/>
          <w:bCs/>
        </w:rPr>
        <w:t>1.</w:t>
      </w:r>
      <w:r w:rsidR="00087AEF" w:rsidRPr="00C4585A">
        <w:rPr>
          <w:rFonts w:ascii="Arial" w:hAnsi="Arial" w:cs="Arial"/>
          <w:b/>
          <w:bCs/>
        </w:rPr>
        <w:t>1.</w:t>
      </w:r>
      <w:r w:rsidRPr="00C4585A">
        <w:rPr>
          <w:rFonts w:ascii="Arial" w:hAnsi="Arial" w:cs="Arial"/>
          <w:b/>
          <w:bCs/>
        </w:rPr>
        <w:t>2 Relationship between Brand Image and Firm Value</w:t>
      </w:r>
    </w:p>
    <w:p w14:paraId="1003638C" w14:textId="6DEB0352" w:rsidR="006F7392" w:rsidRPr="00C4585A" w:rsidRDefault="006F7392" w:rsidP="006F7392">
      <w:pPr>
        <w:pStyle w:val="Body"/>
        <w:spacing w:after="0"/>
        <w:rPr>
          <w:rFonts w:ascii="Arial" w:hAnsi="Arial" w:cs="Arial"/>
        </w:rPr>
      </w:pPr>
      <w:r w:rsidRPr="00C4585A">
        <w:rPr>
          <w:rFonts w:ascii="Arial" w:hAnsi="Arial" w:cs="Arial"/>
        </w:rPr>
        <w:t xml:space="preserve">Brand image is the public's perception of a company's reputation and brand value, reflecting consumer image, corporate values, and strategic differentiation. From the RBV perspective, brand image is an intangible resource that creates competitive advantage. Meanwhile, in Signaling Theory, brand image serves as a market signal regarding a company's quality and integrity </w:t>
      </w:r>
      <w:r w:rsidR="008913E4" w:rsidRPr="00C4585A">
        <w:rPr>
          <w:rFonts w:ascii="Arial" w:hAnsi="Arial" w:cs="Arial"/>
        </w:rPr>
        <w:fldChar w:fldCharType="begin"/>
      </w:r>
      <w:r w:rsidR="008913E4" w:rsidRPr="00C4585A">
        <w:rPr>
          <w:rFonts w:ascii="Arial" w:hAnsi="Arial" w:cs="Arial"/>
        </w:rPr>
        <w:instrText xml:space="preserve"> ADDIN EN.CITE &lt;EndNote&gt;&lt;Cite&gt;&lt;Author&gt;Connelly&lt;/Author&gt;&lt;Year&gt;2011&lt;/Year&gt;&lt;RecNum&gt;1149&lt;/RecNum&gt;&lt;DisplayText&gt;(Connelly et al., 2011)&lt;/DisplayText&gt;&lt;record&gt;&lt;rec-number&gt;1149&lt;/rec-number&gt;&lt;foreign-keys&gt;&lt;key app="EN" db-id="vad00f5scteex2eftaoxddt09d5ex9r9awed" timestamp="1692260642"&gt;1149&lt;/key&gt;&lt;/foreign-keys&gt;&lt;ref-type name="Journal Article"&gt;17&lt;/ref-type&gt;&lt;contributors&gt;&lt;authors&gt;&lt;author&gt;Connelly, Brian L.&lt;/author&gt;&lt;author&gt;Certo, S. Trevis&lt;/author&gt;&lt;author&gt;Ireland, R. Duane&lt;/author&gt;&lt;author&gt;Reutzel, Christopher R.&lt;/author&gt;&lt;/authors&gt;&lt;/contributors&gt;&lt;titles&gt;&lt;title&gt;Signaling Theory: A Review and Assessment&lt;/title&gt;&lt;secondary-title&gt;Journal of Management&lt;/secondary-title&gt;&lt;/titles&gt;&lt;periodical&gt;&lt;full-title&gt;Journal of Management&lt;/full-title&gt;&lt;/periodical&gt;&lt;pages&gt;39-67&lt;/pages&gt;&lt;volume&gt;37&lt;/volume&gt;&lt;number&gt;1&lt;/number&gt;&lt;section&gt;39&lt;/section&gt;&lt;dates&gt;&lt;year&gt;2011&lt;/year&gt;&lt;/dates&gt;&lt;isbn&gt;0149-2063&amp;#xD;1557-1211&lt;/isbn&gt;&lt;urls&gt;&lt;/urls&gt;&lt;electronic-resource-num&gt;10.1177/0149206310388419&lt;/electronic-resource-num&gt;&lt;/record&gt;&lt;/Cite&gt;&lt;/EndNote&gt;</w:instrText>
      </w:r>
      <w:r w:rsidR="008913E4" w:rsidRPr="00C4585A">
        <w:rPr>
          <w:rFonts w:ascii="Arial" w:hAnsi="Arial" w:cs="Arial"/>
        </w:rPr>
        <w:fldChar w:fldCharType="separate"/>
      </w:r>
      <w:r w:rsidR="008913E4" w:rsidRPr="00C4585A">
        <w:rPr>
          <w:rFonts w:ascii="Arial" w:hAnsi="Arial" w:cs="Arial"/>
          <w:noProof/>
        </w:rPr>
        <w:t>(Connelly et al., 2011)</w:t>
      </w:r>
      <w:r w:rsidR="008913E4" w:rsidRPr="00C4585A">
        <w:rPr>
          <w:rFonts w:ascii="Arial" w:hAnsi="Arial" w:cs="Arial"/>
        </w:rPr>
        <w:fldChar w:fldCharType="end"/>
      </w:r>
      <w:r w:rsidRPr="00C4585A">
        <w:rPr>
          <w:rFonts w:ascii="Arial" w:hAnsi="Arial" w:cs="Arial"/>
        </w:rPr>
        <w:t>.</w:t>
      </w:r>
    </w:p>
    <w:p w14:paraId="6801EF21" w14:textId="721F6D42" w:rsidR="006F7392" w:rsidRPr="00C4585A" w:rsidRDefault="006F7392" w:rsidP="006F7392">
      <w:pPr>
        <w:pStyle w:val="Body"/>
        <w:spacing w:after="0"/>
        <w:rPr>
          <w:rFonts w:ascii="Arial" w:hAnsi="Arial" w:cs="Arial"/>
        </w:rPr>
      </w:pPr>
      <w:r w:rsidRPr="00C4585A">
        <w:rPr>
          <w:rFonts w:ascii="Arial" w:hAnsi="Arial" w:cs="Arial"/>
        </w:rPr>
        <w:t xml:space="preserve">Research by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AuthorYear="1"&gt;&lt;Author&gt;Keller&lt;/Author&gt;&lt;Year&gt;1993&lt;/Year&gt;&lt;RecNum&gt;7117&lt;/RecNum&gt;&lt;DisplayText&gt;Keller (1993)&lt;/DisplayText&gt;&lt;record&gt;&lt;rec-number&gt;7117&lt;/rec-number&gt;&lt;foreign-keys&gt;&lt;key app="EN" db-id="vad00f5scteex2eftaoxddt09d5ex9r9awed" timestamp="1742022594"&gt;7117&lt;/key&gt;&lt;/foreign-keys&gt;&lt;ref-type name="Journal Article"&gt;17&lt;/ref-type&gt;&lt;contributors&gt;&lt;authors&gt;&lt;author&gt;Keller, Kevin Lane&lt;/author&gt;&lt;/authors&gt;&lt;/contributors&gt;&lt;titles&gt;&lt;title&gt;Conceptualizing, Measuring, and Managing Customer-Based Brand Equity&lt;/title&gt;&lt;secondary-title&gt;Journal of Marketing&lt;/secondary-title&gt;&lt;/titles&gt;&lt;periodical&gt;&lt;full-title&gt;Journal of Marketing&lt;/full-title&gt;&lt;/periodical&gt;&lt;pages&gt;1-22&lt;/pages&gt;&lt;volume&gt;57&lt;/volume&gt;&lt;dates&gt;&lt;year&gt;1993&lt;/year&gt;&lt;/dates&gt;&lt;urls&gt;&lt;/urls&gt;&lt;/record&gt;&lt;/Cite&gt;&lt;/EndNote&gt;</w:instrText>
      </w:r>
      <w:r w:rsidR="000E706E" w:rsidRPr="00C4585A">
        <w:rPr>
          <w:rFonts w:ascii="Arial" w:hAnsi="Arial" w:cs="Arial"/>
        </w:rPr>
        <w:fldChar w:fldCharType="separate"/>
      </w:r>
      <w:r w:rsidR="000E706E" w:rsidRPr="00C4585A">
        <w:rPr>
          <w:rFonts w:ascii="Arial" w:hAnsi="Arial" w:cs="Arial"/>
          <w:noProof/>
        </w:rPr>
        <w:t>Keller (1993)</w:t>
      </w:r>
      <w:r w:rsidR="000E706E" w:rsidRPr="00C4585A">
        <w:rPr>
          <w:rFonts w:ascii="Arial" w:hAnsi="Arial" w:cs="Arial"/>
        </w:rPr>
        <w:fldChar w:fldCharType="end"/>
      </w:r>
      <w:r w:rsidRPr="00C4585A">
        <w:rPr>
          <w:rFonts w:ascii="Arial" w:hAnsi="Arial" w:cs="Arial"/>
        </w:rPr>
        <w:t xml:space="preserve">,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AuthorYear="1"&gt;&lt;Author&gt;Morgan&lt;/Author&gt;&lt;Year&gt;2009&lt;/Year&gt;&lt;RecNum&gt;7121&lt;/RecNum&gt;&lt;DisplayText&gt;Morgan and Rego (2009)&lt;/DisplayText&gt;&lt;record&gt;&lt;rec-number&gt;7121&lt;/rec-number&gt;&lt;foreign-keys&gt;&lt;key app="EN" db-id="vad00f5scteex2eftaoxddt09d5ex9r9awed" timestamp="1742263255"&gt;7121&lt;/key&gt;&lt;/foreign-keys&gt;&lt;ref-type name="Journal Article"&gt;17&lt;/ref-type&gt;&lt;contributors&gt;&lt;authors&gt;&lt;author&gt;Morgan, Neil A&lt;/author&gt;&lt;author&gt;Rego, Lopo L&lt;/author&gt;&lt;/authors&gt;&lt;/contributors&gt;&lt;titles&gt;&lt;title&gt;Brand Portfolio Strategy And Firm Performance&lt;/title&gt;&lt;secondary-title&gt;Journal of Marketing&lt;/secondary-title&gt;&lt;/titles&gt;&lt;periodical&gt;&lt;full-title&gt;Journal of Marketing&lt;/full-title&gt;&lt;/periodical&gt;&lt;pages&gt;59-74&lt;/pages&gt;&lt;volume&gt;73&lt;/volume&gt;&lt;number&gt;1&lt;/number&gt;&lt;dates&gt;&lt;year&gt;2009&lt;/year&gt;&lt;/dates&gt;&lt;isbn&gt;0022-2429&lt;/isbn&gt;&lt;urls&gt;&lt;/urls&gt;&lt;/record&gt;&lt;/Cite&gt;&lt;/EndNote&gt;</w:instrText>
      </w:r>
      <w:r w:rsidR="000E706E" w:rsidRPr="00C4585A">
        <w:rPr>
          <w:rFonts w:ascii="Arial" w:hAnsi="Arial" w:cs="Arial"/>
        </w:rPr>
        <w:fldChar w:fldCharType="separate"/>
      </w:r>
      <w:r w:rsidR="000E706E" w:rsidRPr="00C4585A">
        <w:rPr>
          <w:rFonts w:ascii="Arial" w:hAnsi="Arial" w:cs="Arial"/>
          <w:noProof/>
        </w:rPr>
        <w:t>Morgan and Rego (2009)</w:t>
      </w:r>
      <w:r w:rsidR="000E706E" w:rsidRPr="00C4585A">
        <w:rPr>
          <w:rFonts w:ascii="Arial" w:hAnsi="Arial" w:cs="Arial"/>
        </w:rPr>
        <w:fldChar w:fldCharType="end"/>
      </w:r>
      <w:r w:rsidRPr="00C4585A">
        <w:rPr>
          <w:rFonts w:ascii="Arial" w:hAnsi="Arial" w:cs="Arial"/>
        </w:rPr>
        <w:t xml:space="preserve">, and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AuthorYear="1"&gt;&lt;Author&gt;Mizik&lt;/Author&gt;&lt;Year&gt;2008&lt;/Year&gt;&lt;RecNum&gt;7119&lt;/RecNum&gt;&lt;DisplayText&gt;Mizik and Jacobson (2008)&lt;/DisplayText&gt;&lt;record&gt;&lt;rec-number&gt;7119&lt;/rec-number&gt;&lt;foreign-keys&gt;&lt;key app="EN" db-id="vad00f5scteex2eftaoxddt09d5ex9r9awed" timestamp="1742262784"&gt;7119&lt;/key&gt;&lt;/foreign-keys&gt;&lt;ref-type name="Journal Article"&gt;17&lt;/ref-type&gt;&lt;contributors&gt;&lt;authors&gt;&lt;author&gt;Mizik, Natalie&lt;/author&gt;&lt;author&gt;Jacobson, Robert&lt;/author&gt;&lt;/authors&gt;&lt;/contributors&gt;&lt;titles&gt;&lt;title&gt;The Financial Value Impact of Perceptual Brand Attributes&lt;/title&gt;&lt;secondary-title&gt;Journal of Marketing Research&lt;/secondary-title&gt;&lt;/titles&gt;&lt;periodical&gt;&lt;full-title&gt;Journal of marketing research&lt;/full-title&gt;&lt;/periodical&gt;&lt;pages&gt;15-32&lt;/pages&gt;&lt;volume&gt;45&lt;/volume&gt;&lt;number&gt;1&lt;/number&gt;&lt;dates&gt;&lt;year&gt;2008&lt;/year&gt;&lt;/dates&gt;&lt;isbn&gt;0022-2437&lt;/isbn&gt;&lt;urls&gt;&lt;/urls&gt;&lt;/record&gt;&lt;/Cite&gt;&lt;/EndNote&gt;</w:instrText>
      </w:r>
      <w:r w:rsidR="000E706E" w:rsidRPr="00C4585A">
        <w:rPr>
          <w:rFonts w:ascii="Arial" w:hAnsi="Arial" w:cs="Arial"/>
        </w:rPr>
        <w:fldChar w:fldCharType="separate"/>
      </w:r>
      <w:r w:rsidR="000E706E" w:rsidRPr="00C4585A">
        <w:rPr>
          <w:rFonts w:ascii="Arial" w:hAnsi="Arial" w:cs="Arial"/>
          <w:noProof/>
        </w:rPr>
        <w:t>Mizik and Jacobson (2008)</w:t>
      </w:r>
      <w:r w:rsidR="000E706E" w:rsidRPr="00C4585A">
        <w:rPr>
          <w:rFonts w:ascii="Arial" w:hAnsi="Arial" w:cs="Arial"/>
        </w:rPr>
        <w:fldChar w:fldCharType="end"/>
      </w:r>
      <w:r w:rsidRPr="00C4585A">
        <w:rPr>
          <w:rFonts w:ascii="Arial" w:hAnsi="Arial" w:cs="Arial"/>
        </w:rPr>
        <w:t xml:space="preserve"> shows that a strong brand image is positively correlated with firm value. Similarly, research by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AuthorYear="1"&gt;&lt;Author&gt;Martínez&lt;/Author&gt;&lt;Year&gt;2013&lt;/Year&gt;&lt;RecNum&gt;7155&lt;/RecNum&gt;&lt;DisplayText&gt;Martínez and Rodríguez del Bosque (2013)&lt;/DisplayText&gt;&lt;record&gt;&lt;rec-number&gt;7155&lt;/rec-number&gt;&lt;foreign-keys&gt;&lt;key app="EN" db-id="vad00f5scteex2eftaoxddt09d5ex9r9awed" timestamp="1744610309"&gt;7155&lt;/key&gt;&lt;/foreign-keys&gt;&lt;ref-type name="Journal Article"&gt;17&lt;/ref-type&gt;&lt;contributors&gt;&lt;authors&gt;&lt;author&gt;Martínez, Patricia&lt;/author&gt;&lt;author&gt;Rodríguez del Bosque, Ignacio&lt;/author&gt;&lt;/authors&gt;&lt;/contributors&gt;&lt;titles&gt;&lt;title&gt;CSR And Customer Loyalty: The Roles Of Trust, Customer Identification With The Company And Satisfaction&lt;/title&gt;&lt;secondary-title&gt;International Journal of Hospitality Management&lt;/secondary-title&gt;&lt;/titles&gt;&lt;periodical&gt;&lt;full-title&gt;International Journal of Hospitality Management&lt;/full-title&gt;&lt;/periodical&gt;&lt;pages&gt;89-99&lt;/pages&gt;&lt;volume&gt;35&lt;/volume&gt;&lt;section&gt;89&lt;/section&gt;&lt;dates&gt;&lt;year&gt;2013&lt;/year&gt;&lt;/dates&gt;&lt;isbn&gt;02784319&lt;/isbn&gt;&lt;urls&gt;&lt;/urls&gt;&lt;electronic-resource-num&gt;10.1016/j.ijhm.2013.05.009&lt;/electronic-resource-num&gt;&lt;/record&gt;&lt;/Cite&gt;&lt;/EndNote&gt;</w:instrText>
      </w:r>
      <w:r w:rsidR="000E706E" w:rsidRPr="00C4585A">
        <w:rPr>
          <w:rFonts w:ascii="Arial" w:hAnsi="Arial" w:cs="Arial"/>
        </w:rPr>
        <w:fldChar w:fldCharType="separate"/>
      </w:r>
      <w:r w:rsidR="000E706E" w:rsidRPr="00C4585A">
        <w:rPr>
          <w:rFonts w:ascii="Arial" w:hAnsi="Arial" w:cs="Arial"/>
          <w:noProof/>
        </w:rPr>
        <w:t>Martínez and Rodríguez del Bosque (2013)</w:t>
      </w:r>
      <w:r w:rsidR="000E706E" w:rsidRPr="00C4585A">
        <w:rPr>
          <w:rFonts w:ascii="Arial" w:hAnsi="Arial" w:cs="Arial"/>
        </w:rPr>
        <w:fldChar w:fldCharType="end"/>
      </w:r>
      <w:r w:rsidRPr="00C4585A">
        <w:rPr>
          <w:rFonts w:ascii="Arial" w:hAnsi="Arial" w:cs="Arial"/>
        </w:rPr>
        <w:t xml:space="preserve"> and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AuthorYear="1"&gt;&lt;Author&gt;Fatma&lt;/Author&gt;&lt;Year&gt;2015&lt;/Year&gt;&lt;RecNum&gt;7159&lt;/RecNum&gt;&lt;DisplayText&gt;Fatma et al. (2015)&lt;/DisplayText&gt;&lt;record&gt;&lt;rec-number&gt;7159&lt;/rec-number&gt;&lt;foreign-keys&gt;&lt;key app="EN" db-id="vad00f5scteex2eftaoxddt09d5ex9r9awed" timestamp="1744612411"&gt;7159&lt;/key&gt;&lt;/foreign-keys&gt;&lt;ref-type name="Journal Article"&gt;17&lt;/ref-type&gt;&lt;contributors&gt;&lt;authors&gt;&lt;author&gt;Fatma, Mobin&lt;/author&gt;&lt;author&gt;Rahman, Zillur&lt;/author&gt;&lt;author&gt;Khan, Imran&lt;/author&gt;&lt;/authors&gt;&lt;/contributors&gt;&lt;titles&gt;&lt;title&gt;Building Company Reputation And Brand Equity Through CSR: The Mediating Role Of Trust&lt;/title&gt;&lt;secondary-title&gt;International Journal of Bank Marketing&lt;/secondary-title&gt;&lt;/titles&gt;&lt;periodical&gt;&lt;full-title&gt;International Journal of Bank Marketing&lt;/full-title&gt;&lt;/periodical&gt;&lt;pages&gt;840-856&lt;/pages&gt;&lt;volume&gt;33&lt;/volume&gt;&lt;number&gt;6&lt;/number&gt;&lt;section&gt;840&lt;/section&gt;&lt;dates&gt;&lt;year&gt;2015&lt;/year&gt;&lt;/dates&gt;&lt;isbn&gt;0265-2323&lt;/isbn&gt;&lt;urls&gt;&lt;/urls&gt;&lt;electronic-resource-num&gt;10.1108/ijbm-11-2014-0166&lt;/electronic-resource-num&gt;&lt;/record&gt;&lt;/Cite&gt;&lt;/EndNote&gt;</w:instrText>
      </w:r>
      <w:r w:rsidR="000E706E" w:rsidRPr="00C4585A">
        <w:rPr>
          <w:rFonts w:ascii="Arial" w:hAnsi="Arial" w:cs="Arial"/>
        </w:rPr>
        <w:fldChar w:fldCharType="separate"/>
      </w:r>
      <w:r w:rsidR="000E706E" w:rsidRPr="00C4585A">
        <w:rPr>
          <w:rFonts w:ascii="Arial" w:hAnsi="Arial" w:cs="Arial"/>
          <w:noProof/>
        </w:rPr>
        <w:t>Fatma et al. (2015)</w:t>
      </w:r>
      <w:r w:rsidR="000E706E" w:rsidRPr="00C4585A">
        <w:rPr>
          <w:rFonts w:ascii="Arial" w:hAnsi="Arial" w:cs="Arial"/>
        </w:rPr>
        <w:fldChar w:fldCharType="end"/>
      </w:r>
      <w:r w:rsidRPr="00C4585A">
        <w:rPr>
          <w:rFonts w:ascii="Arial" w:hAnsi="Arial" w:cs="Arial"/>
        </w:rPr>
        <w:t xml:space="preserve"> also shows that authentic CSR strengthens brand image, while a positive brand image drives effective CSR implementation through public loyalty and trust. Therefore, we propose Hypothesis 2:</w:t>
      </w:r>
    </w:p>
    <w:p w14:paraId="67041EC4" w14:textId="77777777" w:rsidR="006F7392" w:rsidRPr="00C4585A" w:rsidRDefault="006F7392" w:rsidP="006F7392">
      <w:pPr>
        <w:pStyle w:val="Body"/>
        <w:spacing w:after="0"/>
        <w:rPr>
          <w:rFonts w:ascii="Arial" w:hAnsi="Arial" w:cs="Arial"/>
        </w:rPr>
      </w:pPr>
    </w:p>
    <w:p w14:paraId="5FAA2440" w14:textId="166D8AD1" w:rsidR="00A706A8" w:rsidRDefault="00A706A8" w:rsidP="006F7392">
      <w:pPr>
        <w:pStyle w:val="Body"/>
        <w:spacing w:after="0"/>
        <w:rPr>
          <w:rFonts w:ascii="Arial" w:hAnsi="Arial" w:cs="Arial"/>
        </w:rPr>
      </w:pPr>
      <w:r>
        <w:rPr>
          <w:rFonts w:ascii="Arial" w:hAnsi="Arial" w:cs="Arial"/>
        </w:rPr>
        <w:t xml:space="preserve">Hypothesis 0: </w:t>
      </w:r>
      <w:r w:rsidRPr="00A706A8">
        <w:rPr>
          <w:rFonts w:ascii="Arial" w:hAnsi="Arial" w:cs="Arial"/>
        </w:rPr>
        <w:t>B</w:t>
      </w:r>
      <w:r>
        <w:rPr>
          <w:rFonts w:ascii="Arial" w:hAnsi="Arial" w:cs="Arial"/>
        </w:rPr>
        <w:t>rand image</w:t>
      </w:r>
      <w:r w:rsidRPr="00A706A8">
        <w:rPr>
          <w:rFonts w:ascii="Arial" w:hAnsi="Arial" w:cs="Arial"/>
        </w:rPr>
        <w:t xml:space="preserve"> do not have a positive effect on </w:t>
      </w:r>
      <w:r>
        <w:rPr>
          <w:rFonts w:ascii="Arial" w:hAnsi="Arial" w:cs="Arial"/>
        </w:rPr>
        <w:t>firm</w:t>
      </w:r>
      <w:r w:rsidRPr="00A706A8">
        <w:rPr>
          <w:rFonts w:ascii="Arial" w:hAnsi="Arial" w:cs="Arial"/>
        </w:rPr>
        <w:t xml:space="preserve"> value</w:t>
      </w:r>
      <w:r>
        <w:rPr>
          <w:rFonts w:ascii="Arial" w:hAnsi="Arial" w:cs="Arial"/>
        </w:rPr>
        <w:t>.</w:t>
      </w:r>
    </w:p>
    <w:p w14:paraId="3720EAB2" w14:textId="7E2EACDA" w:rsidR="006F7392" w:rsidRPr="00C4585A" w:rsidRDefault="006F7392" w:rsidP="006F7392">
      <w:pPr>
        <w:pStyle w:val="Body"/>
        <w:spacing w:after="0"/>
        <w:rPr>
          <w:rFonts w:ascii="Arial" w:hAnsi="Arial" w:cs="Arial"/>
        </w:rPr>
      </w:pPr>
      <w:r w:rsidRPr="00C4585A">
        <w:rPr>
          <w:rFonts w:ascii="Arial" w:hAnsi="Arial" w:cs="Arial"/>
        </w:rPr>
        <w:t xml:space="preserve">Hypothesis 2: </w:t>
      </w:r>
      <w:r w:rsidR="00087AEF" w:rsidRPr="00C4585A">
        <w:rPr>
          <w:rFonts w:ascii="Arial" w:hAnsi="Arial" w:cs="Arial"/>
        </w:rPr>
        <w:t>Brand image have a positive effect on firm value.</w:t>
      </w:r>
    </w:p>
    <w:p w14:paraId="02C81D84" w14:textId="77777777" w:rsidR="006F7392" w:rsidRPr="00C4585A" w:rsidRDefault="006F7392" w:rsidP="00334E24">
      <w:pPr>
        <w:pStyle w:val="Body"/>
        <w:spacing w:after="0"/>
        <w:rPr>
          <w:rFonts w:ascii="Arial" w:hAnsi="Arial" w:cs="Arial"/>
          <w:b/>
          <w:bCs/>
        </w:rPr>
      </w:pPr>
    </w:p>
    <w:p w14:paraId="73D406B7" w14:textId="18BF6D12" w:rsidR="00154320" w:rsidRPr="00317ACE" w:rsidRDefault="00154320" w:rsidP="00334E24">
      <w:pPr>
        <w:pStyle w:val="Body"/>
        <w:spacing w:after="0"/>
        <w:rPr>
          <w:rFonts w:ascii="Arial" w:hAnsi="Arial" w:cs="Arial"/>
          <w:b/>
          <w:bCs/>
          <w:sz w:val="22"/>
          <w:szCs w:val="22"/>
        </w:rPr>
      </w:pPr>
      <w:r w:rsidRPr="00317ACE">
        <w:rPr>
          <w:rFonts w:ascii="Arial" w:hAnsi="Arial" w:cs="Arial"/>
          <w:b/>
          <w:bCs/>
          <w:sz w:val="22"/>
          <w:szCs w:val="22"/>
        </w:rPr>
        <w:t>1.2 CSR as a Mediating Mechanism</w:t>
      </w:r>
    </w:p>
    <w:p w14:paraId="5D3BA3DC" w14:textId="67ED813A" w:rsidR="00087AEF" w:rsidRPr="00C4585A" w:rsidRDefault="00154320" w:rsidP="00334E24">
      <w:pPr>
        <w:pStyle w:val="Body"/>
        <w:spacing w:after="0"/>
        <w:rPr>
          <w:rFonts w:ascii="Arial" w:hAnsi="Arial" w:cs="Arial"/>
        </w:rPr>
      </w:pPr>
      <w:r w:rsidRPr="00C4585A">
        <w:rPr>
          <w:rFonts w:ascii="Arial" w:hAnsi="Arial" w:cs="Arial"/>
        </w:rPr>
        <w:t xml:space="preserve">CSR encompasses voluntary organizational practices that go beyond legal obligations to address environmental, social, and governance (ESG) concerns. It serves as a vehicle for stakeholder engagement and as a reputational buffer in times of crisis </w:t>
      </w:r>
      <w:r w:rsidR="000E706E" w:rsidRPr="00C4585A">
        <w:rPr>
          <w:rFonts w:ascii="Arial" w:hAnsi="Arial" w:cs="Arial"/>
        </w:rPr>
        <w:fldChar w:fldCharType="begin"/>
      </w:r>
      <w:r w:rsidR="000E706E" w:rsidRPr="00C4585A">
        <w:rPr>
          <w:rFonts w:ascii="Arial" w:hAnsi="Arial" w:cs="Arial"/>
        </w:rPr>
        <w:instrText xml:space="preserve"> ADDIN EN.CITE &lt;EndNote&gt;&lt;Cite&gt;&lt;Author&gt;Porter&lt;/Author&gt;&lt;Year&gt;2011&lt;/Year&gt;&lt;RecNum&gt;7200&lt;/RecNum&gt;&lt;DisplayText&gt;(Porter &amp;amp; Kramer, 2011)&lt;/DisplayText&gt;&lt;record&gt;&lt;rec-number&gt;7200&lt;/rec-number&gt;&lt;foreign-keys&gt;&lt;key app="EN" db-id="vad00f5scteex2eftaoxddt09d5ex9r9awed" timestamp="1745161324"&gt;7200&lt;/key&gt;&lt;/foreign-keys&gt;&lt;ref-type name="Journal Article"&gt;17&lt;/ref-type&gt;&lt;contributors&gt;&lt;authors&gt;&lt;author&gt;Porter, Michael E&lt;/author&gt;&lt;author&gt;Kramer, Mark R&lt;/author&gt;&lt;/authors&gt;&lt;/contributors&gt;&lt;titles&gt;&lt;title&gt;Creare Valore Condiviso&lt;/title&gt;&lt;secondary-title&gt;Harvard Business Review Italia&lt;/secondary-title&gt;&lt;/titles&gt;&lt;periodical&gt;&lt;full-title&gt;Harvard Business Review Italia&lt;/full-title&gt;&lt;/periodical&gt;&lt;pages&gt;68-84&lt;/pages&gt;&lt;volume&gt;1&lt;/volume&gt;&lt;number&gt;2&lt;/number&gt;&lt;dates&gt;&lt;year&gt;2011&lt;/year&gt;&lt;/dates&gt;&lt;urls&gt;&lt;/urls&gt;&lt;/record&gt;&lt;/Cite&gt;&lt;/EndNote&gt;</w:instrText>
      </w:r>
      <w:r w:rsidR="000E706E" w:rsidRPr="00C4585A">
        <w:rPr>
          <w:rFonts w:ascii="Arial" w:hAnsi="Arial" w:cs="Arial"/>
        </w:rPr>
        <w:fldChar w:fldCharType="separate"/>
      </w:r>
      <w:r w:rsidR="000E706E" w:rsidRPr="00C4585A">
        <w:rPr>
          <w:rFonts w:ascii="Arial" w:hAnsi="Arial" w:cs="Arial"/>
          <w:noProof/>
        </w:rPr>
        <w:t>(Porter &amp; Kramer, 2011)</w:t>
      </w:r>
      <w:r w:rsidR="000E706E" w:rsidRPr="00C4585A">
        <w:rPr>
          <w:rFonts w:ascii="Arial" w:hAnsi="Arial" w:cs="Arial"/>
        </w:rPr>
        <w:fldChar w:fldCharType="end"/>
      </w:r>
      <w:r w:rsidRPr="00C4585A">
        <w:rPr>
          <w:rFonts w:ascii="Arial" w:hAnsi="Arial" w:cs="Arial"/>
        </w:rPr>
        <w:t xml:space="preserve">. </w:t>
      </w:r>
      <w:r w:rsidR="00A92A22" w:rsidRPr="00A92A22">
        <w:rPr>
          <w:rFonts w:ascii="Arial" w:hAnsi="Arial" w:cs="Arial"/>
        </w:rPr>
        <w:t xml:space="preserve">Research </w:t>
      </w:r>
      <w:r w:rsidR="00A92A22">
        <w:rPr>
          <w:rFonts w:ascii="Arial" w:hAnsi="Arial" w:cs="Arial"/>
        </w:rPr>
        <w:fldChar w:fldCharType="begin"/>
      </w:r>
      <w:r w:rsidR="00A92A22">
        <w:rPr>
          <w:rFonts w:ascii="Arial" w:hAnsi="Arial" w:cs="Arial"/>
        </w:rPr>
        <w:instrText xml:space="preserve"> ADDIN EN.CITE &lt;EndNote&gt;&lt;Cite AuthorYear="1"&gt;&lt;Author&gt;Eccles&lt;/Author&gt;&lt;Year&gt;2014&lt;/Year&gt;&lt;RecNum&gt;7170&lt;/RecNum&gt;&lt;DisplayText&gt;Eccles et al. (2014)&lt;/DisplayText&gt;&lt;record&gt;&lt;rec-number&gt;7170&lt;/rec-number&gt;&lt;foreign-keys&gt;&lt;key app="EN" db-id="vad00f5scteex2eftaoxddt09d5ex9r9awed" timestamp="1744808426"&gt;7170&lt;/key&gt;&lt;/foreign-keys&gt;&lt;ref-type name="Journal Article"&gt;17&lt;/ref-type&gt;&lt;contributors&gt;&lt;authors&gt;&lt;author&gt;Eccles, Robert G.&lt;/author&gt;&lt;author&gt;Ioannou, Ioannis&lt;/author&gt;&lt;author&gt;Serafeim, George&lt;/author&gt;&lt;/authors&gt;&lt;/contributors&gt;&lt;titles&gt;&lt;title&gt;The Impact of Corporate Sustainability on Organizational Processes and Performance&lt;/title&gt;&lt;secondary-title&gt;Management Science&lt;/secondary-title&gt;&lt;/titles&gt;&lt;periodical&gt;&lt;full-title&gt;Management Science&lt;/full-title&gt;&lt;/periodical&gt;&lt;pages&gt;2835-2857&lt;/pages&gt;&lt;volume&gt;60&lt;/volume&gt;&lt;number&gt;11&lt;/number&gt;&lt;section&gt;2835&lt;/section&gt;&lt;dates&gt;&lt;year&gt;2014&lt;/year&gt;&lt;/dates&gt;&lt;isbn&gt;0025-1909&amp;#xD;1526-5501&lt;/isbn&gt;&lt;urls&gt;&lt;/urls&gt;&lt;electronic-resource-num&gt;10.1287/mnsc.2014.1984&lt;/electronic-resource-num&gt;&lt;/record&gt;&lt;/Cite&gt;&lt;/EndNote&gt;</w:instrText>
      </w:r>
      <w:r w:rsidR="00A92A22">
        <w:rPr>
          <w:rFonts w:ascii="Arial" w:hAnsi="Arial" w:cs="Arial"/>
        </w:rPr>
        <w:fldChar w:fldCharType="separate"/>
      </w:r>
      <w:r w:rsidR="00A92A22">
        <w:rPr>
          <w:rFonts w:ascii="Arial" w:hAnsi="Arial" w:cs="Arial"/>
          <w:noProof/>
        </w:rPr>
        <w:t>Eccles et al. (2014)</w:t>
      </w:r>
      <w:r w:rsidR="00A92A22">
        <w:rPr>
          <w:rFonts w:ascii="Arial" w:hAnsi="Arial" w:cs="Arial"/>
        </w:rPr>
        <w:fldChar w:fldCharType="end"/>
      </w:r>
      <w:r w:rsidR="00A92A22" w:rsidRPr="00A92A22">
        <w:rPr>
          <w:rFonts w:ascii="Arial" w:hAnsi="Arial" w:cs="Arial"/>
        </w:rPr>
        <w:t xml:space="preserve"> shows that companies that adopt social/environmental policies earlier have better internal processes, such as governance, changes in strategy, a more sustainable culture, so they can perform better than companies that do not.</w:t>
      </w:r>
      <w:r w:rsidR="00433D64">
        <w:rPr>
          <w:rFonts w:ascii="Arial" w:hAnsi="Arial" w:cs="Arial"/>
        </w:rPr>
        <w:t xml:space="preserve"> </w:t>
      </w:r>
      <w:r w:rsidR="00433D64" w:rsidRPr="00433D64">
        <w:rPr>
          <w:rFonts w:ascii="Arial" w:hAnsi="Arial" w:cs="Arial"/>
        </w:rPr>
        <w:t xml:space="preserve">CSR investment is not only a matter of social/environmental costs, but can also be a strategy to reduce systematic risk and increase value when used for product differentiation and consumer loyalty </w:t>
      </w:r>
      <w:r w:rsidR="00433D64">
        <w:rPr>
          <w:rFonts w:ascii="Arial" w:hAnsi="Arial" w:cs="Arial"/>
        </w:rPr>
        <w:fldChar w:fldCharType="begin"/>
      </w:r>
      <w:r w:rsidR="00433D64">
        <w:rPr>
          <w:rFonts w:ascii="Arial" w:hAnsi="Arial" w:cs="Arial"/>
        </w:rPr>
        <w:instrText xml:space="preserve"> ADDIN EN.CITE &lt;EndNote&gt;&lt;Cite&gt;&lt;Author&gt;Albuquerque&lt;/Author&gt;&lt;Year&gt;2019&lt;/Year&gt;&lt;RecNum&gt;7258&lt;/RecNum&gt;&lt;DisplayText&gt;(Albuquerque et al., 2019)&lt;/DisplayText&gt;&lt;record&gt;&lt;rec-number&gt;7258&lt;/rec-number&gt;&lt;foreign-keys&gt;&lt;key app="EN" db-id="vad00f5scteex2eftaoxddt09d5ex9r9awed" timestamp="1761196660"&gt;7258&lt;/key&gt;&lt;/foreign-keys&gt;&lt;ref-type name="Journal Article"&gt;17&lt;/ref-type&gt;&lt;contributors&gt;&lt;authors&gt;&lt;author&gt;Albuquerque, Rui&lt;/author&gt;&lt;author&gt;Koskinen, Yrjö&lt;/author&gt;&lt;author&gt;Zhang, Chendi&lt;/author&gt;&lt;/authors&gt;&lt;/contributors&gt;&lt;titles&gt;&lt;title&gt;Corporate Social Responsibility and Firm Risk: Theory and Empirical Evidence&lt;/title&gt;&lt;secondary-title&gt;Management Science&lt;/secondary-title&gt;&lt;/titles&gt;&lt;periodical&gt;&lt;full-title&gt;Management Science&lt;/full-title&gt;&lt;/periodical&gt;&lt;pages&gt;4451-4469&lt;/pages&gt;&lt;volume&gt;65&lt;/volume&gt;&lt;number&gt;10&lt;/number&gt;&lt;section&gt;4451&lt;/section&gt;&lt;dates&gt;&lt;year&gt;2019&lt;/year&gt;&lt;/dates&gt;&lt;isbn&gt;0025-1909&amp;#xD;1526-5501&lt;/isbn&gt;&lt;urls&gt;&lt;/urls&gt;&lt;electronic-resource-num&gt;10.1287/mnsc.2018.3043&lt;/electronic-resource-num&gt;&lt;/record&gt;&lt;/Cite&gt;&lt;/EndNote&gt;</w:instrText>
      </w:r>
      <w:r w:rsidR="00433D64">
        <w:rPr>
          <w:rFonts w:ascii="Arial" w:hAnsi="Arial" w:cs="Arial"/>
        </w:rPr>
        <w:fldChar w:fldCharType="separate"/>
      </w:r>
      <w:r w:rsidR="00433D64">
        <w:rPr>
          <w:rFonts w:ascii="Arial" w:hAnsi="Arial" w:cs="Arial"/>
          <w:noProof/>
        </w:rPr>
        <w:t>(Albuquerque et al., 2019)</w:t>
      </w:r>
      <w:r w:rsidR="00433D64">
        <w:rPr>
          <w:rFonts w:ascii="Arial" w:hAnsi="Arial" w:cs="Arial"/>
        </w:rPr>
        <w:fldChar w:fldCharType="end"/>
      </w:r>
      <w:r w:rsidR="00433D64" w:rsidRPr="00433D64">
        <w:rPr>
          <w:rFonts w:ascii="Arial" w:hAnsi="Arial" w:cs="Arial"/>
        </w:rPr>
        <w:t>.</w:t>
      </w:r>
    </w:p>
    <w:p w14:paraId="441912AE" w14:textId="77777777" w:rsidR="00087AEF" w:rsidRPr="00C4585A" w:rsidRDefault="00087AEF" w:rsidP="00334E24">
      <w:pPr>
        <w:pStyle w:val="Body"/>
        <w:spacing w:after="0"/>
        <w:rPr>
          <w:rFonts w:ascii="Arial" w:hAnsi="Arial" w:cs="Arial"/>
        </w:rPr>
      </w:pPr>
    </w:p>
    <w:p w14:paraId="3FEA54AA" w14:textId="10D518A1" w:rsidR="00087AEF" w:rsidRPr="00C4585A" w:rsidRDefault="00087AEF" w:rsidP="00334E24">
      <w:pPr>
        <w:pStyle w:val="Body"/>
        <w:spacing w:after="0"/>
        <w:rPr>
          <w:rFonts w:ascii="Arial" w:hAnsi="Arial" w:cs="Arial"/>
        </w:rPr>
      </w:pPr>
      <w:r w:rsidRPr="00C4585A">
        <w:rPr>
          <w:rFonts w:ascii="Arial" w:hAnsi="Arial" w:cs="Arial"/>
        </w:rPr>
        <w:t xml:space="preserve">Companies with a strong reputation tend to be more proactive in disclosing CSR activities due to higher visibility and stakeholder expectations. Conversely, companies with a weak </w:t>
      </w:r>
      <w:r w:rsidRPr="00C4585A">
        <w:rPr>
          <w:rFonts w:ascii="Arial" w:hAnsi="Arial" w:cs="Arial"/>
        </w:rPr>
        <w:lastRenderedPageBreak/>
        <w:t xml:space="preserve">reputation may struggle to incorporate CSR into their strategy due to limited credibility. Various empirical studies have shown that CSR can enhance firm value through reduced risk, improved access to capital, and increased customer loyalty.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AuthorYear="1"&gt;&lt;Author&gt;Pérez-Cornejo&lt;/Author&gt;&lt;Year&gt;2022&lt;/Year&gt;&lt;RecNum&gt;7256&lt;/RecNum&gt;&lt;DisplayText&gt;Pérez-Cornejo and de Quevedo-Puente (2022)&lt;/DisplayText&gt;&lt;record&gt;&lt;rec-number&gt;7256&lt;/rec-number&gt;&lt;foreign-keys&gt;&lt;key app="EN" db-id="vad00f5scteex2eftaoxddt09d5ex9r9awed" timestamp="1760064377"&gt;7256&lt;/key&gt;&lt;/foreign-keys&gt;&lt;ref-type name="Journal Article"&gt;17&lt;/ref-type&gt;&lt;contributors&gt;&lt;authors&gt;&lt;author&gt;Pérez-Cornejo, Clara&lt;/author&gt;&lt;author&gt;de Quevedo-Puente, Esther&lt;/author&gt;&lt;/authors&gt;&lt;/contributors&gt;&lt;titles&gt;&lt;title&gt;How Corporate Social Responsibility Mediates The Relationship Between Corporate Reputation And Enterprise Risk Management: Evidence From Spain&lt;/title&gt;&lt;secondary-title&gt;Eurasian Business Review&lt;/secondary-title&gt;&lt;/titles&gt;&lt;periodical&gt;&lt;full-title&gt;Eurasian Business Review&lt;/full-title&gt;&lt;/periodical&gt;&lt;pages&gt;363-383&lt;/pages&gt;&lt;volume&gt;13&lt;/volume&gt;&lt;number&gt;2&lt;/number&gt;&lt;section&gt;363&lt;/section&gt;&lt;dates&gt;&lt;year&gt;2022&lt;/year&gt;&lt;/dates&gt;&lt;isbn&gt;1309-4297&amp;#xD;2147-4281&lt;/isbn&gt;&lt;urls&gt;&lt;/urls&gt;&lt;electronic-resource-num&gt;10.1007/s40821-022-00223-2&lt;/electronic-resource-num&gt;&lt;/record&gt;&lt;/Cite&gt;&lt;/EndNote&gt;</w:instrText>
      </w:r>
      <w:r w:rsidR="000E706E" w:rsidRPr="00C4585A">
        <w:rPr>
          <w:rFonts w:ascii="Arial" w:hAnsi="Arial" w:cs="Arial"/>
        </w:rPr>
        <w:fldChar w:fldCharType="separate"/>
      </w:r>
      <w:r w:rsidR="000E706E" w:rsidRPr="00C4585A">
        <w:rPr>
          <w:rFonts w:ascii="Arial" w:hAnsi="Arial" w:cs="Arial"/>
          <w:noProof/>
        </w:rPr>
        <w:t>Pérez-Cornejo and de Quevedo-Puente (2022)</w:t>
      </w:r>
      <w:r w:rsidR="000E706E" w:rsidRPr="00C4585A">
        <w:rPr>
          <w:rFonts w:ascii="Arial" w:hAnsi="Arial" w:cs="Arial"/>
        </w:rPr>
        <w:fldChar w:fldCharType="end"/>
      </w:r>
      <w:r w:rsidRPr="00C4585A">
        <w:rPr>
          <w:rFonts w:ascii="Arial" w:hAnsi="Arial" w:cs="Arial"/>
        </w:rPr>
        <w:t xml:space="preserve"> demonstrated that CSR acts as a mediator in the relationship between ERM quality and corporate reputation. This reinforces the logic that reputation and CSR are interconnected through an indirect causal pathway to performance. Similarly,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AuthorYear="1"&gt;&lt;Author&gt;Bardos&lt;/Author&gt;&lt;Year&gt;2020&lt;/Year&gt;&lt;RecNum&gt;797&lt;/RecNum&gt;&lt;DisplayText&gt;Bardos et al. (2020)&lt;/DisplayText&gt;&lt;record&gt;&lt;rec-number&gt;797&lt;/rec-number&gt;&lt;foreign-keys&gt;&lt;key app="EN" db-id="vad00f5scteex2eftaoxddt09d5ex9r9awed" timestamp="1666966706"&gt;797&lt;/key&gt;&lt;/foreign-keys&gt;&lt;ref-type name="Journal Article"&gt;17&lt;/ref-type&gt;&lt;contributors&gt;&lt;authors&gt;&lt;author&gt;Bardos, Katsiaryna Salavei&lt;/author&gt;&lt;author&gt;Ertugrul, Mine&lt;/author&gt;&lt;author&gt;Gao, Lucia Silva&lt;/author&gt;&lt;/authors&gt;&lt;/contributors&gt;&lt;titles&gt;&lt;title&gt;Corporate Social Responsibility, Product Market Perception, And Firm Value&lt;/title&gt;&lt;secondary-title&gt;Journal of Corporate Finance&lt;/secondary-title&gt;&lt;/titles&gt;&lt;periodical&gt;&lt;full-title&gt;Journal of Corporate Finance&lt;/full-title&gt;&lt;/periodical&gt;&lt;volume&gt;62&lt;/volume&gt;&lt;section&gt;101588&lt;/section&gt;&lt;dates&gt;&lt;year&gt;2020&lt;/year&gt;&lt;/dates&gt;&lt;isbn&gt;09291199&lt;/isbn&gt;&lt;urls&gt;&lt;/urls&gt;&lt;electronic-resource-num&gt;10.1016/j.jcorpfin.2020.101588&lt;/electronic-resource-num&gt;&lt;/record&gt;&lt;/Cite&gt;&lt;/EndNote&gt;</w:instrText>
      </w:r>
      <w:r w:rsidR="000E706E" w:rsidRPr="00C4585A">
        <w:rPr>
          <w:rFonts w:ascii="Arial" w:hAnsi="Arial" w:cs="Arial"/>
        </w:rPr>
        <w:fldChar w:fldCharType="separate"/>
      </w:r>
      <w:r w:rsidR="000E706E" w:rsidRPr="00C4585A">
        <w:rPr>
          <w:rFonts w:ascii="Arial" w:hAnsi="Arial" w:cs="Arial"/>
          <w:noProof/>
        </w:rPr>
        <w:t>Bardos et al. (2020)</w:t>
      </w:r>
      <w:r w:rsidR="000E706E" w:rsidRPr="00C4585A">
        <w:rPr>
          <w:rFonts w:ascii="Arial" w:hAnsi="Arial" w:cs="Arial"/>
        </w:rPr>
        <w:fldChar w:fldCharType="end"/>
      </w:r>
      <w:r w:rsidRPr="00C4585A">
        <w:rPr>
          <w:rFonts w:ascii="Arial" w:hAnsi="Arial" w:cs="Arial"/>
        </w:rPr>
        <w:t xml:space="preserve"> found an impact of CSR on market reputation, and this perception increases firm value; a mediation analysis demonstrated an indirect effect of CSR on firm value through the market reputation channel. This research supports the “reputation/market equity” framework as a link between firm value. Based on this, we formulate the following hypotheses:</w:t>
      </w:r>
    </w:p>
    <w:p w14:paraId="6219561D" w14:textId="77777777" w:rsidR="00087AEF" w:rsidRPr="00C4585A" w:rsidRDefault="00087AEF" w:rsidP="00334E24">
      <w:pPr>
        <w:pStyle w:val="Body"/>
        <w:spacing w:after="0"/>
        <w:rPr>
          <w:rFonts w:ascii="Arial" w:hAnsi="Arial" w:cs="Arial"/>
        </w:rPr>
      </w:pPr>
    </w:p>
    <w:p w14:paraId="6C8EBB81" w14:textId="7153434D" w:rsidR="00A706A8" w:rsidRDefault="00A706A8" w:rsidP="00A706A8">
      <w:pPr>
        <w:pStyle w:val="Body"/>
        <w:spacing w:after="0"/>
        <w:ind w:left="1276" w:hanging="1276"/>
        <w:rPr>
          <w:rFonts w:ascii="Arial" w:hAnsi="Arial" w:cs="Arial"/>
        </w:rPr>
      </w:pPr>
      <w:r>
        <w:rPr>
          <w:rFonts w:ascii="Arial" w:hAnsi="Arial" w:cs="Arial"/>
        </w:rPr>
        <w:t>Hypothesis 0:</w:t>
      </w:r>
      <w:r>
        <w:t xml:space="preserve"> </w:t>
      </w:r>
      <w:r w:rsidRPr="00A706A8">
        <w:rPr>
          <w:rFonts w:ascii="Arial" w:hAnsi="Arial" w:cs="Arial"/>
        </w:rPr>
        <w:t xml:space="preserve">CSR does not mediate the relationship between </w:t>
      </w:r>
      <w:r>
        <w:rPr>
          <w:rFonts w:ascii="Arial" w:hAnsi="Arial" w:cs="Arial"/>
        </w:rPr>
        <w:t xml:space="preserve">firm </w:t>
      </w:r>
      <w:r w:rsidRPr="00A706A8">
        <w:rPr>
          <w:rFonts w:ascii="Arial" w:hAnsi="Arial" w:cs="Arial"/>
        </w:rPr>
        <w:t xml:space="preserve">reputation and </w:t>
      </w:r>
      <w:r>
        <w:rPr>
          <w:rFonts w:ascii="Arial" w:hAnsi="Arial" w:cs="Arial"/>
        </w:rPr>
        <w:t>firm</w:t>
      </w:r>
      <w:r w:rsidRPr="00A706A8">
        <w:rPr>
          <w:rFonts w:ascii="Arial" w:hAnsi="Arial" w:cs="Arial"/>
        </w:rPr>
        <w:t xml:space="preserve"> value.</w:t>
      </w:r>
      <w:r>
        <w:rPr>
          <w:rFonts w:ascii="Arial" w:hAnsi="Arial" w:cs="Arial"/>
        </w:rPr>
        <w:t xml:space="preserve"> </w:t>
      </w:r>
    </w:p>
    <w:p w14:paraId="6F077397" w14:textId="70BBB800" w:rsidR="00154320" w:rsidRPr="00C4585A" w:rsidRDefault="00154320" w:rsidP="00334E24">
      <w:pPr>
        <w:pStyle w:val="Body"/>
        <w:spacing w:after="0"/>
        <w:rPr>
          <w:rFonts w:ascii="Arial" w:hAnsi="Arial" w:cs="Arial"/>
        </w:rPr>
      </w:pPr>
      <w:r w:rsidRPr="00C4585A">
        <w:rPr>
          <w:rFonts w:ascii="Arial" w:hAnsi="Arial" w:cs="Arial"/>
        </w:rPr>
        <w:t xml:space="preserve">Hypothesis </w:t>
      </w:r>
      <w:r w:rsidR="00087AEF" w:rsidRPr="00C4585A">
        <w:rPr>
          <w:rFonts w:ascii="Arial" w:hAnsi="Arial" w:cs="Arial"/>
        </w:rPr>
        <w:t>3</w:t>
      </w:r>
      <w:r w:rsidRPr="00C4585A">
        <w:rPr>
          <w:rFonts w:ascii="Arial" w:hAnsi="Arial" w:cs="Arial"/>
        </w:rPr>
        <w:t>: CSR mediates the relationship between firm reputation and firm value.</w:t>
      </w:r>
    </w:p>
    <w:p w14:paraId="4C96B094" w14:textId="77777777" w:rsidR="00334E24" w:rsidRPr="00C4585A" w:rsidRDefault="00334E24" w:rsidP="00334E24">
      <w:pPr>
        <w:pStyle w:val="Body"/>
        <w:spacing w:after="0"/>
        <w:rPr>
          <w:rFonts w:ascii="Arial" w:hAnsi="Arial" w:cs="Arial"/>
        </w:rPr>
      </w:pPr>
    </w:p>
    <w:p w14:paraId="0C17C962" w14:textId="463AB400" w:rsidR="007F7B32" w:rsidRPr="00C4585A" w:rsidRDefault="00902823" w:rsidP="00441B6F">
      <w:pPr>
        <w:pStyle w:val="AbstHead"/>
        <w:spacing w:after="0"/>
        <w:jc w:val="both"/>
        <w:rPr>
          <w:rFonts w:ascii="Arial" w:hAnsi="Arial" w:cs="Arial"/>
        </w:rPr>
      </w:pPr>
      <w:r w:rsidRPr="00C4585A">
        <w:rPr>
          <w:rFonts w:ascii="Arial" w:hAnsi="Arial" w:cs="Arial"/>
        </w:rPr>
        <w:t xml:space="preserve">2. </w:t>
      </w:r>
      <w:r w:rsidR="006B57D0" w:rsidRPr="00C4585A">
        <w:rPr>
          <w:rFonts w:ascii="Arial" w:hAnsi="Arial" w:cs="Arial"/>
        </w:rPr>
        <w:t>methodology</w:t>
      </w:r>
      <w:r w:rsidR="007F7B32" w:rsidRPr="00C4585A">
        <w:rPr>
          <w:rFonts w:ascii="Arial" w:hAnsi="Arial" w:cs="Arial"/>
        </w:rPr>
        <w:t xml:space="preserve"> </w:t>
      </w:r>
    </w:p>
    <w:p w14:paraId="07957DF6" w14:textId="77777777" w:rsidR="00790ADA" w:rsidRPr="00C4585A" w:rsidRDefault="00790ADA" w:rsidP="00441B6F">
      <w:pPr>
        <w:pStyle w:val="AbstHead"/>
        <w:spacing w:after="0"/>
        <w:jc w:val="both"/>
        <w:rPr>
          <w:rFonts w:ascii="Arial" w:hAnsi="Arial" w:cs="Arial"/>
        </w:rPr>
      </w:pPr>
    </w:p>
    <w:p w14:paraId="13FF69A6" w14:textId="46B29567" w:rsidR="00154320" w:rsidRPr="00C4585A" w:rsidRDefault="001F474D" w:rsidP="004C2E3C">
      <w:pPr>
        <w:pStyle w:val="Body"/>
        <w:spacing w:after="0"/>
        <w:rPr>
          <w:rFonts w:ascii="Arial" w:hAnsi="Arial" w:cs="Arial"/>
        </w:rPr>
      </w:pPr>
      <w:r w:rsidRPr="001F474D">
        <w:rPr>
          <w:rFonts w:ascii="Arial" w:hAnsi="Arial" w:cs="Arial"/>
        </w:rPr>
        <w:t>This study employs a panel data approach using secondary data sources derived from the annual reports and sustainability reports of companies listed on the Indonesia Stock Exchange (IDX) over the period 2017–2022. The sample selection was conducted using a purposive sampling technique, based on the criteria of data completeness and consistency throughout the study period. Accordingly, the final sample comprised 51 companies, resulting in a total of 306 firm-year observations</w:t>
      </w:r>
      <w:r w:rsidR="00154320" w:rsidRPr="00C4585A">
        <w:rPr>
          <w:rFonts w:ascii="Arial" w:hAnsi="Arial" w:cs="Arial"/>
        </w:rPr>
        <w:t>.</w:t>
      </w:r>
      <w:r w:rsidR="00E841D2">
        <w:rPr>
          <w:rFonts w:ascii="Arial" w:hAnsi="Arial" w:cs="Arial"/>
        </w:rPr>
        <w:t xml:space="preserve"> </w:t>
      </w:r>
    </w:p>
    <w:p w14:paraId="6B0D4E9A" w14:textId="77777777" w:rsidR="004C2E3C" w:rsidRPr="00C4585A" w:rsidRDefault="004C2E3C" w:rsidP="004C2E3C">
      <w:pPr>
        <w:pStyle w:val="Body"/>
        <w:spacing w:after="0"/>
        <w:rPr>
          <w:rFonts w:ascii="Arial" w:hAnsi="Arial" w:cs="Arial"/>
        </w:rPr>
      </w:pPr>
    </w:p>
    <w:p w14:paraId="4884D0C2" w14:textId="2FC936AE" w:rsidR="00154320" w:rsidRPr="00317ACE" w:rsidRDefault="004C2E3C" w:rsidP="004C2E3C">
      <w:pPr>
        <w:pStyle w:val="Body"/>
        <w:spacing w:after="0"/>
        <w:rPr>
          <w:rFonts w:ascii="Arial" w:hAnsi="Arial" w:cs="Arial"/>
          <w:b/>
          <w:bCs/>
          <w:sz w:val="22"/>
          <w:szCs w:val="22"/>
        </w:rPr>
      </w:pPr>
      <w:r w:rsidRPr="00317ACE">
        <w:rPr>
          <w:rFonts w:ascii="Arial" w:hAnsi="Arial" w:cs="Arial"/>
          <w:b/>
          <w:bCs/>
          <w:sz w:val="22"/>
          <w:szCs w:val="22"/>
        </w:rPr>
        <w:t>2</w:t>
      </w:r>
      <w:r w:rsidR="00154320" w:rsidRPr="00317ACE">
        <w:rPr>
          <w:rFonts w:ascii="Arial" w:hAnsi="Arial" w:cs="Arial"/>
          <w:b/>
          <w:bCs/>
          <w:sz w:val="22"/>
          <w:szCs w:val="22"/>
        </w:rPr>
        <w:t>.1 Variable Measurement</w:t>
      </w:r>
    </w:p>
    <w:p w14:paraId="2A4978F2" w14:textId="27E2F4D4" w:rsidR="00154320" w:rsidRPr="00C4585A" w:rsidRDefault="00154320" w:rsidP="004C2E3C">
      <w:pPr>
        <w:pStyle w:val="Body"/>
        <w:spacing w:after="0"/>
        <w:ind w:left="142" w:hanging="142"/>
        <w:rPr>
          <w:rFonts w:ascii="Arial" w:hAnsi="Arial" w:cs="Arial"/>
        </w:rPr>
      </w:pPr>
      <w:r w:rsidRPr="00C4585A">
        <w:rPr>
          <w:rFonts w:ascii="Arial" w:hAnsi="Arial" w:cs="Arial"/>
        </w:rPr>
        <w:t xml:space="preserve">- </w:t>
      </w:r>
      <w:r w:rsidR="004C2E3C" w:rsidRPr="00C4585A">
        <w:rPr>
          <w:rFonts w:ascii="Arial" w:hAnsi="Arial" w:cs="Arial"/>
        </w:rPr>
        <w:tab/>
      </w:r>
      <w:r w:rsidRPr="00C4585A">
        <w:rPr>
          <w:rFonts w:ascii="Arial" w:hAnsi="Arial" w:cs="Arial"/>
        </w:rPr>
        <w:t>Independent Variable – Firm Reputation: Measured using two proxies: (1)</w:t>
      </w:r>
      <w:r w:rsidR="001F474D" w:rsidRPr="001F474D">
        <w:t xml:space="preserve"> </w:t>
      </w:r>
      <w:r w:rsidR="001F474D" w:rsidRPr="001F474D">
        <w:rPr>
          <w:rFonts w:ascii="Arial" w:hAnsi="Arial" w:cs="Arial"/>
        </w:rPr>
        <w:t xml:space="preserve">Brand image is measured by the total number of awards or certificates received by the company at the national </w:t>
      </w:r>
      <w:proofErr w:type="gramStart"/>
      <w:r w:rsidR="001F474D" w:rsidRPr="001F474D">
        <w:rPr>
          <w:rFonts w:ascii="Arial" w:hAnsi="Arial" w:cs="Arial"/>
        </w:rPr>
        <w:t>level</w:t>
      </w:r>
      <w:r w:rsidR="001F474D">
        <w:rPr>
          <w:rFonts w:ascii="Arial" w:hAnsi="Arial" w:cs="Arial"/>
        </w:rPr>
        <w:t xml:space="preserve"> </w:t>
      </w:r>
      <w:r w:rsidRPr="00C4585A">
        <w:rPr>
          <w:rFonts w:ascii="Arial" w:hAnsi="Arial" w:cs="Arial"/>
        </w:rPr>
        <w:t>,</w:t>
      </w:r>
      <w:proofErr w:type="gramEnd"/>
      <w:r w:rsidRPr="00C4585A">
        <w:rPr>
          <w:rFonts w:ascii="Arial" w:hAnsi="Arial" w:cs="Arial"/>
        </w:rPr>
        <w:t xml:space="preserve"> and (2) a dummy variable for Big-4 audit firm engagement (1 = Big-4, 0 = otherwise).</w:t>
      </w:r>
    </w:p>
    <w:p w14:paraId="5FB1A6EA" w14:textId="42DC1C8D" w:rsidR="00154320" w:rsidRPr="00C4585A" w:rsidRDefault="00154320" w:rsidP="004C2E3C">
      <w:pPr>
        <w:pStyle w:val="Body"/>
        <w:spacing w:after="0"/>
        <w:ind w:left="142" w:hanging="142"/>
        <w:rPr>
          <w:rFonts w:ascii="Arial" w:hAnsi="Arial" w:cs="Arial"/>
        </w:rPr>
      </w:pPr>
      <w:r w:rsidRPr="00C4585A">
        <w:rPr>
          <w:rFonts w:ascii="Arial" w:hAnsi="Arial" w:cs="Arial"/>
        </w:rPr>
        <w:t xml:space="preserve">- </w:t>
      </w:r>
      <w:r w:rsidR="004C2E3C" w:rsidRPr="00C4585A">
        <w:rPr>
          <w:rFonts w:ascii="Arial" w:hAnsi="Arial" w:cs="Arial"/>
        </w:rPr>
        <w:tab/>
      </w:r>
      <w:r w:rsidRPr="00C4585A">
        <w:rPr>
          <w:rFonts w:ascii="Arial" w:hAnsi="Arial" w:cs="Arial"/>
        </w:rPr>
        <w:t xml:space="preserve">Mediator – CSR Activity: </w:t>
      </w:r>
      <w:r w:rsidR="001F474D" w:rsidRPr="001F474D">
        <w:rPr>
          <w:rFonts w:ascii="Arial" w:hAnsi="Arial" w:cs="Arial"/>
        </w:rPr>
        <w:t>It is measured using the CSR disclosure score derived from the company’s reports based on the Global Reporting Initiative (GRI) framework. The score ranges from 0 to 1, where the CSR score represents an index calculated as the ratio between the number of CSR items disclosed by the company and the total number of CSR items required to be disclosed.</w:t>
      </w:r>
    </w:p>
    <w:p w14:paraId="34CF579F" w14:textId="77777777" w:rsidR="00344F30" w:rsidRPr="00344F30" w:rsidRDefault="00154320" w:rsidP="00344F30">
      <w:pPr>
        <w:pStyle w:val="Body"/>
        <w:spacing w:after="0"/>
        <w:ind w:left="142" w:hanging="142"/>
        <w:rPr>
          <w:rFonts w:ascii="Arial" w:hAnsi="Arial" w:cs="Arial"/>
        </w:rPr>
      </w:pPr>
      <w:r w:rsidRPr="00C4585A">
        <w:rPr>
          <w:rFonts w:ascii="Arial" w:hAnsi="Arial" w:cs="Arial"/>
        </w:rPr>
        <w:t xml:space="preserve">- </w:t>
      </w:r>
      <w:r w:rsidR="004C2E3C" w:rsidRPr="00C4585A">
        <w:rPr>
          <w:rFonts w:ascii="Arial" w:hAnsi="Arial" w:cs="Arial"/>
        </w:rPr>
        <w:tab/>
      </w:r>
      <w:r w:rsidRPr="00C4585A">
        <w:rPr>
          <w:rFonts w:ascii="Arial" w:hAnsi="Arial" w:cs="Arial"/>
        </w:rPr>
        <w:t xml:space="preserve">Dependent Variable – Firm Value: </w:t>
      </w:r>
      <w:r w:rsidR="00344F30" w:rsidRPr="00344F30">
        <w:rPr>
          <w:rFonts w:ascii="Arial" w:hAnsi="Arial" w:cs="Arial"/>
        </w:rPr>
        <w:t>It is measured using Economic Value Added (EVA), a financial performance metric that captures the actual value created by a company. EVA is calculated as the net operating profit after tax (NOPAT) minus the capital charge, where the capital charge is obtained by multiplying the weighted average cost of capital (WACC) by the invested capital.</w:t>
      </w:r>
    </w:p>
    <w:p w14:paraId="11614AC7" w14:textId="77777777" w:rsidR="00344F30" w:rsidRPr="00344F30" w:rsidRDefault="00344F30" w:rsidP="00344F30">
      <w:pPr>
        <w:pStyle w:val="Body"/>
        <w:spacing w:after="0"/>
        <w:ind w:left="142"/>
        <w:rPr>
          <w:rFonts w:ascii="Arial" w:hAnsi="Arial" w:cs="Arial"/>
        </w:rPr>
      </w:pPr>
      <w:r w:rsidRPr="00344F30">
        <w:rPr>
          <w:rFonts w:ascii="Arial" w:hAnsi="Arial" w:cs="Arial"/>
        </w:rPr>
        <w:t>Formally, EVA = NOPAT - (WACC x Invested Capital)</w:t>
      </w:r>
    </w:p>
    <w:p w14:paraId="5C7E69DE" w14:textId="77777777" w:rsidR="00344F30" w:rsidRPr="00344F30" w:rsidRDefault="00344F30" w:rsidP="00344F30">
      <w:pPr>
        <w:pStyle w:val="Body"/>
        <w:spacing w:after="0"/>
        <w:ind w:left="142"/>
        <w:rPr>
          <w:rFonts w:ascii="Arial" w:hAnsi="Arial" w:cs="Arial"/>
        </w:rPr>
      </w:pPr>
      <w:r w:rsidRPr="00344F30">
        <w:rPr>
          <w:rFonts w:ascii="Arial" w:hAnsi="Arial" w:cs="Arial"/>
        </w:rPr>
        <w:t>Invested capital is defined as the total assets minus non-interest-bearing liabilities.</w:t>
      </w:r>
    </w:p>
    <w:p w14:paraId="78B03E9D" w14:textId="77777777" w:rsidR="00344F30" w:rsidRPr="00344F30" w:rsidRDefault="00344F30" w:rsidP="00344F30">
      <w:pPr>
        <w:pStyle w:val="Body"/>
        <w:spacing w:after="0"/>
        <w:ind w:left="142"/>
        <w:rPr>
          <w:rFonts w:ascii="Arial" w:hAnsi="Arial" w:cs="Arial"/>
        </w:rPr>
      </w:pPr>
      <w:r w:rsidRPr="00344F30">
        <w:rPr>
          <w:rFonts w:ascii="Arial" w:hAnsi="Arial" w:cs="Arial"/>
        </w:rPr>
        <w:t>The EVA concept offers several advantages:</w:t>
      </w:r>
    </w:p>
    <w:p w14:paraId="1C5F0C7E" w14:textId="77777777" w:rsidR="00344F30" w:rsidRPr="00344F30" w:rsidRDefault="00344F30" w:rsidP="00344F30">
      <w:pPr>
        <w:pStyle w:val="Body"/>
        <w:spacing w:after="0"/>
        <w:ind w:left="142"/>
        <w:rPr>
          <w:rFonts w:ascii="Arial" w:hAnsi="Arial" w:cs="Arial"/>
        </w:rPr>
      </w:pPr>
      <w:r w:rsidRPr="00344F30">
        <w:rPr>
          <w:rFonts w:ascii="Arial" w:hAnsi="Arial" w:cs="Arial"/>
        </w:rPr>
        <w:t>1.  It considers the cost of all capital, not just debt.</w:t>
      </w:r>
    </w:p>
    <w:p w14:paraId="056EF034" w14:textId="77777777" w:rsidR="00344F30" w:rsidRPr="00344F30" w:rsidRDefault="00344F30" w:rsidP="00344F30">
      <w:pPr>
        <w:pStyle w:val="Body"/>
        <w:spacing w:after="0"/>
        <w:ind w:left="426" w:hanging="284"/>
        <w:rPr>
          <w:rFonts w:ascii="Arial" w:hAnsi="Arial" w:cs="Arial"/>
        </w:rPr>
      </w:pPr>
      <w:r w:rsidRPr="00344F30">
        <w:rPr>
          <w:rFonts w:ascii="Arial" w:hAnsi="Arial" w:cs="Arial"/>
        </w:rPr>
        <w:t xml:space="preserve">2. </w:t>
      </w:r>
      <w:r w:rsidRPr="00344F30">
        <w:rPr>
          <w:rFonts w:ascii="Arial" w:hAnsi="Arial" w:cs="Arial"/>
        </w:rPr>
        <w:tab/>
        <w:t>It encourages managers to think like shareholders, aligning managerial decisions with shareholder wealth maximization.</w:t>
      </w:r>
    </w:p>
    <w:p w14:paraId="3D5D5864" w14:textId="0C01B7BC" w:rsidR="00154320" w:rsidRPr="00C4585A" w:rsidRDefault="00344F30" w:rsidP="00344F30">
      <w:pPr>
        <w:pStyle w:val="Body"/>
        <w:spacing w:after="0"/>
        <w:ind w:left="426" w:hanging="284"/>
        <w:rPr>
          <w:rFonts w:ascii="Arial" w:hAnsi="Arial" w:cs="Arial"/>
        </w:rPr>
      </w:pPr>
      <w:r w:rsidRPr="00344F30">
        <w:rPr>
          <w:rFonts w:ascii="Arial" w:hAnsi="Arial" w:cs="Arial"/>
        </w:rPr>
        <w:t xml:space="preserve">3. </w:t>
      </w:r>
      <w:r w:rsidRPr="00344F30">
        <w:rPr>
          <w:rFonts w:ascii="Arial" w:hAnsi="Arial" w:cs="Arial"/>
        </w:rPr>
        <w:tab/>
        <w:t>It serves as a comprehensive tool for performance evaluation and managerial compensation, as it reflects both operational efficiency and financial responsibility.</w:t>
      </w:r>
    </w:p>
    <w:p w14:paraId="57B18839" w14:textId="763E4BAA" w:rsidR="00154320" w:rsidRPr="00C4585A" w:rsidRDefault="004C2E3C" w:rsidP="004C2E3C">
      <w:pPr>
        <w:pStyle w:val="Body"/>
        <w:spacing w:after="0"/>
        <w:ind w:left="142" w:hanging="142"/>
        <w:rPr>
          <w:rFonts w:ascii="Arial" w:hAnsi="Arial" w:cs="Arial"/>
        </w:rPr>
      </w:pPr>
      <w:r w:rsidRPr="00C4585A">
        <w:rPr>
          <w:rFonts w:ascii="Arial" w:hAnsi="Arial" w:cs="Arial"/>
        </w:rPr>
        <w:t>- C</w:t>
      </w:r>
      <w:r w:rsidR="00154320" w:rsidRPr="00C4585A">
        <w:rPr>
          <w:rFonts w:ascii="Arial" w:hAnsi="Arial" w:cs="Arial"/>
        </w:rPr>
        <w:t>ontrol Variables: Return on Assets (ROA) and firm size (logarithm of total assets).</w:t>
      </w:r>
    </w:p>
    <w:p w14:paraId="7E2A4A78" w14:textId="77777777" w:rsidR="004C2E3C" w:rsidRPr="00C4585A" w:rsidRDefault="004C2E3C" w:rsidP="004C2E3C">
      <w:pPr>
        <w:pStyle w:val="Body"/>
        <w:spacing w:after="0"/>
        <w:ind w:left="142" w:hanging="142"/>
        <w:rPr>
          <w:rFonts w:ascii="Arial" w:hAnsi="Arial" w:cs="Arial"/>
        </w:rPr>
      </w:pPr>
    </w:p>
    <w:p w14:paraId="50C3C534" w14:textId="33AC2F8F" w:rsidR="00154320" w:rsidRPr="00317ACE" w:rsidRDefault="004C2E3C" w:rsidP="004C2E3C">
      <w:pPr>
        <w:pStyle w:val="Body"/>
        <w:spacing w:after="0"/>
        <w:rPr>
          <w:rFonts w:ascii="Arial" w:hAnsi="Arial" w:cs="Arial"/>
          <w:b/>
          <w:bCs/>
          <w:sz w:val="22"/>
          <w:szCs w:val="22"/>
        </w:rPr>
      </w:pPr>
      <w:r w:rsidRPr="00317ACE">
        <w:rPr>
          <w:rFonts w:ascii="Arial" w:hAnsi="Arial" w:cs="Arial"/>
          <w:b/>
          <w:bCs/>
          <w:sz w:val="22"/>
          <w:szCs w:val="22"/>
        </w:rPr>
        <w:t>2</w:t>
      </w:r>
      <w:r w:rsidR="00154320" w:rsidRPr="00317ACE">
        <w:rPr>
          <w:rFonts w:ascii="Arial" w:hAnsi="Arial" w:cs="Arial"/>
          <w:b/>
          <w:bCs/>
          <w:sz w:val="22"/>
          <w:szCs w:val="22"/>
        </w:rPr>
        <w:t>.2 Analytical Strategy</w:t>
      </w:r>
    </w:p>
    <w:p w14:paraId="62927F39" w14:textId="524AC671" w:rsidR="00154320" w:rsidRDefault="00344F30" w:rsidP="00441B6F">
      <w:pPr>
        <w:pStyle w:val="Body"/>
        <w:spacing w:after="0"/>
        <w:rPr>
          <w:rFonts w:ascii="Arial" w:hAnsi="Arial" w:cs="Arial"/>
        </w:rPr>
      </w:pPr>
      <w:r w:rsidRPr="00344F30">
        <w:rPr>
          <w:rFonts w:ascii="Arial" w:hAnsi="Arial" w:cs="Arial"/>
        </w:rPr>
        <w:t xml:space="preserve">Data were analyzed using EViews 13 software. Descriptive statistics and correlation analysis were conducted first. Subsequently, a panel regression model was applied. Based on the Chow test, the fixed effect model was initially selected; however, the Hausman test indicated that the random effect model was more appropriate. Furthermore, the Lagrange Multiplier (LM) </w:t>
      </w:r>
      <w:r w:rsidRPr="00344F30">
        <w:rPr>
          <w:rFonts w:ascii="Arial" w:hAnsi="Arial" w:cs="Arial"/>
        </w:rPr>
        <w:lastRenderedPageBreak/>
        <w:t>test also confirmed the suitability of the random effect model. Using the random effect model, the hypothesis testing was then conducted. Finally, a Sobel test was performed to examine the mediating effect of CSR</w:t>
      </w:r>
    </w:p>
    <w:p w14:paraId="079E24A5" w14:textId="77777777" w:rsidR="00344F30" w:rsidRPr="00C4585A" w:rsidRDefault="00344F30" w:rsidP="00441B6F">
      <w:pPr>
        <w:pStyle w:val="Body"/>
        <w:spacing w:after="0"/>
        <w:rPr>
          <w:rFonts w:ascii="Arial" w:hAnsi="Arial" w:cs="Arial"/>
        </w:rPr>
      </w:pPr>
    </w:p>
    <w:p w14:paraId="36CE6201" w14:textId="77777777" w:rsidR="00902823" w:rsidRPr="00C4585A" w:rsidRDefault="00000F8F" w:rsidP="00441B6F">
      <w:pPr>
        <w:pStyle w:val="Head1"/>
        <w:spacing w:after="0"/>
        <w:jc w:val="both"/>
        <w:rPr>
          <w:rFonts w:ascii="Arial" w:hAnsi="Arial" w:cs="Arial"/>
        </w:rPr>
      </w:pPr>
      <w:r w:rsidRPr="00C4585A">
        <w:rPr>
          <w:rFonts w:ascii="Arial" w:hAnsi="Arial" w:cs="Arial"/>
        </w:rPr>
        <w:t>3</w:t>
      </w:r>
      <w:r w:rsidR="00902823" w:rsidRPr="00C4585A">
        <w:rPr>
          <w:rFonts w:ascii="Arial" w:hAnsi="Arial" w:cs="Arial"/>
        </w:rPr>
        <w:t xml:space="preserve">. </w:t>
      </w:r>
      <w:r w:rsidRPr="00C4585A">
        <w:rPr>
          <w:rFonts w:ascii="Arial" w:hAnsi="Arial" w:cs="Arial"/>
        </w:rPr>
        <w:t>results and discussion</w:t>
      </w:r>
    </w:p>
    <w:p w14:paraId="26928A8B" w14:textId="77777777" w:rsidR="00790ADA" w:rsidRPr="00C4585A" w:rsidRDefault="00790ADA" w:rsidP="00441B6F">
      <w:pPr>
        <w:pStyle w:val="Head1"/>
        <w:spacing w:after="0"/>
        <w:jc w:val="both"/>
        <w:rPr>
          <w:rFonts w:ascii="Arial" w:hAnsi="Arial" w:cs="Arial"/>
        </w:rPr>
      </w:pPr>
    </w:p>
    <w:p w14:paraId="17EF55D9" w14:textId="77777777" w:rsidR="00B951CD" w:rsidRPr="00C4585A" w:rsidRDefault="00474FDC" w:rsidP="00474FDC">
      <w:pPr>
        <w:pStyle w:val="Body"/>
        <w:spacing w:after="0"/>
        <w:rPr>
          <w:rFonts w:ascii="Arial" w:hAnsi="Arial" w:cs="Arial"/>
        </w:rPr>
      </w:pPr>
      <w:r w:rsidRPr="00C4585A">
        <w:rPr>
          <w:rFonts w:ascii="Arial" w:hAnsi="Arial" w:cs="Arial"/>
        </w:rPr>
        <w:t xml:space="preserve">Descriptive statistics indicate moderate variation across firms in terms of awards received, audit affiliation, CSR scores, and EVA. </w:t>
      </w:r>
    </w:p>
    <w:p w14:paraId="09813D6E" w14:textId="77777777" w:rsidR="00B951CD" w:rsidRPr="00C4585A" w:rsidRDefault="00B951CD" w:rsidP="00474FDC">
      <w:pPr>
        <w:pStyle w:val="Body"/>
        <w:spacing w:after="0"/>
        <w:rPr>
          <w:rFonts w:ascii="Arial" w:hAnsi="Arial" w:cs="Arial"/>
        </w:rPr>
      </w:pPr>
    </w:p>
    <w:p w14:paraId="13F4A616" w14:textId="62234663" w:rsidR="00B951CD" w:rsidRPr="00C4585A" w:rsidRDefault="00B951CD" w:rsidP="00474FDC">
      <w:pPr>
        <w:pStyle w:val="Body"/>
        <w:spacing w:after="0"/>
        <w:rPr>
          <w:rFonts w:ascii="Arial" w:hAnsi="Arial" w:cs="Arial"/>
          <w:b/>
          <w:bCs/>
        </w:rPr>
      </w:pPr>
      <w:r w:rsidRPr="00C4585A">
        <w:rPr>
          <w:rFonts w:ascii="Arial" w:hAnsi="Arial" w:cs="Arial"/>
          <w:b/>
          <w:bCs/>
        </w:rPr>
        <w:t>Table 1. Summary of Descriptive Statistics</w:t>
      </w:r>
    </w:p>
    <w:tbl>
      <w:tblPr>
        <w:tblW w:w="6632" w:type="dxa"/>
        <w:tblLook w:val="04A0" w:firstRow="1" w:lastRow="0" w:firstColumn="1" w:lastColumn="0" w:noHBand="0" w:noVBand="1"/>
      </w:tblPr>
      <w:tblGrid>
        <w:gridCol w:w="995"/>
        <w:gridCol w:w="1134"/>
        <w:gridCol w:w="1134"/>
        <w:gridCol w:w="1134"/>
        <w:gridCol w:w="1184"/>
        <w:gridCol w:w="1051"/>
      </w:tblGrid>
      <w:tr w:rsidR="00C4585A" w:rsidRPr="00C4585A" w14:paraId="303A10E1" w14:textId="77777777" w:rsidTr="00A60351">
        <w:trPr>
          <w:trHeight w:val="299"/>
        </w:trPr>
        <w:tc>
          <w:tcPr>
            <w:tcW w:w="995" w:type="dxa"/>
            <w:tcBorders>
              <w:top w:val="double" w:sz="6" w:space="0" w:color="auto"/>
              <w:left w:val="nil"/>
              <w:bottom w:val="double" w:sz="6" w:space="0" w:color="auto"/>
              <w:right w:val="nil"/>
            </w:tcBorders>
            <w:noWrap/>
            <w:vAlign w:val="center"/>
            <w:hideMark/>
          </w:tcPr>
          <w:p w14:paraId="1A0FEA89" w14:textId="21647308" w:rsidR="00A60351" w:rsidRPr="00C4585A" w:rsidRDefault="00003BB1" w:rsidP="00A60351">
            <w:pPr>
              <w:pStyle w:val="Body"/>
              <w:spacing w:after="0"/>
              <w:rPr>
                <w:rFonts w:ascii="Arial" w:hAnsi="Arial" w:cs="Arial"/>
                <w:b/>
                <w:bCs/>
              </w:rPr>
            </w:pPr>
            <w:r w:rsidRPr="00C4585A">
              <w:rPr>
                <w:rFonts w:ascii="Arial" w:hAnsi="Arial" w:cs="Arial"/>
                <w:b/>
                <w:bCs/>
              </w:rPr>
              <w:t>Variable</w:t>
            </w:r>
            <w:r w:rsidR="00A60351" w:rsidRPr="00C4585A">
              <w:rPr>
                <w:rFonts w:ascii="Arial" w:hAnsi="Arial" w:cs="Arial"/>
                <w:b/>
                <w:bCs/>
              </w:rPr>
              <w:t xml:space="preserve"> </w:t>
            </w:r>
          </w:p>
        </w:tc>
        <w:tc>
          <w:tcPr>
            <w:tcW w:w="1134" w:type="dxa"/>
            <w:tcBorders>
              <w:top w:val="double" w:sz="6" w:space="0" w:color="auto"/>
              <w:left w:val="nil"/>
              <w:bottom w:val="double" w:sz="6" w:space="0" w:color="auto"/>
              <w:right w:val="nil"/>
            </w:tcBorders>
            <w:noWrap/>
            <w:vAlign w:val="center"/>
            <w:hideMark/>
          </w:tcPr>
          <w:p w14:paraId="6FA53DC4" w14:textId="77777777" w:rsidR="00A60351" w:rsidRPr="00C4585A" w:rsidRDefault="00A60351" w:rsidP="00A60351">
            <w:pPr>
              <w:pStyle w:val="Body"/>
              <w:spacing w:after="0"/>
              <w:rPr>
                <w:rFonts w:ascii="Arial" w:hAnsi="Arial" w:cs="Arial"/>
                <w:b/>
                <w:bCs/>
              </w:rPr>
            </w:pPr>
            <w:r w:rsidRPr="00C4585A">
              <w:rPr>
                <w:rFonts w:ascii="Arial" w:hAnsi="Arial" w:cs="Arial"/>
                <w:b/>
                <w:bCs/>
              </w:rPr>
              <w:t xml:space="preserve"> Mean</w:t>
            </w:r>
          </w:p>
        </w:tc>
        <w:tc>
          <w:tcPr>
            <w:tcW w:w="1134" w:type="dxa"/>
            <w:tcBorders>
              <w:top w:val="double" w:sz="6" w:space="0" w:color="auto"/>
              <w:left w:val="nil"/>
              <w:bottom w:val="double" w:sz="6" w:space="0" w:color="auto"/>
              <w:right w:val="nil"/>
            </w:tcBorders>
            <w:noWrap/>
            <w:vAlign w:val="center"/>
            <w:hideMark/>
          </w:tcPr>
          <w:p w14:paraId="313F8AA8" w14:textId="77777777" w:rsidR="00A60351" w:rsidRPr="00C4585A" w:rsidRDefault="00A60351" w:rsidP="00A60351">
            <w:pPr>
              <w:pStyle w:val="Body"/>
              <w:spacing w:after="0"/>
              <w:rPr>
                <w:rFonts w:ascii="Arial" w:hAnsi="Arial" w:cs="Arial"/>
                <w:b/>
                <w:bCs/>
              </w:rPr>
            </w:pPr>
            <w:r w:rsidRPr="00C4585A">
              <w:rPr>
                <w:rFonts w:ascii="Arial" w:hAnsi="Arial" w:cs="Arial"/>
                <w:b/>
                <w:bCs/>
              </w:rPr>
              <w:t>Median</w:t>
            </w:r>
          </w:p>
        </w:tc>
        <w:tc>
          <w:tcPr>
            <w:tcW w:w="1134" w:type="dxa"/>
            <w:tcBorders>
              <w:top w:val="double" w:sz="6" w:space="0" w:color="auto"/>
              <w:left w:val="nil"/>
              <w:bottom w:val="double" w:sz="6" w:space="0" w:color="auto"/>
              <w:right w:val="nil"/>
            </w:tcBorders>
            <w:vAlign w:val="center"/>
          </w:tcPr>
          <w:p w14:paraId="6DB70BA5" w14:textId="77777777" w:rsidR="00A60351" w:rsidRPr="00C4585A" w:rsidRDefault="00A60351" w:rsidP="00A60351">
            <w:pPr>
              <w:pStyle w:val="Body"/>
              <w:spacing w:after="0"/>
              <w:rPr>
                <w:rFonts w:ascii="Arial" w:hAnsi="Arial" w:cs="Arial"/>
                <w:b/>
                <w:bCs/>
              </w:rPr>
            </w:pPr>
            <w:r w:rsidRPr="00C4585A">
              <w:rPr>
                <w:rFonts w:ascii="Arial" w:hAnsi="Arial" w:cs="Arial"/>
                <w:b/>
                <w:bCs/>
              </w:rPr>
              <w:t xml:space="preserve"> Std. Dev.</w:t>
            </w:r>
          </w:p>
        </w:tc>
        <w:tc>
          <w:tcPr>
            <w:tcW w:w="1184" w:type="dxa"/>
            <w:tcBorders>
              <w:top w:val="double" w:sz="6" w:space="0" w:color="auto"/>
              <w:left w:val="nil"/>
              <w:bottom w:val="double" w:sz="6" w:space="0" w:color="auto"/>
              <w:right w:val="nil"/>
            </w:tcBorders>
            <w:vAlign w:val="center"/>
          </w:tcPr>
          <w:p w14:paraId="2246B71F" w14:textId="4EF605AF" w:rsidR="00A60351" w:rsidRPr="00C4585A" w:rsidRDefault="00A60351" w:rsidP="00A60351">
            <w:pPr>
              <w:pStyle w:val="Body"/>
              <w:spacing w:after="0"/>
              <w:rPr>
                <w:rFonts w:ascii="Arial" w:hAnsi="Arial" w:cs="Arial"/>
                <w:b/>
                <w:bCs/>
              </w:rPr>
            </w:pPr>
            <w:r w:rsidRPr="00C4585A">
              <w:rPr>
                <w:rFonts w:ascii="Arial" w:hAnsi="Arial" w:cs="Arial"/>
                <w:b/>
                <w:bCs/>
              </w:rPr>
              <w:t>Skewness</w:t>
            </w:r>
          </w:p>
        </w:tc>
        <w:tc>
          <w:tcPr>
            <w:tcW w:w="1051" w:type="dxa"/>
            <w:tcBorders>
              <w:top w:val="double" w:sz="6" w:space="0" w:color="auto"/>
              <w:left w:val="nil"/>
              <w:bottom w:val="double" w:sz="6" w:space="0" w:color="auto"/>
              <w:right w:val="nil"/>
            </w:tcBorders>
            <w:noWrap/>
            <w:vAlign w:val="center"/>
          </w:tcPr>
          <w:p w14:paraId="0DEBF59C" w14:textId="0CB0B816" w:rsidR="00A60351" w:rsidRPr="00C4585A" w:rsidRDefault="00A60351" w:rsidP="00A60351">
            <w:pPr>
              <w:pStyle w:val="Body"/>
              <w:spacing w:after="0"/>
              <w:rPr>
                <w:rFonts w:ascii="Arial" w:hAnsi="Arial" w:cs="Arial"/>
                <w:b/>
                <w:bCs/>
              </w:rPr>
            </w:pPr>
            <w:r w:rsidRPr="00C4585A">
              <w:rPr>
                <w:rFonts w:ascii="Arial" w:hAnsi="Arial" w:cs="Arial"/>
                <w:b/>
                <w:bCs/>
              </w:rPr>
              <w:t>Kurtosis</w:t>
            </w:r>
          </w:p>
        </w:tc>
      </w:tr>
      <w:tr w:rsidR="00C4585A" w:rsidRPr="00C4585A" w14:paraId="2DBD22E8" w14:textId="77777777" w:rsidTr="00A60351">
        <w:trPr>
          <w:trHeight w:val="330"/>
        </w:trPr>
        <w:tc>
          <w:tcPr>
            <w:tcW w:w="995" w:type="dxa"/>
            <w:noWrap/>
            <w:vAlign w:val="center"/>
            <w:hideMark/>
          </w:tcPr>
          <w:p w14:paraId="3EA64BD9" w14:textId="77777777" w:rsidR="00A60351" w:rsidRPr="00C4585A" w:rsidRDefault="00A60351" w:rsidP="00A60351">
            <w:pPr>
              <w:pStyle w:val="Body"/>
              <w:spacing w:after="0"/>
              <w:rPr>
                <w:rFonts w:ascii="Arial" w:hAnsi="Arial" w:cs="Arial"/>
              </w:rPr>
            </w:pPr>
            <w:r w:rsidRPr="00C4585A">
              <w:rPr>
                <w:rFonts w:ascii="Arial" w:hAnsi="Arial" w:cs="Arial"/>
              </w:rPr>
              <w:t>FV</w:t>
            </w:r>
          </w:p>
        </w:tc>
        <w:tc>
          <w:tcPr>
            <w:tcW w:w="1134" w:type="dxa"/>
            <w:noWrap/>
            <w:vAlign w:val="center"/>
            <w:hideMark/>
          </w:tcPr>
          <w:p w14:paraId="0CB8A1F2" w14:textId="77777777" w:rsidR="00A60351" w:rsidRPr="00C4585A" w:rsidRDefault="00A60351" w:rsidP="00A60351">
            <w:pPr>
              <w:pStyle w:val="Body"/>
              <w:spacing w:after="0"/>
              <w:rPr>
                <w:rFonts w:ascii="Arial" w:hAnsi="Arial" w:cs="Arial"/>
              </w:rPr>
            </w:pPr>
            <w:r w:rsidRPr="00C4585A">
              <w:rPr>
                <w:rFonts w:ascii="Arial" w:hAnsi="Arial" w:cs="Arial"/>
                <w:lang w:val="en-ID"/>
              </w:rPr>
              <w:t> 8.06E+12</w:t>
            </w:r>
          </w:p>
        </w:tc>
        <w:tc>
          <w:tcPr>
            <w:tcW w:w="1134" w:type="dxa"/>
            <w:noWrap/>
            <w:vAlign w:val="center"/>
            <w:hideMark/>
          </w:tcPr>
          <w:p w14:paraId="222979C9" w14:textId="77777777" w:rsidR="00A60351" w:rsidRPr="00C4585A" w:rsidRDefault="00A60351" w:rsidP="00A60351">
            <w:pPr>
              <w:pStyle w:val="Body"/>
              <w:spacing w:after="0"/>
              <w:rPr>
                <w:rFonts w:ascii="Arial" w:hAnsi="Arial" w:cs="Arial"/>
              </w:rPr>
            </w:pPr>
            <w:r w:rsidRPr="00C4585A">
              <w:rPr>
                <w:rFonts w:ascii="Arial" w:hAnsi="Arial" w:cs="Arial"/>
                <w:lang w:val="en-ID"/>
              </w:rPr>
              <w:t> 2.85E+11</w:t>
            </w:r>
          </w:p>
        </w:tc>
        <w:tc>
          <w:tcPr>
            <w:tcW w:w="1134" w:type="dxa"/>
            <w:vAlign w:val="center"/>
          </w:tcPr>
          <w:p w14:paraId="2C31E8B1" w14:textId="77777777" w:rsidR="00A60351" w:rsidRPr="00C4585A" w:rsidRDefault="00A60351" w:rsidP="00A60351">
            <w:pPr>
              <w:pStyle w:val="Body"/>
              <w:spacing w:after="0"/>
              <w:rPr>
                <w:rFonts w:ascii="Arial" w:hAnsi="Arial" w:cs="Arial"/>
              </w:rPr>
            </w:pPr>
            <w:r w:rsidRPr="00C4585A">
              <w:rPr>
                <w:rFonts w:ascii="Arial" w:hAnsi="Arial" w:cs="Arial"/>
                <w:lang w:val="en-ID"/>
              </w:rPr>
              <w:t>2.25E+13 </w:t>
            </w:r>
          </w:p>
        </w:tc>
        <w:tc>
          <w:tcPr>
            <w:tcW w:w="1184" w:type="dxa"/>
            <w:vAlign w:val="center"/>
          </w:tcPr>
          <w:p w14:paraId="11B88B85" w14:textId="77777777" w:rsidR="00A60351" w:rsidRPr="00C4585A" w:rsidRDefault="00A60351" w:rsidP="00A60351">
            <w:pPr>
              <w:pStyle w:val="Body"/>
              <w:spacing w:after="0"/>
              <w:rPr>
                <w:rFonts w:ascii="Arial" w:hAnsi="Arial" w:cs="Arial"/>
              </w:rPr>
            </w:pPr>
            <w:r w:rsidRPr="00C4585A">
              <w:rPr>
                <w:rFonts w:ascii="Arial" w:hAnsi="Arial" w:cs="Arial"/>
              </w:rPr>
              <w:t>0.231355</w:t>
            </w:r>
          </w:p>
        </w:tc>
        <w:tc>
          <w:tcPr>
            <w:tcW w:w="1051" w:type="dxa"/>
            <w:noWrap/>
          </w:tcPr>
          <w:p w14:paraId="6FCD3026" w14:textId="77777777" w:rsidR="00A60351" w:rsidRPr="00C4585A" w:rsidRDefault="00A60351" w:rsidP="00A60351">
            <w:pPr>
              <w:pStyle w:val="Body"/>
              <w:spacing w:after="0"/>
              <w:rPr>
                <w:rFonts w:ascii="Arial" w:hAnsi="Arial" w:cs="Arial"/>
              </w:rPr>
            </w:pPr>
            <w:r w:rsidRPr="00C4585A">
              <w:rPr>
                <w:rFonts w:ascii="Arial" w:hAnsi="Arial" w:cs="Arial"/>
                <w:lang w:val="en-ID"/>
              </w:rPr>
              <w:t>0.36768</w:t>
            </w:r>
          </w:p>
        </w:tc>
      </w:tr>
      <w:tr w:rsidR="00C4585A" w:rsidRPr="00C4585A" w14:paraId="4E0FC101" w14:textId="77777777" w:rsidTr="00A60351">
        <w:trPr>
          <w:trHeight w:val="330"/>
        </w:trPr>
        <w:tc>
          <w:tcPr>
            <w:tcW w:w="995" w:type="dxa"/>
            <w:noWrap/>
            <w:vAlign w:val="center"/>
          </w:tcPr>
          <w:p w14:paraId="4BF0F6EC" w14:textId="77777777" w:rsidR="00A60351" w:rsidRPr="00C4585A" w:rsidRDefault="00A60351" w:rsidP="00A60351">
            <w:pPr>
              <w:pStyle w:val="Body"/>
              <w:spacing w:after="0"/>
              <w:rPr>
                <w:rFonts w:ascii="Arial" w:hAnsi="Arial" w:cs="Arial"/>
              </w:rPr>
            </w:pPr>
            <w:r w:rsidRPr="00C4585A">
              <w:rPr>
                <w:rFonts w:ascii="Arial" w:hAnsi="Arial" w:cs="Arial"/>
              </w:rPr>
              <w:t>CSR</w:t>
            </w:r>
          </w:p>
        </w:tc>
        <w:tc>
          <w:tcPr>
            <w:tcW w:w="1134" w:type="dxa"/>
            <w:noWrap/>
            <w:vAlign w:val="center"/>
          </w:tcPr>
          <w:p w14:paraId="763D9100"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0.668072</w:t>
            </w:r>
          </w:p>
        </w:tc>
        <w:tc>
          <w:tcPr>
            <w:tcW w:w="1134" w:type="dxa"/>
            <w:noWrap/>
            <w:vAlign w:val="center"/>
          </w:tcPr>
          <w:p w14:paraId="32F0A1F7"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0.660000</w:t>
            </w:r>
          </w:p>
        </w:tc>
        <w:tc>
          <w:tcPr>
            <w:tcW w:w="1134" w:type="dxa"/>
            <w:vAlign w:val="center"/>
          </w:tcPr>
          <w:p w14:paraId="54824909" w14:textId="77777777" w:rsidR="00A60351" w:rsidRPr="00C4585A" w:rsidRDefault="00A60351" w:rsidP="00A60351">
            <w:pPr>
              <w:pStyle w:val="Body"/>
              <w:spacing w:after="0"/>
              <w:rPr>
                <w:rFonts w:ascii="Arial" w:hAnsi="Arial" w:cs="Arial"/>
              </w:rPr>
            </w:pPr>
            <w:r w:rsidRPr="00C4585A">
              <w:rPr>
                <w:rFonts w:ascii="Arial" w:hAnsi="Arial" w:cs="Arial"/>
                <w:lang w:val="en-ID"/>
              </w:rPr>
              <w:t>0.145663</w:t>
            </w:r>
          </w:p>
        </w:tc>
        <w:tc>
          <w:tcPr>
            <w:tcW w:w="1184" w:type="dxa"/>
            <w:vAlign w:val="center"/>
          </w:tcPr>
          <w:p w14:paraId="2538C2FA"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0.153219</w:t>
            </w:r>
          </w:p>
        </w:tc>
        <w:tc>
          <w:tcPr>
            <w:tcW w:w="1051" w:type="dxa"/>
            <w:noWrap/>
          </w:tcPr>
          <w:p w14:paraId="0D9CA918"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3.427742</w:t>
            </w:r>
          </w:p>
        </w:tc>
      </w:tr>
      <w:tr w:rsidR="00C4585A" w:rsidRPr="00C4585A" w14:paraId="11D3AB49" w14:textId="77777777" w:rsidTr="00A60351">
        <w:trPr>
          <w:trHeight w:val="315"/>
        </w:trPr>
        <w:tc>
          <w:tcPr>
            <w:tcW w:w="995" w:type="dxa"/>
            <w:noWrap/>
            <w:vAlign w:val="center"/>
          </w:tcPr>
          <w:p w14:paraId="4D6C218C" w14:textId="77777777" w:rsidR="00A60351" w:rsidRPr="00C4585A" w:rsidRDefault="00A60351" w:rsidP="00A60351">
            <w:pPr>
              <w:pStyle w:val="Body"/>
              <w:spacing w:after="0"/>
              <w:rPr>
                <w:rFonts w:ascii="Arial" w:hAnsi="Arial" w:cs="Arial"/>
              </w:rPr>
            </w:pPr>
            <w:r w:rsidRPr="00C4585A">
              <w:rPr>
                <w:rFonts w:ascii="Arial" w:hAnsi="Arial" w:cs="Arial"/>
              </w:rPr>
              <w:t>BIG4</w:t>
            </w:r>
          </w:p>
        </w:tc>
        <w:tc>
          <w:tcPr>
            <w:tcW w:w="1134" w:type="dxa"/>
            <w:noWrap/>
            <w:vAlign w:val="center"/>
          </w:tcPr>
          <w:p w14:paraId="484FDE10"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0.640523</w:t>
            </w:r>
          </w:p>
        </w:tc>
        <w:tc>
          <w:tcPr>
            <w:tcW w:w="1134" w:type="dxa"/>
            <w:noWrap/>
            <w:vAlign w:val="center"/>
          </w:tcPr>
          <w:p w14:paraId="3B06DC5C"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1.000000</w:t>
            </w:r>
          </w:p>
        </w:tc>
        <w:tc>
          <w:tcPr>
            <w:tcW w:w="1134" w:type="dxa"/>
            <w:vAlign w:val="center"/>
          </w:tcPr>
          <w:p w14:paraId="11409961"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0.480633</w:t>
            </w:r>
          </w:p>
        </w:tc>
        <w:tc>
          <w:tcPr>
            <w:tcW w:w="1184" w:type="dxa"/>
            <w:vAlign w:val="center"/>
          </w:tcPr>
          <w:p w14:paraId="7648DD8D"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-0.585698</w:t>
            </w:r>
          </w:p>
        </w:tc>
        <w:tc>
          <w:tcPr>
            <w:tcW w:w="1051" w:type="dxa"/>
            <w:noWrap/>
          </w:tcPr>
          <w:p w14:paraId="646856B8"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 xml:space="preserve">1.343043 </w:t>
            </w:r>
          </w:p>
        </w:tc>
      </w:tr>
      <w:tr w:rsidR="00A60351" w:rsidRPr="00C4585A" w14:paraId="5232BD14" w14:textId="77777777" w:rsidTr="00A60351">
        <w:trPr>
          <w:trHeight w:val="315"/>
        </w:trPr>
        <w:tc>
          <w:tcPr>
            <w:tcW w:w="995" w:type="dxa"/>
            <w:tcBorders>
              <w:bottom w:val="single" w:sz="4" w:space="0" w:color="auto"/>
            </w:tcBorders>
            <w:noWrap/>
            <w:vAlign w:val="center"/>
          </w:tcPr>
          <w:p w14:paraId="005ECC37" w14:textId="77777777" w:rsidR="00A60351" w:rsidRPr="00C4585A" w:rsidRDefault="00A60351" w:rsidP="00A60351">
            <w:pPr>
              <w:pStyle w:val="Body"/>
              <w:spacing w:after="0"/>
              <w:rPr>
                <w:rFonts w:ascii="Arial" w:hAnsi="Arial" w:cs="Arial"/>
              </w:rPr>
            </w:pPr>
            <w:r w:rsidRPr="00C4585A">
              <w:rPr>
                <w:rFonts w:ascii="Arial" w:hAnsi="Arial" w:cs="Arial"/>
              </w:rPr>
              <w:t>BI</w:t>
            </w:r>
          </w:p>
        </w:tc>
        <w:tc>
          <w:tcPr>
            <w:tcW w:w="1134" w:type="dxa"/>
            <w:tcBorders>
              <w:bottom w:val="single" w:sz="4" w:space="0" w:color="auto"/>
            </w:tcBorders>
            <w:noWrap/>
            <w:vAlign w:val="center"/>
          </w:tcPr>
          <w:p w14:paraId="4FCD1267"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21.28105</w:t>
            </w:r>
          </w:p>
        </w:tc>
        <w:tc>
          <w:tcPr>
            <w:tcW w:w="1134" w:type="dxa"/>
            <w:tcBorders>
              <w:bottom w:val="single" w:sz="4" w:space="0" w:color="auto"/>
            </w:tcBorders>
            <w:noWrap/>
            <w:vAlign w:val="center"/>
          </w:tcPr>
          <w:p w14:paraId="0947CAA5"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14.00000</w:t>
            </w:r>
          </w:p>
        </w:tc>
        <w:tc>
          <w:tcPr>
            <w:tcW w:w="1134" w:type="dxa"/>
            <w:tcBorders>
              <w:bottom w:val="single" w:sz="4" w:space="0" w:color="auto"/>
            </w:tcBorders>
            <w:vAlign w:val="center"/>
          </w:tcPr>
          <w:p w14:paraId="2235D9E9"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22.88215</w:t>
            </w:r>
          </w:p>
        </w:tc>
        <w:tc>
          <w:tcPr>
            <w:tcW w:w="1184" w:type="dxa"/>
            <w:tcBorders>
              <w:bottom w:val="single" w:sz="4" w:space="0" w:color="auto"/>
            </w:tcBorders>
            <w:vAlign w:val="center"/>
          </w:tcPr>
          <w:p w14:paraId="06F57B71"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0.214879</w:t>
            </w:r>
          </w:p>
        </w:tc>
        <w:tc>
          <w:tcPr>
            <w:tcW w:w="1051" w:type="dxa"/>
            <w:tcBorders>
              <w:bottom w:val="single" w:sz="4" w:space="0" w:color="auto"/>
            </w:tcBorders>
            <w:noWrap/>
          </w:tcPr>
          <w:p w14:paraId="128D4F95"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0.175395</w:t>
            </w:r>
          </w:p>
        </w:tc>
      </w:tr>
    </w:tbl>
    <w:p w14:paraId="36DCB328" w14:textId="77777777" w:rsidR="00B951CD" w:rsidRPr="00C4585A" w:rsidRDefault="00B951CD" w:rsidP="00474FDC">
      <w:pPr>
        <w:pStyle w:val="Body"/>
        <w:spacing w:after="0"/>
        <w:rPr>
          <w:rFonts w:ascii="Arial" w:hAnsi="Arial" w:cs="Arial"/>
          <w:b/>
          <w:bCs/>
        </w:rPr>
      </w:pPr>
    </w:p>
    <w:p w14:paraId="5AF4F6F2" w14:textId="7C84C183" w:rsidR="00A60351" w:rsidRPr="00C4585A" w:rsidRDefault="00A60351" w:rsidP="00474FDC">
      <w:pPr>
        <w:pStyle w:val="Body"/>
        <w:spacing w:after="0"/>
        <w:rPr>
          <w:rFonts w:ascii="Arial" w:hAnsi="Arial" w:cs="Arial"/>
        </w:rPr>
      </w:pPr>
      <w:r w:rsidRPr="00C4585A">
        <w:rPr>
          <w:rFonts w:ascii="Arial" w:hAnsi="Arial" w:cs="Arial"/>
        </w:rPr>
        <w:t>The average firm value (FV) is 8.06 × 10¹², while the median is only 2.85 × 10¹¹, indicating a highly asymmetric (positively skewed) data distribution with the possibility of outliers at the top. This is reinforced by the high standard deviation (2.25 × 10¹³). A skewness value of 0.231 indicates a distribution that is slightly skewed to the right (positive), while a kurtosis value of 0.367 indicates that the data distribution is more platykurtic (has a lower peak than a normal distribution).</w:t>
      </w:r>
    </w:p>
    <w:p w14:paraId="41948A90" w14:textId="4A280159" w:rsidR="00A60351" w:rsidRPr="00C4585A" w:rsidRDefault="00A60351" w:rsidP="00474FDC">
      <w:pPr>
        <w:pStyle w:val="Body"/>
        <w:spacing w:after="0"/>
        <w:rPr>
          <w:rFonts w:ascii="Arial" w:hAnsi="Arial" w:cs="Arial"/>
        </w:rPr>
      </w:pPr>
      <w:r w:rsidRPr="00C4585A">
        <w:rPr>
          <w:rFonts w:ascii="Arial" w:hAnsi="Arial" w:cs="Arial"/>
        </w:rPr>
        <w:t>The CSR variable has a mean value of 0.668 and a median of 0.66, indicating a relatively symmetrical data distribution. A standard deviation of 0.145 indicates moderate data distribution, while a skewness of 0.153 and kurtosis of 3.42 indicate a nearly normal but slightly leptokurtic data distribution.</w:t>
      </w:r>
    </w:p>
    <w:p w14:paraId="024E98D8" w14:textId="4407C060" w:rsidR="00A60351" w:rsidRPr="00C4585A" w:rsidRDefault="00A60351" w:rsidP="00474FDC">
      <w:pPr>
        <w:pStyle w:val="Body"/>
        <w:spacing w:after="0"/>
        <w:rPr>
          <w:rFonts w:ascii="Arial" w:hAnsi="Arial" w:cs="Arial"/>
        </w:rPr>
      </w:pPr>
      <w:r w:rsidRPr="00C4585A">
        <w:rPr>
          <w:rFonts w:ascii="Arial" w:hAnsi="Arial" w:cs="Arial"/>
        </w:rPr>
        <w:t>The BIG4 dummy variable shows a mean proportion of 0.640, indicating that approximately 64% of the sample companies use the services of Big Four accounting firms. A median value of 1.00 indicates that the majority of observations fall into category 1 (using Big Four accounting firms). A skewness value of –0.586 indicates that the distribution is slightly skewed to the left (negative skew), and a kurtosis of 1.34 indicates a distribution that is flatter than a normal distribution.</w:t>
      </w:r>
    </w:p>
    <w:p w14:paraId="1B51B133" w14:textId="0EFE6300" w:rsidR="00A60351" w:rsidRPr="00C4585A" w:rsidRDefault="00A60351" w:rsidP="00474FDC">
      <w:pPr>
        <w:pStyle w:val="Body"/>
        <w:spacing w:after="0"/>
        <w:rPr>
          <w:rFonts w:ascii="Arial" w:hAnsi="Arial" w:cs="Arial"/>
        </w:rPr>
      </w:pPr>
      <w:r w:rsidRPr="00C4585A">
        <w:rPr>
          <w:rFonts w:ascii="Arial" w:hAnsi="Arial" w:cs="Arial"/>
        </w:rPr>
        <w:t>Brand image (BI) had an average of 21.28%, with a median of 14%, indicating that most companies have a relatively low proportion of independent commissioners. The data distribution was very high, with a standard deviation of 22.88. Skewness values ​​of 0.215 and kurtosis of 0.175 indicated a distribution close to normal.</w:t>
      </w:r>
    </w:p>
    <w:p w14:paraId="725427BA" w14:textId="059F2D41" w:rsidR="005337A4" w:rsidRPr="00C4585A" w:rsidRDefault="005337A4" w:rsidP="00474FDC">
      <w:pPr>
        <w:pStyle w:val="Body"/>
        <w:spacing w:after="0"/>
        <w:rPr>
          <w:rFonts w:ascii="Arial" w:hAnsi="Arial" w:cs="Arial"/>
        </w:rPr>
      </w:pPr>
    </w:p>
    <w:p w14:paraId="24E2C502" w14:textId="47A47956" w:rsidR="00950B27" w:rsidRPr="00950B27" w:rsidRDefault="00950B27" w:rsidP="004E0A26">
      <w:pPr>
        <w:pStyle w:val="Body"/>
        <w:spacing w:after="0"/>
        <w:rPr>
          <w:rFonts w:ascii="Arial" w:hAnsi="Arial" w:cs="Arial"/>
        </w:rPr>
      </w:pPr>
      <w:r w:rsidRPr="00950B27">
        <w:rPr>
          <w:rFonts w:ascii="Arial" w:hAnsi="Arial" w:cs="Arial"/>
        </w:rPr>
        <w:t>The regression analysis (Table 2) reveals that brand image has a positive and significant effect on firm value, with a t-value of 4.555 and a probability value of 0.000, indicating strong statistical significance. Similarly, the Big-4 auditor status shows a positive and significant influence on firm value, as evidenced by a t-value of 3.019 and a probability of 0.003 (p &lt; 0.01).</w:t>
      </w:r>
      <w:r>
        <w:rPr>
          <w:rFonts w:ascii="Arial" w:hAnsi="Arial" w:cs="Arial"/>
        </w:rPr>
        <w:t xml:space="preserve"> </w:t>
      </w:r>
      <w:r w:rsidRPr="00950B27">
        <w:rPr>
          <w:rFonts w:ascii="Arial" w:hAnsi="Arial" w:cs="Arial"/>
        </w:rPr>
        <w:t>Furthermore, CSR disclosure exhibits a positive and significant relationship with firm value, with a t-value of 3.045 and a probability of 0.002 (p &lt; 0.01). In addition, profitability also demonstrates a positive and significant effect on firm value, supported by a t-value of 2.536 and a probability of 0.012 (p &lt; 0.05). Lastly, the firm size variable, used as a control, likewise shows a positive and significant impact on firm value, with a t-value of 5.794 and a probability value of 0.000.</w:t>
      </w:r>
    </w:p>
    <w:p w14:paraId="67D95D40" w14:textId="3AC9985D" w:rsidR="00474FDC" w:rsidRDefault="00950B27" w:rsidP="004E0A26">
      <w:pPr>
        <w:pStyle w:val="Body"/>
        <w:spacing w:after="0"/>
        <w:rPr>
          <w:rFonts w:ascii="Arial" w:hAnsi="Arial" w:cs="Arial"/>
        </w:rPr>
      </w:pPr>
      <w:r w:rsidRPr="00950B27">
        <w:rPr>
          <w:rFonts w:ascii="Arial" w:hAnsi="Arial" w:cs="Arial"/>
        </w:rPr>
        <w:t>These results indicate that both corporate reputation indicators (brand image and Big-4 auditor status) and internal firm characteristics (CSR disclosure, profitability, and firm size) contribute significantly to enhancing firm value, thereby supporting the proposed hypotheses</w:t>
      </w:r>
    </w:p>
    <w:p w14:paraId="092AE02E" w14:textId="77777777" w:rsidR="004E0A26" w:rsidRPr="00C4585A" w:rsidRDefault="004E0A26" w:rsidP="004E0A26">
      <w:pPr>
        <w:pStyle w:val="Body"/>
        <w:spacing w:after="0"/>
        <w:rPr>
          <w:rFonts w:ascii="Arial" w:hAnsi="Arial" w:cs="Arial"/>
        </w:rPr>
      </w:pPr>
    </w:p>
    <w:p w14:paraId="0527AF32" w14:textId="63C737E0" w:rsidR="00B5168C" w:rsidRPr="00C4585A" w:rsidRDefault="00474FDC" w:rsidP="00F86586">
      <w:pPr>
        <w:pStyle w:val="Body"/>
        <w:spacing w:after="0"/>
        <w:rPr>
          <w:rFonts w:ascii="Arial" w:hAnsi="Arial" w:cs="Arial"/>
          <w:b/>
          <w:bCs/>
        </w:rPr>
      </w:pPr>
      <w:r w:rsidRPr="00C4585A">
        <w:rPr>
          <w:rFonts w:ascii="Arial" w:hAnsi="Arial" w:cs="Arial"/>
          <w:b/>
          <w:bCs/>
        </w:rPr>
        <w:lastRenderedPageBreak/>
        <w:t xml:space="preserve">Table </w:t>
      </w:r>
      <w:r w:rsidR="00F86586" w:rsidRPr="00C4585A">
        <w:rPr>
          <w:rFonts w:ascii="Arial" w:hAnsi="Arial" w:cs="Arial"/>
          <w:b/>
          <w:bCs/>
        </w:rPr>
        <w:t>2</w:t>
      </w:r>
      <w:r w:rsidRPr="00C4585A">
        <w:rPr>
          <w:rFonts w:ascii="Arial" w:hAnsi="Arial" w:cs="Arial"/>
          <w:b/>
          <w:bCs/>
        </w:rPr>
        <w:t>. Summary of Regression Results</w:t>
      </w:r>
    </w:p>
    <w:tbl>
      <w:tblPr>
        <w:tblW w:w="0" w:type="auto"/>
        <w:tblCellSpacing w:w="15" w:type="dxa"/>
        <w:tblInd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16"/>
        <w:gridCol w:w="1275"/>
        <w:gridCol w:w="1701"/>
        <w:gridCol w:w="1134"/>
        <w:gridCol w:w="1560"/>
      </w:tblGrid>
      <w:tr w:rsidR="00950B27" w:rsidRPr="00FE74B9" w14:paraId="62E934FF" w14:textId="77777777" w:rsidTr="00950B27">
        <w:trPr>
          <w:tblHeader/>
          <w:tblCellSpacing w:w="15" w:type="dxa"/>
        </w:trPr>
        <w:tc>
          <w:tcPr>
            <w:tcW w:w="1671" w:type="dxa"/>
            <w:tcBorders>
              <w:top w:val="single" w:sz="4" w:space="0" w:color="auto"/>
              <w:bottom w:val="single" w:sz="4" w:space="0" w:color="auto"/>
            </w:tcBorders>
            <w:vAlign w:val="center"/>
            <w:hideMark/>
          </w:tcPr>
          <w:p w14:paraId="712CFDE4" w14:textId="77777777" w:rsidR="00950B27" w:rsidRPr="00FE74B9" w:rsidRDefault="00950B27" w:rsidP="000B408F">
            <w:pPr>
              <w:spacing w:line="259" w:lineRule="auto"/>
              <w:rPr>
                <w:rFonts w:ascii="Arial" w:eastAsia="Calibri" w:hAnsi="Arial" w:cs="Arial"/>
                <w:b/>
                <w:bCs/>
                <w:kern w:val="2"/>
                <w:lang w:val="en-ID"/>
                <w14:ligatures w14:val="standardContextual"/>
              </w:rPr>
            </w:pPr>
            <w:bookmarkStart w:id="1" w:name="_Hlk210989895"/>
            <w:r w:rsidRPr="00FE74B9">
              <w:rPr>
                <w:rFonts w:ascii="Arial" w:eastAsia="Calibri" w:hAnsi="Arial" w:cs="Arial"/>
                <w:b/>
                <w:bCs/>
                <w:kern w:val="2"/>
                <w:lang w:val="en-ID"/>
                <w14:ligatures w14:val="standardContextual"/>
              </w:rPr>
              <w:t>Predictor</w:t>
            </w:r>
          </w:p>
        </w:tc>
        <w:tc>
          <w:tcPr>
            <w:tcW w:w="1245" w:type="dxa"/>
            <w:tcBorders>
              <w:top w:val="single" w:sz="4" w:space="0" w:color="auto"/>
              <w:bottom w:val="single" w:sz="4" w:space="0" w:color="auto"/>
            </w:tcBorders>
            <w:vAlign w:val="center"/>
          </w:tcPr>
          <w:p w14:paraId="6614F622" w14:textId="77777777" w:rsidR="00950B27" w:rsidRPr="00FE74B9" w:rsidRDefault="00950B27" w:rsidP="000B408F">
            <w:pPr>
              <w:spacing w:line="259" w:lineRule="auto"/>
              <w:jc w:val="center"/>
              <w:rPr>
                <w:rFonts w:ascii="Arial" w:eastAsia="Calibri" w:hAnsi="Arial" w:cs="Arial"/>
                <w:b/>
                <w:bCs/>
                <w:kern w:val="2"/>
                <w:lang w:val="en-ID"/>
                <w14:ligatures w14:val="standardContextual"/>
              </w:rPr>
            </w:pPr>
            <w:r w:rsidRPr="00FE74B9">
              <w:rPr>
                <w:rFonts w:ascii="Arial" w:eastAsia="Calibri" w:hAnsi="Arial" w:cs="Arial"/>
                <w:b/>
                <w:bCs/>
                <w:kern w:val="2"/>
                <w:lang w:val="en-ID"/>
                <w14:ligatures w14:val="standardContextual"/>
              </w:rPr>
              <w:t>Coefficient</w:t>
            </w:r>
          </w:p>
        </w:tc>
        <w:tc>
          <w:tcPr>
            <w:tcW w:w="1671" w:type="dxa"/>
            <w:tcBorders>
              <w:top w:val="single" w:sz="4" w:space="0" w:color="auto"/>
              <w:bottom w:val="single" w:sz="4" w:space="0" w:color="auto"/>
            </w:tcBorders>
            <w:vAlign w:val="center"/>
            <w:hideMark/>
          </w:tcPr>
          <w:p w14:paraId="4D335C2E" w14:textId="77777777" w:rsidR="00950B27" w:rsidRPr="00FE74B9" w:rsidRDefault="00950B27" w:rsidP="000B408F">
            <w:pPr>
              <w:spacing w:line="259" w:lineRule="auto"/>
              <w:jc w:val="center"/>
              <w:rPr>
                <w:rFonts w:ascii="Arial" w:eastAsia="Calibri" w:hAnsi="Arial" w:cs="Arial"/>
                <w:b/>
                <w:bCs/>
                <w:kern w:val="2"/>
                <w:lang w:val="en-ID"/>
                <w14:ligatures w14:val="standardContextual"/>
              </w:rPr>
            </w:pPr>
            <w:r w:rsidRPr="00FE74B9">
              <w:rPr>
                <w:rFonts w:ascii="Arial" w:eastAsia="Calibri" w:hAnsi="Arial" w:cs="Arial"/>
                <w:b/>
                <w:bCs/>
                <w:kern w:val="2"/>
                <w:lang w:val="en-ID"/>
                <w14:ligatures w14:val="standardContextual"/>
              </w:rPr>
              <w:t>Std. Error</w:t>
            </w:r>
          </w:p>
        </w:tc>
        <w:tc>
          <w:tcPr>
            <w:tcW w:w="1104" w:type="dxa"/>
            <w:tcBorders>
              <w:top w:val="single" w:sz="4" w:space="0" w:color="auto"/>
              <w:bottom w:val="single" w:sz="4" w:space="0" w:color="auto"/>
            </w:tcBorders>
            <w:vAlign w:val="center"/>
            <w:hideMark/>
          </w:tcPr>
          <w:p w14:paraId="466424C8" w14:textId="77777777" w:rsidR="00950B27" w:rsidRPr="00FE74B9" w:rsidRDefault="00950B27" w:rsidP="000B408F">
            <w:pPr>
              <w:spacing w:line="259" w:lineRule="auto"/>
              <w:jc w:val="center"/>
              <w:rPr>
                <w:rFonts w:ascii="Arial" w:eastAsia="Calibri" w:hAnsi="Arial" w:cs="Arial"/>
                <w:b/>
                <w:bCs/>
                <w:kern w:val="2"/>
                <w:lang w:val="en-ID"/>
                <w14:ligatures w14:val="standardContextual"/>
              </w:rPr>
            </w:pPr>
            <w:r w:rsidRPr="00FE74B9">
              <w:rPr>
                <w:rFonts w:ascii="Arial" w:eastAsia="Calibri" w:hAnsi="Arial" w:cs="Arial"/>
                <w:b/>
                <w:bCs/>
                <w:kern w:val="2"/>
                <w:lang w:val="en-ID"/>
                <w14:ligatures w14:val="standardContextual"/>
              </w:rPr>
              <w:t>t-Stat</w:t>
            </w:r>
          </w:p>
        </w:tc>
        <w:tc>
          <w:tcPr>
            <w:tcW w:w="1515" w:type="dxa"/>
            <w:tcBorders>
              <w:top w:val="single" w:sz="4" w:space="0" w:color="auto"/>
              <w:bottom w:val="single" w:sz="4" w:space="0" w:color="auto"/>
            </w:tcBorders>
            <w:vAlign w:val="center"/>
            <w:hideMark/>
          </w:tcPr>
          <w:p w14:paraId="0AE3DEDB" w14:textId="77777777" w:rsidR="00950B27" w:rsidRPr="00FE74B9" w:rsidRDefault="00950B27" w:rsidP="000B408F">
            <w:pPr>
              <w:spacing w:line="259" w:lineRule="auto"/>
              <w:jc w:val="center"/>
              <w:rPr>
                <w:rFonts w:ascii="Arial" w:eastAsia="Calibri" w:hAnsi="Arial" w:cs="Arial"/>
                <w:b/>
                <w:bCs/>
                <w:kern w:val="2"/>
                <w:lang w:val="en-ID"/>
                <w14:ligatures w14:val="standardContextual"/>
              </w:rPr>
            </w:pPr>
            <w:r w:rsidRPr="00FE74B9">
              <w:rPr>
                <w:rFonts w:ascii="Arial" w:eastAsia="Calibri" w:hAnsi="Arial" w:cs="Arial"/>
                <w:b/>
                <w:bCs/>
                <w:kern w:val="2"/>
                <w:lang w:val="en-ID"/>
                <w14:ligatures w14:val="standardContextual"/>
              </w:rPr>
              <w:t>Prob</w:t>
            </w:r>
          </w:p>
        </w:tc>
      </w:tr>
      <w:tr w:rsidR="00950B27" w:rsidRPr="00FE74B9" w14:paraId="410460AB" w14:textId="77777777" w:rsidTr="00950B27">
        <w:trPr>
          <w:tblCellSpacing w:w="15" w:type="dxa"/>
        </w:trPr>
        <w:tc>
          <w:tcPr>
            <w:tcW w:w="1671" w:type="dxa"/>
            <w:vAlign w:val="center"/>
            <w:hideMark/>
          </w:tcPr>
          <w:p w14:paraId="27A318BE" w14:textId="77777777" w:rsidR="00950B27" w:rsidRPr="00FE74B9" w:rsidRDefault="00950B27" w:rsidP="000B408F">
            <w:pPr>
              <w:spacing w:line="259" w:lineRule="auto"/>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Big-4 KAP Auditor</w:t>
            </w:r>
          </w:p>
        </w:tc>
        <w:tc>
          <w:tcPr>
            <w:tcW w:w="1245" w:type="dxa"/>
            <w:vAlign w:val="center"/>
          </w:tcPr>
          <w:p w14:paraId="36F8FF66"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0,749</w:t>
            </w:r>
          </w:p>
        </w:tc>
        <w:tc>
          <w:tcPr>
            <w:tcW w:w="1671" w:type="dxa"/>
          </w:tcPr>
          <w:p w14:paraId="096AC5BF"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0.248</w:t>
            </w:r>
          </w:p>
        </w:tc>
        <w:tc>
          <w:tcPr>
            <w:tcW w:w="1104" w:type="dxa"/>
            <w:vAlign w:val="center"/>
            <w:hideMark/>
          </w:tcPr>
          <w:p w14:paraId="6030F41F"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3,019</w:t>
            </w:r>
          </w:p>
        </w:tc>
        <w:tc>
          <w:tcPr>
            <w:tcW w:w="1515" w:type="dxa"/>
          </w:tcPr>
          <w:p w14:paraId="51122AE4"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0.003</w:t>
            </w:r>
          </w:p>
        </w:tc>
      </w:tr>
      <w:tr w:rsidR="00950B27" w:rsidRPr="00FE74B9" w14:paraId="4EA0548A" w14:textId="77777777" w:rsidTr="00950B27">
        <w:trPr>
          <w:tblCellSpacing w:w="15" w:type="dxa"/>
        </w:trPr>
        <w:tc>
          <w:tcPr>
            <w:tcW w:w="1671" w:type="dxa"/>
            <w:vAlign w:val="center"/>
          </w:tcPr>
          <w:p w14:paraId="5FFD52EA" w14:textId="77777777" w:rsidR="00950B27" w:rsidRPr="00FE74B9" w:rsidRDefault="00950B27" w:rsidP="000B408F">
            <w:pPr>
              <w:spacing w:line="259" w:lineRule="auto"/>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Brand Image</w:t>
            </w:r>
          </w:p>
        </w:tc>
        <w:tc>
          <w:tcPr>
            <w:tcW w:w="1245" w:type="dxa"/>
            <w:vAlign w:val="center"/>
          </w:tcPr>
          <w:p w14:paraId="1462D033"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0,631</w:t>
            </w:r>
          </w:p>
        </w:tc>
        <w:tc>
          <w:tcPr>
            <w:tcW w:w="1671" w:type="dxa"/>
          </w:tcPr>
          <w:p w14:paraId="2DD9EB4D"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0.138</w:t>
            </w:r>
          </w:p>
        </w:tc>
        <w:tc>
          <w:tcPr>
            <w:tcW w:w="1104" w:type="dxa"/>
            <w:vAlign w:val="center"/>
          </w:tcPr>
          <w:p w14:paraId="1C24BA59"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4,555</w:t>
            </w:r>
          </w:p>
        </w:tc>
        <w:tc>
          <w:tcPr>
            <w:tcW w:w="1515" w:type="dxa"/>
          </w:tcPr>
          <w:p w14:paraId="480DA5D9"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0.000</w:t>
            </w:r>
          </w:p>
        </w:tc>
      </w:tr>
      <w:tr w:rsidR="00950B27" w:rsidRPr="00FE74B9" w14:paraId="556FFA90" w14:textId="77777777" w:rsidTr="00950B27">
        <w:trPr>
          <w:tblCellSpacing w:w="15" w:type="dxa"/>
        </w:trPr>
        <w:tc>
          <w:tcPr>
            <w:tcW w:w="1671" w:type="dxa"/>
            <w:vAlign w:val="center"/>
            <w:hideMark/>
          </w:tcPr>
          <w:p w14:paraId="77D822BF" w14:textId="77777777" w:rsidR="00950B27" w:rsidRPr="00FE74B9" w:rsidRDefault="00950B27" w:rsidP="000B408F">
            <w:pPr>
              <w:spacing w:line="259" w:lineRule="auto"/>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CSR Activity</w:t>
            </w:r>
          </w:p>
        </w:tc>
        <w:tc>
          <w:tcPr>
            <w:tcW w:w="1245" w:type="dxa"/>
            <w:vAlign w:val="center"/>
          </w:tcPr>
          <w:p w14:paraId="39B9F9D1"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0,734</w:t>
            </w:r>
          </w:p>
        </w:tc>
        <w:tc>
          <w:tcPr>
            <w:tcW w:w="1671" w:type="dxa"/>
          </w:tcPr>
          <w:p w14:paraId="2EB1874A"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0.241</w:t>
            </w:r>
          </w:p>
        </w:tc>
        <w:tc>
          <w:tcPr>
            <w:tcW w:w="1104" w:type="dxa"/>
            <w:vAlign w:val="center"/>
            <w:hideMark/>
          </w:tcPr>
          <w:p w14:paraId="6B9FFCD8"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3,045</w:t>
            </w:r>
          </w:p>
        </w:tc>
        <w:tc>
          <w:tcPr>
            <w:tcW w:w="1515" w:type="dxa"/>
          </w:tcPr>
          <w:p w14:paraId="73B3D7F0"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0.002</w:t>
            </w:r>
          </w:p>
        </w:tc>
      </w:tr>
      <w:tr w:rsidR="00950B27" w:rsidRPr="00FE74B9" w14:paraId="3549A5CD" w14:textId="77777777" w:rsidTr="00950B27">
        <w:trPr>
          <w:tblCellSpacing w:w="15" w:type="dxa"/>
        </w:trPr>
        <w:tc>
          <w:tcPr>
            <w:tcW w:w="1671" w:type="dxa"/>
            <w:vAlign w:val="center"/>
            <w:hideMark/>
          </w:tcPr>
          <w:p w14:paraId="43EC4133" w14:textId="77777777" w:rsidR="00950B27" w:rsidRPr="00FE74B9" w:rsidRDefault="00950B27" w:rsidP="000B408F">
            <w:pPr>
              <w:spacing w:line="259" w:lineRule="auto"/>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ROA</w:t>
            </w:r>
          </w:p>
        </w:tc>
        <w:tc>
          <w:tcPr>
            <w:tcW w:w="1245" w:type="dxa"/>
            <w:vAlign w:val="center"/>
          </w:tcPr>
          <w:p w14:paraId="598E2807"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0,637</w:t>
            </w:r>
          </w:p>
        </w:tc>
        <w:tc>
          <w:tcPr>
            <w:tcW w:w="1671" w:type="dxa"/>
          </w:tcPr>
          <w:p w14:paraId="3DA280F7"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0.251</w:t>
            </w:r>
          </w:p>
        </w:tc>
        <w:tc>
          <w:tcPr>
            <w:tcW w:w="1104" w:type="dxa"/>
            <w:vAlign w:val="center"/>
            <w:hideMark/>
          </w:tcPr>
          <w:p w14:paraId="1E3A5734"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2,536</w:t>
            </w:r>
          </w:p>
        </w:tc>
        <w:tc>
          <w:tcPr>
            <w:tcW w:w="1515" w:type="dxa"/>
          </w:tcPr>
          <w:p w14:paraId="3F3026B4"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0.012</w:t>
            </w:r>
          </w:p>
        </w:tc>
      </w:tr>
      <w:tr w:rsidR="00950B27" w:rsidRPr="00FE74B9" w14:paraId="4E9C806E" w14:textId="77777777" w:rsidTr="00950B27">
        <w:trPr>
          <w:tblCellSpacing w:w="15" w:type="dxa"/>
        </w:trPr>
        <w:tc>
          <w:tcPr>
            <w:tcW w:w="1671" w:type="dxa"/>
            <w:tcBorders>
              <w:top w:val="nil"/>
              <w:bottom w:val="single" w:sz="4" w:space="0" w:color="auto"/>
            </w:tcBorders>
            <w:vAlign w:val="center"/>
          </w:tcPr>
          <w:p w14:paraId="656A7E37" w14:textId="77777777" w:rsidR="00950B27" w:rsidRPr="00FE74B9" w:rsidRDefault="00950B27" w:rsidP="000B408F">
            <w:pPr>
              <w:spacing w:line="259" w:lineRule="auto"/>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Firm Size</w:t>
            </w:r>
          </w:p>
        </w:tc>
        <w:tc>
          <w:tcPr>
            <w:tcW w:w="1245" w:type="dxa"/>
            <w:tcBorders>
              <w:top w:val="nil"/>
              <w:bottom w:val="single" w:sz="4" w:space="0" w:color="auto"/>
            </w:tcBorders>
            <w:vAlign w:val="center"/>
          </w:tcPr>
          <w:p w14:paraId="4178EE87"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0,821</w:t>
            </w:r>
          </w:p>
        </w:tc>
        <w:tc>
          <w:tcPr>
            <w:tcW w:w="1671" w:type="dxa"/>
            <w:tcBorders>
              <w:top w:val="nil"/>
              <w:bottom w:val="single" w:sz="4" w:space="0" w:color="auto"/>
            </w:tcBorders>
          </w:tcPr>
          <w:p w14:paraId="5763961F"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0.142</w:t>
            </w:r>
          </w:p>
        </w:tc>
        <w:tc>
          <w:tcPr>
            <w:tcW w:w="1104" w:type="dxa"/>
            <w:tcBorders>
              <w:top w:val="nil"/>
              <w:bottom w:val="single" w:sz="4" w:space="0" w:color="auto"/>
            </w:tcBorders>
            <w:vAlign w:val="center"/>
          </w:tcPr>
          <w:p w14:paraId="2282FE60"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5,794</w:t>
            </w:r>
          </w:p>
        </w:tc>
        <w:tc>
          <w:tcPr>
            <w:tcW w:w="1515" w:type="dxa"/>
            <w:tcBorders>
              <w:top w:val="nil"/>
              <w:bottom w:val="single" w:sz="4" w:space="0" w:color="auto"/>
            </w:tcBorders>
          </w:tcPr>
          <w:p w14:paraId="16657DEC"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0.000</w:t>
            </w:r>
          </w:p>
        </w:tc>
      </w:tr>
      <w:tr w:rsidR="00950B27" w:rsidRPr="00FE74B9" w14:paraId="5B25A269" w14:textId="77777777" w:rsidTr="00950B27">
        <w:trPr>
          <w:tblCellSpacing w:w="15" w:type="dxa"/>
        </w:trPr>
        <w:tc>
          <w:tcPr>
            <w:tcW w:w="7326" w:type="dxa"/>
            <w:gridSpan w:val="5"/>
            <w:tcBorders>
              <w:top w:val="nil"/>
              <w:bottom w:val="single" w:sz="4" w:space="0" w:color="auto"/>
            </w:tcBorders>
            <w:vAlign w:val="center"/>
          </w:tcPr>
          <w:p w14:paraId="64F7D08E" w14:textId="198BD551" w:rsidR="00950B27" w:rsidRPr="00FE74B9" w:rsidRDefault="00950B27" w:rsidP="000B408F">
            <w:pPr>
              <w:spacing w:line="259" w:lineRule="auto"/>
              <w:jc w:val="both"/>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R-squared                      0.847365          S.E. of regression</w:t>
            </w:r>
            <w:r>
              <w:rPr>
                <w:rFonts w:ascii="Arial" w:eastAsia="Calibri" w:hAnsi="Arial" w:cs="Arial"/>
                <w:kern w:val="2"/>
                <w:lang w:val="en-ID"/>
                <w14:ligatures w14:val="standardContextual"/>
              </w:rPr>
              <w:t xml:space="preserve">  </w:t>
            </w:r>
            <w:r w:rsidR="00247497">
              <w:rPr>
                <w:rFonts w:ascii="Arial" w:eastAsia="Calibri" w:hAnsi="Arial" w:cs="Arial"/>
                <w:kern w:val="2"/>
                <w:lang w:val="en-ID"/>
                <w14:ligatures w14:val="standardContextual"/>
              </w:rPr>
              <w:t xml:space="preserve"> </w:t>
            </w:r>
            <w:r>
              <w:rPr>
                <w:rFonts w:ascii="Arial" w:eastAsia="Calibri" w:hAnsi="Arial" w:cs="Arial"/>
                <w:kern w:val="2"/>
                <w:lang w:val="en-ID"/>
                <w14:ligatures w14:val="standardContextual"/>
              </w:rPr>
              <w:t xml:space="preserve">     </w:t>
            </w:r>
            <w:r w:rsidRPr="00FE74B9">
              <w:rPr>
                <w:rFonts w:ascii="Arial" w:eastAsia="Calibri" w:hAnsi="Arial" w:cs="Arial"/>
                <w:kern w:val="2"/>
                <w:lang w:val="en-ID"/>
                <w14:ligatures w14:val="standardContextual"/>
              </w:rPr>
              <w:t>0.067664</w:t>
            </w:r>
          </w:p>
          <w:p w14:paraId="1208B433" w14:textId="3E4B7AFA" w:rsidR="00950B27" w:rsidRPr="00FE74B9" w:rsidRDefault="00950B27" w:rsidP="000B408F">
            <w:pPr>
              <w:spacing w:line="259" w:lineRule="auto"/>
              <w:jc w:val="both"/>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Adjusted R-squared</w:t>
            </w:r>
            <w:r w:rsidRPr="00FE74B9">
              <w:rPr>
                <w:rFonts w:ascii="Arial" w:eastAsia="Calibri" w:hAnsi="Arial" w:cs="Arial"/>
                <w:kern w:val="2"/>
                <w:lang w:val="en-ID"/>
                <w14:ligatures w14:val="standardContextual"/>
              </w:rPr>
              <w:tab/>
              <w:t>0.831354          F-statistic</w:t>
            </w:r>
            <w:r w:rsidRPr="00FE74B9">
              <w:rPr>
                <w:rFonts w:ascii="Arial" w:eastAsia="Calibri" w:hAnsi="Arial" w:cs="Arial"/>
                <w:kern w:val="2"/>
                <w:lang w:val="en-ID"/>
                <w14:ligatures w14:val="standardContextual"/>
              </w:rPr>
              <w:tab/>
              <w:t xml:space="preserve">          2.958311</w:t>
            </w:r>
          </w:p>
          <w:p w14:paraId="72F5CF7B" w14:textId="77777777" w:rsidR="00950B27" w:rsidRPr="00FE74B9" w:rsidRDefault="00950B27" w:rsidP="000B408F">
            <w:pPr>
              <w:spacing w:line="259" w:lineRule="auto"/>
              <w:jc w:val="both"/>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Prob(F-</w:t>
            </w:r>
            <w:proofErr w:type="gramStart"/>
            <w:r w:rsidRPr="00FE74B9">
              <w:rPr>
                <w:rFonts w:ascii="Arial" w:eastAsia="Calibri" w:hAnsi="Arial" w:cs="Arial"/>
                <w:kern w:val="2"/>
                <w:lang w:val="en-ID"/>
                <w14:ligatures w14:val="standardContextual"/>
              </w:rPr>
              <w:t xml:space="preserve">statistic)  </w:t>
            </w:r>
            <w:r w:rsidRPr="00FE74B9">
              <w:rPr>
                <w:rFonts w:ascii="Arial" w:eastAsia="Calibri" w:hAnsi="Arial" w:cs="Arial"/>
                <w:kern w:val="2"/>
                <w:lang w:val="en-ID"/>
                <w14:ligatures w14:val="standardContextual"/>
              </w:rPr>
              <w:tab/>
            </w:r>
            <w:proofErr w:type="gramEnd"/>
            <w:r w:rsidRPr="00FE74B9">
              <w:rPr>
                <w:rFonts w:ascii="Arial" w:eastAsia="Calibri" w:hAnsi="Arial" w:cs="Arial"/>
                <w:kern w:val="2"/>
                <w:lang w:val="en-ID"/>
                <w14:ligatures w14:val="standardContextual"/>
              </w:rPr>
              <w:t>0.007860</w:t>
            </w:r>
          </w:p>
        </w:tc>
      </w:tr>
      <w:bookmarkEnd w:id="1"/>
    </w:tbl>
    <w:p w14:paraId="7EF216E5" w14:textId="77777777" w:rsidR="00D666C7" w:rsidRPr="00C4585A" w:rsidRDefault="00D666C7" w:rsidP="00B5168C">
      <w:pPr>
        <w:pStyle w:val="Body"/>
        <w:spacing w:after="0"/>
        <w:rPr>
          <w:rFonts w:ascii="Arial" w:hAnsi="Arial" w:cs="Arial"/>
        </w:rPr>
      </w:pPr>
    </w:p>
    <w:p w14:paraId="34DA4B4B" w14:textId="77777777" w:rsidR="004E0A26" w:rsidRPr="004E0A26" w:rsidRDefault="004E0A26" w:rsidP="004E0A26">
      <w:pPr>
        <w:pStyle w:val="Body"/>
        <w:spacing w:after="0"/>
        <w:rPr>
          <w:rFonts w:ascii="Arial" w:hAnsi="Arial" w:cs="Arial"/>
        </w:rPr>
      </w:pPr>
      <w:r w:rsidRPr="004E0A26">
        <w:rPr>
          <w:rFonts w:ascii="Arial" w:hAnsi="Arial" w:cs="Arial"/>
        </w:rPr>
        <w:t>Based on the R-squared value, it can be concluded that 84.73% of the variation in the dependent variable is explained by the independent variables included in the model. The relatively high and closely aligned value of the Adjusted R-squared further indicates that the model possesses a strong explanatory power and that overfitting is unlikely, even after adjusting for the number of predictors.</w:t>
      </w:r>
    </w:p>
    <w:p w14:paraId="3DF6D974" w14:textId="24F2B0AC" w:rsidR="00950B27" w:rsidRDefault="004E0A26" w:rsidP="004E0A26">
      <w:pPr>
        <w:pStyle w:val="Body"/>
        <w:spacing w:after="0"/>
        <w:rPr>
          <w:rFonts w:ascii="Arial" w:hAnsi="Arial" w:cs="Arial"/>
        </w:rPr>
      </w:pPr>
      <w:r w:rsidRPr="004E0A26">
        <w:rPr>
          <w:rFonts w:ascii="Arial" w:hAnsi="Arial" w:cs="Arial"/>
        </w:rPr>
        <w:t>Therefore, the model demonstrates an excellent goodness-of-fit, implying that the independent variables collectively account for a substantial portion of the variation in the dependent variable. This suggests that the model is statistically robust and provides a reliable representation of the relationships among the variables under study.</w:t>
      </w:r>
    </w:p>
    <w:p w14:paraId="438FF6CC" w14:textId="77777777" w:rsidR="000C021B" w:rsidRDefault="000C021B" w:rsidP="004E0A26">
      <w:pPr>
        <w:pStyle w:val="Body"/>
        <w:spacing w:after="0"/>
        <w:rPr>
          <w:rFonts w:ascii="Arial" w:hAnsi="Arial" w:cs="Arial"/>
        </w:rPr>
      </w:pPr>
    </w:p>
    <w:p w14:paraId="5CFF6A65" w14:textId="3A370A90" w:rsidR="000C021B" w:rsidRPr="000C021B" w:rsidRDefault="000C021B" w:rsidP="004E0A26">
      <w:pPr>
        <w:pStyle w:val="Body"/>
        <w:spacing w:after="0"/>
        <w:rPr>
          <w:rFonts w:ascii="Arial" w:hAnsi="Arial" w:cs="Arial"/>
          <w:b/>
          <w:bCs/>
        </w:rPr>
      </w:pPr>
      <w:r w:rsidRPr="000C021B">
        <w:rPr>
          <w:rFonts w:ascii="Arial" w:hAnsi="Arial" w:cs="Arial"/>
          <w:b/>
          <w:bCs/>
        </w:rPr>
        <w:t>Table 3. Summary of</w:t>
      </w:r>
      <w:r>
        <w:rPr>
          <w:rFonts w:ascii="Arial" w:hAnsi="Arial" w:cs="Arial"/>
          <w:b/>
          <w:bCs/>
        </w:rPr>
        <w:t xml:space="preserve"> Mediation Test (Sobel Test)</w:t>
      </w:r>
    </w:p>
    <w:tbl>
      <w:tblPr>
        <w:tblW w:w="0" w:type="auto"/>
        <w:tblCellSpacing w:w="15" w:type="dxa"/>
        <w:tblInd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84"/>
        <w:gridCol w:w="1417"/>
        <w:gridCol w:w="1843"/>
        <w:gridCol w:w="1559"/>
      </w:tblGrid>
      <w:tr w:rsidR="000C021B" w:rsidRPr="00E839ED" w14:paraId="30FCC00D" w14:textId="77777777" w:rsidTr="000B408F">
        <w:trPr>
          <w:tblHeader/>
          <w:tblCellSpacing w:w="15" w:type="dxa"/>
        </w:trPr>
        <w:tc>
          <w:tcPr>
            <w:tcW w:w="2239" w:type="dxa"/>
            <w:tcBorders>
              <w:top w:val="single" w:sz="4" w:space="0" w:color="auto"/>
              <w:bottom w:val="single" w:sz="4" w:space="0" w:color="auto"/>
            </w:tcBorders>
            <w:vAlign w:val="center"/>
            <w:hideMark/>
          </w:tcPr>
          <w:p w14:paraId="55191AC5" w14:textId="77777777" w:rsidR="000C021B" w:rsidRPr="00E839ED" w:rsidRDefault="000C021B" w:rsidP="000B408F">
            <w:pPr>
              <w:rPr>
                <w:rFonts w:ascii="Arial" w:eastAsia="Calibri" w:hAnsi="Arial" w:cs="Arial"/>
                <w:b/>
                <w:bCs/>
                <w:sz w:val="18"/>
                <w:szCs w:val="18"/>
              </w:rPr>
            </w:pPr>
            <w:r w:rsidRPr="00E839ED">
              <w:rPr>
                <w:rFonts w:ascii="Arial" w:eastAsia="Calibri" w:hAnsi="Arial" w:cs="Arial"/>
                <w:b/>
                <w:bCs/>
                <w:sz w:val="18"/>
                <w:szCs w:val="18"/>
              </w:rPr>
              <w:t>Predictor</w:t>
            </w:r>
          </w:p>
        </w:tc>
        <w:tc>
          <w:tcPr>
            <w:tcW w:w="1387" w:type="dxa"/>
            <w:tcBorders>
              <w:top w:val="single" w:sz="4" w:space="0" w:color="auto"/>
              <w:bottom w:val="single" w:sz="4" w:space="0" w:color="auto"/>
            </w:tcBorders>
            <w:vAlign w:val="center"/>
            <w:hideMark/>
          </w:tcPr>
          <w:p w14:paraId="3F24E231" w14:textId="77777777" w:rsidR="000C021B" w:rsidRPr="00E839ED" w:rsidRDefault="000C021B" w:rsidP="000B408F">
            <w:pPr>
              <w:jc w:val="center"/>
              <w:rPr>
                <w:rFonts w:ascii="Arial" w:eastAsia="Calibri" w:hAnsi="Arial" w:cs="Arial"/>
                <w:b/>
                <w:bCs/>
                <w:sz w:val="18"/>
                <w:szCs w:val="18"/>
              </w:rPr>
            </w:pPr>
            <w:r w:rsidRPr="00E839ED">
              <w:rPr>
                <w:rFonts w:ascii="Arial" w:eastAsia="Calibri" w:hAnsi="Arial" w:cs="Arial"/>
                <w:b/>
                <w:bCs/>
                <w:sz w:val="18"/>
                <w:szCs w:val="18"/>
              </w:rPr>
              <w:t>Sobel Test</w:t>
            </w:r>
            <w:r>
              <w:rPr>
                <w:rFonts w:ascii="Arial" w:eastAsia="Calibri" w:hAnsi="Arial" w:cs="Arial"/>
                <w:b/>
                <w:bCs/>
                <w:sz w:val="18"/>
                <w:szCs w:val="18"/>
              </w:rPr>
              <w:t xml:space="preserve"> Stat</w:t>
            </w:r>
          </w:p>
        </w:tc>
        <w:tc>
          <w:tcPr>
            <w:tcW w:w="1813" w:type="dxa"/>
            <w:tcBorders>
              <w:top w:val="single" w:sz="4" w:space="0" w:color="auto"/>
              <w:bottom w:val="single" w:sz="4" w:space="0" w:color="auto"/>
            </w:tcBorders>
            <w:vAlign w:val="center"/>
            <w:hideMark/>
          </w:tcPr>
          <w:p w14:paraId="0506377D" w14:textId="77777777" w:rsidR="000C021B" w:rsidRPr="00E839ED" w:rsidRDefault="000C021B" w:rsidP="000B408F">
            <w:pPr>
              <w:jc w:val="center"/>
              <w:rPr>
                <w:rFonts w:ascii="Arial" w:eastAsia="Calibri" w:hAnsi="Arial" w:cs="Arial"/>
                <w:b/>
                <w:bCs/>
                <w:sz w:val="18"/>
                <w:szCs w:val="18"/>
              </w:rPr>
            </w:pPr>
            <w:r>
              <w:rPr>
                <w:rFonts w:ascii="Arial" w:eastAsia="Calibri" w:hAnsi="Arial" w:cs="Arial"/>
                <w:b/>
                <w:bCs/>
                <w:sz w:val="18"/>
                <w:szCs w:val="18"/>
              </w:rPr>
              <w:t>One Tailed Prob</w:t>
            </w:r>
          </w:p>
        </w:tc>
        <w:tc>
          <w:tcPr>
            <w:tcW w:w="1514" w:type="dxa"/>
            <w:tcBorders>
              <w:top w:val="single" w:sz="4" w:space="0" w:color="auto"/>
              <w:bottom w:val="single" w:sz="4" w:space="0" w:color="auto"/>
            </w:tcBorders>
            <w:vAlign w:val="center"/>
            <w:hideMark/>
          </w:tcPr>
          <w:p w14:paraId="5A8B670A" w14:textId="77777777" w:rsidR="000C021B" w:rsidRPr="00E839ED" w:rsidRDefault="000C021B" w:rsidP="000B408F">
            <w:pPr>
              <w:jc w:val="center"/>
              <w:rPr>
                <w:rFonts w:ascii="Arial" w:eastAsia="Calibri" w:hAnsi="Arial" w:cs="Arial"/>
                <w:b/>
                <w:bCs/>
                <w:sz w:val="18"/>
                <w:szCs w:val="18"/>
              </w:rPr>
            </w:pPr>
            <w:r>
              <w:rPr>
                <w:rFonts w:ascii="Arial" w:eastAsia="Calibri" w:hAnsi="Arial" w:cs="Arial"/>
                <w:b/>
                <w:bCs/>
                <w:sz w:val="18"/>
                <w:szCs w:val="18"/>
              </w:rPr>
              <w:t>Two Tailed Prob</w:t>
            </w:r>
          </w:p>
        </w:tc>
      </w:tr>
      <w:tr w:rsidR="000C021B" w:rsidRPr="00E839ED" w14:paraId="47E2FD32" w14:textId="77777777" w:rsidTr="000B408F">
        <w:trPr>
          <w:tblCellSpacing w:w="15" w:type="dxa"/>
        </w:trPr>
        <w:tc>
          <w:tcPr>
            <w:tcW w:w="2239" w:type="dxa"/>
            <w:vAlign w:val="center"/>
            <w:hideMark/>
          </w:tcPr>
          <w:p w14:paraId="6B608F42" w14:textId="77777777" w:rsidR="000C021B" w:rsidRPr="00E839ED" w:rsidRDefault="000C021B" w:rsidP="000B408F">
            <w:pPr>
              <w:rPr>
                <w:rFonts w:ascii="Arial" w:eastAsia="Calibri" w:hAnsi="Arial" w:cs="Arial"/>
                <w:sz w:val="18"/>
                <w:szCs w:val="18"/>
              </w:rPr>
            </w:pPr>
            <w:r w:rsidRPr="00E839ED">
              <w:rPr>
                <w:rFonts w:ascii="Arial" w:eastAsia="Calibri" w:hAnsi="Arial" w:cs="Arial"/>
                <w:sz w:val="18"/>
                <w:szCs w:val="18"/>
              </w:rPr>
              <w:t>Big-4</w:t>
            </w:r>
            <w:r w:rsidRPr="00857104">
              <w:rPr>
                <w:rFonts w:ascii="Arial" w:eastAsia="Calibri" w:hAnsi="Arial" w:cs="Arial"/>
                <w:sz w:val="18"/>
                <w:szCs w:val="18"/>
              </w:rPr>
              <w:sym w:font="Wingdings" w:char="F0E0"/>
            </w:r>
            <w:r>
              <w:rPr>
                <w:rFonts w:ascii="Arial" w:eastAsia="Calibri" w:hAnsi="Arial" w:cs="Arial"/>
                <w:sz w:val="18"/>
                <w:szCs w:val="18"/>
              </w:rPr>
              <w:t xml:space="preserve"> CSR</w:t>
            </w:r>
            <w:r w:rsidRPr="00857104">
              <w:rPr>
                <w:rFonts w:ascii="Arial" w:eastAsia="Calibri" w:hAnsi="Arial" w:cs="Arial"/>
                <w:sz w:val="18"/>
                <w:szCs w:val="18"/>
              </w:rPr>
              <w:sym w:font="Wingdings" w:char="F0E0"/>
            </w:r>
            <w:r>
              <w:rPr>
                <w:rFonts w:ascii="Arial" w:eastAsia="Calibri" w:hAnsi="Arial" w:cs="Arial"/>
                <w:sz w:val="18"/>
                <w:szCs w:val="18"/>
              </w:rPr>
              <w:t>FV</w:t>
            </w:r>
          </w:p>
        </w:tc>
        <w:tc>
          <w:tcPr>
            <w:tcW w:w="1387" w:type="dxa"/>
            <w:vAlign w:val="center"/>
            <w:hideMark/>
          </w:tcPr>
          <w:p w14:paraId="7264BD53" w14:textId="77777777" w:rsidR="000C021B" w:rsidRPr="00E839ED" w:rsidRDefault="000C021B" w:rsidP="000B408F">
            <w:pPr>
              <w:jc w:val="center"/>
              <w:rPr>
                <w:rFonts w:ascii="Arial" w:eastAsia="Calibri" w:hAnsi="Arial" w:cs="Arial"/>
                <w:sz w:val="18"/>
                <w:szCs w:val="18"/>
              </w:rPr>
            </w:pPr>
            <w:r>
              <w:rPr>
                <w:rFonts w:ascii="Arial" w:eastAsia="Calibri" w:hAnsi="Arial" w:cs="Arial"/>
                <w:sz w:val="18"/>
                <w:szCs w:val="18"/>
              </w:rPr>
              <w:t>2,3335</w:t>
            </w:r>
          </w:p>
        </w:tc>
        <w:tc>
          <w:tcPr>
            <w:tcW w:w="1813" w:type="dxa"/>
          </w:tcPr>
          <w:p w14:paraId="1DC01E27" w14:textId="77777777" w:rsidR="000C021B" w:rsidRPr="00E839ED" w:rsidRDefault="000C021B" w:rsidP="000B408F">
            <w:pPr>
              <w:jc w:val="center"/>
              <w:rPr>
                <w:rFonts w:ascii="Arial" w:eastAsia="Calibri" w:hAnsi="Arial" w:cs="Arial"/>
                <w:sz w:val="18"/>
                <w:szCs w:val="18"/>
              </w:rPr>
            </w:pPr>
            <w:r w:rsidRPr="003D0461">
              <w:t>0.00</w:t>
            </w:r>
            <w:r>
              <w:t>98</w:t>
            </w:r>
          </w:p>
        </w:tc>
        <w:tc>
          <w:tcPr>
            <w:tcW w:w="1514" w:type="dxa"/>
            <w:vAlign w:val="center"/>
          </w:tcPr>
          <w:p w14:paraId="6E518187" w14:textId="77777777" w:rsidR="000C021B" w:rsidRPr="00E839ED" w:rsidRDefault="000C021B" w:rsidP="000B408F">
            <w:pPr>
              <w:jc w:val="center"/>
              <w:rPr>
                <w:rFonts w:ascii="Arial" w:eastAsia="Calibri" w:hAnsi="Arial" w:cs="Arial"/>
                <w:sz w:val="18"/>
                <w:szCs w:val="18"/>
              </w:rPr>
            </w:pPr>
            <w:r>
              <w:rPr>
                <w:rFonts w:ascii="Arial" w:eastAsia="Calibri" w:hAnsi="Arial" w:cs="Arial"/>
                <w:sz w:val="18"/>
                <w:szCs w:val="18"/>
              </w:rPr>
              <w:t>0,0196</w:t>
            </w:r>
          </w:p>
        </w:tc>
      </w:tr>
      <w:tr w:rsidR="000C021B" w:rsidRPr="00E839ED" w14:paraId="1F4700D8" w14:textId="77777777" w:rsidTr="000B408F">
        <w:trPr>
          <w:tblCellSpacing w:w="15" w:type="dxa"/>
        </w:trPr>
        <w:tc>
          <w:tcPr>
            <w:tcW w:w="2239" w:type="dxa"/>
            <w:vAlign w:val="center"/>
          </w:tcPr>
          <w:p w14:paraId="6A184965" w14:textId="77777777" w:rsidR="000C021B" w:rsidRPr="00E839ED" w:rsidRDefault="000C021B" w:rsidP="000B408F">
            <w:pPr>
              <w:rPr>
                <w:rFonts w:ascii="Arial" w:eastAsia="Calibri" w:hAnsi="Arial" w:cs="Arial"/>
                <w:sz w:val="18"/>
                <w:szCs w:val="18"/>
              </w:rPr>
            </w:pPr>
            <w:r w:rsidRPr="00E839ED">
              <w:rPr>
                <w:rFonts w:ascii="Arial" w:eastAsia="Calibri" w:hAnsi="Arial" w:cs="Arial"/>
                <w:sz w:val="18"/>
                <w:szCs w:val="18"/>
              </w:rPr>
              <w:t>Brand Image</w:t>
            </w:r>
            <w:r w:rsidRPr="00857104">
              <w:rPr>
                <w:rFonts w:ascii="Arial" w:eastAsia="Calibri" w:hAnsi="Arial" w:cs="Arial"/>
                <w:sz w:val="18"/>
                <w:szCs w:val="18"/>
              </w:rPr>
              <w:sym w:font="Wingdings" w:char="F0E0"/>
            </w:r>
            <w:r>
              <w:rPr>
                <w:rFonts w:ascii="Arial" w:eastAsia="Calibri" w:hAnsi="Arial" w:cs="Arial"/>
                <w:sz w:val="18"/>
                <w:szCs w:val="18"/>
              </w:rPr>
              <w:t>CSR</w:t>
            </w:r>
            <w:r w:rsidRPr="00857104">
              <w:rPr>
                <w:rFonts w:ascii="Arial" w:eastAsia="Calibri" w:hAnsi="Arial" w:cs="Arial"/>
                <w:sz w:val="18"/>
                <w:szCs w:val="18"/>
              </w:rPr>
              <w:sym w:font="Wingdings" w:char="F0E0"/>
            </w:r>
            <w:r>
              <w:rPr>
                <w:rFonts w:ascii="Arial" w:eastAsia="Calibri" w:hAnsi="Arial" w:cs="Arial"/>
                <w:sz w:val="18"/>
                <w:szCs w:val="18"/>
              </w:rPr>
              <w:t>FV</w:t>
            </w:r>
          </w:p>
        </w:tc>
        <w:tc>
          <w:tcPr>
            <w:tcW w:w="1387" w:type="dxa"/>
            <w:vAlign w:val="center"/>
          </w:tcPr>
          <w:p w14:paraId="40C4868D" w14:textId="77777777" w:rsidR="000C021B" w:rsidRPr="00E839ED" w:rsidRDefault="000C021B" w:rsidP="000B408F">
            <w:pPr>
              <w:jc w:val="center"/>
              <w:rPr>
                <w:rFonts w:ascii="Arial" w:eastAsia="Calibri" w:hAnsi="Arial" w:cs="Arial"/>
                <w:sz w:val="18"/>
                <w:szCs w:val="18"/>
              </w:rPr>
            </w:pPr>
            <w:r>
              <w:rPr>
                <w:rFonts w:ascii="Arial" w:eastAsia="Calibri" w:hAnsi="Arial" w:cs="Arial"/>
                <w:sz w:val="18"/>
                <w:szCs w:val="18"/>
              </w:rPr>
              <w:t>2,5606</w:t>
            </w:r>
          </w:p>
        </w:tc>
        <w:tc>
          <w:tcPr>
            <w:tcW w:w="1813" w:type="dxa"/>
          </w:tcPr>
          <w:p w14:paraId="4E6AA76A" w14:textId="77777777" w:rsidR="000C021B" w:rsidRPr="00E839ED" w:rsidRDefault="000C021B" w:rsidP="000B408F">
            <w:pPr>
              <w:jc w:val="center"/>
              <w:rPr>
                <w:rFonts w:ascii="Arial" w:eastAsia="Calibri" w:hAnsi="Arial" w:cs="Arial"/>
                <w:sz w:val="18"/>
                <w:szCs w:val="18"/>
              </w:rPr>
            </w:pPr>
            <w:r w:rsidRPr="003D0461">
              <w:t>0.00</w:t>
            </w:r>
            <w:r>
              <w:t>52</w:t>
            </w:r>
          </w:p>
        </w:tc>
        <w:tc>
          <w:tcPr>
            <w:tcW w:w="1514" w:type="dxa"/>
            <w:vAlign w:val="center"/>
          </w:tcPr>
          <w:p w14:paraId="6CA55F54" w14:textId="77777777" w:rsidR="000C021B" w:rsidRPr="00E839ED" w:rsidRDefault="000C021B" w:rsidP="000B408F">
            <w:pPr>
              <w:jc w:val="center"/>
              <w:rPr>
                <w:rFonts w:ascii="Arial" w:eastAsia="Calibri" w:hAnsi="Arial" w:cs="Arial"/>
                <w:sz w:val="18"/>
                <w:szCs w:val="18"/>
              </w:rPr>
            </w:pPr>
            <w:r>
              <w:rPr>
                <w:rFonts w:ascii="Arial" w:eastAsia="Calibri" w:hAnsi="Arial" w:cs="Arial"/>
                <w:sz w:val="18"/>
                <w:szCs w:val="18"/>
              </w:rPr>
              <w:t>0,0104</w:t>
            </w:r>
          </w:p>
        </w:tc>
      </w:tr>
    </w:tbl>
    <w:p w14:paraId="46DC2073" w14:textId="77777777" w:rsidR="000C021B" w:rsidRDefault="000C021B" w:rsidP="004E0A26">
      <w:pPr>
        <w:pStyle w:val="Body"/>
        <w:spacing w:after="0"/>
        <w:rPr>
          <w:rFonts w:ascii="Arial" w:hAnsi="Arial" w:cs="Arial"/>
        </w:rPr>
      </w:pPr>
    </w:p>
    <w:p w14:paraId="28962CEA" w14:textId="77777777" w:rsidR="006B0AE9" w:rsidRPr="006B0AE9" w:rsidRDefault="006B0AE9" w:rsidP="006B0AE9">
      <w:pPr>
        <w:pStyle w:val="Body"/>
        <w:spacing w:after="0"/>
        <w:rPr>
          <w:rFonts w:ascii="Arial" w:hAnsi="Arial" w:cs="Arial"/>
        </w:rPr>
      </w:pPr>
      <w:r w:rsidRPr="006B0AE9">
        <w:rPr>
          <w:rFonts w:ascii="Arial" w:hAnsi="Arial" w:cs="Arial"/>
        </w:rPr>
        <w:t>Based on Table 3, all probability values are below the 0.05 significance threshold, indicating that CSR significantly mediates the relationship between each predictor and firm value. In other words, the positive effects of Big-4 affiliation and brand image on firm value are partially transmitted through the company’s CSR activities.</w:t>
      </w:r>
    </w:p>
    <w:p w14:paraId="0C6D08B6" w14:textId="2445C727" w:rsidR="004E0A26" w:rsidRDefault="006B0AE9" w:rsidP="006B0AE9">
      <w:pPr>
        <w:pStyle w:val="Body"/>
        <w:spacing w:after="0"/>
        <w:rPr>
          <w:rFonts w:ascii="Arial" w:hAnsi="Arial" w:cs="Arial"/>
        </w:rPr>
      </w:pPr>
      <w:r w:rsidRPr="006B0AE9">
        <w:rPr>
          <w:rFonts w:ascii="Arial" w:hAnsi="Arial" w:cs="Arial"/>
        </w:rPr>
        <w:t>These findings suggest that companies affiliated with reputable external auditors (Big-4) and those possessing a strong national brand image tend to be more actively engaged in CSR practices, which in turn enhance their overall firm value. Thus, CSR functions as a strategic mediating mechanism linking the dimensions of corporate reputation to financial performance and long-term value creation.</w:t>
      </w:r>
    </w:p>
    <w:p w14:paraId="6F72FF38" w14:textId="77777777" w:rsidR="006D20F1" w:rsidRDefault="006D20F1" w:rsidP="006B0AE9">
      <w:pPr>
        <w:pStyle w:val="Body"/>
        <w:spacing w:after="0"/>
        <w:rPr>
          <w:rFonts w:ascii="Arial" w:hAnsi="Arial" w:cs="Arial"/>
        </w:rPr>
      </w:pPr>
    </w:p>
    <w:p w14:paraId="20F6FC6D" w14:textId="0562F6FB" w:rsidR="00C94951" w:rsidRDefault="00B5168C" w:rsidP="00B5168C">
      <w:pPr>
        <w:pStyle w:val="Body"/>
        <w:spacing w:after="0"/>
      </w:pPr>
      <w:r w:rsidRPr="00C4585A">
        <w:rPr>
          <w:rFonts w:ascii="Arial" w:hAnsi="Arial" w:cs="Arial"/>
        </w:rPr>
        <w:t>The findings support stakeholder and signaling theories. Firms with stronger reputations are more likely to disclose CSR activities, which are perceived positively by capital markets and stakeholders.</w:t>
      </w:r>
      <w:r w:rsidR="00D65F9D" w:rsidRPr="00C4585A">
        <w:t xml:space="preserve"> </w:t>
      </w:r>
      <w:r w:rsidR="00ED273A" w:rsidRPr="00C4585A">
        <w:t xml:space="preserve">A good corporate reputation can reduce the cost of capital, thereby increasing the company's value through EVA. </w:t>
      </w:r>
      <w:r w:rsidR="00C94951" w:rsidRPr="00C94951">
        <w:t>These findings support the assertion that CSR is positively correlated with firm performance or value and lowers the cost of capital through</w:t>
      </w:r>
      <w:r w:rsidR="00C94951">
        <w:t xml:space="preserve"> </w:t>
      </w:r>
      <w:r w:rsidR="00C94951" w:rsidRPr="00C94951">
        <w:t xml:space="preserve">mechanisms such as trust mechanism, </w:t>
      </w:r>
      <w:r w:rsidR="00C94951">
        <w:t xml:space="preserve">or </w:t>
      </w:r>
      <w:r w:rsidR="00C94951" w:rsidRPr="00C94951">
        <w:t>reducing information asymmetry</w:t>
      </w:r>
      <w:r w:rsidR="00C94951">
        <w:t xml:space="preserve"> </w:t>
      </w:r>
      <w:r w:rsidR="00C94951">
        <w:fldChar w:fldCharType="begin">
          <w:fldData xml:space="preserve">PEVuZE5vdGU+PENpdGU+PEF1dGhvcj5PcmxpdHpreTwvQXV0aG9yPjxZZWFyPjIwMDM8L1llYXI+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</w:fldData>
        </w:fldChar>
      </w:r>
      <w:r w:rsidR="00C94951">
        <w:instrText xml:space="preserve"> ADDIN EN.CITE </w:instrText>
      </w:r>
      <w:r w:rsidR="00C94951">
        <w:fldChar w:fldCharType="begin">
          <w:fldData xml:space="preserve">PEVuZE5vdGU+PENpdGU+PEF1dGhvcj5PcmxpdHpreTwvQXV0aG9yPjxZZWFyPjIwMDM8L1llYXI+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</w:fldData>
        </w:fldChar>
      </w:r>
      <w:r w:rsidR="00C94951">
        <w:instrText xml:space="preserve"> ADDIN EN.CITE.DATA </w:instrText>
      </w:r>
      <w:r w:rsidR="00C94951">
        <w:fldChar w:fldCharType="end"/>
      </w:r>
      <w:r w:rsidR="00C94951">
        <w:fldChar w:fldCharType="separate"/>
      </w:r>
      <w:r w:rsidR="00C94951">
        <w:rPr>
          <w:noProof/>
        </w:rPr>
        <w:t>(El Ghoul et al., 2011; Orlitzky et al., 2003; Servaes &amp; Tamayo, 2013)</w:t>
      </w:r>
      <w:r w:rsidR="00C94951">
        <w:fldChar w:fldCharType="end"/>
      </w:r>
      <w:r w:rsidR="00C94951" w:rsidRPr="00C94951">
        <w:t>.</w:t>
      </w:r>
    </w:p>
    <w:p w14:paraId="67547711" w14:textId="73BEBCB6" w:rsidR="00B5168C" w:rsidRPr="00C4585A" w:rsidRDefault="00D65F9D" w:rsidP="00B5168C">
      <w:pPr>
        <w:pStyle w:val="Body"/>
        <w:spacing w:after="0"/>
        <w:rPr>
          <w:rFonts w:ascii="Arial" w:hAnsi="Arial" w:cs="Arial"/>
        </w:rPr>
      </w:pPr>
      <w:r w:rsidRPr="00C4585A">
        <w:rPr>
          <w:rFonts w:ascii="Arial" w:hAnsi="Arial" w:cs="Arial"/>
        </w:rPr>
        <w:t xml:space="preserve">Companies with a strong and positive brand image are more likely to meet stakeholder expectations, which in turn increases their trust and support for the company. This creates long-term value that can significantly impact firm value </w:t>
      </w:r>
      <w:r w:rsidRPr="00C4585A">
        <w:rPr>
          <w:rFonts w:ascii="Arial" w:hAnsi="Arial" w:cs="Arial"/>
        </w:rPr>
        <w:fldChar w:fldCharType="begin"/>
      </w:r>
      <w:r w:rsidRPr="00C4585A">
        <w:rPr>
          <w:rFonts w:ascii="Arial" w:hAnsi="Arial" w:cs="Arial"/>
        </w:rPr>
        <w:instrText xml:space="preserve"> ADDIN EN.CITE &lt;EndNote&gt;&lt;Cite&gt;&lt;Author&gt;Freeman&lt;/Author&gt;&lt;Year&gt;2006&lt;/Year&gt;&lt;RecNum&gt;2259&lt;/RecNum&gt;&lt;DisplayText&gt;(Freeman &amp;amp; &amp;amp; McVea, 2006)&lt;/DisplayText&gt;&lt;record&gt;&lt;rec-number&gt;2259&lt;/rec-number&gt;&lt;foreign-keys&gt;&lt;key app="EN" db-id="vad00f5scteex2eftaoxddt09d5ex9r9awed" timestamp="1696433000"&gt;2259&lt;/key&gt;&lt;/foreign-keys&gt;&lt;ref-type name="Book Section"&gt;5&lt;/ref-type&gt;&lt;contributors&gt;&lt;authors&gt;&lt;author&gt;Freeman, R. Edward&lt;/author&gt;&lt;author&gt;&amp;amp; McVea, John &lt;/author&gt;&lt;/authors&gt;&lt;secondary-authors&gt;&lt;author&gt;A. Hitt , R. Edward Freeman, and Jeffrey S. Harrison&lt;/author&gt;&lt;/secondary-authors&gt;&lt;/contributors&gt;&lt;titles&gt;&lt;title&gt;A Stakeholder Approach to Strategic Management&lt;/title&gt;&lt;secondary-title&gt;The Blackwell Handbook of Strategic Management&lt;/secondary-title&gt;&lt;/titles&gt;&lt;pages&gt;183-201&lt;/pages&gt;&lt;edition&gt;1&lt;/edition&gt;&lt;dates&gt;&lt;year&gt;2006&lt;/year&gt;&lt;/dates&gt;&lt;pub-location&gt;Virginia&lt;/pub-location&gt;&lt;publisher&gt;Blackwell Publishing Ltd&lt;/publisher&gt;&lt;urls&gt;&lt;/urls&gt;&lt;/record&gt;&lt;/Cite&gt;&lt;/EndNote&gt;</w:instrText>
      </w:r>
      <w:r w:rsidRPr="00C4585A">
        <w:rPr>
          <w:rFonts w:ascii="Arial" w:hAnsi="Arial" w:cs="Arial"/>
        </w:rPr>
        <w:fldChar w:fldCharType="separate"/>
      </w:r>
      <w:r w:rsidRPr="00C4585A">
        <w:rPr>
          <w:rFonts w:ascii="Arial" w:hAnsi="Arial" w:cs="Arial"/>
          <w:noProof/>
        </w:rPr>
        <w:t>(</w:t>
      </w:r>
      <w:r w:rsidRPr="001F4197">
        <w:rPr>
          <w:rFonts w:ascii="Arial" w:hAnsi="Arial" w:cs="Arial"/>
          <w:noProof/>
        </w:rPr>
        <w:t>Freeman</w:t>
      </w:r>
      <w:r w:rsidRPr="00C4585A">
        <w:rPr>
          <w:rFonts w:ascii="Arial" w:hAnsi="Arial" w:cs="Arial"/>
          <w:noProof/>
        </w:rPr>
        <w:t xml:space="preserve"> &amp; &amp; McVea, 2006)</w:t>
      </w:r>
      <w:r w:rsidRPr="00C4585A">
        <w:rPr>
          <w:rFonts w:ascii="Arial" w:hAnsi="Arial" w:cs="Arial"/>
        </w:rPr>
        <w:fldChar w:fldCharType="end"/>
      </w:r>
      <w:r w:rsidRPr="00C4585A">
        <w:rPr>
          <w:rFonts w:ascii="Arial" w:hAnsi="Arial" w:cs="Arial"/>
        </w:rPr>
        <w:t>.</w:t>
      </w:r>
      <w:r w:rsidR="00B5168C" w:rsidRPr="00C4585A">
        <w:rPr>
          <w:rFonts w:ascii="Arial" w:hAnsi="Arial" w:cs="Arial"/>
        </w:rPr>
        <w:t xml:space="preserve"> This confirms that CSR is not only a byproduct of good reputation but also a strategic tool for enhancing firm value.</w:t>
      </w:r>
    </w:p>
    <w:p w14:paraId="7E8D4307" w14:textId="77777777" w:rsidR="00B5168C" w:rsidRPr="00C4585A" w:rsidRDefault="00B5168C" w:rsidP="00B5168C">
      <w:pPr>
        <w:pStyle w:val="Body"/>
        <w:spacing w:after="0"/>
        <w:rPr>
          <w:rFonts w:ascii="Arial" w:hAnsi="Arial" w:cs="Arial"/>
        </w:rPr>
      </w:pPr>
    </w:p>
    <w:p w14:paraId="2E68BFD0" w14:textId="77777777" w:rsidR="00B5168C" w:rsidRPr="00C4585A" w:rsidRDefault="00B5168C" w:rsidP="00B5168C">
      <w:pPr>
        <w:pStyle w:val="Body"/>
        <w:spacing w:after="0"/>
        <w:rPr>
          <w:rFonts w:ascii="Arial" w:hAnsi="Arial" w:cs="Arial"/>
        </w:rPr>
      </w:pPr>
      <w:r w:rsidRPr="00C4585A">
        <w:rPr>
          <w:rFonts w:ascii="Arial" w:hAnsi="Arial" w:cs="Arial"/>
        </w:rPr>
        <w:lastRenderedPageBreak/>
        <w:t>Furthermore, the mediating effect of CSR demonstrates a nuanced pathway where reputational assets are translated into economic value via responsible practices. This has practical implications for corporate boards and policymakers seeking to balance profitability with sustainability.</w:t>
      </w:r>
    </w:p>
    <w:p w14:paraId="0F11D073" w14:textId="77777777" w:rsidR="00B5168C" w:rsidRPr="00C4585A" w:rsidRDefault="00B5168C" w:rsidP="00B5168C">
      <w:pPr>
        <w:pStyle w:val="Body"/>
        <w:spacing w:after="0"/>
        <w:rPr>
          <w:rFonts w:ascii="Arial" w:hAnsi="Arial" w:cs="Arial"/>
        </w:rPr>
      </w:pPr>
    </w:p>
    <w:p w14:paraId="242E47DA" w14:textId="039352FA" w:rsidR="00502516" w:rsidRPr="00C4585A" w:rsidRDefault="00B5168C" w:rsidP="00B5168C">
      <w:pPr>
        <w:pStyle w:val="Body"/>
        <w:spacing w:after="0"/>
        <w:rPr>
          <w:rFonts w:ascii="Arial" w:hAnsi="Arial" w:cs="Arial"/>
        </w:rPr>
      </w:pPr>
      <w:r w:rsidRPr="00C4585A">
        <w:rPr>
          <w:rFonts w:ascii="Arial" w:hAnsi="Arial" w:cs="Arial"/>
        </w:rPr>
        <w:t>In Indonesia, the positive valuation of CSR may be partially driven by increasing investor attention to ESG metrics, heightened regulatory scrutiny, and broader stakeholder activism. Our findings add to the regional literature by showing that even in emerging markets, intangible assets like reputation can be monetized through responsible disclosure.</w:t>
      </w:r>
    </w:p>
    <w:p w14:paraId="1E8736DC" w14:textId="77777777" w:rsidR="00790ADA" w:rsidRPr="00C4585A" w:rsidRDefault="00790ADA" w:rsidP="00441B6F">
      <w:pPr>
        <w:pStyle w:val="Body"/>
        <w:spacing w:after="0"/>
        <w:rPr>
          <w:rFonts w:ascii="Arial" w:hAnsi="Arial" w:cs="Arial"/>
        </w:rPr>
      </w:pPr>
    </w:p>
    <w:p w14:paraId="7820BEFC" w14:textId="77777777" w:rsidR="00B01FCD" w:rsidRPr="00C4585A" w:rsidRDefault="00000F8F" w:rsidP="00441B6F">
      <w:pPr>
        <w:pStyle w:val="ConcHead"/>
        <w:spacing w:after="0"/>
        <w:jc w:val="both"/>
        <w:rPr>
          <w:rFonts w:ascii="Arial" w:hAnsi="Arial" w:cs="Arial"/>
        </w:rPr>
      </w:pPr>
      <w:r w:rsidRPr="00C4585A">
        <w:rPr>
          <w:rFonts w:ascii="Arial" w:hAnsi="Arial" w:cs="Arial"/>
        </w:rPr>
        <w:t xml:space="preserve">4. </w:t>
      </w:r>
      <w:r w:rsidR="00B01FCD" w:rsidRPr="00C4585A">
        <w:rPr>
          <w:rFonts w:ascii="Arial" w:hAnsi="Arial" w:cs="Arial"/>
        </w:rPr>
        <w:t>Conclusion</w:t>
      </w:r>
    </w:p>
    <w:p w14:paraId="1B4BD105" w14:textId="77777777" w:rsidR="00790ADA" w:rsidRPr="00C4585A" w:rsidRDefault="00790ADA" w:rsidP="00441B6F">
      <w:pPr>
        <w:pStyle w:val="ConcHead"/>
        <w:spacing w:after="0"/>
        <w:jc w:val="both"/>
        <w:rPr>
          <w:rFonts w:ascii="Arial" w:hAnsi="Arial" w:cs="Arial"/>
        </w:rPr>
      </w:pPr>
    </w:p>
    <w:p w14:paraId="74F6DF7A" w14:textId="5D3C2B18" w:rsidR="00A2584B" w:rsidRDefault="00A2584B" w:rsidP="00441B6F">
      <w:pPr>
        <w:pStyle w:val="Body"/>
        <w:spacing w:after="0"/>
        <w:rPr>
          <w:rFonts w:ascii="Arial" w:hAnsi="Arial" w:cs="Arial"/>
        </w:rPr>
      </w:pPr>
      <w:r w:rsidRPr="00C4585A">
        <w:rPr>
          <w:rFonts w:ascii="Arial" w:hAnsi="Arial" w:cs="Arial"/>
        </w:rPr>
        <w:t>This study concludes that firm reputation significantly enhances firm value and that CSR acts as a mediating mechanism in this relationship. Firms should view CSR not just as compliance but as a strategic extension of their reputational capital. Our results suggest that for companies aiming to sustain value in competitive and socially aware markets, integrating CSR into reputational strategy is essential.</w:t>
      </w:r>
    </w:p>
    <w:p w14:paraId="1E9A932C" w14:textId="77777777" w:rsidR="008F556F" w:rsidRDefault="008F556F" w:rsidP="00441B6F">
      <w:pPr>
        <w:pStyle w:val="Body"/>
        <w:spacing w:after="0"/>
        <w:rPr>
          <w:rFonts w:ascii="Arial" w:hAnsi="Arial" w:cs="Arial"/>
        </w:rPr>
      </w:pPr>
    </w:p>
    <w:p w14:paraId="20B1E9BB" w14:textId="452C09BD" w:rsidR="008F556F" w:rsidRPr="008F556F" w:rsidRDefault="008F556F" w:rsidP="008F556F">
      <w:pPr>
        <w:pStyle w:val="Body"/>
        <w:spacing w:after="0"/>
        <w:rPr>
          <w:rFonts w:ascii="Arial" w:hAnsi="Arial" w:cs="Arial"/>
        </w:rPr>
      </w:pPr>
      <w:r w:rsidRPr="008F556F">
        <w:rPr>
          <w:rFonts w:ascii="Arial" w:hAnsi="Arial" w:cs="Arial"/>
        </w:rPr>
        <w:t xml:space="preserve">The management and policy implications of this study emphasize the strategic importance of reputation management through the implementation of high-quality audit mechanisms and the active engagement of firms in sustainable business practices. Companies should not only communicate their CSR activities in terms of outputs but also highlight measurable outcomes that reflect </w:t>
      </w:r>
      <w:proofErr w:type="gramStart"/>
      <w:r w:rsidRPr="008F556F">
        <w:rPr>
          <w:rFonts w:ascii="Arial" w:hAnsi="Arial" w:cs="Arial"/>
        </w:rPr>
        <w:t>real</w:t>
      </w:r>
      <w:proofErr w:type="gramEnd"/>
      <w:r w:rsidRPr="008F556F">
        <w:rPr>
          <w:rFonts w:ascii="Arial" w:hAnsi="Arial" w:cs="Arial"/>
        </w:rPr>
        <w:t xml:space="preserve"> social and environmental impact. CSR, therefore, must be positioned as an integrated component of the firm’s long-term value creation strategy rather than merely a compliance-oriented activity to meet regulatory requirements.</w:t>
      </w:r>
    </w:p>
    <w:p w14:paraId="4EF9C09C" w14:textId="64606A3F" w:rsidR="008F556F" w:rsidRDefault="008F556F" w:rsidP="008F556F">
      <w:pPr>
        <w:pStyle w:val="Body"/>
        <w:spacing w:after="0"/>
        <w:rPr>
          <w:rFonts w:ascii="Arial" w:hAnsi="Arial" w:cs="Arial"/>
        </w:rPr>
      </w:pPr>
      <w:r w:rsidRPr="008F556F">
        <w:rPr>
          <w:rFonts w:ascii="Arial" w:hAnsi="Arial" w:cs="Arial"/>
        </w:rPr>
        <w:t>From a regulatory perspective, capital market authorities are encouraged to enhance the quality of oversight related to corporate reporting and to promote greater transparency through comprehensive information disclosure. Strengthening disclosure standards will foster investor confidence and ensure the credibility of sustainability practices. In addition, the government should consider reinforcing the legal and institutional framework for sustainable corporate governance to ensure that environmental, social, and ethical considerations are embedded systematically within corporate decision-making processes. Such measures collectively contribute to a more accountable, transparent, and sustainability-oriented corporate ecosystem.</w:t>
      </w:r>
    </w:p>
    <w:p w14:paraId="1CEF4308" w14:textId="77777777" w:rsidR="000F4783" w:rsidRDefault="000F4783" w:rsidP="008F556F">
      <w:pPr>
        <w:pStyle w:val="Body"/>
        <w:spacing w:after="0"/>
        <w:rPr>
          <w:rFonts w:ascii="Arial" w:hAnsi="Arial" w:cs="Arial"/>
        </w:rPr>
      </w:pPr>
    </w:p>
    <w:p w14:paraId="597080D5" w14:textId="2272C640" w:rsidR="000F4783" w:rsidRDefault="000F4783" w:rsidP="008F556F">
      <w:pPr>
        <w:pStyle w:val="Body"/>
        <w:spacing w:after="0"/>
        <w:rPr>
          <w:rFonts w:ascii="Arial" w:hAnsi="Arial" w:cs="Arial"/>
        </w:rPr>
      </w:pPr>
      <w:r w:rsidRPr="000F4783">
        <w:rPr>
          <w:rFonts w:ascii="Arial" w:hAnsi="Arial" w:cs="Arial"/>
        </w:rPr>
        <w:t>This study is limited to publicly listed companies on the Indonesia Stock Exchange (IDX) during the 2017–2022 period. Consequently, the generalization of findings to other countries or different time frames should be approached with caution, as variations in institutional regulations, CSR frameworks, and market dynamics may influence the observed relationships. Furthermore, the measurement of Corporate Social Responsibility (CSR) relies on a quantitative disclosure index, which primarily captures the extent of reported activities rather than the qualitative dimensions of CSR implementation. As such, this approach may not fully represent stakeholder perceptions or the actual social and environmental impacts generated by these initiatives.</w:t>
      </w:r>
    </w:p>
    <w:p w14:paraId="4D7215A4" w14:textId="77777777" w:rsidR="00652637" w:rsidRPr="00C4585A" w:rsidRDefault="00652637" w:rsidP="00441B6F">
      <w:pPr>
        <w:pStyle w:val="Body"/>
        <w:spacing w:after="0"/>
        <w:rPr>
          <w:rFonts w:ascii="Arial" w:hAnsi="Arial" w:cs="Arial"/>
        </w:rPr>
      </w:pPr>
    </w:p>
    <w:p w14:paraId="25D8C1E2" w14:textId="62BBB6AA" w:rsidR="00652637" w:rsidRDefault="00652637" w:rsidP="00652637">
      <w:pPr>
        <w:pStyle w:val="Body"/>
        <w:spacing w:after="0"/>
        <w:rPr>
          <w:rFonts w:ascii="Arial" w:hAnsi="Arial" w:cs="Arial"/>
          <w:b/>
        </w:rPr>
      </w:pPr>
      <w:r w:rsidRPr="00DF5AAC">
        <w:rPr>
          <w:rFonts w:ascii="Arial" w:hAnsi="Arial" w:cs="Arial"/>
          <w:b/>
        </w:rPr>
        <w:t>Disclaimer (Artificial intelligence)</w:t>
      </w:r>
    </w:p>
    <w:p w14:paraId="565B82D4" w14:textId="77777777" w:rsidR="00DF5AAC" w:rsidRPr="00DF5AAC" w:rsidRDefault="00DF5AAC" w:rsidP="00652637">
      <w:pPr>
        <w:pStyle w:val="Body"/>
        <w:spacing w:after="0"/>
        <w:rPr>
          <w:rFonts w:ascii="Arial" w:hAnsi="Arial" w:cs="Arial"/>
          <w:b/>
        </w:rPr>
      </w:pPr>
    </w:p>
    <w:p w14:paraId="4736D405" w14:textId="228AC691" w:rsidR="00790ADA" w:rsidRPr="00C4585A" w:rsidRDefault="00652637" w:rsidP="00652637">
      <w:pPr>
        <w:pStyle w:val="Body"/>
        <w:spacing w:after="0"/>
        <w:rPr>
          <w:rFonts w:ascii="Arial" w:hAnsi="Arial" w:cs="Arial"/>
        </w:rPr>
      </w:pPr>
      <w:r w:rsidRPr="00652637">
        <w:rPr>
          <w:rFonts w:ascii="Arial" w:hAnsi="Arial" w:cs="Arial"/>
        </w:rPr>
        <w:t>Author(s) hereby declare that NO generative AI technologies such as Large Language Models (ChatGPT, COPILOT, etc.) and text-to-image generators have been used during the writing or editing of this manuscript.</w:t>
      </w:r>
    </w:p>
    <w:p w14:paraId="41932417" w14:textId="44DC6AD6" w:rsidR="00665883" w:rsidRDefault="00665883" w:rsidP="00441B6F">
      <w:pPr>
        <w:pStyle w:val="ReferHead"/>
        <w:spacing w:after="0"/>
        <w:jc w:val="both"/>
        <w:rPr>
          <w:rFonts w:ascii="Arial" w:hAnsi="Arial" w:cs="Arial"/>
          <w:b w:val="0"/>
          <w:caps w:val="0"/>
          <w:sz w:val="20"/>
        </w:rPr>
      </w:pPr>
    </w:p>
    <w:p w14:paraId="56FB5D78" w14:textId="77777777" w:rsidR="00665883" w:rsidRPr="00C4585A" w:rsidRDefault="00665883" w:rsidP="00441B6F">
      <w:pPr>
        <w:pStyle w:val="ReferHead"/>
        <w:spacing w:after="0"/>
        <w:jc w:val="both"/>
        <w:rPr>
          <w:rFonts w:ascii="Arial" w:hAnsi="Arial" w:cs="Arial"/>
          <w:b w:val="0"/>
          <w:caps w:val="0"/>
          <w:sz w:val="20"/>
        </w:rPr>
      </w:pPr>
    </w:p>
    <w:p w14:paraId="30D00B8B" w14:textId="77777777" w:rsidR="00B01FCD" w:rsidRPr="00C4585A" w:rsidRDefault="00B01FCD" w:rsidP="00441B6F">
      <w:pPr>
        <w:pStyle w:val="ReferHead"/>
        <w:spacing w:after="0"/>
        <w:jc w:val="both"/>
        <w:rPr>
          <w:rFonts w:ascii="Arial" w:hAnsi="Arial" w:cs="Arial"/>
        </w:rPr>
      </w:pPr>
      <w:r w:rsidRPr="00C4585A">
        <w:rPr>
          <w:rFonts w:ascii="Arial" w:hAnsi="Arial" w:cs="Arial"/>
        </w:rPr>
        <w:t>References</w:t>
      </w:r>
    </w:p>
    <w:p w14:paraId="385797D5" w14:textId="77777777" w:rsidR="00790ADA" w:rsidRPr="00C4585A" w:rsidRDefault="00790ADA" w:rsidP="00441B6F">
      <w:pPr>
        <w:pStyle w:val="ReferHead"/>
        <w:spacing w:after="0"/>
        <w:jc w:val="both"/>
        <w:rPr>
          <w:rFonts w:ascii="Arial" w:hAnsi="Arial" w:cs="Arial"/>
        </w:rPr>
      </w:pPr>
    </w:p>
    <w:p w14:paraId="5A9AE9DA" w14:textId="77777777" w:rsidR="00284C4C" w:rsidRPr="00C4585A" w:rsidRDefault="00284C4C" w:rsidP="00441B6F">
      <w:pPr>
        <w:pStyle w:val="Body"/>
        <w:spacing w:after="0"/>
        <w:rPr>
          <w:rFonts w:ascii="Arial" w:hAnsi="Arial" w:cs="Arial"/>
          <w:i/>
          <w:u w:val="single"/>
        </w:rPr>
      </w:pPr>
    </w:p>
    <w:p w14:paraId="3F5A6692" w14:textId="25E93B2F" w:rsidR="00CE71AC" w:rsidRPr="00CE71AC" w:rsidRDefault="008913E4" w:rsidP="00CE71AC">
      <w:pPr>
        <w:pStyle w:val="EndNoteBibliography"/>
        <w:ind w:left="720" w:hanging="720"/>
      </w:pPr>
      <w:r w:rsidRPr="00C4585A">
        <w:rPr>
          <w:lang w:val="en-GB"/>
        </w:rPr>
        <w:fldChar w:fldCharType="begin"/>
      </w:r>
      <w:r w:rsidRPr="00C4585A">
        <w:rPr>
          <w:lang w:val="en-GB"/>
        </w:rPr>
        <w:instrText xml:space="preserve"> ADDIN EN.REFLIST </w:instrText>
      </w:r>
      <w:r w:rsidRPr="00C4585A">
        <w:rPr>
          <w:lang w:val="en-GB"/>
        </w:rPr>
        <w:fldChar w:fldCharType="separate"/>
      </w:r>
      <w:r w:rsidR="00CE71AC" w:rsidRPr="00CE71AC">
        <w:t xml:space="preserve">Albuquerque, R., Koskinen, Y., &amp; Zhang, C. (2019). Corporate Social Responsibility and Firm Risk: Theory and Empirical Evidence. </w:t>
      </w:r>
      <w:r w:rsidR="00CE71AC" w:rsidRPr="00CE71AC">
        <w:rPr>
          <w:i/>
        </w:rPr>
        <w:t>Management Science</w:t>
      </w:r>
      <w:r w:rsidR="00CE71AC" w:rsidRPr="00CE71AC">
        <w:t>,</w:t>
      </w:r>
      <w:r w:rsidR="00CE71AC" w:rsidRPr="00CE71AC">
        <w:rPr>
          <w:i/>
        </w:rPr>
        <w:t xml:space="preserve"> 65</w:t>
      </w:r>
      <w:r w:rsidR="00CE71AC" w:rsidRPr="00CE71AC">
        <w:t xml:space="preserve">(10), 4451-4469. </w:t>
      </w:r>
      <w:hyperlink r:id="rId11" w:history="1">
        <w:r w:rsidR="00CE71AC" w:rsidRPr="00CE71AC">
          <w:rPr>
            <w:rStyle w:val="Hyperlink"/>
          </w:rPr>
          <w:t>https://doi.org/10.1287/mnsc.2018.3043</w:t>
        </w:r>
      </w:hyperlink>
      <w:r w:rsidR="00CE71AC" w:rsidRPr="00CE71AC">
        <w:t xml:space="preserve"> </w:t>
      </w:r>
    </w:p>
    <w:p w14:paraId="7BB6CEC3" w14:textId="7FEC0905" w:rsidR="00CE71AC" w:rsidRPr="00CE71AC" w:rsidRDefault="00CE71AC" w:rsidP="00CE71AC">
      <w:pPr>
        <w:pStyle w:val="EndNoteBibliography"/>
        <w:ind w:left="720" w:hanging="720"/>
      </w:pPr>
      <w:r w:rsidRPr="00CE71AC">
        <w:t xml:space="preserve">Bardos, K. S., Ertugrul, M., &amp; Gao, L. S. (2020). Corporate Social Responsibility, Product Market Perception, And Firm Value. </w:t>
      </w:r>
      <w:r w:rsidRPr="00CE71AC">
        <w:rPr>
          <w:i/>
        </w:rPr>
        <w:t>Journal of Corporate Finance</w:t>
      </w:r>
      <w:r w:rsidRPr="00CE71AC">
        <w:t>,</w:t>
      </w:r>
      <w:r w:rsidRPr="00CE71AC">
        <w:rPr>
          <w:i/>
        </w:rPr>
        <w:t xml:space="preserve"> 62</w:t>
      </w:r>
      <w:r w:rsidRPr="00CE71AC">
        <w:t xml:space="preserve">. </w:t>
      </w:r>
      <w:hyperlink r:id="rId12" w:history="1">
        <w:r w:rsidRPr="00CE71AC">
          <w:rPr>
            <w:rStyle w:val="Hyperlink"/>
          </w:rPr>
          <w:t>https://doi.org/10.1016/j.jcorpfin.2020.101588</w:t>
        </w:r>
      </w:hyperlink>
      <w:r w:rsidRPr="00CE71AC">
        <w:t xml:space="preserve"> </w:t>
      </w:r>
    </w:p>
    <w:p w14:paraId="25A02383" w14:textId="590699C2" w:rsidR="00CE71AC" w:rsidRPr="00CE71AC" w:rsidRDefault="00CE71AC" w:rsidP="00CE71AC">
      <w:pPr>
        <w:pStyle w:val="EndNoteBibliography"/>
        <w:ind w:left="720" w:hanging="720"/>
      </w:pPr>
      <w:r w:rsidRPr="00CE71AC">
        <w:t xml:space="preserve">Connelly, B. L., Certo, S. T., Ireland, R. D., &amp; Reutzel, C. R. (2011). Signaling Theory: A Review and Assessment. </w:t>
      </w:r>
      <w:r w:rsidRPr="00CE71AC">
        <w:rPr>
          <w:i/>
        </w:rPr>
        <w:t>Journal of Management</w:t>
      </w:r>
      <w:r w:rsidRPr="00CE71AC">
        <w:t>,</w:t>
      </w:r>
      <w:r w:rsidRPr="00CE71AC">
        <w:rPr>
          <w:i/>
        </w:rPr>
        <w:t xml:space="preserve"> 37</w:t>
      </w:r>
      <w:r w:rsidRPr="00CE71AC">
        <w:t xml:space="preserve">(1), 39-67. </w:t>
      </w:r>
      <w:hyperlink r:id="rId13" w:history="1">
        <w:r w:rsidRPr="00CE71AC">
          <w:rPr>
            <w:rStyle w:val="Hyperlink"/>
          </w:rPr>
          <w:t>https://doi.org/10.1177/0149206310388419</w:t>
        </w:r>
      </w:hyperlink>
      <w:r w:rsidRPr="00CE71AC">
        <w:t xml:space="preserve"> </w:t>
      </w:r>
    </w:p>
    <w:p w14:paraId="1B6E9ED3" w14:textId="5B4B79FF" w:rsidR="00CE71AC" w:rsidRPr="00CE71AC" w:rsidRDefault="00CE71AC" w:rsidP="00CE71AC">
      <w:pPr>
        <w:pStyle w:val="EndNoteBibliography"/>
        <w:ind w:left="720" w:hanging="720"/>
      </w:pPr>
      <w:r w:rsidRPr="00CE71AC">
        <w:t xml:space="preserve">Eccles, R. G., Ioannou, I., &amp; Serafeim, G. (2014). The Impact of Corporate Sustainability on Organizational Processes and Performance. </w:t>
      </w:r>
      <w:r w:rsidRPr="00CE71AC">
        <w:rPr>
          <w:i/>
        </w:rPr>
        <w:t>Management Science</w:t>
      </w:r>
      <w:r w:rsidRPr="00CE71AC">
        <w:t>,</w:t>
      </w:r>
      <w:r w:rsidRPr="00CE71AC">
        <w:rPr>
          <w:i/>
        </w:rPr>
        <w:t xml:space="preserve"> 60</w:t>
      </w:r>
      <w:r w:rsidRPr="00CE71AC">
        <w:t xml:space="preserve">(11), 2835-2857. </w:t>
      </w:r>
      <w:hyperlink r:id="rId14" w:history="1">
        <w:r w:rsidRPr="00CE71AC">
          <w:rPr>
            <w:rStyle w:val="Hyperlink"/>
          </w:rPr>
          <w:t>https://doi.org/10.1287/mnsc.2014.1984</w:t>
        </w:r>
      </w:hyperlink>
      <w:r w:rsidRPr="00CE71AC">
        <w:t xml:space="preserve"> </w:t>
      </w:r>
    </w:p>
    <w:p w14:paraId="3F4FD0C9" w14:textId="09660FEA" w:rsidR="00CE71AC" w:rsidRPr="00CE71AC" w:rsidRDefault="00CE71AC" w:rsidP="00CE71AC">
      <w:pPr>
        <w:pStyle w:val="EndNoteBibliography"/>
        <w:ind w:left="720" w:hanging="720"/>
      </w:pPr>
      <w:r w:rsidRPr="00CE71AC">
        <w:t xml:space="preserve">El Ghoul, S., Guedhami, O., Kwok, C. C. Y., &amp; Mishra, D. R. (2011). Does Corporate Social Responsibility Affect The Cost Of Capital? </w:t>
      </w:r>
      <w:r w:rsidRPr="00CE71AC">
        <w:rPr>
          <w:i/>
        </w:rPr>
        <w:t>Journal of Banking &amp; Finance</w:t>
      </w:r>
      <w:r w:rsidRPr="00CE71AC">
        <w:t>,</w:t>
      </w:r>
      <w:r w:rsidRPr="00CE71AC">
        <w:rPr>
          <w:i/>
        </w:rPr>
        <w:t xml:space="preserve"> 35</w:t>
      </w:r>
      <w:r w:rsidRPr="00CE71AC">
        <w:t xml:space="preserve">(9), 2388-2406. </w:t>
      </w:r>
      <w:hyperlink r:id="rId15" w:history="1">
        <w:r w:rsidRPr="00CE71AC">
          <w:rPr>
            <w:rStyle w:val="Hyperlink"/>
          </w:rPr>
          <w:t>https://doi.org/10.1016/j.jbankfin.2011.02.007</w:t>
        </w:r>
      </w:hyperlink>
      <w:r w:rsidRPr="00CE71AC">
        <w:t xml:space="preserve"> </w:t>
      </w:r>
    </w:p>
    <w:p w14:paraId="65C3A911" w14:textId="2EF4F302" w:rsidR="00CE71AC" w:rsidRPr="00CE71AC" w:rsidRDefault="00CE71AC" w:rsidP="00CE71AC">
      <w:pPr>
        <w:pStyle w:val="EndNoteBibliography"/>
        <w:ind w:left="720" w:hanging="720"/>
      </w:pPr>
      <w:r w:rsidRPr="00CE71AC">
        <w:t xml:space="preserve">Fatma, M., Rahman, Z., &amp; Khan, I. (2015). Building Company Reputation And Brand Equity Through CSR: The Mediating Role Of Trust. </w:t>
      </w:r>
      <w:r w:rsidRPr="00CE71AC">
        <w:rPr>
          <w:i/>
        </w:rPr>
        <w:t>International Journal of Bank Marketing</w:t>
      </w:r>
      <w:r w:rsidRPr="00CE71AC">
        <w:t>,</w:t>
      </w:r>
      <w:r w:rsidRPr="00CE71AC">
        <w:rPr>
          <w:i/>
        </w:rPr>
        <w:t xml:space="preserve"> 33</w:t>
      </w:r>
      <w:r w:rsidRPr="00CE71AC">
        <w:t xml:space="preserve">(6), 840-856. </w:t>
      </w:r>
      <w:hyperlink r:id="rId16" w:history="1">
        <w:r w:rsidRPr="00CE71AC">
          <w:rPr>
            <w:rStyle w:val="Hyperlink"/>
          </w:rPr>
          <w:t>https://doi.org/10.1108/ijbm-11-2014-0166</w:t>
        </w:r>
      </w:hyperlink>
      <w:r w:rsidRPr="00CE71AC">
        <w:t xml:space="preserve"> </w:t>
      </w:r>
    </w:p>
    <w:p w14:paraId="2C0E3487" w14:textId="31B14FAC" w:rsidR="00CE71AC" w:rsidRPr="00CE71AC" w:rsidRDefault="00CE71AC" w:rsidP="00CE71AC">
      <w:pPr>
        <w:pStyle w:val="EndNoteBibliography"/>
        <w:ind w:left="720" w:hanging="720"/>
      </w:pPr>
      <w:r w:rsidRPr="00CE71AC">
        <w:t xml:space="preserve">Fombrun, C., &amp; Shanley, M. (1990). What's in a Name? Reputation Building and Corporate Strategy. </w:t>
      </w:r>
      <w:r w:rsidRPr="00CE71AC">
        <w:rPr>
          <w:i/>
        </w:rPr>
        <w:t>The Academy of Management Journal</w:t>
      </w:r>
      <w:r w:rsidRPr="00CE71AC">
        <w:t>,</w:t>
      </w:r>
      <w:r w:rsidRPr="00CE71AC">
        <w:rPr>
          <w:i/>
        </w:rPr>
        <w:t xml:space="preserve"> 33</w:t>
      </w:r>
      <w:r w:rsidRPr="00CE71AC">
        <w:t xml:space="preserve">(2), 233-258. </w:t>
      </w:r>
      <w:hyperlink r:id="rId17" w:history="1">
        <w:r w:rsidRPr="00CE71AC">
          <w:rPr>
            <w:rStyle w:val="Hyperlink"/>
          </w:rPr>
          <w:t>https://doi.org/10.2307/256324</w:t>
        </w:r>
      </w:hyperlink>
      <w:r w:rsidRPr="00CE71AC">
        <w:t xml:space="preserve"> </w:t>
      </w:r>
    </w:p>
    <w:p w14:paraId="239E2796" w14:textId="77777777" w:rsidR="00CE71AC" w:rsidRPr="00CE71AC" w:rsidRDefault="00CE71AC" w:rsidP="00CE71AC">
      <w:pPr>
        <w:pStyle w:val="EndNoteBibliography"/>
        <w:ind w:left="720" w:hanging="720"/>
      </w:pPr>
      <w:r w:rsidRPr="00CE71AC">
        <w:t xml:space="preserve">Freeman, R. E., &amp; &amp; McVea, J. (2006). A Stakeholder Approach to Strategic Management. In R. E. F. A. Hitt , and Jeffrey S. Harrison (Ed.), </w:t>
      </w:r>
      <w:r w:rsidRPr="00CE71AC">
        <w:rPr>
          <w:i/>
        </w:rPr>
        <w:t>The Blackwell Handbook of Strategic Management</w:t>
      </w:r>
      <w:r w:rsidRPr="00CE71AC">
        <w:t xml:space="preserve"> (1 ed., pp. 183-201). Blackwell Publishing Ltd. </w:t>
      </w:r>
    </w:p>
    <w:p w14:paraId="28ACBA2E" w14:textId="77777777" w:rsidR="00CE71AC" w:rsidRPr="00CE71AC" w:rsidRDefault="00CE71AC" w:rsidP="00CE71AC">
      <w:pPr>
        <w:pStyle w:val="EndNoteBibliography"/>
        <w:ind w:left="720" w:hanging="720"/>
      </w:pPr>
      <w:r w:rsidRPr="00CE71AC">
        <w:t xml:space="preserve">Hidayah, R., Darmawan, W., Suryarini, T., Suryandari, D., &amp; Rahayu, R. (2021). </w:t>
      </w:r>
      <w:r w:rsidRPr="00CE71AC">
        <w:rPr>
          <w:i/>
        </w:rPr>
        <w:t>The Effect of the Size of Public Accounting Firms (KAP) and Specialist Auditors on Audit Quality with the Audit Committee as a Moderating Variable</w:t>
      </w:r>
      <w:r w:rsidRPr="00CE71AC">
        <w:t xml:space="preserve"> Proceedings of the 3rd International Conference on Economics, Business and Economic Education Science, ICE-BEES 2020, 22-23 July 2020, Semarang, Indonesia,  </w:t>
      </w:r>
    </w:p>
    <w:p w14:paraId="16EB6B81" w14:textId="77777777" w:rsidR="00CE71AC" w:rsidRPr="00CE71AC" w:rsidRDefault="00CE71AC" w:rsidP="00CE71AC">
      <w:pPr>
        <w:pStyle w:val="EndNoteBibliography"/>
        <w:ind w:left="720" w:hanging="720"/>
      </w:pPr>
      <w:r w:rsidRPr="00CE71AC">
        <w:t xml:space="preserve">Keller, K. L. (1993). Conceptualizing, Measuring, and Managing Customer-Based Brand Equity. </w:t>
      </w:r>
      <w:r w:rsidRPr="00CE71AC">
        <w:rPr>
          <w:i/>
        </w:rPr>
        <w:t>Journal of Marketing</w:t>
      </w:r>
      <w:r w:rsidRPr="00CE71AC">
        <w:t>,</w:t>
      </w:r>
      <w:r w:rsidRPr="00CE71AC">
        <w:rPr>
          <w:i/>
        </w:rPr>
        <w:t xml:space="preserve"> 57</w:t>
      </w:r>
      <w:r w:rsidRPr="00CE71AC">
        <w:t xml:space="preserve">, 1-22. </w:t>
      </w:r>
    </w:p>
    <w:p w14:paraId="4875A2F2" w14:textId="70554B7D" w:rsidR="00CE71AC" w:rsidRPr="00CE71AC" w:rsidRDefault="00CE71AC" w:rsidP="00CE71AC">
      <w:pPr>
        <w:pStyle w:val="EndNoteBibliography"/>
        <w:ind w:left="720" w:hanging="720"/>
      </w:pPr>
      <w:r w:rsidRPr="00CE71AC">
        <w:t xml:space="preserve">Martínez, P., &amp; Rodríguez del Bosque, I. (2013). CSR And Customer Loyalty: The Roles Of Trust, Customer Identification With The Company And Satisfaction. </w:t>
      </w:r>
      <w:r w:rsidRPr="00CE71AC">
        <w:rPr>
          <w:i/>
        </w:rPr>
        <w:t>International Journal of Hospitality Management</w:t>
      </w:r>
      <w:r w:rsidRPr="00CE71AC">
        <w:t>,</w:t>
      </w:r>
      <w:r w:rsidRPr="00CE71AC">
        <w:rPr>
          <w:i/>
        </w:rPr>
        <w:t xml:space="preserve"> 35</w:t>
      </w:r>
      <w:r w:rsidRPr="00CE71AC">
        <w:t xml:space="preserve">, 89-99. </w:t>
      </w:r>
      <w:hyperlink r:id="rId18" w:history="1">
        <w:r w:rsidRPr="00CE71AC">
          <w:rPr>
            <w:rStyle w:val="Hyperlink"/>
          </w:rPr>
          <w:t>https://doi.org/10.1016/j.ijhm.2013.05.009</w:t>
        </w:r>
      </w:hyperlink>
      <w:r w:rsidRPr="00CE71AC">
        <w:t xml:space="preserve"> </w:t>
      </w:r>
    </w:p>
    <w:p w14:paraId="7033321D" w14:textId="77777777" w:rsidR="00CE71AC" w:rsidRPr="00CE71AC" w:rsidRDefault="00CE71AC" w:rsidP="00CE71AC">
      <w:pPr>
        <w:pStyle w:val="EndNoteBibliography"/>
        <w:ind w:left="720" w:hanging="720"/>
      </w:pPr>
      <w:r w:rsidRPr="00CE71AC">
        <w:t xml:space="preserve">Mizik, N., &amp; Jacobson, R. (2008). The Financial Value Impact of Perceptual Brand Attributes. </w:t>
      </w:r>
      <w:r w:rsidRPr="00CE71AC">
        <w:rPr>
          <w:i/>
        </w:rPr>
        <w:t>Journal of marketing research</w:t>
      </w:r>
      <w:r w:rsidRPr="00CE71AC">
        <w:t>,</w:t>
      </w:r>
      <w:r w:rsidRPr="00CE71AC">
        <w:rPr>
          <w:i/>
        </w:rPr>
        <w:t xml:space="preserve"> 45</w:t>
      </w:r>
      <w:r w:rsidRPr="00CE71AC">
        <w:t xml:space="preserve">(1), 15-32. </w:t>
      </w:r>
    </w:p>
    <w:p w14:paraId="36829452" w14:textId="77777777" w:rsidR="00CE71AC" w:rsidRPr="00CE71AC" w:rsidRDefault="00CE71AC" w:rsidP="00CE71AC">
      <w:pPr>
        <w:pStyle w:val="EndNoteBibliography"/>
        <w:ind w:left="720" w:hanging="720"/>
      </w:pPr>
      <w:r w:rsidRPr="00CE71AC">
        <w:t xml:space="preserve">Morgan, N. A., &amp; Rego, L. L. (2009). Brand Portfolio Strategy And Firm Performance. </w:t>
      </w:r>
      <w:r w:rsidRPr="00CE71AC">
        <w:rPr>
          <w:i/>
        </w:rPr>
        <w:t>Journal of Marketing</w:t>
      </w:r>
      <w:r w:rsidRPr="00CE71AC">
        <w:t>,</w:t>
      </w:r>
      <w:r w:rsidRPr="00CE71AC">
        <w:rPr>
          <w:i/>
        </w:rPr>
        <w:t xml:space="preserve"> 73</w:t>
      </w:r>
      <w:r w:rsidRPr="00CE71AC">
        <w:t xml:space="preserve">(1), 59-74. </w:t>
      </w:r>
    </w:p>
    <w:p w14:paraId="4D036EE0" w14:textId="77777777" w:rsidR="00CE71AC" w:rsidRPr="00CE71AC" w:rsidRDefault="00CE71AC" w:rsidP="00CE71AC">
      <w:pPr>
        <w:pStyle w:val="EndNoteBibliography"/>
        <w:ind w:left="720" w:hanging="720"/>
      </w:pPr>
      <w:r w:rsidRPr="00CE71AC">
        <w:t>Natalia, L., Widarsono, A., &amp; Widyaningsih, A. (2024). The Role Of Auditee, Auditor, and Angagement To Audit Fee at SOEs. International Conference on Accounting &amp; Finance, Departemen Akuntansi, Fakultas Bisnis &amp; Ekonomi, Universitas Islam Indonesia.</w:t>
      </w:r>
    </w:p>
    <w:p w14:paraId="56E2ECF9" w14:textId="0B59930A" w:rsidR="00CE71AC" w:rsidRPr="00CE71AC" w:rsidRDefault="00CE71AC" w:rsidP="00CE71AC">
      <w:pPr>
        <w:pStyle w:val="EndNoteBibliography"/>
        <w:ind w:left="720" w:hanging="720"/>
      </w:pPr>
      <w:r w:rsidRPr="00CE71AC">
        <w:t xml:space="preserve">Orlitzky, M., Schmidt, F. L., &amp; Rynes, S. L. (2003). Corporate Social and Financial Performance: A Meta-Analysis. </w:t>
      </w:r>
      <w:r w:rsidRPr="00CE71AC">
        <w:rPr>
          <w:i/>
        </w:rPr>
        <w:t>Organization studies</w:t>
      </w:r>
      <w:r w:rsidRPr="00CE71AC">
        <w:t>,</w:t>
      </w:r>
      <w:r w:rsidRPr="00CE71AC">
        <w:rPr>
          <w:i/>
        </w:rPr>
        <w:t xml:space="preserve"> 24</w:t>
      </w:r>
      <w:r w:rsidRPr="00CE71AC">
        <w:t xml:space="preserve">(3), 403-441. </w:t>
      </w:r>
      <w:hyperlink r:id="rId19" w:history="1">
        <w:r w:rsidRPr="00CE71AC">
          <w:rPr>
            <w:rStyle w:val="Hyperlink"/>
          </w:rPr>
          <w:t>https://doi.org/10.1177/0170840603024003910</w:t>
        </w:r>
      </w:hyperlink>
      <w:r w:rsidRPr="00CE71AC">
        <w:t xml:space="preserve"> </w:t>
      </w:r>
    </w:p>
    <w:p w14:paraId="7C0E221B" w14:textId="5E112A17" w:rsidR="00CE71AC" w:rsidRPr="00CE71AC" w:rsidRDefault="00CE71AC" w:rsidP="00CE71AC">
      <w:pPr>
        <w:pStyle w:val="EndNoteBibliography"/>
        <w:ind w:left="720" w:hanging="720"/>
      </w:pPr>
      <w:r w:rsidRPr="00CE71AC">
        <w:t xml:space="preserve">Pérez-Cornejo, C., &amp; de Quevedo-Puente, E. (2022). How Corporate Social Responsibility Mediates The Relationship Between Corporate Reputation And Enterprise Risk </w:t>
      </w:r>
      <w:r w:rsidRPr="00CE71AC">
        <w:lastRenderedPageBreak/>
        <w:t xml:space="preserve">Management: Evidence From Spain. </w:t>
      </w:r>
      <w:r w:rsidRPr="00CE71AC">
        <w:rPr>
          <w:i/>
        </w:rPr>
        <w:t>Eurasian Business Review</w:t>
      </w:r>
      <w:r w:rsidRPr="00CE71AC">
        <w:t>,</w:t>
      </w:r>
      <w:r w:rsidRPr="00CE71AC">
        <w:rPr>
          <w:i/>
        </w:rPr>
        <w:t xml:space="preserve"> 13</w:t>
      </w:r>
      <w:r w:rsidRPr="00CE71AC">
        <w:t xml:space="preserve">(2), 363-383. </w:t>
      </w:r>
      <w:hyperlink r:id="rId20" w:history="1">
        <w:r w:rsidRPr="00CE71AC">
          <w:rPr>
            <w:rStyle w:val="Hyperlink"/>
          </w:rPr>
          <w:t>https://doi.org/10.1007/s40821-022-00223-2</w:t>
        </w:r>
      </w:hyperlink>
      <w:r w:rsidRPr="00CE71AC">
        <w:t xml:space="preserve"> </w:t>
      </w:r>
    </w:p>
    <w:p w14:paraId="2AB54439" w14:textId="77777777" w:rsidR="00CE71AC" w:rsidRPr="00CE71AC" w:rsidRDefault="00CE71AC" w:rsidP="00CE71AC">
      <w:pPr>
        <w:pStyle w:val="EndNoteBibliography"/>
        <w:ind w:left="720" w:hanging="720"/>
      </w:pPr>
      <w:r w:rsidRPr="00CE71AC">
        <w:t xml:space="preserve">Porter, M. E., &amp; Kramer, M. R. (2011). Creare Valore Condiviso. </w:t>
      </w:r>
      <w:r w:rsidRPr="00CE71AC">
        <w:rPr>
          <w:i/>
        </w:rPr>
        <w:t>Harvard Business Review Italia</w:t>
      </w:r>
      <w:r w:rsidRPr="00CE71AC">
        <w:t>,</w:t>
      </w:r>
      <w:r w:rsidRPr="00CE71AC">
        <w:rPr>
          <w:i/>
        </w:rPr>
        <w:t xml:space="preserve"> 1</w:t>
      </w:r>
      <w:r w:rsidRPr="00CE71AC">
        <w:t xml:space="preserve">(2), 68-84. </w:t>
      </w:r>
    </w:p>
    <w:p w14:paraId="36303955" w14:textId="77777777" w:rsidR="00CE71AC" w:rsidRPr="00CE71AC" w:rsidRDefault="00CE71AC" w:rsidP="00CE71AC">
      <w:pPr>
        <w:pStyle w:val="EndNoteBibliography"/>
        <w:ind w:left="720" w:hanging="720"/>
      </w:pPr>
      <w:r w:rsidRPr="00CE71AC">
        <w:t xml:space="preserve">Perseroan Terbatas, (2007). </w:t>
      </w:r>
    </w:p>
    <w:p w14:paraId="6D8419AF" w14:textId="77777777" w:rsidR="00CE71AC" w:rsidRPr="00CE71AC" w:rsidRDefault="00CE71AC" w:rsidP="00CE71AC">
      <w:pPr>
        <w:pStyle w:val="EndNoteBibliography"/>
        <w:ind w:left="720" w:hanging="720"/>
        <w:rPr>
          <w:i/>
        </w:rPr>
      </w:pPr>
      <w:r w:rsidRPr="00CE71AC">
        <w:t xml:space="preserve">RI, O. (2017). </w:t>
      </w:r>
      <w:r w:rsidRPr="00CE71AC">
        <w:rPr>
          <w:i/>
        </w:rPr>
        <w:t>Salinan</w:t>
      </w:r>
    </w:p>
    <w:p w14:paraId="7410056B" w14:textId="77777777" w:rsidR="00CE71AC" w:rsidRPr="00CE71AC" w:rsidRDefault="00CE71AC" w:rsidP="00CE71AC">
      <w:pPr>
        <w:pStyle w:val="EndNoteBibliography"/>
        <w:ind w:left="720" w:hanging="720"/>
        <w:rPr>
          <w:i/>
        </w:rPr>
      </w:pPr>
      <w:r w:rsidRPr="00CE71AC">
        <w:rPr>
          <w:i/>
        </w:rPr>
        <w:t>Peraturan Otoritas Jasa Keuangan Nomor 51 /POJK.03/2017 Tentang</w:t>
      </w:r>
    </w:p>
    <w:p w14:paraId="710EF57A" w14:textId="77777777" w:rsidR="00CE71AC" w:rsidRPr="00CE71AC" w:rsidRDefault="00CE71AC" w:rsidP="00CE71AC">
      <w:pPr>
        <w:pStyle w:val="EndNoteBibliography"/>
        <w:ind w:left="720" w:hanging="720"/>
        <w:rPr>
          <w:i/>
        </w:rPr>
      </w:pPr>
      <w:r w:rsidRPr="00CE71AC">
        <w:rPr>
          <w:i/>
        </w:rPr>
        <w:t>Penerapan Keuangan Berkelanjutan</w:t>
      </w:r>
    </w:p>
    <w:p w14:paraId="339F9915" w14:textId="77777777" w:rsidR="00CE71AC" w:rsidRPr="00CE71AC" w:rsidRDefault="00CE71AC" w:rsidP="00CE71AC">
      <w:pPr>
        <w:pStyle w:val="EndNoteBibliography"/>
        <w:ind w:left="720" w:hanging="720"/>
      </w:pPr>
      <w:r w:rsidRPr="00CE71AC">
        <w:rPr>
          <w:i/>
        </w:rPr>
        <w:t>Bagi Lembaga Jasa Keuangan, Emiten, Dan Perusahaan Publik</w:t>
      </w:r>
      <w:r w:rsidRPr="00CE71AC">
        <w:t>. Jakarta</w:t>
      </w:r>
    </w:p>
    <w:p w14:paraId="3A3189C2" w14:textId="463A17C1" w:rsidR="00CE71AC" w:rsidRPr="00CE71AC" w:rsidRDefault="00CE71AC" w:rsidP="00CE71AC">
      <w:pPr>
        <w:pStyle w:val="EndNoteBibliography"/>
        <w:ind w:left="720" w:hanging="720"/>
      </w:pPr>
      <w:r w:rsidRPr="00CE71AC">
        <w:t xml:space="preserve">Servaes, H., &amp; Tamayo, A. (2013). The Impact of Corporate Social Responsibility on Firm Value: The Role of Customer Awareness. </w:t>
      </w:r>
      <w:r w:rsidRPr="00CE71AC">
        <w:rPr>
          <w:i/>
        </w:rPr>
        <w:t>Management Science</w:t>
      </w:r>
      <w:r w:rsidRPr="00CE71AC">
        <w:t>,</w:t>
      </w:r>
      <w:r w:rsidRPr="00CE71AC">
        <w:rPr>
          <w:i/>
        </w:rPr>
        <w:t xml:space="preserve"> 59</w:t>
      </w:r>
      <w:r w:rsidRPr="00CE71AC">
        <w:t xml:space="preserve">(5), 1045-1061. </w:t>
      </w:r>
      <w:hyperlink r:id="rId21" w:history="1">
        <w:r w:rsidRPr="00CE71AC">
          <w:rPr>
            <w:rStyle w:val="Hyperlink"/>
          </w:rPr>
          <w:t>https://doi.org/10.1287/mnsc.1120.1630</w:t>
        </w:r>
      </w:hyperlink>
      <w:r w:rsidRPr="00CE71AC">
        <w:t xml:space="preserve"> </w:t>
      </w:r>
    </w:p>
    <w:p w14:paraId="6483A55E" w14:textId="50ED49B5" w:rsidR="000E706E" w:rsidRPr="00C4585A" w:rsidRDefault="008913E4" w:rsidP="00003BB1">
      <w:pPr>
        <w:pStyle w:val="Body"/>
        <w:spacing w:after="0"/>
        <w:rPr>
          <w:lang w:val="en-GB"/>
        </w:rPr>
      </w:pPr>
      <w:r w:rsidRPr="00C4585A">
        <w:rPr>
          <w:lang w:val="en-GB"/>
        </w:rPr>
        <w:fldChar w:fldCharType="end"/>
      </w:r>
    </w:p>
    <w:p w14:paraId="296BF2BF" w14:textId="77777777" w:rsidR="000E706E" w:rsidRPr="00C4585A" w:rsidRDefault="000E706E" w:rsidP="000E706E">
      <w:pPr>
        <w:pStyle w:val="Body"/>
        <w:spacing w:after="0"/>
        <w:rPr>
          <w:lang w:val="en-GB"/>
        </w:rPr>
      </w:pPr>
    </w:p>
    <w:p w14:paraId="548EBC60" w14:textId="4E70E183" w:rsidR="000E706E" w:rsidRPr="00C4585A" w:rsidRDefault="000E706E" w:rsidP="000E706E">
      <w:pPr>
        <w:pStyle w:val="Body"/>
        <w:spacing w:after="0"/>
        <w:rPr>
          <w:lang w:val="en-GB"/>
        </w:rPr>
      </w:pPr>
    </w:p>
    <w:sectPr w:rsidR="000E706E" w:rsidRPr="00C4585A" w:rsidSect="0066588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5B7F8" w14:textId="77777777" w:rsidR="00C166D4" w:rsidRDefault="00C166D4" w:rsidP="00C37E61">
      <w:r>
        <w:separator/>
      </w:r>
    </w:p>
  </w:endnote>
  <w:endnote w:type="continuationSeparator" w:id="0">
    <w:p w14:paraId="0A8A2B3B" w14:textId="77777777" w:rsidR="00C166D4" w:rsidRDefault="00C166D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B5638" w14:textId="77777777" w:rsidR="00C166D4" w:rsidRDefault="00C166D4" w:rsidP="00C37E61">
      <w:r>
        <w:separator/>
      </w:r>
    </w:p>
  </w:footnote>
  <w:footnote w:type="continuationSeparator" w:id="0">
    <w:p w14:paraId="17F5029D" w14:textId="77777777" w:rsidR="00C166D4" w:rsidRDefault="00C166D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CA95E" w14:textId="723EE707" w:rsidR="00665883" w:rsidRDefault="00C166D4">
    <w:pPr>
      <w:pStyle w:val="Header"/>
    </w:pPr>
    <w:r>
      <w:rPr>
        <w:noProof/>
      </w:rPr>
      <w:pict w14:anchorId="58989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23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AD802" w14:textId="06E510BF" w:rsidR="00665883" w:rsidRDefault="00C166D4">
    <w:pPr>
      <w:pStyle w:val="Header"/>
    </w:pPr>
    <w:r>
      <w:rPr>
        <w:noProof/>
      </w:rPr>
      <w:pict w14:anchorId="6A096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23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99885" w14:textId="54D3407F" w:rsidR="00296529" w:rsidRPr="00296529" w:rsidRDefault="00C166D4" w:rsidP="00296529">
    <w:pPr>
      <w:ind w:left="2160"/>
      <w:jc w:val="center"/>
      <w:rPr>
        <w:rFonts w:ascii="Times New Roman" w:eastAsia="Calibri" w:hAnsi="Times New Roman"/>
        <w:i/>
        <w:sz w:val="18"/>
        <w:szCs w:val="22"/>
      </w:rPr>
    </w:pPr>
    <w:r>
      <w:rPr>
        <w:noProof/>
      </w:rPr>
      <w:pict w14:anchorId="61B41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23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5CE67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01DC9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7753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D606D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D10EC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314D6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d00f5scteex2eftaoxddt09d5ex9r9awed&quot;&gt;My EndNote Library 17 feb 2024&lt;record-ids&gt;&lt;item&gt;797&lt;/item&gt;&lt;item&gt;1149&lt;/item&gt;&lt;item&gt;1189&lt;/item&gt;&lt;item&gt;2259&lt;/item&gt;&lt;item&gt;6931&lt;/item&gt;&lt;item&gt;7117&lt;/item&gt;&lt;item&gt;7119&lt;/item&gt;&lt;item&gt;7121&lt;/item&gt;&lt;item&gt;7155&lt;/item&gt;&lt;item&gt;7159&lt;/item&gt;&lt;item&gt;7160&lt;/item&gt;&lt;item&gt;7170&lt;/item&gt;&lt;item&gt;7172&lt;/item&gt;&lt;item&gt;7200&lt;/item&gt;&lt;item&gt;7252&lt;/item&gt;&lt;item&gt;7254&lt;/item&gt;&lt;item&gt;7255&lt;/item&gt;&lt;item&gt;7256&lt;/item&gt;&lt;item&gt;7258&lt;/item&gt;&lt;item&gt;7259&lt;/item&gt;&lt;/record-ids&gt;&lt;/item&gt;&lt;/Libraries&gt;"/>
  </w:docVars>
  <w:rsids>
    <w:rsidRoot w:val="00AA6219"/>
    <w:rsid w:val="00000F8F"/>
    <w:rsid w:val="00003BB1"/>
    <w:rsid w:val="00005CB9"/>
    <w:rsid w:val="0002282F"/>
    <w:rsid w:val="00030174"/>
    <w:rsid w:val="00031F8C"/>
    <w:rsid w:val="0004579C"/>
    <w:rsid w:val="000465B4"/>
    <w:rsid w:val="00087672"/>
    <w:rsid w:val="00087AEF"/>
    <w:rsid w:val="000A47FA"/>
    <w:rsid w:val="000A5C7B"/>
    <w:rsid w:val="000A65D3"/>
    <w:rsid w:val="000B1E33"/>
    <w:rsid w:val="000B7E27"/>
    <w:rsid w:val="000C021B"/>
    <w:rsid w:val="000C29F7"/>
    <w:rsid w:val="000D2755"/>
    <w:rsid w:val="000D689F"/>
    <w:rsid w:val="000E706E"/>
    <w:rsid w:val="000E7B7B"/>
    <w:rsid w:val="000E7D62"/>
    <w:rsid w:val="000F4783"/>
    <w:rsid w:val="000F592C"/>
    <w:rsid w:val="00103357"/>
    <w:rsid w:val="00123C9F"/>
    <w:rsid w:val="00126190"/>
    <w:rsid w:val="00130F17"/>
    <w:rsid w:val="001320BF"/>
    <w:rsid w:val="00135A01"/>
    <w:rsid w:val="001416D9"/>
    <w:rsid w:val="00154320"/>
    <w:rsid w:val="00163BC4"/>
    <w:rsid w:val="001650F0"/>
    <w:rsid w:val="00165B24"/>
    <w:rsid w:val="00183818"/>
    <w:rsid w:val="00183B25"/>
    <w:rsid w:val="001904B5"/>
    <w:rsid w:val="00191062"/>
    <w:rsid w:val="00192B72"/>
    <w:rsid w:val="001A29D8"/>
    <w:rsid w:val="001A5CAA"/>
    <w:rsid w:val="001B0427"/>
    <w:rsid w:val="001C463F"/>
    <w:rsid w:val="001D3A51"/>
    <w:rsid w:val="001E10D2"/>
    <w:rsid w:val="001E25B4"/>
    <w:rsid w:val="001E44FE"/>
    <w:rsid w:val="001E5DE2"/>
    <w:rsid w:val="001F4197"/>
    <w:rsid w:val="001F474D"/>
    <w:rsid w:val="001F4E54"/>
    <w:rsid w:val="00200595"/>
    <w:rsid w:val="00204835"/>
    <w:rsid w:val="0020617A"/>
    <w:rsid w:val="00215642"/>
    <w:rsid w:val="00231555"/>
    <w:rsid w:val="00231920"/>
    <w:rsid w:val="0023195C"/>
    <w:rsid w:val="00233E69"/>
    <w:rsid w:val="0024282C"/>
    <w:rsid w:val="002460DC"/>
    <w:rsid w:val="00247497"/>
    <w:rsid w:val="00250985"/>
    <w:rsid w:val="002556F6"/>
    <w:rsid w:val="00277EBC"/>
    <w:rsid w:val="00283105"/>
    <w:rsid w:val="00284C4C"/>
    <w:rsid w:val="00287E68"/>
    <w:rsid w:val="00296529"/>
    <w:rsid w:val="002B27FB"/>
    <w:rsid w:val="002B685A"/>
    <w:rsid w:val="002C57D2"/>
    <w:rsid w:val="002E0D56"/>
    <w:rsid w:val="00315186"/>
    <w:rsid w:val="00317ACE"/>
    <w:rsid w:val="0033343E"/>
    <w:rsid w:val="00334E24"/>
    <w:rsid w:val="00344F30"/>
    <w:rsid w:val="00345798"/>
    <w:rsid w:val="003512C2"/>
    <w:rsid w:val="00355A2A"/>
    <w:rsid w:val="00371FB6"/>
    <w:rsid w:val="003763C1"/>
    <w:rsid w:val="00376BBE"/>
    <w:rsid w:val="00390966"/>
    <w:rsid w:val="0039224F"/>
    <w:rsid w:val="00394F4A"/>
    <w:rsid w:val="003955C9"/>
    <w:rsid w:val="003A43A4"/>
    <w:rsid w:val="003A7E18"/>
    <w:rsid w:val="003C4C86"/>
    <w:rsid w:val="003C6258"/>
    <w:rsid w:val="003C7F78"/>
    <w:rsid w:val="003D051D"/>
    <w:rsid w:val="003E2904"/>
    <w:rsid w:val="00401927"/>
    <w:rsid w:val="0041027F"/>
    <w:rsid w:val="00412475"/>
    <w:rsid w:val="004137E2"/>
    <w:rsid w:val="00421910"/>
    <w:rsid w:val="00423789"/>
    <w:rsid w:val="0043016B"/>
    <w:rsid w:val="00433D64"/>
    <w:rsid w:val="00436747"/>
    <w:rsid w:val="00440F43"/>
    <w:rsid w:val="00441B6F"/>
    <w:rsid w:val="00441FC2"/>
    <w:rsid w:val="00446221"/>
    <w:rsid w:val="00450E62"/>
    <w:rsid w:val="004539DB"/>
    <w:rsid w:val="00471A80"/>
    <w:rsid w:val="00474FDC"/>
    <w:rsid w:val="004A1A10"/>
    <w:rsid w:val="004A242B"/>
    <w:rsid w:val="004C2E3C"/>
    <w:rsid w:val="004D305E"/>
    <w:rsid w:val="004D4277"/>
    <w:rsid w:val="004D5393"/>
    <w:rsid w:val="004E0A26"/>
    <w:rsid w:val="004F0F3F"/>
    <w:rsid w:val="004F3D43"/>
    <w:rsid w:val="00502516"/>
    <w:rsid w:val="00505F06"/>
    <w:rsid w:val="00506828"/>
    <w:rsid w:val="0053056E"/>
    <w:rsid w:val="005337A4"/>
    <w:rsid w:val="00554FDA"/>
    <w:rsid w:val="00556F29"/>
    <w:rsid w:val="005C784C"/>
    <w:rsid w:val="005D17F6"/>
    <w:rsid w:val="005E5539"/>
    <w:rsid w:val="005F0F21"/>
    <w:rsid w:val="00602BF5"/>
    <w:rsid w:val="00617FDD"/>
    <w:rsid w:val="00633614"/>
    <w:rsid w:val="00633F68"/>
    <w:rsid w:val="00636EB2"/>
    <w:rsid w:val="006375B8"/>
    <w:rsid w:val="00652637"/>
    <w:rsid w:val="0065366B"/>
    <w:rsid w:val="006601C8"/>
    <w:rsid w:val="0066510A"/>
    <w:rsid w:val="00665883"/>
    <w:rsid w:val="00673F9F"/>
    <w:rsid w:val="00684567"/>
    <w:rsid w:val="00685467"/>
    <w:rsid w:val="00686953"/>
    <w:rsid w:val="00687DEA"/>
    <w:rsid w:val="00687E67"/>
    <w:rsid w:val="006967F7"/>
    <w:rsid w:val="006A1FD2"/>
    <w:rsid w:val="006A250C"/>
    <w:rsid w:val="006B0AE9"/>
    <w:rsid w:val="006B21D3"/>
    <w:rsid w:val="006B57D0"/>
    <w:rsid w:val="006D20F1"/>
    <w:rsid w:val="006D30FF"/>
    <w:rsid w:val="006D6940"/>
    <w:rsid w:val="006F11EC"/>
    <w:rsid w:val="006F7392"/>
    <w:rsid w:val="0070082C"/>
    <w:rsid w:val="00713872"/>
    <w:rsid w:val="007369E6"/>
    <w:rsid w:val="0074121E"/>
    <w:rsid w:val="00742FA0"/>
    <w:rsid w:val="00746E59"/>
    <w:rsid w:val="00754855"/>
    <w:rsid w:val="00754C9A"/>
    <w:rsid w:val="0075599A"/>
    <w:rsid w:val="0076183B"/>
    <w:rsid w:val="00761D52"/>
    <w:rsid w:val="0077749E"/>
    <w:rsid w:val="00790ADA"/>
    <w:rsid w:val="007D2288"/>
    <w:rsid w:val="007D4FD5"/>
    <w:rsid w:val="007D5B7B"/>
    <w:rsid w:val="007E088F"/>
    <w:rsid w:val="007F7B32"/>
    <w:rsid w:val="00802B41"/>
    <w:rsid w:val="00804BC2"/>
    <w:rsid w:val="0080530D"/>
    <w:rsid w:val="0081431A"/>
    <w:rsid w:val="00821B2D"/>
    <w:rsid w:val="00825234"/>
    <w:rsid w:val="0083216F"/>
    <w:rsid w:val="00842DE6"/>
    <w:rsid w:val="00860000"/>
    <w:rsid w:val="00863BD3"/>
    <w:rsid w:val="008641ED"/>
    <w:rsid w:val="00866D66"/>
    <w:rsid w:val="008671C6"/>
    <w:rsid w:val="00875803"/>
    <w:rsid w:val="00883CE1"/>
    <w:rsid w:val="008913E4"/>
    <w:rsid w:val="008B459E"/>
    <w:rsid w:val="008E0794"/>
    <w:rsid w:val="008E13AE"/>
    <w:rsid w:val="008E1506"/>
    <w:rsid w:val="008E710C"/>
    <w:rsid w:val="008F556F"/>
    <w:rsid w:val="008F69D6"/>
    <w:rsid w:val="00902823"/>
    <w:rsid w:val="00915CA6"/>
    <w:rsid w:val="00927834"/>
    <w:rsid w:val="00937408"/>
    <w:rsid w:val="00947EA7"/>
    <w:rsid w:val="009500A6"/>
    <w:rsid w:val="0095033F"/>
    <w:rsid w:val="00950B27"/>
    <w:rsid w:val="00957C18"/>
    <w:rsid w:val="009659BA"/>
    <w:rsid w:val="00983040"/>
    <w:rsid w:val="009B3FB9"/>
    <w:rsid w:val="009C2465"/>
    <w:rsid w:val="009D35A0"/>
    <w:rsid w:val="009D7EB7"/>
    <w:rsid w:val="009E048A"/>
    <w:rsid w:val="009E08E9"/>
    <w:rsid w:val="009E3DB9"/>
    <w:rsid w:val="009E6E35"/>
    <w:rsid w:val="009F0EDA"/>
    <w:rsid w:val="00A03B96"/>
    <w:rsid w:val="00A04AC4"/>
    <w:rsid w:val="00A05B19"/>
    <w:rsid w:val="00A1134E"/>
    <w:rsid w:val="00A24E7E"/>
    <w:rsid w:val="00A2584B"/>
    <w:rsid w:val="00A258C3"/>
    <w:rsid w:val="00A347C0"/>
    <w:rsid w:val="00A37D3D"/>
    <w:rsid w:val="00A51431"/>
    <w:rsid w:val="00A539AD"/>
    <w:rsid w:val="00A60351"/>
    <w:rsid w:val="00A706A8"/>
    <w:rsid w:val="00A727C3"/>
    <w:rsid w:val="00A8525D"/>
    <w:rsid w:val="00A92A22"/>
    <w:rsid w:val="00A94063"/>
    <w:rsid w:val="00AA6219"/>
    <w:rsid w:val="00AA74E0"/>
    <w:rsid w:val="00AB703F"/>
    <w:rsid w:val="00AC6BB8"/>
    <w:rsid w:val="00AE008F"/>
    <w:rsid w:val="00AF0B57"/>
    <w:rsid w:val="00AF2D33"/>
    <w:rsid w:val="00AF59A2"/>
    <w:rsid w:val="00B01FCD"/>
    <w:rsid w:val="00B05045"/>
    <w:rsid w:val="00B11F52"/>
    <w:rsid w:val="00B1776C"/>
    <w:rsid w:val="00B34F41"/>
    <w:rsid w:val="00B5168C"/>
    <w:rsid w:val="00B52583"/>
    <w:rsid w:val="00B52896"/>
    <w:rsid w:val="00B53083"/>
    <w:rsid w:val="00B57F9B"/>
    <w:rsid w:val="00B600C0"/>
    <w:rsid w:val="00B637B2"/>
    <w:rsid w:val="00B75747"/>
    <w:rsid w:val="00B770C3"/>
    <w:rsid w:val="00B8105B"/>
    <w:rsid w:val="00B86B85"/>
    <w:rsid w:val="00B951CD"/>
    <w:rsid w:val="00B95236"/>
    <w:rsid w:val="00B96BD9"/>
    <w:rsid w:val="00BA1B01"/>
    <w:rsid w:val="00BA2641"/>
    <w:rsid w:val="00BB37AA"/>
    <w:rsid w:val="00BC53A0"/>
    <w:rsid w:val="00BE62AD"/>
    <w:rsid w:val="00BF121F"/>
    <w:rsid w:val="00BF1F80"/>
    <w:rsid w:val="00C13579"/>
    <w:rsid w:val="00C166D4"/>
    <w:rsid w:val="00C166EF"/>
    <w:rsid w:val="00C17EB0"/>
    <w:rsid w:val="00C27F5F"/>
    <w:rsid w:val="00C30A0F"/>
    <w:rsid w:val="00C37E61"/>
    <w:rsid w:val="00C42B9F"/>
    <w:rsid w:val="00C4585A"/>
    <w:rsid w:val="00C70F1B"/>
    <w:rsid w:val="00C71A47"/>
    <w:rsid w:val="00C7464C"/>
    <w:rsid w:val="00C85588"/>
    <w:rsid w:val="00C90BCB"/>
    <w:rsid w:val="00C94951"/>
    <w:rsid w:val="00CD6755"/>
    <w:rsid w:val="00CD6856"/>
    <w:rsid w:val="00CE0089"/>
    <w:rsid w:val="00CE71AC"/>
    <w:rsid w:val="00CE793C"/>
    <w:rsid w:val="00CF193C"/>
    <w:rsid w:val="00D036EE"/>
    <w:rsid w:val="00D0779D"/>
    <w:rsid w:val="00D173F1"/>
    <w:rsid w:val="00D32F96"/>
    <w:rsid w:val="00D41EDF"/>
    <w:rsid w:val="00D51DAD"/>
    <w:rsid w:val="00D54BDD"/>
    <w:rsid w:val="00D65F9D"/>
    <w:rsid w:val="00D666C7"/>
    <w:rsid w:val="00D66F76"/>
    <w:rsid w:val="00D74CB0"/>
    <w:rsid w:val="00D8295D"/>
    <w:rsid w:val="00DC2A65"/>
    <w:rsid w:val="00DC528C"/>
    <w:rsid w:val="00DE15F0"/>
    <w:rsid w:val="00DE5663"/>
    <w:rsid w:val="00DE78AA"/>
    <w:rsid w:val="00DF5AAC"/>
    <w:rsid w:val="00E053D0"/>
    <w:rsid w:val="00E15994"/>
    <w:rsid w:val="00E3114E"/>
    <w:rsid w:val="00E31A70"/>
    <w:rsid w:val="00E35B02"/>
    <w:rsid w:val="00E65278"/>
    <w:rsid w:val="00E66496"/>
    <w:rsid w:val="00E66B35"/>
    <w:rsid w:val="00E66E10"/>
    <w:rsid w:val="00E769F6"/>
    <w:rsid w:val="00E80D9A"/>
    <w:rsid w:val="00E8356E"/>
    <w:rsid w:val="00E8407C"/>
    <w:rsid w:val="00E841D2"/>
    <w:rsid w:val="00E84F3C"/>
    <w:rsid w:val="00EA012C"/>
    <w:rsid w:val="00EB5772"/>
    <w:rsid w:val="00EC6A55"/>
    <w:rsid w:val="00ED0288"/>
    <w:rsid w:val="00ED273A"/>
    <w:rsid w:val="00EE1694"/>
    <w:rsid w:val="00EE52CB"/>
    <w:rsid w:val="00EF3520"/>
    <w:rsid w:val="00EF581D"/>
    <w:rsid w:val="00EF7FD8"/>
    <w:rsid w:val="00F02AD8"/>
    <w:rsid w:val="00F06F59"/>
    <w:rsid w:val="00F17988"/>
    <w:rsid w:val="00F2205B"/>
    <w:rsid w:val="00F278E3"/>
    <w:rsid w:val="00F469F0"/>
    <w:rsid w:val="00F53273"/>
    <w:rsid w:val="00F6791C"/>
    <w:rsid w:val="00F755E4"/>
    <w:rsid w:val="00F77D02"/>
    <w:rsid w:val="00F80EE8"/>
    <w:rsid w:val="00F83757"/>
    <w:rsid w:val="00F86586"/>
    <w:rsid w:val="00FB1995"/>
    <w:rsid w:val="00FB3A86"/>
    <w:rsid w:val="00FC0EF0"/>
    <w:rsid w:val="00FC4DE2"/>
    <w:rsid w:val="00FD36C8"/>
    <w:rsid w:val="00FE1BF4"/>
    <w:rsid w:val="00FE3CCB"/>
    <w:rsid w:val="00FE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8ED60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har"/>
    <w:rsid w:val="008913E4"/>
    <w:pPr>
      <w:jc w:val="center"/>
    </w:pPr>
    <w:rPr>
      <w:rFonts w:cs="Helvetica"/>
      <w:noProof/>
    </w:rPr>
  </w:style>
  <w:style w:type="character" w:customStyle="1" w:styleId="BodyChar">
    <w:name w:val="Body Char"/>
    <w:basedOn w:val="DefaultParagraphFont"/>
    <w:link w:val="Body"/>
    <w:rsid w:val="008913E4"/>
    <w:rPr>
      <w:rFonts w:ascii="Helvetica" w:hAnsi="Helvetica"/>
    </w:rPr>
  </w:style>
  <w:style w:type="character" w:customStyle="1" w:styleId="EndNoteBibliographyTitleChar">
    <w:name w:val="EndNote Bibliography Title Char"/>
    <w:basedOn w:val="BodyChar"/>
    <w:link w:val="EndNoteBibliographyTitle"/>
    <w:rsid w:val="008913E4"/>
    <w:rPr>
      <w:rFonts w:ascii="Helvetica" w:hAnsi="Helvetica" w:cs="Helvetica"/>
      <w:noProof/>
    </w:rPr>
  </w:style>
  <w:style w:type="paragraph" w:customStyle="1" w:styleId="EndNoteBibliography">
    <w:name w:val="EndNote Bibliography"/>
    <w:basedOn w:val="Normal"/>
    <w:link w:val="EndNoteBibliographyChar"/>
    <w:rsid w:val="008913E4"/>
    <w:pPr>
      <w:jc w:val="both"/>
    </w:pPr>
    <w:rPr>
      <w:rFonts w:cs="Helvetica"/>
      <w:noProof/>
    </w:rPr>
  </w:style>
  <w:style w:type="character" w:customStyle="1" w:styleId="EndNoteBibliographyChar">
    <w:name w:val="EndNote Bibliography Char"/>
    <w:basedOn w:val="BodyChar"/>
    <w:link w:val="EndNoteBibliography"/>
    <w:rsid w:val="008913E4"/>
    <w:rPr>
      <w:rFonts w:ascii="Helvetica" w:hAnsi="Helvetica" w:cs="Helvetic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77/0149206310388419" TargetMode="External"/><Relationship Id="rId18" Type="http://schemas.openxmlformats.org/officeDocument/2006/relationships/hyperlink" Target="https://doi.org/10.1016/j.ijhm.2013.05.009" TargetMode="External"/><Relationship Id="rId3" Type="http://schemas.openxmlformats.org/officeDocument/2006/relationships/styles" Target="styles.xml"/><Relationship Id="rId21" Type="http://schemas.openxmlformats.org/officeDocument/2006/relationships/hyperlink" Target="https://doi.org/10.1287/mnsc.1120.1630" TargetMode="External"/><Relationship Id="rId7" Type="http://schemas.openxmlformats.org/officeDocument/2006/relationships/endnotes" Target="endnotes.xml"/><Relationship Id="rId12" Type="http://schemas.openxmlformats.org/officeDocument/2006/relationships/hyperlink" Target="https://doi.org/10.1016/j.jcorpfin.2020.101588" TargetMode="External"/><Relationship Id="rId17" Type="http://schemas.openxmlformats.org/officeDocument/2006/relationships/hyperlink" Target="https://doi.org/10.2307/256324" TargetMode="External"/><Relationship Id="rId2" Type="http://schemas.openxmlformats.org/officeDocument/2006/relationships/numbering" Target="numbering.xml"/><Relationship Id="rId16" Type="http://schemas.openxmlformats.org/officeDocument/2006/relationships/hyperlink" Target="https://doi.org/10.1108/ijbm-11-2014-0166" TargetMode="External"/><Relationship Id="rId20" Type="http://schemas.openxmlformats.org/officeDocument/2006/relationships/hyperlink" Target="https://doi.org/10.1007/s40821-022-0022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87/mnsc.2018.3043" TargetMode="External"/><Relationship Id="rId5" Type="http://schemas.openxmlformats.org/officeDocument/2006/relationships/webSettings" Target="webSettings.xml"/><Relationship Id="rId15" Type="http://schemas.openxmlformats.org/officeDocument/2006/relationships/hyperlink" Target="https://doi.org/10.1016/j.jbankfin.2011.02.007"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i.org/10.1177/017084060302400391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287/mnsc.2014.1984"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41D69-96DE-4816-ACE1-A6F07618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554</TotalTime>
  <Pages>9</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46222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43</cp:revision>
  <cp:lastPrinted>1999-07-06T11:00:00Z</cp:lastPrinted>
  <dcterms:created xsi:type="dcterms:W3CDTF">2025-10-10T03:35:00Z</dcterms:created>
  <dcterms:modified xsi:type="dcterms:W3CDTF">2025-10-30T12:21:00Z</dcterms:modified>
</cp:coreProperties>
</file>