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4E54" w14:textId="1BC7EB0A" w:rsidR="00163BC4" w:rsidRPr="00C4585A" w:rsidRDefault="00D0779D" w:rsidP="00441B6F">
      <w:pPr>
        <w:pStyle w:val="Author"/>
        <w:spacing w:line="240" w:lineRule="auto"/>
        <w:rPr>
          <w:rFonts w:ascii="Arial" w:hAnsi="Arial" w:cs="Arial"/>
          <w:bCs/>
          <w:iCs/>
          <w:kern w:val="28"/>
          <w:sz w:val="36"/>
        </w:rPr>
      </w:pPr>
      <w:r w:rsidRPr="00D0779D">
        <w:rPr>
          <w:rFonts w:ascii="Arial" w:hAnsi="Arial" w:cs="Arial"/>
          <w:bCs/>
          <w:iCs/>
          <w:kern w:val="28"/>
          <w:sz w:val="36"/>
        </w:rPr>
        <w:t>From Reputation to Value: The Strategic Role of CSR in Enhancing Firm Performance in Indonesia</w:t>
      </w:r>
    </w:p>
    <w:p w14:paraId="70F8A35C" w14:textId="77777777" w:rsidR="00A258C3" w:rsidRPr="00C4585A" w:rsidRDefault="00A258C3" w:rsidP="00441B6F">
      <w:pPr>
        <w:pStyle w:val="Author"/>
        <w:spacing w:line="240" w:lineRule="auto"/>
        <w:jc w:val="both"/>
        <w:rPr>
          <w:rFonts w:ascii="Arial" w:hAnsi="Arial" w:cs="Arial"/>
          <w:sz w:val="36"/>
        </w:rPr>
      </w:pPr>
    </w:p>
    <w:p w14:paraId="7EDC57B0" w14:textId="77777777" w:rsidR="002C57D2" w:rsidRPr="00C4585A" w:rsidRDefault="002C57D2" w:rsidP="00441B6F">
      <w:pPr>
        <w:pStyle w:val="Affiliation"/>
        <w:spacing w:after="0" w:line="240" w:lineRule="auto"/>
        <w:jc w:val="both"/>
        <w:rPr>
          <w:rFonts w:ascii="Arial" w:hAnsi="Arial" w:cs="Arial"/>
        </w:rPr>
      </w:pPr>
    </w:p>
    <w:p w14:paraId="661CEF39" w14:textId="525AA4BF" w:rsidR="00B01FCD" w:rsidRPr="00C4585A" w:rsidRDefault="004F3D43" w:rsidP="00441B6F">
      <w:pPr>
        <w:pStyle w:val="Copyright"/>
        <w:spacing w:after="0" w:line="240" w:lineRule="auto"/>
        <w:jc w:val="both"/>
        <w:rPr>
          <w:rFonts w:ascii="Arial" w:hAnsi="Arial" w:cs="Arial"/>
        </w:rPr>
        <w:sectPr w:rsidR="00B01FCD" w:rsidRPr="00C4585A" w:rsidSect="00665883">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C4585A">
        <w:rPr>
          <w:rFonts w:ascii="Arial" w:hAnsi="Arial" w:cs="Arial"/>
          <w:noProof/>
        </w:rPr>
        <mc:AlternateContent>
          <mc:Choice Requires="wps">
            <w:drawing>
              <wp:inline distT="0" distB="0" distL="0" distR="0" wp14:anchorId="668F9221" wp14:editId="001575F3">
                <wp:extent cx="5303520" cy="635"/>
                <wp:effectExtent l="13335" t="17145" r="17145" b="11430"/>
                <wp:docPr id="1543960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3AFA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4585A">
        <w:rPr>
          <w:rFonts w:ascii="Arial" w:hAnsi="Arial" w:cs="Arial"/>
        </w:rPr>
        <w:t>.</w:t>
      </w:r>
    </w:p>
    <w:p w14:paraId="7F125A4F" w14:textId="53BDD2F7" w:rsidR="00B01FCD" w:rsidRPr="00C4585A" w:rsidRDefault="00B01FCD" w:rsidP="00441B6F">
      <w:pPr>
        <w:pStyle w:val="AbstHead"/>
        <w:spacing w:after="0"/>
        <w:jc w:val="both"/>
        <w:rPr>
          <w:rFonts w:ascii="Arial" w:hAnsi="Arial" w:cs="Arial"/>
        </w:rPr>
      </w:pPr>
      <w:r w:rsidRPr="00C4585A">
        <w:rPr>
          <w:rFonts w:ascii="Arial" w:hAnsi="Arial" w:cs="Arial"/>
        </w:rPr>
        <w:t>ABSTRACT</w:t>
      </w:r>
    </w:p>
    <w:p w14:paraId="7E1F8B85" w14:textId="77777777" w:rsidR="00790ADA" w:rsidRPr="00C458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4585A" w14:paraId="6E922C03" w14:textId="77777777" w:rsidTr="001E44FE">
        <w:tc>
          <w:tcPr>
            <w:tcW w:w="9576" w:type="dxa"/>
            <w:shd w:val="clear" w:color="auto" w:fill="F2F2F2"/>
          </w:tcPr>
          <w:p w14:paraId="3B69B965" w14:textId="42691397"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szCs w:val="22"/>
              </w:rPr>
              <w:t xml:space="preserve">Aims: </w:t>
            </w:r>
            <w:r w:rsidR="00B600C0" w:rsidRPr="00C4585A">
              <w:rPr>
                <w:rFonts w:ascii="Arial" w:eastAsia="Calibri" w:hAnsi="Arial" w:cs="Arial"/>
                <w:szCs w:val="22"/>
              </w:rPr>
              <w:t xml:space="preserve">This study investigates whether corporate social responsibility (CSR) mediates the effect of firm reputation on firm value in publicly listed companies in Indonesia. </w:t>
            </w:r>
          </w:p>
          <w:p w14:paraId="61FA18F4" w14:textId="692DA9FE" w:rsidR="00BA1B01" w:rsidRPr="00C4585A" w:rsidRDefault="00BA1B01" w:rsidP="00842DE6">
            <w:pPr>
              <w:pStyle w:val="Body"/>
              <w:spacing w:after="0"/>
              <w:rPr>
                <w:rFonts w:ascii="Arial" w:eastAsia="Calibri" w:hAnsi="Arial" w:cs="Arial"/>
                <w:szCs w:val="22"/>
              </w:rPr>
            </w:pPr>
            <w:r w:rsidRPr="00C4585A">
              <w:rPr>
                <w:rFonts w:ascii="Arial" w:eastAsia="Calibri" w:hAnsi="Arial" w:cs="Arial"/>
                <w:b/>
                <w:szCs w:val="22"/>
              </w:rPr>
              <w:t>Study design:</w:t>
            </w:r>
            <w:r w:rsidRPr="00C4585A">
              <w:rPr>
                <w:rFonts w:ascii="Arial" w:eastAsia="Calibri" w:hAnsi="Arial" w:cs="Arial"/>
                <w:szCs w:val="22"/>
              </w:rPr>
              <w:t xml:space="preserve">  </w:t>
            </w:r>
            <w:r w:rsidR="00842DE6" w:rsidRPr="00842DE6">
              <w:rPr>
                <w:rFonts w:ascii="Arial" w:eastAsia="Calibri" w:hAnsi="Arial" w:cs="Arial"/>
                <w:szCs w:val="22"/>
              </w:rPr>
              <w:t xml:space="preserve">This study adopts a quantitative descriptive approach employing a panel data regression design to analyze the effect of </w:t>
            </w:r>
            <w:r w:rsidR="001904B5">
              <w:rPr>
                <w:rFonts w:ascii="Arial" w:eastAsia="Calibri" w:hAnsi="Arial" w:cs="Arial"/>
                <w:szCs w:val="22"/>
              </w:rPr>
              <w:t>firm</w:t>
            </w:r>
            <w:r w:rsidR="00842DE6" w:rsidRPr="00842DE6">
              <w:rPr>
                <w:rFonts w:ascii="Arial" w:eastAsia="Calibri" w:hAnsi="Arial" w:cs="Arial"/>
                <w:szCs w:val="22"/>
              </w:rPr>
              <w:t xml:space="preserve"> reputation on firm value and to examine the mediating role of Corporate Social Responsibility (CSR) activities. Statistical analyses were conducted using secondary data derived from publicly available reports. This methodological approach was chosen to ensure a rigorous examination of causal relationships across firms and over time, enhancing both internal validity and </w:t>
            </w:r>
            <w:proofErr w:type="spellStart"/>
            <w:proofErr w:type="gramStart"/>
            <w:r w:rsidR="00842DE6" w:rsidRPr="00842DE6">
              <w:rPr>
                <w:rFonts w:ascii="Arial" w:eastAsia="Calibri" w:hAnsi="Arial" w:cs="Arial"/>
                <w:szCs w:val="22"/>
              </w:rPr>
              <w:t>generalizability.The</w:t>
            </w:r>
            <w:proofErr w:type="spellEnd"/>
            <w:proofErr w:type="gramEnd"/>
            <w:r w:rsidR="00842DE6" w:rsidRPr="00842DE6">
              <w:rPr>
                <w:rFonts w:ascii="Arial" w:eastAsia="Calibri" w:hAnsi="Arial" w:cs="Arial"/>
                <w:szCs w:val="22"/>
              </w:rPr>
              <w:t xml:space="preserve"> sample was selected using a purposive sampling technique based on specific criteria: (1) companies that consistently published annual and sustainability reports (CSR disclosures) during the observation period; (2) firms providing complete data for the variables of </w:t>
            </w:r>
            <w:r w:rsidR="001904B5">
              <w:rPr>
                <w:rFonts w:ascii="Arial" w:eastAsia="Calibri" w:hAnsi="Arial" w:cs="Arial"/>
                <w:szCs w:val="22"/>
              </w:rPr>
              <w:t>firm</w:t>
            </w:r>
            <w:r w:rsidR="00842DE6" w:rsidRPr="00842DE6">
              <w:rPr>
                <w:rFonts w:ascii="Arial" w:eastAsia="Calibri" w:hAnsi="Arial" w:cs="Arial"/>
                <w:szCs w:val="22"/>
              </w:rPr>
              <w:t xml:space="preserve"> reputation</w:t>
            </w:r>
            <w:r w:rsidR="00842DE6">
              <w:rPr>
                <w:rFonts w:ascii="Arial" w:eastAsia="Calibri" w:hAnsi="Arial" w:cs="Arial"/>
                <w:szCs w:val="22"/>
              </w:rPr>
              <w:t>.</w:t>
            </w:r>
            <w:r w:rsidR="00842DE6" w:rsidRPr="00842DE6">
              <w:rPr>
                <w:rFonts w:ascii="Arial" w:eastAsia="Calibri" w:hAnsi="Arial" w:cs="Arial"/>
                <w:szCs w:val="22"/>
              </w:rPr>
              <w:t xml:space="preserve"> Firm reputation is proxied by brand image (awards and recognition) and Big-4 auditor affiliation, while firm value is measured using Economic Value Added (EVA). CSR is measured using a CSR disclosure score, which represents an index calculated as the ratio between the number of items disclosed by the company and the total number of items required to be disclosed. Control variables include Return on Assets (ROA) and firm size. Applying these criteria resulted in a final sample of 51 companies, yielding 306 firm-year observations included in the empirical analysis.</w:t>
            </w:r>
            <w:r w:rsidR="000F592C" w:rsidRPr="00C4585A">
              <w:rPr>
                <w:rFonts w:ascii="Arial" w:eastAsia="Calibri" w:hAnsi="Arial" w:cs="Arial"/>
                <w:szCs w:val="22"/>
              </w:rPr>
              <w:t xml:space="preserve"> </w:t>
            </w:r>
          </w:p>
          <w:p w14:paraId="529C2A7F" w14:textId="31C86E28" w:rsidR="00BA1B01" w:rsidRPr="00C4585A" w:rsidRDefault="00BA1B01" w:rsidP="00842DE6">
            <w:pPr>
              <w:pStyle w:val="Body"/>
              <w:spacing w:after="0"/>
              <w:rPr>
                <w:rFonts w:ascii="Arial" w:eastAsia="Calibri" w:hAnsi="Arial" w:cs="Arial"/>
                <w:szCs w:val="22"/>
              </w:rPr>
            </w:pPr>
            <w:r w:rsidRPr="00C4585A">
              <w:rPr>
                <w:rFonts w:ascii="Arial" w:eastAsia="Calibri" w:hAnsi="Arial" w:cs="Arial"/>
                <w:b/>
                <w:szCs w:val="22"/>
              </w:rPr>
              <w:t>Place and Duration of Study:</w:t>
            </w:r>
            <w:r w:rsidR="00B8105B" w:rsidRPr="00C4585A">
              <w:rPr>
                <w:rFonts w:ascii="Arial" w:eastAsia="Calibri" w:hAnsi="Arial" w:cs="Arial"/>
                <w:szCs w:val="22"/>
              </w:rPr>
              <w:t xml:space="preserve"> </w:t>
            </w:r>
            <w:r w:rsidR="000F592C" w:rsidRPr="00C4585A">
              <w:rPr>
                <w:rFonts w:ascii="Arial" w:eastAsia="Calibri" w:hAnsi="Arial" w:cs="Arial"/>
                <w:szCs w:val="22"/>
              </w:rPr>
              <w:t xml:space="preserve">This study examines companies listed on the Indonesia Stock Exchange (IDX) over a </w:t>
            </w:r>
            <w:proofErr w:type="gramStart"/>
            <w:r w:rsidR="000F592C" w:rsidRPr="00C4585A">
              <w:rPr>
                <w:rFonts w:ascii="Arial" w:eastAsia="Calibri" w:hAnsi="Arial" w:cs="Arial"/>
                <w:szCs w:val="22"/>
              </w:rPr>
              <w:t>six year</w:t>
            </w:r>
            <w:proofErr w:type="gramEnd"/>
            <w:r w:rsidR="000F592C" w:rsidRPr="00C4585A">
              <w:rPr>
                <w:rFonts w:ascii="Arial" w:eastAsia="Calibri" w:hAnsi="Arial" w:cs="Arial"/>
                <w:szCs w:val="22"/>
              </w:rPr>
              <w:t xml:space="preserve"> period, spanning from </w:t>
            </w:r>
            <w:r w:rsidR="00B8105B" w:rsidRPr="00C4585A">
              <w:rPr>
                <w:rFonts w:ascii="Arial" w:eastAsia="Calibri" w:hAnsi="Arial" w:cs="Arial"/>
                <w:szCs w:val="22"/>
              </w:rPr>
              <w:t>201</w:t>
            </w:r>
            <w:r w:rsidR="00B11F52">
              <w:rPr>
                <w:rFonts w:ascii="Arial" w:eastAsia="Calibri" w:hAnsi="Arial" w:cs="Arial"/>
                <w:szCs w:val="22"/>
              </w:rPr>
              <w:t>7</w:t>
            </w:r>
            <w:r w:rsidR="000F592C" w:rsidRPr="00C4585A">
              <w:rPr>
                <w:rFonts w:ascii="Arial" w:eastAsia="Calibri" w:hAnsi="Arial" w:cs="Arial"/>
                <w:szCs w:val="22"/>
              </w:rPr>
              <w:t xml:space="preserve"> to </w:t>
            </w:r>
            <w:r w:rsidR="00B8105B" w:rsidRPr="00C4585A">
              <w:rPr>
                <w:rFonts w:ascii="Arial" w:eastAsia="Calibri" w:hAnsi="Arial" w:cs="Arial"/>
                <w:szCs w:val="22"/>
              </w:rPr>
              <w:t>202</w:t>
            </w:r>
            <w:r w:rsidR="00B11F52">
              <w:rPr>
                <w:rFonts w:ascii="Arial" w:eastAsia="Calibri" w:hAnsi="Arial" w:cs="Arial"/>
                <w:szCs w:val="22"/>
              </w:rPr>
              <w:t>2</w:t>
            </w:r>
            <w:r w:rsidR="00B8105B" w:rsidRPr="00C4585A">
              <w:rPr>
                <w:rFonts w:ascii="Arial" w:eastAsia="Calibri" w:hAnsi="Arial" w:cs="Arial"/>
                <w:szCs w:val="22"/>
              </w:rPr>
              <w:t xml:space="preserve">. </w:t>
            </w:r>
          </w:p>
          <w:p w14:paraId="4C172C84" w14:textId="6AD0EE9A" w:rsidR="00BA1B01" w:rsidRPr="00C4585A" w:rsidRDefault="00BA1B01" w:rsidP="00441B6F">
            <w:pPr>
              <w:pStyle w:val="Body"/>
              <w:spacing w:after="0"/>
              <w:rPr>
                <w:rFonts w:ascii="Arial" w:eastAsia="Calibri" w:hAnsi="Arial" w:cs="Arial"/>
                <w:szCs w:val="22"/>
              </w:rPr>
            </w:pPr>
            <w:r w:rsidRPr="00C4585A">
              <w:rPr>
                <w:rFonts w:ascii="Arial" w:eastAsia="Calibri" w:hAnsi="Arial" w:cs="Arial"/>
                <w:b/>
                <w:bCs/>
                <w:szCs w:val="22"/>
              </w:rPr>
              <w:t>Methodology:</w:t>
            </w:r>
            <w:r w:rsidRPr="00C4585A">
              <w:rPr>
                <w:rFonts w:ascii="Arial" w:eastAsia="Calibri" w:hAnsi="Arial" w:cs="Arial"/>
                <w:szCs w:val="22"/>
              </w:rPr>
              <w:t xml:space="preserve"> </w:t>
            </w:r>
            <w:r w:rsidR="003C7F78" w:rsidRPr="003C7F78">
              <w:rPr>
                <w:rFonts w:ascii="Arial" w:eastAsia="Calibri" w:hAnsi="Arial" w:cs="Arial"/>
                <w:szCs w:val="22"/>
              </w:rPr>
              <w:t>This study employed a panel data regression approach using observations from 51 firms over six years. The analysis began with descriptive statistics to capture the general characteristics of all variables. Model selection was then conducted through the Chow, Hausman, and Lagrange Multiplier (LM) tests to determine the most suitable estimation model. Afterward, hypothesis testing was performed to evaluate the relationships among variables, followed by a Sobel test to examine the mediating role of Corporate Social Responsibility (CSR) in linking firm reputation and firm value.</w:t>
            </w:r>
          </w:p>
          <w:p w14:paraId="3013B0C0" w14:textId="2768BFC6" w:rsidR="00BA1B01" w:rsidRPr="00C4585A" w:rsidRDefault="00BA1B01" w:rsidP="00AF59A2">
            <w:pPr>
              <w:pStyle w:val="Body"/>
              <w:spacing w:after="0"/>
              <w:rPr>
                <w:rFonts w:ascii="Arial" w:eastAsia="Calibri" w:hAnsi="Arial" w:cs="Arial"/>
                <w:b/>
                <w:bCs/>
                <w:szCs w:val="22"/>
              </w:rPr>
            </w:pPr>
            <w:r w:rsidRPr="00C4585A">
              <w:rPr>
                <w:rFonts w:ascii="Arial" w:eastAsia="Calibri" w:hAnsi="Arial" w:cs="Arial"/>
                <w:b/>
                <w:bCs/>
                <w:szCs w:val="22"/>
              </w:rPr>
              <w:t>Results:</w:t>
            </w:r>
            <w:r w:rsidR="00AF59A2">
              <w:t xml:space="preserve"> </w:t>
            </w:r>
            <w:r w:rsidR="00AF59A2" w:rsidRPr="00AF59A2">
              <w:rPr>
                <w:rFonts w:ascii="Arial" w:eastAsia="Calibri" w:hAnsi="Arial" w:cs="Arial"/>
                <w:szCs w:val="22"/>
              </w:rPr>
              <w:t>The empirical findings reveal that corporate reputation—measured through brand awards and the engagement of Big-4 auditors—exerts a positive and significant influence on firm value, as proxied by Economic Value Added (EVA). Moreover, corporate reputation demonstrates a significant effect on the extent of Corporate Social Responsibility (CSR) disclosure, while CSR itself significantly enhances firm value.</w:t>
            </w:r>
            <w:r w:rsidR="00AF59A2" w:rsidRPr="00AF59A2">
              <w:rPr>
                <w:rFonts w:ascii="Arial" w:eastAsia="Calibri" w:hAnsi="Arial" w:cs="Arial"/>
                <w:szCs w:val="22"/>
              </w:rPr>
              <w:t xml:space="preserve"> </w:t>
            </w:r>
            <w:r w:rsidR="00AF59A2" w:rsidRPr="00AF59A2">
              <w:rPr>
                <w:rFonts w:ascii="Arial" w:eastAsia="Calibri" w:hAnsi="Arial" w:cs="Arial"/>
                <w:szCs w:val="22"/>
              </w:rPr>
              <w:t>The mediation analysis using the Sobel test confirms that CSR acts as a statistically significant mediator in the relationship between corporate reputation and firm value. Specifically, the Sobel test results show values of 2.3335 (p = 0.0098) for the pathway Big-4 → CSR → Firm Value and 2.5606 (p = 0.0052) for the pathway Brand Image → CSR → Firm Value. These findings indicate that CSR serves as a strategic translation mechanism through which reputational assets are transformed into economic value, underscoring the pivotal role of CSR in linking intangible reputation factors to tangible financial performance among public companies in Indonesia.</w:t>
            </w:r>
          </w:p>
          <w:p w14:paraId="3DC5F699" w14:textId="07AF167A" w:rsidR="00505F06" w:rsidRPr="00C4585A" w:rsidRDefault="00BA1B01" w:rsidP="00AF59A2">
            <w:pPr>
              <w:pStyle w:val="Body"/>
              <w:spacing w:after="0"/>
              <w:rPr>
                <w:rFonts w:ascii="Arial" w:eastAsia="Calibri" w:hAnsi="Arial" w:cs="Arial"/>
                <w:szCs w:val="22"/>
              </w:rPr>
            </w:pPr>
            <w:r w:rsidRPr="00C4585A">
              <w:rPr>
                <w:rFonts w:ascii="Arial" w:eastAsia="Calibri" w:hAnsi="Arial" w:cs="Arial"/>
                <w:b/>
                <w:bCs/>
                <w:szCs w:val="22"/>
              </w:rPr>
              <w:lastRenderedPageBreak/>
              <w:t>Conclusion:</w:t>
            </w:r>
            <w:r w:rsidRPr="00C4585A">
              <w:rPr>
                <w:rFonts w:ascii="Arial" w:eastAsia="Calibri" w:hAnsi="Arial" w:cs="Arial"/>
                <w:szCs w:val="22"/>
              </w:rPr>
              <w:t xml:space="preserve"> </w:t>
            </w:r>
            <w:r w:rsidR="00A04AC4" w:rsidRPr="00C4585A">
              <w:rPr>
                <w:rFonts w:ascii="Arial" w:eastAsia="Calibri" w:hAnsi="Arial" w:cs="Arial"/>
                <w:szCs w:val="22"/>
              </w:rPr>
              <w:t>That corporate reputation has a significant positive effect on corporate value, both directly and indirectly through the disclosure of Corporate Social Responsibility (CSR) activities. Corporate reputation reflected in external awards and auditor affiliations contributes to increased transparency and credibility of CSR, which in turn increases the company's economic value as reflected in EVA. that CSR is not only a moral or legal obligation, but also a strategic tool to actualize the power of reputation into financial added value.</w:t>
            </w:r>
            <w:r w:rsidR="00277EBC">
              <w:rPr>
                <w:rFonts w:ascii="Arial" w:eastAsia="Calibri" w:hAnsi="Arial" w:cs="Arial"/>
                <w:szCs w:val="22"/>
              </w:rPr>
              <w:t xml:space="preserve"> </w:t>
            </w:r>
            <w:r w:rsidR="00277EBC" w:rsidRPr="00277EBC">
              <w:rPr>
                <w:rFonts w:ascii="Arial" w:eastAsia="Calibri" w:hAnsi="Arial" w:cs="Arial"/>
                <w:szCs w:val="22"/>
              </w:rPr>
              <w:t>The implications of this study emphasize the strategic importance of reputation management through the implementation of high-quality audit mechanisms and the active engagement of firms in sustainable business practices.</w:t>
            </w:r>
            <w:r w:rsidR="00277EBC">
              <w:rPr>
                <w:rFonts w:ascii="Arial" w:eastAsia="Calibri" w:hAnsi="Arial" w:cs="Arial"/>
                <w:szCs w:val="22"/>
              </w:rPr>
              <w:t xml:space="preserve"> And </w:t>
            </w:r>
            <w:r w:rsidR="00277EBC" w:rsidRPr="00277EBC">
              <w:rPr>
                <w:rFonts w:ascii="Arial" w:eastAsia="Calibri" w:hAnsi="Arial" w:cs="Arial"/>
                <w:szCs w:val="22"/>
              </w:rPr>
              <w:t>capital market authorities are encouraged to enhance the quality of oversight related to corporate reporting and to promote greater transparency through comprehensive information disclosure.</w:t>
            </w:r>
            <w:r w:rsidR="000F4783">
              <w:rPr>
                <w:rFonts w:ascii="Arial" w:eastAsia="Calibri" w:hAnsi="Arial" w:cs="Arial"/>
                <w:szCs w:val="22"/>
              </w:rPr>
              <w:t xml:space="preserve"> </w:t>
            </w:r>
            <w:r w:rsidR="000F4783" w:rsidRPr="000F4783">
              <w:rPr>
                <w:rFonts w:ascii="Arial" w:eastAsia="Calibri" w:hAnsi="Arial" w:cs="Arial"/>
                <w:szCs w:val="22"/>
              </w:rPr>
              <w:t>This research is limited to public companies listed on the Indonesia Stock Exchange (IDX) for the 2017–2022 period, and CSR measurement uses quantitative disclosure scores.</w:t>
            </w:r>
          </w:p>
        </w:tc>
      </w:tr>
    </w:tbl>
    <w:p w14:paraId="78AF6686" w14:textId="77777777" w:rsidR="00636EB2" w:rsidRPr="00C4585A" w:rsidRDefault="00636EB2" w:rsidP="00441B6F">
      <w:pPr>
        <w:pStyle w:val="Body"/>
        <w:spacing w:after="0"/>
        <w:rPr>
          <w:rFonts w:ascii="Arial" w:hAnsi="Arial" w:cs="Arial"/>
          <w:i/>
        </w:rPr>
      </w:pPr>
    </w:p>
    <w:p w14:paraId="7BFD1132" w14:textId="4A2E2F4C" w:rsidR="00A24E7E" w:rsidRPr="00C4585A" w:rsidRDefault="00A24E7E" w:rsidP="00441B6F">
      <w:pPr>
        <w:pStyle w:val="Body"/>
        <w:spacing w:after="0"/>
        <w:rPr>
          <w:rFonts w:ascii="Arial" w:hAnsi="Arial" w:cs="Arial"/>
          <w:i/>
        </w:rPr>
      </w:pPr>
      <w:r w:rsidRPr="00C4585A">
        <w:rPr>
          <w:rFonts w:ascii="Arial" w:hAnsi="Arial" w:cs="Arial"/>
          <w:i/>
        </w:rPr>
        <w:t>Keywords:</w:t>
      </w:r>
      <w:r w:rsidR="00A04AC4" w:rsidRPr="00C4585A">
        <w:t xml:space="preserve"> </w:t>
      </w:r>
      <w:r w:rsidR="00A04AC4" w:rsidRPr="00C4585A">
        <w:rPr>
          <w:rFonts w:ascii="Arial" w:hAnsi="Arial" w:cs="Arial"/>
          <w:i/>
        </w:rPr>
        <w:t xml:space="preserve">Firm reputation, CSR, firm value, </w:t>
      </w:r>
      <w:r w:rsidR="0080530D" w:rsidRPr="00C4585A">
        <w:rPr>
          <w:rFonts w:ascii="Arial" w:hAnsi="Arial" w:cs="Arial"/>
          <w:i/>
        </w:rPr>
        <w:t>brand image</w:t>
      </w:r>
      <w:r w:rsidR="00A04AC4" w:rsidRPr="00C4585A">
        <w:rPr>
          <w:rFonts w:ascii="Arial" w:hAnsi="Arial" w:cs="Arial"/>
          <w:i/>
        </w:rPr>
        <w:t xml:space="preserve">, </w:t>
      </w:r>
      <w:r w:rsidR="0080530D" w:rsidRPr="00C4585A">
        <w:rPr>
          <w:rFonts w:ascii="Arial" w:hAnsi="Arial" w:cs="Arial"/>
          <w:i/>
        </w:rPr>
        <w:t>big-4 Auditors, EVA</w:t>
      </w:r>
    </w:p>
    <w:p w14:paraId="3689A85F" w14:textId="77777777" w:rsidR="00790ADA" w:rsidRPr="00C4585A" w:rsidRDefault="00790ADA" w:rsidP="00441B6F">
      <w:pPr>
        <w:pStyle w:val="Body"/>
        <w:spacing w:after="0"/>
        <w:rPr>
          <w:rFonts w:ascii="Arial" w:hAnsi="Arial" w:cs="Arial"/>
          <w:i/>
        </w:rPr>
      </w:pPr>
    </w:p>
    <w:p w14:paraId="6F96B1E1" w14:textId="77777777" w:rsidR="0024282C" w:rsidRPr="00C4585A" w:rsidRDefault="0024282C" w:rsidP="00441B6F">
      <w:pPr>
        <w:pStyle w:val="Body"/>
        <w:spacing w:after="0"/>
        <w:rPr>
          <w:rFonts w:ascii="Arial" w:hAnsi="Arial" w:cs="Arial"/>
          <w:i/>
          <w:sz w:val="18"/>
        </w:rPr>
      </w:pPr>
    </w:p>
    <w:p w14:paraId="577F613A" w14:textId="69573590" w:rsidR="007F7B32" w:rsidRPr="00C4585A" w:rsidRDefault="00902823" w:rsidP="00441B6F">
      <w:pPr>
        <w:pStyle w:val="AbstHead"/>
        <w:spacing w:after="0"/>
        <w:jc w:val="both"/>
        <w:rPr>
          <w:rFonts w:ascii="Arial" w:hAnsi="Arial" w:cs="Arial"/>
        </w:rPr>
      </w:pPr>
      <w:r w:rsidRPr="00C4585A">
        <w:rPr>
          <w:rFonts w:ascii="Arial" w:hAnsi="Arial" w:cs="Arial"/>
        </w:rPr>
        <w:t xml:space="preserve">1. </w:t>
      </w:r>
      <w:r w:rsidR="00B01FCD" w:rsidRPr="00C4585A">
        <w:rPr>
          <w:rFonts w:ascii="Arial" w:hAnsi="Arial" w:cs="Arial"/>
        </w:rPr>
        <w:t>INTRODUCTION</w:t>
      </w:r>
      <w:r w:rsidR="007F7B32" w:rsidRPr="00C4585A">
        <w:rPr>
          <w:rFonts w:ascii="Arial" w:hAnsi="Arial" w:cs="Arial"/>
        </w:rPr>
        <w:t xml:space="preserve"> </w:t>
      </w:r>
    </w:p>
    <w:p w14:paraId="4CC1D938" w14:textId="77777777" w:rsidR="00790ADA" w:rsidRPr="00C4585A" w:rsidRDefault="00790ADA" w:rsidP="00441B6F">
      <w:pPr>
        <w:pStyle w:val="AbstHead"/>
        <w:spacing w:after="0"/>
        <w:jc w:val="both"/>
        <w:rPr>
          <w:rFonts w:ascii="Arial" w:hAnsi="Arial" w:cs="Arial"/>
        </w:rPr>
      </w:pPr>
    </w:p>
    <w:p w14:paraId="756DA3BB" w14:textId="77777777" w:rsidR="001650F0" w:rsidRPr="00C4585A" w:rsidRDefault="001650F0" w:rsidP="00154320">
      <w:pPr>
        <w:pStyle w:val="Body"/>
        <w:spacing w:after="0"/>
        <w:rPr>
          <w:rFonts w:ascii="Arial" w:hAnsi="Arial" w:cs="Arial"/>
        </w:rPr>
      </w:pPr>
      <w:r w:rsidRPr="00C4585A">
        <w:rPr>
          <w:rFonts w:ascii="Arial" w:hAnsi="Arial" w:cs="Arial"/>
        </w:rPr>
        <w:t>In today’s stakeholder-driven environment, firm value is increasingly shaped by intangible assets such as reputation and social legitimacy. Reputation, derived from brand perception, public awards, and affiliations with trusted audit institutions, serves as a crucial signal to investors and regulators. However, how this reputational capital translates into measurable firm value is still a crucial question for emerging markets, where transparency, governance structures, and investor protections vary significantly.</w:t>
      </w:r>
    </w:p>
    <w:p w14:paraId="2BBDE059" w14:textId="0A2F2BE8" w:rsidR="001650F0" w:rsidRPr="00C4585A" w:rsidRDefault="001650F0" w:rsidP="00154320">
      <w:pPr>
        <w:pStyle w:val="Body"/>
        <w:spacing w:after="0"/>
        <w:rPr>
          <w:rFonts w:ascii="Arial" w:hAnsi="Arial" w:cs="Arial"/>
        </w:rPr>
      </w:pPr>
      <w:r w:rsidRPr="00C4585A">
        <w:rPr>
          <w:rFonts w:ascii="Arial" w:hAnsi="Arial" w:cs="Arial"/>
        </w:rPr>
        <w:t>Corporate social responsibility (CSR) is often proposed as the channel through which intangible factors like reputation affect stakeholder trust and thus firm value. Firms may adopt CSR as a proactive strategy to institutionalize their reputational strength, thereby signaling alignment with societal expectations and long-term stakeholder orientation. In the context of Indonesia—a country characterized by regulatory evolution, rising investor activism, and growing ESG awareness—this mediation pathway warrants closer scrutiny. This paper seeks to explore the mediating role of CSR in the relationship between firm reputation and firm value, while providing empirical insights with theoretical and policy implications.</w:t>
      </w:r>
    </w:p>
    <w:p w14:paraId="7D0EEA99" w14:textId="77777777" w:rsidR="00B770C3" w:rsidRPr="00C4585A" w:rsidRDefault="00B770C3" w:rsidP="00154320">
      <w:pPr>
        <w:pStyle w:val="Body"/>
        <w:spacing w:after="0"/>
        <w:rPr>
          <w:rFonts w:ascii="Arial" w:hAnsi="Arial" w:cs="Arial"/>
        </w:rPr>
      </w:pPr>
    </w:p>
    <w:p w14:paraId="1A75B824" w14:textId="70849B36"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Literature Review and Hypothesis Development</w:t>
      </w:r>
    </w:p>
    <w:p w14:paraId="745B460D" w14:textId="77777777" w:rsidR="00334E24" w:rsidRPr="00317ACE" w:rsidRDefault="00334E24" w:rsidP="00B770C3">
      <w:pPr>
        <w:pStyle w:val="Body"/>
        <w:spacing w:after="0"/>
        <w:rPr>
          <w:rFonts w:ascii="Arial" w:hAnsi="Arial" w:cs="Arial"/>
          <w:b/>
          <w:bCs/>
          <w:sz w:val="22"/>
          <w:szCs w:val="22"/>
        </w:rPr>
      </w:pPr>
    </w:p>
    <w:p w14:paraId="312609F5" w14:textId="7AB5B378" w:rsidR="00154320" w:rsidRPr="00317ACE" w:rsidRDefault="00154320" w:rsidP="00B770C3">
      <w:pPr>
        <w:pStyle w:val="Body"/>
        <w:spacing w:after="0"/>
        <w:rPr>
          <w:rFonts w:ascii="Arial" w:hAnsi="Arial" w:cs="Arial"/>
          <w:b/>
          <w:bCs/>
          <w:sz w:val="22"/>
          <w:szCs w:val="22"/>
        </w:rPr>
      </w:pPr>
      <w:r w:rsidRPr="00317ACE">
        <w:rPr>
          <w:rFonts w:ascii="Arial" w:hAnsi="Arial" w:cs="Arial"/>
          <w:b/>
          <w:bCs/>
          <w:sz w:val="22"/>
          <w:szCs w:val="22"/>
        </w:rPr>
        <w:t>1.1 Firm Reputation and Firm Value</w:t>
      </w:r>
    </w:p>
    <w:p w14:paraId="1B58BD6B" w14:textId="04B6294B" w:rsidR="00154320" w:rsidRPr="00C4585A" w:rsidRDefault="00154320" w:rsidP="00334E24">
      <w:pPr>
        <w:pStyle w:val="Body"/>
        <w:spacing w:after="0"/>
        <w:rPr>
          <w:rFonts w:ascii="Arial" w:hAnsi="Arial" w:cs="Arial"/>
        </w:rPr>
      </w:pPr>
      <w:r w:rsidRPr="00C4585A">
        <w:rPr>
          <w:rFonts w:ascii="Arial" w:hAnsi="Arial" w:cs="Arial"/>
        </w:rPr>
        <w:t xml:space="preserve">Firm reputation represents a collective perception of a company’s credibility, integrity, and performance over time. It is accumulated through consistent stakeholder engagement, awards, governance practices, and third-party validation </w:t>
      </w:r>
      <w:r w:rsidR="008913E4" w:rsidRPr="00C4585A">
        <w:rPr>
          <w:rFonts w:ascii="Arial" w:hAnsi="Arial" w:cs="Arial"/>
        </w:rPr>
        <w:fldChar w:fldCharType="begin"/>
      </w:r>
      <w:r w:rsidR="008913E4" w:rsidRPr="00C4585A">
        <w:rPr>
          <w:rFonts w:ascii="Arial" w:hAnsi="Arial" w:cs="Arial"/>
        </w:rPr>
        <w:instrText xml:space="preserve"> ADDIN EN.CITE &lt;EndNote&gt;&lt;Cite&gt;&lt;Author&gt;Fombrun&lt;/Author&gt;&lt;Year&gt;1990&lt;/Year&gt;&lt;RecNum&gt;1189&lt;/RecNum&gt;&lt;DisplayText&gt;(Fombrun &amp;amp; Shanley, 1990)&lt;/DisplayText&gt;&lt;record&gt;&lt;rec-number&gt;1189&lt;/rec-number&gt;&lt;foreign-keys&gt;&lt;key app="EN" db-id="vad00f5scteex2eftaoxddt09d5ex9r9awed" timestamp="1692782868"&gt;1189&lt;/key&gt;&lt;/foreign-keys&gt;&lt;ref-type name="Journal Article"&gt;17&lt;/ref-type&gt;&lt;contributors&gt;&lt;authors&gt;&lt;author&gt;Fombrun, Charles &lt;/author&gt;&lt;author&gt;Shanley, Mark&lt;/author&gt;&lt;/authors&gt;&lt;/contributors&gt;&lt;titles&gt;&lt;title&gt;What&amp;apos;s in a Name? Reputation Building and Corporate Strategy&lt;/title&gt;&lt;secondary-title&gt;The Academy of Management Journal&lt;/secondary-title&gt;&lt;/titles&gt;&lt;periodical&gt;&lt;full-title&gt;The Academy of Management Journal&lt;/full-title&gt;&lt;/periodical&gt;&lt;pages&gt;233-258&lt;/pages&gt;&lt;volume&gt;33&lt;/volume&gt;&lt;number&gt;2&lt;/number&gt;&lt;section&gt;233&lt;/section&gt;&lt;dates&gt;&lt;year&gt;1990&lt;/year&gt;&lt;/dates&gt;&lt;urls&gt;&lt;related-urls&gt;&lt;url&gt;http://www.jstor.org/stable/256324?origin=JSTOR-pdf&lt;/url&gt;&lt;/related-urls&gt;&lt;/urls&gt;&lt;electronic-resource-num&gt;10.2307/256324 &lt;/electronic-resource-num&gt;&lt;/record&gt;&lt;/Cite&gt;&lt;/EndNote&gt;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(Fombrun &amp; Shanley, 1990)</w:t>
      </w:r>
      <w:r w:rsidR="008913E4" w:rsidRPr="00C4585A">
        <w:rPr>
          <w:rFonts w:ascii="Arial" w:hAnsi="Arial" w:cs="Arial"/>
        </w:rPr>
        <w:fldChar w:fldCharType="end"/>
      </w:r>
      <w:r w:rsidRPr="00C4585A">
        <w:rPr>
          <w:rFonts w:ascii="Arial" w:hAnsi="Arial" w:cs="Arial"/>
        </w:rPr>
        <w:t>. In financial markets, high-reputation firms are often favored by institutional investors, benefit from lower capital costs, and exhibit higher valuation multiples. Several empirical studies confirm a positive link between reputation and firm performance, but mechanisms remain under debate.</w:t>
      </w:r>
    </w:p>
    <w:p w14:paraId="016C93E6" w14:textId="7C96AE20" w:rsidR="00937408" w:rsidRPr="00C4585A" w:rsidRDefault="00937408" w:rsidP="00334E24">
      <w:pPr>
        <w:pStyle w:val="Body"/>
        <w:spacing w:after="0"/>
        <w:rPr>
          <w:rFonts w:ascii="Arial" w:hAnsi="Arial" w:cs="Arial"/>
        </w:rPr>
      </w:pPr>
      <w:r w:rsidRPr="00C4585A">
        <w:rPr>
          <w:rFonts w:ascii="Arial" w:hAnsi="Arial" w:cs="Arial"/>
        </w:rPr>
        <w:t>In Indonesia, where brand trust is crucial due to information asymmetry and limited law enforcement, corporate reputation is generally proxied using brand recognition indicators and Big-4 auditor engagement. Both indicators reflect external validation and internal compliance.</w:t>
      </w:r>
    </w:p>
    <w:p w14:paraId="0B082F98" w14:textId="77777777" w:rsidR="00937408" w:rsidRPr="00C4585A" w:rsidRDefault="00937408" w:rsidP="00334E24">
      <w:pPr>
        <w:pStyle w:val="Body"/>
        <w:spacing w:after="0"/>
        <w:rPr>
          <w:rFonts w:ascii="Arial" w:hAnsi="Arial" w:cs="Arial"/>
        </w:rPr>
      </w:pPr>
    </w:p>
    <w:p w14:paraId="5ED3AC3F" w14:textId="2FEC3E6D" w:rsidR="00D54BDD" w:rsidRPr="00C4585A" w:rsidRDefault="00D54BDD" w:rsidP="00334E24">
      <w:pPr>
        <w:pStyle w:val="Body"/>
        <w:spacing w:after="0"/>
        <w:rPr>
          <w:rFonts w:ascii="Arial" w:hAnsi="Arial" w:cs="Arial"/>
          <w:b/>
          <w:bCs/>
        </w:rPr>
      </w:pPr>
      <w:r w:rsidRPr="00C4585A">
        <w:rPr>
          <w:rFonts w:ascii="Arial" w:hAnsi="Arial" w:cs="Arial"/>
          <w:b/>
          <w:bCs/>
        </w:rPr>
        <w:t>1.1</w:t>
      </w:r>
      <w:r w:rsidR="00087AEF" w:rsidRPr="00C4585A">
        <w:rPr>
          <w:rFonts w:ascii="Arial" w:hAnsi="Arial" w:cs="Arial"/>
          <w:b/>
          <w:bCs/>
        </w:rPr>
        <w:t>.1</w:t>
      </w:r>
      <w:r w:rsidRPr="00C4585A">
        <w:rPr>
          <w:rFonts w:ascii="Arial" w:hAnsi="Arial" w:cs="Arial"/>
          <w:b/>
          <w:bCs/>
        </w:rPr>
        <w:t xml:space="preserve"> Relationship between Big-4 KAP Audit and Firm Value</w:t>
      </w:r>
    </w:p>
    <w:p w14:paraId="36677B4D" w14:textId="1C37A25E" w:rsidR="00154320" w:rsidRPr="00C4585A" w:rsidRDefault="00D54BDD" w:rsidP="00334E24">
      <w:pPr>
        <w:pStyle w:val="Body"/>
        <w:spacing w:after="0"/>
        <w:rPr>
          <w:rFonts w:ascii="Arial" w:hAnsi="Arial" w:cs="Arial"/>
        </w:rPr>
      </w:pPr>
      <w:r w:rsidRPr="00C4585A">
        <w:rPr>
          <w:rFonts w:ascii="Arial" w:hAnsi="Arial" w:cs="Arial"/>
        </w:rPr>
        <w:t xml:space="preserve">Audits by Big-4 Public Accounting Firms (KAP), namely Deloitte, PwC, EY, and KPMG, represent a representation of external reputation and quality assurance for a company's financial statements. Within the framework of Signaling Theory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 xml:space="preserve">, the involvement of Big-4 public accounting firms sends a positive signal to investors and stakeholders regarding the company's credibility, as well as quality assurance that can reduce </w:t>
      </w:r>
      <w:r w:rsidRPr="00C4585A">
        <w:rPr>
          <w:rFonts w:ascii="Arial" w:hAnsi="Arial" w:cs="Arial"/>
        </w:rPr>
        <w:lastRenderedPageBreak/>
        <w:t xml:space="preserve">information risk, thereby increasing market confidence, ultimately increasing firm value. </w:t>
      </w:r>
      <w:r w:rsidR="008913E4" w:rsidRPr="00C4585A">
        <w:rPr>
          <w:rFonts w:ascii="Arial" w:hAnsi="Arial" w:cs="Arial"/>
        </w:rPr>
        <w:fldChar w:fldCharType="begin"/>
      </w:r>
      <w:r w:rsidR="008913E4" w:rsidRPr="00C4585A">
        <w:rPr>
          <w:rFonts w:ascii="Arial" w:hAnsi="Arial" w:cs="Arial"/>
        </w:rPr>
        <w:instrText xml:space="preserve"> ADDIN EN.CITE &lt;EndNote&gt;&lt;Cite AuthorYear="1"&gt;&lt;Author&gt;Natalia&lt;/Author&gt;&lt;Year&gt;2024&lt;/Year&gt;&lt;RecNum&gt;7254&lt;/RecNum&gt;&lt;DisplayText&gt;Natalia et al. (2024)&lt;/DisplayText&gt;&lt;record&gt;&lt;rec-number&gt;7254&lt;/rec-number&gt;&lt;foreign-keys&gt;&lt;key app="EN" db-id="vad00f5scteex2eftaoxddt09d5ex9r9awed" timestamp="1760060128"&gt;7254&lt;/key&gt;&lt;/foreign-keys&gt;&lt;ref-type name="Conference Proceedings"&gt;10&lt;/ref-type&gt;&lt;contributors&gt;&lt;authors&gt;&lt;author&gt;Natalia, Lita., &lt;/author&gt;&lt;author&gt;Widarsono, Agus., &lt;/author&gt;&lt;author&gt;Widyaningsih, Aristanti.&lt;/author&gt;&lt;/authors&gt;&lt;/contributors&gt;&lt;titles&gt;&lt;title&gt;The Role Of Auditee, Auditor, and Angagement To Audit Fee at SOEs&lt;/title&gt;&lt;secondary-title&gt;International Conference on Accounting &amp;amp; Finance&lt;/secondary-title&gt;&lt;/titles&gt;&lt;pages&gt;11-24&lt;/pages&gt;&lt;volume&gt;2&lt;/volume&gt;&lt;dates&gt;&lt;year&gt;2024&lt;/year&gt;&lt;/dates&gt;&lt;pub-location&gt;Departemen Akuntansi, Fakultas Bisnis &amp;amp; Ekonomi, Universitas Islam Indonesia.&lt;/pub-location&gt;&lt;urls&gt;&lt;/urls&gt;&lt;/record&gt;&lt;/Cite&gt;&lt;/EndNote&gt;</w:instrText>
      </w:r>
      <w:r w:rsidR="008913E4" w:rsidRPr="00C4585A">
        <w:rPr>
          <w:rFonts w:ascii="Arial" w:hAnsi="Arial" w:cs="Arial"/>
        </w:rPr>
        <w:fldChar w:fldCharType="separate"/>
      </w:r>
      <w:r w:rsidR="008913E4" w:rsidRPr="00C4585A">
        <w:rPr>
          <w:rFonts w:ascii="Arial" w:hAnsi="Arial" w:cs="Arial"/>
          <w:noProof/>
        </w:rPr>
        <w:t>Natalia et al. (2024)</w:t>
      </w:r>
      <w:r w:rsidR="008913E4" w:rsidRPr="00C4585A">
        <w:rPr>
          <w:rFonts w:ascii="Arial" w:hAnsi="Arial" w:cs="Arial"/>
        </w:rPr>
        <w:fldChar w:fldCharType="end"/>
      </w:r>
      <w:r w:rsidRPr="00C4585A">
        <w:rPr>
          <w:rFonts w:ascii="Arial" w:hAnsi="Arial" w:cs="Arial"/>
        </w:rPr>
        <w:t xml:space="preserve"> assessed that due to their higher reputation and quality expectations, audit fees for companies using Big-4 public accounting firms tend to be higher. And generally, due to their scale and international exposure, they have higher technical capabilities, training, and quality human resources </w:t>
      </w:r>
      <w:r w:rsidR="008913E4" w:rsidRPr="00C4585A">
        <w:rPr>
          <w:rFonts w:ascii="Arial" w:hAnsi="Arial" w:cs="Arial"/>
        </w:rPr>
        <w:fldChar w:fldCharType="begin"/>
      </w:r>
      <w:r w:rsidR="008913E4" w:rsidRPr="00C4585A">
        <w:rPr>
          <w:rFonts w:ascii="Arial" w:hAnsi="Arial" w:cs="Arial"/>
        </w:rPr>
        <w:instrText xml:space="preserve"> ADDIN EN.CITE &lt;EndNote&gt;&lt;Cite&gt;&lt;Author&gt;Hidayah&lt;/Author&gt;&lt;Year&gt;2021&lt;/Year&gt;&lt;RecNum&gt;7255&lt;/RecNum&gt;&lt;DisplayText&gt;(Hidayah et al., 2021)&lt;/DisplayText&gt;&lt;record&gt;&lt;rec-number&gt;7255&lt;/rec-number&gt;&lt;foreign-keys&gt;&lt;key app="EN" db-id="vad00f5scteex2eftaoxddt09d5ex9r9awed" timestamp="1760061972"&gt;7255&lt;/key&gt;&lt;/foreign-keys&gt;&lt;ref-type name="Conference Paper"&gt;47&lt;/ref-type&gt;&lt;contributors&gt;&lt;authors&gt;&lt;author&gt;Hidayah, Retnoningrum&lt;/author&gt;&lt;author&gt;Darmawan, Wisnu&lt;/author&gt;&lt;author&gt;Suryarini, Trisni&lt;/author&gt;&lt;author&gt;Suryandari, Dhini&lt;/author&gt;&lt;author&gt;Rahayu, Rita&lt;/author&gt;&lt;/authors&gt;&lt;/contributors&gt;&lt;titles&gt;&lt;title&gt;The Effect of the Size of Public Accounting Firms (KAP) and Specialist Auditors on Audit Quality with the Audit Committee as a Moderating Variable&lt;/title&gt;&lt;secondary-title&gt;Proceedings of the 3rd International Conference on Economics, Business and Economic Education Science, ICE-BEES 2020, 22-23 July 2020, Semarang, Indonesia&lt;/secondary-title&gt;&lt;/titles&gt;&lt;dates&gt;&lt;year&gt;2021&lt;/year&gt;&lt;/dates&gt;&lt;urls&gt;&lt;/urls&gt;&lt;electronic-resource-num&gt;10.4108/eai.22-7-2020.2307931&lt;/electronic-resource-num&gt;&lt;/record&gt;&lt;/Cite&gt;&lt;/EndNote&gt;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(Hidayah et al., 2021)</w:t>
      </w:r>
      <w:r w:rsidR="008913E4" w:rsidRPr="00C4585A">
        <w:rPr>
          <w:rFonts w:ascii="Arial" w:hAnsi="Arial" w:cs="Arial"/>
        </w:rPr>
        <w:fldChar w:fldCharType="end"/>
      </w:r>
      <w:r w:rsidRPr="00C4585A">
        <w:rPr>
          <w:rFonts w:ascii="Arial" w:hAnsi="Arial" w:cs="Arial"/>
        </w:rPr>
        <w:t>. Based on this, we propose the following hypothesis:</w:t>
      </w:r>
    </w:p>
    <w:p w14:paraId="63955EAA" w14:textId="69ED5EFE" w:rsidR="00D54BDD" w:rsidRPr="00C4585A" w:rsidRDefault="00A706A8" w:rsidP="00334E24">
      <w:pPr>
        <w:pStyle w:val="Body"/>
        <w:spacing w:after="0"/>
        <w:rPr>
          <w:rFonts w:ascii="Arial" w:hAnsi="Arial" w:cs="Arial"/>
        </w:rPr>
      </w:pPr>
      <w:r>
        <w:rPr>
          <w:rFonts w:ascii="Arial" w:hAnsi="Arial" w:cs="Arial"/>
        </w:rPr>
        <w:t>Hypothesis 0:</w:t>
      </w:r>
      <w:r w:rsidRPr="00A706A8">
        <w:rPr>
          <w:rFonts w:ascii="Arial" w:hAnsi="Arial" w:cs="Arial"/>
        </w:rPr>
        <w:t xml:space="preserve"> Big-4 KAP </w:t>
      </w:r>
      <w:r>
        <w:rPr>
          <w:rFonts w:ascii="Arial" w:hAnsi="Arial" w:cs="Arial"/>
        </w:rPr>
        <w:t>A</w:t>
      </w:r>
      <w:r w:rsidRPr="00A706A8">
        <w:rPr>
          <w:rFonts w:ascii="Arial" w:hAnsi="Arial" w:cs="Arial"/>
        </w:rPr>
        <w:t xml:space="preserve">udit do not have a positive effect on </w:t>
      </w:r>
      <w:r>
        <w:rPr>
          <w:rFonts w:ascii="Arial" w:hAnsi="Arial" w:cs="Arial"/>
        </w:rPr>
        <w:t>firm</w:t>
      </w:r>
      <w:r w:rsidRPr="00A706A8">
        <w:rPr>
          <w:rFonts w:ascii="Arial" w:hAnsi="Arial" w:cs="Arial"/>
        </w:rPr>
        <w:t xml:space="preserve"> value.</w:t>
      </w:r>
    </w:p>
    <w:p w14:paraId="3AF2131D" w14:textId="699CCA5E" w:rsidR="00154320" w:rsidRPr="00C4585A" w:rsidRDefault="00154320" w:rsidP="00334E24">
      <w:pPr>
        <w:pStyle w:val="Body"/>
        <w:spacing w:after="0"/>
        <w:rPr>
          <w:rFonts w:ascii="Arial" w:hAnsi="Arial" w:cs="Arial"/>
        </w:rPr>
      </w:pPr>
      <w:r w:rsidRPr="00C4585A">
        <w:rPr>
          <w:rFonts w:ascii="Arial" w:hAnsi="Arial" w:cs="Arial"/>
        </w:rPr>
        <w:t>Hypothesis 1:</w:t>
      </w:r>
      <w:r w:rsidR="00D54BDD" w:rsidRPr="00C4585A">
        <w:t xml:space="preserve"> </w:t>
      </w:r>
      <w:r w:rsidR="00D54BDD" w:rsidRPr="00C4585A">
        <w:rPr>
          <w:rFonts w:ascii="Arial" w:hAnsi="Arial" w:cs="Arial"/>
        </w:rPr>
        <w:t xml:space="preserve">Big-4 </w:t>
      </w:r>
      <w:r w:rsidR="006F7392" w:rsidRPr="00C4585A">
        <w:t>KAP Audit</w:t>
      </w:r>
      <w:r w:rsidR="006F7392" w:rsidRPr="00C4585A">
        <w:rPr>
          <w:rFonts w:ascii="Arial" w:hAnsi="Arial" w:cs="Arial"/>
        </w:rPr>
        <w:t xml:space="preserve"> </w:t>
      </w:r>
      <w:r w:rsidR="00D54BDD" w:rsidRPr="00C4585A">
        <w:rPr>
          <w:rFonts w:ascii="Arial" w:hAnsi="Arial" w:cs="Arial"/>
        </w:rPr>
        <w:t>have a positive effect on firm value.</w:t>
      </w:r>
    </w:p>
    <w:p w14:paraId="2EEE53C5" w14:textId="77777777" w:rsidR="00334E24" w:rsidRPr="00C4585A" w:rsidRDefault="00334E24" w:rsidP="00334E24">
      <w:pPr>
        <w:pStyle w:val="Body"/>
        <w:spacing w:after="0"/>
        <w:rPr>
          <w:rFonts w:ascii="Arial" w:hAnsi="Arial" w:cs="Arial"/>
        </w:rPr>
      </w:pPr>
    </w:p>
    <w:p w14:paraId="0AB04F23" w14:textId="642B7F3A" w:rsidR="006F7392" w:rsidRPr="00C4585A" w:rsidRDefault="006F7392" w:rsidP="00334E24">
      <w:pPr>
        <w:pStyle w:val="Body"/>
        <w:spacing w:after="0"/>
        <w:rPr>
          <w:rFonts w:ascii="Arial" w:hAnsi="Arial" w:cs="Arial"/>
          <w:b/>
          <w:bCs/>
        </w:rPr>
      </w:pPr>
      <w:r w:rsidRPr="00C4585A">
        <w:rPr>
          <w:rFonts w:ascii="Arial" w:hAnsi="Arial" w:cs="Arial"/>
          <w:b/>
          <w:bCs/>
        </w:rPr>
        <w:t>1.</w:t>
      </w:r>
      <w:r w:rsidR="00087AEF" w:rsidRPr="00C4585A">
        <w:rPr>
          <w:rFonts w:ascii="Arial" w:hAnsi="Arial" w:cs="Arial"/>
          <w:b/>
          <w:bCs/>
        </w:rPr>
        <w:t>1.</w:t>
      </w:r>
      <w:r w:rsidRPr="00C4585A">
        <w:rPr>
          <w:rFonts w:ascii="Arial" w:hAnsi="Arial" w:cs="Arial"/>
          <w:b/>
          <w:bCs/>
        </w:rPr>
        <w:t>2 Relationship between Brand Image and Firm Value</w:t>
      </w:r>
    </w:p>
    <w:p w14:paraId="1003638C" w14:textId="6DEB0352" w:rsidR="006F7392" w:rsidRPr="00C4585A" w:rsidRDefault="006F7392" w:rsidP="006F7392">
      <w:pPr>
        <w:pStyle w:val="Body"/>
        <w:spacing w:after="0"/>
        <w:rPr>
          <w:rFonts w:ascii="Arial" w:hAnsi="Arial" w:cs="Arial"/>
        </w:rPr>
      </w:pPr>
      <w:r w:rsidRPr="00C4585A">
        <w:rPr>
          <w:rFonts w:ascii="Arial" w:hAnsi="Arial" w:cs="Arial"/>
        </w:rPr>
        <w:t xml:space="preserve">Brand image is the public's perception of a company's reputation and brand value, reflecting consumer image, corporate values, and strategic differentiation. From the RBV perspective, brand image is an intangible resource that creates competitive advantage. Meanwhile, in Signaling Theory, brand image serves as a market signal regarding a company's quality and integrity </w:t>
      </w:r>
      <w:r w:rsidR="008913E4" w:rsidRPr="00C4585A">
        <w:rPr>
          <w:rFonts w:ascii="Arial" w:hAnsi="Arial" w:cs="Arial"/>
        </w:rPr>
        <w:fldChar w:fldCharType="begin"/>
      </w:r>
      <w:r w:rsidR="008913E4" w:rsidRPr="00C4585A">
        <w:rPr>
          <w:rFonts w:ascii="Arial" w:hAnsi="Arial" w:cs="Arial"/>
        </w:rPr>
        <w:instrText xml:space="preserve"> ADDIN EN.CITE &lt;EndNote&gt;&lt;Cite&gt;&lt;Author&gt;Connelly&lt;/Author&gt;&lt;Year&gt;2011&lt;/Year&gt;&lt;RecNum&gt;1149&lt;/RecNum&gt;&lt;DisplayText&gt;(Connelly et al., 2011)&lt;/DisplayText&gt;&lt;record&gt;&lt;rec-number&gt;1149&lt;/rec-number&gt;&lt;foreign-keys&gt;&lt;key app="EN" db-id="vad00f5scteex2eftaoxddt09d5ex9r9awed" timestamp="1692260642"&gt;1149&lt;/key&gt;&lt;/foreign-keys&gt;&lt;ref-type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section&gt;39&lt;/section&gt;&lt;dates&gt;&lt;year&gt;2011&lt;/year&gt;&lt;/dates&gt;&lt;isbn&gt;0149-2063&amp;#xD;1557-1211&lt;/isbn&gt;&lt;urls&gt;&lt;/urls&gt;&lt;electronic-resource-num&gt;10.1177/0149206310388419&lt;/electronic-resource-num&gt;&lt;/record&gt;&lt;/Cite&gt;&lt;/EndNote&gt;</w:instrText>
      </w:r>
      <w:r w:rsidR="008913E4" w:rsidRPr="00C4585A">
        <w:rPr>
          <w:rFonts w:ascii="Arial" w:hAnsi="Arial" w:cs="Arial"/>
        </w:rPr>
        <w:fldChar w:fldCharType="separate"/>
      </w:r>
      <w:r w:rsidR="008913E4" w:rsidRPr="00C4585A">
        <w:rPr>
          <w:rFonts w:ascii="Arial" w:hAnsi="Arial" w:cs="Arial"/>
          <w:noProof/>
        </w:rPr>
        <w:t>(Connelly et al., 2011)</w:t>
      </w:r>
      <w:r w:rsidR="008913E4" w:rsidRPr="00C4585A">
        <w:rPr>
          <w:rFonts w:ascii="Arial" w:hAnsi="Arial" w:cs="Arial"/>
        </w:rPr>
        <w:fldChar w:fldCharType="end"/>
      </w:r>
      <w:r w:rsidRPr="00C4585A">
        <w:rPr>
          <w:rFonts w:ascii="Arial" w:hAnsi="Arial" w:cs="Arial"/>
        </w:rPr>
        <w:t>.</w:t>
      </w:r>
    </w:p>
    <w:p w14:paraId="6801EF21" w14:textId="721F6D42" w:rsidR="006F7392" w:rsidRPr="00C4585A" w:rsidRDefault="006F7392" w:rsidP="006F7392">
      <w:pPr>
        <w:pStyle w:val="Body"/>
        <w:spacing w:after="0"/>
        <w:rPr>
          <w:rFonts w:ascii="Arial" w:hAnsi="Arial" w:cs="Arial"/>
        </w:rPr>
      </w:pPr>
      <w:r w:rsidRPr="00C4585A">
        <w:rPr>
          <w:rFonts w:ascii="Arial" w:hAnsi="Arial" w:cs="Arial"/>
        </w:rPr>
        <w:t xml:space="preserve">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AuthorYear="1"&gt;&lt;Author&gt;Keller&lt;/Author&gt;&lt;Year&gt;1993&lt;/Year&gt;&lt;RecNum&gt;7117&lt;/RecNum&gt;&lt;DisplayText&gt;Keller (1993)&lt;/DisplayText&gt;&lt;record&gt;&lt;rec-number&gt;7117&lt;/rec-number&gt;&lt;foreign-keys&gt;&lt;key app="EN" db-id="vad00f5scteex2eftaoxddt09d5ex9r9awed" timestamp="1742022594"&gt;7117&lt;/key&gt;&lt;/foreign-keys&gt;&lt;ref-type name="Journal Article"&gt;17&lt;/ref-type&gt;&lt;contributors&gt;&lt;authors&gt;&lt;author&gt;Keller, Kevin Lane&lt;/author&gt;&lt;/authors&gt;&lt;/contributors&gt;&lt;titles&gt;&lt;title&gt;Conceptualizing, Measuring, and Managing Customer-Based Brand Equity&lt;/title&gt;&lt;secondary-title&gt;Journal of Marketing&lt;/secondary-title&gt;&lt;/titles&gt;&lt;periodical&gt;&lt;full-title&gt;Journal of Marketing&lt;/full-title&gt;&lt;/periodical&gt;&lt;pages&gt;1-22&lt;/pages&gt;&lt;volume&gt;57&lt;/volume&gt;&lt;dates&gt;&lt;year&gt;1993&lt;/year&gt;&lt;/dates&gt;&lt;urls&gt;&lt;/urls&gt;&lt;/record&gt;&lt;/Cite&gt;&lt;/EndNote&gt;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Keller (1993)</w:t>
      </w:r>
      <w:r w:rsidR="000E706E" w:rsidRPr="00C4585A">
        <w:rPr>
          <w:rFonts w:ascii="Arial" w:hAnsi="Arial" w:cs="Arial"/>
        </w:rPr>
        <w:fldChar w:fldCharType="end"/>
      </w:r>
      <w:r w:rsidRPr="00C4585A">
        <w:rPr>
          <w:rFonts w:ascii="Arial" w:hAnsi="Arial" w:cs="Arial"/>
        </w:rPr>
        <w:t xml:space="preserve">,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AuthorYear="1"&gt;&lt;Author&gt;Morgan&lt;/Author&gt;&lt;Year&gt;2009&lt;/Year&gt;&lt;RecNum&gt;7121&lt;/RecNum&gt;&lt;DisplayText&gt;Morgan and Rego (2009)&lt;/DisplayText&gt;&lt;record&gt;&lt;rec-number&gt;7121&lt;/rec-number&gt;&lt;foreign-keys&gt;&lt;key app="EN" db-id="vad00f5scteex2eftaoxddt09d5ex9r9awed" timestamp="1742263255"&gt;7121&lt;/key&gt;&lt;/foreign-keys&gt;&lt;ref-type name="Journal Article"&gt;17&lt;/ref-type&gt;&lt;contributors&gt;&lt;authors&gt;&lt;author&gt;Morgan, Neil A&lt;/author&gt;&lt;author&gt;Rego, Lopo L&lt;/author&gt;&lt;/authors&gt;&lt;/contributors&gt;&lt;titles&gt;&lt;title&gt;Brand Portfolio Strategy And Firm Performance&lt;/title&gt;&lt;secondary-title&gt;Journal of Marketing&lt;/secondary-title&gt;&lt;/titles&gt;&lt;periodical&gt;&lt;full-title&gt;Journal of Marketing&lt;/full-title&gt;&lt;/periodical&gt;&lt;pages&gt;59-74&lt;/pages&gt;&lt;volume&gt;73&lt;/volume&gt;&lt;number&gt;1&lt;/number&gt;&lt;dates&gt;&lt;year&gt;2009&lt;/year&gt;&lt;/dates&gt;&lt;isbn&gt;0022-2429&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Morgan and Rego (2009)</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AuthorYear="1"&gt;&lt;Author&gt;Mizik&lt;/Author&gt;&lt;Year&gt;2008&lt;/Year&gt;&lt;RecNum&gt;7119&lt;/RecNum&gt;&lt;DisplayText&gt;Mizik and Jacobson (2008)&lt;/DisplayText&gt;&lt;record&gt;&lt;rec-number&gt;7119&lt;/rec-number&gt;&lt;foreign-keys&gt;&lt;key app="EN" db-id="vad00f5scteex2eftaoxddt09d5ex9r9awed" timestamp="1742262784"&gt;7119&lt;/key&gt;&lt;/foreign-keys&gt;&lt;ref-type name="Journal Article"&gt;17&lt;/ref-type&gt;&lt;contributors&gt;&lt;authors&gt;&lt;author&gt;Mizik, Natalie&lt;/author&gt;&lt;author&gt;Jacobson, Robert&lt;/author&gt;&lt;/authors&gt;&lt;/contributors&gt;&lt;titles&gt;&lt;title&gt;The Financial Value Impact of Perceptual Brand Attributes&lt;/title&gt;&lt;secondary-title&gt;Journal of Marketing Research&lt;/secondary-title&gt;&lt;/titles&gt;&lt;periodical&gt;&lt;full-title&gt;Journal of marketing research&lt;/full-title&gt;&lt;/periodical&gt;&lt;pages&gt;15-32&lt;/pages&gt;&lt;volume&gt;45&lt;/volume&gt;&lt;number&gt;1&lt;/number&gt;&lt;dates&gt;&lt;year&gt;2008&lt;/year&gt;&lt;/dates&gt;&lt;isbn&gt;0022-2437&lt;/isbn&gt;&lt;urls&gt;&lt;/urls&gt;&lt;/record&gt;&lt;/Cite&gt;&lt;/EndNote&gt;</w:instrText>
      </w:r>
      <w:r w:rsidR="000E706E" w:rsidRPr="00C4585A">
        <w:rPr>
          <w:rFonts w:ascii="Arial" w:hAnsi="Arial" w:cs="Arial"/>
        </w:rPr>
        <w:fldChar w:fldCharType="separate"/>
      </w:r>
      <w:r w:rsidR="000E706E" w:rsidRPr="00C4585A">
        <w:rPr>
          <w:rFonts w:ascii="Arial" w:hAnsi="Arial" w:cs="Arial"/>
          <w:noProof/>
        </w:rPr>
        <w:t>Mizik and Jacobson (2008)</w:t>
      </w:r>
      <w:r w:rsidR="000E706E" w:rsidRPr="00C4585A">
        <w:rPr>
          <w:rFonts w:ascii="Arial" w:hAnsi="Arial" w:cs="Arial"/>
        </w:rPr>
        <w:fldChar w:fldCharType="end"/>
      </w:r>
      <w:r w:rsidRPr="00C4585A">
        <w:rPr>
          <w:rFonts w:ascii="Arial" w:hAnsi="Arial" w:cs="Arial"/>
        </w:rPr>
        <w:t xml:space="preserve"> shows that a strong brand image is positively correlated with firm value. Similarly, research by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AuthorYear="1"&gt;&lt;Author&gt;Martínez&lt;/Author&gt;&lt;Year&gt;2013&lt;/Year&gt;&lt;RecNum&gt;7155&lt;/RecNum&gt;&lt;DisplayText&gt;Martínez and Rodríguez del Bosque (2013)&lt;/DisplayText&gt;&lt;record&gt;&lt;rec-number&gt;7155&lt;/rec-number&gt;&lt;foreign-keys&gt;&lt;key app="EN" db-id="vad00f5scteex2eftaoxddt09d5ex9r9awed" timestamp="1744610309"&gt;7155&lt;/key&gt;&lt;/foreign-keys&gt;&lt;ref-type name="Journal Article"&gt;17&lt;/ref-type&gt;&lt;contributors&gt;&lt;authors&gt;&lt;author&gt;Martínez, Patricia&lt;/author&gt;&lt;author&gt;Rodríguez del Bosque, Ignacio&lt;/author&gt;&lt;/authors&gt;&lt;/contributors&gt;&lt;titles&gt;&lt;title&gt;CSR And Customer Loyalty: The Roles Of Trust, Customer Identification With The Company And Satisfaction&lt;/title&gt;&lt;secondary-title&gt;International Journal of Hospitality Management&lt;/secondary-title&gt;&lt;/titles&gt;&lt;periodical&gt;&lt;full-title&gt;International Journal of Hospitality Management&lt;/full-title&gt;&lt;/periodical&gt;&lt;pages&gt;89-99&lt;/pages&gt;&lt;volume&gt;35&lt;/volume&gt;&lt;section&gt;89&lt;/section&gt;&lt;dates&gt;&lt;year&gt;2013&lt;/year&gt;&lt;/dates&gt;&lt;isbn&gt;02784319&lt;/isbn&gt;&lt;urls&gt;&lt;/urls&gt;&lt;electronic-resource-num&gt;10.1016/j.ijhm.2013.05.009&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Martínez and Rodríguez del Bosque (2013)</w:t>
      </w:r>
      <w:r w:rsidR="000E706E" w:rsidRPr="00C4585A">
        <w:rPr>
          <w:rFonts w:ascii="Arial" w:hAnsi="Arial" w:cs="Arial"/>
        </w:rPr>
        <w:fldChar w:fldCharType="end"/>
      </w:r>
      <w:r w:rsidRPr="00C4585A">
        <w:rPr>
          <w:rFonts w:ascii="Arial" w:hAnsi="Arial" w:cs="Arial"/>
        </w:rPr>
        <w:t xml:space="preserve"> and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AuthorYear="1"&gt;&lt;Author&gt;Fatma&lt;/Author&gt;&lt;Year&gt;2015&lt;/Year&gt;&lt;RecNum&gt;7159&lt;/RecNum&gt;&lt;DisplayText&gt;Fatma et al. (2015)&lt;/DisplayText&gt;&lt;record&gt;&lt;rec-number&gt;7159&lt;/rec-number&gt;&lt;foreign-keys&gt;&lt;key app="EN" db-id="vad00f5scteex2eftaoxddt09d5ex9r9awed" timestamp="1744612411"&gt;7159&lt;/key&gt;&lt;/foreign-keys&gt;&lt;ref-type name="Journal Article"&gt;17&lt;/ref-type&gt;&lt;contributors&gt;&lt;authors&gt;&lt;author&gt;Fatma, Mobin&lt;/author&gt;&lt;author&gt;Rahman, Zillur&lt;/author&gt;&lt;author&gt;Khan, Imran&lt;/author&gt;&lt;/authors&gt;&lt;/contributors&gt;&lt;titles&gt;&lt;title&gt;Building Company Reputation And Brand Equity Through CSR: The Mediating Role Of Trust&lt;/title&gt;&lt;secondary-title&gt;International Journal of Bank Marketing&lt;/secondary-title&gt;&lt;/titles&gt;&lt;periodical&gt;&lt;full-title&gt;International Journal of Bank Marketing&lt;/full-title&gt;&lt;/periodical&gt;&lt;pages&gt;840-856&lt;/pages&gt;&lt;volume&gt;33&lt;/volume&gt;&lt;number&gt;6&lt;/number&gt;&lt;section&gt;840&lt;/section&gt;&lt;dates&gt;&lt;year&gt;2015&lt;/year&gt;&lt;/dates&gt;&lt;isbn&gt;0265-2323&lt;/isbn&gt;&lt;urls&gt;&lt;/urls&gt;&lt;electronic-resource-num&gt;10.1108/ijbm-11-2014-0166&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Fatma et al. (2015)</w:t>
      </w:r>
      <w:r w:rsidR="000E706E" w:rsidRPr="00C4585A">
        <w:rPr>
          <w:rFonts w:ascii="Arial" w:hAnsi="Arial" w:cs="Arial"/>
        </w:rPr>
        <w:fldChar w:fldCharType="end"/>
      </w:r>
      <w:r w:rsidRPr="00C4585A">
        <w:rPr>
          <w:rFonts w:ascii="Arial" w:hAnsi="Arial" w:cs="Arial"/>
        </w:rPr>
        <w:t xml:space="preserve"> also shows that authentic CSR strengthens brand image, while a positive brand image drives effective CSR implementation through public loyalty and trust. Therefore, we propose Hypothesis 2:</w:t>
      </w:r>
    </w:p>
    <w:p w14:paraId="67041EC4" w14:textId="77777777" w:rsidR="006F7392" w:rsidRPr="00C4585A" w:rsidRDefault="006F7392" w:rsidP="006F7392">
      <w:pPr>
        <w:pStyle w:val="Body"/>
        <w:spacing w:after="0"/>
        <w:rPr>
          <w:rFonts w:ascii="Arial" w:hAnsi="Arial" w:cs="Arial"/>
        </w:rPr>
      </w:pPr>
    </w:p>
    <w:p w14:paraId="5FAA2440" w14:textId="166D8AD1" w:rsidR="00A706A8" w:rsidRDefault="00A706A8" w:rsidP="006F7392">
      <w:pPr>
        <w:pStyle w:val="Body"/>
        <w:spacing w:after="0"/>
        <w:rPr>
          <w:rFonts w:ascii="Arial" w:hAnsi="Arial" w:cs="Arial"/>
        </w:rPr>
      </w:pPr>
      <w:r>
        <w:rPr>
          <w:rFonts w:ascii="Arial" w:hAnsi="Arial" w:cs="Arial"/>
        </w:rPr>
        <w:t xml:space="preserve">Hypothesis 0: </w:t>
      </w:r>
      <w:r w:rsidRPr="00A706A8">
        <w:rPr>
          <w:rFonts w:ascii="Arial" w:hAnsi="Arial" w:cs="Arial"/>
        </w:rPr>
        <w:t>B</w:t>
      </w:r>
      <w:r>
        <w:rPr>
          <w:rFonts w:ascii="Arial" w:hAnsi="Arial" w:cs="Arial"/>
        </w:rPr>
        <w:t>rand image</w:t>
      </w:r>
      <w:r w:rsidRPr="00A706A8">
        <w:rPr>
          <w:rFonts w:ascii="Arial" w:hAnsi="Arial" w:cs="Arial"/>
        </w:rPr>
        <w:t xml:space="preserve"> </w:t>
      </w:r>
      <w:proofErr w:type="gramStart"/>
      <w:r w:rsidRPr="00A706A8">
        <w:rPr>
          <w:rFonts w:ascii="Arial" w:hAnsi="Arial" w:cs="Arial"/>
        </w:rPr>
        <w:t>do</w:t>
      </w:r>
      <w:proofErr w:type="gramEnd"/>
      <w:r w:rsidRPr="00A706A8">
        <w:rPr>
          <w:rFonts w:ascii="Arial" w:hAnsi="Arial" w:cs="Arial"/>
        </w:rPr>
        <w:t xml:space="preserve"> not have a positive effect on </w:t>
      </w:r>
      <w:r>
        <w:rPr>
          <w:rFonts w:ascii="Arial" w:hAnsi="Arial" w:cs="Arial"/>
        </w:rPr>
        <w:t>firm</w:t>
      </w:r>
      <w:r w:rsidRPr="00A706A8">
        <w:rPr>
          <w:rFonts w:ascii="Arial" w:hAnsi="Arial" w:cs="Arial"/>
        </w:rPr>
        <w:t xml:space="preserve"> value</w:t>
      </w:r>
      <w:r>
        <w:rPr>
          <w:rFonts w:ascii="Arial" w:hAnsi="Arial" w:cs="Arial"/>
        </w:rPr>
        <w:t>.</w:t>
      </w:r>
    </w:p>
    <w:p w14:paraId="3720EAB2" w14:textId="7E2EACDA" w:rsidR="006F7392" w:rsidRPr="00C4585A" w:rsidRDefault="006F7392" w:rsidP="006F7392">
      <w:pPr>
        <w:pStyle w:val="Body"/>
        <w:spacing w:after="0"/>
        <w:rPr>
          <w:rFonts w:ascii="Arial" w:hAnsi="Arial" w:cs="Arial"/>
        </w:rPr>
      </w:pPr>
      <w:r w:rsidRPr="00C4585A">
        <w:rPr>
          <w:rFonts w:ascii="Arial" w:hAnsi="Arial" w:cs="Arial"/>
        </w:rPr>
        <w:t xml:space="preserve">Hypothesis 2: </w:t>
      </w:r>
      <w:r w:rsidR="00087AEF" w:rsidRPr="00C4585A">
        <w:rPr>
          <w:rFonts w:ascii="Arial" w:hAnsi="Arial" w:cs="Arial"/>
        </w:rPr>
        <w:t xml:space="preserve">Brand image </w:t>
      </w:r>
      <w:proofErr w:type="gramStart"/>
      <w:r w:rsidR="00087AEF" w:rsidRPr="00C4585A">
        <w:rPr>
          <w:rFonts w:ascii="Arial" w:hAnsi="Arial" w:cs="Arial"/>
        </w:rPr>
        <w:t>have</w:t>
      </w:r>
      <w:proofErr w:type="gramEnd"/>
      <w:r w:rsidR="00087AEF" w:rsidRPr="00C4585A">
        <w:rPr>
          <w:rFonts w:ascii="Arial" w:hAnsi="Arial" w:cs="Arial"/>
        </w:rPr>
        <w:t xml:space="preserve"> a positive effect on firm value.</w:t>
      </w:r>
    </w:p>
    <w:p w14:paraId="02C81D84" w14:textId="77777777" w:rsidR="006F7392" w:rsidRPr="00C4585A" w:rsidRDefault="006F7392" w:rsidP="00334E24">
      <w:pPr>
        <w:pStyle w:val="Body"/>
        <w:spacing w:after="0"/>
        <w:rPr>
          <w:rFonts w:ascii="Arial" w:hAnsi="Arial" w:cs="Arial"/>
          <w:b/>
          <w:bCs/>
        </w:rPr>
      </w:pPr>
    </w:p>
    <w:p w14:paraId="73D406B7" w14:textId="18BF6D12" w:rsidR="00154320" w:rsidRPr="00317ACE" w:rsidRDefault="00154320" w:rsidP="00334E24">
      <w:pPr>
        <w:pStyle w:val="Body"/>
        <w:spacing w:after="0"/>
        <w:rPr>
          <w:rFonts w:ascii="Arial" w:hAnsi="Arial" w:cs="Arial"/>
          <w:b/>
          <w:bCs/>
          <w:sz w:val="22"/>
          <w:szCs w:val="22"/>
        </w:rPr>
      </w:pPr>
      <w:r w:rsidRPr="00317ACE">
        <w:rPr>
          <w:rFonts w:ascii="Arial" w:hAnsi="Arial" w:cs="Arial"/>
          <w:b/>
          <w:bCs/>
          <w:sz w:val="22"/>
          <w:szCs w:val="22"/>
        </w:rPr>
        <w:t>1.2 CSR as a Mediating Mechanism</w:t>
      </w:r>
    </w:p>
    <w:p w14:paraId="5D3BA3DC" w14:textId="67ED813A" w:rsidR="00087AEF" w:rsidRPr="00C4585A" w:rsidRDefault="00154320" w:rsidP="00334E24">
      <w:pPr>
        <w:pStyle w:val="Body"/>
        <w:spacing w:after="0"/>
        <w:rPr>
          <w:rFonts w:ascii="Arial" w:hAnsi="Arial" w:cs="Arial"/>
        </w:rPr>
      </w:pPr>
      <w:r w:rsidRPr="00C4585A">
        <w:rPr>
          <w:rFonts w:ascii="Arial" w:hAnsi="Arial" w:cs="Arial"/>
        </w:rPr>
        <w:t xml:space="preserve">CSR encompasses voluntary organizational practices that go beyond legal obligations to address environmental, social, and governance (ESG) concerns. It serves as a vehicle for stakeholder engagement and as a reputational buffer in times of crisis </w:t>
      </w:r>
      <w:r w:rsidR="000E706E" w:rsidRPr="00C4585A">
        <w:rPr>
          <w:rFonts w:ascii="Arial" w:hAnsi="Arial" w:cs="Arial"/>
        </w:rPr>
        <w:fldChar w:fldCharType="begin"/>
      </w:r>
      <w:r w:rsidR="000E706E" w:rsidRPr="00C4585A">
        <w:rPr>
          <w:rFonts w:ascii="Arial" w:hAnsi="Arial" w:cs="Arial"/>
        </w:rPr>
        <w:instrText xml:space="preserve"> ADDIN EN.CITE &lt;EndNote&gt;&lt;Cite&gt;&lt;Author&gt;Porter&lt;/Author&gt;&lt;Year&gt;2011&lt;/Year&gt;&lt;RecNum&gt;7200&lt;/RecNum&gt;&lt;DisplayText&gt;(Porter &amp;amp; Kramer, 2011)&lt;/DisplayText&gt;&lt;record&gt;&lt;rec-number&gt;7200&lt;/rec-number&gt;&lt;foreign-keys&gt;&lt;key app="EN" db-id="vad00f5scteex2eftaoxddt09d5ex9r9awed" timestamp="1745161324"&gt;7200&lt;/key&gt;&lt;/foreign-keys&gt;&lt;ref-type name="Journal Article"&gt;17&lt;/ref-type&gt;&lt;contributors&gt;&lt;authors&gt;&lt;author&gt;Porter, Michael E&lt;/author&gt;&lt;author&gt;Kramer, Mark R&lt;/author&gt;&lt;/authors&gt;&lt;/contributors&gt;&lt;titles&gt;&lt;title&gt;Creare Valore Condiviso&lt;/title&gt;&lt;secondary-title&gt;Harvard Business Review Italia&lt;/secondary-title&gt;&lt;/titles&gt;&lt;periodical&gt;&lt;full-title&gt;Harvard Business Review Italia&lt;/full-title&gt;&lt;/periodical&gt;&lt;pages&gt;68-84&lt;/pages&gt;&lt;volume&gt;1&lt;/volume&gt;&lt;number&gt;2&lt;/number&gt;&lt;dates&gt;&lt;year&gt;2011&lt;/year&gt;&lt;/dates&gt;&lt;urls&gt;&lt;/urls&gt;&lt;/record&gt;&lt;/Cite&gt;&lt;/EndNote&gt;</w:instrText>
      </w:r>
      <w:r w:rsidR="000E706E" w:rsidRPr="00C4585A">
        <w:rPr>
          <w:rFonts w:ascii="Arial" w:hAnsi="Arial" w:cs="Arial"/>
        </w:rPr>
        <w:fldChar w:fldCharType="separate"/>
      </w:r>
      <w:r w:rsidR="000E706E" w:rsidRPr="00C4585A">
        <w:rPr>
          <w:rFonts w:ascii="Arial" w:hAnsi="Arial" w:cs="Arial"/>
          <w:noProof/>
        </w:rPr>
        <w:t>(Porter &amp; Kramer, 2011)</w:t>
      </w:r>
      <w:r w:rsidR="000E706E" w:rsidRPr="00C4585A">
        <w:rPr>
          <w:rFonts w:ascii="Arial" w:hAnsi="Arial" w:cs="Arial"/>
        </w:rPr>
        <w:fldChar w:fldCharType="end"/>
      </w:r>
      <w:r w:rsidRPr="00C4585A">
        <w:rPr>
          <w:rFonts w:ascii="Arial" w:hAnsi="Arial" w:cs="Arial"/>
        </w:rPr>
        <w:t xml:space="preserve">. </w:t>
      </w:r>
      <w:r w:rsidR="00A92A22" w:rsidRPr="00A92A22">
        <w:rPr>
          <w:rFonts w:ascii="Arial" w:hAnsi="Arial" w:cs="Arial"/>
        </w:rPr>
        <w:t xml:space="preserve">Research </w:t>
      </w:r>
      <w:r w:rsidR="00A92A22">
        <w:rPr>
          <w:rFonts w:ascii="Arial" w:hAnsi="Arial" w:cs="Arial"/>
        </w:rPr>
        <w:fldChar w:fldCharType="begin"/>
      </w:r>
      <w:r w:rsidR="00A92A22">
        <w:rPr>
          <w:rFonts w:ascii="Arial" w:hAnsi="Arial" w:cs="Arial"/>
        </w:rPr>
        <w:instrText xml:space="preserve"> ADDIN EN.CITE &lt;EndNote&gt;&lt;Cite AuthorYear="1"&gt;&lt;Author&gt;Eccles&lt;/Author&gt;&lt;Year&gt;2014&lt;/Year&gt;&lt;RecNum&gt;7170&lt;/RecNum&gt;&lt;DisplayText&gt;Eccles et al. (2014)&lt;/DisplayText&gt;&lt;record&gt;&lt;rec-number&gt;7170&lt;/rec-number&gt;&lt;foreign-keys&gt;&lt;key app="EN" db-id="vad00f5scteex2eftaoxddt09d5ex9r9awed" timestamp="1744808426"&gt;7170&lt;/key&gt;&lt;/foreign-keys&gt;&lt;ref-type name="Journal Article"&gt;17&lt;/ref-type&gt;&lt;contributors&gt;&lt;authors&gt;&lt;author&gt;Eccles, Robert G.&lt;/author&gt;&lt;author&gt;Ioannou, Ioannis&lt;/author&gt;&lt;author&gt;Serafeim, George&lt;/author&gt;&lt;/authors&gt;&lt;/contributors&gt;&lt;titles&gt;&lt;title&gt;The Impact of Corporate Sustainability on Organizational Processes and Performance&lt;/title&gt;&lt;secondary-title&gt;Management Science&lt;/secondary-title&gt;&lt;/titles&gt;&lt;periodical&gt;&lt;full-title&gt;Management Science&lt;/full-title&gt;&lt;/periodical&gt;&lt;pages&gt;2835-2857&lt;/pages&gt;&lt;volume&gt;60&lt;/volume&gt;&lt;number&gt;11&lt;/number&gt;&lt;section&gt;2835&lt;/section&gt;&lt;dates&gt;&lt;year&gt;2014&lt;/year&gt;&lt;/dates&gt;&lt;isbn&gt;0025-1909&amp;#xD;1526-5501&lt;/isbn&gt;&lt;urls&gt;&lt;/urls&gt;&lt;electronic-resource-num&gt;10.1287/mnsc.2014.1984&lt;/electronic-resource-num&gt;&lt;/record&gt;&lt;/Cite&gt;&lt;/EndNote&gt;</w:instrText>
      </w:r>
      <w:r w:rsidR="00A92A22">
        <w:rPr>
          <w:rFonts w:ascii="Arial" w:hAnsi="Arial" w:cs="Arial"/>
        </w:rPr>
        <w:fldChar w:fldCharType="separate"/>
      </w:r>
      <w:r w:rsidR="00A92A22">
        <w:rPr>
          <w:rFonts w:ascii="Arial" w:hAnsi="Arial" w:cs="Arial"/>
          <w:noProof/>
        </w:rPr>
        <w:t>Eccles et al. (2014)</w:t>
      </w:r>
      <w:r w:rsidR="00A92A22">
        <w:rPr>
          <w:rFonts w:ascii="Arial" w:hAnsi="Arial" w:cs="Arial"/>
        </w:rPr>
        <w:fldChar w:fldCharType="end"/>
      </w:r>
      <w:r w:rsidR="00A92A22" w:rsidRPr="00A92A22">
        <w:rPr>
          <w:rFonts w:ascii="Arial" w:hAnsi="Arial" w:cs="Arial"/>
        </w:rPr>
        <w:t xml:space="preserve"> shows that companies that adopt social/environmental policies earlier have better internal processes, such as governance, changes in strategy, a more sustainable culture, so they can perform better than companies that do not.</w:t>
      </w:r>
      <w:r w:rsidR="00433D64">
        <w:rPr>
          <w:rFonts w:ascii="Arial" w:hAnsi="Arial" w:cs="Arial"/>
        </w:rPr>
        <w:t xml:space="preserve"> </w:t>
      </w:r>
      <w:r w:rsidR="00433D64" w:rsidRPr="00433D64">
        <w:rPr>
          <w:rFonts w:ascii="Arial" w:hAnsi="Arial" w:cs="Arial"/>
        </w:rPr>
        <w:t xml:space="preserve">CSR investment is not only a matter of social/environmental costs, but can also be a strategy to reduce systematic risk and increase value when used for product differentiation and consumer loyalty </w:t>
      </w:r>
      <w:r w:rsidR="00433D64">
        <w:rPr>
          <w:rFonts w:ascii="Arial" w:hAnsi="Arial" w:cs="Arial"/>
        </w:rPr>
        <w:fldChar w:fldCharType="begin"/>
      </w:r>
      <w:r w:rsidR="00433D64">
        <w:rPr>
          <w:rFonts w:ascii="Arial" w:hAnsi="Arial" w:cs="Arial"/>
        </w:rPr>
        <w:instrText xml:space="preserve"> ADDIN EN.CITE &lt;EndNote&gt;&lt;Cite&gt;&lt;Author&gt;Albuquerque&lt;/Author&gt;&lt;Year&gt;2019&lt;/Year&gt;&lt;RecNum&gt;7258&lt;/RecNum&gt;&lt;DisplayText&gt;(Albuquerque et al., 2019)&lt;/DisplayText&gt;&lt;record&gt;&lt;rec-number&gt;7258&lt;/rec-number&gt;&lt;foreign-keys&gt;&lt;key app="EN" db-id="vad00f5scteex2eftaoxddt09d5ex9r9awed" timestamp="1761196660"&gt;7258&lt;/key&gt;&lt;/foreign-keys&gt;&lt;ref-type name="Journal Article"&gt;17&lt;/ref-type&gt;&lt;contributors&gt;&lt;authors&gt;&lt;author&gt;Albuquerque, Rui&lt;/author&gt;&lt;author&gt;Koskinen, Yrjö&lt;/author&gt;&lt;author&gt;Zhang, Chendi&lt;/author&gt;&lt;/authors&gt;&lt;/contributors&gt;&lt;titles&gt;&lt;title&gt;Corporate Social Responsibility and Firm Risk: Theory and Empirical Evidence&lt;/title&gt;&lt;secondary-title&gt;Management Science&lt;/secondary-title&gt;&lt;/titles&gt;&lt;periodical&gt;&lt;full-title&gt;Management Science&lt;/full-title&gt;&lt;/periodical&gt;&lt;pages&gt;4451-4469&lt;/pages&gt;&lt;volume&gt;65&lt;/volume&gt;&lt;number&gt;10&lt;/number&gt;&lt;section&gt;4451&lt;/section&gt;&lt;dates&gt;&lt;year&gt;2019&lt;/year&gt;&lt;/dates&gt;&lt;isbn&gt;0025-1909&amp;#xD;1526-5501&lt;/isbn&gt;&lt;urls&gt;&lt;/urls&gt;&lt;electronic-resource-num&gt;10.1287/mnsc.2018.3043&lt;/electronic-resource-num&gt;&lt;/record&gt;&lt;/Cite&gt;&lt;/EndNote&gt;</w:instrText>
      </w:r>
      <w:r w:rsidR="00433D64">
        <w:rPr>
          <w:rFonts w:ascii="Arial" w:hAnsi="Arial" w:cs="Arial"/>
        </w:rPr>
        <w:fldChar w:fldCharType="separate"/>
      </w:r>
      <w:r w:rsidR="00433D64">
        <w:rPr>
          <w:rFonts w:ascii="Arial" w:hAnsi="Arial" w:cs="Arial"/>
          <w:noProof/>
        </w:rPr>
        <w:t>(Albuquerque et al., 2019)</w:t>
      </w:r>
      <w:r w:rsidR="00433D64">
        <w:rPr>
          <w:rFonts w:ascii="Arial" w:hAnsi="Arial" w:cs="Arial"/>
        </w:rPr>
        <w:fldChar w:fldCharType="end"/>
      </w:r>
      <w:r w:rsidR="00433D64" w:rsidRPr="00433D64">
        <w:rPr>
          <w:rFonts w:ascii="Arial" w:hAnsi="Arial" w:cs="Arial"/>
        </w:rPr>
        <w:t>.</w:t>
      </w:r>
    </w:p>
    <w:p w14:paraId="441912AE" w14:textId="77777777" w:rsidR="00087AEF" w:rsidRPr="00C4585A" w:rsidRDefault="00087AEF" w:rsidP="00334E24">
      <w:pPr>
        <w:pStyle w:val="Body"/>
        <w:spacing w:after="0"/>
        <w:rPr>
          <w:rFonts w:ascii="Arial" w:hAnsi="Arial" w:cs="Arial"/>
        </w:rPr>
      </w:pPr>
    </w:p>
    <w:p w14:paraId="3FEA54AA" w14:textId="10D518A1" w:rsidR="00087AEF" w:rsidRPr="00C4585A" w:rsidRDefault="00087AEF" w:rsidP="00334E24">
      <w:pPr>
        <w:pStyle w:val="Body"/>
        <w:spacing w:after="0"/>
        <w:rPr>
          <w:rFonts w:ascii="Arial" w:hAnsi="Arial" w:cs="Arial"/>
        </w:rPr>
      </w:pPr>
      <w:r w:rsidRPr="00C4585A">
        <w:rPr>
          <w:rFonts w:ascii="Arial" w:hAnsi="Arial" w:cs="Arial"/>
        </w:rPr>
        <w:t xml:space="preserve">Companies with a strong reputation tend to be more proactive in disclosing CSR activities due to higher visibility and stakeholder expectations. Conversely, companies with a weak reputation may struggle to incorporate CSR into their strategy due to limited credibility. Various empirical studies have shown that CSR can enhance firm value through reduced risk, improved access to capital, and increased customer loyalty.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AuthorYear="1"&gt;&lt;Author&gt;Pérez-Cornejo&lt;/Author&gt;&lt;Year&gt;2022&lt;/Year&gt;&lt;RecNum&gt;7256&lt;/RecNum&gt;&lt;DisplayText&gt;Pérez-Cornejo and de Quevedo-Puente (2022)&lt;/DisplayText&gt;&lt;record&gt;&lt;rec-number&gt;7256&lt;/rec-number&gt;&lt;foreign-keys&gt;&lt;key app="EN" db-id="vad00f5scteex2eftaoxddt09d5ex9r9awed" timestamp="1760064377"&gt;7256&lt;/key&gt;&lt;/foreign-keys&gt;&lt;ref-type name="Journal Article"&gt;17&lt;/ref-type&gt;&lt;contributors&gt;&lt;authors&gt;&lt;author&gt;Pérez-Cornejo, Clara&lt;/author&gt;&lt;author&gt;de Quevedo-Puente, Esther&lt;/author&gt;&lt;/authors&gt;&lt;/contributors&gt;&lt;titles&gt;&lt;title&gt;How Corporate Social Responsibility Mediates The Relationship Between Corporate Reputation And Enterprise Risk Management: Evidence From Spain&lt;/title&gt;&lt;secondary-title&gt;Eurasian Business Review&lt;/secondary-title&gt;&lt;/titles&gt;&lt;periodical&gt;&lt;full-title&gt;Eurasian Business Review&lt;/full-title&gt;&lt;/periodical&gt;&lt;pages&gt;363-383&lt;/pages&gt;&lt;volume&gt;13&lt;/volume&gt;&lt;number&gt;2&lt;/number&gt;&lt;section&gt;363&lt;/section&gt;&lt;dates&gt;&lt;year&gt;2022&lt;/year&gt;&lt;/dates&gt;&lt;isbn&gt;1309-4297&amp;#xD;2147-4281&lt;/isbn&gt;&lt;urls&gt;&lt;/urls&gt;&lt;electronic-resource-num&gt;10.1007/s40821-022-00223-2&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Pérez-Cornejo and de Quevedo-Puente (2022)</w:t>
      </w:r>
      <w:r w:rsidR="000E706E" w:rsidRPr="00C4585A">
        <w:rPr>
          <w:rFonts w:ascii="Arial" w:hAnsi="Arial" w:cs="Arial"/>
        </w:rPr>
        <w:fldChar w:fldCharType="end"/>
      </w:r>
      <w:r w:rsidRPr="00C4585A">
        <w:rPr>
          <w:rFonts w:ascii="Arial" w:hAnsi="Arial" w:cs="Arial"/>
        </w:rPr>
        <w:t xml:space="preserve"> demonstrated that CSR acts as a mediator in the relationship between ERM quality and corporate reputation. This reinforces the logic that reputation and CSR are interconnected through an indirect causal pathway to performance. Similarly, </w:t>
      </w:r>
      <w:r w:rsidR="000E706E" w:rsidRPr="00C4585A">
        <w:rPr>
          <w:rFonts w:ascii="Arial" w:hAnsi="Arial" w:cs="Arial"/>
        </w:rPr>
        <w:fldChar w:fldCharType="begin"/>
      </w:r>
      <w:r w:rsidR="000E706E" w:rsidRPr="00C4585A">
        <w:rPr>
          <w:rFonts w:ascii="Arial" w:hAnsi="Arial" w:cs="Arial"/>
        </w:rPr>
        <w:instrText xml:space="preserve"> ADDIN EN.CITE &lt;EndNote&gt;&lt;Cite AuthorYear="1"&gt;&lt;Author&gt;Bardos&lt;/Author&gt;&lt;Year&gt;2020&lt;/Year&gt;&lt;RecNum&gt;797&lt;/RecNum&gt;&lt;DisplayText&gt;Bardos et al. (2020)&lt;/DisplayText&gt;&lt;record&gt;&lt;rec-number&gt;797&lt;/rec-number&gt;&lt;foreign-keys&gt;&lt;key app="EN" db-id="vad00f5scteex2eftaoxddt09d5ex9r9awed" timestamp="1666966706"&gt;797&lt;/key&gt;&lt;/foreign-keys&gt;&lt;ref-type name="Journal Article"&gt;17&lt;/ref-type&gt;&lt;contributors&gt;&lt;authors&gt;&lt;author&gt;Bardos, Katsiaryna Salavei&lt;/author&gt;&lt;author&gt;Ertugrul, Mine&lt;/author&gt;&lt;author&gt;Gao, Lucia Silva&lt;/author&gt;&lt;/authors&gt;&lt;/contributors&gt;&lt;titles&gt;&lt;title&gt;Corporate Social Responsibility, Product Market Perception, And Firm Value&lt;/title&gt;&lt;secondary-title&gt;Journal of Corporate Finance&lt;/secondary-title&gt;&lt;/titles&gt;&lt;periodical&gt;&lt;full-title&gt;Journal of Corporate Finance&lt;/full-title&gt;&lt;/periodical&gt;&lt;volume&gt;62&lt;/volume&gt;&lt;section&gt;101588&lt;/section&gt;&lt;dates&gt;&lt;year&gt;2020&lt;/year&gt;&lt;/dates&gt;&lt;isbn&gt;09291199&lt;/isbn&gt;&lt;urls&gt;&lt;/urls&gt;&lt;electronic-resource-num&gt;10.1016/j.jcorpfin.2020.101588&lt;/electronic-resource-num&gt;&lt;/record&gt;&lt;/Cite&gt;&lt;/EndNote&gt;</w:instrText>
      </w:r>
      <w:r w:rsidR="000E706E" w:rsidRPr="00C4585A">
        <w:rPr>
          <w:rFonts w:ascii="Arial" w:hAnsi="Arial" w:cs="Arial"/>
        </w:rPr>
        <w:fldChar w:fldCharType="separate"/>
      </w:r>
      <w:r w:rsidR="000E706E" w:rsidRPr="00C4585A">
        <w:rPr>
          <w:rFonts w:ascii="Arial" w:hAnsi="Arial" w:cs="Arial"/>
          <w:noProof/>
        </w:rPr>
        <w:t>Bardos et al. (2020)</w:t>
      </w:r>
      <w:r w:rsidR="000E706E" w:rsidRPr="00C4585A">
        <w:rPr>
          <w:rFonts w:ascii="Arial" w:hAnsi="Arial" w:cs="Arial"/>
        </w:rPr>
        <w:fldChar w:fldCharType="end"/>
      </w:r>
      <w:r w:rsidRPr="00C4585A">
        <w:rPr>
          <w:rFonts w:ascii="Arial" w:hAnsi="Arial" w:cs="Arial"/>
        </w:rPr>
        <w:t xml:space="preserve"> found an impact of CSR on market reputation, and this perception increases firm value; a mediation analysis demonstrated an indirect effect of CSR on firm value through the market reputation channel. This research supports the “reputation/market equity” framework as a link between firm value. Based on this, we formulate the following hypotheses:</w:t>
      </w:r>
    </w:p>
    <w:p w14:paraId="6219561D" w14:textId="77777777" w:rsidR="00087AEF" w:rsidRPr="00C4585A" w:rsidRDefault="00087AEF" w:rsidP="00334E24">
      <w:pPr>
        <w:pStyle w:val="Body"/>
        <w:spacing w:after="0"/>
        <w:rPr>
          <w:rFonts w:ascii="Arial" w:hAnsi="Arial" w:cs="Arial"/>
        </w:rPr>
      </w:pPr>
    </w:p>
    <w:p w14:paraId="6C8EBB81" w14:textId="7153434D" w:rsidR="00A706A8" w:rsidRDefault="00A706A8" w:rsidP="00A706A8">
      <w:pPr>
        <w:pStyle w:val="Body"/>
        <w:spacing w:after="0"/>
        <w:ind w:left="1276" w:hanging="1276"/>
        <w:rPr>
          <w:rFonts w:ascii="Arial" w:hAnsi="Arial" w:cs="Arial"/>
        </w:rPr>
      </w:pPr>
      <w:r>
        <w:rPr>
          <w:rFonts w:ascii="Arial" w:hAnsi="Arial" w:cs="Arial"/>
        </w:rPr>
        <w:t>Hypothesis 0:</w:t>
      </w:r>
      <w:r>
        <w:t xml:space="preserve"> </w:t>
      </w:r>
      <w:r w:rsidRPr="00A706A8">
        <w:rPr>
          <w:rFonts w:ascii="Arial" w:hAnsi="Arial" w:cs="Arial"/>
        </w:rPr>
        <w:t xml:space="preserve">CSR does not mediate the relationship between </w:t>
      </w:r>
      <w:r>
        <w:rPr>
          <w:rFonts w:ascii="Arial" w:hAnsi="Arial" w:cs="Arial"/>
        </w:rPr>
        <w:t xml:space="preserve">firm </w:t>
      </w:r>
      <w:r w:rsidRPr="00A706A8">
        <w:rPr>
          <w:rFonts w:ascii="Arial" w:hAnsi="Arial" w:cs="Arial"/>
        </w:rPr>
        <w:t xml:space="preserve">reputation and </w:t>
      </w:r>
      <w:r>
        <w:rPr>
          <w:rFonts w:ascii="Arial" w:hAnsi="Arial" w:cs="Arial"/>
        </w:rPr>
        <w:t>firm</w:t>
      </w:r>
      <w:r w:rsidRPr="00A706A8">
        <w:rPr>
          <w:rFonts w:ascii="Arial" w:hAnsi="Arial" w:cs="Arial"/>
        </w:rPr>
        <w:t xml:space="preserve"> value.</w:t>
      </w:r>
      <w:r>
        <w:rPr>
          <w:rFonts w:ascii="Arial" w:hAnsi="Arial" w:cs="Arial"/>
        </w:rPr>
        <w:t xml:space="preserve"> </w:t>
      </w:r>
    </w:p>
    <w:p w14:paraId="6F077397" w14:textId="70BBB800" w:rsidR="00154320" w:rsidRPr="00C4585A" w:rsidRDefault="00154320" w:rsidP="00334E24">
      <w:pPr>
        <w:pStyle w:val="Body"/>
        <w:spacing w:after="0"/>
        <w:rPr>
          <w:rFonts w:ascii="Arial" w:hAnsi="Arial" w:cs="Arial"/>
        </w:rPr>
      </w:pPr>
      <w:r w:rsidRPr="00C4585A">
        <w:rPr>
          <w:rFonts w:ascii="Arial" w:hAnsi="Arial" w:cs="Arial"/>
        </w:rPr>
        <w:t xml:space="preserve">Hypothesis </w:t>
      </w:r>
      <w:r w:rsidR="00087AEF" w:rsidRPr="00C4585A">
        <w:rPr>
          <w:rFonts w:ascii="Arial" w:hAnsi="Arial" w:cs="Arial"/>
        </w:rPr>
        <w:t>3</w:t>
      </w:r>
      <w:r w:rsidRPr="00C4585A">
        <w:rPr>
          <w:rFonts w:ascii="Arial" w:hAnsi="Arial" w:cs="Arial"/>
        </w:rPr>
        <w:t>: CSR mediates the relationship between firm reputation and firm value.</w:t>
      </w:r>
    </w:p>
    <w:p w14:paraId="4C96B094" w14:textId="77777777" w:rsidR="00334E24" w:rsidRPr="00C4585A" w:rsidRDefault="00334E24" w:rsidP="00334E24">
      <w:pPr>
        <w:pStyle w:val="Body"/>
        <w:spacing w:after="0"/>
        <w:rPr>
          <w:rFonts w:ascii="Arial" w:hAnsi="Arial" w:cs="Arial"/>
        </w:rPr>
      </w:pPr>
    </w:p>
    <w:p w14:paraId="0C17C962" w14:textId="463AB400" w:rsidR="007F7B32" w:rsidRPr="00C4585A" w:rsidRDefault="00902823" w:rsidP="00441B6F">
      <w:pPr>
        <w:pStyle w:val="AbstHead"/>
        <w:spacing w:after="0"/>
        <w:jc w:val="both"/>
        <w:rPr>
          <w:rFonts w:ascii="Arial" w:hAnsi="Arial" w:cs="Arial"/>
        </w:rPr>
      </w:pPr>
      <w:r w:rsidRPr="00C4585A">
        <w:rPr>
          <w:rFonts w:ascii="Arial" w:hAnsi="Arial" w:cs="Arial"/>
        </w:rPr>
        <w:lastRenderedPageBreak/>
        <w:t xml:space="preserve">2. </w:t>
      </w:r>
      <w:r w:rsidR="006B57D0" w:rsidRPr="00C4585A">
        <w:rPr>
          <w:rFonts w:ascii="Arial" w:hAnsi="Arial" w:cs="Arial"/>
        </w:rPr>
        <w:t>methodology</w:t>
      </w:r>
      <w:r w:rsidR="007F7B32" w:rsidRPr="00C4585A">
        <w:rPr>
          <w:rFonts w:ascii="Arial" w:hAnsi="Arial" w:cs="Arial"/>
        </w:rPr>
        <w:t xml:space="preserve"> </w:t>
      </w:r>
    </w:p>
    <w:p w14:paraId="07957DF6" w14:textId="77777777" w:rsidR="00790ADA" w:rsidRPr="00C4585A" w:rsidRDefault="00790ADA" w:rsidP="00441B6F">
      <w:pPr>
        <w:pStyle w:val="AbstHead"/>
        <w:spacing w:after="0"/>
        <w:jc w:val="both"/>
        <w:rPr>
          <w:rFonts w:ascii="Arial" w:hAnsi="Arial" w:cs="Arial"/>
        </w:rPr>
      </w:pPr>
    </w:p>
    <w:p w14:paraId="13FF69A6" w14:textId="46B29567" w:rsidR="00154320" w:rsidRPr="00C4585A" w:rsidRDefault="001F474D" w:rsidP="004C2E3C">
      <w:pPr>
        <w:pStyle w:val="Body"/>
        <w:spacing w:after="0"/>
        <w:rPr>
          <w:rFonts w:ascii="Arial" w:hAnsi="Arial" w:cs="Arial"/>
        </w:rPr>
      </w:pPr>
      <w:r w:rsidRPr="001F474D">
        <w:rPr>
          <w:rFonts w:ascii="Arial" w:hAnsi="Arial" w:cs="Arial"/>
        </w:rPr>
        <w:t>This study employs a panel data approach using secondary data sources derived from the annual reports and sustainability reports of companies listed on the Indonesia Stock Exchange (IDX) over the period 2017–2022. The sample selection was conducted using a purposive sampling technique, based on the criteria of data completeness and consistency throughout the study period. Accordingly, the final sample comprised 51 companies, resulting in a total of 306 firm-year observations</w:t>
      </w:r>
      <w:r w:rsidR="00154320" w:rsidRPr="00C4585A">
        <w:rPr>
          <w:rFonts w:ascii="Arial" w:hAnsi="Arial" w:cs="Arial"/>
        </w:rPr>
        <w:t>.</w:t>
      </w:r>
      <w:r w:rsidR="00E841D2">
        <w:rPr>
          <w:rFonts w:ascii="Arial" w:hAnsi="Arial" w:cs="Arial"/>
        </w:rPr>
        <w:t xml:space="preserve"> </w:t>
      </w:r>
    </w:p>
    <w:p w14:paraId="6B0D4E9A" w14:textId="77777777" w:rsidR="004C2E3C" w:rsidRPr="00C4585A" w:rsidRDefault="004C2E3C" w:rsidP="004C2E3C">
      <w:pPr>
        <w:pStyle w:val="Body"/>
        <w:spacing w:after="0"/>
        <w:rPr>
          <w:rFonts w:ascii="Arial" w:hAnsi="Arial" w:cs="Arial"/>
        </w:rPr>
      </w:pPr>
    </w:p>
    <w:p w14:paraId="4884D0C2" w14:textId="2FC936AE"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.1 Variable Measurement</w:t>
      </w:r>
    </w:p>
    <w:p w14:paraId="2A4978F2" w14:textId="27E2F4D4"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Independent Variable – Firm Reputation: Measured using two proxies: (1)</w:t>
      </w:r>
      <w:r w:rsidR="001F474D" w:rsidRPr="001F474D">
        <w:t xml:space="preserve"> </w:t>
      </w:r>
      <w:r w:rsidR="001F474D" w:rsidRPr="001F474D">
        <w:rPr>
          <w:rFonts w:ascii="Arial" w:hAnsi="Arial" w:cs="Arial"/>
        </w:rPr>
        <w:t xml:space="preserve">Brand image is measured by the total number of awards or certificates received by the company at the national </w:t>
      </w:r>
      <w:proofErr w:type="gramStart"/>
      <w:r w:rsidR="001F474D" w:rsidRPr="001F474D">
        <w:rPr>
          <w:rFonts w:ascii="Arial" w:hAnsi="Arial" w:cs="Arial"/>
        </w:rPr>
        <w:t>level</w:t>
      </w:r>
      <w:r w:rsidR="001F474D">
        <w:rPr>
          <w:rFonts w:ascii="Arial" w:hAnsi="Arial" w:cs="Arial"/>
        </w:rPr>
        <w:t xml:space="preserve"> </w:t>
      </w:r>
      <w:r w:rsidRPr="00C4585A">
        <w:rPr>
          <w:rFonts w:ascii="Arial" w:hAnsi="Arial" w:cs="Arial"/>
        </w:rPr>
        <w:t>,</w:t>
      </w:r>
      <w:proofErr w:type="gramEnd"/>
      <w:r w:rsidRPr="00C4585A">
        <w:rPr>
          <w:rFonts w:ascii="Arial" w:hAnsi="Arial" w:cs="Arial"/>
        </w:rPr>
        <w:t xml:space="preserve"> and (2) a dummy variable for Big-4 audit firm engagement (1 = Big-4, 0 = otherwise).</w:t>
      </w:r>
    </w:p>
    <w:p w14:paraId="5FB1A6EA" w14:textId="42DC1C8D" w:rsidR="00154320" w:rsidRPr="00C4585A" w:rsidRDefault="00154320" w:rsidP="004C2E3C">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 xml:space="preserve">Mediator – CSR Activity: </w:t>
      </w:r>
      <w:r w:rsidR="001F474D" w:rsidRPr="001F474D">
        <w:rPr>
          <w:rFonts w:ascii="Arial" w:hAnsi="Arial" w:cs="Arial"/>
        </w:rPr>
        <w:t>It is measured using the CSR disclosure score derived from the company’s reports based on the Global Reporting Initiative (GRI) framework. The score ranges from 0 to 1, where the CSR score represents an index calculated as the ratio between the number of CSR items disclosed by the company and the total number of CSR items required to be disclosed.</w:t>
      </w:r>
    </w:p>
    <w:p w14:paraId="34CF579F" w14:textId="77777777" w:rsidR="00344F30" w:rsidRPr="00344F30" w:rsidRDefault="00154320" w:rsidP="00344F30">
      <w:pPr>
        <w:pStyle w:val="Body"/>
        <w:spacing w:after="0"/>
        <w:ind w:left="142" w:hanging="142"/>
        <w:rPr>
          <w:rFonts w:ascii="Arial" w:hAnsi="Arial" w:cs="Arial"/>
        </w:rPr>
      </w:pPr>
      <w:r w:rsidRPr="00C4585A">
        <w:rPr>
          <w:rFonts w:ascii="Arial" w:hAnsi="Arial" w:cs="Arial"/>
        </w:rPr>
        <w:t xml:space="preserve">- </w:t>
      </w:r>
      <w:r w:rsidR="004C2E3C" w:rsidRPr="00C4585A">
        <w:rPr>
          <w:rFonts w:ascii="Arial" w:hAnsi="Arial" w:cs="Arial"/>
        </w:rPr>
        <w:tab/>
      </w:r>
      <w:r w:rsidRPr="00C4585A">
        <w:rPr>
          <w:rFonts w:ascii="Arial" w:hAnsi="Arial" w:cs="Arial"/>
        </w:rPr>
        <w:t xml:space="preserve">Dependent Variable – Firm Value: </w:t>
      </w:r>
      <w:r w:rsidR="00344F30" w:rsidRPr="00344F30">
        <w:rPr>
          <w:rFonts w:ascii="Arial" w:hAnsi="Arial" w:cs="Arial"/>
        </w:rPr>
        <w:t>It is measured using Economic Value Added (EVA), a financial performance metric that captures the actual value created by a company. EVA is calculated as the net operating profit after tax (NOPAT) minus the capital charge, where the capital charge is obtained by multiplying the weighted average cost of capital (WACC) by the invested capital.</w:t>
      </w:r>
    </w:p>
    <w:p w14:paraId="11614AC7" w14:textId="77777777" w:rsidR="00344F30" w:rsidRPr="00344F30" w:rsidRDefault="00344F30" w:rsidP="00344F30">
      <w:pPr>
        <w:pStyle w:val="Body"/>
        <w:spacing w:after="0"/>
        <w:ind w:left="142"/>
        <w:rPr>
          <w:rFonts w:ascii="Arial" w:hAnsi="Arial" w:cs="Arial"/>
        </w:rPr>
      </w:pPr>
      <w:r w:rsidRPr="00344F30">
        <w:rPr>
          <w:rFonts w:ascii="Arial" w:hAnsi="Arial" w:cs="Arial"/>
        </w:rPr>
        <w:t>Formally, EVA = NOPAT - (WACC x Invested Capital)</w:t>
      </w:r>
    </w:p>
    <w:p w14:paraId="5C7E69DE" w14:textId="77777777" w:rsidR="00344F30" w:rsidRPr="00344F30" w:rsidRDefault="00344F30" w:rsidP="00344F30">
      <w:pPr>
        <w:pStyle w:val="Body"/>
        <w:spacing w:after="0"/>
        <w:ind w:left="142"/>
        <w:rPr>
          <w:rFonts w:ascii="Arial" w:hAnsi="Arial" w:cs="Arial"/>
        </w:rPr>
      </w:pPr>
      <w:r w:rsidRPr="00344F30">
        <w:rPr>
          <w:rFonts w:ascii="Arial" w:hAnsi="Arial" w:cs="Arial"/>
        </w:rPr>
        <w:t>Invested capital is defined as the total assets minus non-interest-bearing liabilities.</w:t>
      </w:r>
    </w:p>
    <w:p w14:paraId="78B03E9D" w14:textId="77777777" w:rsidR="00344F30" w:rsidRPr="00344F30" w:rsidRDefault="00344F30" w:rsidP="00344F30">
      <w:pPr>
        <w:pStyle w:val="Body"/>
        <w:spacing w:after="0"/>
        <w:ind w:left="142"/>
        <w:rPr>
          <w:rFonts w:ascii="Arial" w:hAnsi="Arial" w:cs="Arial"/>
        </w:rPr>
      </w:pPr>
      <w:r w:rsidRPr="00344F30">
        <w:rPr>
          <w:rFonts w:ascii="Arial" w:hAnsi="Arial" w:cs="Arial"/>
        </w:rPr>
        <w:t>The EVA concept offers several advantages:</w:t>
      </w:r>
    </w:p>
    <w:p w14:paraId="1C5F0C7E" w14:textId="77777777" w:rsidR="00344F30" w:rsidRPr="00344F30" w:rsidRDefault="00344F30" w:rsidP="00344F30">
      <w:pPr>
        <w:pStyle w:val="Body"/>
        <w:spacing w:after="0"/>
        <w:ind w:left="142"/>
        <w:rPr>
          <w:rFonts w:ascii="Arial" w:hAnsi="Arial" w:cs="Arial"/>
        </w:rPr>
      </w:pPr>
      <w:r w:rsidRPr="00344F30">
        <w:rPr>
          <w:rFonts w:ascii="Arial" w:hAnsi="Arial" w:cs="Arial"/>
        </w:rPr>
        <w:t>1.  It considers the cost of all capital, not just debt.</w:t>
      </w:r>
    </w:p>
    <w:p w14:paraId="056EF034" w14:textId="77777777" w:rsidR="00344F30" w:rsidRPr="00344F30" w:rsidRDefault="00344F30" w:rsidP="00344F30">
      <w:pPr>
        <w:pStyle w:val="Body"/>
        <w:spacing w:after="0"/>
        <w:ind w:left="426" w:hanging="284"/>
        <w:rPr>
          <w:rFonts w:ascii="Arial" w:hAnsi="Arial" w:cs="Arial"/>
        </w:rPr>
      </w:pPr>
      <w:r w:rsidRPr="00344F30">
        <w:rPr>
          <w:rFonts w:ascii="Arial" w:hAnsi="Arial" w:cs="Arial"/>
        </w:rPr>
        <w:t xml:space="preserve">2. </w:t>
      </w:r>
      <w:r w:rsidRPr="00344F30">
        <w:rPr>
          <w:rFonts w:ascii="Arial" w:hAnsi="Arial" w:cs="Arial"/>
        </w:rPr>
        <w:tab/>
        <w:t>It encourages managers to think like shareholders, aligning managerial decisions with shareholder wealth maximization.</w:t>
      </w:r>
    </w:p>
    <w:p w14:paraId="3D5D5864" w14:textId="0C01B7BC" w:rsidR="00154320" w:rsidRPr="00C4585A" w:rsidRDefault="00344F30" w:rsidP="00344F30">
      <w:pPr>
        <w:pStyle w:val="Body"/>
        <w:spacing w:after="0"/>
        <w:ind w:left="426" w:hanging="284"/>
        <w:rPr>
          <w:rFonts w:ascii="Arial" w:hAnsi="Arial" w:cs="Arial"/>
        </w:rPr>
      </w:pPr>
      <w:r w:rsidRPr="00344F30">
        <w:rPr>
          <w:rFonts w:ascii="Arial" w:hAnsi="Arial" w:cs="Arial"/>
        </w:rPr>
        <w:t xml:space="preserve">3. </w:t>
      </w:r>
      <w:r w:rsidRPr="00344F30">
        <w:rPr>
          <w:rFonts w:ascii="Arial" w:hAnsi="Arial" w:cs="Arial"/>
        </w:rPr>
        <w:tab/>
        <w:t>It serves as a comprehensive tool for performance evaluation and managerial compensation, as it reflects both operational efficiency and financial responsibility.</w:t>
      </w:r>
    </w:p>
    <w:p w14:paraId="57B18839" w14:textId="763E4BAA" w:rsidR="00154320" w:rsidRPr="00C4585A" w:rsidRDefault="004C2E3C" w:rsidP="004C2E3C">
      <w:pPr>
        <w:pStyle w:val="Body"/>
        <w:spacing w:after="0"/>
        <w:ind w:left="142" w:hanging="142"/>
        <w:rPr>
          <w:rFonts w:ascii="Arial" w:hAnsi="Arial" w:cs="Arial"/>
        </w:rPr>
      </w:pPr>
      <w:r w:rsidRPr="00C4585A">
        <w:rPr>
          <w:rFonts w:ascii="Arial" w:hAnsi="Arial" w:cs="Arial"/>
        </w:rPr>
        <w:t>- C</w:t>
      </w:r>
      <w:r w:rsidR="00154320" w:rsidRPr="00C4585A">
        <w:rPr>
          <w:rFonts w:ascii="Arial" w:hAnsi="Arial" w:cs="Arial"/>
        </w:rPr>
        <w:t>ontrol Variables: Return on Assets (ROA) and firm size (logarithm of total assets).</w:t>
      </w:r>
    </w:p>
    <w:p w14:paraId="7E2A4A78" w14:textId="77777777" w:rsidR="004C2E3C" w:rsidRPr="00C4585A" w:rsidRDefault="004C2E3C" w:rsidP="004C2E3C">
      <w:pPr>
        <w:pStyle w:val="Body"/>
        <w:spacing w:after="0"/>
        <w:ind w:left="142" w:hanging="142"/>
        <w:rPr>
          <w:rFonts w:ascii="Arial" w:hAnsi="Arial" w:cs="Arial"/>
        </w:rPr>
      </w:pPr>
    </w:p>
    <w:p w14:paraId="50C3C534" w14:textId="33AC2F8F" w:rsidR="00154320" w:rsidRPr="00317ACE" w:rsidRDefault="004C2E3C" w:rsidP="004C2E3C">
      <w:pPr>
        <w:pStyle w:val="Body"/>
        <w:spacing w:after="0"/>
        <w:rPr>
          <w:rFonts w:ascii="Arial" w:hAnsi="Arial" w:cs="Arial"/>
          <w:b/>
          <w:bCs/>
          <w:sz w:val="22"/>
          <w:szCs w:val="22"/>
        </w:rPr>
      </w:pPr>
      <w:r w:rsidRPr="00317ACE">
        <w:rPr>
          <w:rFonts w:ascii="Arial" w:hAnsi="Arial" w:cs="Arial"/>
          <w:b/>
          <w:bCs/>
          <w:sz w:val="22"/>
          <w:szCs w:val="22"/>
        </w:rPr>
        <w:t>2</w:t>
      </w:r>
      <w:r w:rsidR="00154320" w:rsidRPr="00317ACE">
        <w:rPr>
          <w:rFonts w:ascii="Arial" w:hAnsi="Arial" w:cs="Arial"/>
          <w:b/>
          <w:bCs/>
          <w:sz w:val="22"/>
          <w:szCs w:val="22"/>
        </w:rPr>
        <w:t>.2 Analytical Strategy</w:t>
      </w:r>
    </w:p>
    <w:p w14:paraId="62927F39" w14:textId="524AC671" w:rsidR="00154320" w:rsidRDefault="00344F30" w:rsidP="00441B6F">
      <w:pPr>
        <w:pStyle w:val="Body"/>
        <w:spacing w:after="0"/>
        <w:rPr>
          <w:rFonts w:ascii="Arial" w:hAnsi="Arial" w:cs="Arial"/>
        </w:rPr>
      </w:pPr>
      <w:r w:rsidRPr="00344F30">
        <w:rPr>
          <w:rFonts w:ascii="Arial" w:hAnsi="Arial" w:cs="Arial"/>
        </w:rPr>
        <w:t>Data were analyzed using EViews 13 software. Descriptive statistics and correlation analysis were conducted first. Subsequently, a panel regression model was applied. Based on the Chow test, the fixed effect model was initially selected; however, the Hausman test indicated that the random effect model was more appropriate. Furthermore, the Lagrange Multiplier (LM) test also confirmed the suitability of the random effect model. Using the random effect model, the hypothesis testing was then conducted. Finally, a Sobel test was performed to examine the mediating effect of CSR</w:t>
      </w:r>
    </w:p>
    <w:p w14:paraId="079E24A5" w14:textId="77777777" w:rsidR="00344F30" w:rsidRPr="00C4585A" w:rsidRDefault="00344F30" w:rsidP="00441B6F">
      <w:pPr>
        <w:pStyle w:val="Body"/>
        <w:spacing w:after="0"/>
        <w:rPr>
          <w:rFonts w:ascii="Arial" w:hAnsi="Arial" w:cs="Arial"/>
        </w:rPr>
      </w:pPr>
    </w:p>
    <w:p w14:paraId="36CE6201" w14:textId="77777777" w:rsidR="00902823" w:rsidRPr="00C4585A" w:rsidRDefault="00000F8F" w:rsidP="00441B6F">
      <w:pPr>
        <w:pStyle w:val="Head1"/>
        <w:spacing w:after="0"/>
        <w:jc w:val="both"/>
        <w:rPr>
          <w:rFonts w:ascii="Arial" w:hAnsi="Arial" w:cs="Arial"/>
        </w:rPr>
      </w:pPr>
      <w:r w:rsidRPr="00C4585A">
        <w:rPr>
          <w:rFonts w:ascii="Arial" w:hAnsi="Arial" w:cs="Arial"/>
        </w:rPr>
        <w:t>3</w:t>
      </w:r>
      <w:r w:rsidR="00902823" w:rsidRPr="00C4585A">
        <w:rPr>
          <w:rFonts w:ascii="Arial" w:hAnsi="Arial" w:cs="Arial"/>
        </w:rPr>
        <w:t xml:space="preserve">. </w:t>
      </w:r>
      <w:r w:rsidRPr="00C4585A">
        <w:rPr>
          <w:rFonts w:ascii="Arial" w:hAnsi="Arial" w:cs="Arial"/>
        </w:rPr>
        <w:t>results and discussion</w:t>
      </w:r>
    </w:p>
    <w:p w14:paraId="26928A8B" w14:textId="77777777" w:rsidR="00790ADA" w:rsidRPr="00C4585A" w:rsidRDefault="00790ADA" w:rsidP="00441B6F">
      <w:pPr>
        <w:pStyle w:val="Head1"/>
        <w:spacing w:after="0"/>
        <w:jc w:val="both"/>
        <w:rPr>
          <w:rFonts w:ascii="Arial" w:hAnsi="Arial" w:cs="Arial"/>
        </w:rPr>
      </w:pPr>
    </w:p>
    <w:p w14:paraId="17EF55D9" w14:textId="77777777" w:rsidR="00B951CD" w:rsidRPr="00C4585A" w:rsidRDefault="00474FDC" w:rsidP="00474FDC">
      <w:pPr>
        <w:pStyle w:val="Body"/>
        <w:spacing w:after="0"/>
        <w:rPr>
          <w:rFonts w:ascii="Arial" w:hAnsi="Arial" w:cs="Arial"/>
        </w:rPr>
      </w:pPr>
      <w:r w:rsidRPr="00C4585A">
        <w:rPr>
          <w:rFonts w:ascii="Arial" w:hAnsi="Arial" w:cs="Arial"/>
        </w:rPr>
        <w:t xml:space="preserve">Descriptive statistics indicate moderate variation across firms in terms of awards received, audit affiliation, CSR scores, and EVA. </w:t>
      </w:r>
    </w:p>
    <w:p w14:paraId="09813D6E" w14:textId="77777777" w:rsidR="00B951CD" w:rsidRPr="00C4585A" w:rsidRDefault="00B951CD" w:rsidP="00474FDC">
      <w:pPr>
        <w:pStyle w:val="Body"/>
        <w:spacing w:after="0"/>
        <w:rPr>
          <w:rFonts w:ascii="Arial" w:hAnsi="Arial" w:cs="Arial"/>
        </w:rPr>
      </w:pPr>
    </w:p>
    <w:p w14:paraId="13F4A616" w14:textId="62234663" w:rsidR="00B951CD" w:rsidRPr="00C4585A" w:rsidRDefault="00B951CD" w:rsidP="00474FDC">
      <w:pPr>
        <w:pStyle w:val="Body"/>
        <w:spacing w:after="0"/>
        <w:rPr>
          <w:rFonts w:ascii="Arial" w:hAnsi="Arial" w:cs="Arial"/>
          <w:b/>
          <w:bCs/>
        </w:rPr>
      </w:pPr>
      <w:r w:rsidRPr="00C4585A">
        <w:rPr>
          <w:rFonts w:ascii="Arial" w:hAnsi="Arial" w:cs="Arial"/>
          <w:b/>
          <w:bCs/>
        </w:rPr>
        <w:t>Table 1. Summary of Descriptive Statistics</w:t>
      </w:r>
    </w:p>
    <w:tbl>
      <w:tblPr>
        <w:tblW w:w="6632" w:type="dxa"/>
        <w:tblLook w:val="04A0" w:firstRow="1" w:lastRow="0" w:firstColumn="1" w:lastColumn="0" w:noHBand="0" w:noVBand="1"/>
      </w:tblPr>
      <w:tblGrid>
        <w:gridCol w:w="995"/>
        <w:gridCol w:w="1134"/>
        <w:gridCol w:w="1134"/>
        <w:gridCol w:w="1134"/>
        <w:gridCol w:w="1184"/>
        <w:gridCol w:w="1051"/>
      </w:tblGrid>
      <w:tr w:rsidR="00C4585A" w:rsidRPr="00C4585A" w14:paraId="303A10E1" w14:textId="77777777" w:rsidTr="00A60351">
        <w:trPr>
          <w:trHeight w:val="299"/>
        </w:trPr>
        <w:tc>
          <w:tcPr>
            <w:tcW w:w="995" w:type="dxa"/>
            <w:tcBorders>
              <w:top w:val="double" w:sz="6" w:space="0" w:color="auto"/>
              <w:left w:val="nil"/>
              <w:bottom w:val="double" w:sz="6" w:space="0" w:color="auto"/>
              <w:right w:val="nil"/>
            </w:tcBorders>
            <w:noWrap/>
            <w:vAlign w:val="center"/>
            <w:hideMark/>
          </w:tcPr>
          <w:p w14:paraId="1A0FEA89" w14:textId="21647308" w:rsidR="00A60351" w:rsidRPr="00C4585A" w:rsidRDefault="00003BB1" w:rsidP="00A60351">
            <w:pPr>
              <w:pStyle w:val="Body"/>
              <w:spacing w:after="0"/>
              <w:rPr>
                <w:rFonts w:ascii="Arial" w:hAnsi="Arial" w:cs="Arial"/>
                <w:b/>
                <w:bCs/>
              </w:rPr>
            </w:pPr>
            <w:r w:rsidRPr="00C4585A">
              <w:rPr>
                <w:rFonts w:ascii="Arial" w:hAnsi="Arial" w:cs="Arial"/>
                <w:b/>
                <w:bCs/>
              </w:rPr>
              <w:t>Variable</w:t>
            </w:r>
            <w:r w:rsidR="00A60351" w:rsidRPr="00C4585A">
              <w:rPr>
                <w:rFonts w:ascii="Arial" w:hAnsi="Arial" w:cs="Arial"/>
                <w:b/>
                <w:bCs/>
              </w:rPr>
              <w:t xml:space="preserve"> </w:t>
            </w:r>
          </w:p>
        </w:tc>
        <w:tc>
          <w:tcPr>
            <w:tcW w:w="1134" w:type="dxa"/>
            <w:tcBorders>
              <w:top w:val="double" w:sz="6" w:space="0" w:color="auto"/>
              <w:left w:val="nil"/>
              <w:bottom w:val="double" w:sz="6" w:space="0" w:color="auto"/>
              <w:right w:val="nil"/>
            </w:tcBorders>
            <w:noWrap/>
            <w:vAlign w:val="center"/>
            <w:hideMark/>
          </w:tcPr>
          <w:p w14:paraId="6FA53DC4"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Mean</w:t>
            </w:r>
          </w:p>
        </w:tc>
        <w:tc>
          <w:tcPr>
            <w:tcW w:w="1134" w:type="dxa"/>
            <w:tcBorders>
              <w:top w:val="double" w:sz="6" w:space="0" w:color="auto"/>
              <w:left w:val="nil"/>
              <w:bottom w:val="double" w:sz="6" w:space="0" w:color="auto"/>
              <w:right w:val="nil"/>
            </w:tcBorders>
            <w:noWrap/>
            <w:vAlign w:val="center"/>
            <w:hideMark/>
          </w:tcPr>
          <w:p w14:paraId="313F8AA8" w14:textId="77777777" w:rsidR="00A60351" w:rsidRPr="00C4585A" w:rsidRDefault="00A60351" w:rsidP="00A60351">
            <w:pPr>
              <w:pStyle w:val="Body"/>
              <w:spacing w:after="0"/>
              <w:rPr>
                <w:rFonts w:ascii="Arial" w:hAnsi="Arial" w:cs="Arial"/>
                <w:b/>
                <w:bCs/>
              </w:rPr>
            </w:pPr>
            <w:r w:rsidRPr="00C4585A">
              <w:rPr>
                <w:rFonts w:ascii="Arial" w:hAnsi="Arial" w:cs="Arial"/>
                <w:b/>
                <w:bCs/>
              </w:rPr>
              <w:t>Median</w:t>
            </w:r>
          </w:p>
        </w:tc>
        <w:tc>
          <w:tcPr>
            <w:tcW w:w="1134" w:type="dxa"/>
            <w:tcBorders>
              <w:top w:val="double" w:sz="6" w:space="0" w:color="auto"/>
              <w:left w:val="nil"/>
              <w:bottom w:val="double" w:sz="6" w:space="0" w:color="auto"/>
              <w:right w:val="nil"/>
            </w:tcBorders>
            <w:vAlign w:val="center"/>
          </w:tcPr>
          <w:p w14:paraId="6DB70BA5" w14:textId="77777777" w:rsidR="00A60351" w:rsidRPr="00C4585A" w:rsidRDefault="00A60351" w:rsidP="00A60351">
            <w:pPr>
              <w:pStyle w:val="Body"/>
              <w:spacing w:after="0"/>
              <w:rPr>
                <w:rFonts w:ascii="Arial" w:hAnsi="Arial" w:cs="Arial"/>
                <w:b/>
                <w:bCs/>
              </w:rPr>
            </w:pPr>
            <w:r w:rsidRPr="00C4585A">
              <w:rPr>
                <w:rFonts w:ascii="Arial" w:hAnsi="Arial" w:cs="Arial"/>
                <w:b/>
                <w:bCs/>
              </w:rPr>
              <w:t xml:space="preserve"> Std. Dev.</w:t>
            </w:r>
          </w:p>
        </w:tc>
        <w:tc>
          <w:tcPr>
            <w:tcW w:w="1184" w:type="dxa"/>
            <w:tcBorders>
              <w:top w:val="double" w:sz="6" w:space="0" w:color="auto"/>
              <w:left w:val="nil"/>
              <w:bottom w:val="double" w:sz="6" w:space="0" w:color="auto"/>
              <w:right w:val="nil"/>
            </w:tcBorders>
            <w:vAlign w:val="center"/>
          </w:tcPr>
          <w:p w14:paraId="2246B71F" w14:textId="4EF605AF" w:rsidR="00A60351" w:rsidRPr="00C4585A" w:rsidRDefault="00A60351" w:rsidP="00A60351">
            <w:pPr>
              <w:pStyle w:val="Body"/>
              <w:spacing w:after="0"/>
              <w:rPr>
                <w:rFonts w:ascii="Arial" w:hAnsi="Arial" w:cs="Arial"/>
                <w:b/>
                <w:bCs/>
              </w:rPr>
            </w:pPr>
            <w:r w:rsidRPr="00C4585A">
              <w:rPr>
                <w:rFonts w:ascii="Arial" w:hAnsi="Arial" w:cs="Arial"/>
                <w:b/>
                <w:bCs/>
              </w:rPr>
              <w:t>Skewness</w:t>
            </w:r>
          </w:p>
        </w:tc>
        <w:tc>
          <w:tcPr>
            <w:tcW w:w="1051" w:type="dxa"/>
            <w:tcBorders>
              <w:top w:val="double" w:sz="6" w:space="0" w:color="auto"/>
              <w:left w:val="nil"/>
              <w:bottom w:val="double" w:sz="6" w:space="0" w:color="auto"/>
              <w:right w:val="nil"/>
            </w:tcBorders>
            <w:noWrap/>
            <w:vAlign w:val="center"/>
          </w:tcPr>
          <w:p w14:paraId="0DEBF59C" w14:textId="0CB0B816" w:rsidR="00A60351" w:rsidRPr="00C4585A" w:rsidRDefault="00A60351" w:rsidP="00A60351">
            <w:pPr>
              <w:pStyle w:val="Body"/>
              <w:spacing w:after="0"/>
              <w:rPr>
                <w:rFonts w:ascii="Arial" w:hAnsi="Arial" w:cs="Arial"/>
                <w:b/>
                <w:bCs/>
              </w:rPr>
            </w:pPr>
            <w:r w:rsidRPr="00C4585A">
              <w:rPr>
                <w:rFonts w:ascii="Arial" w:hAnsi="Arial" w:cs="Arial"/>
                <w:b/>
                <w:bCs/>
              </w:rPr>
              <w:t>Kurtosis</w:t>
            </w:r>
          </w:p>
        </w:tc>
      </w:tr>
      <w:tr w:rsidR="00C4585A" w:rsidRPr="00C4585A" w14:paraId="2DBD22E8" w14:textId="77777777" w:rsidTr="00A60351">
        <w:trPr>
          <w:trHeight w:val="330"/>
        </w:trPr>
        <w:tc>
          <w:tcPr>
            <w:tcW w:w="995" w:type="dxa"/>
            <w:noWrap/>
            <w:vAlign w:val="center"/>
            <w:hideMark/>
          </w:tcPr>
          <w:p w14:paraId="3EA64BD9" w14:textId="77777777" w:rsidR="00A60351" w:rsidRPr="00C4585A" w:rsidRDefault="00A60351" w:rsidP="00A60351">
            <w:pPr>
              <w:pStyle w:val="Body"/>
              <w:spacing w:after="0"/>
              <w:rPr>
                <w:rFonts w:ascii="Arial" w:hAnsi="Arial" w:cs="Arial"/>
              </w:rPr>
            </w:pPr>
            <w:r w:rsidRPr="00C4585A">
              <w:rPr>
                <w:rFonts w:ascii="Arial" w:hAnsi="Arial" w:cs="Arial"/>
              </w:rPr>
              <w:t>FV</w:t>
            </w:r>
          </w:p>
        </w:tc>
        <w:tc>
          <w:tcPr>
            <w:tcW w:w="1134" w:type="dxa"/>
            <w:noWrap/>
            <w:vAlign w:val="center"/>
            <w:hideMark/>
          </w:tcPr>
          <w:p w14:paraId="0CB8A1F2" w14:textId="77777777" w:rsidR="00A60351" w:rsidRPr="00C4585A" w:rsidRDefault="00A60351" w:rsidP="00A60351">
            <w:pPr>
              <w:pStyle w:val="Body"/>
              <w:spacing w:after="0"/>
              <w:rPr>
                <w:rFonts w:ascii="Arial" w:hAnsi="Arial" w:cs="Arial"/>
              </w:rPr>
            </w:pPr>
            <w:r w:rsidRPr="00C4585A">
              <w:rPr>
                <w:rFonts w:ascii="Arial" w:hAnsi="Arial" w:cs="Arial"/>
                <w:lang w:val="en-ID"/>
              </w:rPr>
              <w:t> 8.06E+12</w:t>
            </w:r>
          </w:p>
        </w:tc>
        <w:tc>
          <w:tcPr>
            <w:tcW w:w="1134" w:type="dxa"/>
            <w:noWrap/>
            <w:vAlign w:val="center"/>
            <w:hideMark/>
          </w:tcPr>
          <w:p w14:paraId="222979C9" w14:textId="77777777" w:rsidR="00A60351" w:rsidRPr="00C4585A" w:rsidRDefault="00A60351" w:rsidP="00A60351">
            <w:pPr>
              <w:pStyle w:val="Body"/>
              <w:spacing w:after="0"/>
              <w:rPr>
                <w:rFonts w:ascii="Arial" w:hAnsi="Arial" w:cs="Arial"/>
              </w:rPr>
            </w:pPr>
            <w:r w:rsidRPr="00C4585A">
              <w:rPr>
                <w:rFonts w:ascii="Arial" w:hAnsi="Arial" w:cs="Arial"/>
                <w:lang w:val="en-ID"/>
              </w:rPr>
              <w:t> 2.85E+11</w:t>
            </w:r>
          </w:p>
        </w:tc>
        <w:tc>
          <w:tcPr>
            <w:tcW w:w="1134" w:type="dxa"/>
            <w:vAlign w:val="center"/>
          </w:tcPr>
          <w:p w14:paraId="2C31E8B1" w14:textId="77777777" w:rsidR="00A60351" w:rsidRPr="00C4585A" w:rsidRDefault="00A60351" w:rsidP="00A60351">
            <w:pPr>
              <w:pStyle w:val="Body"/>
              <w:spacing w:after="0"/>
              <w:rPr>
                <w:rFonts w:ascii="Arial" w:hAnsi="Arial" w:cs="Arial"/>
              </w:rPr>
            </w:pPr>
            <w:r w:rsidRPr="00C4585A">
              <w:rPr>
                <w:rFonts w:ascii="Arial" w:hAnsi="Arial" w:cs="Arial"/>
                <w:lang w:val="en-ID"/>
              </w:rPr>
              <w:t>2.25E+13 </w:t>
            </w:r>
          </w:p>
        </w:tc>
        <w:tc>
          <w:tcPr>
            <w:tcW w:w="1184" w:type="dxa"/>
            <w:vAlign w:val="center"/>
          </w:tcPr>
          <w:p w14:paraId="11B88B85" w14:textId="77777777" w:rsidR="00A60351" w:rsidRPr="00C4585A" w:rsidRDefault="00A60351" w:rsidP="00A60351">
            <w:pPr>
              <w:pStyle w:val="Body"/>
              <w:spacing w:after="0"/>
              <w:rPr>
                <w:rFonts w:ascii="Arial" w:hAnsi="Arial" w:cs="Arial"/>
              </w:rPr>
            </w:pPr>
            <w:r w:rsidRPr="00C4585A">
              <w:rPr>
                <w:rFonts w:ascii="Arial" w:hAnsi="Arial" w:cs="Arial"/>
              </w:rPr>
              <w:t>0.231355</w:t>
            </w:r>
          </w:p>
        </w:tc>
        <w:tc>
          <w:tcPr>
            <w:tcW w:w="1051" w:type="dxa"/>
            <w:noWrap/>
          </w:tcPr>
          <w:p w14:paraId="6FCD3026" w14:textId="77777777" w:rsidR="00A60351" w:rsidRPr="00C4585A" w:rsidRDefault="00A60351" w:rsidP="00A60351">
            <w:pPr>
              <w:pStyle w:val="Body"/>
              <w:spacing w:after="0"/>
              <w:rPr>
                <w:rFonts w:ascii="Arial" w:hAnsi="Arial" w:cs="Arial"/>
              </w:rPr>
            </w:pPr>
            <w:r w:rsidRPr="00C4585A">
              <w:rPr>
                <w:rFonts w:ascii="Arial" w:hAnsi="Arial" w:cs="Arial"/>
                <w:lang w:val="en-ID"/>
              </w:rPr>
              <w:t>0.36768</w:t>
            </w:r>
          </w:p>
        </w:tc>
      </w:tr>
      <w:tr w:rsidR="00C4585A" w:rsidRPr="00C4585A" w14:paraId="4E0FC101" w14:textId="77777777" w:rsidTr="00A60351">
        <w:trPr>
          <w:trHeight w:val="330"/>
        </w:trPr>
        <w:tc>
          <w:tcPr>
            <w:tcW w:w="995" w:type="dxa"/>
            <w:noWrap/>
            <w:vAlign w:val="center"/>
          </w:tcPr>
          <w:p w14:paraId="4BF0F6EC" w14:textId="77777777" w:rsidR="00A60351" w:rsidRPr="00C4585A" w:rsidRDefault="00A60351" w:rsidP="00A60351">
            <w:pPr>
              <w:pStyle w:val="Body"/>
              <w:spacing w:after="0"/>
              <w:rPr>
                <w:rFonts w:ascii="Arial" w:hAnsi="Arial" w:cs="Arial"/>
              </w:rPr>
            </w:pPr>
            <w:r w:rsidRPr="00C4585A">
              <w:rPr>
                <w:rFonts w:ascii="Arial" w:hAnsi="Arial" w:cs="Arial"/>
              </w:rPr>
              <w:lastRenderedPageBreak/>
              <w:t>CSR</w:t>
            </w:r>
          </w:p>
        </w:tc>
        <w:tc>
          <w:tcPr>
            <w:tcW w:w="1134" w:type="dxa"/>
            <w:noWrap/>
            <w:vAlign w:val="center"/>
          </w:tcPr>
          <w:p w14:paraId="763D910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0.668072</w:t>
            </w:r>
          </w:p>
        </w:tc>
        <w:tc>
          <w:tcPr>
            <w:tcW w:w="1134" w:type="dxa"/>
            <w:noWrap/>
            <w:vAlign w:val="center"/>
          </w:tcPr>
          <w:p w14:paraId="32F0A1F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0.660000</w:t>
            </w:r>
          </w:p>
        </w:tc>
        <w:tc>
          <w:tcPr>
            <w:tcW w:w="1134" w:type="dxa"/>
            <w:vAlign w:val="center"/>
          </w:tcPr>
          <w:p w14:paraId="54824909" w14:textId="77777777" w:rsidR="00A60351" w:rsidRPr="00C4585A" w:rsidRDefault="00A60351" w:rsidP="00A60351">
            <w:pPr>
              <w:pStyle w:val="Body"/>
              <w:spacing w:after="0"/>
              <w:rPr>
                <w:rFonts w:ascii="Arial" w:hAnsi="Arial" w:cs="Arial"/>
              </w:rPr>
            </w:pPr>
            <w:r w:rsidRPr="00C4585A">
              <w:rPr>
                <w:rFonts w:ascii="Arial" w:hAnsi="Arial" w:cs="Arial"/>
                <w:lang w:val="en-ID"/>
              </w:rPr>
              <w:t>0.145663</w:t>
            </w:r>
          </w:p>
        </w:tc>
        <w:tc>
          <w:tcPr>
            <w:tcW w:w="1184" w:type="dxa"/>
            <w:vAlign w:val="center"/>
          </w:tcPr>
          <w:p w14:paraId="2538C2FA"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0.153219</w:t>
            </w:r>
          </w:p>
        </w:tc>
        <w:tc>
          <w:tcPr>
            <w:tcW w:w="1051" w:type="dxa"/>
            <w:noWrap/>
          </w:tcPr>
          <w:p w14:paraId="0D9CA91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3.427742</w:t>
            </w:r>
          </w:p>
        </w:tc>
      </w:tr>
      <w:tr w:rsidR="00C4585A" w:rsidRPr="00C4585A" w14:paraId="11D3AB49" w14:textId="77777777" w:rsidTr="00A60351">
        <w:trPr>
          <w:trHeight w:val="315"/>
        </w:trPr>
        <w:tc>
          <w:tcPr>
            <w:tcW w:w="995" w:type="dxa"/>
            <w:noWrap/>
            <w:vAlign w:val="center"/>
          </w:tcPr>
          <w:p w14:paraId="4D6C218C" w14:textId="77777777" w:rsidR="00A60351" w:rsidRPr="00C4585A" w:rsidRDefault="00A60351" w:rsidP="00A60351">
            <w:pPr>
              <w:pStyle w:val="Body"/>
              <w:spacing w:after="0"/>
              <w:rPr>
                <w:rFonts w:ascii="Arial" w:hAnsi="Arial" w:cs="Arial"/>
              </w:rPr>
            </w:pPr>
            <w:r w:rsidRPr="00C4585A">
              <w:rPr>
                <w:rFonts w:ascii="Arial" w:hAnsi="Arial" w:cs="Arial"/>
              </w:rPr>
              <w:t>BIG4</w:t>
            </w:r>
          </w:p>
        </w:tc>
        <w:tc>
          <w:tcPr>
            <w:tcW w:w="1134" w:type="dxa"/>
            <w:noWrap/>
            <w:vAlign w:val="center"/>
          </w:tcPr>
          <w:p w14:paraId="484FDE10"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0.640523</w:t>
            </w:r>
          </w:p>
        </w:tc>
        <w:tc>
          <w:tcPr>
            <w:tcW w:w="1134" w:type="dxa"/>
            <w:noWrap/>
            <w:vAlign w:val="center"/>
          </w:tcPr>
          <w:p w14:paraId="3B06DC5C"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1.000000</w:t>
            </w:r>
          </w:p>
        </w:tc>
        <w:tc>
          <w:tcPr>
            <w:tcW w:w="1134" w:type="dxa"/>
            <w:vAlign w:val="center"/>
          </w:tcPr>
          <w:p w14:paraId="1140996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0.480633</w:t>
            </w:r>
          </w:p>
        </w:tc>
        <w:tc>
          <w:tcPr>
            <w:tcW w:w="1184" w:type="dxa"/>
            <w:vAlign w:val="center"/>
          </w:tcPr>
          <w:p w14:paraId="7648DD8D"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-0.585698</w:t>
            </w:r>
          </w:p>
        </w:tc>
        <w:tc>
          <w:tcPr>
            <w:tcW w:w="1051" w:type="dxa"/>
            <w:noWrap/>
          </w:tcPr>
          <w:p w14:paraId="646856B8"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 xml:space="preserve">1.343043 </w:t>
            </w:r>
          </w:p>
        </w:tc>
      </w:tr>
      <w:tr w:rsidR="00A60351" w:rsidRPr="00C4585A" w14:paraId="5232BD14" w14:textId="77777777" w:rsidTr="00A60351">
        <w:trPr>
          <w:trHeight w:val="315"/>
        </w:trPr>
        <w:tc>
          <w:tcPr>
            <w:tcW w:w="995" w:type="dxa"/>
            <w:tcBorders>
              <w:bottom w:val="single" w:sz="4" w:space="0" w:color="auto"/>
            </w:tcBorders>
            <w:noWrap/>
            <w:vAlign w:val="center"/>
          </w:tcPr>
          <w:p w14:paraId="005ECC37" w14:textId="77777777" w:rsidR="00A60351" w:rsidRPr="00C4585A" w:rsidRDefault="00A60351" w:rsidP="00A60351">
            <w:pPr>
              <w:pStyle w:val="Body"/>
              <w:spacing w:after="0"/>
              <w:rPr>
                <w:rFonts w:ascii="Arial" w:hAnsi="Arial" w:cs="Arial"/>
              </w:rPr>
            </w:pPr>
            <w:r w:rsidRPr="00C4585A">
              <w:rPr>
                <w:rFonts w:ascii="Arial" w:hAnsi="Arial" w:cs="Arial"/>
              </w:rPr>
              <w:t>BI</w:t>
            </w:r>
          </w:p>
        </w:tc>
        <w:tc>
          <w:tcPr>
            <w:tcW w:w="1134" w:type="dxa"/>
            <w:tcBorders>
              <w:bottom w:val="single" w:sz="4" w:space="0" w:color="auto"/>
            </w:tcBorders>
            <w:noWrap/>
            <w:vAlign w:val="center"/>
          </w:tcPr>
          <w:p w14:paraId="4FCD1267"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21.28105</w:t>
            </w:r>
          </w:p>
        </w:tc>
        <w:tc>
          <w:tcPr>
            <w:tcW w:w="1134" w:type="dxa"/>
            <w:tcBorders>
              <w:bottom w:val="single" w:sz="4" w:space="0" w:color="auto"/>
            </w:tcBorders>
            <w:noWrap/>
            <w:vAlign w:val="center"/>
          </w:tcPr>
          <w:p w14:paraId="0947CAA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14.00000</w:t>
            </w:r>
          </w:p>
        </w:tc>
        <w:tc>
          <w:tcPr>
            <w:tcW w:w="1134" w:type="dxa"/>
            <w:tcBorders>
              <w:bottom w:val="single" w:sz="4" w:space="0" w:color="auto"/>
            </w:tcBorders>
            <w:vAlign w:val="center"/>
          </w:tcPr>
          <w:p w14:paraId="2235D9E9"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22.88215</w:t>
            </w:r>
          </w:p>
        </w:tc>
        <w:tc>
          <w:tcPr>
            <w:tcW w:w="1184" w:type="dxa"/>
            <w:tcBorders>
              <w:bottom w:val="single" w:sz="4" w:space="0" w:color="auto"/>
            </w:tcBorders>
            <w:vAlign w:val="center"/>
          </w:tcPr>
          <w:p w14:paraId="06F57B71"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0.214879</w:t>
            </w:r>
          </w:p>
        </w:tc>
        <w:tc>
          <w:tcPr>
            <w:tcW w:w="1051" w:type="dxa"/>
            <w:tcBorders>
              <w:bottom w:val="single" w:sz="4" w:space="0" w:color="auto"/>
            </w:tcBorders>
            <w:noWrap/>
          </w:tcPr>
          <w:p w14:paraId="128D4F95" w14:textId="77777777" w:rsidR="00A60351" w:rsidRPr="00C4585A" w:rsidRDefault="00A60351" w:rsidP="00A60351">
            <w:pPr>
              <w:pStyle w:val="Body"/>
              <w:spacing w:after="0"/>
              <w:rPr>
                <w:rFonts w:ascii="Arial" w:hAnsi="Arial" w:cs="Arial"/>
                <w:lang w:val="en-ID"/>
              </w:rPr>
            </w:pPr>
            <w:r w:rsidRPr="00C4585A">
              <w:rPr>
                <w:rFonts w:ascii="Arial" w:hAnsi="Arial" w:cs="Arial"/>
                <w:lang w:val="en-ID"/>
              </w:rPr>
              <w:t>0.175395</w:t>
            </w:r>
          </w:p>
        </w:tc>
      </w:tr>
    </w:tbl>
    <w:p w14:paraId="36DCB328" w14:textId="77777777" w:rsidR="00B951CD" w:rsidRPr="00C4585A" w:rsidRDefault="00B951CD" w:rsidP="00474FDC">
      <w:pPr>
        <w:pStyle w:val="Body"/>
        <w:spacing w:after="0"/>
        <w:rPr>
          <w:rFonts w:ascii="Arial" w:hAnsi="Arial" w:cs="Arial"/>
          <w:b/>
          <w:bCs/>
        </w:rPr>
      </w:pPr>
    </w:p>
    <w:p w14:paraId="5AF4F6F2" w14:textId="7C84C183" w:rsidR="00A60351" w:rsidRPr="00C4585A" w:rsidRDefault="00A60351" w:rsidP="00474FDC">
      <w:pPr>
        <w:pStyle w:val="Body"/>
        <w:spacing w:after="0"/>
        <w:rPr>
          <w:rFonts w:ascii="Arial" w:hAnsi="Arial" w:cs="Arial"/>
        </w:rPr>
      </w:pPr>
      <w:r w:rsidRPr="00C4585A">
        <w:rPr>
          <w:rFonts w:ascii="Arial" w:hAnsi="Arial" w:cs="Arial"/>
        </w:rPr>
        <w:t>The average firm value (FV) is 8.06 × 10¹², while the median is only 2.85 × 10¹¹, indicating a highly asymmetric (positively skewed) data distribution with the possibility of outliers at the top. This is reinforced by the high standard deviation (2.25 × 10¹³). A skewness value of 0.231 indicates a distribution that is slightly skewed to the right (positive), while a kurtosis value of 0.367 indicates that the data distribution is more platykurtic (has a lower peak than a normal distribution).</w:t>
      </w:r>
    </w:p>
    <w:p w14:paraId="41948A90" w14:textId="4A280159" w:rsidR="00A60351" w:rsidRPr="00C4585A" w:rsidRDefault="00A60351" w:rsidP="00474FDC">
      <w:pPr>
        <w:pStyle w:val="Body"/>
        <w:spacing w:after="0"/>
        <w:rPr>
          <w:rFonts w:ascii="Arial" w:hAnsi="Arial" w:cs="Arial"/>
        </w:rPr>
      </w:pPr>
      <w:r w:rsidRPr="00C4585A">
        <w:rPr>
          <w:rFonts w:ascii="Arial" w:hAnsi="Arial" w:cs="Arial"/>
        </w:rPr>
        <w:t>The CSR variable has a mean value of 0.668 and a median of 0.66, indicating a relatively symmetrical data distribution. A standard deviation of 0.145 indicates moderate data distribution, while a skewness of 0.153 and kurtosis of 3.42 indicate a nearly normal but slightly leptokurtic data distribution.</w:t>
      </w:r>
    </w:p>
    <w:p w14:paraId="024E98D8" w14:textId="4407C060" w:rsidR="00A60351" w:rsidRPr="00C4585A" w:rsidRDefault="00A60351" w:rsidP="00474FDC">
      <w:pPr>
        <w:pStyle w:val="Body"/>
        <w:spacing w:after="0"/>
        <w:rPr>
          <w:rFonts w:ascii="Arial" w:hAnsi="Arial" w:cs="Arial"/>
        </w:rPr>
      </w:pPr>
      <w:r w:rsidRPr="00C4585A">
        <w:rPr>
          <w:rFonts w:ascii="Arial" w:hAnsi="Arial" w:cs="Arial"/>
        </w:rPr>
        <w:t>The BIG4 dummy variable shows a mean proportion of 0.640, indicating that approximately 64% of the sample companies use the services of Big Four accounting firms. A median value of 1.00 indicates that the majority of observations fall into category 1 (using Big Four accounting firms). A skewness value of –0.586 indicates that the distribution is slightly skewed to the left (negative skew), and a kurtosis of 1.34 indicates a distribution that is flatter than a normal distribution.</w:t>
      </w:r>
    </w:p>
    <w:p w14:paraId="1B51B133" w14:textId="0EFE6300" w:rsidR="00A60351" w:rsidRPr="00C4585A" w:rsidRDefault="00A60351" w:rsidP="00474FDC">
      <w:pPr>
        <w:pStyle w:val="Body"/>
        <w:spacing w:after="0"/>
        <w:rPr>
          <w:rFonts w:ascii="Arial" w:hAnsi="Arial" w:cs="Arial"/>
        </w:rPr>
      </w:pPr>
      <w:r w:rsidRPr="00C4585A">
        <w:rPr>
          <w:rFonts w:ascii="Arial" w:hAnsi="Arial" w:cs="Arial"/>
        </w:rPr>
        <w:t>Brand image (BI) had an average of 21.28%, with a median of 14%, indicating that most companies have a relatively low proportion of independent commissioners. The data distribution was very high, with a standard deviation of 22.88. Skewness values ​​of 0.215 and kurtosis of 0.175 indicated a distribution close to normal.</w:t>
      </w:r>
    </w:p>
    <w:p w14:paraId="725427BA" w14:textId="059F2D41" w:rsidR="005337A4" w:rsidRPr="00C4585A" w:rsidRDefault="005337A4" w:rsidP="00474FDC">
      <w:pPr>
        <w:pStyle w:val="Body"/>
        <w:spacing w:after="0"/>
        <w:rPr>
          <w:rFonts w:ascii="Arial" w:hAnsi="Arial" w:cs="Arial"/>
        </w:rPr>
      </w:pPr>
    </w:p>
    <w:p w14:paraId="24E2C502" w14:textId="47A47956" w:rsidR="00950B27" w:rsidRPr="00950B27" w:rsidRDefault="00950B27" w:rsidP="004E0A26">
      <w:pPr>
        <w:pStyle w:val="Body"/>
        <w:spacing w:after="0"/>
        <w:rPr>
          <w:rFonts w:ascii="Arial" w:hAnsi="Arial" w:cs="Arial"/>
        </w:rPr>
      </w:pPr>
      <w:r w:rsidRPr="00950B27">
        <w:rPr>
          <w:rFonts w:ascii="Arial" w:hAnsi="Arial" w:cs="Arial"/>
        </w:rPr>
        <w:t>The regression analysis (Table 2) reveals that brand image has a positive and significant effect on firm value, with a t-value of 4.555 and a probability value of 0.000, indicating strong statistical significance. Similarly, the Big-4 auditor status shows a positive and significant influence on firm value, as evidenced by a t-value of 3.019 and a probability of 0.003 (p &lt; 0.01).</w:t>
      </w:r>
      <w:r>
        <w:rPr>
          <w:rFonts w:ascii="Arial" w:hAnsi="Arial" w:cs="Arial"/>
        </w:rPr>
        <w:t xml:space="preserve"> </w:t>
      </w:r>
      <w:r w:rsidRPr="00950B27">
        <w:rPr>
          <w:rFonts w:ascii="Arial" w:hAnsi="Arial" w:cs="Arial"/>
        </w:rPr>
        <w:t>Furthermore, CSR disclosure exhibits a positive and significant relationship with firm value, with a t-value of 3.045 and a probability of 0.002 (p &lt; 0.01). In addition, profitability also demonstrates a positive and significant effect on firm value, supported by a t-value of 2.536 and a probability of 0.012 (p &lt; 0.05). Lastly, the firm size variable, used as a control, likewise shows a positive and significant impact on firm value, with a t-value of 5.794 and a probability value of 0.000.</w:t>
      </w:r>
    </w:p>
    <w:p w14:paraId="67D95D40" w14:textId="3AC9985D" w:rsidR="00474FDC" w:rsidRDefault="00950B27" w:rsidP="004E0A26">
      <w:pPr>
        <w:pStyle w:val="Body"/>
        <w:spacing w:after="0"/>
        <w:rPr>
          <w:rFonts w:ascii="Arial" w:hAnsi="Arial" w:cs="Arial"/>
        </w:rPr>
      </w:pPr>
      <w:r w:rsidRPr="00950B27">
        <w:rPr>
          <w:rFonts w:ascii="Arial" w:hAnsi="Arial" w:cs="Arial"/>
        </w:rPr>
        <w:t>These results indicate that both corporate reputation indicators (brand image and Big-4 auditor status) and internal firm characteristics (CSR disclosure, profitability, and firm size) contribute significantly to enhancing firm value, thereby supporting the proposed hypotheses</w:t>
      </w:r>
    </w:p>
    <w:p w14:paraId="092AE02E" w14:textId="77777777" w:rsidR="004E0A26" w:rsidRPr="00C4585A" w:rsidRDefault="004E0A26" w:rsidP="004E0A26">
      <w:pPr>
        <w:pStyle w:val="Body"/>
        <w:spacing w:after="0"/>
        <w:rPr>
          <w:rFonts w:ascii="Arial" w:hAnsi="Arial" w:cs="Arial"/>
        </w:rPr>
      </w:pPr>
    </w:p>
    <w:p w14:paraId="0527AF32" w14:textId="63C737E0" w:rsidR="00B5168C" w:rsidRPr="00C4585A" w:rsidRDefault="00474FDC" w:rsidP="00F86586">
      <w:pPr>
        <w:pStyle w:val="Body"/>
        <w:spacing w:after="0"/>
        <w:rPr>
          <w:rFonts w:ascii="Arial" w:hAnsi="Arial" w:cs="Arial"/>
          <w:b/>
          <w:bCs/>
        </w:rPr>
      </w:pPr>
      <w:r w:rsidRPr="00C4585A">
        <w:rPr>
          <w:rFonts w:ascii="Arial" w:hAnsi="Arial" w:cs="Arial"/>
          <w:b/>
          <w:bCs/>
        </w:rPr>
        <w:t xml:space="preserve">Table </w:t>
      </w:r>
      <w:r w:rsidR="00F86586" w:rsidRPr="00C4585A">
        <w:rPr>
          <w:rFonts w:ascii="Arial" w:hAnsi="Arial" w:cs="Arial"/>
          <w:b/>
          <w:bCs/>
        </w:rPr>
        <w:t>2</w:t>
      </w:r>
      <w:r w:rsidRPr="00C4585A">
        <w:rPr>
          <w:rFonts w:ascii="Arial" w:hAnsi="Arial" w:cs="Arial"/>
          <w:b/>
          <w:bCs/>
        </w:rPr>
        <w:t>. Summary of Regression Results</w:t>
      </w:r>
    </w:p>
    <w:tbl>
      <w:tblPr>
        <w:tblW w:w="0" w:type="auto"/>
        <w:tblCellSpacing w:w="15" w:type="dxa"/>
        <w:tblInd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16"/>
        <w:gridCol w:w="1275"/>
        <w:gridCol w:w="1701"/>
        <w:gridCol w:w="1134"/>
        <w:gridCol w:w="1560"/>
      </w:tblGrid>
      <w:tr w:rsidR="00950B27" w:rsidRPr="00FE74B9" w14:paraId="62E934FF" w14:textId="77777777" w:rsidTr="00950B27">
        <w:trPr>
          <w:tblHeader/>
          <w:tblCellSpacing w:w="15" w:type="dxa"/>
        </w:trPr>
        <w:tc>
          <w:tcPr>
            <w:tcW w:w="1671" w:type="dxa"/>
            <w:tcBorders>
              <w:top w:val="single" w:sz="4" w:space="0" w:color="auto"/>
              <w:bottom w:val="single" w:sz="4" w:space="0" w:color="auto"/>
            </w:tcBorders>
            <w:vAlign w:val="center"/>
            <w:hideMark/>
          </w:tcPr>
          <w:p w14:paraId="712CFDE4" w14:textId="77777777" w:rsidR="00950B27" w:rsidRPr="00FE74B9" w:rsidRDefault="00950B27" w:rsidP="000B408F">
            <w:pPr>
              <w:spacing w:line="259" w:lineRule="auto"/>
              <w:rPr>
                <w:rFonts w:ascii="Arial" w:eastAsia="Calibri" w:hAnsi="Arial" w:cs="Arial"/>
                <w:b/>
                <w:bCs/>
                <w:kern w:val="2"/>
                <w:lang w:val="en-ID"/>
                <w14:ligatures w14:val="standardContextual"/>
              </w:rPr>
            </w:pPr>
            <w:bookmarkStart w:id="0" w:name="_Hlk210989895"/>
            <w:r w:rsidRPr="00FE74B9">
              <w:rPr>
                <w:rFonts w:ascii="Arial" w:eastAsia="Calibri" w:hAnsi="Arial" w:cs="Arial"/>
                <w:b/>
                <w:bCs/>
                <w:kern w:val="2"/>
                <w:lang w:val="en-ID"/>
                <w14:ligatures w14:val="standardContextual"/>
              </w:rPr>
              <w:t>Predictor</w:t>
            </w:r>
          </w:p>
        </w:tc>
        <w:tc>
          <w:tcPr>
            <w:tcW w:w="1245" w:type="dxa"/>
            <w:tcBorders>
              <w:top w:val="single" w:sz="4" w:space="0" w:color="auto"/>
              <w:bottom w:val="single" w:sz="4" w:space="0" w:color="auto"/>
            </w:tcBorders>
            <w:vAlign w:val="center"/>
          </w:tcPr>
          <w:p w14:paraId="6614F622"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Coefficient</w:t>
            </w:r>
          </w:p>
        </w:tc>
        <w:tc>
          <w:tcPr>
            <w:tcW w:w="1671" w:type="dxa"/>
            <w:tcBorders>
              <w:top w:val="single" w:sz="4" w:space="0" w:color="auto"/>
              <w:bottom w:val="single" w:sz="4" w:space="0" w:color="auto"/>
            </w:tcBorders>
            <w:vAlign w:val="center"/>
            <w:hideMark/>
          </w:tcPr>
          <w:p w14:paraId="4D335C2E"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Std. Error</w:t>
            </w:r>
          </w:p>
        </w:tc>
        <w:tc>
          <w:tcPr>
            <w:tcW w:w="1104" w:type="dxa"/>
            <w:tcBorders>
              <w:top w:val="single" w:sz="4" w:space="0" w:color="auto"/>
              <w:bottom w:val="single" w:sz="4" w:space="0" w:color="auto"/>
            </w:tcBorders>
            <w:vAlign w:val="center"/>
            <w:hideMark/>
          </w:tcPr>
          <w:p w14:paraId="466424C8"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t-Stat</w:t>
            </w:r>
          </w:p>
        </w:tc>
        <w:tc>
          <w:tcPr>
            <w:tcW w:w="1515" w:type="dxa"/>
            <w:tcBorders>
              <w:top w:val="single" w:sz="4" w:space="0" w:color="auto"/>
              <w:bottom w:val="single" w:sz="4" w:space="0" w:color="auto"/>
            </w:tcBorders>
            <w:vAlign w:val="center"/>
            <w:hideMark/>
          </w:tcPr>
          <w:p w14:paraId="0AE3DEDB" w14:textId="77777777" w:rsidR="00950B27" w:rsidRPr="00FE74B9" w:rsidRDefault="00950B27" w:rsidP="000B408F">
            <w:pPr>
              <w:spacing w:line="259" w:lineRule="auto"/>
              <w:jc w:val="center"/>
              <w:rPr>
                <w:rFonts w:ascii="Arial" w:eastAsia="Calibri" w:hAnsi="Arial" w:cs="Arial"/>
                <w:b/>
                <w:bCs/>
                <w:kern w:val="2"/>
                <w:lang w:val="en-ID"/>
                <w14:ligatures w14:val="standardContextual"/>
              </w:rPr>
            </w:pPr>
            <w:r w:rsidRPr="00FE74B9">
              <w:rPr>
                <w:rFonts w:ascii="Arial" w:eastAsia="Calibri" w:hAnsi="Arial" w:cs="Arial"/>
                <w:b/>
                <w:bCs/>
                <w:kern w:val="2"/>
                <w:lang w:val="en-ID"/>
                <w14:ligatures w14:val="standardContextual"/>
              </w:rPr>
              <w:t>Prob</w:t>
            </w:r>
          </w:p>
        </w:tc>
      </w:tr>
      <w:tr w:rsidR="00950B27" w:rsidRPr="00FE74B9" w14:paraId="410460AB" w14:textId="77777777" w:rsidTr="00950B27">
        <w:trPr>
          <w:tblCellSpacing w:w="15" w:type="dxa"/>
        </w:trPr>
        <w:tc>
          <w:tcPr>
            <w:tcW w:w="1671" w:type="dxa"/>
            <w:vAlign w:val="center"/>
            <w:hideMark/>
          </w:tcPr>
          <w:p w14:paraId="27A318BE"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Big-4 KAP Auditor</w:t>
            </w:r>
          </w:p>
        </w:tc>
        <w:tc>
          <w:tcPr>
            <w:tcW w:w="1245" w:type="dxa"/>
            <w:vAlign w:val="center"/>
          </w:tcPr>
          <w:p w14:paraId="36F8FF66"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0,749</w:t>
            </w:r>
          </w:p>
        </w:tc>
        <w:tc>
          <w:tcPr>
            <w:tcW w:w="1671" w:type="dxa"/>
          </w:tcPr>
          <w:p w14:paraId="096AC5B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0.248</w:t>
            </w:r>
          </w:p>
        </w:tc>
        <w:tc>
          <w:tcPr>
            <w:tcW w:w="1104" w:type="dxa"/>
            <w:vAlign w:val="center"/>
            <w:hideMark/>
          </w:tcPr>
          <w:p w14:paraId="6030F41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3,019</w:t>
            </w:r>
          </w:p>
        </w:tc>
        <w:tc>
          <w:tcPr>
            <w:tcW w:w="1515" w:type="dxa"/>
          </w:tcPr>
          <w:p w14:paraId="51122AE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0.003</w:t>
            </w:r>
          </w:p>
        </w:tc>
      </w:tr>
      <w:tr w:rsidR="00950B27" w:rsidRPr="00FE74B9" w14:paraId="4EA0548A" w14:textId="77777777" w:rsidTr="00950B27">
        <w:trPr>
          <w:tblCellSpacing w:w="15" w:type="dxa"/>
        </w:trPr>
        <w:tc>
          <w:tcPr>
            <w:tcW w:w="1671" w:type="dxa"/>
            <w:vAlign w:val="center"/>
          </w:tcPr>
          <w:p w14:paraId="5FFD52EA"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Brand Image</w:t>
            </w:r>
          </w:p>
        </w:tc>
        <w:tc>
          <w:tcPr>
            <w:tcW w:w="1245" w:type="dxa"/>
            <w:vAlign w:val="center"/>
          </w:tcPr>
          <w:p w14:paraId="1462D033"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0,631</w:t>
            </w:r>
          </w:p>
        </w:tc>
        <w:tc>
          <w:tcPr>
            <w:tcW w:w="1671" w:type="dxa"/>
          </w:tcPr>
          <w:p w14:paraId="2DD9EB4D"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0.138</w:t>
            </w:r>
          </w:p>
        </w:tc>
        <w:tc>
          <w:tcPr>
            <w:tcW w:w="1104" w:type="dxa"/>
            <w:vAlign w:val="center"/>
          </w:tcPr>
          <w:p w14:paraId="1C24BA59"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4,555</w:t>
            </w:r>
          </w:p>
        </w:tc>
        <w:tc>
          <w:tcPr>
            <w:tcW w:w="1515" w:type="dxa"/>
          </w:tcPr>
          <w:p w14:paraId="480DA5D9"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0.000</w:t>
            </w:r>
          </w:p>
        </w:tc>
      </w:tr>
      <w:tr w:rsidR="00950B27" w:rsidRPr="00FE74B9" w14:paraId="556FFA90" w14:textId="77777777" w:rsidTr="00950B27">
        <w:trPr>
          <w:tblCellSpacing w:w="15" w:type="dxa"/>
        </w:trPr>
        <w:tc>
          <w:tcPr>
            <w:tcW w:w="1671" w:type="dxa"/>
            <w:vAlign w:val="center"/>
            <w:hideMark/>
          </w:tcPr>
          <w:p w14:paraId="77D822BF"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CSR Activity</w:t>
            </w:r>
          </w:p>
        </w:tc>
        <w:tc>
          <w:tcPr>
            <w:tcW w:w="1245" w:type="dxa"/>
            <w:vAlign w:val="center"/>
          </w:tcPr>
          <w:p w14:paraId="39B9F9D1"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0,734</w:t>
            </w:r>
          </w:p>
        </w:tc>
        <w:tc>
          <w:tcPr>
            <w:tcW w:w="1671" w:type="dxa"/>
          </w:tcPr>
          <w:p w14:paraId="2EB1874A"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0.241</w:t>
            </w:r>
          </w:p>
        </w:tc>
        <w:tc>
          <w:tcPr>
            <w:tcW w:w="1104" w:type="dxa"/>
            <w:vAlign w:val="center"/>
            <w:hideMark/>
          </w:tcPr>
          <w:p w14:paraId="6B9FFCD8"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3,045</w:t>
            </w:r>
          </w:p>
        </w:tc>
        <w:tc>
          <w:tcPr>
            <w:tcW w:w="1515" w:type="dxa"/>
          </w:tcPr>
          <w:p w14:paraId="73B3D7F0"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0.002</w:t>
            </w:r>
          </w:p>
        </w:tc>
      </w:tr>
      <w:tr w:rsidR="00950B27" w:rsidRPr="00FE74B9" w14:paraId="3549A5CD" w14:textId="77777777" w:rsidTr="00950B27">
        <w:trPr>
          <w:tblCellSpacing w:w="15" w:type="dxa"/>
        </w:trPr>
        <w:tc>
          <w:tcPr>
            <w:tcW w:w="1671" w:type="dxa"/>
            <w:vAlign w:val="center"/>
            <w:hideMark/>
          </w:tcPr>
          <w:p w14:paraId="43EC4133"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ROA</w:t>
            </w:r>
          </w:p>
        </w:tc>
        <w:tc>
          <w:tcPr>
            <w:tcW w:w="1245" w:type="dxa"/>
            <w:vAlign w:val="center"/>
          </w:tcPr>
          <w:p w14:paraId="598E280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0,637</w:t>
            </w:r>
          </w:p>
        </w:tc>
        <w:tc>
          <w:tcPr>
            <w:tcW w:w="1671" w:type="dxa"/>
          </w:tcPr>
          <w:p w14:paraId="3DA280F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0.251</w:t>
            </w:r>
          </w:p>
        </w:tc>
        <w:tc>
          <w:tcPr>
            <w:tcW w:w="1104" w:type="dxa"/>
            <w:vAlign w:val="center"/>
            <w:hideMark/>
          </w:tcPr>
          <w:p w14:paraId="1E3A573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2,536</w:t>
            </w:r>
          </w:p>
        </w:tc>
        <w:tc>
          <w:tcPr>
            <w:tcW w:w="1515" w:type="dxa"/>
          </w:tcPr>
          <w:p w14:paraId="3F3026B4"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0.012</w:t>
            </w:r>
          </w:p>
        </w:tc>
      </w:tr>
      <w:tr w:rsidR="00950B27" w:rsidRPr="00FE74B9" w14:paraId="4E9C806E" w14:textId="77777777" w:rsidTr="00950B27">
        <w:trPr>
          <w:tblCellSpacing w:w="15" w:type="dxa"/>
        </w:trPr>
        <w:tc>
          <w:tcPr>
            <w:tcW w:w="1671" w:type="dxa"/>
            <w:tcBorders>
              <w:top w:val="nil"/>
              <w:bottom w:val="single" w:sz="4" w:space="0" w:color="auto"/>
            </w:tcBorders>
            <w:vAlign w:val="center"/>
          </w:tcPr>
          <w:p w14:paraId="656A7E37" w14:textId="77777777" w:rsidR="00950B27" w:rsidRPr="00FE74B9" w:rsidRDefault="00950B27" w:rsidP="000B408F">
            <w:pPr>
              <w:spacing w:line="259" w:lineRule="auto"/>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Firm Size</w:t>
            </w:r>
          </w:p>
        </w:tc>
        <w:tc>
          <w:tcPr>
            <w:tcW w:w="1245" w:type="dxa"/>
            <w:tcBorders>
              <w:top w:val="nil"/>
              <w:bottom w:val="single" w:sz="4" w:space="0" w:color="auto"/>
            </w:tcBorders>
            <w:vAlign w:val="center"/>
          </w:tcPr>
          <w:p w14:paraId="4178EE87"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0,821</w:t>
            </w:r>
          </w:p>
        </w:tc>
        <w:tc>
          <w:tcPr>
            <w:tcW w:w="1671" w:type="dxa"/>
            <w:tcBorders>
              <w:top w:val="nil"/>
              <w:bottom w:val="single" w:sz="4" w:space="0" w:color="auto"/>
            </w:tcBorders>
          </w:tcPr>
          <w:p w14:paraId="5763961F"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0.142</w:t>
            </w:r>
          </w:p>
        </w:tc>
        <w:tc>
          <w:tcPr>
            <w:tcW w:w="1104" w:type="dxa"/>
            <w:tcBorders>
              <w:top w:val="nil"/>
              <w:bottom w:val="single" w:sz="4" w:space="0" w:color="auto"/>
            </w:tcBorders>
            <w:vAlign w:val="center"/>
          </w:tcPr>
          <w:p w14:paraId="2282FE60"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5,794</w:t>
            </w:r>
          </w:p>
        </w:tc>
        <w:tc>
          <w:tcPr>
            <w:tcW w:w="1515" w:type="dxa"/>
            <w:tcBorders>
              <w:top w:val="nil"/>
              <w:bottom w:val="single" w:sz="4" w:space="0" w:color="auto"/>
            </w:tcBorders>
          </w:tcPr>
          <w:p w14:paraId="16657DEC" w14:textId="77777777" w:rsidR="00950B27" w:rsidRPr="00FE74B9" w:rsidRDefault="00950B27" w:rsidP="000B408F">
            <w:pPr>
              <w:spacing w:line="259" w:lineRule="auto"/>
              <w:jc w:val="center"/>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0.000</w:t>
            </w:r>
          </w:p>
        </w:tc>
      </w:tr>
      <w:tr w:rsidR="00950B27" w:rsidRPr="00FE74B9" w14:paraId="5B25A269" w14:textId="77777777" w:rsidTr="00950B27">
        <w:trPr>
          <w:tblCellSpacing w:w="15" w:type="dxa"/>
        </w:trPr>
        <w:tc>
          <w:tcPr>
            <w:tcW w:w="7326" w:type="dxa"/>
            <w:gridSpan w:val="5"/>
            <w:tcBorders>
              <w:top w:val="nil"/>
              <w:bottom w:val="single" w:sz="4" w:space="0" w:color="auto"/>
            </w:tcBorders>
            <w:vAlign w:val="center"/>
          </w:tcPr>
          <w:p w14:paraId="64F7D08E" w14:textId="4201133A"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R-squared                      0.847365          S.E. of regression</w:t>
            </w:r>
            <w:r>
              <w:rPr>
                <w:rFonts w:ascii="Arial" w:eastAsia="Calibri" w:hAnsi="Arial" w:cs="Arial"/>
                <w:kern w:val="2"/>
                <w:lang w:val="en-ID"/>
                <w14:ligatures w14:val="standardContextual"/>
              </w:rPr>
              <w:t xml:space="preserve">       </w:t>
            </w:r>
            <w:r w:rsidRPr="00FE74B9">
              <w:rPr>
                <w:rFonts w:ascii="Arial" w:eastAsia="Calibri" w:hAnsi="Arial" w:cs="Arial"/>
                <w:kern w:val="2"/>
                <w:lang w:val="en-ID"/>
                <w14:ligatures w14:val="standardContextual"/>
              </w:rPr>
              <w:t>0.067664</w:t>
            </w:r>
          </w:p>
          <w:p w14:paraId="1208B433" w14:textId="3E4B7AFA"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Adjusted R-squared</w:t>
            </w:r>
            <w:r w:rsidRPr="00FE74B9">
              <w:rPr>
                <w:rFonts w:ascii="Arial" w:eastAsia="Calibri" w:hAnsi="Arial" w:cs="Arial"/>
                <w:kern w:val="2"/>
                <w:lang w:val="en-ID"/>
                <w14:ligatures w14:val="standardContextual"/>
              </w:rPr>
              <w:tab/>
              <w:t>0.831354          F-statistic</w:t>
            </w:r>
            <w:r w:rsidRPr="00FE74B9">
              <w:rPr>
                <w:rFonts w:ascii="Arial" w:eastAsia="Calibri" w:hAnsi="Arial" w:cs="Arial"/>
                <w:kern w:val="2"/>
                <w:lang w:val="en-ID"/>
                <w14:ligatures w14:val="standardContextual"/>
              </w:rPr>
              <w:tab/>
              <w:t xml:space="preserve">          2.958311</w:t>
            </w:r>
          </w:p>
          <w:p w14:paraId="72F5CF7B" w14:textId="77777777" w:rsidR="00950B27" w:rsidRPr="00FE74B9" w:rsidRDefault="00950B27" w:rsidP="000B408F">
            <w:pPr>
              <w:spacing w:line="259" w:lineRule="auto"/>
              <w:jc w:val="both"/>
              <w:rPr>
                <w:rFonts w:ascii="Arial" w:eastAsia="Calibri" w:hAnsi="Arial" w:cs="Arial"/>
                <w:kern w:val="2"/>
                <w:lang w:val="en-ID"/>
                <w14:ligatures w14:val="standardContextual"/>
              </w:rPr>
            </w:pPr>
            <w:r w:rsidRPr="00FE74B9">
              <w:rPr>
                <w:rFonts w:ascii="Arial" w:eastAsia="Calibri" w:hAnsi="Arial" w:cs="Arial"/>
                <w:kern w:val="2"/>
                <w:lang w:val="en-ID"/>
                <w14:ligatures w14:val="standardContextual"/>
              </w:rPr>
              <w:t>Prob(F-</w:t>
            </w:r>
            <w:proofErr w:type="gramStart"/>
            <w:r w:rsidRPr="00FE74B9">
              <w:rPr>
                <w:rFonts w:ascii="Arial" w:eastAsia="Calibri" w:hAnsi="Arial" w:cs="Arial"/>
                <w:kern w:val="2"/>
                <w:lang w:val="en-ID"/>
                <w14:ligatures w14:val="standardContextual"/>
              </w:rPr>
              <w:t xml:space="preserve">statistic)  </w:t>
            </w:r>
            <w:r w:rsidRPr="00FE74B9">
              <w:rPr>
                <w:rFonts w:ascii="Arial" w:eastAsia="Calibri" w:hAnsi="Arial" w:cs="Arial"/>
                <w:kern w:val="2"/>
                <w:lang w:val="en-ID"/>
                <w14:ligatures w14:val="standardContextual"/>
              </w:rPr>
              <w:tab/>
            </w:r>
            <w:proofErr w:type="gramEnd"/>
            <w:r w:rsidRPr="00FE74B9">
              <w:rPr>
                <w:rFonts w:ascii="Arial" w:eastAsia="Calibri" w:hAnsi="Arial" w:cs="Arial"/>
                <w:kern w:val="2"/>
                <w:lang w:val="en-ID"/>
                <w14:ligatures w14:val="standardContextual"/>
              </w:rPr>
              <w:t>0.007860</w:t>
            </w:r>
          </w:p>
        </w:tc>
      </w:tr>
      <w:bookmarkEnd w:id="0"/>
    </w:tbl>
    <w:p w14:paraId="7EF216E5" w14:textId="77777777" w:rsidR="00D666C7" w:rsidRPr="00C4585A" w:rsidRDefault="00D666C7" w:rsidP="00B5168C">
      <w:pPr>
        <w:pStyle w:val="Body"/>
        <w:spacing w:after="0"/>
        <w:rPr>
          <w:rFonts w:ascii="Arial" w:hAnsi="Arial" w:cs="Arial"/>
        </w:rPr>
      </w:pPr>
    </w:p>
    <w:p w14:paraId="34DA4B4B" w14:textId="77777777" w:rsidR="004E0A26" w:rsidRPr="004E0A26" w:rsidRDefault="004E0A26" w:rsidP="004E0A26">
      <w:pPr>
        <w:pStyle w:val="Body"/>
        <w:spacing w:after="0"/>
        <w:rPr>
          <w:rFonts w:ascii="Arial" w:hAnsi="Arial" w:cs="Arial"/>
        </w:rPr>
      </w:pPr>
      <w:r w:rsidRPr="004E0A26">
        <w:rPr>
          <w:rFonts w:ascii="Arial" w:hAnsi="Arial" w:cs="Arial"/>
        </w:rPr>
        <w:t>Based on the R-squared value, it can be concluded that 84.73% of the variation in the dependent variable is explained by the independent variables included in the model. The relatively high and closely aligned value of the Adjusted R-squared further indicates that the model possesses a strong explanatory power and that overfitting is unlikely, even after adjusting for the number of predictors.</w:t>
      </w:r>
    </w:p>
    <w:p w14:paraId="3DF6D974" w14:textId="24F2B0AC" w:rsidR="00950B27" w:rsidRDefault="004E0A26" w:rsidP="004E0A26">
      <w:pPr>
        <w:pStyle w:val="Body"/>
        <w:spacing w:after="0"/>
        <w:rPr>
          <w:rFonts w:ascii="Arial" w:hAnsi="Arial" w:cs="Arial"/>
        </w:rPr>
      </w:pPr>
      <w:r w:rsidRPr="004E0A26">
        <w:rPr>
          <w:rFonts w:ascii="Arial" w:hAnsi="Arial" w:cs="Arial"/>
        </w:rPr>
        <w:t>Therefore, the model demonstrates an excellent goodness-of-fit, implying that the independent variables collectively account for a substantial portion of the variation in the dependent variable. This suggests that the model is statistically robust and provides a reliable representation of the relationships among the variables under study.</w:t>
      </w:r>
    </w:p>
    <w:p w14:paraId="438FF6CC" w14:textId="77777777" w:rsidR="000C021B" w:rsidRDefault="000C021B" w:rsidP="004E0A26">
      <w:pPr>
        <w:pStyle w:val="Body"/>
        <w:spacing w:after="0"/>
        <w:rPr>
          <w:rFonts w:ascii="Arial" w:hAnsi="Arial" w:cs="Arial"/>
        </w:rPr>
      </w:pPr>
    </w:p>
    <w:p w14:paraId="5CFF6A65" w14:textId="3A370A90" w:rsidR="000C021B" w:rsidRPr="000C021B" w:rsidRDefault="000C021B" w:rsidP="004E0A26">
      <w:pPr>
        <w:pStyle w:val="Body"/>
        <w:spacing w:after="0"/>
        <w:rPr>
          <w:rFonts w:ascii="Arial" w:hAnsi="Arial" w:cs="Arial"/>
          <w:b/>
          <w:bCs/>
        </w:rPr>
      </w:pPr>
      <w:r w:rsidRPr="000C021B">
        <w:rPr>
          <w:rFonts w:ascii="Arial" w:hAnsi="Arial" w:cs="Arial"/>
          <w:b/>
          <w:bCs/>
        </w:rPr>
        <w:t>Table 3. Summary of</w:t>
      </w:r>
      <w:r>
        <w:rPr>
          <w:rFonts w:ascii="Arial" w:hAnsi="Arial" w:cs="Arial"/>
          <w:b/>
          <w:bCs/>
        </w:rPr>
        <w:t xml:space="preserve"> Mediation Test (Sobel Test)</w:t>
      </w:r>
    </w:p>
    <w:tbl>
      <w:tblPr>
        <w:tblW w:w="0" w:type="auto"/>
        <w:tblCellSpacing w:w="15" w:type="dxa"/>
        <w:tblInd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84"/>
        <w:gridCol w:w="1417"/>
        <w:gridCol w:w="1843"/>
        <w:gridCol w:w="1559"/>
      </w:tblGrid>
      <w:tr w:rsidR="000C021B" w:rsidRPr="00E839ED" w14:paraId="30FCC00D" w14:textId="77777777" w:rsidTr="000B408F">
        <w:trPr>
          <w:tblHeader/>
          <w:tblCellSpacing w:w="15" w:type="dxa"/>
        </w:trPr>
        <w:tc>
          <w:tcPr>
            <w:tcW w:w="2239" w:type="dxa"/>
            <w:tcBorders>
              <w:top w:val="single" w:sz="4" w:space="0" w:color="auto"/>
              <w:bottom w:val="single" w:sz="4" w:space="0" w:color="auto"/>
            </w:tcBorders>
            <w:vAlign w:val="center"/>
            <w:hideMark/>
          </w:tcPr>
          <w:p w14:paraId="55191AC5" w14:textId="77777777" w:rsidR="000C021B" w:rsidRPr="00E839ED" w:rsidRDefault="000C021B" w:rsidP="000B408F">
            <w:pPr>
              <w:rPr>
                <w:rFonts w:ascii="Arial" w:eastAsia="Calibri" w:hAnsi="Arial" w:cs="Arial"/>
                <w:b/>
                <w:bCs/>
                <w:sz w:val="18"/>
                <w:szCs w:val="18"/>
              </w:rPr>
            </w:pPr>
            <w:r w:rsidRPr="00E839ED">
              <w:rPr>
                <w:rFonts w:ascii="Arial" w:eastAsia="Calibri" w:hAnsi="Arial" w:cs="Arial"/>
                <w:b/>
                <w:bCs/>
                <w:sz w:val="18"/>
                <w:szCs w:val="18"/>
              </w:rPr>
              <w:t>Predictor</w:t>
            </w:r>
          </w:p>
        </w:tc>
        <w:tc>
          <w:tcPr>
            <w:tcW w:w="1387" w:type="dxa"/>
            <w:tcBorders>
              <w:top w:val="single" w:sz="4" w:space="0" w:color="auto"/>
              <w:bottom w:val="single" w:sz="4" w:space="0" w:color="auto"/>
            </w:tcBorders>
            <w:vAlign w:val="center"/>
            <w:hideMark/>
          </w:tcPr>
          <w:p w14:paraId="3F24E231" w14:textId="77777777" w:rsidR="000C021B" w:rsidRPr="00E839ED" w:rsidRDefault="000C021B" w:rsidP="000B408F">
            <w:pPr>
              <w:jc w:val="center"/>
              <w:rPr>
                <w:rFonts w:ascii="Arial" w:eastAsia="Calibri" w:hAnsi="Arial" w:cs="Arial"/>
                <w:b/>
                <w:bCs/>
                <w:sz w:val="18"/>
                <w:szCs w:val="18"/>
              </w:rPr>
            </w:pPr>
            <w:r w:rsidRPr="00E839ED">
              <w:rPr>
                <w:rFonts w:ascii="Arial" w:eastAsia="Calibri" w:hAnsi="Arial" w:cs="Arial"/>
                <w:b/>
                <w:bCs/>
                <w:sz w:val="18"/>
                <w:szCs w:val="18"/>
              </w:rPr>
              <w:t>Sobel Test</w:t>
            </w:r>
            <w:r>
              <w:rPr>
                <w:rFonts w:ascii="Arial" w:eastAsia="Calibri" w:hAnsi="Arial" w:cs="Arial"/>
                <w:b/>
                <w:bCs/>
                <w:sz w:val="18"/>
                <w:szCs w:val="18"/>
              </w:rPr>
              <w:t xml:space="preserve"> Stat</w:t>
            </w:r>
          </w:p>
        </w:tc>
        <w:tc>
          <w:tcPr>
            <w:tcW w:w="1813" w:type="dxa"/>
            <w:tcBorders>
              <w:top w:val="single" w:sz="4" w:space="0" w:color="auto"/>
              <w:bottom w:val="single" w:sz="4" w:space="0" w:color="auto"/>
            </w:tcBorders>
            <w:vAlign w:val="center"/>
            <w:hideMark/>
          </w:tcPr>
          <w:p w14:paraId="0506377D" w14:textId="77777777" w:rsidR="000C021B" w:rsidRPr="00E839ED" w:rsidRDefault="000C021B" w:rsidP="000B408F">
            <w:pPr>
              <w:jc w:val="center"/>
              <w:rPr>
                <w:rFonts w:ascii="Arial" w:eastAsia="Calibri" w:hAnsi="Arial" w:cs="Arial"/>
                <w:b/>
                <w:bCs/>
                <w:sz w:val="18"/>
                <w:szCs w:val="18"/>
              </w:rPr>
            </w:pPr>
            <w:r>
              <w:rPr>
                <w:rFonts w:ascii="Arial" w:eastAsia="Calibri" w:hAnsi="Arial" w:cs="Arial"/>
                <w:b/>
                <w:bCs/>
                <w:sz w:val="18"/>
                <w:szCs w:val="18"/>
              </w:rPr>
              <w:t>One Tailed Prob</w:t>
            </w:r>
          </w:p>
        </w:tc>
        <w:tc>
          <w:tcPr>
            <w:tcW w:w="1514" w:type="dxa"/>
            <w:tcBorders>
              <w:top w:val="single" w:sz="4" w:space="0" w:color="auto"/>
              <w:bottom w:val="single" w:sz="4" w:space="0" w:color="auto"/>
            </w:tcBorders>
            <w:vAlign w:val="center"/>
            <w:hideMark/>
          </w:tcPr>
          <w:p w14:paraId="5A8B670A" w14:textId="77777777" w:rsidR="000C021B" w:rsidRPr="00E839ED" w:rsidRDefault="000C021B" w:rsidP="000B408F">
            <w:pPr>
              <w:jc w:val="center"/>
              <w:rPr>
                <w:rFonts w:ascii="Arial" w:eastAsia="Calibri" w:hAnsi="Arial" w:cs="Arial"/>
                <w:b/>
                <w:bCs/>
                <w:sz w:val="18"/>
                <w:szCs w:val="18"/>
              </w:rPr>
            </w:pPr>
            <w:r>
              <w:rPr>
                <w:rFonts w:ascii="Arial" w:eastAsia="Calibri" w:hAnsi="Arial" w:cs="Arial"/>
                <w:b/>
                <w:bCs/>
                <w:sz w:val="18"/>
                <w:szCs w:val="18"/>
              </w:rPr>
              <w:t>Two Tailed Prob</w:t>
            </w:r>
          </w:p>
        </w:tc>
      </w:tr>
      <w:tr w:rsidR="000C021B" w:rsidRPr="00E839ED" w14:paraId="47E2FD32" w14:textId="77777777" w:rsidTr="000B408F">
        <w:trPr>
          <w:tblCellSpacing w:w="15" w:type="dxa"/>
        </w:trPr>
        <w:tc>
          <w:tcPr>
            <w:tcW w:w="2239" w:type="dxa"/>
            <w:vAlign w:val="center"/>
            <w:hideMark/>
          </w:tcPr>
          <w:p w14:paraId="6B608F42" w14:textId="77777777" w:rsidR="000C021B" w:rsidRPr="00E839ED" w:rsidRDefault="000C021B" w:rsidP="000B408F">
            <w:pPr>
              <w:rPr>
                <w:rFonts w:ascii="Arial" w:eastAsia="Calibri" w:hAnsi="Arial" w:cs="Arial"/>
                <w:sz w:val="18"/>
                <w:szCs w:val="18"/>
              </w:rPr>
            </w:pPr>
            <w:r w:rsidRPr="00E839ED">
              <w:rPr>
                <w:rFonts w:ascii="Arial" w:eastAsia="Calibri" w:hAnsi="Arial" w:cs="Arial"/>
                <w:sz w:val="18"/>
                <w:szCs w:val="18"/>
              </w:rPr>
              <w:t>Big-4</w:t>
            </w:r>
            <w:r w:rsidRPr="00857104">
              <w:rPr>
                <w:rFonts w:ascii="Arial" w:eastAsia="Calibri" w:hAnsi="Arial" w:cs="Arial"/>
                <w:sz w:val="18"/>
                <w:szCs w:val="18"/>
              </w:rPr>
              <w:sym w:font="Wingdings" w:char="F0E0"/>
            </w:r>
            <w:r>
              <w:rPr>
                <w:rFonts w:ascii="Arial" w:eastAsia="Calibri" w:hAnsi="Arial" w:cs="Arial"/>
                <w:sz w:val="18"/>
                <w:szCs w:val="18"/>
              </w:rPr>
              <w:t xml:space="preserve"> CSR</w:t>
            </w:r>
            <w:r w:rsidRPr="00857104">
              <w:rPr>
                <w:rFonts w:ascii="Arial" w:eastAsia="Calibri" w:hAnsi="Arial" w:cs="Arial"/>
                <w:sz w:val="18"/>
                <w:szCs w:val="18"/>
              </w:rPr>
              <w:sym w:font="Wingdings" w:char="F0E0"/>
            </w:r>
            <w:r>
              <w:rPr>
                <w:rFonts w:ascii="Arial" w:eastAsia="Calibri" w:hAnsi="Arial" w:cs="Arial"/>
                <w:sz w:val="18"/>
                <w:szCs w:val="18"/>
              </w:rPr>
              <w:t>FV</w:t>
            </w:r>
          </w:p>
        </w:tc>
        <w:tc>
          <w:tcPr>
            <w:tcW w:w="1387" w:type="dxa"/>
            <w:vAlign w:val="center"/>
            <w:hideMark/>
          </w:tcPr>
          <w:p w14:paraId="7264BD53"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2,3335</w:t>
            </w:r>
          </w:p>
        </w:tc>
        <w:tc>
          <w:tcPr>
            <w:tcW w:w="1813" w:type="dxa"/>
          </w:tcPr>
          <w:p w14:paraId="1DC01E27" w14:textId="77777777" w:rsidR="000C021B" w:rsidRPr="00E839ED" w:rsidRDefault="000C021B" w:rsidP="000B408F">
            <w:pPr>
              <w:jc w:val="center"/>
              <w:rPr>
                <w:rFonts w:ascii="Arial" w:eastAsia="Calibri" w:hAnsi="Arial" w:cs="Arial"/>
                <w:sz w:val="18"/>
                <w:szCs w:val="18"/>
              </w:rPr>
            </w:pPr>
            <w:r w:rsidRPr="003D0461">
              <w:t>0.00</w:t>
            </w:r>
            <w:r>
              <w:t>98</w:t>
            </w:r>
          </w:p>
        </w:tc>
        <w:tc>
          <w:tcPr>
            <w:tcW w:w="1514" w:type="dxa"/>
            <w:vAlign w:val="center"/>
          </w:tcPr>
          <w:p w14:paraId="6E518187"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0,0196</w:t>
            </w:r>
          </w:p>
        </w:tc>
      </w:tr>
      <w:tr w:rsidR="000C021B" w:rsidRPr="00E839ED" w14:paraId="1F4700D8" w14:textId="77777777" w:rsidTr="000B408F">
        <w:trPr>
          <w:tblCellSpacing w:w="15" w:type="dxa"/>
        </w:trPr>
        <w:tc>
          <w:tcPr>
            <w:tcW w:w="2239" w:type="dxa"/>
            <w:vAlign w:val="center"/>
          </w:tcPr>
          <w:p w14:paraId="6A184965" w14:textId="77777777" w:rsidR="000C021B" w:rsidRPr="00E839ED" w:rsidRDefault="000C021B" w:rsidP="000B408F">
            <w:pPr>
              <w:rPr>
                <w:rFonts w:ascii="Arial" w:eastAsia="Calibri" w:hAnsi="Arial" w:cs="Arial"/>
                <w:sz w:val="18"/>
                <w:szCs w:val="18"/>
              </w:rPr>
            </w:pPr>
            <w:r w:rsidRPr="00E839ED">
              <w:rPr>
                <w:rFonts w:ascii="Arial" w:eastAsia="Calibri" w:hAnsi="Arial" w:cs="Arial"/>
                <w:sz w:val="18"/>
                <w:szCs w:val="18"/>
              </w:rPr>
              <w:t>Brand Image</w:t>
            </w:r>
            <w:r w:rsidRPr="00857104">
              <w:rPr>
                <w:rFonts w:ascii="Arial" w:eastAsia="Calibri" w:hAnsi="Arial" w:cs="Arial"/>
                <w:sz w:val="18"/>
                <w:szCs w:val="18"/>
              </w:rPr>
              <w:sym w:font="Wingdings" w:char="F0E0"/>
            </w:r>
            <w:r>
              <w:rPr>
                <w:rFonts w:ascii="Arial" w:eastAsia="Calibri" w:hAnsi="Arial" w:cs="Arial"/>
                <w:sz w:val="18"/>
                <w:szCs w:val="18"/>
              </w:rPr>
              <w:t>CSR</w:t>
            </w:r>
            <w:r w:rsidRPr="00857104">
              <w:rPr>
                <w:rFonts w:ascii="Arial" w:eastAsia="Calibri" w:hAnsi="Arial" w:cs="Arial"/>
                <w:sz w:val="18"/>
                <w:szCs w:val="18"/>
              </w:rPr>
              <w:sym w:font="Wingdings" w:char="F0E0"/>
            </w:r>
            <w:r>
              <w:rPr>
                <w:rFonts w:ascii="Arial" w:eastAsia="Calibri" w:hAnsi="Arial" w:cs="Arial"/>
                <w:sz w:val="18"/>
                <w:szCs w:val="18"/>
              </w:rPr>
              <w:t>FV</w:t>
            </w:r>
          </w:p>
        </w:tc>
        <w:tc>
          <w:tcPr>
            <w:tcW w:w="1387" w:type="dxa"/>
            <w:vAlign w:val="center"/>
          </w:tcPr>
          <w:p w14:paraId="40C4868D"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2,5606</w:t>
            </w:r>
          </w:p>
        </w:tc>
        <w:tc>
          <w:tcPr>
            <w:tcW w:w="1813" w:type="dxa"/>
          </w:tcPr>
          <w:p w14:paraId="4E6AA76A" w14:textId="77777777" w:rsidR="000C021B" w:rsidRPr="00E839ED" w:rsidRDefault="000C021B" w:rsidP="000B408F">
            <w:pPr>
              <w:jc w:val="center"/>
              <w:rPr>
                <w:rFonts w:ascii="Arial" w:eastAsia="Calibri" w:hAnsi="Arial" w:cs="Arial"/>
                <w:sz w:val="18"/>
                <w:szCs w:val="18"/>
              </w:rPr>
            </w:pPr>
            <w:r w:rsidRPr="003D0461">
              <w:t>0.00</w:t>
            </w:r>
            <w:r>
              <w:t>52</w:t>
            </w:r>
          </w:p>
        </w:tc>
        <w:tc>
          <w:tcPr>
            <w:tcW w:w="1514" w:type="dxa"/>
            <w:vAlign w:val="center"/>
          </w:tcPr>
          <w:p w14:paraId="6CA55F54" w14:textId="77777777" w:rsidR="000C021B" w:rsidRPr="00E839ED" w:rsidRDefault="000C021B" w:rsidP="000B408F">
            <w:pPr>
              <w:jc w:val="center"/>
              <w:rPr>
                <w:rFonts w:ascii="Arial" w:eastAsia="Calibri" w:hAnsi="Arial" w:cs="Arial"/>
                <w:sz w:val="18"/>
                <w:szCs w:val="18"/>
              </w:rPr>
            </w:pPr>
            <w:r>
              <w:rPr>
                <w:rFonts w:ascii="Arial" w:eastAsia="Calibri" w:hAnsi="Arial" w:cs="Arial"/>
                <w:sz w:val="18"/>
                <w:szCs w:val="18"/>
              </w:rPr>
              <w:t>0,0104</w:t>
            </w:r>
          </w:p>
        </w:tc>
      </w:tr>
    </w:tbl>
    <w:p w14:paraId="46DC2073" w14:textId="77777777" w:rsidR="000C021B" w:rsidRDefault="000C021B" w:rsidP="004E0A26">
      <w:pPr>
        <w:pStyle w:val="Body"/>
        <w:spacing w:after="0"/>
        <w:rPr>
          <w:rFonts w:ascii="Arial" w:hAnsi="Arial" w:cs="Arial"/>
        </w:rPr>
      </w:pPr>
    </w:p>
    <w:p w14:paraId="28962CEA" w14:textId="77777777" w:rsidR="006B0AE9" w:rsidRPr="006B0AE9" w:rsidRDefault="006B0AE9" w:rsidP="006B0AE9">
      <w:pPr>
        <w:pStyle w:val="Body"/>
        <w:spacing w:after="0"/>
        <w:rPr>
          <w:rFonts w:ascii="Arial" w:hAnsi="Arial" w:cs="Arial"/>
        </w:rPr>
      </w:pPr>
      <w:r w:rsidRPr="006B0AE9">
        <w:rPr>
          <w:rFonts w:ascii="Arial" w:hAnsi="Arial" w:cs="Arial"/>
        </w:rPr>
        <w:t>Based on Table 3, all probability values are below the 0.05 significance threshold, indicating that CSR significantly mediates the relationship between each predictor and firm value. In other words, the positive effects of Big-4 affiliation and brand image on firm value are partially transmitted through the company’s CSR activities.</w:t>
      </w:r>
    </w:p>
    <w:p w14:paraId="0C6D08B6" w14:textId="2445C727" w:rsidR="004E0A26" w:rsidRDefault="006B0AE9" w:rsidP="006B0AE9">
      <w:pPr>
        <w:pStyle w:val="Body"/>
        <w:spacing w:after="0"/>
        <w:rPr>
          <w:rFonts w:ascii="Arial" w:hAnsi="Arial" w:cs="Arial"/>
        </w:rPr>
      </w:pPr>
      <w:r w:rsidRPr="006B0AE9">
        <w:rPr>
          <w:rFonts w:ascii="Arial" w:hAnsi="Arial" w:cs="Arial"/>
        </w:rPr>
        <w:t>These findings suggest that companies affiliated with reputable external auditors (Big-4) and those possessing a strong national brand image tend to be more actively engaged in CSR practices, which in turn enhance their overall firm value. Thus, CSR functions as a strategic mediating mechanism linking the dimensions of corporate reputation to financial performance and long-term value creation.</w:t>
      </w:r>
    </w:p>
    <w:p w14:paraId="7E3613A6" w14:textId="77777777" w:rsidR="006B0AE9" w:rsidRDefault="006B0AE9" w:rsidP="004E0A26">
      <w:pPr>
        <w:pStyle w:val="Body"/>
        <w:spacing w:after="0"/>
        <w:rPr>
          <w:rFonts w:ascii="Arial" w:hAnsi="Arial" w:cs="Arial"/>
        </w:rPr>
      </w:pPr>
    </w:p>
    <w:p w14:paraId="67547711" w14:textId="135EFC04" w:rsidR="00B5168C" w:rsidRPr="00C4585A" w:rsidRDefault="00B5168C" w:rsidP="00B5168C">
      <w:pPr>
        <w:pStyle w:val="Body"/>
        <w:spacing w:after="0"/>
        <w:rPr>
          <w:rFonts w:ascii="Arial" w:hAnsi="Arial" w:cs="Arial"/>
        </w:rPr>
      </w:pPr>
      <w:r w:rsidRPr="00C4585A">
        <w:rPr>
          <w:rFonts w:ascii="Arial" w:hAnsi="Arial" w:cs="Arial"/>
        </w:rPr>
        <w:t>The findings support stakeholder and signaling theories. Firms with stronger reputations are more likely to disclose CSR activities, which are perceived positively by capital markets and stakeholders.</w:t>
      </w:r>
      <w:r w:rsidR="00D65F9D" w:rsidRPr="00C4585A">
        <w:t xml:space="preserve"> </w:t>
      </w:r>
      <w:r w:rsidR="00ED273A" w:rsidRPr="00C4585A">
        <w:t>A good corporate reputation can reduce the cost of capital, thereby increasing the company's value through EVA. While CSR may have short-term costs, in the long run it can increase EVA through better operational efficiency, higher customer loyalty, or reduced risk, which lowers the cost of capital</w:t>
      </w:r>
      <w:r w:rsidR="00135A01" w:rsidRPr="00C4585A">
        <w:t xml:space="preserve"> </w:t>
      </w:r>
      <w:r w:rsidR="00135A01" w:rsidRPr="00C4585A">
        <w:fldChar w:fldCharType="begin">
          <w:fldData xml:space="preserve">PEVuZE5vdGU+PENpdGU+PEF1dGhvcj5TdGVybjwvQXV0aG9yPjxZZWFyPjE5OTU8L1llYXI+PFJl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</w:fldData>
        </w:fldChar>
      </w:r>
      <w:r w:rsidR="00135A01" w:rsidRPr="00C4585A">
        <w:instrText xml:space="preserve"> ADDIN EN.CITE </w:instrText>
      </w:r>
      <w:r w:rsidR="00135A01" w:rsidRPr="00C4585A">
        <w:fldChar w:fldCharType="begin">
          <w:fldData xml:space="preserve">PEVuZE5vdGU+PENpdGU+PEF1dGhvcj5TdGVybjwvQXV0aG9yPjxZZWFyPjE5OTU8L1llYXI+PFJl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</w:fldData>
        </w:fldChar>
      </w:r>
      <w:r w:rsidR="00135A01" w:rsidRPr="00C4585A">
        <w:instrText xml:space="preserve"> ADDIN EN.CITE.DATA </w:instrText>
      </w:r>
      <w:r w:rsidR="00135A01" w:rsidRPr="00C4585A">
        <w:fldChar w:fldCharType="end"/>
      </w:r>
      <w:r w:rsidR="00135A01" w:rsidRPr="00C4585A">
        <w:fldChar w:fldCharType="separate"/>
      </w:r>
      <w:r w:rsidR="00135A01" w:rsidRPr="00C4585A">
        <w:rPr>
          <w:noProof/>
        </w:rPr>
        <w:t>(Stern et al., 1995; Stewart, 1991)</w:t>
      </w:r>
      <w:r w:rsidR="00135A01" w:rsidRPr="00C4585A">
        <w:fldChar w:fldCharType="end"/>
      </w:r>
      <w:r w:rsidR="00ED273A" w:rsidRPr="00C4585A">
        <w:t xml:space="preserve">. </w:t>
      </w:r>
      <w:r w:rsidR="00D65F9D" w:rsidRPr="00C4585A">
        <w:rPr>
          <w:rFonts w:ascii="Arial" w:hAnsi="Arial" w:cs="Arial"/>
        </w:rPr>
        <w:t xml:space="preserve">Companies with a strong and positive brand image are more likely to meet stakeholder expectations, which in turn increases their trust and support for the company. This creates long-term value that can significantly impact firm value </w:t>
      </w:r>
      <w:r w:rsidR="00D65F9D" w:rsidRPr="00C4585A">
        <w:rPr>
          <w:rFonts w:ascii="Arial" w:hAnsi="Arial" w:cs="Arial"/>
        </w:rPr>
        <w:fldChar w:fldCharType="begin"/>
      </w:r>
      <w:r w:rsidR="00D65F9D" w:rsidRPr="00C4585A">
        <w:rPr>
          <w:rFonts w:ascii="Arial" w:hAnsi="Arial" w:cs="Arial"/>
        </w:rPr>
        <w:instrText xml:space="preserve"> ADDIN EN.CITE &lt;EndNote&gt;&lt;Cite&gt;&lt;Author&gt;Freeman&lt;/Author&gt;&lt;Year&gt;2006&lt;/Year&gt;&lt;RecNum&gt;2259&lt;/RecNum&gt;&lt;DisplayText&gt;(Freeman &amp;amp; &amp;amp; McVea, 2006)&lt;/DisplayText&gt;&lt;record&gt;&lt;rec-number&gt;2259&lt;/rec-number&gt;&lt;foreign-keys&gt;&lt;key app="EN" db-id="vad00f5scteex2eftaoxddt09d5ex9r9awed" timestamp="1696433000"&gt;2259&lt;/key&gt;&lt;/foreign-keys&gt;&lt;ref-type name="Book Section"&gt;5&lt;/ref-type&gt;&lt;contributors&gt;&lt;authors&gt;&lt;author&gt;Freeman, R. Edward&lt;/author&gt;&lt;author&gt;&amp;amp; McVea, John &lt;/author&gt;&lt;/authors&gt;&lt;secondary-authors&gt;&lt;author&gt;A. Hitt , R. Edward Freeman, and Jeffrey S. Harrison&lt;/author&gt;&lt;/secondary-authors&gt;&lt;/contributors&gt;&lt;titles&gt;&lt;title&gt;A Stakeholder Approach to Strategic Management&lt;/title&gt;&lt;secondary-title&gt;The Blackwell Handbook of Strategic Management&lt;/secondary-title&gt;&lt;/titles&gt;&lt;pages&gt;183-201&lt;/pages&gt;&lt;edition&gt;1&lt;/edition&gt;&lt;dates&gt;&lt;year&gt;2006&lt;/year&gt;&lt;/dates&gt;&lt;pub-location&gt;Virginia&lt;/pub-location&gt;&lt;publisher&gt;Blackwell Publishing Ltd&lt;/publisher&gt;&lt;urls&gt;&lt;/urls&gt;&lt;/record&gt;&lt;/Cite&gt;&lt;/EndNote&gt;</w:instrText>
      </w:r>
      <w:r w:rsidR="00D65F9D" w:rsidRPr="00C4585A">
        <w:rPr>
          <w:rFonts w:ascii="Arial" w:hAnsi="Arial" w:cs="Arial"/>
        </w:rPr>
        <w:fldChar w:fldCharType="separate"/>
      </w:r>
      <w:r w:rsidR="00D65F9D" w:rsidRPr="00C4585A">
        <w:rPr>
          <w:rFonts w:ascii="Arial" w:hAnsi="Arial" w:cs="Arial"/>
          <w:noProof/>
        </w:rPr>
        <w:t>(Freeman &amp; &amp; McVea, 2006)</w:t>
      </w:r>
      <w:r w:rsidR="00D65F9D" w:rsidRPr="00C4585A">
        <w:rPr>
          <w:rFonts w:ascii="Arial" w:hAnsi="Arial" w:cs="Arial"/>
        </w:rPr>
        <w:fldChar w:fldCharType="end"/>
      </w:r>
      <w:r w:rsidR="00D65F9D" w:rsidRPr="00C4585A">
        <w:rPr>
          <w:rFonts w:ascii="Arial" w:hAnsi="Arial" w:cs="Arial"/>
        </w:rPr>
        <w:t>.</w:t>
      </w:r>
      <w:r w:rsidRPr="00C4585A">
        <w:rPr>
          <w:rFonts w:ascii="Arial" w:hAnsi="Arial" w:cs="Arial"/>
        </w:rPr>
        <w:t xml:space="preserve"> This confirms that CSR is not only a byproduct of good reputation but also a strategic tool for enhancing firm value.</w:t>
      </w:r>
    </w:p>
    <w:p w14:paraId="7E8D4307" w14:textId="77777777" w:rsidR="00B5168C" w:rsidRPr="00C4585A" w:rsidRDefault="00B5168C" w:rsidP="00B5168C">
      <w:pPr>
        <w:pStyle w:val="Body"/>
        <w:spacing w:after="0"/>
        <w:rPr>
          <w:rFonts w:ascii="Arial" w:hAnsi="Arial" w:cs="Arial"/>
        </w:rPr>
      </w:pPr>
    </w:p>
    <w:p w14:paraId="2E68BFD0" w14:textId="77777777" w:rsidR="00B5168C" w:rsidRPr="00C4585A" w:rsidRDefault="00B5168C" w:rsidP="00B5168C">
      <w:pPr>
        <w:pStyle w:val="Body"/>
        <w:spacing w:after="0"/>
        <w:rPr>
          <w:rFonts w:ascii="Arial" w:hAnsi="Arial" w:cs="Arial"/>
        </w:rPr>
      </w:pPr>
      <w:r w:rsidRPr="00C4585A">
        <w:rPr>
          <w:rFonts w:ascii="Arial" w:hAnsi="Arial" w:cs="Arial"/>
        </w:rPr>
        <w:t>Furthermore, the mediating effect of CSR demonstrates a nuanced pathway where reputational assets are translated into economic value via responsible practices. This has practical implications for corporate boards and policymakers seeking to balance profitability with sustainability.</w:t>
      </w:r>
    </w:p>
    <w:p w14:paraId="0F11D073" w14:textId="77777777" w:rsidR="00B5168C" w:rsidRPr="00C4585A" w:rsidRDefault="00B5168C" w:rsidP="00B5168C">
      <w:pPr>
        <w:pStyle w:val="Body"/>
        <w:spacing w:after="0"/>
        <w:rPr>
          <w:rFonts w:ascii="Arial" w:hAnsi="Arial" w:cs="Arial"/>
        </w:rPr>
      </w:pPr>
    </w:p>
    <w:p w14:paraId="242E47DA" w14:textId="039352FA" w:rsidR="00502516" w:rsidRPr="00C4585A" w:rsidRDefault="00B5168C" w:rsidP="00B5168C">
      <w:pPr>
        <w:pStyle w:val="Body"/>
        <w:spacing w:after="0"/>
        <w:rPr>
          <w:rFonts w:ascii="Arial" w:hAnsi="Arial" w:cs="Arial"/>
        </w:rPr>
      </w:pPr>
      <w:r w:rsidRPr="00C4585A">
        <w:rPr>
          <w:rFonts w:ascii="Arial" w:hAnsi="Arial" w:cs="Arial"/>
        </w:rPr>
        <w:t>In Indonesia, the positive valuation of CSR may be partially driven by increasing investor attention to ESG metrics, heightened regulatory scrutiny, and broader stakeholder activism. Our findings add to the regional literature by showing that even in emerging markets, intangible assets like reputation can be monetized through responsible disclosure.</w:t>
      </w:r>
    </w:p>
    <w:p w14:paraId="1E8736DC" w14:textId="77777777" w:rsidR="00790ADA" w:rsidRPr="00C4585A" w:rsidRDefault="00790ADA" w:rsidP="00441B6F">
      <w:pPr>
        <w:pStyle w:val="Body"/>
        <w:spacing w:after="0"/>
        <w:rPr>
          <w:rFonts w:ascii="Arial" w:hAnsi="Arial" w:cs="Arial"/>
        </w:rPr>
      </w:pPr>
    </w:p>
    <w:p w14:paraId="7820BEFC" w14:textId="77777777" w:rsidR="00B01FCD" w:rsidRPr="00C4585A" w:rsidRDefault="00000F8F" w:rsidP="00441B6F">
      <w:pPr>
        <w:pStyle w:val="ConcHead"/>
        <w:spacing w:after="0"/>
        <w:jc w:val="both"/>
        <w:rPr>
          <w:rFonts w:ascii="Arial" w:hAnsi="Arial" w:cs="Arial"/>
        </w:rPr>
      </w:pPr>
      <w:r w:rsidRPr="00C4585A">
        <w:rPr>
          <w:rFonts w:ascii="Arial" w:hAnsi="Arial" w:cs="Arial"/>
        </w:rPr>
        <w:t xml:space="preserve">4. </w:t>
      </w:r>
      <w:r w:rsidR="00B01FCD" w:rsidRPr="00C4585A">
        <w:rPr>
          <w:rFonts w:ascii="Arial" w:hAnsi="Arial" w:cs="Arial"/>
        </w:rPr>
        <w:t>Conclusion</w:t>
      </w:r>
    </w:p>
    <w:p w14:paraId="1B4BD105" w14:textId="77777777" w:rsidR="00790ADA" w:rsidRPr="00C4585A" w:rsidRDefault="00790ADA" w:rsidP="00441B6F">
      <w:pPr>
        <w:pStyle w:val="ConcHead"/>
        <w:spacing w:after="0"/>
        <w:jc w:val="both"/>
        <w:rPr>
          <w:rFonts w:ascii="Arial" w:hAnsi="Arial" w:cs="Arial"/>
        </w:rPr>
      </w:pPr>
    </w:p>
    <w:p w14:paraId="74F6DF7A" w14:textId="5D3C2B18" w:rsidR="00A2584B" w:rsidRDefault="00A2584B" w:rsidP="00441B6F">
      <w:pPr>
        <w:pStyle w:val="Body"/>
        <w:spacing w:after="0"/>
        <w:rPr>
          <w:rFonts w:ascii="Arial" w:hAnsi="Arial" w:cs="Arial"/>
        </w:rPr>
      </w:pPr>
      <w:r w:rsidRPr="00C4585A">
        <w:rPr>
          <w:rFonts w:ascii="Arial" w:hAnsi="Arial" w:cs="Arial"/>
        </w:rPr>
        <w:t xml:space="preserve">This study concludes that firm reputation significantly enhances firm value and that CSR acts as a mediating mechanism in this relationship. Firms should view CSR not just as compliance but as a strategic extension of their reputational capital. Our results suggest that for companies </w:t>
      </w:r>
      <w:r w:rsidRPr="00C4585A">
        <w:rPr>
          <w:rFonts w:ascii="Arial" w:hAnsi="Arial" w:cs="Arial"/>
        </w:rPr>
        <w:lastRenderedPageBreak/>
        <w:t>aiming to sustain value in competitive and socially aware markets, integrating CSR into reputational strategy is essential.</w:t>
      </w:r>
    </w:p>
    <w:p w14:paraId="1E9A932C" w14:textId="77777777" w:rsidR="008F556F" w:rsidRDefault="008F556F" w:rsidP="00441B6F">
      <w:pPr>
        <w:pStyle w:val="Body"/>
        <w:spacing w:after="0"/>
        <w:rPr>
          <w:rFonts w:ascii="Arial" w:hAnsi="Arial" w:cs="Arial"/>
        </w:rPr>
      </w:pPr>
    </w:p>
    <w:p w14:paraId="20B1E9BB" w14:textId="452C09BD" w:rsidR="008F556F" w:rsidRPr="008F556F" w:rsidRDefault="008F556F" w:rsidP="008F556F">
      <w:pPr>
        <w:pStyle w:val="Body"/>
        <w:spacing w:after="0"/>
        <w:rPr>
          <w:rFonts w:ascii="Arial" w:hAnsi="Arial" w:cs="Arial"/>
        </w:rPr>
      </w:pPr>
      <w:r w:rsidRPr="008F556F">
        <w:rPr>
          <w:rFonts w:ascii="Arial" w:hAnsi="Arial" w:cs="Arial"/>
        </w:rPr>
        <w:t xml:space="preserve">The management and policy implications of this study emphasize the strategic importance of reputation management through the implementation of high-quality audit mechanisms and the active engagement of firms in sustainable business practices. Companies should not only communicate their CSR activities in terms of outputs but also highlight measurable outcomes that reflect </w:t>
      </w:r>
      <w:proofErr w:type="gramStart"/>
      <w:r w:rsidRPr="008F556F">
        <w:rPr>
          <w:rFonts w:ascii="Arial" w:hAnsi="Arial" w:cs="Arial"/>
        </w:rPr>
        <w:t>real</w:t>
      </w:r>
      <w:proofErr w:type="gramEnd"/>
      <w:r w:rsidRPr="008F556F">
        <w:rPr>
          <w:rFonts w:ascii="Arial" w:hAnsi="Arial" w:cs="Arial"/>
        </w:rPr>
        <w:t xml:space="preserve"> social and environmental impact. CSR, therefore, must be positioned as an integrated component of the firm’s long-term value creation strategy rather than merely a compliance-oriented activity to meet regulatory requirements.</w:t>
      </w:r>
    </w:p>
    <w:p w14:paraId="4EF9C09C" w14:textId="64606A3F" w:rsidR="008F556F" w:rsidRDefault="008F556F" w:rsidP="008F556F">
      <w:pPr>
        <w:pStyle w:val="Body"/>
        <w:spacing w:after="0"/>
        <w:rPr>
          <w:rFonts w:ascii="Arial" w:hAnsi="Arial" w:cs="Arial"/>
        </w:rPr>
      </w:pPr>
      <w:r w:rsidRPr="008F556F">
        <w:rPr>
          <w:rFonts w:ascii="Arial" w:hAnsi="Arial" w:cs="Arial"/>
        </w:rPr>
        <w:t>From a regulatory perspective, capital market authorities are encouraged to enhance the quality of oversight related to corporate reporting and to promote greater transparency through comprehensive information disclosure. Strengthening disclosure standards will foster investor confidence and ensure the credibility of sustainability practices. In addition, the government should consider reinforcing the legal and institutional framework for sustainable corporate governance to ensure that environmental, social, and ethical considerations are embedded systematically within corporate decision-making processes. Such measures collectively contribute to a more accountable, transparent, and sustainability-oriented corporate ecosystem.</w:t>
      </w:r>
    </w:p>
    <w:p w14:paraId="1CEF4308" w14:textId="77777777" w:rsidR="000F4783" w:rsidRDefault="000F4783" w:rsidP="008F556F">
      <w:pPr>
        <w:pStyle w:val="Body"/>
        <w:spacing w:after="0"/>
        <w:rPr>
          <w:rFonts w:ascii="Arial" w:hAnsi="Arial" w:cs="Arial"/>
        </w:rPr>
      </w:pPr>
    </w:p>
    <w:p w14:paraId="597080D5" w14:textId="2272C640" w:rsidR="000F4783" w:rsidRDefault="000F4783" w:rsidP="008F556F">
      <w:pPr>
        <w:pStyle w:val="Body"/>
        <w:spacing w:after="0"/>
        <w:rPr>
          <w:rFonts w:ascii="Arial" w:hAnsi="Arial" w:cs="Arial"/>
        </w:rPr>
      </w:pPr>
      <w:r w:rsidRPr="000F4783">
        <w:rPr>
          <w:rFonts w:ascii="Arial" w:hAnsi="Arial" w:cs="Arial"/>
        </w:rPr>
        <w:t>This study is limited to publicly listed companies on the Indonesia Stock Exchange (IDX) during the 2017–2022 period. Consequently, the generalization of findings to other countries or different time frames should be approached with caution, as variations in institutional regulations, CSR frameworks, and market dynamics may influence the observed relationships. Furthermore, the measurement of Corporate Social Responsibility (CSR) relies on a quantitative disclosure index, which primarily captures the extent of reported activities rather than the qualitative dimensions of CSR implementation. As such, this approach may not fully represent stakeholder perceptions or the actual social and environmental impacts generated by these initiatives.</w:t>
      </w:r>
    </w:p>
    <w:p w14:paraId="4D7215A4" w14:textId="77777777" w:rsidR="00652637" w:rsidRPr="00C4585A" w:rsidRDefault="00652637" w:rsidP="00441B6F">
      <w:pPr>
        <w:pStyle w:val="Body"/>
        <w:spacing w:after="0"/>
        <w:rPr>
          <w:rFonts w:ascii="Arial" w:hAnsi="Arial" w:cs="Arial"/>
        </w:rPr>
      </w:pPr>
    </w:p>
    <w:p w14:paraId="25D8C1E2" w14:textId="77777777" w:rsidR="00652637" w:rsidRPr="00652637" w:rsidRDefault="00652637" w:rsidP="00652637">
      <w:pPr>
        <w:pStyle w:val="Body"/>
        <w:spacing w:after="0"/>
        <w:rPr>
          <w:rFonts w:ascii="Arial" w:hAnsi="Arial" w:cs="Arial"/>
        </w:rPr>
      </w:pPr>
      <w:r w:rsidRPr="00652637">
        <w:rPr>
          <w:rFonts w:ascii="Arial" w:hAnsi="Arial" w:cs="Arial"/>
        </w:rPr>
        <w:t>Disclaimer (Artificial intelligence)</w:t>
      </w:r>
    </w:p>
    <w:p w14:paraId="0792B733" w14:textId="77777777" w:rsidR="00652637" w:rsidRPr="00652637" w:rsidRDefault="00652637" w:rsidP="00652637">
      <w:pPr>
        <w:pStyle w:val="Body"/>
        <w:spacing w:after="0"/>
        <w:rPr>
          <w:rFonts w:ascii="Arial" w:hAnsi="Arial" w:cs="Arial"/>
        </w:rPr>
      </w:pPr>
      <w:r w:rsidRPr="00652637">
        <w:rPr>
          <w:rFonts w:ascii="Arial" w:hAnsi="Arial" w:cs="Arial"/>
        </w:rPr>
        <w:t xml:space="preserve">Option 1: </w:t>
      </w:r>
    </w:p>
    <w:p w14:paraId="4736D405" w14:textId="228AC691" w:rsidR="00790ADA" w:rsidRPr="00C4585A" w:rsidRDefault="00652637" w:rsidP="00652637">
      <w:pPr>
        <w:pStyle w:val="Body"/>
        <w:spacing w:after="0"/>
        <w:rPr>
          <w:rFonts w:ascii="Arial" w:hAnsi="Arial" w:cs="Arial"/>
        </w:rPr>
      </w:pPr>
      <w:r w:rsidRPr="00652637">
        <w:rPr>
          <w:rFonts w:ascii="Arial" w:hAnsi="Arial" w:cs="Arial"/>
        </w:rPr>
        <w:t xml:space="preserve">Author(s) hereby </w:t>
      </w:r>
      <w:proofErr w:type="gramStart"/>
      <w:r w:rsidRPr="00652637">
        <w:rPr>
          <w:rFonts w:ascii="Arial" w:hAnsi="Arial" w:cs="Arial"/>
        </w:rPr>
        <w:t>declare</w:t>
      </w:r>
      <w:proofErr w:type="gramEnd"/>
      <w:r w:rsidRPr="00652637">
        <w:rPr>
          <w:rFonts w:ascii="Arial" w:hAnsi="Arial" w:cs="Arial"/>
        </w:rPr>
        <w:t xml:space="preserve"> that NO generative AI technologies such as Large Language Models (ChatGPT, COPILOT, etc.) and text-to-image generators have been used during the writing or editing of this manuscript.</w:t>
      </w:r>
    </w:p>
    <w:p w14:paraId="41932417" w14:textId="44DC6AD6" w:rsidR="00665883" w:rsidRDefault="00665883" w:rsidP="00441B6F">
      <w:pPr>
        <w:pStyle w:val="ReferHead"/>
        <w:spacing w:after="0"/>
        <w:jc w:val="both"/>
        <w:rPr>
          <w:rFonts w:ascii="Arial" w:hAnsi="Arial" w:cs="Arial"/>
          <w:b w:val="0"/>
          <w:caps w:val="0"/>
          <w:sz w:val="20"/>
        </w:rPr>
      </w:pPr>
    </w:p>
    <w:p w14:paraId="56FB5D78" w14:textId="77777777" w:rsidR="00665883" w:rsidRPr="00C4585A" w:rsidRDefault="00665883" w:rsidP="00441B6F">
      <w:pPr>
        <w:pStyle w:val="ReferHead"/>
        <w:spacing w:after="0"/>
        <w:jc w:val="both"/>
        <w:rPr>
          <w:rFonts w:ascii="Arial" w:hAnsi="Arial" w:cs="Arial"/>
          <w:b w:val="0"/>
          <w:caps w:val="0"/>
          <w:sz w:val="20"/>
        </w:rPr>
      </w:pPr>
    </w:p>
    <w:p w14:paraId="30D00B8B" w14:textId="77777777" w:rsidR="00B01FCD" w:rsidRPr="00C4585A" w:rsidRDefault="00B01FCD" w:rsidP="00441B6F">
      <w:pPr>
        <w:pStyle w:val="ReferHead"/>
        <w:spacing w:after="0"/>
        <w:jc w:val="both"/>
        <w:rPr>
          <w:rFonts w:ascii="Arial" w:hAnsi="Arial" w:cs="Arial"/>
        </w:rPr>
      </w:pPr>
      <w:r w:rsidRPr="00C4585A">
        <w:rPr>
          <w:rFonts w:ascii="Arial" w:hAnsi="Arial" w:cs="Arial"/>
        </w:rPr>
        <w:t>References</w:t>
      </w:r>
    </w:p>
    <w:p w14:paraId="385797D5" w14:textId="77777777" w:rsidR="00790ADA" w:rsidRPr="00C4585A" w:rsidRDefault="00790ADA" w:rsidP="00441B6F">
      <w:pPr>
        <w:pStyle w:val="ReferHead"/>
        <w:spacing w:after="0"/>
        <w:jc w:val="both"/>
        <w:rPr>
          <w:rFonts w:ascii="Arial" w:hAnsi="Arial" w:cs="Arial"/>
        </w:rPr>
      </w:pPr>
    </w:p>
    <w:p w14:paraId="5A9AE9DA" w14:textId="77777777" w:rsidR="00284C4C" w:rsidRPr="00C4585A" w:rsidRDefault="00284C4C" w:rsidP="00441B6F">
      <w:pPr>
        <w:pStyle w:val="Body"/>
        <w:spacing w:after="0"/>
        <w:rPr>
          <w:rFonts w:ascii="Arial" w:hAnsi="Arial" w:cs="Arial"/>
          <w:i/>
          <w:u w:val="single"/>
        </w:rPr>
      </w:pPr>
    </w:p>
    <w:p w14:paraId="5FAD647F" w14:textId="713A0507" w:rsidR="00433D64" w:rsidRPr="00433D64" w:rsidRDefault="008913E4" w:rsidP="00433D64">
      <w:pPr>
        <w:pStyle w:val="EndNoteBibliography"/>
        <w:ind w:left="720" w:hanging="720"/>
      </w:pPr>
      <w:r w:rsidRPr="00C4585A">
        <w:rPr>
          <w:lang w:val="en-GB"/>
        </w:rPr>
        <w:fldChar w:fldCharType="begin"/>
      </w:r>
      <w:r w:rsidRPr="00C4585A">
        <w:rPr>
          <w:lang w:val="en-GB"/>
        </w:rPr>
        <w:instrText xml:space="preserve"> ADDIN EN.REFLIST </w:instrText>
      </w:r>
      <w:r w:rsidRPr="00C4585A">
        <w:rPr>
          <w:lang w:val="en-GB"/>
        </w:rPr>
        <w:fldChar w:fldCharType="separate"/>
      </w:r>
      <w:r w:rsidR="00433D64" w:rsidRPr="00433D64">
        <w:t xml:space="preserve">Albuquerque, R., Koskinen, Y., &amp; Zhang, C. (2019). Corporate Social Responsibility and Firm Risk: Theory and Empirical Evidence. </w:t>
      </w:r>
      <w:r w:rsidR="00433D64" w:rsidRPr="00433D64">
        <w:rPr>
          <w:i/>
        </w:rPr>
        <w:t>Management Science</w:t>
      </w:r>
      <w:r w:rsidR="00433D64" w:rsidRPr="00433D64">
        <w:t>,</w:t>
      </w:r>
      <w:r w:rsidR="00433D64" w:rsidRPr="00433D64">
        <w:rPr>
          <w:i/>
        </w:rPr>
        <w:t xml:space="preserve"> 65</w:t>
      </w:r>
      <w:r w:rsidR="00433D64" w:rsidRPr="00433D64">
        <w:t xml:space="preserve">(10), 4451-4469. </w:t>
      </w:r>
      <w:hyperlink r:id="rId11" w:history="1">
        <w:r w:rsidR="00433D64" w:rsidRPr="00433D64">
          <w:rPr>
            <w:rStyle w:val="Hyperlink"/>
          </w:rPr>
          <w:t>https://doi.org/10.1287/mnsc.2018.3043</w:t>
        </w:r>
      </w:hyperlink>
      <w:r w:rsidR="00433D64" w:rsidRPr="00433D64">
        <w:t xml:space="preserve"> </w:t>
      </w:r>
    </w:p>
    <w:p w14:paraId="47F6FEF7" w14:textId="662655BC" w:rsidR="00433D64" w:rsidRPr="00433D64" w:rsidRDefault="00433D64" w:rsidP="00433D64">
      <w:pPr>
        <w:pStyle w:val="EndNoteBibliography"/>
        <w:ind w:left="720" w:hanging="720"/>
      </w:pPr>
      <w:r w:rsidRPr="00433D64">
        <w:t xml:space="preserve">Bardos, K. S., Ertugrul, M., &amp; Gao, L. S. (2020). Corporate Social Responsibility, Product Market Perception, And Firm Value. </w:t>
      </w:r>
      <w:r w:rsidRPr="00433D64">
        <w:rPr>
          <w:i/>
        </w:rPr>
        <w:t>Journal of Corporate Finance</w:t>
      </w:r>
      <w:r w:rsidRPr="00433D64">
        <w:t>,</w:t>
      </w:r>
      <w:r w:rsidRPr="00433D64">
        <w:rPr>
          <w:i/>
        </w:rPr>
        <w:t xml:space="preserve"> 62</w:t>
      </w:r>
      <w:r w:rsidRPr="00433D64">
        <w:t xml:space="preserve">. </w:t>
      </w:r>
      <w:hyperlink r:id="rId12" w:history="1">
        <w:r w:rsidRPr="00433D64">
          <w:rPr>
            <w:rStyle w:val="Hyperlink"/>
          </w:rPr>
          <w:t>https://doi.org/10.1016/j.jcorpfin.2020.101588</w:t>
        </w:r>
      </w:hyperlink>
      <w:r w:rsidRPr="00433D64">
        <w:t xml:space="preserve"> </w:t>
      </w:r>
    </w:p>
    <w:p w14:paraId="7274D971" w14:textId="3A873DE7" w:rsidR="00433D64" w:rsidRPr="00433D64" w:rsidRDefault="00433D64" w:rsidP="00433D64">
      <w:pPr>
        <w:pStyle w:val="EndNoteBibliography"/>
        <w:ind w:left="720" w:hanging="720"/>
      </w:pPr>
      <w:r w:rsidRPr="00433D64">
        <w:t xml:space="preserve">Connelly, B. L., Certo, S. T., Ireland, R. D., &amp; Reutzel, C. R. (2011). Signaling Theory: A Review and Assessment. </w:t>
      </w:r>
      <w:r w:rsidRPr="00433D64">
        <w:rPr>
          <w:i/>
        </w:rPr>
        <w:t>Journal of Management</w:t>
      </w:r>
      <w:r w:rsidRPr="00433D64">
        <w:t>,</w:t>
      </w:r>
      <w:r w:rsidRPr="00433D64">
        <w:rPr>
          <w:i/>
        </w:rPr>
        <w:t xml:space="preserve"> 37</w:t>
      </w:r>
      <w:r w:rsidRPr="00433D64">
        <w:t xml:space="preserve">(1), 39-67. </w:t>
      </w:r>
      <w:hyperlink r:id="rId13" w:history="1">
        <w:r w:rsidRPr="00433D64">
          <w:rPr>
            <w:rStyle w:val="Hyperlink"/>
          </w:rPr>
          <w:t>https://doi.org/10.1177/0149206310388419</w:t>
        </w:r>
      </w:hyperlink>
      <w:r w:rsidRPr="00433D64">
        <w:t xml:space="preserve"> </w:t>
      </w:r>
    </w:p>
    <w:p w14:paraId="6B276C8C" w14:textId="746E5CF8" w:rsidR="00433D64" w:rsidRPr="00433D64" w:rsidRDefault="00433D64" w:rsidP="00433D64">
      <w:pPr>
        <w:pStyle w:val="EndNoteBibliography"/>
        <w:ind w:left="720" w:hanging="720"/>
      </w:pPr>
      <w:r w:rsidRPr="00433D64">
        <w:t xml:space="preserve">Eccles, R. G., Ioannou, I., &amp; Serafeim, G. (2014). The Impact of Corporate Sustainability on Organizational Processes and Performance. </w:t>
      </w:r>
      <w:r w:rsidRPr="00433D64">
        <w:rPr>
          <w:i/>
        </w:rPr>
        <w:t>Management Science</w:t>
      </w:r>
      <w:r w:rsidRPr="00433D64">
        <w:t>,</w:t>
      </w:r>
      <w:r w:rsidRPr="00433D64">
        <w:rPr>
          <w:i/>
        </w:rPr>
        <w:t xml:space="preserve"> 60</w:t>
      </w:r>
      <w:r w:rsidRPr="00433D64">
        <w:t xml:space="preserve">(11), 2835-2857. </w:t>
      </w:r>
      <w:hyperlink r:id="rId14" w:history="1">
        <w:r w:rsidRPr="00433D64">
          <w:rPr>
            <w:rStyle w:val="Hyperlink"/>
          </w:rPr>
          <w:t>https://doi.org/10.1287/mnsc.2014.1984</w:t>
        </w:r>
      </w:hyperlink>
      <w:r w:rsidRPr="00433D64">
        <w:t xml:space="preserve"> </w:t>
      </w:r>
    </w:p>
    <w:p w14:paraId="0C3F293D" w14:textId="345069DF" w:rsidR="00433D64" w:rsidRPr="00433D64" w:rsidRDefault="00433D64" w:rsidP="00433D64">
      <w:pPr>
        <w:pStyle w:val="EndNoteBibliography"/>
        <w:ind w:left="720" w:hanging="720"/>
      </w:pPr>
      <w:r w:rsidRPr="00433D64">
        <w:lastRenderedPageBreak/>
        <w:t xml:space="preserve">Fatma, M., Rahman, Z., &amp; Khan, I. (2015). Building Company Reputation And Brand Equity Through CSR: The Mediating Role Of Trust. </w:t>
      </w:r>
      <w:r w:rsidRPr="00433D64">
        <w:rPr>
          <w:i/>
        </w:rPr>
        <w:t>International Journal of Bank Marketing</w:t>
      </w:r>
      <w:r w:rsidRPr="00433D64">
        <w:t>,</w:t>
      </w:r>
      <w:r w:rsidRPr="00433D64">
        <w:rPr>
          <w:i/>
        </w:rPr>
        <w:t xml:space="preserve"> 33</w:t>
      </w:r>
      <w:r w:rsidRPr="00433D64">
        <w:t xml:space="preserve">(6), 840-856. </w:t>
      </w:r>
      <w:hyperlink r:id="rId15" w:history="1">
        <w:r w:rsidRPr="00433D64">
          <w:rPr>
            <w:rStyle w:val="Hyperlink"/>
          </w:rPr>
          <w:t>https://doi.org/10.1108/ijbm-11-2014-0166</w:t>
        </w:r>
      </w:hyperlink>
      <w:r w:rsidRPr="00433D64">
        <w:t xml:space="preserve"> </w:t>
      </w:r>
    </w:p>
    <w:p w14:paraId="07F132D6" w14:textId="0A0F5BD2" w:rsidR="00433D64" w:rsidRPr="00433D64" w:rsidRDefault="00433D64" w:rsidP="00433D64">
      <w:pPr>
        <w:pStyle w:val="EndNoteBibliography"/>
        <w:ind w:left="720" w:hanging="720"/>
      </w:pPr>
      <w:r w:rsidRPr="00433D64">
        <w:t xml:space="preserve">Fombrun, C., &amp; Shanley, M. (1990). What's in a Name? Reputation Building and Corporate Strategy. </w:t>
      </w:r>
      <w:r w:rsidRPr="00433D64">
        <w:rPr>
          <w:i/>
        </w:rPr>
        <w:t>The Academy of Management Journal</w:t>
      </w:r>
      <w:r w:rsidRPr="00433D64">
        <w:t>,</w:t>
      </w:r>
      <w:r w:rsidRPr="00433D64">
        <w:rPr>
          <w:i/>
        </w:rPr>
        <w:t xml:space="preserve"> 33</w:t>
      </w:r>
      <w:r w:rsidRPr="00433D64">
        <w:t xml:space="preserve">(2), 233-258. </w:t>
      </w:r>
      <w:hyperlink r:id="rId16" w:history="1">
        <w:r w:rsidRPr="00433D64">
          <w:rPr>
            <w:rStyle w:val="Hyperlink"/>
          </w:rPr>
          <w:t>https://doi.org/10.2307/256324</w:t>
        </w:r>
      </w:hyperlink>
      <w:r w:rsidRPr="00433D64">
        <w:t xml:space="preserve"> </w:t>
      </w:r>
    </w:p>
    <w:p w14:paraId="7C3D5F67" w14:textId="77777777" w:rsidR="00433D64" w:rsidRPr="00433D64" w:rsidRDefault="00433D64" w:rsidP="00433D64">
      <w:pPr>
        <w:pStyle w:val="EndNoteBibliography"/>
        <w:ind w:left="720" w:hanging="720"/>
      </w:pPr>
      <w:r w:rsidRPr="00433D64">
        <w:t xml:space="preserve">Freeman, R. E., &amp; &amp; McVea, J. (2006). A Stakeholder Approach to Strategic Management. In R. E. F. A. Hitt , and Jeffrey S. Harrison (Ed.), </w:t>
      </w:r>
      <w:r w:rsidRPr="00433D64">
        <w:rPr>
          <w:i/>
        </w:rPr>
        <w:t>The Blackwell Handbook of Strategic Management</w:t>
      </w:r>
      <w:r w:rsidRPr="00433D64">
        <w:t xml:space="preserve"> (1 ed., pp. 183-201). Blackwell Publishing Ltd. </w:t>
      </w:r>
    </w:p>
    <w:p w14:paraId="4B11E555" w14:textId="77777777" w:rsidR="00433D64" w:rsidRPr="00433D64" w:rsidRDefault="00433D64" w:rsidP="00433D64">
      <w:pPr>
        <w:pStyle w:val="EndNoteBibliography"/>
        <w:ind w:left="720" w:hanging="720"/>
      </w:pPr>
      <w:r w:rsidRPr="00433D64">
        <w:t xml:space="preserve">Hidayah, R., Darmawan, W., Suryarini, T., Suryandari, D., &amp; Rahayu, R. (2021). </w:t>
      </w:r>
      <w:r w:rsidRPr="00433D64">
        <w:rPr>
          <w:i/>
        </w:rPr>
        <w:t>The Effect of the Size of Public Accounting Firms (KAP) and Specialist Auditors on Audit Quality with the Audit Committee as a Moderating Variable</w:t>
      </w:r>
      <w:r w:rsidRPr="00433D64">
        <w:t xml:space="preserve"> Proceedings of the 3rd International Conference on Economics, Business and Economic Education Science, ICE-BEES 2020, 22-23 July 2020, Semarang, Indonesia,  </w:t>
      </w:r>
    </w:p>
    <w:p w14:paraId="41FB0DD6" w14:textId="77777777" w:rsidR="00433D64" w:rsidRPr="00433D64" w:rsidRDefault="00433D64" w:rsidP="00433D64">
      <w:pPr>
        <w:pStyle w:val="EndNoteBibliography"/>
        <w:ind w:left="720" w:hanging="720"/>
      </w:pPr>
      <w:r w:rsidRPr="00433D64">
        <w:t xml:space="preserve">Keller, K. L. (1993). Conceptualizing, Measuring, and Managing Customer-Based Brand Equity. </w:t>
      </w:r>
      <w:r w:rsidRPr="00433D64">
        <w:rPr>
          <w:i/>
        </w:rPr>
        <w:t>Journal of Marketing</w:t>
      </w:r>
      <w:r w:rsidRPr="00433D64">
        <w:t>,</w:t>
      </w:r>
      <w:r w:rsidRPr="00433D64">
        <w:rPr>
          <w:i/>
        </w:rPr>
        <w:t xml:space="preserve"> 57</w:t>
      </w:r>
      <w:r w:rsidRPr="00433D64">
        <w:t xml:space="preserve">, 1-22. </w:t>
      </w:r>
    </w:p>
    <w:p w14:paraId="1EC453B7" w14:textId="55A4B66B" w:rsidR="00433D64" w:rsidRPr="00433D64" w:rsidRDefault="00433D64" w:rsidP="00433D64">
      <w:pPr>
        <w:pStyle w:val="EndNoteBibliography"/>
        <w:ind w:left="720" w:hanging="720"/>
      </w:pPr>
      <w:r w:rsidRPr="00433D64">
        <w:t xml:space="preserve">Martínez, P., &amp; Rodríguez del Bosque, I. (2013). CSR And Customer Loyalty: The Roles Of Trust, Customer Identification With The Company And Satisfaction. </w:t>
      </w:r>
      <w:r w:rsidRPr="00433D64">
        <w:rPr>
          <w:i/>
        </w:rPr>
        <w:t>International Journal of Hospitality Management</w:t>
      </w:r>
      <w:r w:rsidRPr="00433D64">
        <w:t>,</w:t>
      </w:r>
      <w:r w:rsidRPr="00433D64">
        <w:rPr>
          <w:i/>
        </w:rPr>
        <w:t xml:space="preserve"> 35</w:t>
      </w:r>
      <w:r w:rsidRPr="00433D64">
        <w:t xml:space="preserve">, 89-99. </w:t>
      </w:r>
      <w:hyperlink r:id="rId17" w:history="1">
        <w:r w:rsidRPr="00433D64">
          <w:rPr>
            <w:rStyle w:val="Hyperlink"/>
          </w:rPr>
          <w:t>https://doi.org/10.1016/j.ijhm.2013.05.009</w:t>
        </w:r>
      </w:hyperlink>
      <w:r w:rsidRPr="00433D64">
        <w:t xml:space="preserve"> </w:t>
      </w:r>
    </w:p>
    <w:p w14:paraId="08D11FA7" w14:textId="77777777" w:rsidR="00433D64" w:rsidRPr="00433D64" w:rsidRDefault="00433D64" w:rsidP="00433D64">
      <w:pPr>
        <w:pStyle w:val="EndNoteBibliography"/>
        <w:ind w:left="720" w:hanging="720"/>
      </w:pPr>
      <w:r w:rsidRPr="00433D64">
        <w:t xml:space="preserve">Mizik, N., &amp; Jacobson, R. (2008). The Financial Value Impact of Perceptual Brand Attributes. </w:t>
      </w:r>
      <w:r w:rsidRPr="00433D64">
        <w:rPr>
          <w:i/>
        </w:rPr>
        <w:t>Journal of marketing research</w:t>
      </w:r>
      <w:r w:rsidRPr="00433D64">
        <w:t>,</w:t>
      </w:r>
      <w:r w:rsidRPr="00433D64">
        <w:rPr>
          <w:i/>
        </w:rPr>
        <w:t xml:space="preserve"> 45</w:t>
      </w:r>
      <w:r w:rsidRPr="00433D64">
        <w:t xml:space="preserve">(1), 15-32. </w:t>
      </w:r>
    </w:p>
    <w:p w14:paraId="04712F5B" w14:textId="77777777" w:rsidR="00433D64" w:rsidRPr="00433D64" w:rsidRDefault="00433D64" w:rsidP="00433D64">
      <w:pPr>
        <w:pStyle w:val="EndNoteBibliography"/>
        <w:ind w:left="720" w:hanging="720"/>
      </w:pPr>
      <w:r w:rsidRPr="00433D64">
        <w:t xml:space="preserve">Morgan, N. A., &amp; Rego, L. L. (2009). Brand Portfolio Strategy And Firm Performance. </w:t>
      </w:r>
      <w:r w:rsidRPr="00433D64">
        <w:rPr>
          <w:i/>
        </w:rPr>
        <w:t>Journal of Marketing</w:t>
      </w:r>
      <w:r w:rsidRPr="00433D64">
        <w:t>,</w:t>
      </w:r>
      <w:r w:rsidRPr="00433D64">
        <w:rPr>
          <w:i/>
        </w:rPr>
        <w:t xml:space="preserve"> 73</w:t>
      </w:r>
      <w:r w:rsidRPr="00433D64">
        <w:t xml:space="preserve">(1), 59-74. </w:t>
      </w:r>
    </w:p>
    <w:p w14:paraId="2417EDDA" w14:textId="77777777" w:rsidR="00433D64" w:rsidRPr="00433D64" w:rsidRDefault="00433D64" w:rsidP="00433D64">
      <w:pPr>
        <w:pStyle w:val="EndNoteBibliography"/>
        <w:ind w:left="720" w:hanging="720"/>
      </w:pPr>
      <w:r w:rsidRPr="00433D64">
        <w:t>Natalia, L., Widarsono, A., &amp; Widyaningsih, A. (2024). The Role Of Auditee, Auditor, and Angagement To Audit Fee at SOEs. International Conference on Accounting &amp; Finance, Departemen Akuntansi, Fakultas Bisnis &amp; Ekonomi, Universitas Islam Indonesia.</w:t>
      </w:r>
    </w:p>
    <w:p w14:paraId="05B3A8CD" w14:textId="552E8B92" w:rsidR="00433D64" w:rsidRPr="00433D64" w:rsidRDefault="00433D64" w:rsidP="00433D64">
      <w:pPr>
        <w:pStyle w:val="EndNoteBibliography"/>
        <w:ind w:left="720" w:hanging="720"/>
      </w:pPr>
      <w:r w:rsidRPr="00433D64">
        <w:t xml:space="preserve">Pérez-Cornejo, C., &amp; de Quevedo-Puente, E. (2022). How Corporate Social Responsibility Mediates The Relationship Between Corporate Reputation And Enterprise Risk Management: Evidence From Spain. </w:t>
      </w:r>
      <w:r w:rsidRPr="00433D64">
        <w:rPr>
          <w:i/>
        </w:rPr>
        <w:t>Eurasian Business Review</w:t>
      </w:r>
      <w:r w:rsidRPr="00433D64">
        <w:t>,</w:t>
      </w:r>
      <w:r w:rsidRPr="00433D64">
        <w:rPr>
          <w:i/>
        </w:rPr>
        <w:t xml:space="preserve"> 13</w:t>
      </w:r>
      <w:r w:rsidRPr="00433D64">
        <w:t xml:space="preserve">(2), 363-383. </w:t>
      </w:r>
      <w:hyperlink r:id="rId18" w:history="1">
        <w:r w:rsidRPr="00433D64">
          <w:rPr>
            <w:rStyle w:val="Hyperlink"/>
          </w:rPr>
          <w:t>https://doi.org/10.1007/s40821-022-00223-2</w:t>
        </w:r>
      </w:hyperlink>
      <w:r w:rsidRPr="00433D64">
        <w:t xml:space="preserve"> </w:t>
      </w:r>
    </w:p>
    <w:p w14:paraId="4B0FB200" w14:textId="77777777" w:rsidR="00433D64" w:rsidRPr="00433D64" w:rsidRDefault="00433D64" w:rsidP="00433D64">
      <w:pPr>
        <w:pStyle w:val="EndNoteBibliography"/>
        <w:ind w:left="720" w:hanging="720"/>
      </w:pPr>
      <w:r w:rsidRPr="00433D64">
        <w:t xml:space="preserve">Porter, M. E., &amp; Kramer, M. R. (2011). Creare Valore Condiviso. </w:t>
      </w:r>
      <w:r w:rsidRPr="00433D64">
        <w:rPr>
          <w:i/>
        </w:rPr>
        <w:t>Harvard Business Review Italia</w:t>
      </w:r>
      <w:r w:rsidRPr="00433D64">
        <w:t>,</w:t>
      </w:r>
      <w:r w:rsidRPr="00433D64">
        <w:rPr>
          <w:i/>
        </w:rPr>
        <w:t xml:space="preserve"> 1</w:t>
      </w:r>
      <w:r w:rsidRPr="00433D64">
        <w:t xml:space="preserve">(2), 68-84. </w:t>
      </w:r>
    </w:p>
    <w:p w14:paraId="2A51E636" w14:textId="77777777" w:rsidR="00433D64" w:rsidRPr="00433D64" w:rsidRDefault="00433D64" w:rsidP="00433D64">
      <w:pPr>
        <w:pStyle w:val="EndNoteBibliography"/>
        <w:ind w:left="720" w:hanging="720"/>
      </w:pPr>
      <w:r w:rsidRPr="00433D64">
        <w:t xml:space="preserve">Stern, J. M., Stewart, G. B., &amp; Chew, D. H. (1995). The EVA® Financial Management System. </w:t>
      </w:r>
      <w:r w:rsidRPr="00433D64">
        <w:rPr>
          <w:i/>
        </w:rPr>
        <w:t>Journal of Applied Corporate Finance</w:t>
      </w:r>
      <w:r w:rsidRPr="00433D64">
        <w:t>,</w:t>
      </w:r>
      <w:r w:rsidRPr="00433D64">
        <w:rPr>
          <w:i/>
        </w:rPr>
        <w:t xml:space="preserve"> 8</w:t>
      </w:r>
      <w:r w:rsidRPr="00433D64">
        <w:t xml:space="preserve">(2), 32-46. </w:t>
      </w:r>
    </w:p>
    <w:p w14:paraId="19B41CBB" w14:textId="77777777" w:rsidR="00433D64" w:rsidRPr="00433D64" w:rsidRDefault="00433D64" w:rsidP="00433D64">
      <w:pPr>
        <w:pStyle w:val="EndNoteBibliography"/>
        <w:ind w:left="720" w:hanging="720"/>
      </w:pPr>
      <w:r w:rsidRPr="00433D64">
        <w:t xml:space="preserve">Stewart, B. (1991). The Quest for value: A Guide for Senior Managers. Harper Collins: NY. </w:t>
      </w:r>
    </w:p>
    <w:p w14:paraId="6483A55E" w14:textId="55BB9E48" w:rsidR="000E706E" w:rsidRPr="00C4585A" w:rsidRDefault="008913E4" w:rsidP="00003BB1">
      <w:pPr>
        <w:pStyle w:val="Body"/>
        <w:spacing w:after="0"/>
        <w:rPr>
          <w:lang w:val="en-GB"/>
        </w:rPr>
      </w:pPr>
      <w:r w:rsidRPr="00C4585A">
        <w:rPr>
          <w:lang w:val="en-GB"/>
        </w:rPr>
        <w:fldChar w:fldCharType="end"/>
      </w:r>
    </w:p>
    <w:p w14:paraId="296BF2BF" w14:textId="77777777" w:rsidR="000E706E" w:rsidRPr="00C4585A" w:rsidRDefault="000E706E" w:rsidP="000E706E">
      <w:pPr>
        <w:pStyle w:val="Body"/>
        <w:spacing w:after="0"/>
        <w:rPr>
          <w:lang w:val="en-GB"/>
        </w:rPr>
      </w:pPr>
    </w:p>
    <w:p w14:paraId="2D4C5CEF" w14:textId="1468DE2A" w:rsidR="000E706E" w:rsidRPr="00C4585A" w:rsidRDefault="00556F29" w:rsidP="000E706E">
      <w:pPr>
        <w:pStyle w:val="Body"/>
        <w:spacing w:after="0"/>
        <w:rPr>
          <w:lang w:val="en-GB"/>
        </w:rPr>
      </w:pPr>
      <w:r w:rsidRPr="00C4585A">
        <w:rPr>
          <w:noProof/>
        </w:rPr>
        <w:t xml:space="preserve">Freeman, R. E., &amp; &amp; McVea, J. (2006). A Stakeholder Approach to Strategic Management. In R. E. F. A. Hitt , and Jeffrey S. Harrison (Ed.), </w:t>
      </w:r>
      <w:r w:rsidRPr="00C4585A">
        <w:rPr>
          <w:i/>
          <w:noProof/>
        </w:rPr>
        <w:t>The Blackwell Handbook of Strategic Management</w:t>
      </w:r>
      <w:r w:rsidRPr="00C4585A">
        <w:rPr>
          <w:noProof/>
        </w:rPr>
        <w:t xml:space="preserve"> (1 ed., pp. 183-201). Blackwell Publishing Ltd.</w:t>
      </w:r>
      <w:r w:rsidR="00D65F9D" w:rsidRPr="00C4585A">
        <w:rPr>
          <w:lang w:val="en-GB"/>
        </w:rPr>
        <w:t xml:space="preserve"> </w:t>
      </w:r>
    </w:p>
    <w:p w14:paraId="6596049B" w14:textId="77777777" w:rsidR="000E706E" w:rsidRPr="00C4585A" w:rsidRDefault="000E706E" w:rsidP="000E706E">
      <w:pPr>
        <w:pStyle w:val="Body"/>
        <w:spacing w:after="0"/>
        <w:rPr>
          <w:lang w:val="en-GB"/>
        </w:rPr>
      </w:pPr>
    </w:p>
    <w:p w14:paraId="7508C139" w14:textId="6305D13E" w:rsidR="004A242B" w:rsidRPr="00C4585A" w:rsidRDefault="004A242B" w:rsidP="000E706E">
      <w:pPr>
        <w:pStyle w:val="Body"/>
        <w:spacing w:after="0"/>
        <w:rPr>
          <w:lang w:val="en-GB"/>
        </w:rPr>
      </w:pPr>
      <w:r w:rsidRPr="00C4585A">
        <w:rPr>
          <w:noProof/>
        </w:rPr>
        <w:t>Stewart, B. (1991). The Quest for value: A Guide for Senior Managers. Harper Collins: NY.</w:t>
      </w:r>
    </w:p>
    <w:p w14:paraId="548EBC60" w14:textId="4E70E183" w:rsidR="000E706E" w:rsidRPr="00C4585A" w:rsidRDefault="000E706E" w:rsidP="000E706E">
      <w:pPr>
        <w:pStyle w:val="Body"/>
        <w:spacing w:after="0"/>
        <w:rPr>
          <w:lang w:val="en-GB"/>
        </w:rPr>
      </w:pPr>
    </w:p>
    <w:sectPr w:rsidR="000E706E" w:rsidRPr="00C4585A" w:rsidSect="006658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9198" w14:textId="77777777" w:rsidR="00FC0EF0" w:rsidRDefault="00FC0EF0" w:rsidP="00C37E61">
      <w:r>
        <w:separator/>
      </w:r>
    </w:p>
  </w:endnote>
  <w:endnote w:type="continuationSeparator" w:id="0">
    <w:p w14:paraId="4A8A06BC" w14:textId="77777777" w:rsidR="00FC0EF0" w:rsidRDefault="00FC0E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38E0" w14:textId="77777777" w:rsidR="00FC0EF0" w:rsidRDefault="00FC0EF0" w:rsidP="00C37E61">
      <w:r>
        <w:separator/>
      </w:r>
    </w:p>
  </w:footnote>
  <w:footnote w:type="continuationSeparator" w:id="0">
    <w:p w14:paraId="6D514813" w14:textId="77777777" w:rsidR="00FC0EF0" w:rsidRDefault="00FC0E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A95E" w14:textId="723EE707" w:rsidR="00665883" w:rsidRDefault="00000000">
    <w:pPr>
      <w:pStyle w:val="Header"/>
    </w:pPr>
    <w:r>
      <w:rPr>
        <w:noProof/>
      </w:rPr>
      <w:pict w14:anchorId="5898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D802" w14:textId="06E510BF" w:rsidR="00665883" w:rsidRDefault="00000000">
    <w:pPr>
      <w:pStyle w:val="Header"/>
    </w:pPr>
    <w:r>
      <w:rPr>
        <w:noProof/>
      </w:rPr>
      <w:pict w14:anchorId="6A096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9885" w14:textId="54D3407F" w:rsidR="00296529" w:rsidRPr="00296529" w:rsidRDefault="00000000" w:rsidP="00296529">
    <w:pPr>
      <w:ind w:left="2160"/>
      <w:jc w:val="center"/>
      <w:rPr>
        <w:rFonts w:ascii="Times New Roman" w:eastAsia="Calibri" w:hAnsi="Times New Roman"/>
        <w:i/>
        <w:sz w:val="18"/>
        <w:szCs w:val="22"/>
      </w:rPr>
    </w:pPr>
    <w:r>
      <w:rPr>
        <w:noProof/>
      </w:rPr>
      <w:pict w14:anchorId="61B4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23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5CE6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01DC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753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606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D10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314D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13968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6068027">
    <w:abstractNumId w:val="15"/>
  </w:num>
  <w:num w:numId="3" w16cid:durableId="98450050">
    <w:abstractNumId w:val="23"/>
  </w:num>
  <w:num w:numId="4" w16cid:durableId="7847315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9493335">
    <w:abstractNumId w:val="7"/>
  </w:num>
  <w:num w:numId="6" w16cid:durableId="207035033">
    <w:abstractNumId w:val="6"/>
  </w:num>
  <w:num w:numId="7" w16cid:durableId="1380478474">
    <w:abstractNumId w:val="1"/>
  </w:num>
  <w:num w:numId="8" w16cid:durableId="295377230">
    <w:abstractNumId w:val="12"/>
  </w:num>
  <w:num w:numId="9" w16cid:durableId="2106681886">
    <w:abstractNumId w:val="25"/>
  </w:num>
  <w:num w:numId="10" w16cid:durableId="979043305">
    <w:abstractNumId w:val="2"/>
  </w:num>
  <w:num w:numId="11" w16cid:durableId="1666782406">
    <w:abstractNumId w:val="18"/>
  </w:num>
  <w:num w:numId="12" w16cid:durableId="180363476">
    <w:abstractNumId w:val="3"/>
  </w:num>
  <w:num w:numId="13" w16cid:durableId="937717110">
    <w:abstractNumId w:val="17"/>
  </w:num>
  <w:num w:numId="14" w16cid:durableId="464395143">
    <w:abstractNumId w:val="8"/>
  </w:num>
  <w:num w:numId="15" w16cid:durableId="1629697083">
    <w:abstractNumId w:val="21"/>
  </w:num>
  <w:num w:numId="16" w16cid:durableId="1568028694">
    <w:abstractNumId w:val="5"/>
  </w:num>
  <w:num w:numId="17" w16cid:durableId="1811167870">
    <w:abstractNumId w:val="22"/>
  </w:num>
  <w:num w:numId="18" w16cid:durableId="1238050949">
    <w:abstractNumId w:val="14"/>
  </w:num>
  <w:num w:numId="19" w16cid:durableId="915627295">
    <w:abstractNumId w:val="28"/>
  </w:num>
  <w:num w:numId="20" w16cid:durableId="2086486512">
    <w:abstractNumId w:val="11"/>
  </w:num>
  <w:num w:numId="21" w16cid:durableId="751782903">
    <w:abstractNumId w:val="9"/>
  </w:num>
  <w:num w:numId="22" w16cid:durableId="1357735526">
    <w:abstractNumId w:val="13"/>
  </w:num>
  <w:num w:numId="23" w16cid:durableId="263345299">
    <w:abstractNumId w:val="19"/>
  </w:num>
  <w:num w:numId="24" w16cid:durableId="225647693">
    <w:abstractNumId w:val="26"/>
  </w:num>
  <w:num w:numId="25" w16cid:durableId="1779638367">
    <w:abstractNumId w:val="4"/>
  </w:num>
  <w:num w:numId="26" w16cid:durableId="890923950">
    <w:abstractNumId w:val="16"/>
  </w:num>
  <w:num w:numId="27" w16cid:durableId="1776637526">
    <w:abstractNumId w:val="20"/>
  </w:num>
  <w:num w:numId="28" w16cid:durableId="1940943757">
    <w:abstractNumId w:val="27"/>
  </w:num>
  <w:num w:numId="29" w16cid:durableId="930047414">
    <w:abstractNumId w:val="24"/>
  </w:num>
  <w:num w:numId="30" w16cid:durableId="395662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00f5scteex2eftaoxddt09d5ex9r9awed&quot;&gt;My EndNote Library 17 feb 2024&lt;record-ids&gt;&lt;item&gt;797&lt;/item&gt;&lt;item&gt;1149&lt;/item&gt;&lt;item&gt;1189&lt;/item&gt;&lt;item&gt;2259&lt;/item&gt;&lt;item&gt;6820&lt;/item&gt;&lt;item&gt;6985&lt;/item&gt;&lt;item&gt;7117&lt;/item&gt;&lt;item&gt;7119&lt;/item&gt;&lt;item&gt;7121&lt;/item&gt;&lt;item&gt;7155&lt;/item&gt;&lt;item&gt;7159&lt;/item&gt;&lt;item&gt;7170&lt;/item&gt;&lt;item&gt;7200&lt;/item&gt;&lt;item&gt;7254&lt;/item&gt;&lt;item&gt;7255&lt;/item&gt;&lt;item&gt;7256&lt;/item&gt;&lt;item&gt;7258&lt;/item&gt;&lt;/record-ids&gt;&lt;/item&gt;&lt;/Libraries&gt;"/>
  </w:docVars>
  <w:rsids>
    <w:rsidRoot w:val="00AA6219"/>
    <w:rsid w:val="00000F8F"/>
    <w:rsid w:val="00003BB1"/>
    <w:rsid w:val="0002282F"/>
    <w:rsid w:val="00030174"/>
    <w:rsid w:val="00031F8C"/>
    <w:rsid w:val="0004579C"/>
    <w:rsid w:val="000465B4"/>
    <w:rsid w:val="00087672"/>
    <w:rsid w:val="00087AEF"/>
    <w:rsid w:val="000A47FA"/>
    <w:rsid w:val="000A5C7B"/>
    <w:rsid w:val="000A65D3"/>
    <w:rsid w:val="000B1E33"/>
    <w:rsid w:val="000B7E27"/>
    <w:rsid w:val="000C021B"/>
    <w:rsid w:val="000C29F7"/>
    <w:rsid w:val="000D2755"/>
    <w:rsid w:val="000D689F"/>
    <w:rsid w:val="000E706E"/>
    <w:rsid w:val="000E7B7B"/>
    <w:rsid w:val="000E7D62"/>
    <w:rsid w:val="000F4783"/>
    <w:rsid w:val="000F592C"/>
    <w:rsid w:val="00103357"/>
    <w:rsid w:val="00123C9F"/>
    <w:rsid w:val="00126190"/>
    <w:rsid w:val="00130F17"/>
    <w:rsid w:val="001320BF"/>
    <w:rsid w:val="00135A01"/>
    <w:rsid w:val="001416D9"/>
    <w:rsid w:val="00154320"/>
    <w:rsid w:val="00163BC4"/>
    <w:rsid w:val="001650F0"/>
    <w:rsid w:val="00165B24"/>
    <w:rsid w:val="00183818"/>
    <w:rsid w:val="00183B25"/>
    <w:rsid w:val="001904B5"/>
    <w:rsid w:val="00191062"/>
    <w:rsid w:val="00192B72"/>
    <w:rsid w:val="001A29D8"/>
    <w:rsid w:val="001A5CAA"/>
    <w:rsid w:val="001B0427"/>
    <w:rsid w:val="001C463F"/>
    <w:rsid w:val="001D3A51"/>
    <w:rsid w:val="001E10D2"/>
    <w:rsid w:val="001E25B4"/>
    <w:rsid w:val="001E44FE"/>
    <w:rsid w:val="001E5DE2"/>
    <w:rsid w:val="001F474D"/>
    <w:rsid w:val="001F4E54"/>
    <w:rsid w:val="00200595"/>
    <w:rsid w:val="00204835"/>
    <w:rsid w:val="0020617A"/>
    <w:rsid w:val="00215642"/>
    <w:rsid w:val="00231555"/>
    <w:rsid w:val="00231920"/>
    <w:rsid w:val="0023195C"/>
    <w:rsid w:val="00233E69"/>
    <w:rsid w:val="0024282C"/>
    <w:rsid w:val="002460DC"/>
    <w:rsid w:val="00250985"/>
    <w:rsid w:val="002556F6"/>
    <w:rsid w:val="00277EBC"/>
    <w:rsid w:val="00283105"/>
    <w:rsid w:val="00284C4C"/>
    <w:rsid w:val="00287E68"/>
    <w:rsid w:val="00296529"/>
    <w:rsid w:val="002B27FB"/>
    <w:rsid w:val="002B685A"/>
    <w:rsid w:val="002C57D2"/>
    <w:rsid w:val="002E0D56"/>
    <w:rsid w:val="00315186"/>
    <w:rsid w:val="00317ACE"/>
    <w:rsid w:val="0033343E"/>
    <w:rsid w:val="00334E24"/>
    <w:rsid w:val="00344F30"/>
    <w:rsid w:val="00345798"/>
    <w:rsid w:val="003512C2"/>
    <w:rsid w:val="00371FB6"/>
    <w:rsid w:val="003763C1"/>
    <w:rsid w:val="00376BBE"/>
    <w:rsid w:val="00390966"/>
    <w:rsid w:val="0039224F"/>
    <w:rsid w:val="00394F4A"/>
    <w:rsid w:val="003955C9"/>
    <w:rsid w:val="003A43A4"/>
    <w:rsid w:val="003A7E18"/>
    <w:rsid w:val="003C4C86"/>
    <w:rsid w:val="003C6258"/>
    <w:rsid w:val="003C7F78"/>
    <w:rsid w:val="003D051D"/>
    <w:rsid w:val="003E2904"/>
    <w:rsid w:val="00401927"/>
    <w:rsid w:val="0041027F"/>
    <w:rsid w:val="00412475"/>
    <w:rsid w:val="004137E2"/>
    <w:rsid w:val="00421910"/>
    <w:rsid w:val="00423789"/>
    <w:rsid w:val="00433D64"/>
    <w:rsid w:val="00440F43"/>
    <w:rsid w:val="00441B6F"/>
    <w:rsid w:val="00441FC2"/>
    <w:rsid w:val="00446221"/>
    <w:rsid w:val="00450E62"/>
    <w:rsid w:val="004539DB"/>
    <w:rsid w:val="00471A80"/>
    <w:rsid w:val="00474FDC"/>
    <w:rsid w:val="004A1A10"/>
    <w:rsid w:val="004A242B"/>
    <w:rsid w:val="004C2E3C"/>
    <w:rsid w:val="004D305E"/>
    <w:rsid w:val="004D4277"/>
    <w:rsid w:val="004D5393"/>
    <w:rsid w:val="004E0A26"/>
    <w:rsid w:val="004F0F3F"/>
    <w:rsid w:val="004F3D43"/>
    <w:rsid w:val="00502516"/>
    <w:rsid w:val="00505F06"/>
    <w:rsid w:val="00506828"/>
    <w:rsid w:val="0053056E"/>
    <w:rsid w:val="005337A4"/>
    <w:rsid w:val="00554FDA"/>
    <w:rsid w:val="00556F29"/>
    <w:rsid w:val="005C784C"/>
    <w:rsid w:val="005D17F6"/>
    <w:rsid w:val="005E5539"/>
    <w:rsid w:val="005F0F21"/>
    <w:rsid w:val="00602BF5"/>
    <w:rsid w:val="00617FDD"/>
    <w:rsid w:val="00633614"/>
    <w:rsid w:val="00633F68"/>
    <w:rsid w:val="00636EB2"/>
    <w:rsid w:val="006375B8"/>
    <w:rsid w:val="00652637"/>
    <w:rsid w:val="006601C8"/>
    <w:rsid w:val="0066510A"/>
    <w:rsid w:val="00665883"/>
    <w:rsid w:val="00673F9F"/>
    <w:rsid w:val="00684567"/>
    <w:rsid w:val="00685467"/>
    <w:rsid w:val="00686953"/>
    <w:rsid w:val="00687DEA"/>
    <w:rsid w:val="00687E67"/>
    <w:rsid w:val="006967F7"/>
    <w:rsid w:val="006A1FD2"/>
    <w:rsid w:val="006A250C"/>
    <w:rsid w:val="006B0AE9"/>
    <w:rsid w:val="006B21D3"/>
    <w:rsid w:val="006B57D0"/>
    <w:rsid w:val="006D30FF"/>
    <w:rsid w:val="006D6940"/>
    <w:rsid w:val="006F11EC"/>
    <w:rsid w:val="006F7392"/>
    <w:rsid w:val="0070082C"/>
    <w:rsid w:val="00713872"/>
    <w:rsid w:val="007369E6"/>
    <w:rsid w:val="00742FA0"/>
    <w:rsid w:val="00746E59"/>
    <w:rsid w:val="00754C9A"/>
    <w:rsid w:val="0075599A"/>
    <w:rsid w:val="0076183B"/>
    <w:rsid w:val="00761D52"/>
    <w:rsid w:val="0077749E"/>
    <w:rsid w:val="00790ADA"/>
    <w:rsid w:val="007D2288"/>
    <w:rsid w:val="007D4FD5"/>
    <w:rsid w:val="007D5B7B"/>
    <w:rsid w:val="007E088F"/>
    <w:rsid w:val="007F7B32"/>
    <w:rsid w:val="00804BC2"/>
    <w:rsid w:val="0080530D"/>
    <w:rsid w:val="0081431A"/>
    <w:rsid w:val="00821B2D"/>
    <w:rsid w:val="00825234"/>
    <w:rsid w:val="0083216F"/>
    <w:rsid w:val="00842DE6"/>
    <w:rsid w:val="00860000"/>
    <w:rsid w:val="00863BD3"/>
    <w:rsid w:val="008641ED"/>
    <w:rsid w:val="00866D66"/>
    <w:rsid w:val="008671C6"/>
    <w:rsid w:val="00875803"/>
    <w:rsid w:val="00883CE1"/>
    <w:rsid w:val="008913E4"/>
    <w:rsid w:val="008B459E"/>
    <w:rsid w:val="008E0794"/>
    <w:rsid w:val="008E13AE"/>
    <w:rsid w:val="008E1506"/>
    <w:rsid w:val="008E710C"/>
    <w:rsid w:val="008F556F"/>
    <w:rsid w:val="008F69D6"/>
    <w:rsid w:val="00902823"/>
    <w:rsid w:val="00915CA6"/>
    <w:rsid w:val="00927834"/>
    <w:rsid w:val="00937408"/>
    <w:rsid w:val="00947EA7"/>
    <w:rsid w:val="009500A6"/>
    <w:rsid w:val="0095033F"/>
    <w:rsid w:val="00950B27"/>
    <w:rsid w:val="00957C18"/>
    <w:rsid w:val="009659BA"/>
    <w:rsid w:val="00983040"/>
    <w:rsid w:val="009B3FB9"/>
    <w:rsid w:val="009C2465"/>
    <w:rsid w:val="009D35A0"/>
    <w:rsid w:val="009D7EB7"/>
    <w:rsid w:val="009E048A"/>
    <w:rsid w:val="009E08E9"/>
    <w:rsid w:val="009E3DB9"/>
    <w:rsid w:val="009E6E35"/>
    <w:rsid w:val="009F0EDA"/>
    <w:rsid w:val="00A03B96"/>
    <w:rsid w:val="00A04AC4"/>
    <w:rsid w:val="00A05B19"/>
    <w:rsid w:val="00A1134E"/>
    <w:rsid w:val="00A24E7E"/>
    <w:rsid w:val="00A2584B"/>
    <w:rsid w:val="00A258C3"/>
    <w:rsid w:val="00A347C0"/>
    <w:rsid w:val="00A37D3D"/>
    <w:rsid w:val="00A51431"/>
    <w:rsid w:val="00A539AD"/>
    <w:rsid w:val="00A60351"/>
    <w:rsid w:val="00A706A8"/>
    <w:rsid w:val="00A727C3"/>
    <w:rsid w:val="00A8525D"/>
    <w:rsid w:val="00A92A22"/>
    <w:rsid w:val="00A94063"/>
    <w:rsid w:val="00AA6219"/>
    <w:rsid w:val="00AA74E0"/>
    <w:rsid w:val="00AB703F"/>
    <w:rsid w:val="00AC6BB8"/>
    <w:rsid w:val="00AE008F"/>
    <w:rsid w:val="00AF0B57"/>
    <w:rsid w:val="00AF2D33"/>
    <w:rsid w:val="00AF59A2"/>
    <w:rsid w:val="00B01FCD"/>
    <w:rsid w:val="00B05045"/>
    <w:rsid w:val="00B11F52"/>
    <w:rsid w:val="00B1776C"/>
    <w:rsid w:val="00B34F41"/>
    <w:rsid w:val="00B5168C"/>
    <w:rsid w:val="00B52583"/>
    <w:rsid w:val="00B52896"/>
    <w:rsid w:val="00B53083"/>
    <w:rsid w:val="00B57F9B"/>
    <w:rsid w:val="00B600C0"/>
    <w:rsid w:val="00B75747"/>
    <w:rsid w:val="00B770C3"/>
    <w:rsid w:val="00B8105B"/>
    <w:rsid w:val="00B86B85"/>
    <w:rsid w:val="00B951CD"/>
    <w:rsid w:val="00B95236"/>
    <w:rsid w:val="00B96BD9"/>
    <w:rsid w:val="00BA1B01"/>
    <w:rsid w:val="00BA2641"/>
    <w:rsid w:val="00BB37AA"/>
    <w:rsid w:val="00BC53A0"/>
    <w:rsid w:val="00BE62AD"/>
    <w:rsid w:val="00BF121F"/>
    <w:rsid w:val="00BF1F80"/>
    <w:rsid w:val="00C13579"/>
    <w:rsid w:val="00C166EF"/>
    <w:rsid w:val="00C17EB0"/>
    <w:rsid w:val="00C27F5F"/>
    <w:rsid w:val="00C30A0F"/>
    <w:rsid w:val="00C37E61"/>
    <w:rsid w:val="00C4585A"/>
    <w:rsid w:val="00C70F1B"/>
    <w:rsid w:val="00C71A47"/>
    <w:rsid w:val="00C7464C"/>
    <w:rsid w:val="00C85588"/>
    <w:rsid w:val="00C90BCB"/>
    <w:rsid w:val="00CD6755"/>
    <w:rsid w:val="00CD6856"/>
    <w:rsid w:val="00CE0089"/>
    <w:rsid w:val="00CE793C"/>
    <w:rsid w:val="00CF193C"/>
    <w:rsid w:val="00D036EE"/>
    <w:rsid w:val="00D0779D"/>
    <w:rsid w:val="00D173F1"/>
    <w:rsid w:val="00D32F96"/>
    <w:rsid w:val="00D41EDF"/>
    <w:rsid w:val="00D51DAD"/>
    <w:rsid w:val="00D54BDD"/>
    <w:rsid w:val="00D65F9D"/>
    <w:rsid w:val="00D666C7"/>
    <w:rsid w:val="00D66F76"/>
    <w:rsid w:val="00D74CB0"/>
    <w:rsid w:val="00D8295D"/>
    <w:rsid w:val="00DC2A65"/>
    <w:rsid w:val="00DC528C"/>
    <w:rsid w:val="00DE15F0"/>
    <w:rsid w:val="00DE5663"/>
    <w:rsid w:val="00DE78AA"/>
    <w:rsid w:val="00E053D0"/>
    <w:rsid w:val="00E15994"/>
    <w:rsid w:val="00E3114E"/>
    <w:rsid w:val="00E31A70"/>
    <w:rsid w:val="00E35B02"/>
    <w:rsid w:val="00E65278"/>
    <w:rsid w:val="00E66496"/>
    <w:rsid w:val="00E66B35"/>
    <w:rsid w:val="00E66E10"/>
    <w:rsid w:val="00E769F6"/>
    <w:rsid w:val="00E80D9A"/>
    <w:rsid w:val="00E8356E"/>
    <w:rsid w:val="00E8407C"/>
    <w:rsid w:val="00E841D2"/>
    <w:rsid w:val="00E84F3C"/>
    <w:rsid w:val="00EA012C"/>
    <w:rsid w:val="00EB5772"/>
    <w:rsid w:val="00EC6A55"/>
    <w:rsid w:val="00ED0288"/>
    <w:rsid w:val="00ED273A"/>
    <w:rsid w:val="00EE1694"/>
    <w:rsid w:val="00EE52CB"/>
    <w:rsid w:val="00EF3520"/>
    <w:rsid w:val="00EF581D"/>
    <w:rsid w:val="00EF7FD8"/>
    <w:rsid w:val="00F02AD8"/>
    <w:rsid w:val="00F06F59"/>
    <w:rsid w:val="00F17988"/>
    <w:rsid w:val="00F2205B"/>
    <w:rsid w:val="00F469F0"/>
    <w:rsid w:val="00F53273"/>
    <w:rsid w:val="00F6791C"/>
    <w:rsid w:val="00F755E4"/>
    <w:rsid w:val="00F77D02"/>
    <w:rsid w:val="00F80EE8"/>
    <w:rsid w:val="00F83757"/>
    <w:rsid w:val="00F86586"/>
    <w:rsid w:val="00FB1995"/>
    <w:rsid w:val="00FB3A86"/>
    <w:rsid w:val="00FC0EF0"/>
    <w:rsid w:val="00FC4DE2"/>
    <w:rsid w:val="00FD36C8"/>
    <w:rsid w:val="00FE1BF4"/>
    <w:rsid w:val="00FE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ED6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8913E4"/>
    <w:pPr>
      <w:jc w:val="center"/>
    </w:pPr>
    <w:rPr>
      <w:rFonts w:cs="Helvetica"/>
      <w:noProof/>
    </w:rPr>
  </w:style>
  <w:style w:type="character" w:customStyle="1" w:styleId="BodyChar">
    <w:name w:val="Body Char"/>
    <w:basedOn w:val="DefaultParagraphFont"/>
    <w:link w:val="Body"/>
    <w:rsid w:val="008913E4"/>
    <w:rPr>
      <w:rFonts w:ascii="Helvetica" w:hAnsi="Helvetica"/>
    </w:rPr>
  </w:style>
  <w:style w:type="character" w:customStyle="1" w:styleId="EndNoteBibliographyTitleChar">
    <w:name w:val="EndNote Bibliography Title Char"/>
    <w:basedOn w:val="BodyChar"/>
    <w:link w:val="EndNoteBibliographyTitle"/>
    <w:rsid w:val="008913E4"/>
    <w:rPr>
      <w:rFonts w:ascii="Helvetica" w:hAnsi="Helvetica" w:cs="Helvetica"/>
      <w:noProof/>
    </w:rPr>
  </w:style>
  <w:style w:type="paragraph" w:customStyle="1" w:styleId="EndNoteBibliography">
    <w:name w:val="EndNote Bibliography"/>
    <w:basedOn w:val="Normal"/>
    <w:link w:val="EndNoteBibliographyChar"/>
    <w:rsid w:val="008913E4"/>
    <w:pPr>
      <w:jc w:val="both"/>
    </w:pPr>
    <w:rPr>
      <w:rFonts w:cs="Helvetica"/>
      <w:noProof/>
    </w:rPr>
  </w:style>
  <w:style w:type="character" w:customStyle="1" w:styleId="EndNoteBibliographyChar">
    <w:name w:val="EndNote Bibliography Char"/>
    <w:basedOn w:val="BodyChar"/>
    <w:link w:val="EndNoteBibliography"/>
    <w:rsid w:val="008913E4"/>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77/0149206310388419" TargetMode="External"/><Relationship Id="rId18" Type="http://schemas.openxmlformats.org/officeDocument/2006/relationships/hyperlink" Target="https://doi.org/10.1007/s40821-022-0022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corpfin.2020.101588" TargetMode="External"/><Relationship Id="rId17" Type="http://schemas.openxmlformats.org/officeDocument/2006/relationships/hyperlink" Target="https://doi.org/10.1016/j.ijhm.2013.05.009" TargetMode="External"/><Relationship Id="rId2" Type="http://schemas.openxmlformats.org/officeDocument/2006/relationships/numbering" Target="numbering.xml"/><Relationship Id="rId16" Type="http://schemas.openxmlformats.org/officeDocument/2006/relationships/hyperlink" Target="https://doi.org/10.2307/2563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7/mnsc.2018.3043" TargetMode="External"/><Relationship Id="rId5" Type="http://schemas.openxmlformats.org/officeDocument/2006/relationships/webSettings" Target="webSettings.xml"/><Relationship Id="rId15" Type="http://schemas.openxmlformats.org/officeDocument/2006/relationships/hyperlink" Target="https://doi.org/10.1108/ijbm-11-2014-0166"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87/mnsc.2014.1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0E4C-3F64-424E-8693-878DD929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369</TotalTime>
  <Pages>8</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asus_gb6a@outlook.com</cp:lastModifiedBy>
  <cp:revision>38</cp:revision>
  <cp:lastPrinted>1999-07-06T11:00:00Z</cp:lastPrinted>
  <dcterms:created xsi:type="dcterms:W3CDTF">2025-10-10T03:35:00Z</dcterms:created>
  <dcterms:modified xsi:type="dcterms:W3CDTF">2025-10-24T12:57:00Z</dcterms:modified>
</cp:coreProperties>
</file>