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5F8BF" w14:textId="554392E2" w:rsidR="008D5BDD" w:rsidRDefault="008D5BDD" w:rsidP="00811D50">
      <w:pPr>
        <w:spacing w:line="240" w:lineRule="auto"/>
        <w:jc w:val="center"/>
        <w:rPr>
          <w:rFonts w:ascii="Times New Roman" w:hAnsi="Times New Roman" w:cs="Times New Roman"/>
          <w:lang w:val="en-GB"/>
        </w:rPr>
      </w:pPr>
      <w:r w:rsidRPr="00CB089F">
        <w:rPr>
          <w:rFonts w:ascii="Times New Roman" w:hAnsi="Times New Roman" w:cs="Times New Roman"/>
          <w:lang w:val="en-GB"/>
        </w:rPr>
        <w:t>OFFICIAL DEVELOPMENT ASSISTANCE AND POVERTY DYNAMICS IN ECOWAS COUNTRIES: A DYNAMIC PANEL DATA APPROACH</w:t>
      </w:r>
      <w:r w:rsidR="0050668C">
        <w:rPr>
          <w:rFonts w:ascii="Times New Roman" w:hAnsi="Times New Roman" w:cs="Times New Roman"/>
          <w:lang w:val="en-GB"/>
        </w:rPr>
        <w:t>.</w:t>
      </w:r>
    </w:p>
    <w:p w14:paraId="2C731480" w14:textId="77777777" w:rsidR="0050668C" w:rsidRPr="0050668C" w:rsidRDefault="0050668C" w:rsidP="0050668C">
      <w:pPr>
        <w:spacing w:line="240" w:lineRule="auto"/>
        <w:jc w:val="center"/>
        <w:rPr>
          <w:rFonts w:ascii="Times New Roman" w:hAnsi="Times New Roman" w:cs="Times New Roman"/>
        </w:rPr>
      </w:pPr>
    </w:p>
    <w:p w14:paraId="6A3CD629" w14:textId="017A12A9" w:rsidR="00F42E7D" w:rsidRPr="00CB089F" w:rsidRDefault="00FE3661" w:rsidP="00811D50">
      <w:pPr>
        <w:spacing w:line="240" w:lineRule="auto"/>
        <w:jc w:val="center"/>
        <w:rPr>
          <w:rFonts w:ascii="Times New Roman" w:hAnsi="Times New Roman" w:cs="Times New Roman"/>
          <w:lang w:val="en-GB"/>
        </w:rPr>
      </w:pPr>
      <w:r w:rsidRPr="00FE3661">
        <w:rPr>
          <w:rFonts w:ascii="Times New Roman" w:hAnsi="Times New Roman" w:cs="Times New Roman"/>
          <w:b/>
          <w:bCs/>
          <w:lang w:val="en-GB"/>
        </w:rPr>
        <w:t>ABSTRACT</w:t>
      </w:r>
      <w:r w:rsidRPr="00CB089F">
        <w:rPr>
          <w:rFonts w:ascii="Times New Roman" w:hAnsi="Times New Roman" w:cs="Times New Roman"/>
          <w:lang w:val="en-GB"/>
        </w:rPr>
        <w:t xml:space="preserve"> </w:t>
      </w:r>
    </w:p>
    <w:p w14:paraId="4C7EE526" w14:textId="60D42DE4" w:rsidR="00CB089F" w:rsidRDefault="00700B48" w:rsidP="00811D50">
      <w:pPr>
        <w:spacing w:line="240" w:lineRule="auto"/>
        <w:jc w:val="both"/>
        <w:rPr>
          <w:rFonts w:ascii="Times New Roman" w:hAnsi="Times New Roman" w:cs="Times New Roman"/>
          <w:i/>
          <w:iCs/>
        </w:rPr>
      </w:pPr>
      <w:r w:rsidRPr="00CB089F">
        <w:rPr>
          <w:rFonts w:ascii="Times New Roman" w:hAnsi="Times New Roman" w:cs="Times New Roman"/>
          <w:i/>
          <w:iCs/>
        </w:rPr>
        <w:t xml:space="preserve">This </w:t>
      </w:r>
      <w:r w:rsidR="00D95FCE" w:rsidRPr="00CB089F">
        <w:rPr>
          <w:rFonts w:ascii="Times New Roman" w:hAnsi="Times New Roman" w:cs="Times New Roman"/>
          <w:i/>
          <w:iCs/>
        </w:rPr>
        <w:t xml:space="preserve">paper </w:t>
      </w:r>
      <w:r w:rsidRPr="00CB089F">
        <w:rPr>
          <w:rFonts w:ascii="Times New Roman" w:hAnsi="Times New Roman" w:cs="Times New Roman"/>
          <w:i/>
          <w:iCs/>
        </w:rPr>
        <w:t xml:space="preserve"> examines the effect  of Official Development Assistance (ODA) on poverty dynamic  in ECOWAS countries from 2000 to 2024. Using an ex post facto research design and secondary panel data, the study applies the dynamic panel Generalized Method of Moments (GMM) estimator to address potential endogeneity, heteroskedasticity, and autocorrelation. </w:t>
      </w:r>
      <w:r w:rsidR="00D95FCE" w:rsidRPr="00CB089F">
        <w:rPr>
          <w:rFonts w:ascii="Times New Roman" w:hAnsi="Times New Roman" w:cs="Times New Roman"/>
          <w:i/>
          <w:iCs/>
        </w:rPr>
        <w:t xml:space="preserve"> </w:t>
      </w:r>
      <w:r w:rsidR="00CB089F">
        <w:rPr>
          <w:rFonts w:ascii="Times New Roman" w:hAnsi="Times New Roman" w:cs="Times New Roman"/>
          <w:i/>
          <w:iCs/>
        </w:rPr>
        <w:t xml:space="preserve"> </w:t>
      </w:r>
      <w:r w:rsidR="00CB089F" w:rsidRPr="00CB089F">
        <w:rPr>
          <w:rFonts w:ascii="Times New Roman" w:hAnsi="Times New Roman" w:cs="Times New Roman"/>
          <w:i/>
          <w:iCs/>
        </w:rPr>
        <w:t>The results reveal that higher ODA inflows are significantly associated with increased poverty levels, suggesting that aid has not effectively translated into improved welfare within the region. Conversely, economic growth and foreign direct investment (FDI) exert significant poverty-reducing effects, while inflation remains insignificant. These findings imply that the success of ODA in alleviating poverty depends largely on governance quality, institutional capacity, and sectoral targeting. The study concludes that transparent and accountable allocation of aid to productive sectors such as education, health, agriculture, and infrastructure is essential for transforming ODA into a tool for sustainable poverty reduction in ECOWAS countries.</w:t>
      </w:r>
    </w:p>
    <w:p w14:paraId="67A5AD65" w14:textId="4EFFF5A0" w:rsidR="008C35BF" w:rsidRPr="00CB089F" w:rsidRDefault="008C35BF" w:rsidP="00811D50">
      <w:pPr>
        <w:spacing w:line="240" w:lineRule="auto"/>
        <w:jc w:val="both"/>
        <w:rPr>
          <w:rFonts w:ascii="Times New Roman" w:hAnsi="Times New Roman" w:cs="Times New Roman"/>
        </w:rPr>
      </w:pPr>
      <w:r w:rsidRPr="00CB089F">
        <w:rPr>
          <w:rFonts w:ascii="Times New Roman" w:hAnsi="Times New Roman" w:cs="Times New Roman"/>
        </w:rPr>
        <w:t>Keywords: Official Development Assistance, Poverty Reduction, Economic Growth, Foreign Direct Investment</w:t>
      </w:r>
    </w:p>
    <w:p w14:paraId="59F9EDA8" w14:textId="77777777" w:rsidR="008C35BF" w:rsidRPr="00CB089F" w:rsidRDefault="008C35BF" w:rsidP="00811D50">
      <w:pPr>
        <w:spacing w:line="240" w:lineRule="auto"/>
        <w:jc w:val="both"/>
        <w:rPr>
          <w:rFonts w:ascii="Times New Roman" w:hAnsi="Times New Roman" w:cs="Times New Roman"/>
        </w:rPr>
      </w:pPr>
      <w:r w:rsidRPr="00CB089F">
        <w:rPr>
          <w:rFonts w:ascii="Times New Roman" w:hAnsi="Times New Roman" w:cs="Times New Roman"/>
        </w:rPr>
        <w:t>JEL Classification F35  I32 O11 C23  O55</w:t>
      </w:r>
    </w:p>
    <w:p w14:paraId="5A654553" w14:textId="55603186" w:rsidR="008D5BDD" w:rsidRPr="00CB089F" w:rsidRDefault="00FE3661" w:rsidP="00811D50">
      <w:pPr>
        <w:spacing w:line="240" w:lineRule="auto"/>
        <w:rPr>
          <w:rFonts w:ascii="Times New Roman" w:hAnsi="Times New Roman" w:cs="Times New Roman"/>
          <w:lang w:val="en-GB"/>
        </w:rPr>
      </w:pPr>
      <w:r w:rsidRPr="00FE3661">
        <w:rPr>
          <w:rFonts w:ascii="Times New Roman" w:hAnsi="Times New Roman" w:cs="Times New Roman"/>
          <w:b/>
          <w:bCs/>
          <w:lang w:val="en-GB"/>
        </w:rPr>
        <w:t>INTRODUCTION</w:t>
      </w:r>
    </w:p>
    <w:p w14:paraId="7130CCB7" w14:textId="46F1738C" w:rsidR="00D95FCE" w:rsidRPr="00CB089F" w:rsidRDefault="00D95FCE" w:rsidP="00811D50">
      <w:pPr>
        <w:spacing w:line="240" w:lineRule="auto"/>
        <w:jc w:val="both"/>
        <w:rPr>
          <w:rFonts w:ascii="Times New Roman" w:hAnsi="Times New Roman" w:cs="Times New Roman"/>
        </w:rPr>
      </w:pPr>
      <w:r w:rsidRPr="00CB089F">
        <w:rPr>
          <w:rFonts w:ascii="Times New Roman" w:hAnsi="Times New Roman" w:cs="Times New Roman"/>
        </w:rPr>
        <w:t>Poverty in Africa still remains one of the most serious development issues. Even with many years of donor assistance and changes in policies, the poverty rates in this sub-region are still extraordinarily high. Approximately 65% of the multi-dimensionally poor in Sub-Saharan Africa lived in West Africa. In 2019, 27.2% of the people living in the ECOWAS region, which is approximately 106.8 million people, lived on less than $2.15 a day, which is considered the poverty line (ISS, 2019). The magnitude of poverty in the region is evident in these figures, and the importance of implementing mechanisms aimed at lowering poverty is clear.</w:t>
      </w:r>
    </w:p>
    <w:p w14:paraId="143150F8" w14:textId="77777777" w:rsidR="0033444D" w:rsidRPr="00CB089F" w:rsidRDefault="00D95FCE" w:rsidP="00811D50">
      <w:pPr>
        <w:spacing w:line="240" w:lineRule="auto"/>
        <w:jc w:val="both"/>
        <w:rPr>
          <w:rFonts w:ascii="Times New Roman" w:hAnsi="Times New Roman" w:cs="Times New Roman"/>
        </w:rPr>
      </w:pPr>
      <w:r w:rsidRPr="00D95FCE">
        <w:rPr>
          <w:rFonts w:ascii="Times New Roman" w:hAnsi="Times New Roman" w:cs="Times New Roman"/>
        </w:rPr>
        <w:t>Official Development Assistance (ODA) has been a big part of foreign aid. It is the main way that donor countries and multilateral organisations make concessional payments to poor countries. The Organisation for Economic Co-operation and Development (OECD) defines ODA as the flow of official financing that is mainly meant to promote economic growth and well-being, coupled with concessional flows. For the ECOWAS area, ODA has been especially important for closing the resource gap, improving the region's social and economic infrastructure, and putting reforms into action that would help end poverty and promote sustainable development.</w:t>
      </w:r>
    </w:p>
    <w:p w14:paraId="040FBB5F" w14:textId="77777777" w:rsidR="0033444D" w:rsidRPr="00CB089F" w:rsidRDefault="0033444D" w:rsidP="00811D50">
      <w:pPr>
        <w:spacing w:line="240" w:lineRule="auto"/>
        <w:jc w:val="both"/>
        <w:rPr>
          <w:rFonts w:ascii="Times New Roman" w:hAnsi="Times New Roman" w:cs="Times New Roman"/>
        </w:rPr>
      </w:pPr>
      <w:r w:rsidRPr="00CB089F">
        <w:rPr>
          <w:rFonts w:ascii="Times New Roman" w:hAnsi="Times New Roman" w:cs="Times New Roman"/>
        </w:rPr>
        <w:t xml:space="preserve">The complexities of the relationship between ODA and the alleviation of poverty remain paradoxical. The classical development theories suggest that aid enhances the rate of capital accumulation and welfare improvements in the receiving country, but the evidence remains uncertain. ODA does reduce poverty but only in the presence of strong governance, Chauvet and Jeanneney (2022). In contrast, excessive aid inflow creates dependency and weakens accountability. Djankov, Montalvo, and Reynal-Que rol (2022). This contradictory scenario builds </w:t>
      </w:r>
      <w:r w:rsidRPr="00CB089F">
        <w:rPr>
          <w:rFonts w:ascii="Times New Roman" w:hAnsi="Times New Roman" w:cs="Times New Roman"/>
        </w:rPr>
        <w:lastRenderedPageBreak/>
        <w:t>doubt on whether aid has been the true source of poverty alleviation in the ECOWAS region, or has it only deepened the structural Weakness.</w:t>
      </w:r>
    </w:p>
    <w:p w14:paraId="6A39BBC6" w14:textId="6CCC0070" w:rsidR="0033444D" w:rsidRPr="00CB089F" w:rsidRDefault="0033444D" w:rsidP="00811D50">
      <w:pPr>
        <w:spacing w:line="240" w:lineRule="auto"/>
        <w:jc w:val="both"/>
        <w:rPr>
          <w:rFonts w:ascii="Times New Roman" w:hAnsi="Times New Roman" w:cs="Times New Roman"/>
        </w:rPr>
      </w:pPr>
      <w:r w:rsidRPr="00CB089F">
        <w:rPr>
          <w:rFonts w:ascii="Times New Roman" w:hAnsi="Times New Roman" w:cs="Times New Roman"/>
        </w:rPr>
        <w:t>Several existing studies show gaps in the scope of coverage as well as the time coverage. For instance, Mahembe and Odhiambo (2020) conducted research analyzing aid effectiveness in developing countries using dynamic panel models, and Anetor, Esho and Verhoef (2020) looked at the entirety of Sub-Saharan Africa without capturing differences at the subregional level. Liu (2023) similarly looked at Chinese foreign aid to 48 African countries but did not explore the intra-regional differences within ECOWAS. At the other extreme, the case studies such as Ugwuanyi, Ezeaku and Ibe (2017) as well as Ogbodo  and Attamah (2019) only looked at Nigeria, which reduces it relevance to the subregion in general. There is also the case in which studies published as late as 2017 do not consider the recent increases in aid post 2019, the shocks of the pandemic, and the changes in the distribution of poverty during and after 2019. Thus, it is crucial to have a more recent and refined, region-specific, and rigorous study exploring the impact of ODA on poverty trends in the region. This study bridged the empirical gap from 2000 to 2024 evaluating the impact of ODA on poverty in the twelve ECOWAS countries. The study used a dynamic panel approach estimated via Generalized Method of Moments (GMM), assessing both the short-run and long-run effects, and solving the issues of endogeneity, heterogeneity of countries, and persistence of poverty.</w:t>
      </w:r>
    </w:p>
    <w:p w14:paraId="095FC8DE" w14:textId="7D37C139" w:rsidR="0033444D" w:rsidRPr="00CB089F" w:rsidRDefault="0033444D" w:rsidP="00811D50">
      <w:pPr>
        <w:spacing w:line="240" w:lineRule="auto"/>
        <w:jc w:val="both"/>
        <w:rPr>
          <w:rFonts w:ascii="Times New Roman" w:hAnsi="Times New Roman" w:cs="Times New Roman"/>
        </w:rPr>
      </w:pPr>
      <w:r w:rsidRPr="00CB089F">
        <w:rPr>
          <w:rFonts w:ascii="Times New Roman" w:hAnsi="Times New Roman" w:cs="Times New Roman"/>
        </w:rPr>
        <w:t>Most importantly, the empirical findings show that rising ODA inflows correlate with growing poverty levels in ECOWAS countries. Even though ODA is designed to foster welfare, the result indicates that its positive effects may be stunted due to weak governance, inefficiency in allocating resources, and low absorptive capacity in recipient economies. Hence, the study demonstrated that it is important to rethink the aid architecture, its efficacy, and local management strategies within the region. This research provides new evidence to inform policy reforms directed toward improving the developmental efficacy of ODA and its effects on poverty alleviation within the ECOWAS region, employing new data and sophisticated econometric approaches in the context of the evolving literature.</w:t>
      </w:r>
    </w:p>
    <w:p w14:paraId="7A1E6876" w14:textId="4138A8FB" w:rsidR="008D5BDD" w:rsidRPr="00FE3661" w:rsidRDefault="00FE3661" w:rsidP="00811D50">
      <w:pPr>
        <w:spacing w:line="240" w:lineRule="auto"/>
        <w:rPr>
          <w:rFonts w:ascii="Times New Roman" w:hAnsi="Times New Roman" w:cs="Times New Roman"/>
          <w:b/>
          <w:bCs/>
          <w:lang w:val="en-GB"/>
        </w:rPr>
      </w:pPr>
      <w:r w:rsidRPr="00FE3661">
        <w:rPr>
          <w:rFonts w:ascii="Times New Roman" w:hAnsi="Times New Roman" w:cs="Times New Roman"/>
          <w:b/>
          <w:bCs/>
          <w:lang w:val="en-GB"/>
        </w:rPr>
        <w:t>2.0 LITERATURE REVIEW</w:t>
      </w:r>
    </w:p>
    <w:p w14:paraId="61D99333" w14:textId="6397E374"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2.1 Conceptual Framework</w:t>
      </w:r>
    </w:p>
    <w:p w14:paraId="694BC243" w14:textId="77777777" w:rsidR="001A22BA" w:rsidRPr="00CB089F" w:rsidRDefault="001A22BA" w:rsidP="00811D50">
      <w:pPr>
        <w:spacing w:line="240" w:lineRule="auto"/>
        <w:jc w:val="both"/>
        <w:rPr>
          <w:rFonts w:ascii="Times New Roman" w:hAnsi="Times New Roman" w:cs="Times New Roman"/>
        </w:rPr>
      </w:pPr>
      <w:r w:rsidRPr="00CB089F">
        <w:rPr>
          <w:rFonts w:ascii="Times New Roman" w:hAnsi="Times New Roman" w:cs="Times New Roman"/>
        </w:rPr>
        <w:t>Conceptual frameworks present the primary factors within the study and their relations to each other in a coherent manner. It explains the ‘how and why’ for the case of ODA and its possible impacts towards poverty. The World Bank states that “higher aid levels erode the quality of governance … by weakening accountability, encouraging rent-seeking and corruption” (World Bank, 2016). There is empirical evidence that states “increasing aid creates more serious corruption, for Net ODA and bilateral and multilateral aid” (Kim, 2013). This is posited within the claim that ODA should, at best, directly contribute to human development (education, health and infrastructure) and may fail in doing so if there is misallocation. This is framed within the statement “aid by itself does not appear to have a statistically significant effect on inequality and poverty reduction the effects are mediated by institutions” (Canavire-Bacarreza &amp; Riera-Crichton, 2020).</w:t>
      </w:r>
    </w:p>
    <w:p w14:paraId="39400786" w14:textId="77777777" w:rsidR="001A22BA" w:rsidRPr="00CB089F" w:rsidRDefault="001A22BA" w:rsidP="00811D50">
      <w:pPr>
        <w:spacing w:line="240" w:lineRule="auto"/>
        <w:jc w:val="both"/>
        <w:rPr>
          <w:rFonts w:ascii="Times New Roman" w:hAnsi="Times New Roman" w:cs="Times New Roman"/>
        </w:rPr>
      </w:pPr>
    </w:p>
    <w:p w14:paraId="72F101FC" w14:textId="77777777" w:rsidR="007104E3" w:rsidRPr="00CB089F" w:rsidRDefault="007104E3" w:rsidP="00811D50">
      <w:pPr>
        <w:tabs>
          <w:tab w:val="left" w:pos="3130"/>
        </w:tabs>
        <w:spacing w:line="240" w:lineRule="auto"/>
        <w:jc w:val="both"/>
        <w:rPr>
          <w:rFonts w:ascii="Times New Roman" w:hAnsi="Times New Roman" w:cs="Times New Roman"/>
        </w:rPr>
      </w:pPr>
      <w:r w:rsidRPr="00CB089F">
        <w:rPr>
          <w:noProof/>
        </w:rPr>
        <w:lastRenderedPageBreak/>
        <w:drawing>
          <wp:inline distT="0" distB="0" distL="0" distR="0" wp14:anchorId="72830BE9" wp14:editId="286CD3E5">
            <wp:extent cx="5168157" cy="3454400"/>
            <wp:effectExtent l="0" t="0" r="0" b="0"/>
            <wp:docPr id="488006599"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7712" cy="3480839"/>
                    </a:xfrm>
                    <a:prstGeom prst="rect">
                      <a:avLst/>
                    </a:prstGeom>
                    <a:noFill/>
                    <a:ln>
                      <a:noFill/>
                    </a:ln>
                  </pic:spPr>
                </pic:pic>
              </a:graphicData>
            </a:graphic>
          </wp:inline>
        </w:drawing>
      </w:r>
      <w:r w:rsidRPr="00CB089F">
        <w:rPr>
          <w:rFonts w:ascii="Times New Roman" w:hAnsi="Times New Roman" w:cs="Times New Roman"/>
        </w:rPr>
        <w:tab/>
        <w:t xml:space="preserve">                 </w:t>
      </w:r>
    </w:p>
    <w:p w14:paraId="22E6276B"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2.1 FIG Conceptual Framework Diagram</w:t>
      </w:r>
    </w:p>
    <w:p w14:paraId="298B626C"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 xml:space="preserve">2.2.1 OFFICIAL DEVELOPMENT ASSISTANCE (ODA) AND POVERTY REDUCTION </w:t>
      </w:r>
    </w:p>
    <w:p w14:paraId="634B89E5"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The association between Official Development Assistance (ODA) and poverty alleviation has provoked considerable argument in the field of development economics and policy research. Increasingly more empirical studies attempt to analyze the impacts of aid flows and whether they address the alleviation of poverty and ensure inclusive growth or they encourage dependency.</w:t>
      </w:r>
    </w:p>
    <w:p w14:paraId="63F60D07"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Mahembe and Odhiambo (2020) applying dynamic panel data analysis found that aid has a positive role in poverty alleviation in the developing world, but its benefits are limited by the quality of institutions and the absorptive capacity of the aid-receiving countries. Ugwuanyi, Ezeaku, and Ibe (2017) using the ARDL and bound test approach for Nigeria also found mixed results. ODA showed some positive impacts with poverty reduction in the longer term, but showed little or erratic impact in the short term. In another review, Mahembe and Odhiambo (2019) noted the literature gaps and controversy and explained it with the differences in the approach used, the countries studied, and the peculiarities in the distribution of aid.</w:t>
      </w:r>
    </w:p>
    <w:p w14:paraId="715EA287"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Studying Tajikistan within the context of Central Asia, Abduvaliev and Bustillo (2020) identified that while ODA facilitated economic growth, its benefit on poverty alleviation was minimal, highlighting the need for more precise targeting and distribution within sectors. From the Nigerian perspective, both Ayomitunde et al. (2020) and Ogbodo and Attamah (2019) agreed that ODA has the potential to reduce poverty, but its impact is conditional on the prioritization of pro-poor sectors such as education, healthcare, and infrastructure.</w:t>
      </w:r>
    </w:p>
    <w:p w14:paraId="568DFED7"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 xml:space="preserve">The significance of the political context, as well as the institutional context, is equally important. Couton and Yuan (2020) maintained that political institutions determine the extent to which aid is successful in alleviating poverty, whereas Manji (2016) studied the ODA policy of the UK and </w:t>
      </w:r>
      <w:r w:rsidRPr="00CB089F">
        <w:rPr>
          <w:rFonts w:ascii="Times New Roman" w:hAnsi="Times New Roman" w:cs="Times New Roman"/>
        </w:rPr>
        <w:lastRenderedPageBreak/>
        <w:t>analyzed the legislative frameworks that govern its providing and questioned the extent to which targets set by donors truly promote poverty reduction in the recipient countries. These institutional factors capture the governance–aid–poverty relationship, which has been particularly pertinent to Sub-Saharan Africa.</w:t>
      </w:r>
    </w:p>
    <w:p w14:paraId="20766A3B"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 xml:space="preserve">The interactions between aid, growth, and poverty alleviation efforts have been analyzed by some researchers. Anetor, Esho, and Verhoef (2020) analyzed Sub-Saharan Africa and concluded that foreign aid, together with trade and foreign direct investment (FDI), has a supportive role in alleviating poverty. Hamidu et al. (2020) remarked that aid has a marked impact on infrastructural development in Nigeria, which in turn helps reduce poverty. Similarly, Liu (2023) analyzed Chinese aid to Africa and confirmed its role in poverty alleviation, although he emphasized the need for appropriate sectoral focus.  </w:t>
      </w:r>
    </w:p>
    <w:p w14:paraId="79D61107"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The most recent contributions have drawn attention to the neglect of some of the aid outcomes. Abbas et al. (2024) studied foreign aid and agricultural productivity along with social responsibility in Pakistan and pointed out the indirect ways of alleviating poverty. Amponsah (2024) studied Sub-Saharan Africa and found out that aid directed towards agriculture has a significant impact on poverty reduction. Micah et al. (2024) studied the quality of governance and aid in the context of poverty and reported that the impact of aid depends on the quality of governance.</w:t>
      </w:r>
    </w:p>
    <w:p w14:paraId="24583135"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The link connecting Official Development Assistance (ODA) and poverty alleviation has attracted significant scholarly attention over the years. However, there remains an absence of conclusive data, especially concerning the ECOWAS sub-region. To begin with, the existing literature (for instance, Ogbodo &amp; Attamah, 2019; Liu, 2023; Jalil et al., 2025) either features an economistic approach like Nigeria, Kenya, and South Africa or considers the entire continent as a unit, and in so doing, ignores the ECOWAS grouping with its distinctive and heterogeneous structural, institutional, and socio-political dynamics. Furthermore, some studies tend to focus on a relatively narrow temporal scope (for instance, a decade or two) which stretches from the 2010 s to the 2030 s. This focus would fail to capture the long-term relationships between the variables in question, especially aid and poverty. Given that poverty alleviation is a gradual phenomenon slow to respond to aid fluctuations, governance, and external shocks, a longer timeframe is warranted, from the early 2000s to the present. Finally, some contextual features pertaining to the sub-region like aid dependency, chronic political instability, governance deficits, and terrorism in the sahal have not been incorporated in the empirical frameworks, making the findings irrelevant to the sub-region. Therefore, there is a significant gap of longitudinal research that is centered on the ECOWAS sub-region which would showcase the impact that ODA has had on poverty levels over the years. However, the contradictory evidence in existing research warrants testing both the magnitude and direction of this relationship within the ECOWAS context.  Accordingly, the following hypothesis was  formulated:</w:t>
      </w:r>
    </w:p>
    <w:p w14:paraId="666474E0"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H₀₁: Official Development Assistance (ODA) has no significant effect on poverty reduction in ECOWAS countries.</w:t>
      </w:r>
    </w:p>
    <w:p w14:paraId="36E49F2D"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 xml:space="preserve">2.2.2 CONTROL VARIABLES </w:t>
      </w:r>
    </w:p>
    <w:p w14:paraId="7BBB471A"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 xml:space="preserve">Economic Growth </w:t>
      </w:r>
    </w:p>
    <w:p w14:paraId="42D7D14D" w14:textId="77777777" w:rsidR="00046C38" w:rsidRPr="00046C38" w:rsidRDefault="00046C38" w:rsidP="00811D50">
      <w:pPr>
        <w:spacing w:line="240" w:lineRule="auto"/>
        <w:jc w:val="both"/>
        <w:rPr>
          <w:rFonts w:ascii="Times New Roman" w:hAnsi="Times New Roman" w:cs="Times New Roman"/>
        </w:rPr>
      </w:pPr>
      <w:r w:rsidRPr="00046C38">
        <w:rPr>
          <w:rFonts w:ascii="Times New Roman" w:hAnsi="Times New Roman" w:cs="Times New Roman"/>
        </w:rPr>
        <w:lastRenderedPageBreak/>
        <w:t>GDP per capita is an important measure of how the economy is doing and how poverty is changing. An increase in per capita income is generally linked to a rise in the standard of living. However, if growth is not balanced, some people may still be poor. Evidence indicates that the sustained alleviation of poverty, bolstered by continuous economic progress, is achievable through well-structured, inclusive policies (Moreno Calva &amp; Cruz Marcelo, 2024).</w:t>
      </w:r>
    </w:p>
    <w:p w14:paraId="555ABB03"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Inflation rate:</w:t>
      </w:r>
    </w:p>
    <w:p w14:paraId="501640E2" w14:textId="77777777" w:rsidR="00046C38" w:rsidRPr="00046C38" w:rsidRDefault="00046C38" w:rsidP="00811D50">
      <w:pPr>
        <w:spacing w:line="240" w:lineRule="auto"/>
        <w:jc w:val="both"/>
        <w:rPr>
          <w:rFonts w:ascii="Times New Roman" w:hAnsi="Times New Roman" w:cs="Times New Roman"/>
        </w:rPr>
      </w:pPr>
      <w:r w:rsidRPr="00046C38">
        <w:rPr>
          <w:rFonts w:ascii="Times New Roman" w:hAnsi="Times New Roman" w:cs="Times New Roman"/>
        </w:rPr>
        <w:t>Inflation is a big reason why people are poor because it makes things more expensive, which lowers real income, especially for people with low incomes. Inflation that doesn't stop tends to lower real income and make people more likely to become poor (Balbaa, 2024, Mustafa et al. 2025). This is especially important for the ECOWAS member nations, as most of the economies are prone to long-term inflation. Because of this, managing inflation is important for understanding how ODA affects poverty.</w:t>
      </w:r>
    </w:p>
    <w:p w14:paraId="70256DC6"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 xml:space="preserve"> Foreign Direct Investment </w:t>
      </w:r>
    </w:p>
    <w:p w14:paraId="7958276B" w14:textId="77777777" w:rsidR="007104E3" w:rsidRPr="007104E3" w:rsidRDefault="007104E3" w:rsidP="00811D50">
      <w:pPr>
        <w:spacing w:line="240" w:lineRule="auto"/>
        <w:jc w:val="both"/>
        <w:rPr>
          <w:rFonts w:ascii="Times New Roman" w:hAnsi="Times New Roman" w:cs="Times New Roman"/>
        </w:rPr>
      </w:pPr>
      <w:r w:rsidRPr="007104E3">
        <w:rPr>
          <w:rFonts w:ascii="Times New Roman" w:hAnsi="Times New Roman" w:cs="Times New Roman"/>
        </w:rPr>
        <w:t>FDI is an important type of private foreign investment that can improve, add to, or make up for Official Development Assistance (ODA). Foreign direct investments (FDI) can assist reduce poverty by creating jobs, transferring technology, and building infrastructure. However, FDI's effect on reducing poverty is far less strong when it is focused on industries that need a lot of capital and extractive industries. Evidence from Pakistan indicates that, in conjunction with several macroeconomic determinants, FDI influx significantly influences poverty alleviation (Mehmood, 2024; Awan et al., 2023).</w:t>
      </w:r>
    </w:p>
    <w:p w14:paraId="5F36E45E" w14:textId="3FE83783"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2.3 THEORETICAL REVIEW</w:t>
      </w:r>
    </w:p>
    <w:p w14:paraId="57E3C45C"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Modernization Theory</w:t>
      </w:r>
    </w:p>
    <w:p w14:paraId="699285FB" w14:textId="77777777" w:rsidR="007104E3" w:rsidRPr="00CB089F" w:rsidRDefault="007104E3" w:rsidP="00811D50">
      <w:pPr>
        <w:spacing w:line="240" w:lineRule="auto"/>
        <w:jc w:val="both"/>
        <w:rPr>
          <w:rFonts w:ascii="Times New Roman" w:hAnsi="Times New Roman" w:cs="Times New Roman"/>
        </w:rPr>
      </w:pPr>
      <w:r w:rsidRPr="007104E3">
        <w:rPr>
          <w:rFonts w:ascii="Times New Roman" w:hAnsi="Times New Roman" w:cs="Times New Roman"/>
        </w:rPr>
        <w:t xml:space="preserve">Walt Whitman Rostow's Modernisation Theory (1960) posits that the primary determinants of economic progress and poverty alleviation are capital accumulation, institutional reform, and social transformation. The hypothesis links foreign aid to accelerated growth by addressing the savings-investment gap in underdeveloped economies, hence promoting the transition from traditional subsistence economies to modern industrialised economies. In this framework, Burns and Dollar (2000) view ODA as an essential external resource for development, as it funds domestic capital production and mitigates structural shortfalls that hinder progress. </w:t>
      </w:r>
      <w:r w:rsidRPr="007104E3">
        <w:rPr>
          <w:rFonts w:ascii="Times New Roman" w:hAnsi="Times New Roman" w:cs="Times New Roman"/>
        </w:rPr>
        <w:br/>
        <w:t>From this perspective, the influx of aid necessitates investment in social and economic infrastructure, healthcare, and education, which is regarded as fundamental for long-term development. Infrastructure development as part of education makes people more productive and raises the value of human capital (Barro, 2013). Healthcare spending also helps the economy flourish and the population's ability to get out of poverty (World Bank, 2020). So, ODA helps to lower poverty by raising people's incomes, giving them better access to social services, and improving their quality of life (Mahembe &amp; Odhiambo, 2020).</w:t>
      </w:r>
    </w:p>
    <w:p w14:paraId="64AC7DDF" w14:textId="6C4620D6" w:rsidR="007104E3" w:rsidRPr="00CB089F" w:rsidRDefault="007104E3" w:rsidP="00811D50">
      <w:pPr>
        <w:spacing w:line="240" w:lineRule="auto"/>
        <w:jc w:val="both"/>
        <w:rPr>
          <w:rFonts w:ascii="Times New Roman" w:hAnsi="Times New Roman" w:cs="Times New Roman"/>
        </w:rPr>
      </w:pPr>
      <w:r w:rsidRPr="007104E3">
        <w:rPr>
          <w:rFonts w:ascii="Times New Roman" w:hAnsi="Times New Roman" w:cs="Times New Roman"/>
        </w:rPr>
        <w:t xml:space="preserve">Modernisation theory also says that outside help not only fills up gaps in funding, but also brings modern ideals, technology, and frameworks to the institutions of the countries that receive it (Rostow, 1960; Todaro &amp; Smith, 2015). This helps make the structural change stronger and more effective, which is necessary to break the cycle of poverty and underdevelopment that occurs in Sub-Saharan Africa, including the ECOWAS countries. This hypothesis posits that continuous and </w:t>
      </w:r>
      <w:r w:rsidRPr="007104E3">
        <w:rPr>
          <w:rFonts w:ascii="Times New Roman" w:hAnsi="Times New Roman" w:cs="Times New Roman"/>
        </w:rPr>
        <w:lastRenderedPageBreak/>
        <w:t>strategically directed Official Development Assistance (ODA) is anticipated to facilitate long-term poverty alleviation (Burnside &amp; Dollar, 2000; Mahembe &amp; Odhiambo, 2020).</w:t>
      </w:r>
    </w:p>
    <w:p w14:paraId="5C665018" w14:textId="6FD54B09"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Dependency Theory</w:t>
      </w:r>
    </w:p>
    <w:p w14:paraId="21999960"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Dependency Theory was elaborated by Raul Prebisch in 1950, Andre Gunder Frank in 1966, and Samir Amin in 1976. These scholars critique the link between foreign aid and poverty in developing countries. Unlike modernization theories of development, which sees aid as a “development booster,” dependency theorists argue aid perpetuates deeper structural inequalities between the developing (periphery) and developed (core) nations (Frank, 1966; Dos Santos, 1970).</w:t>
      </w:r>
    </w:p>
    <w:p w14:paraId="5EFF08B2" w14:textId="77777777"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 xml:space="preserve">Following this line of reasoning, ODA creates a system of economic dependence which makes emerging economies reliant on donor nations for financial assistance, technology, and even policy direction. This reliance reduces the economic sovereignty of developing nations and deepens their underdevelopment (Prebisch, 1950; Amin, 1976). Aid in the African context is sometimes viewed as an instrument of neo-colonial subjugation, particularly when donor-imposed conditionalities through structural adjustment programs or governance reforms prioritize the goals of the donor countries rather than those of the supposed beneficiaries (Amin, 1976; Moyo, 2009).  </w:t>
      </w:r>
    </w:p>
    <w:p w14:paraId="2D3EEB67" w14:textId="59669552" w:rsidR="007104E3" w:rsidRPr="00CB089F" w:rsidRDefault="007104E3" w:rsidP="00811D50">
      <w:pPr>
        <w:spacing w:line="240" w:lineRule="auto"/>
        <w:jc w:val="both"/>
        <w:rPr>
          <w:rFonts w:ascii="Times New Roman" w:hAnsi="Times New Roman" w:cs="Times New Roman"/>
        </w:rPr>
      </w:pPr>
      <w:r w:rsidRPr="00CB089F">
        <w:rPr>
          <w:rFonts w:ascii="Times New Roman" w:hAnsi="Times New Roman" w:cs="Times New Roman"/>
        </w:rPr>
        <w:t>This study is predicated on Dependency Theory. This theory responds to the critique of Modernization Theory, which holds the view that any external aid and capital inflow would automatically result in growth and trigger poverty alleviation. In contrast, Dependency Theory posits that developing and developed nations remain locked in a structural relationship that produces dependence, underdevelopment and disparity. More specifically, aid, in this case, ODA, can act as a means of control for donor countries which creates dependence and stifles the productive potential of the countries receiving the aid (Frank, 1967; Dos Santos, 1970).</w:t>
      </w:r>
    </w:p>
    <w:p w14:paraId="1ED88C72" w14:textId="503E5575" w:rsidR="008D5BDD" w:rsidRPr="00FE3661" w:rsidRDefault="00FE3661" w:rsidP="00811D50">
      <w:pPr>
        <w:spacing w:line="240" w:lineRule="auto"/>
        <w:rPr>
          <w:rFonts w:ascii="Times New Roman" w:hAnsi="Times New Roman" w:cs="Times New Roman"/>
          <w:b/>
          <w:bCs/>
          <w:lang w:val="en-GB"/>
        </w:rPr>
      </w:pPr>
      <w:r w:rsidRPr="00FE3661">
        <w:rPr>
          <w:rFonts w:ascii="Times New Roman" w:hAnsi="Times New Roman" w:cs="Times New Roman"/>
          <w:b/>
          <w:bCs/>
          <w:lang w:val="en-GB"/>
        </w:rPr>
        <w:t>3.0  METHODS AND TOOLS</w:t>
      </w:r>
      <w:bookmarkStart w:id="0" w:name="_GoBack"/>
      <w:bookmarkEnd w:id="0"/>
    </w:p>
    <w:p w14:paraId="2D46DD65" w14:textId="77777777" w:rsidR="00046C38" w:rsidRPr="00CB089F" w:rsidRDefault="00046C38" w:rsidP="00811D50">
      <w:pPr>
        <w:spacing w:line="240" w:lineRule="auto"/>
        <w:jc w:val="both"/>
        <w:rPr>
          <w:rFonts w:ascii="Times New Roman" w:hAnsi="Times New Roman" w:cs="Times New Roman"/>
        </w:rPr>
      </w:pPr>
      <w:r w:rsidRPr="00CB089F">
        <w:rPr>
          <w:rFonts w:ascii="Times New Roman" w:hAnsi="Times New Roman" w:cs="Times New Roman"/>
        </w:rPr>
        <w:t>This research is based solely on secondary panel data from 2000 to 2024, encompassing 12 ECOWAS member states: Benin, Cape Verde, Côte d’Ivoire, Gambia, Ghana, Guinea, Guinea-Bissau, Liberia, Nigeria, Senegal, Sierra Leone, and Togo. The selection of the study period is determined by data availability and the necessity to elucidate the long-term dynamics of aid and poverty within the sub-region. We got the data from reliable international sources like the World Bank's World Development Indicators (WDI), the UNDP Human Development Reports, and other peer-reviewed studies.</w:t>
      </w:r>
    </w:p>
    <w:p w14:paraId="12A83F64" w14:textId="77777777" w:rsidR="00046C38" w:rsidRPr="00CB089F" w:rsidRDefault="00046C38" w:rsidP="00811D50">
      <w:pPr>
        <w:spacing w:line="240" w:lineRule="auto"/>
        <w:jc w:val="both"/>
        <w:rPr>
          <w:rFonts w:ascii="Times New Roman" w:hAnsi="Times New Roman" w:cs="Times New Roman"/>
        </w:rPr>
      </w:pPr>
      <w:r w:rsidRPr="00CB089F">
        <w:rPr>
          <w:rFonts w:ascii="Times New Roman" w:hAnsi="Times New Roman" w:cs="Times New Roman"/>
        </w:rPr>
        <w:t>Table 1: Variables and Measurement</w:t>
      </w:r>
    </w:p>
    <w:tbl>
      <w:tblPr>
        <w:tblW w:w="9051" w:type="dxa"/>
        <w:tblInd w:w="108" w:type="dxa"/>
        <w:tblLook w:val="04A0" w:firstRow="1" w:lastRow="0" w:firstColumn="1" w:lastColumn="0" w:noHBand="0" w:noVBand="1"/>
      </w:tblPr>
      <w:tblGrid>
        <w:gridCol w:w="2228"/>
        <w:gridCol w:w="3289"/>
        <w:gridCol w:w="3534"/>
      </w:tblGrid>
      <w:tr w:rsidR="00046C38" w:rsidRPr="00CB089F" w14:paraId="2529CEA0" w14:textId="77777777" w:rsidTr="000C2D6B">
        <w:trPr>
          <w:trHeight w:val="1154"/>
        </w:trPr>
        <w:tc>
          <w:tcPr>
            <w:tcW w:w="2228" w:type="dxa"/>
            <w:tcBorders>
              <w:top w:val="nil"/>
              <w:left w:val="nil"/>
              <w:bottom w:val="nil"/>
              <w:right w:val="nil"/>
            </w:tcBorders>
            <w:vAlign w:val="center"/>
            <w:hideMark/>
          </w:tcPr>
          <w:p w14:paraId="5B948EAE" w14:textId="77777777" w:rsidR="00046C38" w:rsidRPr="00CB089F" w:rsidRDefault="00046C38"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Variable</w:t>
            </w:r>
          </w:p>
        </w:tc>
        <w:tc>
          <w:tcPr>
            <w:tcW w:w="3289" w:type="dxa"/>
            <w:tcBorders>
              <w:top w:val="nil"/>
              <w:left w:val="nil"/>
              <w:bottom w:val="nil"/>
              <w:right w:val="nil"/>
            </w:tcBorders>
            <w:vAlign w:val="center"/>
            <w:hideMark/>
          </w:tcPr>
          <w:p w14:paraId="6D32A19E" w14:textId="77777777" w:rsidR="00046C38" w:rsidRPr="00CB089F" w:rsidRDefault="00046C38"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Measurement/Proxy</w:t>
            </w:r>
          </w:p>
        </w:tc>
        <w:tc>
          <w:tcPr>
            <w:tcW w:w="3534" w:type="dxa"/>
            <w:tcBorders>
              <w:top w:val="nil"/>
              <w:left w:val="nil"/>
              <w:bottom w:val="nil"/>
              <w:right w:val="nil"/>
            </w:tcBorders>
            <w:vAlign w:val="center"/>
            <w:hideMark/>
          </w:tcPr>
          <w:p w14:paraId="4A6F26A1" w14:textId="77777777" w:rsidR="00046C38" w:rsidRPr="00CB089F" w:rsidRDefault="00046C38"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Source (Academic/Empirical)</w:t>
            </w:r>
          </w:p>
        </w:tc>
      </w:tr>
      <w:tr w:rsidR="00046C38" w:rsidRPr="00CB089F" w14:paraId="08515246" w14:textId="77777777" w:rsidTr="000C2D6B">
        <w:trPr>
          <w:trHeight w:val="1683"/>
        </w:trPr>
        <w:tc>
          <w:tcPr>
            <w:tcW w:w="2228" w:type="dxa"/>
            <w:tcBorders>
              <w:top w:val="nil"/>
              <w:left w:val="nil"/>
              <w:bottom w:val="nil"/>
              <w:right w:val="nil"/>
            </w:tcBorders>
            <w:vAlign w:val="center"/>
            <w:hideMark/>
          </w:tcPr>
          <w:p w14:paraId="4FE88553"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Poverty Reduction (Pov)</w:t>
            </w:r>
          </w:p>
        </w:tc>
        <w:tc>
          <w:tcPr>
            <w:tcW w:w="3289" w:type="dxa"/>
            <w:tcBorders>
              <w:top w:val="nil"/>
              <w:left w:val="nil"/>
              <w:bottom w:val="nil"/>
              <w:right w:val="nil"/>
            </w:tcBorders>
            <w:vAlign w:val="center"/>
            <w:hideMark/>
          </w:tcPr>
          <w:p w14:paraId="264F99A5"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Human Development Index (HDI) – composite index of life expectancy, education, and income per capita</w:t>
            </w:r>
          </w:p>
        </w:tc>
        <w:tc>
          <w:tcPr>
            <w:tcW w:w="3534" w:type="dxa"/>
            <w:tcBorders>
              <w:top w:val="nil"/>
              <w:left w:val="nil"/>
              <w:bottom w:val="nil"/>
              <w:right w:val="nil"/>
            </w:tcBorders>
            <w:vAlign w:val="center"/>
            <w:hideMark/>
          </w:tcPr>
          <w:p w14:paraId="56C61646"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UNDP (2023); Balbaa (2024)</w:t>
            </w:r>
          </w:p>
        </w:tc>
      </w:tr>
      <w:tr w:rsidR="00046C38" w:rsidRPr="00CB089F" w14:paraId="5E080845" w14:textId="77777777" w:rsidTr="000C2D6B">
        <w:trPr>
          <w:trHeight w:val="1692"/>
        </w:trPr>
        <w:tc>
          <w:tcPr>
            <w:tcW w:w="2228" w:type="dxa"/>
            <w:tcBorders>
              <w:top w:val="nil"/>
              <w:left w:val="nil"/>
              <w:bottom w:val="nil"/>
              <w:right w:val="nil"/>
            </w:tcBorders>
            <w:vAlign w:val="center"/>
            <w:hideMark/>
          </w:tcPr>
          <w:p w14:paraId="32CE0EEA"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lastRenderedPageBreak/>
              <w:t>Official Development Assistance (ODA)</w:t>
            </w:r>
          </w:p>
        </w:tc>
        <w:tc>
          <w:tcPr>
            <w:tcW w:w="3289" w:type="dxa"/>
            <w:tcBorders>
              <w:top w:val="nil"/>
              <w:left w:val="nil"/>
              <w:bottom w:val="nil"/>
              <w:right w:val="nil"/>
            </w:tcBorders>
            <w:vAlign w:val="center"/>
            <w:hideMark/>
          </w:tcPr>
          <w:p w14:paraId="261EE56D"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Net Official Development Assistance received (% of Gross National Income)</w:t>
            </w:r>
          </w:p>
        </w:tc>
        <w:tc>
          <w:tcPr>
            <w:tcW w:w="3534" w:type="dxa"/>
            <w:tcBorders>
              <w:top w:val="nil"/>
              <w:left w:val="nil"/>
              <w:bottom w:val="nil"/>
              <w:right w:val="nil"/>
            </w:tcBorders>
            <w:vAlign w:val="center"/>
            <w:hideMark/>
          </w:tcPr>
          <w:p w14:paraId="0A5445D7"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Sachs (2005); Mahembe &amp; Odhiambo (2020); World Bank (2023)</w:t>
            </w:r>
          </w:p>
        </w:tc>
      </w:tr>
      <w:tr w:rsidR="00046C38" w:rsidRPr="00CB089F" w14:paraId="7A9F94C6" w14:textId="77777777" w:rsidTr="000C2D6B">
        <w:trPr>
          <w:trHeight w:val="1561"/>
        </w:trPr>
        <w:tc>
          <w:tcPr>
            <w:tcW w:w="2228" w:type="dxa"/>
            <w:tcBorders>
              <w:top w:val="nil"/>
              <w:left w:val="nil"/>
              <w:bottom w:val="nil"/>
              <w:right w:val="nil"/>
            </w:tcBorders>
            <w:vAlign w:val="center"/>
            <w:hideMark/>
          </w:tcPr>
          <w:p w14:paraId="75321D9F"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GDP per capita (GDP)</w:t>
            </w:r>
          </w:p>
        </w:tc>
        <w:tc>
          <w:tcPr>
            <w:tcW w:w="3289" w:type="dxa"/>
            <w:tcBorders>
              <w:top w:val="nil"/>
              <w:left w:val="nil"/>
              <w:bottom w:val="nil"/>
              <w:right w:val="nil"/>
            </w:tcBorders>
            <w:vAlign w:val="center"/>
            <w:hideMark/>
          </w:tcPr>
          <w:p w14:paraId="1EA765CF"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GDP per capita (constant 2015 US$)</w:t>
            </w:r>
          </w:p>
        </w:tc>
        <w:tc>
          <w:tcPr>
            <w:tcW w:w="3534" w:type="dxa"/>
            <w:tcBorders>
              <w:top w:val="nil"/>
              <w:left w:val="nil"/>
              <w:bottom w:val="nil"/>
              <w:right w:val="nil"/>
            </w:tcBorders>
            <w:vAlign w:val="center"/>
            <w:hideMark/>
          </w:tcPr>
          <w:p w14:paraId="16F97238"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Barro (1996); Moreno Calva &amp; Cruz (2024); World Bank (2023)</w:t>
            </w:r>
          </w:p>
        </w:tc>
      </w:tr>
      <w:tr w:rsidR="00046C38" w:rsidRPr="00CB089F" w14:paraId="38440B64" w14:textId="77777777" w:rsidTr="000C2D6B">
        <w:trPr>
          <w:trHeight w:val="1130"/>
        </w:trPr>
        <w:tc>
          <w:tcPr>
            <w:tcW w:w="2228" w:type="dxa"/>
            <w:tcBorders>
              <w:top w:val="nil"/>
              <w:left w:val="nil"/>
              <w:bottom w:val="nil"/>
              <w:right w:val="nil"/>
            </w:tcBorders>
            <w:vAlign w:val="center"/>
            <w:hideMark/>
          </w:tcPr>
          <w:p w14:paraId="571B663E"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Inflation (Infla)</w:t>
            </w:r>
          </w:p>
        </w:tc>
        <w:tc>
          <w:tcPr>
            <w:tcW w:w="3289" w:type="dxa"/>
            <w:tcBorders>
              <w:top w:val="nil"/>
              <w:left w:val="nil"/>
              <w:bottom w:val="nil"/>
              <w:right w:val="nil"/>
            </w:tcBorders>
            <w:vAlign w:val="center"/>
            <w:hideMark/>
          </w:tcPr>
          <w:p w14:paraId="512E2B2B"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Consumer Price Index (annual % change)</w:t>
            </w:r>
          </w:p>
        </w:tc>
        <w:tc>
          <w:tcPr>
            <w:tcW w:w="3534" w:type="dxa"/>
            <w:tcBorders>
              <w:top w:val="nil"/>
              <w:left w:val="nil"/>
              <w:bottom w:val="nil"/>
              <w:right w:val="nil"/>
            </w:tcBorders>
            <w:vAlign w:val="center"/>
            <w:hideMark/>
          </w:tcPr>
          <w:p w14:paraId="733AF7DF"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Fischer (1993); Awan et al. (2023); Balbaa (2024)</w:t>
            </w:r>
          </w:p>
        </w:tc>
      </w:tr>
      <w:tr w:rsidR="00046C38" w:rsidRPr="00CB089F" w14:paraId="4416C4B4" w14:textId="77777777" w:rsidTr="000C2D6B">
        <w:trPr>
          <w:trHeight w:val="1004"/>
        </w:trPr>
        <w:tc>
          <w:tcPr>
            <w:tcW w:w="2228" w:type="dxa"/>
            <w:tcBorders>
              <w:top w:val="nil"/>
              <w:left w:val="nil"/>
              <w:bottom w:val="nil"/>
              <w:right w:val="nil"/>
            </w:tcBorders>
            <w:vAlign w:val="center"/>
            <w:hideMark/>
          </w:tcPr>
          <w:p w14:paraId="2575CC07"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Foreign Direct Investment (FDI)</w:t>
            </w:r>
          </w:p>
        </w:tc>
        <w:tc>
          <w:tcPr>
            <w:tcW w:w="3289" w:type="dxa"/>
            <w:tcBorders>
              <w:top w:val="nil"/>
              <w:left w:val="nil"/>
              <w:bottom w:val="nil"/>
              <w:right w:val="nil"/>
            </w:tcBorders>
            <w:vAlign w:val="center"/>
            <w:hideMark/>
          </w:tcPr>
          <w:p w14:paraId="3320F412"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Net FDI inflows (% of GDP)</w:t>
            </w:r>
          </w:p>
        </w:tc>
        <w:tc>
          <w:tcPr>
            <w:tcW w:w="3534" w:type="dxa"/>
            <w:tcBorders>
              <w:top w:val="nil"/>
              <w:left w:val="nil"/>
              <w:bottom w:val="nil"/>
              <w:right w:val="nil"/>
            </w:tcBorders>
            <w:vAlign w:val="center"/>
            <w:hideMark/>
          </w:tcPr>
          <w:p w14:paraId="124033FA" w14:textId="77777777" w:rsidR="00046C38" w:rsidRPr="00CB089F" w:rsidRDefault="00046C38"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Anetor et al. (2020); Liu (2023); World Bank (2023)</w:t>
            </w:r>
          </w:p>
        </w:tc>
      </w:tr>
    </w:tbl>
    <w:p w14:paraId="388500C9" w14:textId="77777777" w:rsidR="00046C38" w:rsidRPr="00CB089F" w:rsidRDefault="00046C38" w:rsidP="00811D50">
      <w:pPr>
        <w:spacing w:line="240" w:lineRule="auto"/>
        <w:jc w:val="both"/>
        <w:rPr>
          <w:rFonts w:ascii="Times New Roman" w:hAnsi="Times New Roman" w:cs="Times New Roman"/>
        </w:rPr>
      </w:pPr>
    </w:p>
    <w:p w14:paraId="617BFF3A" w14:textId="77777777" w:rsidR="00046C38" w:rsidRPr="00CB089F" w:rsidRDefault="00046C38" w:rsidP="00811D50">
      <w:pPr>
        <w:spacing w:line="240" w:lineRule="auto"/>
        <w:jc w:val="both"/>
        <w:rPr>
          <w:rFonts w:ascii="Times New Roman" w:hAnsi="Times New Roman" w:cs="Times New Roman"/>
        </w:rPr>
      </w:pPr>
      <w:r w:rsidRPr="00CB089F">
        <w:rPr>
          <w:rFonts w:ascii="Times New Roman" w:hAnsi="Times New Roman" w:cs="Times New Roman"/>
        </w:rPr>
        <w:t>3.2. METHOD OF ANALYSIS</w:t>
      </w:r>
    </w:p>
    <w:p w14:paraId="6CFB3699" w14:textId="77777777" w:rsidR="00046C38" w:rsidRPr="00CB089F" w:rsidRDefault="00046C38" w:rsidP="00811D50">
      <w:pPr>
        <w:spacing w:line="240" w:lineRule="auto"/>
        <w:jc w:val="both"/>
        <w:rPr>
          <w:rFonts w:ascii="Times New Roman" w:hAnsi="Times New Roman" w:cs="Times New Roman"/>
        </w:rPr>
      </w:pPr>
      <w:r w:rsidRPr="00CB089F">
        <w:rPr>
          <w:rFonts w:ascii="Times New Roman" w:hAnsi="Times New Roman" w:cs="Times New Roman"/>
        </w:rPr>
        <w:t xml:space="preserve">The study employs a dynamic panel data model estimated by the Generalized Method of Moments (GMM) technique considering possible endogeneity, heteroscedasticity, and autocorrelation. </w:t>
      </w:r>
    </w:p>
    <w:p w14:paraId="7C6A8650" w14:textId="77777777" w:rsidR="00046C38" w:rsidRPr="00CB089F" w:rsidRDefault="00046C38" w:rsidP="00811D50">
      <w:pPr>
        <w:spacing w:line="240" w:lineRule="auto"/>
        <w:jc w:val="both"/>
        <w:rPr>
          <w:rFonts w:ascii="Times New Roman" w:hAnsi="Times New Roman" w:cs="Times New Roman"/>
        </w:rPr>
      </w:pPr>
      <w:r w:rsidRPr="00CB089F">
        <w:rPr>
          <w:rFonts w:ascii="Times New Roman" w:hAnsi="Times New Roman" w:cs="Times New Roman"/>
        </w:rPr>
        <w:t>3.3. MODEL SPECIFICATION</w:t>
      </w:r>
    </w:p>
    <w:p w14:paraId="1DAF9949" w14:textId="77777777" w:rsidR="00046C38" w:rsidRPr="00CB089F" w:rsidRDefault="00046C38" w:rsidP="00811D50">
      <w:pPr>
        <w:spacing w:line="240" w:lineRule="auto"/>
        <w:jc w:val="both"/>
        <w:rPr>
          <w:rFonts w:ascii="Times New Roman" w:hAnsi="Times New Roman" w:cs="Times New Roman"/>
        </w:rPr>
      </w:pPr>
      <w:r w:rsidRPr="00CB089F">
        <w:rPr>
          <w:rFonts w:ascii="Times New Roman" w:hAnsi="Times New Roman" w:cs="Times New Roman"/>
        </w:rPr>
        <w:t>The selection of the dynamic panel model in this study is substantiated by both theoretical and empirical rationale. Poverty dynamics in developing countries like ECOWAS exhibit persistence over time, commonly termed the “poverty trap,” wherein current poverty levels are shaped by historical poverty levels. To account for this dynamic effect, the model includes the lagged dependent variable. The model is specified as follows:</w:t>
      </w:r>
    </w:p>
    <w:p w14:paraId="7498407C" w14:textId="77777777" w:rsidR="00046C38" w:rsidRPr="00CB089F" w:rsidRDefault="00046C38" w:rsidP="00811D50">
      <w:pPr>
        <w:spacing w:line="240" w:lineRule="auto"/>
        <w:jc w:val="both"/>
        <w:rPr>
          <w:rFonts w:ascii="Times New Roman" w:hAnsi="Times New Roman" w:cs="Times New Roman"/>
        </w:rPr>
      </w:pPr>
      <w:r w:rsidRPr="00CB089F">
        <w:rPr>
          <w:rFonts w:ascii="Times New Roman" w:hAnsi="Times New Roman" w:cs="Times New Roman"/>
        </w:rPr>
        <w:t>Pov</w:t>
      </w:r>
      <w:r w:rsidRPr="00CB089F">
        <w:rPr>
          <w:rFonts w:ascii="Times New Roman" w:hAnsi="Times New Roman" w:cs="Times New Roman"/>
          <w:vertAlign w:val="subscript"/>
        </w:rPr>
        <w:t>it</w:t>
      </w:r>
      <w:r w:rsidRPr="00CB089F">
        <w:rPr>
          <w:rFonts w:ascii="Times New Roman" w:hAnsi="Times New Roman" w:cs="Times New Roman"/>
        </w:rPr>
        <w:t>​=α+ρPov</w:t>
      </w:r>
      <w:r w:rsidRPr="00CB089F">
        <w:rPr>
          <w:rFonts w:ascii="Times New Roman" w:hAnsi="Times New Roman" w:cs="Times New Roman"/>
          <w:vertAlign w:val="subscript"/>
        </w:rPr>
        <w:t>it</w:t>
      </w:r>
      <w:r w:rsidRPr="00CB089F">
        <w:rPr>
          <w:rFonts w:ascii="Times New Roman" w:hAnsi="Times New Roman" w:cs="Times New Roman"/>
        </w:rPr>
        <w:t>−1​+β1​ODA</w:t>
      </w:r>
      <w:r w:rsidRPr="00CB089F">
        <w:rPr>
          <w:rFonts w:ascii="Times New Roman" w:hAnsi="Times New Roman" w:cs="Times New Roman"/>
          <w:vertAlign w:val="subscript"/>
        </w:rPr>
        <w:t>it</w:t>
      </w:r>
      <w:r w:rsidRPr="00CB089F">
        <w:rPr>
          <w:rFonts w:ascii="Times New Roman" w:hAnsi="Times New Roman" w:cs="Times New Roman"/>
        </w:rPr>
        <w:t>+β2​GDP</w:t>
      </w:r>
      <w:r w:rsidRPr="00CB089F">
        <w:rPr>
          <w:rFonts w:ascii="Times New Roman" w:hAnsi="Times New Roman" w:cs="Times New Roman"/>
          <w:vertAlign w:val="subscript"/>
        </w:rPr>
        <w:t>it</w:t>
      </w:r>
      <w:r w:rsidRPr="00CB089F">
        <w:rPr>
          <w:rFonts w:ascii="Times New Roman" w:hAnsi="Times New Roman" w:cs="Times New Roman"/>
        </w:rPr>
        <w:t>+β3​Infl</w:t>
      </w:r>
      <w:r w:rsidRPr="00CB089F">
        <w:rPr>
          <w:rFonts w:ascii="Times New Roman" w:hAnsi="Times New Roman" w:cs="Times New Roman"/>
          <w:vertAlign w:val="subscript"/>
        </w:rPr>
        <w:t>it</w:t>
      </w:r>
      <w:r w:rsidRPr="00CB089F">
        <w:rPr>
          <w:rFonts w:ascii="Times New Roman" w:hAnsi="Times New Roman" w:cs="Times New Roman"/>
        </w:rPr>
        <w:t>​+β4​FDI</w:t>
      </w:r>
      <w:r w:rsidRPr="00CB089F">
        <w:rPr>
          <w:rFonts w:ascii="Times New Roman" w:hAnsi="Times New Roman" w:cs="Times New Roman"/>
          <w:vertAlign w:val="subscript"/>
        </w:rPr>
        <w:t>it</w:t>
      </w:r>
      <w:r w:rsidRPr="00CB089F">
        <w:rPr>
          <w:rFonts w:ascii="Times New Roman" w:hAnsi="Times New Roman" w:cs="Times New Roman"/>
        </w:rPr>
        <w:t>​+μi​+τt​+ε</w:t>
      </w:r>
      <w:r w:rsidRPr="00CB089F">
        <w:rPr>
          <w:rFonts w:ascii="Times New Roman" w:hAnsi="Times New Roman" w:cs="Times New Roman"/>
          <w:vertAlign w:val="subscript"/>
        </w:rPr>
        <w:t>it</w:t>
      </w:r>
      <w:r w:rsidRPr="00CB089F">
        <w:rPr>
          <w:rFonts w:ascii="Times New Roman" w:hAnsi="Times New Roman" w:cs="Times New Roman"/>
        </w:rPr>
        <w:t>​</w:t>
      </w:r>
    </w:p>
    <w:p w14:paraId="0FEED361" w14:textId="77777777" w:rsidR="00046C38" w:rsidRPr="00CB089F" w:rsidRDefault="00046C38" w:rsidP="00811D50">
      <w:pPr>
        <w:spacing w:line="240" w:lineRule="auto"/>
        <w:jc w:val="both"/>
        <w:rPr>
          <w:rFonts w:ascii="Times New Roman" w:hAnsi="Times New Roman" w:cs="Times New Roman"/>
        </w:rPr>
      </w:pPr>
    </w:p>
    <w:p w14:paraId="582FED4E" w14:textId="77777777"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t>Where:</w:t>
      </w:r>
    </w:p>
    <w:p w14:paraId="41AFA499" w14:textId="77777777"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t xml:space="preserve">Povi=Poverty reduction  for country </w:t>
      </w:r>
      <w:r w:rsidRPr="00CB089F">
        <w:rPr>
          <w:rFonts w:ascii="Times New Roman" w:hAnsi="Times New Roman" w:cs="Times New Roman"/>
          <w:i/>
          <w:iCs/>
        </w:rPr>
        <w:t>i</w:t>
      </w:r>
      <w:r w:rsidRPr="00CB089F">
        <w:rPr>
          <w:rFonts w:ascii="Times New Roman" w:hAnsi="Times New Roman" w:cs="Times New Roman"/>
        </w:rPr>
        <w:t xml:space="preserve"> in year </w:t>
      </w:r>
      <w:r w:rsidRPr="00CB089F">
        <w:rPr>
          <w:rFonts w:ascii="Times New Roman" w:hAnsi="Times New Roman" w:cs="Times New Roman"/>
          <w:i/>
          <w:iCs/>
        </w:rPr>
        <w:t>t</w:t>
      </w:r>
      <w:r w:rsidRPr="00CB089F">
        <w:rPr>
          <w:rFonts w:ascii="Times New Roman" w:hAnsi="Times New Roman" w:cs="Times New Roman"/>
        </w:rPr>
        <w:t xml:space="preserve"> </w:t>
      </w:r>
    </w:p>
    <w:p w14:paraId="0A4A6491" w14:textId="77777777"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t>Povi,t−1​= One-period lag of the poverty indicator (captures persistence).</w:t>
      </w:r>
    </w:p>
    <w:p w14:paraId="6300C020" w14:textId="77777777"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t xml:space="preserve">ODA​ = Official Development Assistance </w:t>
      </w:r>
    </w:p>
    <w:p w14:paraId="2ED78755" w14:textId="77777777"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t xml:space="preserve">GDP = Gross Domestic Product </w:t>
      </w:r>
    </w:p>
    <w:p w14:paraId="1D6F9D73" w14:textId="77777777"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t xml:space="preserve">Infi​ = Inflation rate </w:t>
      </w:r>
    </w:p>
    <w:p w14:paraId="5DF808E3" w14:textId="77777777"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t>FD​ = Net FDI inflows</w:t>
      </w:r>
    </w:p>
    <w:p w14:paraId="0F79CA94" w14:textId="77777777"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lastRenderedPageBreak/>
        <w:t>μi​ = Country fixed effects (time-invariant heterogeneity).</w:t>
      </w:r>
    </w:p>
    <w:p w14:paraId="4E5D48A3" w14:textId="77777777"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t>τt​ = Year fixed effects (common shocks such as 2008, COVID-19).</w:t>
      </w:r>
    </w:p>
    <w:p w14:paraId="6BB869E2" w14:textId="77777777"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t>ε =Idiosyncratic error term.</w:t>
      </w:r>
    </w:p>
    <w:p w14:paraId="1CC2E6AF" w14:textId="77777777"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t>GMM provides an efficient framework for addressing endogeneity issues. ODA, GDP per capita, and FDI are potentially endogenous because they can be influenced by poverty itself or other unobserved factors. The Arellano–Bond estimator overcomes this challenge by using internal instruments that is, lagged values of the explanatory variables to control for simultaneity bias and omitted variable bias.</w:t>
      </w:r>
    </w:p>
    <w:p w14:paraId="7C188A7B" w14:textId="3F086786" w:rsidR="00046C38" w:rsidRPr="00CB089F" w:rsidRDefault="00046C38" w:rsidP="00811D50">
      <w:pPr>
        <w:spacing w:line="240" w:lineRule="auto"/>
        <w:ind w:left="720"/>
        <w:jc w:val="both"/>
        <w:rPr>
          <w:rFonts w:ascii="Times New Roman" w:hAnsi="Times New Roman" w:cs="Times New Roman"/>
        </w:rPr>
      </w:pPr>
      <w:r w:rsidRPr="00CB089F">
        <w:rPr>
          <w:rFonts w:ascii="Times New Roman" w:hAnsi="Times New Roman" w:cs="Times New Roman"/>
        </w:rPr>
        <w:t>Data analysis was conducted using Stata 17  for data cleaning, descriptive statistics, correlation analysis, and System GMM estimation, and Microsoft Excel 2021 for data entry and preliminary tabulation.</w:t>
      </w:r>
    </w:p>
    <w:p w14:paraId="59C26F3D" w14:textId="77777777" w:rsidR="008D5BDD" w:rsidRPr="00CB089F" w:rsidRDefault="008D5BDD" w:rsidP="00811D50">
      <w:pPr>
        <w:spacing w:line="240" w:lineRule="auto"/>
        <w:rPr>
          <w:rFonts w:ascii="Times New Roman" w:hAnsi="Times New Roman" w:cs="Times New Roman"/>
          <w:lang w:val="en-GB"/>
        </w:rPr>
      </w:pPr>
      <w:r w:rsidRPr="00CB089F">
        <w:rPr>
          <w:rFonts w:ascii="Times New Roman" w:hAnsi="Times New Roman" w:cs="Times New Roman"/>
          <w:lang w:val="en-GB"/>
        </w:rPr>
        <w:t xml:space="preserve"> Discussion and Analysis</w:t>
      </w:r>
    </w:p>
    <w:p w14:paraId="31473AD5" w14:textId="35BC6F1E" w:rsidR="001A22BA" w:rsidRPr="00CB089F" w:rsidRDefault="001A22BA" w:rsidP="00811D50">
      <w:pPr>
        <w:spacing w:line="240" w:lineRule="auto"/>
        <w:jc w:val="both"/>
        <w:rPr>
          <w:rFonts w:ascii="Times New Roman" w:hAnsi="Times New Roman" w:cs="Times New Roman"/>
        </w:rPr>
      </w:pPr>
      <w:r w:rsidRPr="00CB089F">
        <w:rPr>
          <w:rFonts w:ascii="Times New Roman" w:hAnsi="Times New Roman" w:cs="Times New Roman"/>
        </w:rPr>
        <w:t xml:space="preserve">Table </w:t>
      </w:r>
      <w:r w:rsidR="005D79BD">
        <w:rPr>
          <w:rFonts w:ascii="Times New Roman" w:hAnsi="Times New Roman" w:cs="Times New Roman"/>
        </w:rPr>
        <w:t>2</w:t>
      </w:r>
      <w:r w:rsidRPr="00CB089F">
        <w:rPr>
          <w:rFonts w:ascii="Times New Roman" w:hAnsi="Times New Roman" w:cs="Times New Roman"/>
        </w:rPr>
        <w:t>: Descriptive Statistics</w:t>
      </w:r>
    </w:p>
    <w:tbl>
      <w:tblPr>
        <w:tblW w:w="9596" w:type="dxa"/>
        <w:tblInd w:w="113" w:type="dxa"/>
        <w:tblLook w:val="04A0" w:firstRow="1" w:lastRow="0" w:firstColumn="1" w:lastColumn="0" w:noHBand="0" w:noVBand="1"/>
      </w:tblPr>
      <w:tblGrid>
        <w:gridCol w:w="1849"/>
        <w:gridCol w:w="1453"/>
        <w:gridCol w:w="1659"/>
        <w:gridCol w:w="1563"/>
        <w:gridCol w:w="1509"/>
        <w:gridCol w:w="1563"/>
      </w:tblGrid>
      <w:tr w:rsidR="001A22BA" w:rsidRPr="00CB089F" w14:paraId="41F0823E" w14:textId="77777777" w:rsidTr="000C2D6B">
        <w:trPr>
          <w:trHeight w:val="689"/>
        </w:trPr>
        <w:tc>
          <w:tcPr>
            <w:tcW w:w="1849" w:type="dxa"/>
            <w:tcBorders>
              <w:top w:val="single" w:sz="4" w:space="0" w:color="auto"/>
              <w:left w:val="single" w:sz="4" w:space="0" w:color="auto"/>
              <w:bottom w:val="single" w:sz="4" w:space="0" w:color="auto"/>
              <w:right w:val="single" w:sz="4" w:space="0" w:color="auto"/>
            </w:tcBorders>
            <w:vAlign w:val="center"/>
            <w:hideMark/>
          </w:tcPr>
          <w:p w14:paraId="14A8CD68"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Variable</w:t>
            </w:r>
          </w:p>
        </w:tc>
        <w:tc>
          <w:tcPr>
            <w:tcW w:w="1453" w:type="dxa"/>
            <w:tcBorders>
              <w:top w:val="single" w:sz="4" w:space="0" w:color="auto"/>
              <w:left w:val="nil"/>
              <w:bottom w:val="single" w:sz="4" w:space="0" w:color="auto"/>
              <w:right w:val="single" w:sz="4" w:space="0" w:color="auto"/>
            </w:tcBorders>
            <w:vAlign w:val="center"/>
            <w:hideMark/>
          </w:tcPr>
          <w:p w14:paraId="2ADCC1F5"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Obs</w:t>
            </w:r>
          </w:p>
        </w:tc>
        <w:tc>
          <w:tcPr>
            <w:tcW w:w="1659" w:type="dxa"/>
            <w:tcBorders>
              <w:top w:val="single" w:sz="4" w:space="0" w:color="auto"/>
              <w:left w:val="nil"/>
              <w:bottom w:val="single" w:sz="4" w:space="0" w:color="auto"/>
              <w:right w:val="single" w:sz="4" w:space="0" w:color="auto"/>
            </w:tcBorders>
            <w:vAlign w:val="center"/>
            <w:hideMark/>
          </w:tcPr>
          <w:p w14:paraId="7209B02A"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Mean</w:t>
            </w:r>
          </w:p>
        </w:tc>
        <w:tc>
          <w:tcPr>
            <w:tcW w:w="1563" w:type="dxa"/>
            <w:tcBorders>
              <w:top w:val="single" w:sz="4" w:space="0" w:color="auto"/>
              <w:left w:val="nil"/>
              <w:bottom w:val="single" w:sz="4" w:space="0" w:color="auto"/>
              <w:right w:val="single" w:sz="4" w:space="0" w:color="auto"/>
            </w:tcBorders>
            <w:vAlign w:val="center"/>
            <w:hideMark/>
          </w:tcPr>
          <w:p w14:paraId="78B82521"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Std. Dev.</w:t>
            </w:r>
          </w:p>
        </w:tc>
        <w:tc>
          <w:tcPr>
            <w:tcW w:w="1509" w:type="dxa"/>
            <w:tcBorders>
              <w:top w:val="single" w:sz="4" w:space="0" w:color="auto"/>
              <w:left w:val="nil"/>
              <w:bottom w:val="single" w:sz="4" w:space="0" w:color="auto"/>
              <w:right w:val="single" w:sz="4" w:space="0" w:color="auto"/>
            </w:tcBorders>
            <w:vAlign w:val="center"/>
            <w:hideMark/>
          </w:tcPr>
          <w:p w14:paraId="4B755627"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Min</w:t>
            </w:r>
          </w:p>
        </w:tc>
        <w:tc>
          <w:tcPr>
            <w:tcW w:w="1563" w:type="dxa"/>
            <w:tcBorders>
              <w:top w:val="single" w:sz="4" w:space="0" w:color="auto"/>
              <w:left w:val="nil"/>
              <w:bottom w:val="single" w:sz="4" w:space="0" w:color="auto"/>
              <w:right w:val="single" w:sz="4" w:space="0" w:color="auto"/>
            </w:tcBorders>
            <w:vAlign w:val="center"/>
            <w:hideMark/>
          </w:tcPr>
          <w:p w14:paraId="6F76F70C"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Max</w:t>
            </w:r>
          </w:p>
        </w:tc>
      </w:tr>
      <w:tr w:rsidR="001A22BA" w:rsidRPr="00CB089F" w14:paraId="0327C6AF" w14:textId="77777777" w:rsidTr="000C2D6B">
        <w:trPr>
          <w:trHeight w:val="356"/>
        </w:trPr>
        <w:tc>
          <w:tcPr>
            <w:tcW w:w="1849" w:type="dxa"/>
            <w:tcBorders>
              <w:top w:val="nil"/>
              <w:left w:val="single" w:sz="4" w:space="0" w:color="auto"/>
              <w:bottom w:val="single" w:sz="4" w:space="0" w:color="auto"/>
              <w:right w:val="single" w:sz="4" w:space="0" w:color="auto"/>
            </w:tcBorders>
            <w:vAlign w:val="center"/>
            <w:hideMark/>
          </w:tcPr>
          <w:p w14:paraId="42C15A2B"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 xml:space="preserve">pov </w:t>
            </w:r>
          </w:p>
        </w:tc>
        <w:tc>
          <w:tcPr>
            <w:tcW w:w="1453" w:type="dxa"/>
            <w:tcBorders>
              <w:top w:val="nil"/>
              <w:left w:val="nil"/>
              <w:bottom w:val="single" w:sz="4" w:space="0" w:color="auto"/>
              <w:right w:val="single" w:sz="4" w:space="0" w:color="auto"/>
            </w:tcBorders>
            <w:vAlign w:val="center"/>
            <w:hideMark/>
          </w:tcPr>
          <w:p w14:paraId="0EACEEB4"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300</w:t>
            </w:r>
          </w:p>
        </w:tc>
        <w:tc>
          <w:tcPr>
            <w:tcW w:w="1659" w:type="dxa"/>
            <w:tcBorders>
              <w:top w:val="nil"/>
              <w:left w:val="nil"/>
              <w:bottom w:val="single" w:sz="4" w:space="0" w:color="auto"/>
              <w:right w:val="single" w:sz="4" w:space="0" w:color="auto"/>
            </w:tcBorders>
            <w:vAlign w:val="center"/>
            <w:hideMark/>
          </w:tcPr>
          <w:p w14:paraId="1B4E2305"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0.5293</w:t>
            </w:r>
          </w:p>
        </w:tc>
        <w:tc>
          <w:tcPr>
            <w:tcW w:w="1563" w:type="dxa"/>
            <w:tcBorders>
              <w:top w:val="nil"/>
              <w:left w:val="nil"/>
              <w:bottom w:val="single" w:sz="4" w:space="0" w:color="auto"/>
              <w:right w:val="single" w:sz="4" w:space="0" w:color="auto"/>
            </w:tcBorders>
            <w:vAlign w:val="center"/>
            <w:hideMark/>
          </w:tcPr>
          <w:p w14:paraId="1FA23010"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0.1344</w:t>
            </w:r>
          </w:p>
        </w:tc>
        <w:tc>
          <w:tcPr>
            <w:tcW w:w="1509" w:type="dxa"/>
            <w:tcBorders>
              <w:top w:val="nil"/>
              <w:left w:val="nil"/>
              <w:bottom w:val="single" w:sz="4" w:space="0" w:color="auto"/>
              <w:right w:val="single" w:sz="4" w:space="0" w:color="auto"/>
            </w:tcBorders>
            <w:vAlign w:val="center"/>
            <w:hideMark/>
          </w:tcPr>
          <w:p w14:paraId="2C1AA6F6"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0.304</w:t>
            </w:r>
          </w:p>
        </w:tc>
        <w:tc>
          <w:tcPr>
            <w:tcW w:w="1563" w:type="dxa"/>
            <w:tcBorders>
              <w:top w:val="nil"/>
              <w:left w:val="nil"/>
              <w:bottom w:val="single" w:sz="4" w:space="0" w:color="auto"/>
              <w:right w:val="single" w:sz="4" w:space="0" w:color="auto"/>
            </w:tcBorders>
            <w:vAlign w:val="center"/>
            <w:hideMark/>
          </w:tcPr>
          <w:p w14:paraId="1583FA58"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0.747</w:t>
            </w:r>
          </w:p>
        </w:tc>
      </w:tr>
      <w:tr w:rsidR="001A22BA" w:rsidRPr="00CB089F" w14:paraId="3B27E05B" w14:textId="77777777" w:rsidTr="000C2D6B">
        <w:trPr>
          <w:trHeight w:val="356"/>
        </w:trPr>
        <w:tc>
          <w:tcPr>
            <w:tcW w:w="1849" w:type="dxa"/>
            <w:tcBorders>
              <w:top w:val="nil"/>
              <w:left w:val="single" w:sz="4" w:space="0" w:color="auto"/>
              <w:bottom w:val="single" w:sz="4" w:space="0" w:color="auto"/>
              <w:right w:val="single" w:sz="4" w:space="0" w:color="auto"/>
            </w:tcBorders>
            <w:vAlign w:val="center"/>
            <w:hideMark/>
          </w:tcPr>
          <w:p w14:paraId="27FDCA58"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Oda</w:t>
            </w:r>
          </w:p>
        </w:tc>
        <w:tc>
          <w:tcPr>
            <w:tcW w:w="1453" w:type="dxa"/>
            <w:tcBorders>
              <w:top w:val="nil"/>
              <w:left w:val="nil"/>
              <w:bottom w:val="single" w:sz="4" w:space="0" w:color="auto"/>
              <w:right w:val="single" w:sz="4" w:space="0" w:color="auto"/>
            </w:tcBorders>
            <w:vAlign w:val="center"/>
            <w:hideMark/>
          </w:tcPr>
          <w:p w14:paraId="4E48503C"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300</w:t>
            </w:r>
          </w:p>
        </w:tc>
        <w:tc>
          <w:tcPr>
            <w:tcW w:w="1659" w:type="dxa"/>
            <w:tcBorders>
              <w:top w:val="nil"/>
              <w:left w:val="nil"/>
              <w:bottom w:val="single" w:sz="4" w:space="0" w:color="auto"/>
              <w:right w:val="single" w:sz="4" w:space="0" w:color="auto"/>
            </w:tcBorders>
            <w:vAlign w:val="center"/>
            <w:hideMark/>
          </w:tcPr>
          <w:p w14:paraId="473AFC77"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8.0809</w:t>
            </w:r>
          </w:p>
        </w:tc>
        <w:tc>
          <w:tcPr>
            <w:tcW w:w="1563" w:type="dxa"/>
            <w:tcBorders>
              <w:top w:val="nil"/>
              <w:left w:val="nil"/>
              <w:bottom w:val="single" w:sz="4" w:space="0" w:color="auto"/>
              <w:right w:val="single" w:sz="4" w:space="0" w:color="auto"/>
            </w:tcBorders>
            <w:vAlign w:val="center"/>
            <w:hideMark/>
          </w:tcPr>
          <w:p w14:paraId="3CF445EF"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4.1</w:t>
            </w:r>
          </w:p>
        </w:tc>
        <w:tc>
          <w:tcPr>
            <w:tcW w:w="1509" w:type="dxa"/>
            <w:tcBorders>
              <w:top w:val="nil"/>
              <w:left w:val="nil"/>
              <w:bottom w:val="single" w:sz="4" w:space="0" w:color="auto"/>
              <w:right w:val="single" w:sz="4" w:space="0" w:color="auto"/>
            </w:tcBorders>
            <w:vAlign w:val="center"/>
            <w:hideMark/>
          </w:tcPr>
          <w:p w14:paraId="022BC076"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1.06</w:t>
            </w:r>
          </w:p>
        </w:tc>
        <w:tc>
          <w:tcPr>
            <w:tcW w:w="1563" w:type="dxa"/>
            <w:tcBorders>
              <w:top w:val="nil"/>
              <w:left w:val="nil"/>
              <w:bottom w:val="single" w:sz="4" w:space="0" w:color="auto"/>
              <w:right w:val="single" w:sz="4" w:space="0" w:color="auto"/>
            </w:tcBorders>
            <w:vAlign w:val="center"/>
            <w:hideMark/>
          </w:tcPr>
          <w:p w14:paraId="63833227"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15</w:t>
            </w:r>
          </w:p>
        </w:tc>
      </w:tr>
      <w:tr w:rsidR="001A22BA" w:rsidRPr="00CB089F" w14:paraId="6F897487" w14:textId="77777777" w:rsidTr="000C2D6B">
        <w:trPr>
          <w:trHeight w:val="356"/>
        </w:trPr>
        <w:tc>
          <w:tcPr>
            <w:tcW w:w="1849" w:type="dxa"/>
            <w:tcBorders>
              <w:top w:val="nil"/>
              <w:left w:val="single" w:sz="4" w:space="0" w:color="auto"/>
              <w:bottom w:val="single" w:sz="4" w:space="0" w:color="auto"/>
              <w:right w:val="single" w:sz="4" w:space="0" w:color="auto"/>
            </w:tcBorders>
            <w:vAlign w:val="center"/>
            <w:hideMark/>
          </w:tcPr>
          <w:p w14:paraId="03D6D9E8"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 xml:space="preserve">infl </w:t>
            </w:r>
          </w:p>
        </w:tc>
        <w:tc>
          <w:tcPr>
            <w:tcW w:w="1453" w:type="dxa"/>
            <w:tcBorders>
              <w:top w:val="nil"/>
              <w:left w:val="nil"/>
              <w:bottom w:val="single" w:sz="4" w:space="0" w:color="auto"/>
              <w:right w:val="single" w:sz="4" w:space="0" w:color="auto"/>
            </w:tcBorders>
            <w:vAlign w:val="center"/>
            <w:hideMark/>
          </w:tcPr>
          <w:p w14:paraId="64723A66"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300</w:t>
            </w:r>
          </w:p>
        </w:tc>
        <w:tc>
          <w:tcPr>
            <w:tcW w:w="1659" w:type="dxa"/>
            <w:tcBorders>
              <w:top w:val="nil"/>
              <w:left w:val="nil"/>
              <w:bottom w:val="single" w:sz="4" w:space="0" w:color="auto"/>
              <w:right w:val="single" w:sz="4" w:space="0" w:color="auto"/>
            </w:tcBorders>
            <w:vAlign w:val="center"/>
            <w:hideMark/>
          </w:tcPr>
          <w:p w14:paraId="0D373FD6"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12.7416</w:t>
            </w:r>
          </w:p>
        </w:tc>
        <w:tc>
          <w:tcPr>
            <w:tcW w:w="1563" w:type="dxa"/>
            <w:tcBorders>
              <w:top w:val="nil"/>
              <w:left w:val="nil"/>
              <w:bottom w:val="single" w:sz="4" w:space="0" w:color="auto"/>
              <w:right w:val="single" w:sz="4" w:space="0" w:color="auto"/>
            </w:tcBorders>
            <w:vAlign w:val="center"/>
            <w:hideMark/>
          </w:tcPr>
          <w:p w14:paraId="1B98B3FC"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7.327</w:t>
            </w:r>
          </w:p>
        </w:tc>
        <w:tc>
          <w:tcPr>
            <w:tcW w:w="1509" w:type="dxa"/>
            <w:tcBorders>
              <w:top w:val="nil"/>
              <w:left w:val="nil"/>
              <w:bottom w:val="single" w:sz="4" w:space="0" w:color="auto"/>
              <w:right w:val="single" w:sz="4" w:space="0" w:color="auto"/>
            </w:tcBorders>
            <w:vAlign w:val="center"/>
            <w:hideMark/>
          </w:tcPr>
          <w:p w14:paraId="4C3D89B6"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0.13</w:t>
            </w:r>
          </w:p>
        </w:tc>
        <w:tc>
          <w:tcPr>
            <w:tcW w:w="1563" w:type="dxa"/>
            <w:tcBorders>
              <w:top w:val="nil"/>
              <w:left w:val="nil"/>
              <w:bottom w:val="single" w:sz="4" w:space="0" w:color="auto"/>
              <w:right w:val="single" w:sz="4" w:space="0" w:color="auto"/>
            </w:tcBorders>
            <w:vAlign w:val="center"/>
            <w:hideMark/>
          </w:tcPr>
          <w:p w14:paraId="6FD8E9AD"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24.91</w:t>
            </w:r>
          </w:p>
        </w:tc>
      </w:tr>
      <w:tr w:rsidR="001A22BA" w:rsidRPr="00CB089F" w14:paraId="4D260AD4" w14:textId="77777777" w:rsidTr="000C2D6B">
        <w:trPr>
          <w:trHeight w:val="356"/>
        </w:trPr>
        <w:tc>
          <w:tcPr>
            <w:tcW w:w="1849" w:type="dxa"/>
            <w:tcBorders>
              <w:top w:val="nil"/>
              <w:left w:val="single" w:sz="4" w:space="0" w:color="auto"/>
              <w:bottom w:val="single" w:sz="4" w:space="0" w:color="auto"/>
              <w:right w:val="single" w:sz="4" w:space="0" w:color="auto"/>
            </w:tcBorders>
            <w:vAlign w:val="center"/>
            <w:hideMark/>
          </w:tcPr>
          <w:p w14:paraId="0748416D"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 xml:space="preserve">fdi </w:t>
            </w:r>
          </w:p>
        </w:tc>
        <w:tc>
          <w:tcPr>
            <w:tcW w:w="1453" w:type="dxa"/>
            <w:tcBorders>
              <w:top w:val="nil"/>
              <w:left w:val="nil"/>
              <w:bottom w:val="single" w:sz="4" w:space="0" w:color="auto"/>
              <w:right w:val="single" w:sz="4" w:space="0" w:color="auto"/>
            </w:tcBorders>
            <w:vAlign w:val="center"/>
            <w:hideMark/>
          </w:tcPr>
          <w:p w14:paraId="7A02B91A"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300</w:t>
            </w:r>
          </w:p>
        </w:tc>
        <w:tc>
          <w:tcPr>
            <w:tcW w:w="1659" w:type="dxa"/>
            <w:tcBorders>
              <w:top w:val="nil"/>
              <w:left w:val="nil"/>
              <w:bottom w:val="single" w:sz="4" w:space="0" w:color="auto"/>
              <w:right w:val="single" w:sz="4" w:space="0" w:color="auto"/>
            </w:tcBorders>
            <w:vAlign w:val="center"/>
            <w:hideMark/>
          </w:tcPr>
          <w:p w14:paraId="558417B9"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4.5828</w:t>
            </w:r>
          </w:p>
        </w:tc>
        <w:tc>
          <w:tcPr>
            <w:tcW w:w="1563" w:type="dxa"/>
            <w:tcBorders>
              <w:top w:val="nil"/>
              <w:left w:val="nil"/>
              <w:bottom w:val="single" w:sz="4" w:space="0" w:color="auto"/>
              <w:right w:val="single" w:sz="4" w:space="0" w:color="auto"/>
            </w:tcBorders>
            <w:vAlign w:val="center"/>
            <w:hideMark/>
          </w:tcPr>
          <w:p w14:paraId="478F0905"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5.914</w:t>
            </w:r>
          </w:p>
        </w:tc>
        <w:tc>
          <w:tcPr>
            <w:tcW w:w="1509" w:type="dxa"/>
            <w:tcBorders>
              <w:top w:val="nil"/>
              <w:left w:val="nil"/>
              <w:bottom w:val="single" w:sz="4" w:space="0" w:color="auto"/>
              <w:right w:val="single" w:sz="4" w:space="0" w:color="auto"/>
            </w:tcBorders>
            <w:vAlign w:val="center"/>
            <w:hideMark/>
          </w:tcPr>
          <w:p w14:paraId="5559E579"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-4.77</w:t>
            </w:r>
          </w:p>
        </w:tc>
        <w:tc>
          <w:tcPr>
            <w:tcW w:w="1563" w:type="dxa"/>
            <w:tcBorders>
              <w:top w:val="nil"/>
              <w:left w:val="nil"/>
              <w:bottom w:val="single" w:sz="4" w:space="0" w:color="auto"/>
              <w:right w:val="single" w:sz="4" w:space="0" w:color="auto"/>
            </w:tcBorders>
            <w:vAlign w:val="center"/>
            <w:hideMark/>
          </w:tcPr>
          <w:p w14:paraId="74C538EE"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14.99</w:t>
            </w:r>
          </w:p>
        </w:tc>
      </w:tr>
      <w:tr w:rsidR="001A22BA" w:rsidRPr="00CB089F" w14:paraId="6D8D7BF8" w14:textId="77777777" w:rsidTr="000C2D6B">
        <w:trPr>
          <w:trHeight w:val="356"/>
        </w:trPr>
        <w:tc>
          <w:tcPr>
            <w:tcW w:w="1849" w:type="dxa"/>
            <w:tcBorders>
              <w:top w:val="nil"/>
              <w:left w:val="single" w:sz="4" w:space="0" w:color="auto"/>
              <w:bottom w:val="single" w:sz="4" w:space="0" w:color="auto"/>
              <w:right w:val="single" w:sz="4" w:space="0" w:color="auto"/>
            </w:tcBorders>
            <w:vAlign w:val="center"/>
            <w:hideMark/>
          </w:tcPr>
          <w:p w14:paraId="477A5755"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Gdp</w:t>
            </w:r>
          </w:p>
        </w:tc>
        <w:tc>
          <w:tcPr>
            <w:tcW w:w="1453" w:type="dxa"/>
            <w:tcBorders>
              <w:top w:val="nil"/>
              <w:left w:val="nil"/>
              <w:bottom w:val="single" w:sz="4" w:space="0" w:color="auto"/>
              <w:right w:val="single" w:sz="4" w:space="0" w:color="auto"/>
            </w:tcBorders>
            <w:vAlign w:val="center"/>
            <w:hideMark/>
          </w:tcPr>
          <w:p w14:paraId="3B753C6F"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300</w:t>
            </w:r>
          </w:p>
        </w:tc>
        <w:tc>
          <w:tcPr>
            <w:tcW w:w="1659" w:type="dxa"/>
            <w:tcBorders>
              <w:top w:val="nil"/>
              <w:left w:val="nil"/>
              <w:bottom w:val="single" w:sz="4" w:space="0" w:color="auto"/>
              <w:right w:val="single" w:sz="4" w:space="0" w:color="auto"/>
            </w:tcBorders>
            <w:vAlign w:val="center"/>
            <w:hideMark/>
          </w:tcPr>
          <w:p w14:paraId="1B9C3F06"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3.3684</w:t>
            </w:r>
          </w:p>
        </w:tc>
        <w:tc>
          <w:tcPr>
            <w:tcW w:w="1563" w:type="dxa"/>
            <w:tcBorders>
              <w:top w:val="nil"/>
              <w:left w:val="nil"/>
              <w:bottom w:val="single" w:sz="4" w:space="0" w:color="auto"/>
              <w:right w:val="single" w:sz="4" w:space="0" w:color="auto"/>
            </w:tcBorders>
            <w:vAlign w:val="center"/>
            <w:hideMark/>
          </w:tcPr>
          <w:p w14:paraId="542A94B5"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0.2595</w:t>
            </w:r>
          </w:p>
        </w:tc>
        <w:tc>
          <w:tcPr>
            <w:tcW w:w="1509" w:type="dxa"/>
            <w:tcBorders>
              <w:top w:val="nil"/>
              <w:left w:val="nil"/>
              <w:bottom w:val="single" w:sz="4" w:space="0" w:color="auto"/>
              <w:right w:val="single" w:sz="4" w:space="0" w:color="auto"/>
            </w:tcBorders>
            <w:vAlign w:val="center"/>
            <w:hideMark/>
          </w:tcPr>
          <w:p w14:paraId="0097C132"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2.72</w:t>
            </w:r>
          </w:p>
        </w:tc>
        <w:tc>
          <w:tcPr>
            <w:tcW w:w="1563" w:type="dxa"/>
            <w:tcBorders>
              <w:top w:val="nil"/>
              <w:left w:val="nil"/>
              <w:bottom w:val="single" w:sz="4" w:space="0" w:color="auto"/>
              <w:right w:val="single" w:sz="4" w:space="0" w:color="auto"/>
            </w:tcBorders>
            <w:vAlign w:val="center"/>
            <w:hideMark/>
          </w:tcPr>
          <w:p w14:paraId="58DB3BAF"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3.6977</w:t>
            </w:r>
          </w:p>
        </w:tc>
      </w:tr>
    </w:tbl>
    <w:p w14:paraId="67D9C4C3" w14:textId="77777777" w:rsidR="001A22BA" w:rsidRPr="00CB089F" w:rsidRDefault="001A22BA" w:rsidP="00811D50">
      <w:pPr>
        <w:spacing w:line="240" w:lineRule="auto"/>
        <w:jc w:val="both"/>
        <w:rPr>
          <w:rFonts w:ascii="Times New Roman" w:hAnsi="Times New Roman" w:cs="Times New Roman"/>
        </w:rPr>
      </w:pPr>
      <w:r w:rsidRPr="00CB089F">
        <w:rPr>
          <w:rFonts w:ascii="Times New Roman" w:hAnsi="Times New Roman" w:cs="Times New Roman"/>
        </w:rPr>
        <w:t>Source: STATA  output 2025</w:t>
      </w:r>
    </w:p>
    <w:p w14:paraId="285E6DCB" w14:textId="77777777" w:rsidR="001A22BA" w:rsidRPr="00CB089F" w:rsidRDefault="001A22BA" w:rsidP="00811D50">
      <w:pPr>
        <w:spacing w:line="240" w:lineRule="auto"/>
        <w:jc w:val="both"/>
        <w:rPr>
          <w:rFonts w:ascii="Times New Roman" w:hAnsi="Times New Roman" w:cs="Times New Roman"/>
        </w:rPr>
      </w:pPr>
      <w:r w:rsidRPr="00CB089F">
        <w:rPr>
          <w:rFonts w:ascii="Times New Roman" w:hAnsi="Times New Roman" w:cs="Times New Roman"/>
        </w:rPr>
        <w:t>The Human Development Index (HDI) as a proxy for poverty reduction shows a mean value of 0.529 with a standard deviation of 0.134. This indicates the moderation of variability across countries and years. The HDI minimum and maximum values of 0.304 and 0.747 respectively signals the stark differences in human development across the sampled ECOWAS countries. Official development assistance (ODA) as a percent of Gross National Income has a mean of 8.08% and a relatively wide standard deviation of 4.10, with minimum and maximum values of 1.06% and 15% respectively. This reflects the inequality in the amount of aid inflow received among the countries. Inflation, as measured by the annual percentage change in the consumer price index, records a mean of 12.74% with a substantial standard deviation of 7.33. This value, ranging from 0.13% to 24.91%, indicates the presence of both price stability and high inflation in the region. Foreign Direct Investment (FDI) expressed as a percentage of GDP stands at an average of 4.58% and a standard deviation of 5.91. The minimum value of -4.77% indicates net disinvestment during some years, while the maximum of 14.99% shows periods of comparatively high FDI inflow. Lastly, GDP per capita (constant 2015 US$) has a mean of 3.37 (log-transformed) with a range from 2.72 to 3.70, which indicates a moderate variation of income across the countries.</w:t>
      </w:r>
    </w:p>
    <w:p w14:paraId="49A6CF60" w14:textId="77777777" w:rsidR="001A22BA" w:rsidRPr="00CB089F" w:rsidRDefault="001A22BA" w:rsidP="00811D50">
      <w:pPr>
        <w:spacing w:line="240" w:lineRule="auto"/>
        <w:jc w:val="both"/>
        <w:rPr>
          <w:rFonts w:ascii="Times New Roman" w:hAnsi="Times New Roman" w:cs="Times New Roman"/>
        </w:rPr>
      </w:pPr>
    </w:p>
    <w:p w14:paraId="1F6E6C6B" w14:textId="77777777" w:rsidR="001A22BA" w:rsidRPr="00CB089F" w:rsidRDefault="001A22BA" w:rsidP="00811D50">
      <w:pPr>
        <w:spacing w:line="240" w:lineRule="auto"/>
        <w:jc w:val="both"/>
        <w:rPr>
          <w:rFonts w:ascii="Times New Roman" w:hAnsi="Times New Roman" w:cs="Times New Roman"/>
        </w:rPr>
      </w:pPr>
    </w:p>
    <w:p w14:paraId="6A4216D7" w14:textId="77777777" w:rsidR="001A22BA" w:rsidRPr="00CB089F" w:rsidRDefault="001A22BA" w:rsidP="00811D50">
      <w:pPr>
        <w:spacing w:line="240" w:lineRule="auto"/>
        <w:jc w:val="both"/>
        <w:rPr>
          <w:rFonts w:ascii="Times New Roman" w:hAnsi="Times New Roman" w:cs="Times New Roman"/>
        </w:rPr>
      </w:pPr>
    </w:p>
    <w:p w14:paraId="04732B5F" w14:textId="77777777" w:rsidR="001A22BA" w:rsidRPr="00CB089F" w:rsidRDefault="001A22BA" w:rsidP="00811D50">
      <w:pPr>
        <w:spacing w:line="240" w:lineRule="auto"/>
        <w:jc w:val="both"/>
        <w:rPr>
          <w:rFonts w:ascii="Times New Roman" w:hAnsi="Times New Roman" w:cs="Times New Roman"/>
        </w:rPr>
      </w:pPr>
    </w:p>
    <w:p w14:paraId="51539940" w14:textId="24AB54FB" w:rsidR="001A22BA" w:rsidRPr="00CB089F" w:rsidRDefault="001A22BA" w:rsidP="00811D50">
      <w:pPr>
        <w:spacing w:line="240" w:lineRule="auto"/>
        <w:jc w:val="both"/>
        <w:rPr>
          <w:rFonts w:ascii="Times New Roman" w:hAnsi="Times New Roman" w:cs="Times New Roman"/>
        </w:rPr>
      </w:pPr>
      <w:r w:rsidRPr="00CB089F">
        <w:rPr>
          <w:rFonts w:ascii="Times New Roman" w:hAnsi="Times New Roman" w:cs="Times New Roman"/>
        </w:rPr>
        <w:t xml:space="preserve">Table </w:t>
      </w:r>
      <w:r w:rsidR="005D79BD">
        <w:rPr>
          <w:rFonts w:ascii="Times New Roman" w:hAnsi="Times New Roman" w:cs="Times New Roman"/>
        </w:rPr>
        <w:t>3</w:t>
      </w:r>
      <w:r w:rsidRPr="00CB089F">
        <w:rPr>
          <w:rFonts w:ascii="Times New Roman" w:hAnsi="Times New Roman" w:cs="Times New Roman"/>
        </w:rPr>
        <w:t>: Correlation Matrix Table</w:t>
      </w:r>
    </w:p>
    <w:tbl>
      <w:tblPr>
        <w:tblW w:w="8649" w:type="dxa"/>
        <w:tblCellSpacing w:w="15" w:type="dxa"/>
        <w:tblCellMar>
          <w:top w:w="15" w:type="dxa"/>
          <w:left w:w="15" w:type="dxa"/>
          <w:bottom w:w="15" w:type="dxa"/>
          <w:right w:w="15" w:type="dxa"/>
        </w:tblCellMar>
        <w:tblLook w:val="04A0" w:firstRow="1" w:lastRow="0" w:firstColumn="1" w:lastColumn="0" w:noHBand="0" w:noVBand="1"/>
      </w:tblPr>
      <w:tblGrid>
        <w:gridCol w:w="1623"/>
        <w:gridCol w:w="1494"/>
        <w:gridCol w:w="1341"/>
        <w:gridCol w:w="1494"/>
        <w:gridCol w:w="1341"/>
        <w:gridCol w:w="1356"/>
      </w:tblGrid>
      <w:tr w:rsidR="001A22BA" w:rsidRPr="00CB089F" w14:paraId="7DCE859F" w14:textId="77777777" w:rsidTr="000C2D6B">
        <w:trPr>
          <w:trHeight w:val="625"/>
          <w:tblHeader/>
          <w:tblCellSpacing w:w="15" w:type="dxa"/>
        </w:trPr>
        <w:tc>
          <w:tcPr>
            <w:tcW w:w="0" w:type="auto"/>
            <w:vAlign w:val="center"/>
            <w:hideMark/>
          </w:tcPr>
          <w:p w14:paraId="0F2B1FDE"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Variable</w:t>
            </w:r>
          </w:p>
        </w:tc>
        <w:tc>
          <w:tcPr>
            <w:tcW w:w="0" w:type="auto"/>
            <w:vAlign w:val="center"/>
            <w:hideMark/>
          </w:tcPr>
          <w:p w14:paraId="0472458B"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Pov</w:t>
            </w:r>
          </w:p>
        </w:tc>
        <w:tc>
          <w:tcPr>
            <w:tcW w:w="0" w:type="auto"/>
            <w:vAlign w:val="center"/>
            <w:hideMark/>
          </w:tcPr>
          <w:p w14:paraId="2EE29A52"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oda</w:t>
            </w:r>
          </w:p>
        </w:tc>
        <w:tc>
          <w:tcPr>
            <w:tcW w:w="0" w:type="auto"/>
            <w:vAlign w:val="center"/>
            <w:hideMark/>
          </w:tcPr>
          <w:p w14:paraId="464717CD"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gdp</w:t>
            </w:r>
          </w:p>
        </w:tc>
        <w:tc>
          <w:tcPr>
            <w:tcW w:w="0" w:type="auto"/>
            <w:vAlign w:val="center"/>
            <w:hideMark/>
          </w:tcPr>
          <w:p w14:paraId="3068EF69"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infl</w:t>
            </w:r>
          </w:p>
        </w:tc>
        <w:tc>
          <w:tcPr>
            <w:tcW w:w="0" w:type="auto"/>
            <w:vAlign w:val="center"/>
            <w:hideMark/>
          </w:tcPr>
          <w:p w14:paraId="44B5641D"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fdi</w:t>
            </w:r>
          </w:p>
        </w:tc>
      </w:tr>
      <w:tr w:rsidR="001A22BA" w:rsidRPr="00CB089F" w14:paraId="0F5CE96C" w14:textId="77777777" w:rsidTr="000C2D6B">
        <w:trPr>
          <w:trHeight w:val="625"/>
          <w:tblCellSpacing w:w="15" w:type="dxa"/>
        </w:trPr>
        <w:tc>
          <w:tcPr>
            <w:tcW w:w="0" w:type="auto"/>
            <w:vAlign w:val="center"/>
            <w:hideMark/>
          </w:tcPr>
          <w:p w14:paraId="76E923D6"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Pov</w:t>
            </w:r>
          </w:p>
        </w:tc>
        <w:tc>
          <w:tcPr>
            <w:tcW w:w="0" w:type="auto"/>
            <w:vAlign w:val="center"/>
            <w:hideMark/>
          </w:tcPr>
          <w:p w14:paraId="6910CB57"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1.0000</w:t>
            </w:r>
          </w:p>
        </w:tc>
        <w:tc>
          <w:tcPr>
            <w:tcW w:w="0" w:type="auto"/>
            <w:vAlign w:val="center"/>
            <w:hideMark/>
          </w:tcPr>
          <w:p w14:paraId="4455B986" w14:textId="77777777" w:rsidR="001A22BA" w:rsidRPr="00CB089F" w:rsidRDefault="001A22BA" w:rsidP="00811D50">
            <w:pPr>
              <w:spacing w:line="240" w:lineRule="auto"/>
              <w:jc w:val="both"/>
              <w:rPr>
                <w:rFonts w:ascii="Times New Roman" w:hAnsi="Times New Roman" w:cs="Times New Roman"/>
                <w:noProof/>
              </w:rPr>
            </w:pPr>
          </w:p>
        </w:tc>
        <w:tc>
          <w:tcPr>
            <w:tcW w:w="0" w:type="auto"/>
            <w:vAlign w:val="center"/>
            <w:hideMark/>
          </w:tcPr>
          <w:p w14:paraId="27BB1941" w14:textId="77777777" w:rsidR="001A22BA" w:rsidRPr="00CB089F" w:rsidRDefault="001A22BA" w:rsidP="00811D50">
            <w:pPr>
              <w:spacing w:line="240" w:lineRule="auto"/>
              <w:jc w:val="both"/>
              <w:rPr>
                <w:rFonts w:ascii="Times New Roman" w:hAnsi="Times New Roman" w:cs="Times New Roman"/>
                <w:noProof/>
              </w:rPr>
            </w:pPr>
          </w:p>
        </w:tc>
        <w:tc>
          <w:tcPr>
            <w:tcW w:w="0" w:type="auto"/>
            <w:vAlign w:val="center"/>
            <w:hideMark/>
          </w:tcPr>
          <w:p w14:paraId="4FC4A8B5" w14:textId="77777777" w:rsidR="001A22BA" w:rsidRPr="00CB089F" w:rsidRDefault="001A22BA" w:rsidP="00811D50">
            <w:pPr>
              <w:spacing w:line="240" w:lineRule="auto"/>
              <w:jc w:val="both"/>
              <w:rPr>
                <w:rFonts w:ascii="Times New Roman" w:hAnsi="Times New Roman" w:cs="Times New Roman"/>
                <w:noProof/>
              </w:rPr>
            </w:pPr>
          </w:p>
        </w:tc>
        <w:tc>
          <w:tcPr>
            <w:tcW w:w="0" w:type="auto"/>
            <w:vAlign w:val="center"/>
            <w:hideMark/>
          </w:tcPr>
          <w:p w14:paraId="4688F647" w14:textId="77777777" w:rsidR="001A22BA" w:rsidRPr="00CB089F" w:rsidRDefault="001A22BA" w:rsidP="00811D50">
            <w:pPr>
              <w:spacing w:line="240" w:lineRule="auto"/>
              <w:jc w:val="both"/>
              <w:rPr>
                <w:rFonts w:ascii="Times New Roman" w:hAnsi="Times New Roman" w:cs="Times New Roman"/>
                <w:noProof/>
              </w:rPr>
            </w:pPr>
          </w:p>
        </w:tc>
      </w:tr>
      <w:tr w:rsidR="001A22BA" w:rsidRPr="00CB089F" w14:paraId="013A50EB" w14:textId="77777777" w:rsidTr="000C2D6B">
        <w:trPr>
          <w:trHeight w:val="636"/>
          <w:tblCellSpacing w:w="15" w:type="dxa"/>
        </w:trPr>
        <w:tc>
          <w:tcPr>
            <w:tcW w:w="0" w:type="auto"/>
            <w:vAlign w:val="center"/>
            <w:hideMark/>
          </w:tcPr>
          <w:p w14:paraId="7A738FB9"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Oda</w:t>
            </w:r>
          </w:p>
        </w:tc>
        <w:tc>
          <w:tcPr>
            <w:tcW w:w="0" w:type="auto"/>
            <w:vAlign w:val="center"/>
            <w:hideMark/>
          </w:tcPr>
          <w:p w14:paraId="3E5DB4F4"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-0.0931</w:t>
            </w:r>
          </w:p>
        </w:tc>
        <w:tc>
          <w:tcPr>
            <w:tcW w:w="0" w:type="auto"/>
            <w:vAlign w:val="center"/>
            <w:hideMark/>
          </w:tcPr>
          <w:p w14:paraId="2BF3BB26"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1.0000</w:t>
            </w:r>
          </w:p>
        </w:tc>
        <w:tc>
          <w:tcPr>
            <w:tcW w:w="0" w:type="auto"/>
            <w:vAlign w:val="center"/>
            <w:hideMark/>
          </w:tcPr>
          <w:p w14:paraId="405F77B9" w14:textId="77777777" w:rsidR="001A22BA" w:rsidRPr="00CB089F" w:rsidRDefault="001A22BA" w:rsidP="00811D50">
            <w:pPr>
              <w:spacing w:line="240" w:lineRule="auto"/>
              <w:jc w:val="both"/>
              <w:rPr>
                <w:rFonts w:ascii="Times New Roman" w:hAnsi="Times New Roman" w:cs="Times New Roman"/>
                <w:noProof/>
              </w:rPr>
            </w:pPr>
          </w:p>
        </w:tc>
        <w:tc>
          <w:tcPr>
            <w:tcW w:w="0" w:type="auto"/>
            <w:vAlign w:val="center"/>
            <w:hideMark/>
          </w:tcPr>
          <w:p w14:paraId="2980C2A9" w14:textId="77777777" w:rsidR="001A22BA" w:rsidRPr="00CB089F" w:rsidRDefault="001A22BA" w:rsidP="00811D50">
            <w:pPr>
              <w:spacing w:line="240" w:lineRule="auto"/>
              <w:jc w:val="both"/>
              <w:rPr>
                <w:rFonts w:ascii="Times New Roman" w:hAnsi="Times New Roman" w:cs="Times New Roman"/>
                <w:noProof/>
              </w:rPr>
            </w:pPr>
          </w:p>
        </w:tc>
        <w:tc>
          <w:tcPr>
            <w:tcW w:w="0" w:type="auto"/>
            <w:vAlign w:val="center"/>
            <w:hideMark/>
          </w:tcPr>
          <w:p w14:paraId="4BB887B0" w14:textId="77777777" w:rsidR="001A22BA" w:rsidRPr="00CB089F" w:rsidRDefault="001A22BA" w:rsidP="00811D50">
            <w:pPr>
              <w:spacing w:line="240" w:lineRule="auto"/>
              <w:jc w:val="both"/>
              <w:rPr>
                <w:rFonts w:ascii="Times New Roman" w:hAnsi="Times New Roman" w:cs="Times New Roman"/>
                <w:noProof/>
              </w:rPr>
            </w:pPr>
          </w:p>
        </w:tc>
      </w:tr>
      <w:tr w:rsidR="001A22BA" w:rsidRPr="00CB089F" w14:paraId="6927A350" w14:textId="77777777" w:rsidTr="000C2D6B">
        <w:trPr>
          <w:trHeight w:val="625"/>
          <w:tblCellSpacing w:w="15" w:type="dxa"/>
        </w:trPr>
        <w:tc>
          <w:tcPr>
            <w:tcW w:w="0" w:type="auto"/>
            <w:vAlign w:val="center"/>
            <w:hideMark/>
          </w:tcPr>
          <w:p w14:paraId="353F0304"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Gdp</w:t>
            </w:r>
          </w:p>
        </w:tc>
        <w:tc>
          <w:tcPr>
            <w:tcW w:w="0" w:type="auto"/>
            <w:vAlign w:val="center"/>
            <w:hideMark/>
          </w:tcPr>
          <w:p w14:paraId="4D637A68"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0.0085</w:t>
            </w:r>
          </w:p>
        </w:tc>
        <w:tc>
          <w:tcPr>
            <w:tcW w:w="0" w:type="auto"/>
            <w:vAlign w:val="center"/>
            <w:hideMark/>
          </w:tcPr>
          <w:p w14:paraId="7C5BD7D5"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0.1147</w:t>
            </w:r>
          </w:p>
        </w:tc>
        <w:tc>
          <w:tcPr>
            <w:tcW w:w="0" w:type="auto"/>
            <w:vAlign w:val="center"/>
            <w:hideMark/>
          </w:tcPr>
          <w:p w14:paraId="6A740C0C"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1.0000</w:t>
            </w:r>
          </w:p>
        </w:tc>
        <w:tc>
          <w:tcPr>
            <w:tcW w:w="0" w:type="auto"/>
            <w:vAlign w:val="center"/>
            <w:hideMark/>
          </w:tcPr>
          <w:p w14:paraId="00FF2A5D" w14:textId="77777777" w:rsidR="001A22BA" w:rsidRPr="00CB089F" w:rsidRDefault="001A22BA" w:rsidP="00811D50">
            <w:pPr>
              <w:spacing w:line="240" w:lineRule="auto"/>
              <w:jc w:val="both"/>
              <w:rPr>
                <w:rFonts w:ascii="Times New Roman" w:hAnsi="Times New Roman" w:cs="Times New Roman"/>
                <w:noProof/>
              </w:rPr>
            </w:pPr>
          </w:p>
        </w:tc>
        <w:tc>
          <w:tcPr>
            <w:tcW w:w="0" w:type="auto"/>
            <w:vAlign w:val="center"/>
            <w:hideMark/>
          </w:tcPr>
          <w:p w14:paraId="5808EAE1" w14:textId="77777777" w:rsidR="001A22BA" w:rsidRPr="00CB089F" w:rsidRDefault="001A22BA" w:rsidP="00811D50">
            <w:pPr>
              <w:spacing w:line="240" w:lineRule="auto"/>
              <w:jc w:val="both"/>
              <w:rPr>
                <w:rFonts w:ascii="Times New Roman" w:hAnsi="Times New Roman" w:cs="Times New Roman"/>
                <w:noProof/>
              </w:rPr>
            </w:pPr>
          </w:p>
        </w:tc>
      </w:tr>
      <w:tr w:rsidR="001A22BA" w:rsidRPr="00CB089F" w14:paraId="2D8C59AF" w14:textId="77777777" w:rsidTr="000C2D6B">
        <w:trPr>
          <w:trHeight w:val="625"/>
          <w:tblCellSpacing w:w="15" w:type="dxa"/>
        </w:trPr>
        <w:tc>
          <w:tcPr>
            <w:tcW w:w="0" w:type="auto"/>
            <w:vAlign w:val="center"/>
            <w:hideMark/>
          </w:tcPr>
          <w:p w14:paraId="30B116BF"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Infl</w:t>
            </w:r>
          </w:p>
        </w:tc>
        <w:tc>
          <w:tcPr>
            <w:tcW w:w="0" w:type="auto"/>
            <w:vAlign w:val="center"/>
            <w:hideMark/>
          </w:tcPr>
          <w:p w14:paraId="14C25955"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0.0707</w:t>
            </w:r>
          </w:p>
        </w:tc>
        <w:tc>
          <w:tcPr>
            <w:tcW w:w="0" w:type="auto"/>
            <w:vAlign w:val="center"/>
            <w:hideMark/>
          </w:tcPr>
          <w:p w14:paraId="7EE9D157"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0.0016</w:t>
            </w:r>
          </w:p>
        </w:tc>
        <w:tc>
          <w:tcPr>
            <w:tcW w:w="0" w:type="auto"/>
            <w:vAlign w:val="center"/>
            <w:hideMark/>
          </w:tcPr>
          <w:p w14:paraId="6B10F109"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-0.0581</w:t>
            </w:r>
          </w:p>
        </w:tc>
        <w:tc>
          <w:tcPr>
            <w:tcW w:w="0" w:type="auto"/>
            <w:vAlign w:val="center"/>
            <w:hideMark/>
          </w:tcPr>
          <w:p w14:paraId="03FBDEFC"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1.0000</w:t>
            </w:r>
          </w:p>
        </w:tc>
        <w:tc>
          <w:tcPr>
            <w:tcW w:w="0" w:type="auto"/>
            <w:vAlign w:val="center"/>
            <w:hideMark/>
          </w:tcPr>
          <w:p w14:paraId="70A60EA2" w14:textId="77777777" w:rsidR="001A22BA" w:rsidRPr="00CB089F" w:rsidRDefault="001A22BA" w:rsidP="00811D50">
            <w:pPr>
              <w:spacing w:line="240" w:lineRule="auto"/>
              <w:jc w:val="both"/>
              <w:rPr>
                <w:rFonts w:ascii="Times New Roman" w:hAnsi="Times New Roman" w:cs="Times New Roman"/>
                <w:noProof/>
              </w:rPr>
            </w:pPr>
          </w:p>
        </w:tc>
      </w:tr>
      <w:tr w:rsidR="001A22BA" w:rsidRPr="00CB089F" w14:paraId="7DD4EB0F" w14:textId="77777777" w:rsidTr="000C2D6B">
        <w:trPr>
          <w:trHeight w:val="625"/>
          <w:tblCellSpacing w:w="15" w:type="dxa"/>
        </w:trPr>
        <w:tc>
          <w:tcPr>
            <w:tcW w:w="0" w:type="auto"/>
            <w:vAlign w:val="center"/>
            <w:hideMark/>
          </w:tcPr>
          <w:p w14:paraId="7C5959B9"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Fdi</w:t>
            </w:r>
          </w:p>
        </w:tc>
        <w:tc>
          <w:tcPr>
            <w:tcW w:w="0" w:type="auto"/>
            <w:vAlign w:val="center"/>
            <w:hideMark/>
          </w:tcPr>
          <w:p w14:paraId="0AD41588"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0.0714</w:t>
            </w:r>
          </w:p>
        </w:tc>
        <w:tc>
          <w:tcPr>
            <w:tcW w:w="0" w:type="auto"/>
            <w:vAlign w:val="center"/>
            <w:hideMark/>
          </w:tcPr>
          <w:p w14:paraId="054AB7AF"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0.0140</w:t>
            </w:r>
          </w:p>
        </w:tc>
        <w:tc>
          <w:tcPr>
            <w:tcW w:w="0" w:type="auto"/>
            <w:vAlign w:val="center"/>
            <w:hideMark/>
          </w:tcPr>
          <w:p w14:paraId="1E756DAC"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-0.0696</w:t>
            </w:r>
          </w:p>
        </w:tc>
        <w:tc>
          <w:tcPr>
            <w:tcW w:w="0" w:type="auto"/>
            <w:vAlign w:val="center"/>
            <w:hideMark/>
          </w:tcPr>
          <w:p w14:paraId="19FD22B3"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0.1247</w:t>
            </w:r>
          </w:p>
        </w:tc>
        <w:tc>
          <w:tcPr>
            <w:tcW w:w="0" w:type="auto"/>
            <w:vAlign w:val="center"/>
            <w:hideMark/>
          </w:tcPr>
          <w:p w14:paraId="1F28DDE2" w14:textId="77777777" w:rsidR="001A22BA" w:rsidRPr="00CB089F" w:rsidRDefault="001A22BA" w:rsidP="00811D50">
            <w:pPr>
              <w:spacing w:line="240" w:lineRule="auto"/>
              <w:jc w:val="both"/>
              <w:rPr>
                <w:rFonts w:ascii="Times New Roman" w:hAnsi="Times New Roman" w:cs="Times New Roman"/>
                <w:noProof/>
              </w:rPr>
            </w:pPr>
            <w:r w:rsidRPr="00CB089F">
              <w:rPr>
                <w:rFonts w:ascii="Times New Roman" w:hAnsi="Times New Roman" w:cs="Times New Roman"/>
                <w:noProof/>
              </w:rPr>
              <w:t>1.0000</w:t>
            </w:r>
          </w:p>
        </w:tc>
      </w:tr>
    </w:tbl>
    <w:p w14:paraId="6C4A94FC" w14:textId="77777777" w:rsidR="001A22BA" w:rsidRPr="00CB089F" w:rsidRDefault="001A22BA" w:rsidP="00811D50">
      <w:pPr>
        <w:spacing w:line="240" w:lineRule="auto"/>
        <w:jc w:val="both"/>
        <w:rPr>
          <w:rFonts w:ascii="Times New Roman" w:hAnsi="Times New Roman" w:cs="Times New Roman"/>
        </w:rPr>
      </w:pPr>
      <w:r w:rsidRPr="00CB089F">
        <w:rPr>
          <w:rFonts w:ascii="Times New Roman" w:hAnsi="Times New Roman" w:cs="Times New Roman"/>
        </w:rPr>
        <w:t>Source: STATA  output 2025</w:t>
      </w:r>
    </w:p>
    <w:p w14:paraId="3C7BC19F" w14:textId="667D0799" w:rsidR="001A22BA" w:rsidRPr="00CB089F" w:rsidRDefault="001A22BA" w:rsidP="00811D50">
      <w:pPr>
        <w:spacing w:line="240" w:lineRule="auto"/>
        <w:jc w:val="both"/>
        <w:rPr>
          <w:rFonts w:ascii="Times New Roman" w:hAnsi="Times New Roman" w:cs="Times New Roman"/>
        </w:rPr>
      </w:pPr>
      <w:r w:rsidRPr="00CB089F">
        <w:rPr>
          <w:rFonts w:ascii="Times New Roman" w:hAnsi="Times New Roman" w:cs="Times New Roman"/>
        </w:rPr>
        <w:t>Analyzing the correlation matrix assists one in discovering the relationships among the variables (pov), official development assistance (oda), GDP per capita (GDPP), inflation (infl), and foreign direct investment (fdi). There is a negative correlation with ODA and poverty of approximately −0.0931. Even though this relationship is very weak, it suggests that instigation of aid is not strongly linked with poverty alleviation in the ECOWAS region. Correlation of poverty and GDPP per capita shows a value almost zero (0.0085), which indicates that there is little or no direct linear relationship between income and poverty in the dataset. Poverty shows a weak positive correlation with inflation (0.0707) and with FDI (0.0714), indicating that higher inflation or investment from foreign countries does not ensure lower poverty levels.</w:t>
      </w:r>
    </w:p>
    <w:p w14:paraId="72BFBFCF" w14:textId="683504CC" w:rsidR="001A22BA" w:rsidRPr="00CB089F" w:rsidRDefault="001A22BA" w:rsidP="00811D50">
      <w:pPr>
        <w:spacing w:line="240" w:lineRule="auto"/>
        <w:jc w:val="both"/>
        <w:rPr>
          <w:rFonts w:ascii="Times New Roman" w:hAnsi="Times New Roman" w:cs="Times New Roman"/>
        </w:rPr>
      </w:pPr>
      <w:r w:rsidRPr="00CB089F">
        <w:rPr>
          <w:rFonts w:ascii="Times New Roman" w:hAnsi="Times New Roman" w:cs="Times New Roman"/>
          <w:noProof/>
        </w:rPr>
        <w:t xml:space="preserve">Table </w:t>
      </w:r>
      <w:r w:rsidR="005D79BD">
        <w:rPr>
          <w:rFonts w:ascii="Times New Roman" w:hAnsi="Times New Roman" w:cs="Times New Roman"/>
          <w:noProof/>
        </w:rPr>
        <w:t>4</w:t>
      </w:r>
      <w:r w:rsidRPr="00CB089F">
        <w:rPr>
          <w:rFonts w:ascii="Times New Roman" w:hAnsi="Times New Roman" w:cs="Times New Roman"/>
          <w:noProof/>
        </w:rPr>
        <w:t xml:space="preserve"> Mode Specification </w:t>
      </w:r>
    </w:p>
    <w:tbl>
      <w:tblPr>
        <w:tblW w:w="8934" w:type="dxa"/>
        <w:tblInd w:w="113" w:type="dxa"/>
        <w:tblLook w:val="04A0" w:firstRow="1" w:lastRow="0" w:firstColumn="1" w:lastColumn="0" w:noHBand="0" w:noVBand="1"/>
      </w:tblPr>
      <w:tblGrid>
        <w:gridCol w:w="5597"/>
        <w:gridCol w:w="3337"/>
      </w:tblGrid>
      <w:tr w:rsidR="001A22BA" w:rsidRPr="00CB089F" w14:paraId="443B2327" w14:textId="77777777" w:rsidTr="000C2D6B">
        <w:trPr>
          <w:trHeight w:val="306"/>
        </w:trPr>
        <w:tc>
          <w:tcPr>
            <w:tcW w:w="5597" w:type="dxa"/>
            <w:tcBorders>
              <w:top w:val="single" w:sz="4" w:space="0" w:color="auto"/>
              <w:left w:val="single" w:sz="4" w:space="0" w:color="auto"/>
              <w:bottom w:val="single" w:sz="4" w:space="0" w:color="auto"/>
              <w:right w:val="single" w:sz="4" w:space="0" w:color="auto"/>
            </w:tcBorders>
            <w:vAlign w:val="center"/>
            <w:hideMark/>
          </w:tcPr>
          <w:p w14:paraId="412E5A3E"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Statistic</w:t>
            </w:r>
          </w:p>
        </w:tc>
        <w:tc>
          <w:tcPr>
            <w:tcW w:w="3337" w:type="dxa"/>
            <w:tcBorders>
              <w:top w:val="single" w:sz="4" w:space="0" w:color="auto"/>
              <w:left w:val="nil"/>
              <w:bottom w:val="single" w:sz="4" w:space="0" w:color="auto"/>
              <w:right w:val="single" w:sz="4" w:space="0" w:color="auto"/>
            </w:tcBorders>
            <w:vAlign w:val="center"/>
            <w:hideMark/>
          </w:tcPr>
          <w:p w14:paraId="2A48C1AF"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Value</w:t>
            </w:r>
          </w:p>
        </w:tc>
      </w:tr>
      <w:tr w:rsidR="001A22BA" w:rsidRPr="00CB089F" w14:paraId="00C289C9" w14:textId="77777777" w:rsidTr="000C2D6B">
        <w:trPr>
          <w:trHeight w:val="1187"/>
        </w:trPr>
        <w:tc>
          <w:tcPr>
            <w:tcW w:w="5597" w:type="dxa"/>
            <w:tcBorders>
              <w:top w:val="nil"/>
              <w:left w:val="single" w:sz="4" w:space="0" w:color="auto"/>
              <w:bottom w:val="single" w:sz="4" w:space="0" w:color="auto"/>
              <w:right w:val="single" w:sz="4" w:space="0" w:color="auto"/>
            </w:tcBorders>
            <w:vAlign w:val="center"/>
            <w:hideMark/>
          </w:tcPr>
          <w:p w14:paraId="2BC05B12"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Number of observations</w:t>
            </w:r>
          </w:p>
        </w:tc>
        <w:tc>
          <w:tcPr>
            <w:tcW w:w="3337" w:type="dxa"/>
            <w:tcBorders>
              <w:top w:val="nil"/>
              <w:left w:val="nil"/>
              <w:bottom w:val="single" w:sz="4" w:space="0" w:color="auto"/>
              <w:right w:val="single" w:sz="4" w:space="0" w:color="auto"/>
            </w:tcBorders>
            <w:vAlign w:val="center"/>
            <w:hideMark/>
          </w:tcPr>
          <w:p w14:paraId="0D729B75"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300</w:t>
            </w:r>
          </w:p>
        </w:tc>
      </w:tr>
      <w:tr w:rsidR="001A22BA" w:rsidRPr="00CB089F" w14:paraId="72AA12B8" w14:textId="77777777" w:rsidTr="000C2D6B">
        <w:trPr>
          <w:trHeight w:val="593"/>
        </w:trPr>
        <w:tc>
          <w:tcPr>
            <w:tcW w:w="5597" w:type="dxa"/>
            <w:tcBorders>
              <w:top w:val="nil"/>
              <w:left w:val="single" w:sz="4" w:space="0" w:color="auto"/>
              <w:bottom w:val="single" w:sz="4" w:space="0" w:color="auto"/>
              <w:right w:val="single" w:sz="4" w:space="0" w:color="auto"/>
            </w:tcBorders>
            <w:vAlign w:val="center"/>
            <w:hideMark/>
          </w:tcPr>
          <w:p w14:paraId="422C92ED"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Number of groups</w:t>
            </w:r>
          </w:p>
        </w:tc>
        <w:tc>
          <w:tcPr>
            <w:tcW w:w="3337" w:type="dxa"/>
            <w:tcBorders>
              <w:top w:val="nil"/>
              <w:left w:val="nil"/>
              <w:bottom w:val="single" w:sz="4" w:space="0" w:color="auto"/>
              <w:right w:val="single" w:sz="4" w:space="0" w:color="auto"/>
            </w:tcBorders>
            <w:vAlign w:val="center"/>
            <w:hideMark/>
          </w:tcPr>
          <w:p w14:paraId="430D5CB3"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12</w:t>
            </w:r>
          </w:p>
        </w:tc>
      </w:tr>
      <w:tr w:rsidR="001A22BA" w:rsidRPr="00CB089F" w14:paraId="4F75774F" w14:textId="77777777" w:rsidTr="000C2D6B">
        <w:trPr>
          <w:trHeight w:val="1187"/>
        </w:trPr>
        <w:tc>
          <w:tcPr>
            <w:tcW w:w="5597" w:type="dxa"/>
            <w:tcBorders>
              <w:top w:val="nil"/>
              <w:left w:val="single" w:sz="4" w:space="0" w:color="auto"/>
              <w:bottom w:val="single" w:sz="4" w:space="0" w:color="auto"/>
              <w:right w:val="single" w:sz="4" w:space="0" w:color="auto"/>
            </w:tcBorders>
            <w:vAlign w:val="center"/>
            <w:hideMark/>
          </w:tcPr>
          <w:p w14:paraId="019D18EE"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Observations per group</w:t>
            </w:r>
          </w:p>
        </w:tc>
        <w:tc>
          <w:tcPr>
            <w:tcW w:w="3337" w:type="dxa"/>
            <w:tcBorders>
              <w:top w:val="nil"/>
              <w:left w:val="nil"/>
              <w:bottom w:val="single" w:sz="4" w:space="0" w:color="auto"/>
              <w:right w:val="single" w:sz="4" w:space="0" w:color="auto"/>
            </w:tcBorders>
            <w:vAlign w:val="center"/>
            <w:hideMark/>
          </w:tcPr>
          <w:p w14:paraId="02D20E26"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22 (min = 22, avg = 22, max = 22)</w:t>
            </w:r>
          </w:p>
        </w:tc>
      </w:tr>
      <w:tr w:rsidR="001A22BA" w:rsidRPr="00CB089F" w14:paraId="151BBF1E" w14:textId="77777777" w:rsidTr="000C2D6B">
        <w:trPr>
          <w:trHeight w:val="1187"/>
        </w:trPr>
        <w:tc>
          <w:tcPr>
            <w:tcW w:w="5597" w:type="dxa"/>
            <w:tcBorders>
              <w:top w:val="nil"/>
              <w:left w:val="single" w:sz="4" w:space="0" w:color="auto"/>
              <w:bottom w:val="single" w:sz="4" w:space="0" w:color="auto"/>
              <w:right w:val="single" w:sz="4" w:space="0" w:color="auto"/>
            </w:tcBorders>
            <w:vAlign w:val="center"/>
            <w:hideMark/>
          </w:tcPr>
          <w:p w14:paraId="686EFD2E"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lastRenderedPageBreak/>
              <w:t>Number of instruments</w:t>
            </w:r>
          </w:p>
        </w:tc>
        <w:tc>
          <w:tcPr>
            <w:tcW w:w="3337" w:type="dxa"/>
            <w:tcBorders>
              <w:top w:val="nil"/>
              <w:left w:val="nil"/>
              <w:bottom w:val="single" w:sz="4" w:space="0" w:color="auto"/>
              <w:right w:val="single" w:sz="4" w:space="0" w:color="auto"/>
            </w:tcBorders>
            <w:vAlign w:val="center"/>
            <w:hideMark/>
          </w:tcPr>
          <w:p w14:paraId="04F3B963"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67</w:t>
            </w:r>
          </w:p>
        </w:tc>
      </w:tr>
      <w:tr w:rsidR="001A22BA" w:rsidRPr="00CB089F" w14:paraId="4D520DA2" w14:textId="77777777" w:rsidTr="000C2D6B">
        <w:trPr>
          <w:trHeight w:val="593"/>
        </w:trPr>
        <w:tc>
          <w:tcPr>
            <w:tcW w:w="5597" w:type="dxa"/>
            <w:tcBorders>
              <w:top w:val="nil"/>
              <w:left w:val="single" w:sz="4" w:space="0" w:color="auto"/>
              <w:bottom w:val="single" w:sz="4" w:space="0" w:color="auto"/>
              <w:right w:val="single" w:sz="4" w:space="0" w:color="auto"/>
            </w:tcBorders>
            <w:vAlign w:val="center"/>
            <w:hideMark/>
          </w:tcPr>
          <w:p w14:paraId="647FA58F"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Wald Chi²(6)</w:t>
            </w:r>
          </w:p>
        </w:tc>
        <w:tc>
          <w:tcPr>
            <w:tcW w:w="3337" w:type="dxa"/>
            <w:tcBorders>
              <w:top w:val="nil"/>
              <w:left w:val="nil"/>
              <w:bottom w:val="single" w:sz="4" w:space="0" w:color="auto"/>
              <w:right w:val="single" w:sz="4" w:space="0" w:color="auto"/>
            </w:tcBorders>
            <w:vAlign w:val="center"/>
            <w:hideMark/>
          </w:tcPr>
          <w:p w14:paraId="0FFF399E"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129.55</w:t>
            </w:r>
          </w:p>
        </w:tc>
      </w:tr>
      <w:tr w:rsidR="001A22BA" w:rsidRPr="00CB089F" w14:paraId="16B432AC" w14:textId="77777777" w:rsidTr="000C2D6B">
        <w:trPr>
          <w:trHeight w:val="593"/>
        </w:trPr>
        <w:tc>
          <w:tcPr>
            <w:tcW w:w="5597" w:type="dxa"/>
            <w:tcBorders>
              <w:top w:val="nil"/>
              <w:left w:val="single" w:sz="4" w:space="0" w:color="auto"/>
              <w:bottom w:val="single" w:sz="4" w:space="0" w:color="auto"/>
              <w:right w:val="single" w:sz="4" w:space="0" w:color="auto"/>
            </w:tcBorders>
            <w:vAlign w:val="center"/>
            <w:hideMark/>
          </w:tcPr>
          <w:p w14:paraId="5FE1D245"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Prob &gt; Chi²</w:t>
            </w:r>
          </w:p>
        </w:tc>
        <w:tc>
          <w:tcPr>
            <w:tcW w:w="3337" w:type="dxa"/>
            <w:tcBorders>
              <w:top w:val="nil"/>
              <w:left w:val="nil"/>
              <w:bottom w:val="single" w:sz="4" w:space="0" w:color="auto"/>
              <w:right w:val="single" w:sz="4" w:space="0" w:color="auto"/>
            </w:tcBorders>
            <w:vAlign w:val="center"/>
            <w:hideMark/>
          </w:tcPr>
          <w:p w14:paraId="754C99C6"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0.000</w:t>
            </w:r>
          </w:p>
        </w:tc>
      </w:tr>
    </w:tbl>
    <w:p w14:paraId="1A08C023" w14:textId="7464071B" w:rsidR="001A22BA" w:rsidRPr="00CB089F" w:rsidRDefault="00776CBB" w:rsidP="00811D50">
      <w:pPr>
        <w:spacing w:line="240" w:lineRule="auto"/>
        <w:jc w:val="both"/>
        <w:rPr>
          <w:rFonts w:ascii="Times New Roman" w:hAnsi="Times New Roman" w:cs="Times New Roman"/>
          <w:noProof/>
        </w:rPr>
      </w:pPr>
      <w:r w:rsidRPr="00CB089F">
        <w:rPr>
          <w:rFonts w:ascii="Times New Roman" w:hAnsi="Times New Roman" w:cs="Times New Roman"/>
          <w:noProof/>
        </w:rPr>
        <w:t>Source: STATA output (2025)</w:t>
      </w:r>
    </w:p>
    <w:p w14:paraId="5CBFB569" w14:textId="5FF9C197" w:rsidR="001A22BA" w:rsidRPr="00CB089F" w:rsidRDefault="001A22BA" w:rsidP="00811D50">
      <w:pPr>
        <w:spacing w:line="240" w:lineRule="auto"/>
        <w:jc w:val="both"/>
        <w:rPr>
          <w:rFonts w:ascii="Times New Roman" w:hAnsi="Times New Roman" w:cs="Times New Roman"/>
        </w:rPr>
      </w:pPr>
      <w:r w:rsidRPr="00CB089F">
        <w:rPr>
          <w:rFonts w:ascii="Times New Roman" w:hAnsi="Times New Roman" w:cs="Times New Roman"/>
        </w:rPr>
        <w:t xml:space="preserve">Table </w:t>
      </w:r>
      <w:proofErr w:type="gramStart"/>
      <w:r w:rsidR="005D79BD">
        <w:rPr>
          <w:rFonts w:ascii="Times New Roman" w:hAnsi="Times New Roman" w:cs="Times New Roman"/>
        </w:rPr>
        <w:t>5</w:t>
      </w:r>
      <w:r w:rsidRPr="00CB089F">
        <w:rPr>
          <w:rFonts w:ascii="Times New Roman" w:hAnsi="Times New Roman" w:cs="Times New Roman"/>
        </w:rPr>
        <w:t>:Arellano</w:t>
      </w:r>
      <w:proofErr w:type="gramEnd"/>
      <w:r w:rsidRPr="00CB089F">
        <w:rPr>
          <w:rFonts w:ascii="Times New Roman" w:hAnsi="Times New Roman" w:cs="Times New Roman"/>
        </w:rPr>
        <w:t>–Bond Dynamic Panel–Data Estimation Results</w:t>
      </w:r>
    </w:p>
    <w:tbl>
      <w:tblPr>
        <w:tblW w:w="9194" w:type="dxa"/>
        <w:tblInd w:w="108" w:type="dxa"/>
        <w:tblLook w:val="04A0" w:firstRow="1" w:lastRow="0" w:firstColumn="1" w:lastColumn="0" w:noHBand="0" w:noVBand="1"/>
      </w:tblPr>
      <w:tblGrid>
        <w:gridCol w:w="2215"/>
        <w:gridCol w:w="2489"/>
        <w:gridCol w:w="1631"/>
        <w:gridCol w:w="1438"/>
        <w:gridCol w:w="1421"/>
      </w:tblGrid>
      <w:tr w:rsidR="001A22BA" w:rsidRPr="00CB089F" w14:paraId="474485AC" w14:textId="77777777" w:rsidTr="000C2D6B">
        <w:trPr>
          <w:trHeight w:val="1410"/>
        </w:trPr>
        <w:tc>
          <w:tcPr>
            <w:tcW w:w="2215" w:type="dxa"/>
            <w:tcBorders>
              <w:top w:val="nil"/>
              <w:left w:val="nil"/>
              <w:bottom w:val="nil"/>
              <w:right w:val="nil"/>
            </w:tcBorders>
            <w:vAlign w:val="center"/>
            <w:hideMark/>
          </w:tcPr>
          <w:p w14:paraId="419F6DE9"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Predictor Variable</w:t>
            </w:r>
          </w:p>
        </w:tc>
        <w:tc>
          <w:tcPr>
            <w:tcW w:w="2489" w:type="dxa"/>
            <w:tcBorders>
              <w:top w:val="nil"/>
              <w:left w:val="nil"/>
              <w:bottom w:val="nil"/>
              <w:right w:val="nil"/>
            </w:tcBorders>
            <w:vAlign w:val="center"/>
            <w:hideMark/>
          </w:tcPr>
          <w:p w14:paraId="1C486BA6"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Coefficient (β)</w:t>
            </w:r>
          </w:p>
        </w:tc>
        <w:tc>
          <w:tcPr>
            <w:tcW w:w="1631" w:type="dxa"/>
            <w:tcBorders>
              <w:top w:val="nil"/>
              <w:left w:val="nil"/>
              <w:bottom w:val="nil"/>
              <w:right w:val="nil"/>
            </w:tcBorders>
            <w:vAlign w:val="center"/>
            <w:hideMark/>
          </w:tcPr>
          <w:p w14:paraId="21567747"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Std. Error</w:t>
            </w:r>
          </w:p>
        </w:tc>
        <w:tc>
          <w:tcPr>
            <w:tcW w:w="1438" w:type="dxa"/>
            <w:tcBorders>
              <w:top w:val="nil"/>
              <w:left w:val="nil"/>
              <w:bottom w:val="nil"/>
              <w:right w:val="nil"/>
            </w:tcBorders>
            <w:vAlign w:val="center"/>
            <w:hideMark/>
          </w:tcPr>
          <w:p w14:paraId="0D2AAC92"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z</w:t>
            </w:r>
          </w:p>
        </w:tc>
        <w:tc>
          <w:tcPr>
            <w:tcW w:w="1421" w:type="dxa"/>
            <w:tcBorders>
              <w:top w:val="nil"/>
              <w:left w:val="nil"/>
              <w:bottom w:val="nil"/>
              <w:right w:val="nil"/>
            </w:tcBorders>
            <w:vAlign w:val="center"/>
            <w:hideMark/>
          </w:tcPr>
          <w:p w14:paraId="392B2558"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p-value</w:t>
            </w:r>
          </w:p>
        </w:tc>
      </w:tr>
      <w:tr w:rsidR="001A22BA" w:rsidRPr="00CB089F" w14:paraId="2BDD76C0" w14:textId="77777777" w:rsidTr="000C2D6B">
        <w:trPr>
          <w:trHeight w:val="363"/>
        </w:trPr>
        <w:tc>
          <w:tcPr>
            <w:tcW w:w="2215" w:type="dxa"/>
            <w:tcBorders>
              <w:top w:val="nil"/>
              <w:left w:val="nil"/>
              <w:bottom w:val="nil"/>
              <w:right w:val="nil"/>
            </w:tcBorders>
            <w:vAlign w:val="center"/>
            <w:hideMark/>
          </w:tcPr>
          <w:p w14:paraId="2AC8F61F"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L1.pov</w:t>
            </w:r>
          </w:p>
        </w:tc>
        <w:tc>
          <w:tcPr>
            <w:tcW w:w="2489" w:type="dxa"/>
            <w:tcBorders>
              <w:top w:val="nil"/>
              <w:left w:val="nil"/>
              <w:bottom w:val="nil"/>
              <w:right w:val="nil"/>
            </w:tcBorders>
            <w:vAlign w:val="center"/>
            <w:hideMark/>
          </w:tcPr>
          <w:p w14:paraId="7A96C68B"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0.0519</w:t>
            </w:r>
          </w:p>
        </w:tc>
        <w:tc>
          <w:tcPr>
            <w:tcW w:w="1631" w:type="dxa"/>
            <w:tcBorders>
              <w:top w:val="nil"/>
              <w:left w:val="nil"/>
              <w:bottom w:val="nil"/>
              <w:right w:val="nil"/>
            </w:tcBorders>
            <w:vAlign w:val="center"/>
            <w:hideMark/>
          </w:tcPr>
          <w:p w14:paraId="054BC70C"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0.0506</w:t>
            </w:r>
          </w:p>
        </w:tc>
        <w:tc>
          <w:tcPr>
            <w:tcW w:w="1438" w:type="dxa"/>
            <w:tcBorders>
              <w:top w:val="nil"/>
              <w:left w:val="nil"/>
              <w:bottom w:val="nil"/>
              <w:right w:val="nil"/>
            </w:tcBorders>
            <w:vAlign w:val="center"/>
            <w:hideMark/>
          </w:tcPr>
          <w:p w14:paraId="471FD746"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1.04</w:t>
            </w:r>
          </w:p>
        </w:tc>
        <w:tc>
          <w:tcPr>
            <w:tcW w:w="1421" w:type="dxa"/>
            <w:tcBorders>
              <w:top w:val="nil"/>
              <w:left w:val="nil"/>
              <w:bottom w:val="nil"/>
              <w:right w:val="nil"/>
            </w:tcBorders>
            <w:vAlign w:val="center"/>
            <w:hideMark/>
          </w:tcPr>
          <w:p w14:paraId="2B926FF3"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0.300</w:t>
            </w:r>
          </w:p>
        </w:tc>
      </w:tr>
      <w:tr w:rsidR="001A22BA" w:rsidRPr="00CB089F" w14:paraId="36D0E773" w14:textId="77777777" w:rsidTr="000C2D6B">
        <w:trPr>
          <w:trHeight w:val="363"/>
        </w:trPr>
        <w:tc>
          <w:tcPr>
            <w:tcW w:w="2215" w:type="dxa"/>
            <w:tcBorders>
              <w:top w:val="nil"/>
              <w:left w:val="nil"/>
              <w:bottom w:val="nil"/>
              <w:right w:val="nil"/>
            </w:tcBorders>
            <w:vAlign w:val="center"/>
            <w:hideMark/>
          </w:tcPr>
          <w:p w14:paraId="6A216370"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L2.pov</w:t>
            </w:r>
          </w:p>
        </w:tc>
        <w:tc>
          <w:tcPr>
            <w:tcW w:w="2489" w:type="dxa"/>
            <w:tcBorders>
              <w:top w:val="nil"/>
              <w:left w:val="nil"/>
              <w:bottom w:val="nil"/>
              <w:right w:val="nil"/>
            </w:tcBorders>
            <w:vAlign w:val="center"/>
            <w:hideMark/>
          </w:tcPr>
          <w:p w14:paraId="1DF0A8AA"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0.3034</w:t>
            </w:r>
          </w:p>
        </w:tc>
        <w:tc>
          <w:tcPr>
            <w:tcW w:w="1631" w:type="dxa"/>
            <w:tcBorders>
              <w:top w:val="nil"/>
              <w:left w:val="nil"/>
              <w:bottom w:val="nil"/>
              <w:right w:val="nil"/>
            </w:tcBorders>
            <w:vAlign w:val="center"/>
            <w:hideMark/>
          </w:tcPr>
          <w:p w14:paraId="34834798"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0.0368</w:t>
            </w:r>
          </w:p>
        </w:tc>
        <w:tc>
          <w:tcPr>
            <w:tcW w:w="1438" w:type="dxa"/>
            <w:tcBorders>
              <w:top w:val="nil"/>
              <w:left w:val="nil"/>
              <w:bottom w:val="nil"/>
              <w:right w:val="nil"/>
            </w:tcBorders>
            <w:vAlign w:val="center"/>
            <w:hideMark/>
          </w:tcPr>
          <w:p w14:paraId="2B5E50C9"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8.24</w:t>
            </w:r>
          </w:p>
        </w:tc>
        <w:tc>
          <w:tcPr>
            <w:tcW w:w="1421" w:type="dxa"/>
            <w:tcBorders>
              <w:top w:val="nil"/>
              <w:left w:val="nil"/>
              <w:bottom w:val="nil"/>
              <w:right w:val="nil"/>
            </w:tcBorders>
            <w:vAlign w:val="center"/>
            <w:hideMark/>
          </w:tcPr>
          <w:p w14:paraId="5C4DFC32"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0.000</w:t>
            </w:r>
          </w:p>
        </w:tc>
      </w:tr>
      <w:tr w:rsidR="001A22BA" w:rsidRPr="00CB089F" w14:paraId="1DB9A373" w14:textId="77777777" w:rsidTr="000C2D6B">
        <w:trPr>
          <w:trHeight w:val="363"/>
        </w:trPr>
        <w:tc>
          <w:tcPr>
            <w:tcW w:w="2215" w:type="dxa"/>
            <w:tcBorders>
              <w:top w:val="nil"/>
              <w:left w:val="nil"/>
              <w:bottom w:val="nil"/>
              <w:right w:val="nil"/>
            </w:tcBorders>
            <w:vAlign w:val="center"/>
            <w:hideMark/>
          </w:tcPr>
          <w:p w14:paraId="074C0617"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Oda</w:t>
            </w:r>
          </w:p>
        </w:tc>
        <w:tc>
          <w:tcPr>
            <w:tcW w:w="2489" w:type="dxa"/>
            <w:tcBorders>
              <w:top w:val="nil"/>
              <w:left w:val="nil"/>
              <w:bottom w:val="nil"/>
              <w:right w:val="nil"/>
            </w:tcBorders>
            <w:vAlign w:val="center"/>
            <w:hideMark/>
          </w:tcPr>
          <w:p w14:paraId="0A9255A2"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0.4926</w:t>
            </w:r>
          </w:p>
        </w:tc>
        <w:tc>
          <w:tcPr>
            <w:tcW w:w="1631" w:type="dxa"/>
            <w:tcBorders>
              <w:top w:val="nil"/>
              <w:left w:val="nil"/>
              <w:bottom w:val="nil"/>
              <w:right w:val="nil"/>
            </w:tcBorders>
            <w:vAlign w:val="center"/>
            <w:hideMark/>
          </w:tcPr>
          <w:p w14:paraId="2AEBE0F3"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0.1043</w:t>
            </w:r>
          </w:p>
        </w:tc>
        <w:tc>
          <w:tcPr>
            <w:tcW w:w="1438" w:type="dxa"/>
            <w:tcBorders>
              <w:top w:val="nil"/>
              <w:left w:val="nil"/>
              <w:bottom w:val="nil"/>
              <w:right w:val="nil"/>
            </w:tcBorders>
            <w:vAlign w:val="center"/>
            <w:hideMark/>
          </w:tcPr>
          <w:p w14:paraId="36218D7D"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4.72</w:t>
            </w:r>
          </w:p>
        </w:tc>
        <w:tc>
          <w:tcPr>
            <w:tcW w:w="1421" w:type="dxa"/>
            <w:tcBorders>
              <w:top w:val="nil"/>
              <w:left w:val="nil"/>
              <w:bottom w:val="nil"/>
              <w:right w:val="nil"/>
            </w:tcBorders>
            <w:vAlign w:val="center"/>
            <w:hideMark/>
          </w:tcPr>
          <w:p w14:paraId="403DCBA1"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0.000</w:t>
            </w:r>
          </w:p>
        </w:tc>
      </w:tr>
      <w:tr w:rsidR="001A22BA" w:rsidRPr="00CB089F" w14:paraId="4018CE50" w14:textId="77777777" w:rsidTr="000C2D6B">
        <w:trPr>
          <w:trHeight w:val="363"/>
        </w:trPr>
        <w:tc>
          <w:tcPr>
            <w:tcW w:w="2215" w:type="dxa"/>
            <w:tcBorders>
              <w:top w:val="nil"/>
              <w:left w:val="nil"/>
              <w:bottom w:val="nil"/>
              <w:right w:val="nil"/>
            </w:tcBorders>
            <w:vAlign w:val="center"/>
            <w:hideMark/>
          </w:tcPr>
          <w:p w14:paraId="75C042F3"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Gdp</w:t>
            </w:r>
          </w:p>
        </w:tc>
        <w:tc>
          <w:tcPr>
            <w:tcW w:w="2489" w:type="dxa"/>
            <w:tcBorders>
              <w:top w:val="nil"/>
              <w:left w:val="nil"/>
              <w:bottom w:val="nil"/>
              <w:right w:val="nil"/>
            </w:tcBorders>
            <w:vAlign w:val="center"/>
            <w:hideMark/>
          </w:tcPr>
          <w:p w14:paraId="6BD54BC0"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−0.5835</w:t>
            </w:r>
          </w:p>
        </w:tc>
        <w:tc>
          <w:tcPr>
            <w:tcW w:w="1631" w:type="dxa"/>
            <w:tcBorders>
              <w:top w:val="nil"/>
              <w:left w:val="nil"/>
              <w:bottom w:val="nil"/>
              <w:right w:val="nil"/>
            </w:tcBorders>
            <w:vAlign w:val="center"/>
            <w:hideMark/>
          </w:tcPr>
          <w:p w14:paraId="70C7FF1B"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0.1228</w:t>
            </w:r>
          </w:p>
        </w:tc>
        <w:tc>
          <w:tcPr>
            <w:tcW w:w="1438" w:type="dxa"/>
            <w:tcBorders>
              <w:top w:val="nil"/>
              <w:left w:val="nil"/>
              <w:bottom w:val="nil"/>
              <w:right w:val="nil"/>
            </w:tcBorders>
            <w:vAlign w:val="center"/>
            <w:hideMark/>
          </w:tcPr>
          <w:p w14:paraId="4392A07A"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−4.75</w:t>
            </w:r>
          </w:p>
        </w:tc>
        <w:tc>
          <w:tcPr>
            <w:tcW w:w="1421" w:type="dxa"/>
            <w:tcBorders>
              <w:top w:val="nil"/>
              <w:left w:val="nil"/>
              <w:bottom w:val="nil"/>
              <w:right w:val="nil"/>
            </w:tcBorders>
            <w:vAlign w:val="center"/>
            <w:hideMark/>
          </w:tcPr>
          <w:p w14:paraId="6B2330EC"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0.000</w:t>
            </w:r>
          </w:p>
        </w:tc>
      </w:tr>
      <w:tr w:rsidR="001A22BA" w:rsidRPr="00CB089F" w14:paraId="28F04F59" w14:textId="77777777" w:rsidTr="000C2D6B">
        <w:trPr>
          <w:trHeight w:val="363"/>
        </w:trPr>
        <w:tc>
          <w:tcPr>
            <w:tcW w:w="2215" w:type="dxa"/>
            <w:tcBorders>
              <w:top w:val="nil"/>
              <w:left w:val="nil"/>
              <w:bottom w:val="nil"/>
              <w:right w:val="nil"/>
            </w:tcBorders>
            <w:vAlign w:val="center"/>
            <w:hideMark/>
          </w:tcPr>
          <w:p w14:paraId="12AFA137"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infl</w:t>
            </w:r>
          </w:p>
        </w:tc>
        <w:tc>
          <w:tcPr>
            <w:tcW w:w="2489" w:type="dxa"/>
            <w:tcBorders>
              <w:top w:val="nil"/>
              <w:left w:val="nil"/>
              <w:bottom w:val="nil"/>
              <w:right w:val="nil"/>
            </w:tcBorders>
            <w:vAlign w:val="center"/>
            <w:hideMark/>
          </w:tcPr>
          <w:p w14:paraId="76C87FC3"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0.0004</w:t>
            </w:r>
          </w:p>
        </w:tc>
        <w:tc>
          <w:tcPr>
            <w:tcW w:w="1631" w:type="dxa"/>
            <w:tcBorders>
              <w:top w:val="nil"/>
              <w:left w:val="nil"/>
              <w:bottom w:val="nil"/>
              <w:right w:val="nil"/>
            </w:tcBorders>
            <w:vAlign w:val="center"/>
            <w:hideMark/>
          </w:tcPr>
          <w:p w14:paraId="04DA524E"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0.0011</w:t>
            </w:r>
          </w:p>
        </w:tc>
        <w:tc>
          <w:tcPr>
            <w:tcW w:w="1438" w:type="dxa"/>
            <w:tcBorders>
              <w:top w:val="nil"/>
              <w:left w:val="nil"/>
              <w:bottom w:val="nil"/>
              <w:right w:val="nil"/>
            </w:tcBorders>
            <w:vAlign w:val="center"/>
            <w:hideMark/>
          </w:tcPr>
          <w:p w14:paraId="4694348E"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0.36</w:t>
            </w:r>
          </w:p>
        </w:tc>
        <w:tc>
          <w:tcPr>
            <w:tcW w:w="1421" w:type="dxa"/>
            <w:tcBorders>
              <w:top w:val="nil"/>
              <w:left w:val="nil"/>
              <w:bottom w:val="nil"/>
              <w:right w:val="nil"/>
            </w:tcBorders>
            <w:vAlign w:val="center"/>
            <w:hideMark/>
          </w:tcPr>
          <w:p w14:paraId="3EB10A98"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0.722</w:t>
            </w:r>
          </w:p>
        </w:tc>
      </w:tr>
      <w:tr w:rsidR="001A22BA" w:rsidRPr="00CB089F" w14:paraId="05DEBDEA" w14:textId="77777777" w:rsidTr="000C2D6B">
        <w:trPr>
          <w:trHeight w:val="363"/>
        </w:trPr>
        <w:tc>
          <w:tcPr>
            <w:tcW w:w="2215" w:type="dxa"/>
            <w:tcBorders>
              <w:top w:val="nil"/>
              <w:left w:val="nil"/>
              <w:bottom w:val="nil"/>
              <w:right w:val="nil"/>
            </w:tcBorders>
            <w:vAlign w:val="center"/>
            <w:hideMark/>
          </w:tcPr>
          <w:p w14:paraId="2620D2EA"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fdi</w:t>
            </w:r>
          </w:p>
        </w:tc>
        <w:tc>
          <w:tcPr>
            <w:tcW w:w="2489" w:type="dxa"/>
            <w:tcBorders>
              <w:top w:val="nil"/>
              <w:left w:val="nil"/>
              <w:bottom w:val="nil"/>
              <w:right w:val="nil"/>
            </w:tcBorders>
            <w:vAlign w:val="center"/>
            <w:hideMark/>
          </w:tcPr>
          <w:p w14:paraId="54481CB8"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−0.4926</w:t>
            </w:r>
          </w:p>
        </w:tc>
        <w:tc>
          <w:tcPr>
            <w:tcW w:w="1631" w:type="dxa"/>
            <w:tcBorders>
              <w:top w:val="nil"/>
              <w:left w:val="nil"/>
              <w:bottom w:val="nil"/>
              <w:right w:val="nil"/>
            </w:tcBorders>
            <w:vAlign w:val="center"/>
            <w:hideMark/>
          </w:tcPr>
          <w:p w14:paraId="6D82A425"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0.1258</w:t>
            </w:r>
          </w:p>
        </w:tc>
        <w:tc>
          <w:tcPr>
            <w:tcW w:w="1438" w:type="dxa"/>
            <w:tcBorders>
              <w:top w:val="nil"/>
              <w:left w:val="nil"/>
              <w:bottom w:val="nil"/>
              <w:right w:val="nil"/>
            </w:tcBorders>
            <w:vAlign w:val="center"/>
            <w:hideMark/>
          </w:tcPr>
          <w:p w14:paraId="47E00F76"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−3.92</w:t>
            </w:r>
          </w:p>
        </w:tc>
        <w:tc>
          <w:tcPr>
            <w:tcW w:w="1421" w:type="dxa"/>
            <w:tcBorders>
              <w:top w:val="nil"/>
              <w:left w:val="nil"/>
              <w:bottom w:val="nil"/>
              <w:right w:val="nil"/>
            </w:tcBorders>
            <w:vAlign w:val="center"/>
            <w:hideMark/>
          </w:tcPr>
          <w:p w14:paraId="79BDEA9F"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0.000</w:t>
            </w:r>
          </w:p>
        </w:tc>
      </w:tr>
      <w:tr w:rsidR="001A22BA" w:rsidRPr="00CB089F" w14:paraId="0589319A" w14:textId="77777777" w:rsidTr="000C2D6B">
        <w:trPr>
          <w:trHeight w:val="363"/>
        </w:trPr>
        <w:tc>
          <w:tcPr>
            <w:tcW w:w="2215" w:type="dxa"/>
            <w:tcBorders>
              <w:top w:val="nil"/>
              <w:left w:val="nil"/>
              <w:bottom w:val="nil"/>
              <w:right w:val="nil"/>
            </w:tcBorders>
            <w:vAlign w:val="center"/>
            <w:hideMark/>
          </w:tcPr>
          <w:p w14:paraId="4D288011"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Constant</w:t>
            </w:r>
          </w:p>
        </w:tc>
        <w:tc>
          <w:tcPr>
            <w:tcW w:w="2489" w:type="dxa"/>
            <w:tcBorders>
              <w:top w:val="nil"/>
              <w:left w:val="nil"/>
              <w:bottom w:val="nil"/>
              <w:right w:val="nil"/>
            </w:tcBorders>
            <w:vAlign w:val="center"/>
            <w:hideMark/>
          </w:tcPr>
          <w:p w14:paraId="25C5DFA6"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0.0016</w:t>
            </w:r>
          </w:p>
        </w:tc>
        <w:tc>
          <w:tcPr>
            <w:tcW w:w="1631" w:type="dxa"/>
            <w:tcBorders>
              <w:top w:val="nil"/>
              <w:left w:val="nil"/>
              <w:bottom w:val="nil"/>
              <w:right w:val="nil"/>
            </w:tcBorders>
            <w:vAlign w:val="center"/>
            <w:hideMark/>
          </w:tcPr>
          <w:p w14:paraId="3321A41E"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0.0014</w:t>
            </w:r>
          </w:p>
        </w:tc>
        <w:tc>
          <w:tcPr>
            <w:tcW w:w="1438" w:type="dxa"/>
            <w:tcBorders>
              <w:top w:val="nil"/>
              <w:left w:val="nil"/>
              <w:bottom w:val="nil"/>
              <w:right w:val="nil"/>
            </w:tcBorders>
            <w:vAlign w:val="center"/>
            <w:hideMark/>
          </w:tcPr>
          <w:p w14:paraId="2CA1F14F"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1.15</w:t>
            </w:r>
          </w:p>
        </w:tc>
        <w:tc>
          <w:tcPr>
            <w:tcW w:w="1421" w:type="dxa"/>
            <w:tcBorders>
              <w:top w:val="nil"/>
              <w:left w:val="nil"/>
              <w:bottom w:val="nil"/>
              <w:right w:val="nil"/>
            </w:tcBorders>
            <w:vAlign w:val="center"/>
            <w:hideMark/>
          </w:tcPr>
          <w:p w14:paraId="5BB33871"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0.251</w:t>
            </w:r>
          </w:p>
        </w:tc>
      </w:tr>
    </w:tbl>
    <w:p w14:paraId="7939F181" w14:textId="66F4B386" w:rsidR="001A22BA" w:rsidRPr="00CB089F" w:rsidRDefault="00776CBB" w:rsidP="00811D50">
      <w:pPr>
        <w:spacing w:line="240" w:lineRule="auto"/>
        <w:jc w:val="both"/>
        <w:rPr>
          <w:rFonts w:ascii="Times New Roman" w:hAnsi="Times New Roman" w:cs="Times New Roman"/>
        </w:rPr>
      </w:pPr>
      <w:r w:rsidRPr="00CB089F">
        <w:rPr>
          <w:rFonts w:ascii="Times New Roman" w:hAnsi="Times New Roman" w:cs="Times New Roman"/>
        </w:rPr>
        <w:t>Source: STATA output (2025)</w:t>
      </w:r>
    </w:p>
    <w:p w14:paraId="137AECE8" w14:textId="77777777" w:rsidR="00776CBB" w:rsidRPr="00CB089F" w:rsidRDefault="001A22BA" w:rsidP="00811D50">
      <w:pPr>
        <w:spacing w:line="240" w:lineRule="auto"/>
        <w:jc w:val="both"/>
        <w:rPr>
          <w:rFonts w:ascii="Times New Roman" w:hAnsi="Times New Roman" w:cs="Times New Roman"/>
        </w:rPr>
      </w:pPr>
      <w:r w:rsidRPr="00CB089F">
        <w:rPr>
          <w:rFonts w:ascii="Times New Roman" w:hAnsi="Times New Roman" w:cs="Times New Roman"/>
        </w:rPr>
        <w:t xml:space="preserve">The findings indicate that the second lag of poverty (L2.pov) is positive and highly significant (β = 0.3034, p &lt; 0.01), which indicates that the history of poverty strongly shapes the current poverty dynamics, in the presence of persistence of poverty levels within the region. In contrast, the first lag of poverty (L1.pov) is positive but statistically insignificant (β = 0.0519, p = 0.300), which suggests that the immediate past poverty has no significant impact on the current poverty level when longer lags are taken into account.  </w:t>
      </w:r>
    </w:p>
    <w:p w14:paraId="50CB446A" w14:textId="74A95EBA" w:rsidR="001D572D" w:rsidRPr="00CB089F" w:rsidRDefault="00776CBB" w:rsidP="00811D50">
      <w:pPr>
        <w:spacing w:line="240" w:lineRule="auto"/>
        <w:jc w:val="both"/>
        <w:rPr>
          <w:rFonts w:ascii="Times New Roman" w:hAnsi="Times New Roman" w:cs="Times New Roman"/>
        </w:rPr>
      </w:pPr>
      <w:r w:rsidRPr="00CB089F">
        <w:rPr>
          <w:rFonts w:ascii="Times New Roman" w:hAnsi="Times New Roman" w:cs="Times New Roman"/>
        </w:rPr>
        <w:t>The data shows that ODA significantly affects increases in poverty levels (β = 0.4926, p &lt; 0.01). Increased poverty levels correlate with increased aid inflows. This result could lend some credence to the dependency theory which suggests that foreign aid tends to block development rather than alleviate poverty. However, ODA fosters growth potential when aimed at the right sectors such as infrastructure, agriculture, and industrial development. Donor-supported infrastructure projects in Ghana and Senegal, under the World Bank’s West Africa Coastal Resilience Programme (2021–2024), facilitated market access and created rural employment. However, the energy and education sector aid inefficiencies in Nigeria have shown limited results in poverty reductions. This and UNDP (2023) illustrate the importance of absorptive capacity and accountability mechanisms. Positive welfare results have been achieved in Ghana and Togo where education and health-focused ODA projects aimed at primary education and immunization programs directly enhanced some HDI components (OECD, 2024).</w:t>
      </w:r>
      <w:r w:rsidR="001D572D" w:rsidRPr="00CB089F">
        <w:rPr>
          <w:rFonts w:ascii="Times New Roman" w:hAnsi="Times New Roman" w:cs="Times New Roman"/>
        </w:rPr>
        <w:t xml:space="preserve"> The shifting priorities of donors or when ongoing spending </w:t>
      </w:r>
      <w:r w:rsidR="001D572D" w:rsidRPr="00CB089F">
        <w:rPr>
          <w:rFonts w:ascii="Times New Roman" w:hAnsi="Times New Roman" w:cs="Times New Roman"/>
        </w:rPr>
        <w:lastRenderedPageBreak/>
        <w:t>dominates deeper investments can offset benefits. Aid effectiveness is stunted by weak governance.  Aid’s potential to promote rent-seeking and dependency is cautioned by Kim (2013) and the World Bank (2016) when there are weak transparency regimes.  In some of the ECOWAS countries (Sierra Leone and Guinea-Bissau) poorly coordinated donor initiatives are overlapping which weakens the positive developmental impact of the aid. Climate-related shocks are increasingly directed at Nigeria (floods), Mali (drought), and Senegal (coastal erosion), which has resulted in shifting ODA towards climate adaptation and resilience. While this is related to SDG 13, aid directed towards the social sectors will further lessen the impact on immediate social and poverty outcomes (OECD, 2024) and will aid in the 'spiral of aid de jeter'. Research (Ansu &amp; Agyeman, 2023) has shown that aid targeted toward adaptation is more impactful when combined with local agricultural productivity and livelihood initiatives. In ECOWAS, the pandemic influenced both poverty levels and the delivery of aid by shifting donor attention toward health emergency spending, vaccine procurement, and economic recovery programs.</w:t>
      </w:r>
    </w:p>
    <w:p w14:paraId="1A3BF75E" w14:textId="001F53F3" w:rsidR="001D572D" w:rsidRPr="001D572D" w:rsidRDefault="001D572D" w:rsidP="00811D50">
      <w:pPr>
        <w:spacing w:line="240" w:lineRule="auto"/>
        <w:jc w:val="both"/>
        <w:rPr>
          <w:rFonts w:ascii="Times New Roman" w:hAnsi="Times New Roman" w:cs="Times New Roman"/>
        </w:rPr>
      </w:pPr>
      <w:r w:rsidRPr="001D572D">
        <w:rPr>
          <w:rFonts w:ascii="Times New Roman" w:hAnsi="Times New Roman" w:cs="Times New Roman"/>
        </w:rPr>
        <w:t>The epidemic</w:t>
      </w:r>
      <w:r w:rsidRPr="00CB089F">
        <w:rPr>
          <w:rFonts w:ascii="Times New Roman" w:hAnsi="Times New Roman" w:cs="Times New Roman"/>
        </w:rPr>
        <w:t xml:space="preserve"> also </w:t>
      </w:r>
      <w:r w:rsidRPr="001D572D">
        <w:rPr>
          <w:rFonts w:ascii="Times New Roman" w:hAnsi="Times New Roman" w:cs="Times New Roman"/>
        </w:rPr>
        <w:t xml:space="preserve"> had a huge impact on both the delivery of aid and the levels of poverty in ECOWAS. For a short time, donor funds were used for health emergencies, buying vaccines, and programs to help the economy recover. For example, Côte d'Ivoire and Ghana got a lot of ODA money in 2021 to help with the epidemic, but rising unemployment and inflation made the welfare gains less valuable (UNDP, 2023). These experiences emphasise the necessity for adaptable and responsive help mechanisms. Additionally, the ineffectiveness of aid may be attributed to inadequate targeting and misallocation, as "aid by itself does not have a statistically significant effect on poverty reduction; its effects are mediated by institutions" (Canavire-Bacarreza &amp; Riera-Cricton, 2020).</w:t>
      </w:r>
    </w:p>
    <w:p w14:paraId="34334151" w14:textId="2D5D8702" w:rsidR="001D572D" w:rsidRPr="00CB089F" w:rsidRDefault="001D572D" w:rsidP="00811D50">
      <w:pPr>
        <w:spacing w:line="240" w:lineRule="auto"/>
        <w:jc w:val="both"/>
        <w:rPr>
          <w:rFonts w:ascii="Times New Roman" w:hAnsi="Times New Roman" w:cs="Times New Roman"/>
        </w:rPr>
      </w:pPr>
      <w:r w:rsidRPr="001D572D">
        <w:rPr>
          <w:rFonts w:ascii="Times New Roman" w:hAnsi="Times New Roman" w:cs="Times New Roman"/>
        </w:rPr>
        <w:t xml:space="preserve">Conversely, GDP demonstrates a negative and substantial impact on poverty (β = -0.5835, p &lt; 0.01), aligning with modernisation and trickle-down theories that assert increasing economic growth improves welfare and reduces poverty. The small and statistically insignificant effect of inflation on poverty (β = 0.0004, p = 0.722) indicates that, in the short run, inflationary pressure does not significantly influence poverty levels in the region. In a more favourable perspective, foreign direct investment (FDI) exhibits a significantly strong negative correlation with poverty (β = -0.4926, p &lt; 0.01), indicating that increased foreign investment alleviates poverty. This finding supports the neoclassical growth theory that emphasises the significance of foreign capital on productivity and welfare. </w:t>
      </w:r>
    </w:p>
    <w:p w14:paraId="61F6290E" w14:textId="65100F99" w:rsidR="001D572D" w:rsidRPr="001D572D" w:rsidRDefault="001D572D" w:rsidP="00811D50">
      <w:pPr>
        <w:spacing w:line="240" w:lineRule="auto"/>
        <w:jc w:val="both"/>
        <w:rPr>
          <w:rFonts w:ascii="Times New Roman" w:hAnsi="Times New Roman" w:cs="Times New Roman"/>
        </w:rPr>
      </w:pPr>
      <w:r w:rsidRPr="001D572D">
        <w:rPr>
          <w:rFonts w:ascii="Times New Roman" w:hAnsi="Times New Roman" w:cs="Times New Roman"/>
        </w:rPr>
        <w:t>The Wald chi-square test (χ² = 129.55, p &lt; 0.000) confirms the model's joint significance, illustrating the enduring poverty alongside varying effects from ODA, GDPP, and FDI, thereby revealing the intricate and intensified relationship between foreign financial assistance, investment, domestic economic growth, and poverty alleviation in the ECOWAS region.</w:t>
      </w:r>
    </w:p>
    <w:p w14:paraId="2D7AD286" w14:textId="77777777" w:rsidR="001D572D" w:rsidRPr="00CB089F" w:rsidRDefault="001D572D" w:rsidP="00811D50">
      <w:pPr>
        <w:spacing w:line="240" w:lineRule="auto"/>
        <w:jc w:val="both"/>
        <w:rPr>
          <w:rFonts w:ascii="Times New Roman" w:hAnsi="Times New Roman" w:cs="Times New Roman"/>
        </w:rPr>
      </w:pPr>
    </w:p>
    <w:p w14:paraId="0D3931CC" w14:textId="7C34915F" w:rsidR="001A22BA" w:rsidRPr="00CB089F" w:rsidRDefault="001A22BA" w:rsidP="00811D50">
      <w:pPr>
        <w:spacing w:line="240" w:lineRule="auto"/>
        <w:jc w:val="both"/>
        <w:rPr>
          <w:rFonts w:ascii="Times New Roman" w:hAnsi="Times New Roman" w:cs="Times New Roman"/>
        </w:rPr>
      </w:pPr>
      <w:r w:rsidRPr="00CB089F">
        <w:rPr>
          <w:rFonts w:ascii="Times New Roman" w:hAnsi="Times New Roman" w:cs="Times New Roman"/>
        </w:rPr>
        <w:t xml:space="preserve">Table </w:t>
      </w:r>
      <w:r w:rsidR="005D79BD">
        <w:rPr>
          <w:rFonts w:ascii="Times New Roman" w:hAnsi="Times New Roman" w:cs="Times New Roman"/>
        </w:rPr>
        <w:t>6</w:t>
      </w:r>
      <w:r w:rsidRPr="00CB089F">
        <w:rPr>
          <w:rFonts w:ascii="Times New Roman" w:hAnsi="Times New Roman" w:cs="Times New Roman"/>
        </w:rPr>
        <w:t>:</w:t>
      </w:r>
      <w:r w:rsidRPr="00CB089F">
        <w:rPr>
          <w:rFonts w:ascii="Times New Roman" w:eastAsia="Times New Roman" w:hAnsi="Times New Roman" w:cs="Times New Roman"/>
          <w:color w:val="000000"/>
          <w:kern w:val="0"/>
          <w14:ligatures w14:val="none"/>
        </w:rPr>
        <w:t xml:space="preserve"> Diagnostic Test</w:t>
      </w:r>
    </w:p>
    <w:tbl>
      <w:tblPr>
        <w:tblW w:w="8963" w:type="dxa"/>
        <w:tblInd w:w="113" w:type="dxa"/>
        <w:tblLook w:val="04A0" w:firstRow="1" w:lastRow="0" w:firstColumn="1" w:lastColumn="0" w:noHBand="0" w:noVBand="1"/>
      </w:tblPr>
      <w:tblGrid>
        <w:gridCol w:w="3817"/>
        <w:gridCol w:w="2962"/>
        <w:gridCol w:w="2184"/>
      </w:tblGrid>
      <w:tr w:rsidR="001A22BA" w:rsidRPr="00CB089F" w14:paraId="3F630C96" w14:textId="77777777" w:rsidTr="000C2D6B">
        <w:trPr>
          <w:trHeight w:val="575"/>
        </w:trPr>
        <w:tc>
          <w:tcPr>
            <w:tcW w:w="3817" w:type="dxa"/>
            <w:tcBorders>
              <w:top w:val="single" w:sz="4" w:space="0" w:color="auto"/>
              <w:left w:val="single" w:sz="4" w:space="0" w:color="auto"/>
              <w:bottom w:val="single" w:sz="4" w:space="0" w:color="auto"/>
              <w:right w:val="single" w:sz="4" w:space="0" w:color="auto"/>
            </w:tcBorders>
            <w:vAlign w:val="center"/>
            <w:hideMark/>
          </w:tcPr>
          <w:p w14:paraId="66381415"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Diagnostic Test</w:t>
            </w:r>
          </w:p>
        </w:tc>
        <w:tc>
          <w:tcPr>
            <w:tcW w:w="2962" w:type="dxa"/>
            <w:tcBorders>
              <w:top w:val="single" w:sz="4" w:space="0" w:color="auto"/>
              <w:left w:val="nil"/>
              <w:bottom w:val="single" w:sz="4" w:space="0" w:color="auto"/>
              <w:right w:val="single" w:sz="4" w:space="0" w:color="auto"/>
            </w:tcBorders>
            <w:vAlign w:val="center"/>
            <w:hideMark/>
          </w:tcPr>
          <w:p w14:paraId="10675395"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Statistic</w:t>
            </w:r>
          </w:p>
        </w:tc>
        <w:tc>
          <w:tcPr>
            <w:tcW w:w="2184" w:type="dxa"/>
            <w:tcBorders>
              <w:top w:val="single" w:sz="4" w:space="0" w:color="auto"/>
              <w:left w:val="nil"/>
              <w:bottom w:val="single" w:sz="4" w:space="0" w:color="auto"/>
              <w:right w:val="single" w:sz="4" w:space="0" w:color="auto"/>
            </w:tcBorders>
            <w:vAlign w:val="center"/>
            <w:hideMark/>
          </w:tcPr>
          <w:p w14:paraId="66FE2875"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p-value</w:t>
            </w:r>
          </w:p>
        </w:tc>
      </w:tr>
      <w:tr w:rsidR="001A22BA" w:rsidRPr="00CB089F" w14:paraId="387F802C" w14:textId="77777777" w:rsidTr="000C2D6B">
        <w:trPr>
          <w:trHeight w:val="1725"/>
        </w:trPr>
        <w:tc>
          <w:tcPr>
            <w:tcW w:w="3817" w:type="dxa"/>
            <w:tcBorders>
              <w:top w:val="nil"/>
              <w:left w:val="single" w:sz="4" w:space="0" w:color="auto"/>
              <w:bottom w:val="single" w:sz="4" w:space="0" w:color="auto"/>
              <w:right w:val="single" w:sz="4" w:space="0" w:color="auto"/>
            </w:tcBorders>
            <w:vAlign w:val="center"/>
            <w:hideMark/>
          </w:tcPr>
          <w:p w14:paraId="55E6A88A"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lastRenderedPageBreak/>
              <w:t>Arellano–Bond test for AR(1) in first differences</w:t>
            </w:r>
          </w:p>
        </w:tc>
        <w:tc>
          <w:tcPr>
            <w:tcW w:w="2962" w:type="dxa"/>
            <w:tcBorders>
              <w:top w:val="nil"/>
              <w:left w:val="nil"/>
              <w:bottom w:val="single" w:sz="4" w:space="0" w:color="auto"/>
              <w:right w:val="single" w:sz="4" w:space="0" w:color="auto"/>
            </w:tcBorders>
            <w:vAlign w:val="center"/>
            <w:hideMark/>
          </w:tcPr>
          <w:p w14:paraId="0CDC8C01"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−2.74</w:t>
            </w:r>
          </w:p>
        </w:tc>
        <w:tc>
          <w:tcPr>
            <w:tcW w:w="2184" w:type="dxa"/>
            <w:tcBorders>
              <w:top w:val="nil"/>
              <w:left w:val="nil"/>
              <w:bottom w:val="single" w:sz="4" w:space="0" w:color="auto"/>
              <w:right w:val="single" w:sz="4" w:space="0" w:color="auto"/>
            </w:tcBorders>
            <w:vAlign w:val="center"/>
            <w:hideMark/>
          </w:tcPr>
          <w:p w14:paraId="03F3BBFD"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0.006</w:t>
            </w:r>
          </w:p>
        </w:tc>
      </w:tr>
      <w:tr w:rsidR="001A22BA" w:rsidRPr="00CB089F" w14:paraId="5F689F60" w14:textId="77777777" w:rsidTr="000C2D6B">
        <w:trPr>
          <w:trHeight w:val="1725"/>
        </w:trPr>
        <w:tc>
          <w:tcPr>
            <w:tcW w:w="3817" w:type="dxa"/>
            <w:tcBorders>
              <w:top w:val="nil"/>
              <w:left w:val="single" w:sz="4" w:space="0" w:color="auto"/>
              <w:bottom w:val="single" w:sz="4" w:space="0" w:color="auto"/>
              <w:right w:val="single" w:sz="4" w:space="0" w:color="auto"/>
            </w:tcBorders>
            <w:vAlign w:val="center"/>
            <w:hideMark/>
          </w:tcPr>
          <w:p w14:paraId="0E64F8B8"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Arellano–Bond test for AR(2) in first differences</w:t>
            </w:r>
          </w:p>
        </w:tc>
        <w:tc>
          <w:tcPr>
            <w:tcW w:w="2962" w:type="dxa"/>
            <w:tcBorders>
              <w:top w:val="nil"/>
              <w:left w:val="nil"/>
              <w:bottom w:val="single" w:sz="4" w:space="0" w:color="auto"/>
              <w:right w:val="single" w:sz="4" w:space="0" w:color="auto"/>
            </w:tcBorders>
            <w:vAlign w:val="center"/>
            <w:hideMark/>
          </w:tcPr>
          <w:p w14:paraId="52A6716D"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0.81</w:t>
            </w:r>
          </w:p>
        </w:tc>
        <w:tc>
          <w:tcPr>
            <w:tcW w:w="2184" w:type="dxa"/>
            <w:tcBorders>
              <w:top w:val="nil"/>
              <w:left w:val="nil"/>
              <w:bottom w:val="single" w:sz="4" w:space="0" w:color="auto"/>
              <w:right w:val="single" w:sz="4" w:space="0" w:color="auto"/>
            </w:tcBorders>
            <w:vAlign w:val="center"/>
            <w:hideMark/>
          </w:tcPr>
          <w:p w14:paraId="565A407B"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0.418</w:t>
            </w:r>
          </w:p>
        </w:tc>
      </w:tr>
      <w:tr w:rsidR="001A22BA" w:rsidRPr="00CB089F" w14:paraId="5CFA45A3" w14:textId="77777777" w:rsidTr="000C2D6B">
        <w:trPr>
          <w:trHeight w:val="2012"/>
        </w:trPr>
        <w:tc>
          <w:tcPr>
            <w:tcW w:w="3817" w:type="dxa"/>
            <w:tcBorders>
              <w:top w:val="nil"/>
              <w:left w:val="single" w:sz="4" w:space="0" w:color="auto"/>
              <w:bottom w:val="single" w:sz="4" w:space="0" w:color="auto"/>
              <w:right w:val="single" w:sz="4" w:space="0" w:color="auto"/>
            </w:tcBorders>
            <w:vAlign w:val="center"/>
            <w:hideMark/>
          </w:tcPr>
          <w:p w14:paraId="4BB706E8"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Hansen test of over-identifying restrictions</w:t>
            </w:r>
          </w:p>
        </w:tc>
        <w:tc>
          <w:tcPr>
            <w:tcW w:w="2962" w:type="dxa"/>
            <w:tcBorders>
              <w:top w:val="nil"/>
              <w:left w:val="nil"/>
              <w:bottom w:val="single" w:sz="4" w:space="0" w:color="auto"/>
              <w:right w:val="single" w:sz="4" w:space="0" w:color="auto"/>
            </w:tcBorders>
            <w:vAlign w:val="center"/>
            <w:hideMark/>
          </w:tcPr>
          <w:p w14:paraId="4790D4BD"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35.27</w:t>
            </w:r>
          </w:p>
        </w:tc>
        <w:tc>
          <w:tcPr>
            <w:tcW w:w="2184" w:type="dxa"/>
            <w:tcBorders>
              <w:top w:val="nil"/>
              <w:left w:val="nil"/>
              <w:bottom w:val="single" w:sz="4" w:space="0" w:color="auto"/>
              <w:right w:val="single" w:sz="4" w:space="0" w:color="auto"/>
            </w:tcBorders>
            <w:vAlign w:val="center"/>
            <w:hideMark/>
          </w:tcPr>
          <w:p w14:paraId="1A3E2410"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0.229</w:t>
            </w:r>
          </w:p>
        </w:tc>
      </w:tr>
      <w:tr w:rsidR="001A22BA" w:rsidRPr="00CB089F" w14:paraId="593D7909" w14:textId="77777777" w:rsidTr="000C2D6B">
        <w:trPr>
          <w:trHeight w:val="2300"/>
        </w:trPr>
        <w:tc>
          <w:tcPr>
            <w:tcW w:w="3817" w:type="dxa"/>
            <w:tcBorders>
              <w:top w:val="nil"/>
              <w:left w:val="single" w:sz="4" w:space="0" w:color="auto"/>
              <w:bottom w:val="single" w:sz="4" w:space="0" w:color="auto"/>
              <w:right w:val="single" w:sz="4" w:space="0" w:color="auto"/>
            </w:tcBorders>
            <w:vAlign w:val="center"/>
            <w:hideMark/>
          </w:tcPr>
          <w:p w14:paraId="084E7787" w14:textId="77777777" w:rsidR="001A22BA" w:rsidRPr="00CB089F" w:rsidRDefault="001A22BA" w:rsidP="00811D50">
            <w:pPr>
              <w:spacing w:after="0" w:line="240" w:lineRule="auto"/>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Difference-in-Hansen test (exogeneity of instrument subsets)</w:t>
            </w:r>
          </w:p>
        </w:tc>
        <w:tc>
          <w:tcPr>
            <w:tcW w:w="2962" w:type="dxa"/>
            <w:tcBorders>
              <w:top w:val="nil"/>
              <w:left w:val="nil"/>
              <w:bottom w:val="single" w:sz="4" w:space="0" w:color="auto"/>
              <w:right w:val="single" w:sz="4" w:space="0" w:color="auto"/>
            </w:tcBorders>
            <w:vAlign w:val="center"/>
            <w:hideMark/>
          </w:tcPr>
          <w:p w14:paraId="454C2C71" w14:textId="77777777" w:rsidR="001A22BA" w:rsidRPr="00CB089F" w:rsidRDefault="001A22BA" w:rsidP="00811D50">
            <w:pPr>
              <w:spacing w:after="0" w:line="240" w:lineRule="auto"/>
              <w:jc w:val="right"/>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14.63</w:t>
            </w:r>
          </w:p>
        </w:tc>
        <w:tc>
          <w:tcPr>
            <w:tcW w:w="2184" w:type="dxa"/>
            <w:tcBorders>
              <w:top w:val="nil"/>
              <w:left w:val="nil"/>
              <w:bottom w:val="single" w:sz="4" w:space="0" w:color="auto"/>
              <w:right w:val="single" w:sz="4" w:space="0" w:color="auto"/>
            </w:tcBorders>
            <w:vAlign w:val="center"/>
            <w:hideMark/>
          </w:tcPr>
          <w:p w14:paraId="1651BFF3" w14:textId="77777777" w:rsidR="001A22BA" w:rsidRPr="00CB089F" w:rsidRDefault="001A22BA" w:rsidP="00811D50">
            <w:pPr>
              <w:spacing w:after="0" w:line="240" w:lineRule="auto"/>
              <w:jc w:val="center"/>
              <w:rPr>
                <w:rFonts w:ascii="Times New Roman" w:eastAsia="Times New Roman" w:hAnsi="Times New Roman" w:cs="Times New Roman"/>
                <w:color w:val="000000"/>
                <w:kern w:val="0"/>
                <w14:ligatures w14:val="none"/>
              </w:rPr>
            </w:pPr>
            <w:r w:rsidRPr="00CB089F">
              <w:rPr>
                <w:rFonts w:ascii="Times New Roman" w:eastAsia="Times New Roman" w:hAnsi="Times New Roman" w:cs="Times New Roman"/>
                <w:color w:val="000000"/>
                <w:kern w:val="0"/>
                <w14:ligatures w14:val="none"/>
              </w:rPr>
              <w:t>0.317</w:t>
            </w:r>
          </w:p>
        </w:tc>
      </w:tr>
    </w:tbl>
    <w:p w14:paraId="26592B1C" w14:textId="1F731AC1" w:rsidR="001A22BA" w:rsidRPr="00CB089F" w:rsidRDefault="00776CBB" w:rsidP="00811D50">
      <w:pPr>
        <w:spacing w:line="240" w:lineRule="auto"/>
        <w:jc w:val="both"/>
        <w:rPr>
          <w:rFonts w:ascii="Times New Roman" w:hAnsi="Times New Roman" w:cs="Times New Roman"/>
        </w:rPr>
      </w:pPr>
      <w:r w:rsidRPr="00CB089F">
        <w:rPr>
          <w:rFonts w:ascii="Times New Roman" w:hAnsi="Times New Roman" w:cs="Times New Roman"/>
        </w:rPr>
        <w:t>Source: STATA output (2025)</w:t>
      </w:r>
    </w:p>
    <w:p w14:paraId="6A218DF4" w14:textId="4FA44C71" w:rsidR="001D572D" w:rsidRPr="00CB089F" w:rsidRDefault="001D572D" w:rsidP="00811D50">
      <w:pPr>
        <w:spacing w:line="240" w:lineRule="auto"/>
        <w:jc w:val="both"/>
        <w:rPr>
          <w:rFonts w:ascii="Times New Roman" w:hAnsi="Times New Roman" w:cs="Times New Roman"/>
        </w:rPr>
      </w:pPr>
      <w:r w:rsidRPr="001D572D">
        <w:rPr>
          <w:rFonts w:ascii="Times New Roman" w:hAnsi="Times New Roman" w:cs="Times New Roman"/>
        </w:rPr>
        <w:t>The Arellano–Bond AR(1) test (p &lt; .01) shows that there is predicted first-order serial correlation, while the AR(2) test (p = .418) shows that there is no second-order serial correlation, which verifies the model's dynamic specification. The Hansen (p = .229) and Difference-in-Hansen (p = .317) tests do not reject the null hypothesis, indicating that the instruments are valid and uncorrelated with the error term. The notable Wald χ² statistic (p &lt; .001) further substantiates that the explanatory variables collectively elucidate differences in poverty.</w:t>
      </w:r>
    </w:p>
    <w:p w14:paraId="7210291E" w14:textId="47794C8F" w:rsidR="008D5BDD" w:rsidRPr="00FE3661" w:rsidRDefault="00FE3661" w:rsidP="00811D50">
      <w:pPr>
        <w:spacing w:line="240" w:lineRule="auto"/>
        <w:rPr>
          <w:rFonts w:ascii="Times New Roman" w:hAnsi="Times New Roman" w:cs="Times New Roman"/>
          <w:b/>
          <w:bCs/>
          <w:lang w:val="en-GB"/>
        </w:rPr>
      </w:pPr>
      <w:r w:rsidRPr="00FE3661">
        <w:rPr>
          <w:rFonts w:ascii="Times New Roman" w:hAnsi="Times New Roman" w:cs="Times New Roman"/>
          <w:b/>
          <w:bCs/>
          <w:lang w:val="en-GB"/>
        </w:rPr>
        <w:t xml:space="preserve"> CONCLUSION</w:t>
      </w:r>
    </w:p>
    <w:p w14:paraId="64E4D1EC" w14:textId="77777777" w:rsidR="00B703D5" w:rsidRPr="00B703D5" w:rsidRDefault="00B703D5" w:rsidP="00811D50">
      <w:pPr>
        <w:spacing w:line="240" w:lineRule="auto"/>
        <w:jc w:val="both"/>
        <w:rPr>
          <w:rFonts w:ascii="Times New Roman" w:hAnsi="Times New Roman" w:cs="Times New Roman"/>
        </w:rPr>
      </w:pPr>
      <w:r w:rsidRPr="00B703D5">
        <w:rPr>
          <w:rFonts w:ascii="Times New Roman" w:hAnsi="Times New Roman" w:cs="Times New Roman"/>
        </w:rPr>
        <w:t xml:space="preserve">The study concludes that ODA, when targeted and coordinated, can improve living conditions within the ECOWAS community. The heterogeneous nature of the ECOWAS countries strongly influences the effects of ODA within the community. In high-governance countries such as Ghana and Senegal, aid focusing on the education and health sectors has resulted in marked improvements in welfare. The case of Sierra Leone and Guinea-Bissau illustrates how aid within fragile countries may be compromised by the absence of accountability and poorly coordinated donor initiatives. The case of Nigeria, as the largest ODA recipient in the region, illustrates how aid inflows can be associated with poverty when governance gaps and misalignment of priorities on the sectoral level </w:t>
      </w:r>
      <w:r w:rsidRPr="00B703D5">
        <w:rPr>
          <w:rFonts w:ascii="Times New Roman" w:hAnsi="Times New Roman" w:cs="Times New Roman"/>
        </w:rPr>
        <w:lastRenderedPageBreak/>
        <w:t>take place. The situation demonstrates that a generic approach to aid will not work and that coherent institutional frameworks with targeted improvements to project design are critical to achieve economically and socially sustainable outcomes in poverty in the region.</w:t>
      </w:r>
    </w:p>
    <w:p w14:paraId="69923B65" w14:textId="77777777" w:rsidR="00B703D5" w:rsidRPr="00B703D5" w:rsidRDefault="00B703D5" w:rsidP="00811D50">
      <w:pPr>
        <w:spacing w:line="240" w:lineRule="auto"/>
        <w:jc w:val="both"/>
        <w:rPr>
          <w:rFonts w:ascii="Times New Roman" w:hAnsi="Times New Roman" w:cs="Times New Roman"/>
        </w:rPr>
      </w:pPr>
      <w:r w:rsidRPr="00B703D5">
        <w:rPr>
          <w:rFonts w:ascii="Times New Roman" w:hAnsi="Times New Roman" w:cs="Times New Roman"/>
        </w:rPr>
        <w:t>Climate change and the COVID-19 pandemic pose new challenges to the relationship between aid and poverty. Although a greater proportion of ODA is allocated to emergencies in climate adaptation and health, aid diversion from the productive and social sectors to address short-term needs will have a negative effect on poverty alleviation in the immediate future. ECOWAS countries should consider the climate-related growth, inclusive economic recovery, and institutional consolidation.</w:t>
      </w:r>
    </w:p>
    <w:p w14:paraId="29FD8456" w14:textId="4D2988D8" w:rsidR="00B703D5" w:rsidRDefault="00B703D5" w:rsidP="00811D50">
      <w:pPr>
        <w:spacing w:line="240" w:lineRule="auto"/>
        <w:jc w:val="both"/>
        <w:rPr>
          <w:rFonts w:ascii="Times New Roman" w:hAnsi="Times New Roman" w:cs="Times New Roman"/>
        </w:rPr>
      </w:pPr>
      <w:r w:rsidRPr="00B703D5">
        <w:rPr>
          <w:rFonts w:ascii="Times New Roman" w:hAnsi="Times New Roman" w:cs="Times New Roman"/>
        </w:rPr>
        <w:t>As a final point, the research conducted here articulates the reality that ODA will not solve the poverty issue in West Africa. It will only work alongside a well-defined domestic policy, effective governance, and the incorporation of aid into national development plans. In light of this, they recommend that ECOWAS states disburse Official Development Assistance (ODA) to the priority sectors of education, health, and agriculture and infrastructure development within an accountable and effective governance framework. Alignment of aid with development frameworks will enhance aid effectiveness and curb aid misuse. With effective aid management, ECOWAS will be able to shift from aid dependence towards inclusive and sustainable poverty alleviation.</w:t>
      </w:r>
    </w:p>
    <w:p w14:paraId="459E6562" w14:textId="77777777" w:rsidR="00B30CAE" w:rsidRDefault="00B30CAE" w:rsidP="00B30CAE">
      <w:pPr>
        <w:spacing w:line="240" w:lineRule="auto"/>
        <w:jc w:val="both"/>
        <w:rPr>
          <w:rFonts w:ascii="Times New Roman" w:hAnsi="Times New Roman" w:cs="Times New Roman"/>
        </w:rPr>
      </w:pPr>
    </w:p>
    <w:p w14:paraId="0C35A923" w14:textId="391A6B97" w:rsidR="00B30CAE" w:rsidRPr="00B30CAE" w:rsidRDefault="00B30CAE" w:rsidP="00B30CAE">
      <w:pPr>
        <w:spacing w:line="240" w:lineRule="auto"/>
        <w:jc w:val="both"/>
        <w:rPr>
          <w:rFonts w:ascii="Times New Roman" w:hAnsi="Times New Roman" w:cs="Times New Roman"/>
          <w:b/>
        </w:rPr>
      </w:pPr>
      <w:r w:rsidRPr="00B30CAE">
        <w:rPr>
          <w:rFonts w:ascii="Times New Roman" w:hAnsi="Times New Roman" w:cs="Times New Roman"/>
          <w:b/>
        </w:rPr>
        <w:t>Disclaimer (Artificial intelligence)</w:t>
      </w:r>
    </w:p>
    <w:p w14:paraId="01A64E0E" w14:textId="77777777" w:rsidR="00B30CAE" w:rsidRPr="00B30CAE" w:rsidRDefault="00B30CAE" w:rsidP="00B30CAE">
      <w:pPr>
        <w:spacing w:line="240" w:lineRule="auto"/>
        <w:jc w:val="both"/>
        <w:rPr>
          <w:rFonts w:ascii="Times New Roman" w:hAnsi="Times New Roman" w:cs="Times New Roman"/>
        </w:rPr>
      </w:pPr>
      <w:r w:rsidRPr="00B30CAE">
        <w:rPr>
          <w:rFonts w:ascii="Times New Roman" w:hAnsi="Times New Roman" w:cs="Times New Roman"/>
        </w:rPr>
        <w:t xml:space="preserve">Option 1: </w:t>
      </w:r>
    </w:p>
    <w:p w14:paraId="640D1440" w14:textId="77777777" w:rsidR="00B30CAE" w:rsidRPr="00B30CAE" w:rsidRDefault="00B30CAE" w:rsidP="00B30CAE">
      <w:pPr>
        <w:spacing w:line="240" w:lineRule="auto"/>
        <w:jc w:val="both"/>
        <w:rPr>
          <w:rFonts w:ascii="Times New Roman" w:hAnsi="Times New Roman" w:cs="Times New Roman"/>
        </w:rPr>
      </w:pPr>
      <w:r w:rsidRPr="00B30CAE">
        <w:rPr>
          <w:rFonts w:ascii="Times New Roman" w:hAnsi="Times New Roman" w:cs="Times New Roman"/>
        </w:rPr>
        <w:t>Author(s) hereby declare that NO generative AI technologies such as Large Language Models (</w:t>
      </w:r>
      <w:proofErr w:type="spellStart"/>
      <w:r w:rsidRPr="00B30CAE">
        <w:rPr>
          <w:rFonts w:ascii="Times New Roman" w:hAnsi="Times New Roman" w:cs="Times New Roman"/>
        </w:rPr>
        <w:t>ChatGPT</w:t>
      </w:r>
      <w:proofErr w:type="spellEnd"/>
      <w:r w:rsidRPr="00B30CAE">
        <w:rPr>
          <w:rFonts w:ascii="Times New Roman" w:hAnsi="Times New Roman" w:cs="Times New Roman"/>
        </w:rPr>
        <w:t xml:space="preserve">, COPILOT, etc.) and text-to-image generators have been used during the writing or editing of this manuscript. </w:t>
      </w:r>
    </w:p>
    <w:p w14:paraId="64CEB8AF" w14:textId="77777777" w:rsidR="00B30CAE" w:rsidRPr="00B30CAE" w:rsidRDefault="00B30CAE" w:rsidP="00B30CAE">
      <w:pPr>
        <w:spacing w:line="240" w:lineRule="auto"/>
        <w:jc w:val="both"/>
        <w:rPr>
          <w:rFonts w:ascii="Times New Roman" w:hAnsi="Times New Roman" w:cs="Times New Roman"/>
        </w:rPr>
      </w:pPr>
      <w:r w:rsidRPr="00B30CAE">
        <w:rPr>
          <w:rFonts w:ascii="Times New Roman" w:hAnsi="Times New Roman" w:cs="Times New Roman"/>
        </w:rPr>
        <w:t xml:space="preserve">Option 2: </w:t>
      </w:r>
    </w:p>
    <w:p w14:paraId="69900A48" w14:textId="77777777" w:rsidR="00B30CAE" w:rsidRPr="00B30CAE" w:rsidRDefault="00B30CAE" w:rsidP="00B30CAE">
      <w:pPr>
        <w:spacing w:line="240" w:lineRule="auto"/>
        <w:jc w:val="both"/>
        <w:rPr>
          <w:rFonts w:ascii="Times New Roman" w:hAnsi="Times New Roman" w:cs="Times New Roman"/>
        </w:rPr>
      </w:pPr>
      <w:r w:rsidRPr="00B30CAE">
        <w:rPr>
          <w:rFonts w:ascii="Times New Roman" w:hAnsi="Times New Roman"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5E75DE5" w14:textId="77777777" w:rsidR="00B30CAE" w:rsidRPr="00B30CAE" w:rsidRDefault="00B30CAE" w:rsidP="00B30CAE">
      <w:pPr>
        <w:spacing w:line="240" w:lineRule="auto"/>
        <w:jc w:val="both"/>
        <w:rPr>
          <w:rFonts w:ascii="Times New Roman" w:hAnsi="Times New Roman" w:cs="Times New Roman"/>
        </w:rPr>
      </w:pPr>
      <w:r w:rsidRPr="00B30CAE">
        <w:rPr>
          <w:rFonts w:ascii="Times New Roman" w:hAnsi="Times New Roman" w:cs="Times New Roman"/>
        </w:rPr>
        <w:t>Details of the AI usage are given below:</w:t>
      </w:r>
    </w:p>
    <w:p w14:paraId="280A100E" w14:textId="77777777" w:rsidR="00B30CAE" w:rsidRPr="00B30CAE" w:rsidRDefault="00B30CAE" w:rsidP="00B30CAE">
      <w:pPr>
        <w:spacing w:line="240" w:lineRule="auto"/>
        <w:jc w:val="both"/>
        <w:rPr>
          <w:rFonts w:ascii="Times New Roman" w:hAnsi="Times New Roman" w:cs="Times New Roman"/>
        </w:rPr>
      </w:pPr>
      <w:r w:rsidRPr="00B30CAE">
        <w:rPr>
          <w:rFonts w:ascii="Times New Roman" w:hAnsi="Times New Roman" w:cs="Times New Roman"/>
        </w:rPr>
        <w:t>1.</w:t>
      </w:r>
    </w:p>
    <w:p w14:paraId="2516B836" w14:textId="77777777" w:rsidR="00B30CAE" w:rsidRPr="00B30CAE" w:rsidRDefault="00B30CAE" w:rsidP="00B30CAE">
      <w:pPr>
        <w:spacing w:line="240" w:lineRule="auto"/>
        <w:jc w:val="both"/>
        <w:rPr>
          <w:rFonts w:ascii="Times New Roman" w:hAnsi="Times New Roman" w:cs="Times New Roman"/>
        </w:rPr>
      </w:pPr>
      <w:r w:rsidRPr="00B30CAE">
        <w:rPr>
          <w:rFonts w:ascii="Times New Roman" w:hAnsi="Times New Roman" w:cs="Times New Roman"/>
        </w:rPr>
        <w:t>2.</w:t>
      </w:r>
    </w:p>
    <w:p w14:paraId="4D73AEFE" w14:textId="73A5C243" w:rsidR="00B30CAE" w:rsidRPr="00B703D5" w:rsidRDefault="00B30CAE" w:rsidP="00B30CAE">
      <w:pPr>
        <w:spacing w:line="240" w:lineRule="auto"/>
        <w:jc w:val="both"/>
        <w:rPr>
          <w:rFonts w:ascii="Times New Roman" w:hAnsi="Times New Roman" w:cs="Times New Roman"/>
        </w:rPr>
      </w:pPr>
      <w:r w:rsidRPr="00B30CAE">
        <w:rPr>
          <w:rFonts w:ascii="Times New Roman" w:hAnsi="Times New Roman" w:cs="Times New Roman"/>
        </w:rPr>
        <w:t>3.</w:t>
      </w:r>
    </w:p>
    <w:p w14:paraId="449E521C" w14:textId="77777777" w:rsidR="002177F5" w:rsidRDefault="002177F5" w:rsidP="00811D50">
      <w:pPr>
        <w:spacing w:line="240" w:lineRule="auto"/>
        <w:ind w:left="567" w:hanging="1134"/>
        <w:jc w:val="both"/>
        <w:rPr>
          <w:rFonts w:ascii="Times New Roman" w:hAnsi="Times New Roman" w:cs="Times New Roman"/>
        </w:rPr>
      </w:pPr>
    </w:p>
    <w:p w14:paraId="5E108649" w14:textId="77777777" w:rsidR="00A7124B" w:rsidRPr="00A7124B" w:rsidRDefault="00A7124B" w:rsidP="00A7124B">
      <w:pPr>
        <w:spacing w:line="240" w:lineRule="auto"/>
        <w:ind w:left="567" w:hanging="1134"/>
        <w:jc w:val="both"/>
        <w:rPr>
          <w:rFonts w:ascii="Times New Roman" w:hAnsi="Times New Roman" w:cs="Times New Roman"/>
        </w:rPr>
      </w:pPr>
      <w:r w:rsidRPr="00A7124B">
        <w:rPr>
          <w:rFonts w:ascii="Times New Roman" w:hAnsi="Times New Roman" w:cs="Times New Roman"/>
        </w:rPr>
        <w:t>ACKNOWLEDGEMENT</w:t>
      </w:r>
    </w:p>
    <w:p w14:paraId="3AFC98F4" w14:textId="77777777" w:rsidR="00A7124B" w:rsidRPr="00A7124B" w:rsidRDefault="00A7124B" w:rsidP="00A7124B">
      <w:pPr>
        <w:spacing w:line="240" w:lineRule="auto"/>
        <w:ind w:left="567" w:hanging="1134"/>
        <w:jc w:val="both"/>
        <w:rPr>
          <w:rFonts w:ascii="Times New Roman" w:hAnsi="Times New Roman" w:cs="Times New Roman"/>
        </w:rPr>
      </w:pPr>
      <w:r w:rsidRPr="00A7124B">
        <w:rPr>
          <w:rFonts w:ascii="Times New Roman" w:hAnsi="Times New Roman" w:cs="Times New Roman"/>
        </w:rPr>
        <w:t xml:space="preserve">The authors sincerely appreciate the insightful feedback and thorough critiques provided by </w:t>
      </w:r>
      <w:proofErr w:type="gramStart"/>
      <w:r w:rsidRPr="00A7124B">
        <w:rPr>
          <w:rFonts w:ascii="Times New Roman" w:hAnsi="Times New Roman" w:cs="Times New Roman"/>
        </w:rPr>
        <w:t>the  anonymous</w:t>
      </w:r>
      <w:proofErr w:type="gramEnd"/>
      <w:r w:rsidRPr="00A7124B">
        <w:rPr>
          <w:rFonts w:ascii="Times New Roman" w:hAnsi="Times New Roman" w:cs="Times New Roman"/>
        </w:rPr>
        <w:t xml:space="preserve"> reviewers. Their detailed comments and constructive suggestions have significantly strengthened the academic rigor, coherence, and overall clarity of this manuscript.</w:t>
      </w:r>
    </w:p>
    <w:p w14:paraId="07849AD7" w14:textId="77777777" w:rsidR="00A7124B" w:rsidRPr="00A7124B" w:rsidRDefault="00A7124B" w:rsidP="00A7124B">
      <w:pPr>
        <w:spacing w:line="240" w:lineRule="auto"/>
        <w:ind w:left="567" w:hanging="1134"/>
        <w:jc w:val="both"/>
        <w:rPr>
          <w:rFonts w:ascii="Times New Roman" w:hAnsi="Times New Roman" w:cs="Times New Roman"/>
        </w:rPr>
      </w:pPr>
      <w:r w:rsidRPr="00A7124B">
        <w:rPr>
          <w:rFonts w:ascii="Times New Roman" w:hAnsi="Times New Roman" w:cs="Times New Roman"/>
        </w:rPr>
        <w:lastRenderedPageBreak/>
        <w:t>COMPETING INTERESTS</w:t>
      </w:r>
    </w:p>
    <w:p w14:paraId="4FBDE656" w14:textId="0534E78D" w:rsidR="00B703D5" w:rsidRDefault="00A7124B" w:rsidP="00A7124B">
      <w:pPr>
        <w:spacing w:line="240" w:lineRule="auto"/>
        <w:ind w:left="567" w:hanging="1134"/>
        <w:jc w:val="both"/>
        <w:rPr>
          <w:rFonts w:ascii="Times New Roman" w:hAnsi="Times New Roman" w:cs="Times New Roman"/>
        </w:rPr>
      </w:pPr>
      <w:r w:rsidRPr="00A7124B">
        <w:rPr>
          <w:rFonts w:ascii="Times New Roman" w:hAnsi="Times New Roman" w:cs="Times New Roman"/>
        </w:rPr>
        <w:t>The authors declare that they have no competing interests.</w:t>
      </w:r>
    </w:p>
    <w:p w14:paraId="6BA1E5A8" w14:textId="77777777" w:rsidR="00B703D5" w:rsidRDefault="00B703D5" w:rsidP="00FE3661">
      <w:pPr>
        <w:spacing w:line="240" w:lineRule="auto"/>
        <w:jc w:val="both"/>
        <w:rPr>
          <w:rFonts w:ascii="Times New Roman" w:hAnsi="Times New Roman" w:cs="Times New Roman"/>
        </w:rPr>
      </w:pPr>
    </w:p>
    <w:p w14:paraId="2E707587" w14:textId="6D92A1C4" w:rsidR="00B703D5" w:rsidRPr="002177F5" w:rsidRDefault="00FE3661" w:rsidP="00811D50">
      <w:pPr>
        <w:spacing w:line="240" w:lineRule="auto"/>
        <w:ind w:left="567" w:hanging="1134"/>
        <w:jc w:val="both"/>
        <w:rPr>
          <w:rFonts w:ascii="Times New Roman" w:hAnsi="Times New Roman" w:cs="Times New Roman"/>
        </w:rPr>
      </w:pPr>
      <w:r w:rsidRPr="00FE3661">
        <w:rPr>
          <w:rFonts w:ascii="Times New Roman" w:hAnsi="Times New Roman" w:cs="Times New Roman"/>
          <w:b/>
          <w:bCs/>
        </w:rPr>
        <w:t>REFERENCES</w:t>
      </w:r>
      <w:r>
        <w:rPr>
          <w:rFonts w:ascii="Times New Roman" w:hAnsi="Times New Roman" w:cs="Times New Roman"/>
        </w:rPr>
        <w:t xml:space="preserve"> </w:t>
      </w:r>
    </w:p>
    <w:p w14:paraId="27FBF974" w14:textId="3127C26A" w:rsidR="0004424A" w:rsidRPr="002177F5" w:rsidRDefault="002177F5" w:rsidP="00811D50">
      <w:pPr>
        <w:spacing w:line="240" w:lineRule="auto"/>
        <w:ind w:left="567" w:hanging="1134"/>
        <w:jc w:val="both"/>
        <w:rPr>
          <w:rFonts w:ascii="Times New Roman" w:hAnsi="Times New Roman" w:cs="Times New Roman"/>
        </w:rPr>
      </w:pPr>
      <w:r w:rsidRPr="002177F5">
        <w:rPr>
          <w:rFonts w:ascii="Times New Roman" w:hAnsi="Times New Roman" w:cs="Times New Roman"/>
        </w:rPr>
        <w:t>Abbas</w:t>
      </w:r>
      <w:r w:rsidR="0004424A" w:rsidRPr="005A228E">
        <w:rPr>
          <w:rFonts w:ascii="Times New Roman" w:hAnsi="Times New Roman" w:cs="Times New Roman"/>
        </w:rPr>
        <w:t xml:space="preserve">, A., Lu, F., Yaseen, M., &amp; Ameen, M. (2024). Exploring the impact of foreign aid, agricultural production, and corporate social responsibility on poverty reduction in Pakistan. </w:t>
      </w:r>
      <w:r w:rsidR="0004424A" w:rsidRPr="005A228E">
        <w:rPr>
          <w:rFonts w:ascii="Times New Roman" w:hAnsi="Times New Roman" w:cs="Times New Roman"/>
          <w:i/>
          <w:iCs/>
        </w:rPr>
        <w:t>World</w:t>
      </w:r>
      <w:r w:rsidR="0004424A" w:rsidRPr="005A228E">
        <w:rPr>
          <w:rFonts w:ascii="Times New Roman" w:hAnsi="Times New Roman" w:cs="Times New Roman"/>
        </w:rPr>
        <w:t xml:space="preserve">, </w:t>
      </w:r>
      <w:r w:rsidR="0004424A" w:rsidRPr="005A228E">
        <w:rPr>
          <w:rFonts w:ascii="Times New Roman" w:hAnsi="Times New Roman" w:cs="Times New Roman"/>
          <w:i/>
          <w:iCs/>
        </w:rPr>
        <w:t>5</w:t>
      </w:r>
      <w:r w:rsidR="0004424A" w:rsidRPr="005A228E">
        <w:rPr>
          <w:rFonts w:ascii="Times New Roman" w:hAnsi="Times New Roman" w:cs="Times New Roman"/>
        </w:rPr>
        <w:t>(3), 570-587.</w:t>
      </w:r>
    </w:p>
    <w:p w14:paraId="089D9E8D"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Abduvaliev, M., &amp; Bustillo, R. (2020). Patterns of Official Development Assistance in Tajikistan: effects on growth and poverty reduction. </w:t>
      </w:r>
      <w:r w:rsidRPr="005A228E">
        <w:rPr>
          <w:rFonts w:ascii="Times New Roman" w:hAnsi="Times New Roman" w:cs="Times New Roman"/>
          <w:i/>
          <w:iCs/>
        </w:rPr>
        <w:t>Revista Brasileira de Política Internacional</w:t>
      </w:r>
      <w:r w:rsidRPr="005A228E">
        <w:rPr>
          <w:rFonts w:ascii="Times New Roman" w:hAnsi="Times New Roman" w:cs="Times New Roman"/>
        </w:rPr>
        <w:t xml:space="preserve">, </w:t>
      </w:r>
      <w:r w:rsidRPr="005A228E">
        <w:rPr>
          <w:rFonts w:ascii="Times New Roman" w:hAnsi="Times New Roman" w:cs="Times New Roman"/>
          <w:i/>
          <w:iCs/>
        </w:rPr>
        <w:t>63</w:t>
      </w:r>
      <w:r w:rsidRPr="005A228E">
        <w:rPr>
          <w:rFonts w:ascii="Times New Roman" w:hAnsi="Times New Roman" w:cs="Times New Roman"/>
        </w:rPr>
        <w:t>(2), e006.</w:t>
      </w:r>
    </w:p>
    <w:p w14:paraId="21D83EAC"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Amponsah, E. (2024). </w:t>
      </w:r>
      <w:r w:rsidRPr="005A228E">
        <w:rPr>
          <w:rFonts w:ascii="Times New Roman" w:hAnsi="Times New Roman" w:cs="Times New Roman"/>
          <w:i/>
          <w:iCs/>
        </w:rPr>
        <w:t>Foreign Aid Agricultural Sector Development and Poverty Reduction in Sub-Saharan Africa</w:t>
      </w:r>
      <w:r w:rsidRPr="005A228E">
        <w:rPr>
          <w:rFonts w:ascii="Times New Roman" w:hAnsi="Times New Roman" w:cs="Times New Roman"/>
        </w:rPr>
        <w:t xml:space="preserve"> (Doctoral dissertation, University of Cape Coast).</w:t>
      </w:r>
    </w:p>
    <w:p w14:paraId="7FE90FD7"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Anetor, F. O., Esho, E., &amp; Verhoef, G. (2020). The impact of foreign direct investment, foreign aid and trade on poverty reduction: Evidence from Sub-Saharan African countries. </w:t>
      </w:r>
      <w:r w:rsidRPr="005A228E">
        <w:rPr>
          <w:rFonts w:ascii="Times New Roman" w:hAnsi="Times New Roman" w:cs="Times New Roman"/>
          <w:i/>
          <w:iCs/>
        </w:rPr>
        <w:t>Cogent Economics &amp; Finance</w:t>
      </w:r>
      <w:r w:rsidRPr="005A228E">
        <w:rPr>
          <w:rFonts w:ascii="Times New Roman" w:hAnsi="Times New Roman" w:cs="Times New Roman"/>
        </w:rPr>
        <w:t xml:space="preserve">, </w:t>
      </w:r>
      <w:r w:rsidRPr="005A228E">
        <w:rPr>
          <w:rFonts w:ascii="Times New Roman" w:hAnsi="Times New Roman" w:cs="Times New Roman"/>
          <w:i/>
          <w:iCs/>
        </w:rPr>
        <w:t>8</w:t>
      </w:r>
      <w:r w:rsidRPr="005A228E">
        <w:rPr>
          <w:rFonts w:ascii="Times New Roman" w:hAnsi="Times New Roman" w:cs="Times New Roman"/>
        </w:rPr>
        <w:t>(1), 1737347.</w:t>
      </w:r>
    </w:p>
    <w:p w14:paraId="2B11B6A0"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Anetor, F. O., Esho, E., &amp; Verhoef, G. (2020). The impact of foreign direct investment, foreign aid and trade on poverty reduction: Evidence from Sub-Saharan African countries. </w:t>
      </w:r>
      <w:r w:rsidRPr="005A228E">
        <w:rPr>
          <w:rFonts w:ascii="Times New Roman" w:hAnsi="Times New Roman" w:cs="Times New Roman"/>
          <w:i/>
          <w:iCs/>
        </w:rPr>
        <w:t>Cogent Economics &amp; Finance</w:t>
      </w:r>
      <w:r w:rsidRPr="005A228E">
        <w:rPr>
          <w:rFonts w:ascii="Times New Roman" w:hAnsi="Times New Roman" w:cs="Times New Roman"/>
        </w:rPr>
        <w:t xml:space="preserve">, </w:t>
      </w:r>
      <w:r w:rsidRPr="005A228E">
        <w:rPr>
          <w:rFonts w:ascii="Times New Roman" w:hAnsi="Times New Roman" w:cs="Times New Roman"/>
          <w:i/>
          <w:iCs/>
        </w:rPr>
        <w:t>8</w:t>
      </w:r>
      <w:r w:rsidRPr="005A228E">
        <w:rPr>
          <w:rFonts w:ascii="Times New Roman" w:hAnsi="Times New Roman" w:cs="Times New Roman"/>
        </w:rPr>
        <w:t>(1), 1737347.</w:t>
      </w:r>
    </w:p>
    <w:p w14:paraId="6197D3FE"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Anetor, F. O., Esho, E., &amp; Verhoef, G. (2020). The impact of foreign direct investment, foreign aid and trade on poverty reduction: Evidence from Sub-Saharan African countries. </w:t>
      </w:r>
      <w:r w:rsidRPr="005A228E">
        <w:rPr>
          <w:rFonts w:ascii="Times New Roman" w:hAnsi="Times New Roman" w:cs="Times New Roman"/>
          <w:i/>
          <w:iCs/>
        </w:rPr>
        <w:t>Cogent Economics &amp; Finance</w:t>
      </w:r>
      <w:r w:rsidRPr="005A228E">
        <w:rPr>
          <w:rFonts w:ascii="Times New Roman" w:hAnsi="Times New Roman" w:cs="Times New Roman"/>
        </w:rPr>
        <w:t xml:space="preserve">, </w:t>
      </w:r>
      <w:r w:rsidRPr="005A228E">
        <w:rPr>
          <w:rFonts w:ascii="Times New Roman" w:hAnsi="Times New Roman" w:cs="Times New Roman"/>
          <w:i/>
          <w:iCs/>
        </w:rPr>
        <w:t>8</w:t>
      </w:r>
      <w:r w:rsidRPr="005A228E">
        <w:rPr>
          <w:rFonts w:ascii="Times New Roman" w:hAnsi="Times New Roman" w:cs="Times New Roman"/>
        </w:rPr>
        <w:t>(1), 1737347.</w:t>
      </w:r>
    </w:p>
    <w:p w14:paraId="18AC9623"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Awan, A., Shahid, S., Rahman, S. U., &amp; Baig, M. A. (2023). Analysing the impact of macroeconomics variables on poverty in pakistan: A fresh insight using ardl to cointegration analysis. </w:t>
      </w:r>
      <w:r w:rsidRPr="005A228E">
        <w:rPr>
          <w:rFonts w:ascii="Times New Roman" w:hAnsi="Times New Roman" w:cs="Times New Roman"/>
          <w:i/>
          <w:iCs/>
        </w:rPr>
        <w:t>IUB Journal of Social Sciences</w:t>
      </w:r>
      <w:r w:rsidRPr="005A228E">
        <w:rPr>
          <w:rFonts w:ascii="Times New Roman" w:hAnsi="Times New Roman" w:cs="Times New Roman"/>
        </w:rPr>
        <w:t xml:space="preserve">, </w:t>
      </w:r>
      <w:r w:rsidRPr="005A228E">
        <w:rPr>
          <w:rFonts w:ascii="Times New Roman" w:hAnsi="Times New Roman" w:cs="Times New Roman"/>
          <w:i/>
          <w:iCs/>
        </w:rPr>
        <w:t>5</w:t>
      </w:r>
      <w:r w:rsidRPr="005A228E">
        <w:rPr>
          <w:rFonts w:ascii="Times New Roman" w:hAnsi="Times New Roman" w:cs="Times New Roman"/>
        </w:rPr>
        <w:t>(2), 318-333.</w:t>
      </w:r>
    </w:p>
    <w:p w14:paraId="30086E8B"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Ayomitunde, A. T., Ololade, Y. M., Moses, S. G., &amp; Babatunde, A. I. (2020). Official Development Assistance and Poverty Alleviation in Nigeria: An Error Correction Model Approach. </w:t>
      </w:r>
      <w:r w:rsidRPr="005A228E">
        <w:rPr>
          <w:rFonts w:ascii="Times New Roman" w:hAnsi="Times New Roman" w:cs="Times New Roman"/>
          <w:i/>
          <w:iCs/>
        </w:rPr>
        <w:t>Indian Journal of Commerce and Management Studies</w:t>
      </w:r>
      <w:r w:rsidRPr="005A228E">
        <w:rPr>
          <w:rFonts w:ascii="Times New Roman" w:hAnsi="Times New Roman" w:cs="Times New Roman"/>
        </w:rPr>
        <w:t xml:space="preserve">, </w:t>
      </w:r>
      <w:r w:rsidRPr="005A228E">
        <w:rPr>
          <w:rFonts w:ascii="Times New Roman" w:hAnsi="Times New Roman" w:cs="Times New Roman"/>
          <w:i/>
          <w:iCs/>
        </w:rPr>
        <w:t>11</w:t>
      </w:r>
      <w:r w:rsidRPr="005A228E">
        <w:rPr>
          <w:rFonts w:ascii="Times New Roman" w:hAnsi="Times New Roman" w:cs="Times New Roman"/>
        </w:rPr>
        <w:t>(1), 01-11.</w:t>
      </w:r>
    </w:p>
    <w:p w14:paraId="4E859C51" w14:textId="3985E655"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Balbaa, M. E. (2024). </w:t>
      </w:r>
      <w:r w:rsidR="00FC1FDB" w:rsidRPr="005A228E">
        <w:rPr>
          <w:rFonts w:ascii="Times New Roman" w:hAnsi="Times New Roman" w:cs="Times New Roman"/>
        </w:rPr>
        <w:t xml:space="preserve">Macroeconomic stability and social dynamics: analyzing inflation, unemployment, and their impact on cohesion, poverty, and inequality in uzbekistan. </w:t>
      </w:r>
      <w:r w:rsidRPr="005A228E">
        <w:rPr>
          <w:rFonts w:ascii="Times New Roman" w:hAnsi="Times New Roman" w:cs="Times New Roman"/>
          <w:i/>
          <w:iCs/>
        </w:rPr>
        <w:t>Journal of science-innovative research in Uzbekistan</w:t>
      </w:r>
      <w:r w:rsidRPr="005A228E">
        <w:rPr>
          <w:rFonts w:ascii="Times New Roman" w:hAnsi="Times New Roman" w:cs="Times New Roman"/>
        </w:rPr>
        <w:t xml:space="preserve">, </w:t>
      </w:r>
      <w:r w:rsidRPr="005A228E">
        <w:rPr>
          <w:rFonts w:ascii="Times New Roman" w:hAnsi="Times New Roman" w:cs="Times New Roman"/>
          <w:i/>
          <w:iCs/>
        </w:rPr>
        <w:t>2</w:t>
      </w:r>
      <w:r w:rsidRPr="005A228E">
        <w:rPr>
          <w:rFonts w:ascii="Times New Roman" w:hAnsi="Times New Roman" w:cs="Times New Roman"/>
        </w:rPr>
        <w:t>(12), 162-174.</w:t>
      </w:r>
    </w:p>
    <w:p w14:paraId="76CAB6C0"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Bariledum, K. I. A., OYOMBIO, B. E., &amp; SOMIARI, D. (2025). Foreign Policy and Poverty Reduction: A Comparative Study of Ghana and Nigeria. </w:t>
      </w:r>
      <w:r w:rsidRPr="005A228E">
        <w:rPr>
          <w:rFonts w:ascii="Times New Roman" w:hAnsi="Times New Roman" w:cs="Times New Roman"/>
          <w:i/>
          <w:iCs/>
        </w:rPr>
        <w:t>Socialscientia: Journal of Social Sciences and Humanities</w:t>
      </w:r>
      <w:r w:rsidRPr="005A228E">
        <w:rPr>
          <w:rFonts w:ascii="Times New Roman" w:hAnsi="Times New Roman" w:cs="Times New Roman"/>
        </w:rPr>
        <w:t xml:space="preserve">, </w:t>
      </w:r>
      <w:r w:rsidRPr="005A228E">
        <w:rPr>
          <w:rFonts w:ascii="Times New Roman" w:hAnsi="Times New Roman" w:cs="Times New Roman"/>
          <w:i/>
          <w:iCs/>
        </w:rPr>
        <w:t>10</w:t>
      </w:r>
      <w:r w:rsidRPr="005A228E">
        <w:rPr>
          <w:rFonts w:ascii="Times New Roman" w:hAnsi="Times New Roman" w:cs="Times New Roman"/>
        </w:rPr>
        <w:t>(1).</w:t>
      </w:r>
    </w:p>
    <w:p w14:paraId="59D1D018"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Couton, U., &amp; Yuan, T. (2020). Do political instiutions affact the impact of Official Development Assistance success on poverty reduction?.</w:t>
      </w:r>
    </w:p>
    <w:p w14:paraId="61291BBB"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Falana, B. J. (2024). The Impact of Foreign Aid on Economic Growth and Poverty Alleviation in Nigeria. </w:t>
      </w:r>
      <w:r w:rsidRPr="005A228E">
        <w:rPr>
          <w:rFonts w:ascii="Times New Roman" w:hAnsi="Times New Roman" w:cs="Times New Roman"/>
          <w:i/>
          <w:iCs/>
        </w:rPr>
        <w:t>International Journal of Global Economic Light</w:t>
      </w:r>
      <w:r w:rsidRPr="005A228E">
        <w:rPr>
          <w:rFonts w:ascii="Times New Roman" w:hAnsi="Times New Roman" w:cs="Times New Roman"/>
        </w:rPr>
        <w:t xml:space="preserve">, </w:t>
      </w:r>
      <w:r w:rsidRPr="005A228E">
        <w:rPr>
          <w:rFonts w:ascii="Times New Roman" w:hAnsi="Times New Roman" w:cs="Times New Roman"/>
          <w:i/>
          <w:iCs/>
        </w:rPr>
        <w:t>10</w:t>
      </w:r>
      <w:r w:rsidRPr="005A228E">
        <w:rPr>
          <w:rFonts w:ascii="Times New Roman" w:hAnsi="Times New Roman" w:cs="Times New Roman"/>
        </w:rPr>
        <w:t>(11).</w:t>
      </w:r>
    </w:p>
    <w:p w14:paraId="0119CE2C" w14:textId="1EE60C34" w:rsidR="0004424A" w:rsidRPr="005A228E" w:rsidRDefault="00FC1FDB"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lastRenderedPageBreak/>
        <w:t xml:space="preserve">Freyer, e., lishchynsky, i., &amp; lyzun, m. (2024). </w:t>
      </w:r>
      <w:r w:rsidR="0004424A" w:rsidRPr="005A228E">
        <w:rPr>
          <w:rFonts w:ascii="Times New Roman" w:hAnsi="Times New Roman" w:cs="Times New Roman"/>
        </w:rPr>
        <w:t xml:space="preserve">The impact of international aid and foreign direct investment on economic growth in Ukraine. </w:t>
      </w:r>
      <w:r w:rsidR="0004424A" w:rsidRPr="005A228E">
        <w:rPr>
          <w:rFonts w:ascii="Times New Roman" w:hAnsi="Times New Roman" w:cs="Times New Roman"/>
          <w:i/>
          <w:iCs/>
        </w:rPr>
        <w:t>Journal of European Economy</w:t>
      </w:r>
      <w:r w:rsidR="0004424A" w:rsidRPr="005A228E">
        <w:rPr>
          <w:rFonts w:ascii="Times New Roman" w:hAnsi="Times New Roman" w:cs="Times New Roman"/>
        </w:rPr>
        <w:t xml:space="preserve">, </w:t>
      </w:r>
      <w:r w:rsidR="0004424A" w:rsidRPr="005A228E">
        <w:rPr>
          <w:rFonts w:ascii="Times New Roman" w:hAnsi="Times New Roman" w:cs="Times New Roman"/>
          <w:i/>
          <w:iCs/>
        </w:rPr>
        <w:t>23</w:t>
      </w:r>
      <w:r w:rsidR="0004424A" w:rsidRPr="005A228E">
        <w:rPr>
          <w:rFonts w:ascii="Times New Roman" w:hAnsi="Times New Roman" w:cs="Times New Roman"/>
        </w:rPr>
        <w:t>(3), 379-394.</w:t>
      </w:r>
    </w:p>
    <w:p w14:paraId="56071D6A"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Hamidu, N., Jelilov, G., Isik, A., &amp; Akyuz, M. (2020). The Effects of Foreign Aids on Infrastructural Development and Poverty Alleviation in The Developing Countries: A Case Study of Nigeria. </w:t>
      </w:r>
      <w:r w:rsidRPr="005A228E">
        <w:rPr>
          <w:rFonts w:ascii="Times New Roman" w:hAnsi="Times New Roman" w:cs="Times New Roman"/>
          <w:i/>
          <w:iCs/>
        </w:rPr>
        <w:t>The Journal of Middle East and North Africa ences</w:t>
      </w:r>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(9), 25-35.</w:t>
      </w:r>
    </w:p>
    <w:p w14:paraId="6A004486"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Hoxhaj, L., &amp; Qehaja, D. (2024). Foreign aid impact on the economic growth of the Western Balkans during 2009–2021. </w:t>
      </w:r>
      <w:r w:rsidRPr="005A228E">
        <w:rPr>
          <w:rFonts w:ascii="Times New Roman" w:hAnsi="Times New Roman" w:cs="Times New Roman"/>
          <w:i/>
          <w:iCs/>
        </w:rPr>
        <w:t>International Journal of Development Issues</w:t>
      </w:r>
      <w:r w:rsidRPr="005A228E">
        <w:rPr>
          <w:rFonts w:ascii="Times New Roman" w:hAnsi="Times New Roman" w:cs="Times New Roman"/>
        </w:rPr>
        <w:t xml:space="preserve">, </w:t>
      </w:r>
      <w:r w:rsidRPr="005A228E">
        <w:rPr>
          <w:rFonts w:ascii="Times New Roman" w:hAnsi="Times New Roman" w:cs="Times New Roman"/>
          <w:i/>
          <w:iCs/>
        </w:rPr>
        <w:t>23</w:t>
      </w:r>
      <w:r w:rsidRPr="005A228E">
        <w:rPr>
          <w:rFonts w:ascii="Times New Roman" w:hAnsi="Times New Roman" w:cs="Times New Roman"/>
        </w:rPr>
        <w:t>(3), 378-395.</w:t>
      </w:r>
    </w:p>
    <w:p w14:paraId="2751A5E4"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Jablonski, R. (2024). Voting for Foreign Aid: How donors affect political behavior in aid dependent democracies.</w:t>
      </w:r>
    </w:p>
    <w:p w14:paraId="0255F42C"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Jalil, S., Bibi, U., Shah, A., Ali, M., &amp; Ahmad, I. (2025). Impact of Foreign Aid on Economic Growth in South Asian Countries. </w:t>
      </w:r>
      <w:r w:rsidRPr="005A228E">
        <w:rPr>
          <w:rFonts w:ascii="Times New Roman" w:hAnsi="Times New Roman" w:cs="Times New Roman"/>
          <w:i/>
          <w:iCs/>
        </w:rPr>
        <w:t>ACADEMIA International Journal for Social Sciences</w:t>
      </w:r>
      <w:r w:rsidRPr="005A228E">
        <w:rPr>
          <w:rFonts w:ascii="Times New Roman" w:hAnsi="Times New Roman" w:cs="Times New Roman"/>
        </w:rPr>
        <w:t xml:space="preserve">, </w:t>
      </w:r>
      <w:r w:rsidRPr="005A228E">
        <w:rPr>
          <w:rFonts w:ascii="Times New Roman" w:hAnsi="Times New Roman" w:cs="Times New Roman"/>
          <w:i/>
          <w:iCs/>
        </w:rPr>
        <w:t>4</w:t>
      </w:r>
      <w:r w:rsidRPr="005A228E">
        <w:rPr>
          <w:rFonts w:ascii="Times New Roman" w:hAnsi="Times New Roman" w:cs="Times New Roman"/>
        </w:rPr>
        <w:t>(3), 2591-2601.</w:t>
      </w:r>
    </w:p>
    <w:p w14:paraId="3684F561"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Kamara, A. K., &amp; Momoh, P. L. (2024). Impact of Foreign Aid on Economic Development and Poverty Alleviation in Sierra Leone. </w:t>
      </w:r>
      <w:r w:rsidRPr="005A228E">
        <w:rPr>
          <w:rFonts w:ascii="Times New Roman" w:hAnsi="Times New Roman" w:cs="Times New Roman"/>
          <w:i/>
          <w:iCs/>
        </w:rPr>
        <w:t>European Journal of Political Science Studies</w:t>
      </w:r>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(3).</w:t>
      </w:r>
    </w:p>
    <w:p w14:paraId="25C66954"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Legass, H. A., &amp; Akkas, E. (2024). Does Foreign Aid Affect the Economic Growth in Sub-Saharan African Countries?. </w:t>
      </w:r>
      <w:r w:rsidRPr="005A228E">
        <w:rPr>
          <w:rFonts w:ascii="Times New Roman" w:hAnsi="Times New Roman" w:cs="Times New Roman"/>
          <w:i/>
          <w:iCs/>
        </w:rPr>
        <w:t>Journal of Asian and African Studies</w:t>
      </w:r>
      <w:r w:rsidRPr="005A228E">
        <w:rPr>
          <w:rFonts w:ascii="Times New Roman" w:hAnsi="Times New Roman" w:cs="Times New Roman"/>
        </w:rPr>
        <w:t>, 00219096241275411.</w:t>
      </w:r>
    </w:p>
    <w:p w14:paraId="47C372E3"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Liu, B. (2023). Poverty Reduction Effect of Chinese Foreign Aid to Africa: An Empirical Study Based on Panel Data of 48 Recipient Countries. </w:t>
      </w:r>
      <w:r w:rsidRPr="005A228E">
        <w:rPr>
          <w:rFonts w:ascii="Times New Roman" w:hAnsi="Times New Roman" w:cs="Times New Roman"/>
          <w:i/>
          <w:iCs/>
        </w:rPr>
        <w:t>Advances in Social Development and Education Research</w:t>
      </w:r>
      <w:r w:rsidRPr="005A228E">
        <w:rPr>
          <w:rFonts w:ascii="Times New Roman" w:hAnsi="Times New Roman" w:cs="Times New Roman"/>
        </w:rPr>
        <w:t xml:space="preserve">, </w:t>
      </w:r>
      <w:r w:rsidRPr="005A228E">
        <w:rPr>
          <w:rFonts w:ascii="Times New Roman" w:hAnsi="Times New Roman" w:cs="Times New Roman"/>
          <w:i/>
          <w:iCs/>
        </w:rPr>
        <w:t>1</w:t>
      </w:r>
      <w:r w:rsidRPr="005A228E">
        <w:rPr>
          <w:rFonts w:ascii="Times New Roman" w:hAnsi="Times New Roman" w:cs="Times New Roman"/>
        </w:rPr>
        <w:t>(1), 48-65.</w:t>
      </w:r>
    </w:p>
    <w:p w14:paraId="301B5139"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Mabonga, C (2024). </w:t>
      </w:r>
      <w:r w:rsidRPr="005A228E">
        <w:rPr>
          <w:rFonts w:ascii="Times New Roman" w:hAnsi="Times New Roman" w:cs="Times New Roman"/>
          <w:i/>
          <w:iCs/>
        </w:rPr>
        <w:t>Foreign Aid on Poverty Reduction in Urban Slums: A Case of Korogocho Slum in Nairobi, Kenya, 2011-2016</w:t>
      </w:r>
      <w:r w:rsidRPr="005A228E">
        <w:rPr>
          <w:rFonts w:ascii="Times New Roman" w:hAnsi="Times New Roman" w:cs="Times New Roman"/>
        </w:rPr>
        <w:t xml:space="preserve"> (Doctoral dissertation, Kenyatta University).</w:t>
      </w:r>
    </w:p>
    <w:p w14:paraId="2307BA9F"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Mahembe, E., &amp; Odhiambo, N. M. (2019). Foreign aid and poverty reduction: A review of international literature. </w:t>
      </w:r>
      <w:r w:rsidRPr="005A228E">
        <w:rPr>
          <w:rFonts w:ascii="Times New Roman" w:hAnsi="Times New Roman" w:cs="Times New Roman"/>
          <w:i/>
          <w:iCs/>
        </w:rPr>
        <w:t>Cogent Social Sciences</w:t>
      </w:r>
      <w:r w:rsidRPr="005A228E">
        <w:rPr>
          <w:rFonts w:ascii="Times New Roman" w:hAnsi="Times New Roman" w:cs="Times New Roman"/>
        </w:rPr>
        <w:t xml:space="preserve">, </w:t>
      </w:r>
      <w:r w:rsidRPr="005A228E">
        <w:rPr>
          <w:rFonts w:ascii="Times New Roman" w:hAnsi="Times New Roman" w:cs="Times New Roman"/>
          <w:i/>
          <w:iCs/>
        </w:rPr>
        <w:t>5</w:t>
      </w:r>
      <w:r w:rsidRPr="005A228E">
        <w:rPr>
          <w:rFonts w:ascii="Times New Roman" w:hAnsi="Times New Roman" w:cs="Times New Roman"/>
        </w:rPr>
        <w:t>(1), 1625741.</w:t>
      </w:r>
    </w:p>
    <w:p w14:paraId="7A8F211A"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Mahembe, E., &amp; Odhiambo, N. M. (2020). Development aid and its impact on poverty reduction in developing countries: A dynamic panel data approach. </w:t>
      </w:r>
      <w:r w:rsidRPr="005A228E">
        <w:rPr>
          <w:rFonts w:ascii="Times New Roman" w:hAnsi="Times New Roman" w:cs="Times New Roman"/>
          <w:i/>
          <w:iCs/>
        </w:rPr>
        <w:t>International Journal of Development Issues</w:t>
      </w:r>
      <w:r w:rsidRPr="005A228E">
        <w:rPr>
          <w:rFonts w:ascii="Times New Roman" w:hAnsi="Times New Roman" w:cs="Times New Roman"/>
        </w:rPr>
        <w:t xml:space="preserve">, </w:t>
      </w:r>
      <w:r w:rsidRPr="005A228E">
        <w:rPr>
          <w:rFonts w:ascii="Times New Roman" w:hAnsi="Times New Roman" w:cs="Times New Roman"/>
          <w:i/>
          <w:iCs/>
        </w:rPr>
        <w:t>19</w:t>
      </w:r>
      <w:r w:rsidRPr="005A228E">
        <w:rPr>
          <w:rFonts w:ascii="Times New Roman" w:hAnsi="Times New Roman" w:cs="Times New Roman"/>
        </w:rPr>
        <w:t>(2), 145-168.</w:t>
      </w:r>
    </w:p>
    <w:p w14:paraId="5FF5DD40"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Manji, A. (2016). The International Development (Official Development Assistance Target) Act 2015: legislative spending targets, poverty alleviation and aid scrutiny.</w:t>
      </w:r>
    </w:p>
    <w:p w14:paraId="7635D55C" w14:textId="0019B4BB"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Mehmood, K. A. (2024). </w:t>
      </w:r>
      <w:r w:rsidR="00FC1FDB" w:rsidRPr="005A228E">
        <w:rPr>
          <w:rFonts w:ascii="Times New Roman" w:hAnsi="Times New Roman" w:cs="Times New Roman"/>
        </w:rPr>
        <w:t xml:space="preserve">Macroeconomic fall outs of economic uncertainty: are the results same on economic growth, poverty, and unemployment of pakistan?. </w:t>
      </w:r>
      <w:r w:rsidR="00FC1FDB" w:rsidRPr="005A228E">
        <w:rPr>
          <w:rFonts w:ascii="Times New Roman" w:hAnsi="Times New Roman" w:cs="Times New Roman"/>
          <w:i/>
          <w:iCs/>
        </w:rPr>
        <w:t xml:space="preserve">Pakistan islamicus </w:t>
      </w:r>
      <w:r w:rsidRPr="005A228E">
        <w:rPr>
          <w:rFonts w:ascii="Times New Roman" w:hAnsi="Times New Roman" w:cs="Times New Roman"/>
          <w:i/>
          <w:iCs/>
        </w:rPr>
        <w:t>(An International Journal of Islamic &amp; Social Sciences)</w:t>
      </w:r>
      <w:r w:rsidRPr="005A228E">
        <w:rPr>
          <w:rFonts w:ascii="Times New Roman" w:hAnsi="Times New Roman" w:cs="Times New Roman"/>
        </w:rPr>
        <w:t xml:space="preserve">, </w:t>
      </w:r>
      <w:r w:rsidRPr="005A228E">
        <w:rPr>
          <w:rFonts w:ascii="Times New Roman" w:hAnsi="Times New Roman" w:cs="Times New Roman"/>
          <w:i/>
          <w:iCs/>
        </w:rPr>
        <w:t>4</w:t>
      </w:r>
      <w:r w:rsidRPr="005A228E">
        <w:rPr>
          <w:rFonts w:ascii="Times New Roman" w:hAnsi="Times New Roman" w:cs="Times New Roman"/>
        </w:rPr>
        <w:t>(03), 100-118.</w:t>
      </w:r>
    </w:p>
    <w:p w14:paraId="0A4726F5" w14:textId="5865780A" w:rsidR="0004424A" w:rsidRPr="005A228E" w:rsidRDefault="00FC1FDB"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Micah, d., adamu, p., ahmad, m., garba, a., mathew, j. M., usman, a., ... &amp; philip, s. C. (2024). Impact of foreign aid and institutional quality on poverty in sub–saharan african countries. </w:t>
      </w:r>
      <w:r w:rsidRPr="005A228E">
        <w:rPr>
          <w:rFonts w:ascii="Times New Roman" w:hAnsi="Times New Roman" w:cs="Times New Roman"/>
          <w:i/>
          <w:iCs/>
        </w:rPr>
        <w:t>Journal of economics and allied research (jear)</w:t>
      </w:r>
      <w:r w:rsidRPr="005A228E">
        <w:rPr>
          <w:rFonts w:ascii="Times New Roman" w:hAnsi="Times New Roman" w:cs="Times New Roman"/>
        </w:rPr>
        <w:t xml:space="preserve">, </w:t>
      </w:r>
      <w:r w:rsidR="0004424A" w:rsidRPr="005A228E">
        <w:rPr>
          <w:rFonts w:ascii="Times New Roman" w:hAnsi="Times New Roman" w:cs="Times New Roman"/>
        </w:rPr>
        <w:t>112.</w:t>
      </w:r>
    </w:p>
    <w:p w14:paraId="66AE3448"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Moreno Calva, M. A. M., &amp; Cruz Marcelo, J. N. (2024). Macroeconomics and poverty: an empirical review for Mexico 2005-2022. </w:t>
      </w:r>
      <w:r w:rsidRPr="005A228E">
        <w:rPr>
          <w:rFonts w:ascii="Times New Roman" w:hAnsi="Times New Roman" w:cs="Times New Roman"/>
          <w:i/>
          <w:iCs/>
        </w:rPr>
        <w:t>Problemas del desarrollo</w:t>
      </w:r>
      <w:r w:rsidRPr="005A228E">
        <w:rPr>
          <w:rFonts w:ascii="Times New Roman" w:hAnsi="Times New Roman" w:cs="Times New Roman"/>
        </w:rPr>
        <w:t xml:space="preserve">, </w:t>
      </w:r>
      <w:r w:rsidRPr="005A228E">
        <w:rPr>
          <w:rFonts w:ascii="Times New Roman" w:hAnsi="Times New Roman" w:cs="Times New Roman"/>
          <w:i/>
          <w:iCs/>
        </w:rPr>
        <w:t>55</w:t>
      </w:r>
      <w:r w:rsidRPr="005A228E">
        <w:rPr>
          <w:rFonts w:ascii="Times New Roman" w:hAnsi="Times New Roman" w:cs="Times New Roman"/>
        </w:rPr>
        <w:t>(217), 103-126.</w:t>
      </w:r>
    </w:p>
    <w:p w14:paraId="44189F99"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lastRenderedPageBreak/>
        <w:t xml:space="preserve">Mustafa, S., Kiran, K., Mukhtar, S., Zahoor, S., &amp; Shah, M. Z. M. (2025). Macroeconomic Indicators and Market Dynamics: Unraveling the Link Between Poverty and Purchasing Power. </w:t>
      </w:r>
      <w:r w:rsidRPr="005A228E">
        <w:rPr>
          <w:rFonts w:ascii="Times New Roman" w:hAnsi="Times New Roman" w:cs="Times New Roman"/>
          <w:i/>
          <w:iCs/>
        </w:rPr>
        <w:t>Journal of Social Signs Review</w:t>
      </w:r>
      <w:r w:rsidRPr="005A228E">
        <w:rPr>
          <w:rFonts w:ascii="Times New Roman" w:hAnsi="Times New Roman" w:cs="Times New Roman"/>
        </w:rPr>
        <w:t xml:space="preserve">, </w:t>
      </w:r>
      <w:r w:rsidRPr="005A228E">
        <w:rPr>
          <w:rFonts w:ascii="Times New Roman" w:hAnsi="Times New Roman" w:cs="Times New Roman"/>
          <w:i/>
          <w:iCs/>
        </w:rPr>
        <w:t>3</w:t>
      </w:r>
      <w:r w:rsidRPr="005A228E">
        <w:rPr>
          <w:rFonts w:ascii="Times New Roman" w:hAnsi="Times New Roman" w:cs="Times New Roman"/>
        </w:rPr>
        <w:t>(08), 148-158.</w:t>
      </w:r>
    </w:p>
    <w:p w14:paraId="7FAF8A91"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Narayan, D., &amp; Singh, B. (2024). Exploring the effect of ODA on poverty: insights from least developed countries. </w:t>
      </w:r>
      <w:r w:rsidRPr="005A228E">
        <w:rPr>
          <w:rFonts w:ascii="Times New Roman" w:hAnsi="Times New Roman" w:cs="Times New Roman"/>
          <w:i/>
          <w:iCs/>
        </w:rPr>
        <w:t>International Journal of Social Economics</w:t>
      </w:r>
      <w:r w:rsidRPr="005A228E">
        <w:rPr>
          <w:rFonts w:ascii="Times New Roman" w:hAnsi="Times New Roman" w:cs="Times New Roman"/>
        </w:rPr>
        <w:t>.</w:t>
      </w:r>
    </w:p>
    <w:p w14:paraId="0C63E2A7"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Ogbodo, J. C., &amp; Attamah, N. (2019). Analysis of the Impact of Foreign Aid on Poverty Reduction in Nigeria, 1981-2017. </w:t>
      </w:r>
      <w:r w:rsidRPr="005A228E">
        <w:rPr>
          <w:rFonts w:ascii="Times New Roman" w:hAnsi="Times New Roman" w:cs="Times New Roman"/>
          <w:i/>
          <w:iCs/>
        </w:rPr>
        <w:t>ESUT JOURNAL OF SOCIAL SCIENCES</w:t>
      </w:r>
      <w:r w:rsidRPr="005A228E">
        <w:rPr>
          <w:rFonts w:ascii="Times New Roman" w:hAnsi="Times New Roman" w:cs="Times New Roman"/>
        </w:rPr>
        <w:t xml:space="preserve">, </w:t>
      </w:r>
      <w:r w:rsidRPr="005A228E">
        <w:rPr>
          <w:rFonts w:ascii="Times New Roman" w:hAnsi="Times New Roman" w:cs="Times New Roman"/>
          <w:i/>
          <w:iCs/>
        </w:rPr>
        <w:t>4</w:t>
      </w:r>
      <w:r w:rsidRPr="005A228E">
        <w:rPr>
          <w:rFonts w:ascii="Times New Roman" w:hAnsi="Times New Roman" w:cs="Times New Roman"/>
        </w:rPr>
        <w:t>(1).</w:t>
      </w:r>
    </w:p>
    <w:p w14:paraId="6EFACB73"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Riak, J. D. C., &amp; Yak, B. N. A. (2025). Foreign Aid and Socio-economic Development: An Analysis of International Grants in Promoting Stability in Post-Independent South Sudan.</w:t>
      </w:r>
    </w:p>
    <w:p w14:paraId="265BF01E"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Ugwuanyi, U. B., Ezeaku, H. C., &amp; Ibe, I. G. (2017). The impact of official aid on poverty reduction: Empirical evidence from Nigeria (1981-2014) using the ARDL and bound test approach. </w:t>
      </w:r>
      <w:r w:rsidRPr="005A228E">
        <w:rPr>
          <w:rFonts w:ascii="Times New Roman" w:hAnsi="Times New Roman" w:cs="Times New Roman"/>
          <w:i/>
          <w:iCs/>
        </w:rPr>
        <w:t>European Journal of Sustainable Development</w:t>
      </w:r>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(2), 111-111.</w:t>
      </w:r>
    </w:p>
    <w:p w14:paraId="301773C2"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Ugwuanyi, U. B., Ezeaku, H. C., &amp; Ibe, I. G. (2017). The impact of official aid on poverty reduction: Empirical evidence from Nigeria (1981-2014) using the ARDL and bound test approach. </w:t>
      </w:r>
      <w:r w:rsidRPr="005A228E">
        <w:rPr>
          <w:rFonts w:ascii="Times New Roman" w:hAnsi="Times New Roman" w:cs="Times New Roman"/>
          <w:i/>
          <w:iCs/>
        </w:rPr>
        <w:t>European Journal of Sustainable Development</w:t>
      </w:r>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(2), 111-111.</w:t>
      </w:r>
    </w:p>
    <w:p w14:paraId="0EC0B08C"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Wang, H., Wang, Y., Zhang, X., &amp; Zhang, C. (2024). The effect of foreign aid on carbon emissions in recipient countries: Evidence from China. </w:t>
      </w:r>
      <w:r w:rsidRPr="005A228E">
        <w:rPr>
          <w:rFonts w:ascii="Times New Roman" w:hAnsi="Times New Roman" w:cs="Times New Roman"/>
          <w:i/>
          <w:iCs/>
        </w:rPr>
        <w:t>Technological Forecasting and Social Change</w:t>
      </w:r>
      <w:r w:rsidRPr="005A228E">
        <w:rPr>
          <w:rFonts w:ascii="Times New Roman" w:hAnsi="Times New Roman" w:cs="Times New Roman"/>
        </w:rPr>
        <w:t xml:space="preserve">, </w:t>
      </w:r>
      <w:r w:rsidRPr="005A228E">
        <w:rPr>
          <w:rFonts w:ascii="Times New Roman" w:hAnsi="Times New Roman" w:cs="Times New Roman"/>
          <w:i/>
          <w:iCs/>
        </w:rPr>
        <w:t>200</w:t>
      </w:r>
      <w:r w:rsidRPr="005A228E">
        <w:rPr>
          <w:rFonts w:ascii="Times New Roman" w:hAnsi="Times New Roman" w:cs="Times New Roman"/>
        </w:rPr>
        <w:t>, 123104.</w:t>
      </w:r>
    </w:p>
    <w:p w14:paraId="1141A0E3" w14:textId="77777777" w:rsidR="0004424A" w:rsidRPr="005A228E" w:rsidRDefault="0004424A" w:rsidP="00811D50">
      <w:pPr>
        <w:spacing w:line="240" w:lineRule="auto"/>
        <w:ind w:left="567" w:hanging="1134"/>
        <w:jc w:val="both"/>
        <w:rPr>
          <w:rFonts w:ascii="Times New Roman" w:hAnsi="Times New Roman" w:cs="Times New Roman"/>
        </w:rPr>
      </w:pPr>
      <w:r w:rsidRPr="005A228E">
        <w:rPr>
          <w:rFonts w:ascii="Times New Roman" w:hAnsi="Times New Roman" w:cs="Times New Roman"/>
        </w:rPr>
        <w:t xml:space="preserve">Zaidi, S. M. S., Akhtar, M. Z., &amp; Sargana, M. H. (2024). Foreign aid: An agent for socioeconomic development? A case study from an emerging economy: Pakistan. </w:t>
      </w:r>
      <w:r w:rsidRPr="005A228E">
        <w:rPr>
          <w:rFonts w:ascii="Times New Roman" w:hAnsi="Times New Roman" w:cs="Times New Roman"/>
          <w:i/>
          <w:iCs/>
        </w:rPr>
        <w:t>Politics &amp; Policy</w:t>
      </w:r>
      <w:r w:rsidRPr="005A228E">
        <w:rPr>
          <w:rFonts w:ascii="Times New Roman" w:hAnsi="Times New Roman" w:cs="Times New Roman"/>
        </w:rPr>
        <w:t xml:space="preserve">, </w:t>
      </w:r>
      <w:r w:rsidRPr="005A228E">
        <w:rPr>
          <w:rFonts w:ascii="Times New Roman" w:hAnsi="Times New Roman" w:cs="Times New Roman"/>
          <w:i/>
          <w:iCs/>
        </w:rPr>
        <w:t>52</w:t>
      </w:r>
      <w:r w:rsidRPr="005A228E">
        <w:rPr>
          <w:rFonts w:ascii="Times New Roman" w:hAnsi="Times New Roman" w:cs="Times New Roman"/>
        </w:rPr>
        <w:t>(3), 670-691.</w:t>
      </w:r>
    </w:p>
    <w:p w14:paraId="1DC5D685" w14:textId="77777777" w:rsidR="0004424A" w:rsidRDefault="0004424A" w:rsidP="00811D50">
      <w:pPr>
        <w:spacing w:line="240" w:lineRule="auto"/>
        <w:jc w:val="both"/>
        <w:rPr>
          <w:rFonts w:ascii="Times New Roman" w:hAnsi="Times New Roman" w:cs="Times New Roman"/>
        </w:rPr>
      </w:pPr>
    </w:p>
    <w:p w14:paraId="4F50E3E5" w14:textId="77777777" w:rsidR="0004424A" w:rsidRPr="00F6166A" w:rsidRDefault="0004424A" w:rsidP="00811D50">
      <w:pPr>
        <w:spacing w:line="240" w:lineRule="auto"/>
        <w:jc w:val="both"/>
        <w:rPr>
          <w:rFonts w:ascii="Times New Roman" w:hAnsi="Times New Roman" w:cs="Times New Roman"/>
        </w:rPr>
      </w:pPr>
    </w:p>
    <w:p w14:paraId="2DAEDA5D" w14:textId="77777777" w:rsidR="0004424A" w:rsidRPr="00A718D8" w:rsidRDefault="0004424A" w:rsidP="00811D50">
      <w:pPr>
        <w:spacing w:line="240" w:lineRule="auto"/>
        <w:jc w:val="both"/>
        <w:rPr>
          <w:rFonts w:ascii="Times New Roman" w:hAnsi="Times New Roman" w:cs="Times New Roman"/>
        </w:rPr>
      </w:pPr>
    </w:p>
    <w:p w14:paraId="22DAD626" w14:textId="77777777" w:rsidR="001D572D" w:rsidRPr="00CB089F" w:rsidRDefault="001D572D" w:rsidP="00811D50">
      <w:pPr>
        <w:spacing w:line="240" w:lineRule="auto"/>
        <w:jc w:val="both"/>
        <w:rPr>
          <w:rFonts w:ascii="Times New Roman" w:hAnsi="Times New Roman" w:cs="Times New Roman"/>
        </w:rPr>
      </w:pPr>
    </w:p>
    <w:p w14:paraId="3B3F8FCA" w14:textId="77777777" w:rsidR="008D5BDD" w:rsidRPr="00CB089F" w:rsidRDefault="008D5BDD" w:rsidP="00811D50">
      <w:pPr>
        <w:spacing w:line="240" w:lineRule="auto"/>
        <w:rPr>
          <w:rFonts w:ascii="Times New Roman" w:hAnsi="Times New Roman" w:cs="Times New Roman"/>
        </w:rPr>
      </w:pPr>
    </w:p>
    <w:sectPr w:rsidR="008D5BDD" w:rsidRPr="00CB089F">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CFBFC" w14:textId="77777777" w:rsidR="0050432F" w:rsidRDefault="0050432F" w:rsidP="00375E9D">
      <w:pPr>
        <w:spacing w:after="0" w:line="240" w:lineRule="auto"/>
      </w:pPr>
      <w:r>
        <w:separator/>
      </w:r>
    </w:p>
  </w:endnote>
  <w:endnote w:type="continuationSeparator" w:id="0">
    <w:p w14:paraId="48D48B99" w14:textId="77777777" w:rsidR="0050432F" w:rsidRDefault="0050432F" w:rsidP="00375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D348A" w14:textId="77777777" w:rsidR="0050432F" w:rsidRDefault="0050432F" w:rsidP="00375E9D">
      <w:pPr>
        <w:spacing w:after="0" w:line="240" w:lineRule="auto"/>
      </w:pPr>
      <w:r>
        <w:separator/>
      </w:r>
    </w:p>
  </w:footnote>
  <w:footnote w:type="continuationSeparator" w:id="0">
    <w:p w14:paraId="7DBB593D" w14:textId="77777777" w:rsidR="0050432F" w:rsidRDefault="0050432F" w:rsidP="00375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802287"/>
      <w:docPartObj>
        <w:docPartGallery w:val="Page Numbers (Top of Page)"/>
        <w:docPartUnique/>
      </w:docPartObj>
    </w:sdtPr>
    <w:sdtEndPr>
      <w:rPr>
        <w:noProof/>
      </w:rPr>
    </w:sdtEndPr>
    <w:sdtContent>
      <w:p w14:paraId="3D9FD2AD" w14:textId="44CE6826" w:rsidR="00375E9D" w:rsidRDefault="00375E9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5A44FC3" w14:textId="77777777" w:rsidR="00375E9D" w:rsidRDefault="00375E9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xN7WwsDQ1sjA3MTRX0lEKTi0uzszPAykwrAUAD4iPKiwAAAA="/>
  </w:docVars>
  <w:rsids>
    <w:rsidRoot w:val="008D5BDD"/>
    <w:rsid w:val="0004424A"/>
    <w:rsid w:val="00046C38"/>
    <w:rsid w:val="00187787"/>
    <w:rsid w:val="001A22BA"/>
    <w:rsid w:val="001D572D"/>
    <w:rsid w:val="002177F5"/>
    <w:rsid w:val="00264990"/>
    <w:rsid w:val="0033444D"/>
    <w:rsid w:val="00375E9D"/>
    <w:rsid w:val="0050432F"/>
    <w:rsid w:val="0050668C"/>
    <w:rsid w:val="005D79BD"/>
    <w:rsid w:val="006D37F2"/>
    <w:rsid w:val="00700B48"/>
    <w:rsid w:val="007104E3"/>
    <w:rsid w:val="007742BD"/>
    <w:rsid w:val="00776CBB"/>
    <w:rsid w:val="007D0672"/>
    <w:rsid w:val="00811D50"/>
    <w:rsid w:val="008C35BF"/>
    <w:rsid w:val="008D5BDD"/>
    <w:rsid w:val="0093092F"/>
    <w:rsid w:val="00956DA6"/>
    <w:rsid w:val="00A7124B"/>
    <w:rsid w:val="00A718D8"/>
    <w:rsid w:val="00B30CAE"/>
    <w:rsid w:val="00B703D5"/>
    <w:rsid w:val="00BB29CE"/>
    <w:rsid w:val="00C234BA"/>
    <w:rsid w:val="00CB089F"/>
    <w:rsid w:val="00D95FCE"/>
    <w:rsid w:val="00EA3BA7"/>
    <w:rsid w:val="00F42E7D"/>
    <w:rsid w:val="00FC1FDB"/>
    <w:rsid w:val="00FC6438"/>
    <w:rsid w:val="00FE3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3A15B"/>
  <w15:chartTrackingRefBased/>
  <w15:docId w15:val="{BD274D6A-8F89-4503-B84F-3C657C2C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5B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5B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5B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5B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5B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5B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5B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5B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5B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B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5B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5B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5B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5B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5B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5B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5B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5BDD"/>
    <w:rPr>
      <w:rFonts w:eastAsiaTheme="majorEastAsia" w:cstheme="majorBidi"/>
      <w:color w:val="272727" w:themeColor="text1" w:themeTint="D8"/>
    </w:rPr>
  </w:style>
  <w:style w:type="paragraph" w:styleId="Title">
    <w:name w:val="Title"/>
    <w:basedOn w:val="Normal"/>
    <w:next w:val="Normal"/>
    <w:link w:val="TitleChar"/>
    <w:uiPriority w:val="10"/>
    <w:qFormat/>
    <w:rsid w:val="008D5B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5B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5B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5B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5BDD"/>
    <w:pPr>
      <w:spacing w:before="160"/>
      <w:jc w:val="center"/>
    </w:pPr>
    <w:rPr>
      <w:i/>
      <w:iCs/>
      <w:color w:val="404040" w:themeColor="text1" w:themeTint="BF"/>
    </w:rPr>
  </w:style>
  <w:style w:type="character" w:customStyle="1" w:styleId="QuoteChar">
    <w:name w:val="Quote Char"/>
    <w:basedOn w:val="DefaultParagraphFont"/>
    <w:link w:val="Quote"/>
    <w:uiPriority w:val="29"/>
    <w:rsid w:val="008D5BDD"/>
    <w:rPr>
      <w:i/>
      <w:iCs/>
      <w:color w:val="404040" w:themeColor="text1" w:themeTint="BF"/>
    </w:rPr>
  </w:style>
  <w:style w:type="paragraph" w:styleId="ListParagraph">
    <w:name w:val="List Paragraph"/>
    <w:basedOn w:val="Normal"/>
    <w:uiPriority w:val="34"/>
    <w:qFormat/>
    <w:rsid w:val="008D5BDD"/>
    <w:pPr>
      <w:ind w:left="720"/>
      <w:contextualSpacing/>
    </w:pPr>
  </w:style>
  <w:style w:type="character" w:styleId="IntenseEmphasis">
    <w:name w:val="Intense Emphasis"/>
    <w:basedOn w:val="DefaultParagraphFont"/>
    <w:uiPriority w:val="21"/>
    <w:qFormat/>
    <w:rsid w:val="008D5BDD"/>
    <w:rPr>
      <w:i/>
      <w:iCs/>
      <w:color w:val="0F4761" w:themeColor="accent1" w:themeShade="BF"/>
    </w:rPr>
  </w:style>
  <w:style w:type="paragraph" w:styleId="IntenseQuote">
    <w:name w:val="Intense Quote"/>
    <w:basedOn w:val="Normal"/>
    <w:next w:val="Normal"/>
    <w:link w:val="IntenseQuoteChar"/>
    <w:uiPriority w:val="30"/>
    <w:qFormat/>
    <w:rsid w:val="008D5B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5BDD"/>
    <w:rPr>
      <w:i/>
      <w:iCs/>
      <w:color w:val="0F4761" w:themeColor="accent1" w:themeShade="BF"/>
    </w:rPr>
  </w:style>
  <w:style w:type="character" w:styleId="IntenseReference">
    <w:name w:val="Intense Reference"/>
    <w:basedOn w:val="DefaultParagraphFont"/>
    <w:uiPriority w:val="32"/>
    <w:qFormat/>
    <w:rsid w:val="008D5BDD"/>
    <w:rPr>
      <w:b/>
      <w:bCs/>
      <w:smallCaps/>
      <w:color w:val="0F4761" w:themeColor="accent1" w:themeShade="BF"/>
      <w:spacing w:val="5"/>
    </w:rPr>
  </w:style>
  <w:style w:type="paragraph" w:styleId="Header">
    <w:name w:val="header"/>
    <w:basedOn w:val="Normal"/>
    <w:link w:val="HeaderChar"/>
    <w:uiPriority w:val="99"/>
    <w:unhideWhenUsed/>
    <w:rsid w:val="00375E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E9D"/>
  </w:style>
  <w:style w:type="paragraph" w:styleId="Footer">
    <w:name w:val="footer"/>
    <w:basedOn w:val="Normal"/>
    <w:link w:val="FooterChar"/>
    <w:uiPriority w:val="99"/>
    <w:unhideWhenUsed/>
    <w:rsid w:val="00375E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E9D"/>
  </w:style>
  <w:style w:type="character" w:styleId="Hyperlink">
    <w:name w:val="Hyperlink"/>
    <w:basedOn w:val="DefaultParagraphFont"/>
    <w:uiPriority w:val="99"/>
    <w:unhideWhenUsed/>
    <w:rsid w:val="0050668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114</TotalTime>
  <Pages>16</Pages>
  <Words>5937</Words>
  <Characters>33843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Suleiman Mamman</dc:creator>
  <cp:keywords/>
  <dc:description/>
  <cp:lastModifiedBy>SDI 1020</cp:lastModifiedBy>
  <cp:revision>20</cp:revision>
  <dcterms:created xsi:type="dcterms:W3CDTF">2025-10-22T09:08:00Z</dcterms:created>
  <dcterms:modified xsi:type="dcterms:W3CDTF">2025-11-01T13:09:00Z</dcterms:modified>
</cp:coreProperties>
</file>