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174BE4" w14:textId="5E042E67" w:rsidR="00137520" w:rsidRDefault="0064169A" w:rsidP="00441B6F">
      <w:pPr>
        <w:pStyle w:val="Author"/>
        <w:spacing w:line="240" w:lineRule="auto"/>
      </w:pPr>
      <w:r w:rsidRPr="00697B94">
        <w:t xml:space="preserve">Assessing the </w:t>
      </w:r>
      <w:r w:rsidR="00442703" w:rsidRPr="00697B94">
        <w:t>Impact of FDI and Its Nexus on Domestic Investment in</w:t>
      </w:r>
      <w:r w:rsidRPr="00697B94">
        <w:t xml:space="preserve"> Ghana</w:t>
      </w:r>
    </w:p>
    <w:p w14:paraId="59DE7591" w14:textId="77777777" w:rsidR="00792C34" w:rsidRPr="00792C34" w:rsidRDefault="00792C34" w:rsidP="00792C34">
      <w:pPr>
        <w:pStyle w:val="Affiliation"/>
        <w:spacing w:after="0" w:line="240" w:lineRule="auto"/>
        <w:rPr>
          <w:rFonts w:ascii="Arial" w:hAnsi="Arial" w:cs="Arial"/>
          <w:i/>
        </w:rPr>
      </w:pPr>
    </w:p>
    <w:p w14:paraId="2DD7B49F" w14:textId="4F5FF3B6" w:rsidR="005F230B" w:rsidRDefault="005F230B" w:rsidP="005F230B">
      <w:pPr>
        <w:pStyle w:val="AbstHead"/>
        <w:spacing w:after="0"/>
        <w:jc w:val="both"/>
        <w:rPr>
          <w:rFonts w:ascii="Arial" w:hAnsi="Arial" w:cs="Arial"/>
        </w:rPr>
      </w:pPr>
      <w:r w:rsidRPr="00697B94">
        <w:rPr>
          <w:rFonts w:ascii="Arial" w:hAnsi="Arial" w:cs="Arial"/>
        </w:rPr>
        <w:t xml:space="preserve">ABSTRACT </w:t>
      </w:r>
    </w:p>
    <w:p w14:paraId="2F155C8B" w14:textId="77777777" w:rsidR="006525CE" w:rsidRPr="00697B94" w:rsidRDefault="006525CE" w:rsidP="005F230B">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5F230B" w:rsidRPr="00697B94" w14:paraId="4D3B29F2" w14:textId="77777777" w:rsidTr="00F363C4">
        <w:tc>
          <w:tcPr>
            <w:tcW w:w="9576" w:type="dxa"/>
            <w:shd w:val="clear" w:color="auto" w:fill="F2F2F2"/>
          </w:tcPr>
          <w:p w14:paraId="473915F2" w14:textId="77777777" w:rsidR="005F230B" w:rsidRPr="00697B94" w:rsidRDefault="005F230B" w:rsidP="00F363C4">
            <w:pPr>
              <w:pStyle w:val="Body"/>
              <w:spacing w:after="0"/>
              <w:rPr>
                <w:rFonts w:ascii="Arial" w:eastAsia="Calibri" w:hAnsi="Arial" w:cs="Arial"/>
                <w:szCs w:val="22"/>
              </w:rPr>
            </w:pPr>
            <w:r w:rsidRPr="00697B94">
              <w:rPr>
                <w:rFonts w:ascii="Arial" w:eastAsia="Calibri" w:hAnsi="Arial" w:cs="Arial"/>
                <w:b/>
                <w:szCs w:val="22"/>
              </w:rPr>
              <w:t xml:space="preserve">Aims: </w:t>
            </w:r>
            <w:r w:rsidRPr="00697B94">
              <w:rPr>
                <w:rFonts w:ascii="Arial" w:eastAsia="Calibri" w:hAnsi="Arial" w:cs="Arial"/>
                <w:szCs w:val="22"/>
              </w:rPr>
              <w:t xml:space="preserve">To </w:t>
            </w:r>
            <w:r w:rsidR="002A2222" w:rsidRPr="00697B94">
              <w:rPr>
                <w:rFonts w:ascii="Arial" w:eastAsia="Calibri" w:hAnsi="Arial" w:cs="Arial"/>
                <w:szCs w:val="22"/>
              </w:rPr>
              <w:t>examine the effect of Foreign Direct Investment (FDI) on domestic investment in Ghana</w:t>
            </w:r>
          </w:p>
          <w:p w14:paraId="740BCB1D" w14:textId="77777777" w:rsidR="005F230B" w:rsidRPr="00697B94" w:rsidRDefault="005F230B" w:rsidP="00F363C4">
            <w:pPr>
              <w:pStyle w:val="Body"/>
              <w:spacing w:after="0"/>
              <w:rPr>
                <w:rFonts w:ascii="Arial" w:eastAsia="Calibri" w:hAnsi="Arial" w:cs="Arial"/>
                <w:szCs w:val="22"/>
              </w:rPr>
            </w:pPr>
            <w:r w:rsidRPr="00697B94">
              <w:rPr>
                <w:rFonts w:ascii="Arial" w:eastAsia="Calibri" w:hAnsi="Arial" w:cs="Arial"/>
                <w:b/>
                <w:szCs w:val="22"/>
              </w:rPr>
              <w:t>Study design:</w:t>
            </w:r>
            <w:r w:rsidRPr="00697B94">
              <w:rPr>
                <w:rFonts w:ascii="Arial" w:eastAsia="Calibri" w:hAnsi="Arial" w:cs="Arial"/>
                <w:szCs w:val="22"/>
              </w:rPr>
              <w:t xml:space="preserve">  Both Quantitative and Qualita</w:t>
            </w:r>
            <w:bookmarkStart w:id="0" w:name="_GoBack"/>
            <w:bookmarkEnd w:id="0"/>
            <w:r w:rsidRPr="00697B94">
              <w:rPr>
                <w:rFonts w:ascii="Arial" w:eastAsia="Calibri" w:hAnsi="Arial" w:cs="Arial"/>
                <w:szCs w:val="22"/>
              </w:rPr>
              <w:t>tive Study.</w:t>
            </w:r>
          </w:p>
          <w:p w14:paraId="037C0E73" w14:textId="77777777" w:rsidR="005F230B" w:rsidRPr="00697B94" w:rsidRDefault="005F230B" w:rsidP="00F363C4">
            <w:pPr>
              <w:pStyle w:val="Body"/>
              <w:spacing w:after="0"/>
              <w:rPr>
                <w:rFonts w:ascii="Arial" w:eastAsia="Calibri" w:hAnsi="Arial" w:cs="Arial"/>
                <w:szCs w:val="22"/>
              </w:rPr>
            </w:pPr>
            <w:r w:rsidRPr="00697B94">
              <w:rPr>
                <w:rFonts w:ascii="Arial" w:eastAsia="Calibri" w:hAnsi="Arial" w:cs="Arial"/>
                <w:b/>
                <w:szCs w:val="22"/>
              </w:rPr>
              <w:t>Place and Duration of Study:</w:t>
            </w:r>
            <w:r w:rsidRPr="00697B94">
              <w:rPr>
                <w:rFonts w:ascii="Arial" w:eastAsia="Calibri" w:hAnsi="Arial" w:cs="Arial"/>
                <w:szCs w:val="22"/>
              </w:rPr>
              <w:t xml:space="preserve"> The Department of </w:t>
            </w:r>
            <w:r w:rsidR="002A2222" w:rsidRPr="00697B94">
              <w:rPr>
                <w:rFonts w:ascii="Arial" w:eastAsia="Calibri" w:hAnsi="Arial" w:cs="Arial"/>
                <w:szCs w:val="22"/>
              </w:rPr>
              <w:t>Mathematical Sciences</w:t>
            </w:r>
            <w:r w:rsidRPr="00697B94">
              <w:rPr>
                <w:rFonts w:ascii="Arial" w:eastAsia="Calibri" w:hAnsi="Arial" w:cs="Arial"/>
                <w:szCs w:val="22"/>
              </w:rPr>
              <w:t xml:space="preserve"> at University of Mines and Technology, Ghana, between January 2024 and </w:t>
            </w:r>
            <w:r w:rsidR="002A2222" w:rsidRPr="00697B94">
              <w:rPr>
                <w:rFonts w:ascii="Arial" w:eastAsia="Calibri" w:hAnsi="Arial" w:cs="Arial"/>
                <w:szCs w:val="22"/>
              </w:rPr>
              <w:t>August</w:t>
            </w:r>
            <w:r w:rsidRPr="00697B94">
              <w:rPr>
                <w:rFonts w:ascii="Arial" w:eastAsia="Calibri" w:hAnsi="Arial" w:cs="Arial"/>
                <w:szCs w:val="22"/>
              </w:rPr>
              <w:t xml:space="preserve"> 2025.</w:t>
            </w:r>
          </w:p>
          <w:p w14:paraId="49430F71" w14:textId="77777777" w:rsidR="005F230B" w:rsidRPr="00697B94" w:rsidRDefault="005F230B" w:rsidP="00F363C4">
            <w:pPr>
              <w:pStyle w:val="Body"/>
              <w:spacing w:after="0"/>
              <w:rPr>
                <w:rFonts w:ascii="Arial" w:eastAsia="Calibri" w:hAnsi="Arial" w:cs="Arial"/>
                <w:szCs w:val="22"/>
              </w:rPr>
            </w:pPr>
            <w:r w:rsidRPr="00697B94">
              <w:rPr>
                <w:rFonts w:ascii="Arial" w:eastAsia="Calibri" w:hAnsi="Arial" w:cs="Arial"/>
                <w:b/>
                <w:bCs/>
                <w:szCs w:val="22"/>
              </w:rPr>
              <w:t>Methodology:</w:t>
            </w:r>
            <w:r w:rsidRPr="00697B94">
              <w:rPr>
                <w:rFonts w:ascii="Arial" w:eastAsia="Calibri" w:hAnsi="Arial" w:cs="Arial"/>
                <w:szCs w:val="22"/>
              </w:rPr>
              <w:t xml:space="preserve"> </w:t>
            </w:r>
            <w:r w:rsidR="007F76A2" w:rsidRPr="00697B94">
              <w:rPr>
                <w:rFonts w:ascii="Arial" w:eastAsia="Calibri" w:hAnsi="Arial" w:cs="Arial"/>
                <w:szCs w:val="22"/>
              </w:rPr>
              <w:t xml:space="preserve">The study employs annual secondary time-series data (1990–2019) drawn from the World Development Indicators. Using the Agosin–Machado investment model augmented with inflation, GDP growth and the nominal exchange rate, it applies the ARDL bounds-testing approach to cointegration and an Error-Correction Model for short-run dynamics. ADF and Phillips–Perron tests verify that variables are </w:t>
            </w:r>
            <w:proofErr w:type="gramStart"/>
            <w:r w:rsidR="007F76A2" w:rsidRPr="00697B94">
              <w:rPr>
                <w:rFonts w:ascii="Arial" w:eastAsia="Calibri" w:hAnsi="Arial" w:cs="Arial"/>
                <w:szCs w:val="22"/>
              </w:rPr>
              <w:t>I(</w:t>
            </w:r>
            <w:proofErr w:type="gramEnd"/>
            <w:r w:rsidR="007F76A2" w:rsidRPr="00697B94">
              <w:rPr>
                <w:rFonts w:ascii="Arial" w:eastAsia="Calibri" w:hAnsi="Arial" w:cs="Arial"/>
                <w:szCs w:val="22"/>
              </w:rPr>
              <w:t>0) or I(1), while standard post-estimation diagnostics check for serial correlation, heteroscedasticity, normality and parameter stability. Direction of causality between foreign and domestic investment is examined with pairwise Granger tests after selecting optimal lag lengths via VAR criteria.</w:t>
            </w:r>
          </w:p>
          <w:p w14:paraId="2CB44EB3" w14:textId="77777777" w:rsidR="005F230B" w:rsidRPr="00697B94" w:rsidRDefault="005F230B" w:rsidP="00F363C4">
            <w:pPr>
              <w:pStyle w:val="Body"/>
              <w:spacing w:after="0"/>
              <w:rPr>
                <w:rFonts w:ascii="Arial" w:eastAsia="Calibri" w:hAnsi="Arial" w:cs="Arial"/>
                <w:b/>
                <w:bCs/>
                <w:szCs w:val="22"/>
              </w:rPr>
            </w:pPr>
            <w:r w:rsidRPr="00697B94">
              <w:rPr>
                <w:rFonts w:ascii="Arial" w:eastAsia="Calibri" w:hAnsi="Arial" w:cs="Arial"/>
                <w:b/>
                <w:bCs/>
                <w:szCs w:val="22"/>
              </w:rPr>
              <w:t>Results:</w:t>
            </w:r>
            <w:r w:rsidRPr="00697B94">
              <w:rPr>
                <w:rFonts w:ascii="Arial" w:eastAsia="Calibri" w:hAnsi="Arial" w:cs="Arial"/>
                <w:szCs w:val="22"/>
              </w:rPr>
              <w:t xml:space="preserve"> </w:t>
            </w:r>
            <w:r w:rsidR="007F76A2" w:rsidRPr="00697B94">
              <w:t>ARDL bounds tests confirm a long-run equilibrium among the variables; the long-run estimate shows FDI has a significant negative (crowding-out) effect on domestic investment, while inflation exhibits an inverted-U impact, GDP growth is positively associated and the exchange rate is negatively related. Short-run ECM results mirror these signs and reveal a 45 % annual speed of adjustment back to equilibrium. Diagnostic and stability tests (Breusch-Godfrey, Jarque-Bera, CUSUM, CUSUMSQ) indicate a well-specified, stable model with no serial correlation or heteroscedasticity. Finally, Granger causality tests find no significant directional causality between foreign and domestic investment in Ghana.</w:t>
            </w:r>
          </w:p>
          <w:p w14:paraId="1C3BEB0B" w14:textId="77777777" w:rsidR="005F230B" w:rsidRPr="00697B94" w:rsidRDefault="005F230B" w:rsidP="00F363C4">
            <w:pPr>
              <w:jc w:val="both"/>
            </w:pPr>
            <w:r w:rsidRPr="00697B94">
              <w:rPr>
                <w:rFonts w:ascii="Arial" w:eastAsia="Calibri" w:hAnsi="Arial" w:cs="Arial"/>
                <w:b/>
                <w:bCs/>
                <w:szCs w:val="22"/>
              </w:rPr>
              <w:t>Conclusion:</w:t>
            </w:r>
            <w:r w:rsidRPr="00697B94">
              <w:rPr>
                <w:rFonts w:ascii="Arial" w:eastAsia="Calibri" w:hAnsi="Arial" w:cs="Arial"/>
                <w:szCs w:val="22"/>
              </w:rPr>
              <w:t xml:space="preserve"> </w:t>
            </w:r>
            <w:r w:rsidR="007F76A2" w:rsidRPr="00697B94">
              <w:t>The study concludes that FDI crowds out domestic investment in Ghana, while moderate inflation and GDP growth support it and exchange-rate depreciation harms it; no causal link exists between FDI and domestic investment. Policy should therefore target FDI diversification, strengthen local absorptive capacity, and improve the business climate to protect and stimulate domestic investors.</w:t>
            </w:r>
          </w:p>
          <w:p w14:paraId="41B4B972" w14:textId="77777777" w:rsidR="005F230B" w:rsidRPr="00697B94" w:rsidRDefault="005F230B" w:rsidP="00F363C4">
            <w:pPr>
              <w:pStyle w:val="Body"/>
              <w:spacing w:after="0"/>
              <w:rPr>
                <w:rFonts w:ascii="Arial" w:eastAsia="Calibri" w:hAnsi="Arial" w:cs="Arial"/>
                <w:szCs w:val="22"/>
              </w:rPr>
            </w:pPr>
          </w:p>
        </w:tc>
      </w:tr>
    </w:tbl>
    <w:p w14:paraId="71C51974" w14:textId="77777777" w:rsidR="00636EB2" w:rsidRPr="00697B94" w:rsidRDefault="00636EB2" w:rsidP="00441B6F">
      <w:pPr>
        <w:pStyle w:val="Body"/>
        <w:spacing w:after="0"/>
        <w:rPr>
          <w:rFonts w:ascii="Arial" w:hAnsi="Arial" w:cs="Arial"/>
          <w:i/>
        </w:rPr>
      </w:pPr>
    </w:p>
    <w:p w14:paraId="316E709A" w14:textId="77777777" w:rsidR="005F230B" w:rsidRPr="00697B94" w:rsidRDefault="005F230B" w:rsidP="005F230B">
      <w:pPr>
        <w:pStyle w:val="Body"/>
        <w:spacing w:after="0"/>
        <w:rPr>
          <w:rFonts w:ascii="Arial" w:hAnsi="Arial" w:cs="Arial"/>
          <w:i/>
        </w:rPr>
      </w:pPr>
      <w:r w:rsidRPr="00697B94">
        <w:rPr>
          <w:rFonts w:ascii="Arial" w:hAnsi="Arial" w:cs="Arial"/>
          <w:i/>
        </w:rPr>
        <w:t xml:space="preserve">Keywords: </w:t>
      </w:r>
      <w:r w:rsidR="007F76A2" w:rsidRPr="00697B94">
        <w:rPr>
          <w:rFonts w:ascii="Arial" w:hAnsi="Arial" w:cs="Arial"/>
          <w:i/>
        </w:rPr>
        <w:t>Foreign Direct Investment</w:t>
      </w:r>
      <w:r w:rsidRPr="00697B94">
        <w:rPr>
          <w:rFonts w:ascii="Arial" w:hAnsi="Arial" w:cs="Arial"/>
          <w:i/>
        </w:rPr>
        <w:t xml:space="preserve">; </w:t>
      </w:r>
      <w:r w:rsidR="007F76A2" w:rsidRPr="00697B94">
        <w:rPr>
          <w:rFonts w:ascii="Arial" w:hAnsi="Arial" w:cs="Arial"/>
          <w:i/>
        </w:rPr>
        <w:t>Inflation</w:t>
      </w:r>
      <w:r w:rsidRPr="00697B94">
        <w:rPr>
          <w:rFonts w:ascii="Arial" w:hAnsi="Arial" w:cs="Arial"/>
          <w:i/>
        </w:rPr>
        <w:t xml:space="preserve">; </w:t>
      </w:r>
      <w:r w:rsidR="007F76A2" w:rsidRPr="00697B94">
        <w:rPr>
          <w:rFonts w:ascii="Arial" w:hAnsi="Arial" w:cs="Arial"/>
          <w:i/>
        </w:rPr>
        <w:t>Crowding-out Effect</w:t>
      </w:r>
      <w:r w:rsidRPr="00697B94">
        <w:rPr>
          <w:rFonts w:ascii="Arial" w:hAnsi="Arial" w:cs="Arial"/>
          <w:i/>
        </w:rPr>
        <w:t xml:space="preserve">; </w:t>
      </w:r>
      <w:r w:rsidR="007F76A2" w:rsidRPr="00697B94">
        <w:rPr>
          <w:rFonts w:ascii="Arial" w:hAnsi="Arial" w:cs="Arial"/>
          <w:i/>
        </w:rPr>
        <w:t>Cointegration</w:t>
      </w:r>
      <w:r w:rsidRPr="00697B94">
        <w:rPr>
          <w:rFonts w:ascii="Arial" w:hAnsi="Arial" w:cs="Arial"/>
          <w:i/>
        </w:rPr>
        <w:t xml:space="preserve">; </w:t>
      </w:r>
      <w:r w:rsidR="007F76A2" w:rsidRPr="00697B94">
        <w:rPr>
          <w:rFonts w:ascii="Arial" w:hAnsi="Arial" w:cs="Arial"/>
          <w:i/>
        </w:rPr>
        <w:t>Exchange rate</w:t>
      </w:r>
    </w:p>
    <w:p w14:paraId="74E2885A" w14:textId="77777777" w:rsidR="00505F06" w:rsidRPr="00697B94" w:rsidRDefault="00505F06" w:rsidP="00441B6F">
      <w:pPr>
        <w:pStyle w:val="Body"/>
        <w:spacing w:after="0"/>
        <w:rPr>
          <w:rFonts w:ascii="Arial" w:hAnsi="Arial" w:cs="Arial"/>
          <w:i/>
        </w:rPr>
      </w:pPr>
    </w:p>
    <w:p w14:paraId="3195DEAE" w14:textId="77777777" w:rsidR="0040137B" w:rsidRPr="00697B94" w:rsidRDefault="0040137B" w:rsidP="0040137B">
      <w:pPr>
        <w:pStyle w:val="AbstHead"/>
        <w:spacing w:after="0"/>
        <w:jc w:val="both"/>
        <w:rPr>
          <w:rFonts w:ascii="Arial" w:hAnsi="Arial" w:cs="Arial"/>
        </w:rPr>
      </w:pPr>
      <w:r w:rsidRPr="00697B94">
        <w:rPr>
          <w:rFonts w:ascii="Arial" w:hAnsi="Arial" w:cs="Arial"/>
        </w:rPr>
        <w:t xml:space="preserve">1. INTRODUCTION </w:t>
      </w:r>
    </w:p>
    <w:p w14:paraId="5D8C87F6" w14:textId="77777777" w:rsidR="0040137B" w:rsidRPr="00697B94" w:rsidRDefault="0040137B" w:rsidP="0040137B">
      <w:pPr>
        <w:pStyle w:val="AbstHead"/>
        <w:spacing w:after="0"/>
        <w:jc w:val="both"/>
        <w:rPr>
          <w:rFonts w:ascii="Arial" w:hAnsi="Arial" w:cs="Arial"/>
        </w:rPr>
      </w:pPr>
    </w:p>
    <w:p w14:paraId="7348BE88" w14:textId="77777777" w:rsidR="0040137B" w:rsidRPr="00697B94" w:rsidRDefault="0040137B" w:rsidP="0040137B">
      <w:pPr>
        <w:pStyle w:val="AbstHead"/>
        <w:spacing w:after="0"/>
        <w:jc w:val="both"/>
        <w:rPr>
          <w:rFonts w:ascii="Arial" w:hAnsi="Arial" w:cs="Arial"/>
          <w:caps w:val="0"/>
        </w:rPr>
      </w:pPr>
      <w:r w:rsidRPr="00697B94">
        <w:rPr>
          <w:rFonts w:ascii="Arial" w:hAnsi="Arial" w:cs="Arial"/>
        </w:rPr>
        <w:t xml:space="preserve">1.1 </w:t>
      </w:r>
      <w:r w:rsidRPr="00697B94">
        <w:rPr>
          <w:rFonts w:ascii="Arial" w:hAnsi="Arial" w:cs="Arial"/>
          <w:caps w:val="0"/>
          <w:sz w:val="24"/>
        </w:rPr>
        <w:t>Background of Study</w:t>
      </w:r>
    </w:p>
    <w:p w14:paraId="48C26343" w14:textId="77777777" w:rsidR="001453FE" w:rsidRPr="00697B94" w:rsidRDefault="001453FE" w:rsidP="001453FE">
      <w:pPr>
        <w:pStyle w:val="AbstHead"/>
        <w:jc w:val="both"/>
        <w:rPr>
          <w:rFonts w:ascii="Arial" w:hAnsi="Arial" w:cs="Arial"/>
          <w:b w:val="0"/>
          <w:caps w:val="0"/>
          <w:sz w:val="20"/>
        </w:rPr>
      </w:pPr>
      <w:r w:rsidRPr="00697B94">
        <w:rPr>
          <w:rFonts w:ascii="Arial" w:hAnsi="Arial" w:cs="Arial"/>
          <w:b w:val="0"/>
          <w:caps w:val="0"/>
          <w:sz w:val="20"/>
        </w:rPr>
        <w:t>Over the past five decades, foreign direct investment (FDI) has become a central driver of economic globalization, yet its net benefits remain contested (Ahmed et al., 2015). Developing countries often welcome FDI on the expectation that multinational enterprises (MNEs) will inject scarce capital, advanced technology and management know-how, thereby stimulating domestic capital formation (</w:t>
      </w:r>
      <w:proofErr w:type="spellStart"/>
      <w:r w:rsidRPr="00697B94">
        <w:rPr>
          <w:rFonts w:ascii="Arial" w:hAnsi="Arial" w:cs="Arial"/>
          <w:b w:val="0"/>
          <w:caps w:val="0"/>
          <w:sz w:val="20"/>
        </w:rPr>
        <w:t>Blomström</w:t>
      </w:r>
      <w:proofErr w:type="spellEnd"/>
      <w:r w:rsidRPr="00697B94">
        <w:rPr>
          <w:rFonts w:ascii="Arial" w:hAnsi="Arial" w:cs="Arial"/>
          <w:b w:val="0"/>
          <w:caps w:val="0"/>
          <w:sz w:val="20"/>
        </w:rPr>
        <w:t xml:space="preserve"> &amp; </w:t>
      </w:r>
      <w:proofErr w:type="spellStart"/>
      <w:r w:rsidRPr="00697B94">
        <w:rPr>
          <w:rFonts w:ascii="Arial" w:hAnsi="Arial" w:cs="Arial"/>
          <w:b w:val="0"/>
          <w:caps w:val="0"/>
          <w:sz w:val="20"/>
        </w:rPr>
        <w:t>Kokko</w:t>
      </w:r>
      <w:proofErr w:type="spellEnd"/>
      <w:r w:rsidRPr="00697B94">
        <w:rPr>
          <w:rFonts w:ascii="Arial" w:hAnsi="Arial" w:cs="Arial"/>
          <w:b w:val="0"/>
          <w:caps w:val="0"/>
          <w:sz w:val="20"/>
        </w:rPr>
        <w:t xml:space="preserve">, 1998). Early evidence from China appeared to vindicate this optimism: Sun (1998) found a robust positive correlation between FDI and domestic investment using provincial data, while Shan (2002) concluded that rising FDI ratios boosted industrial output growth. These studies suggest that when foreign firms create vertical </w:t>
      </w:r>
      <w:r w:rsidRPr="00697B94">
        <w:rPr>
          <w:rFonts w:ascii="Arial" w:hAnsi="Arial" w:cs="Arial"/>
          <w:b w:val="0"/>
          <w:caps w:val="0"/>
          <w:sz w:val="20"/>
        </w:rPr>
        <w:lastRenderedPageBreak/>
        <w:t>linkages with local suppliers or locate in under-developed sectors, positive spill-overs can crowd-in domestic investment.</w:t>
      </w:r>
    </w:p>
    <w:p w14:paraId="6466E4EB" w14:textId="77777777" w:rsidR="001453FE" w:rsidRPr="00697B94" w:rsidRDefault="001453FE" w:rsidP="001453FE">
      <w:pPr>
        <w:pStyle w:val="AbstHead"/>
        <w:jc w:val="both"/>
        <w:rPr>
          <w:rFonts w:ascii="Arial" w:hAnsi="Arial" w:cs="Arial"/>
          <w:b w:val="0"/>
          <w:caps w:val="0"/>
          <w:sz w:val="20"/>
        </w:rPr>
      </w:pPr>
      <w:r w:rsidRPr="00697B94">
        <w:rPr>
          <w:rFonts w:ascii="Arial" w:hAnsi="Arial" w:cs="Arial"/>
          <w:b w:val="0"/>
          <w:caps w:val="0"/>
          <w:sz w:val="20"/>
        </w:rPr>
        <w:t>Conversely, critics argue that MNEs may simply displace local firms through superior technology, scale economies or preferential treatment. Hymer’s (1960) industrial-organization perspective views FDI as a strategy to entrench monopoly power, reinforced by Caves (1971) and Braunstein &amp; Epstein (2004) who show that generous tax holidays and relaxed regulations can erode domestic competitiveness. Empirical support for this crowding-out hypothesis comes from Braunstein &amp; Epstein’s (2002) panel study of Chinese provinces and Huang’s (2003) firm-level analysis, both indicating that FDI inflows substituted for—rather than supplemented—domestic capital formation.</w:t>
      </w:r>
    </w:p>
    <w:p w14:paraId="5A68F492" w14:textId="3DE8FEFE" w:rsidR="001453FE" w:rsidRPr="00697B94" w:rsidRDefault="001453FE" w:rsidP="001453FE">
      <w:pPr>
        <w:pStyle w:val="AbstHead"/>
        <w:jc w:val="both"/>
        <w:rPr>
          <w:rFonts w:ascii="Arial" w:hAnsi="Arial" w:cs="Arial"/>
          <w:b w:val="0"/>
          <w:caps w:val="0"/>
          <w:sz w:val="20"/>
        </w:rPr>
      </w:pPr>
      <w:r w:rsidRPr="00697B94">
        <w:rPr>
          <w:rFonts w:ascii="Arial" w:hAnsi="Arial" w:cs="Arial"/>
          <w:b w:val="0"/>
          <w:caps w:val="0"/>
          <w:sz w:val="20"/>
        </w:rPr>
        <w:t xml:space="preserve">Ghana epitomizes this debate. Since the 1983 Economic Recovery Programme and the 1994 Investment Code, the country has attracted surging FDI—rising from 1 % of GDP in the early 1980s to over 8 % by 2019—yet domestic investment as a share of GDP has remained stubbornly low (Anon., 2003; Andrews et al., 2018). The Ghana Investment Promotion Centre (GIPC) reports that roughly 70 % of foreign capital targets resource extraction and enclave manufacturing, leaving limited backward linkages for local entrepreneurs. Moreover, Ghanaian policy has historically granted foreign-owned enterprises more generous incentives than domestic firms, </w:t>
      </w:r>
      <w:r w:rsidR="00697B94" w:rsidRPr="00697B94">
        <w:rPr>
          <w:rFonts w:ascii="Arial" w:hAnsi="Arial" w:cs="Arial"/>
          <w:b w:val="0"/>
          <w:caps w:val="0"/>
          <w:sz w:val="20"/>
        </w:rPr>
        <w:t>fuelling</w:t>
      </w:r>
      <w:r w:rsidRPr="00697B94">
        <w:rPr>
          <w:rFonts w:ascii="Arial" w:hAnsi="Arial" w:cs="Arial"/>
          <w:b w:val="0"/>
          <w:caps w:val="0"/>
          <w:sz w:val="20"/>
        </w:rPr>
        <w:t xml:space="preserve"> concerns that scarce capital, skilled labour and imported inputs are being diverted away from indigenous investors (Andrews et al., 2018).</w:t>
      </w:r>
    </w:p>
    <w:p w14:paraId="077B5FC8" w14:textId="77777777" w:rsidR="007F76A2" w:rsidRPr="00697B94" w:rsidRDefault="001453FE" w:rsidP="001453FE">
      <w:pPr>
        <w:pStyle w:val="AbstHead"/>
        <w:spacing w:after="0"/>
        <w:jc w:val="both"/>
        <w:rPr>
          <w:rFonts w:ascii="Arial" w:hAnsi="Arial" w:cs="Arial"/>
          <w:b w:val="0"/>
          <w:caps w:val="0"/>
          <w:sz w:val="20"/>
        </w:rPr>
      </w:pPr>
      <w:r w:rsidRPr="00697B94">
        <w:rPr>
          <w:rFonts w:ascii="Arial" w:hAnsi="Arial" w:cs="Arial"/>
          <w:b w:val="0"/>
          <w:caps w:val="0"/>
          <w:sz w:val="20"/>
        </w:rPr>
        <w:t>These conflicting theoretical predictions and mixed international evidence, combined with Ghana’s paradox of high FDI inflows alongside sluggish domestic capital formation, underscore the urgency of rigorous country-specific analysis (Ali, 2018). While numerous studies have examined FDI’s impact on Ghanaian economic growth (Osei, 2014; Owusu-Antwi et al., 2013), very few have directly tested its effect on domestic investment. This paper therefore addresses that gap by investigating whether FDI crowds-in or crowds-out domestic investment in Ghana over the period 1990-2019.</w:t>
      </w:r>
    </w:p>
    <w:p w14:paraId="23162DDC" w14:textId="77777777" w:rsidR="007F76A2" w:rsidRPr="00697B94" w:rsidRDefault="007F76A2" w:rsidP="0040137B">
      <w:pPr>
        <w:pStyle w:val="AbstHead"/>
        <w:spacing w:after="0"/>
        <w:jc w:val="both"/>
        <w:rPr>
          <w:rFonts w:ascii="Arial" w:hAnsi="Arial" w:cs="Arial"/>
          <w:b w:val="0"/>
          <w:caps w:val="0"/>
          <w:sz w:val="20"/>
        </w:rPr>
      </w:pPr>
    </w:p>
    <w:p w14:paraId="24EA1F39" w14:textId="77777777" w:rsidR="0040137B" w:rsidRPr="00697B94" w:rsidRDefault="0040137B" w:rsidP="0040137B">
      <w:pPr>
        <w:pStyle w:val="AbstHead"/>
        <w:rPr>
          <w:rFonts w:ascii="Arial" w:hAnsi="Arial" w:cs="Arial"/>
        </w:rPr>
      </w:pPr>
      <w:r w:rsidRPr="00697B94">
        <w:rPr>
          <w:rFonts w:ascii="Arial" w:hAnsi="Arial" w:cs="Arial"/>
        </w:rPr>
        <w:t xml:space="preserve">1.2 </w:t>
      </w:r>
      <w:r w:rsidRPr="00697B94">
        <w:rPr>
          <w:rFonts w:ascii="Arial" w:hAnsi="Arial" w:cs="Arial"/>
          <w:caps w:val="0"/>
        </w:rPr>
        <w:t>Problem Statement</w:t>
      </w:r>
    </w:p>
    <w:p w14:paraId="44BCA06E" w14:textId="77777777" w:rsidR="001453FE" w:rsidRPr="00697B94" w:rsidRDefault="001453FE" w:rsidP="001453FE">
      <w:pPr>
        <w:pStyle w:val="AbstHead"/>
        <w:jc w:val="both"/>
        <w:rPr>
          <w:rFonts w:ascii="Arial" w:hAnsi="Arial" w:cs="Arial"/>
          <w:b w:val="0"/>
          <w:caps w:val="0"/>
          <w:sz w:val="20"/>
        </w:rPr>
      </w:pPr>
      <w:r w:rsidRPr="00697B94">
        <w:rPr>
          <w:rFonts w:ascii="Arial" w:hAnsi="Arial" w:cs="Arial"/>
          <w:b w:val="0"/>
          <w:caps w:val="0"/>
          <w:sz w:val="20"/>
        </w:rPr>
        <w:t>The relationship between FDI and domestic investment continues to be the focus of a large number of studies. In the current literature, it has been argued that FDI inflows have a positive impact on economic growth and encourage domestic investment by facilitating the diffusion of new technologies, the formation of human resources, and the strengthening of back-and-forth linkages between multinational corporations (MNCs) and domestic firms in recipient countries' underdeveloped sectors. Furthermore, FDI can provide staff with management skills and bind local industries to international markets, among other things (Ali, 2018).</w:t>
      </w:r>
    </w:p>
    <w:p w14:paraId="136363D2" w14:textId="77777777" w:rsidR="001453FE" w:rsidRPr="00697B94" w:rsidRDefault="001453FE" w:rsidP="001453FE">
      <w:pPr>
        <w:pStyle w:val="AbstHead"/>
        <w:jc w:val="both"/>
        <w:rPr>
          <w:rFonts w:ascii="Arial" w:hAnsi="Arial" w:cs="Arial"/>
          <w:b w:val="0"/>
          <w:caps w:val="0"/>
          <w:sz w:val="20"/>
        </w:rPr>
      </w:pPr>
      <w:r w:rsidRPr="00697B94">
        <w:rPr>
          <w:rFonts w:ascii="Arial" w:hAnsi="Arial" w:cs="Arial"/>
          <w:b w:val="0"/>
          <w:caps w:val="0"/>
          <w:sz w:val="20"/>
        </w:rPr>
        <w:t xml:space="preserve">On the other hand, some people believe that increasing FDI would stifle rather than promote domestic investment. According to this claim, the existence of FDI in a country is likely to capture the domestic markets in which domestic infant industries sell their immature goods, thereby preventing them from gaining economies of scale benefits.  Furthermore, since FDI normally pays higher prices for local inputs, bringing in new FDI ventures will increase local firms' production costs and, as a result, limit their ability to grow (Ali, 2018). </w:t>
      </w:r>
    </w:p>
    <w:p w14:paraId="66F92A2E" w14:textId="29029962" w:rsidR="001453FE" w:rsidRPr="00697B94" w:rsidRDefault="001453FE" w:rsidP="001453FE">
      <w:pPr>
        <w:pStyle w:val="AbstHead"/>
        <w:jc w:val="both"/>
        <w:rPr>
          <w:rFonts w:ascii="Arial" w:hAnsi="Arial" w:cs="Arial"/>
          <w:b w:val="0"/>
          <w:caps w:val="0"/>
          <w:sz w:val="20"/>
        </w:rPr>
      </w:pPr>
      <w:r w:rsidRPr="00697B94">
        <w:rPr>
          <w:rFonts w:ascii="Arial" w:hAnsi="Arial" w:cs="Arial"/>
          <w:b w:val="0"/>
          <w:caps w:val="0"/>
          <w:sz w:val="20"/>
        </w:rPr>
        <w:t xml:space="preserve">Ghana has drawn substantial foreign direct investment (FDI) over the last decade as one of the fastest-growing economies, and has been one of the top FDI recipients among developing countries since 2010. Between 2011 and 2019, FDI inflows into Ghana </w:t>
      </w:r>
      <w:r w:rsidR="00697B94" w:rsidRPr="00697B94">
        <w:rPr>
          <w:rFonts w:ascii="Arial" w:hAnsi="Arial" w:cs="Arial"/>
          <w:b w:val="0"/>
          <w:caps w:val="0"/>
          <w:sz w:val="20"/>
        </w:rPr>
        <w:t>totalled</w:t>
      </w:r>
      <w:r w:rsidRPr="00697B94">
        <w:rPr>
          <w:rFonts w:ascii="Arial" w:hAnsi="Arial" w:cs="Arial"/>
          <w:b w:val="0"/>
          <w:caps w:val="0"/>
          <w:sz w:val="20"/>
        </w:rPr>
        <w:t xml:space="preserve"> </w:t>
      </w:r>
      <w:r w:rsidR="0086240D">
        <w:rPr>
          <w:rFonts w:ascii="Arial" w:hAnsi="Arial" w:cs="Arial"/>
          <w:b w:val="0"/>
          <w:caps w:val="0"/>
          <w:sz w:val="20"/>
        </w:rPr>
        <w:t>US</w:t>
      </w:r>
      <w:r w:rsidRPr="00697B94">
        <w:rPr>
          <w:rFonts w:ascii="Arial" w:hAnsi="Arial" w:cs="Arial"/>
          <w:b w:val="0"/>
          <w:caps w:val="0"/>
          <w:sz w:val="20"/>
        </w:rPr>
        <w:t>$</w:t>
      </w:r>
      <w:r w:rsidR="0086240D">
        <w:rPr>
          <w:rFonts w:ascii="Arial" w:hAnsi="Arial" w:cs="Arial"/>
          <w:b w:val="0"/>
          <w:caps w:val="0"/>
          <w:sz w:val="20"/>
        </w:rPr>
        <w:t xml:space="preserve"> </w:t>
      </w:r>
      <w:r w:rsidRPr="00697B94">
        <w:rPr>
          <w:rFonts w:ascii="Arial" w:hAnsi="Arial" w:cs="Arial"/>
          <w:b w:val="0"/>
          <w:caps w:val="0"/>
          <w:sz w:val="20"/>
        </w:rPr>
        <w:t xml:space="preserve">28.343 billion, with approximately 75,000 multinational enterprises (MNEs) operating in the country (Andrews, 2015). The stylized facts about the Ghanaian economy, on the other hand, show that domestic investments are largely stagnant and do not rise at the same rate as FDI </w:t>
      </w:r>
      <w:r w:rsidRPr="00697B94">
        <w:rPr>
          <w:rFonts w:ascii="Arial" w:hAnsi="Arial" w:cs="Arial"/>
          <w:b w:val="0"/>
          <w:caps w:val="0"/>
          <w:sz w:val="20"/>
        </w:rPr>
        <w:lastRenderedPageBreak/>
        <w:t>(Andrews et al., 2018). This unsatisfactory output of domestic businesses, coupled with a plethora of contradictory theoretical and empirical</w:t>
      </w:r>
      <w:r w:rsidR="00DD1699" w:rsidRPr="00697B94">
        <w:rPr>
          <w:rFonts w:ascii="Arial" w:hAnsi="Arial" w:cs="Arial"/>
          <w:b w:val="0"/>
          <w:caps w:val="0"/>
          <w:sz w:val="20"/>
        </w:rPr>
        <w:t xml:space="preserve"> </w:t>
      </w:r>
      <w:r w:rsidRPr="00697B94">
        <w:rPr>
          <w:rFonts w:ascii="Arial" w:hAnsi="Arial" w:cs="Arial"/>
          <w:b w:val="0"/>
          <w:caps w:val="0"/>
          <w:sz w:val="20"/>
        </w:rPr>
        <w:t>literature, makes the issue of the effect of FDI on domestic</w:t>
      </w:r>
      <w:r w:rsidR="00DD1699" w:rsidRPr="00697B94">
        <w:rPr>
          <w:rFonts w:ascii="Arial" w:hAnsi="Arial" w:cs="Arial"/>
          <w:b w:val="0"/>
          <w:caps w:val="0"/>
          <w:sz w:val="20"/>
        </w:rPr>
        <w:t xml:space="preserve"> </w:t>
      </w:r>
      <w:r w:rsidRPr="00697B94">
        <w:rPr>
          <w:rFonts w:ascii="Arial" w:hAnsi="Arial" w:cs="Arial"/>
          <w:b w:val="0"/>
          <w:caps w:val="0"/>
          <w:sz w:val="20"/>
        </w:rPr>
        <w:t>investment in Ghana one of the most pressing</w:t>
      </w:r>
      <w:r w:rsidR="00DD1699" w:rsidRPr="00697B94">
        <w:rPr>
          <w:rFonts w:ascii="Arial" w:hAnsi="Arial" w:cs="Arial"/>
          <w:b w:val="0"/>
          <w:caps w:val="0"/>
          <w:sz w:val="20"/>
        </w:rPr>
        <w:t xml:space="preserve"> </w:t>
      </w:r>
      <w:r w:rsidRPr="00697B94">
        <w:rPr>
          <w:rFonts w:ascii="Arial" w:hAnsi="Arial" w:cs="Arial"/>
          <w:b w:val="0"/>
          <w:caps w:val="0"/>
          <w:sz w:val="20"/>
        </w:rPr>
        <w:t xml:space="preserve">puzzles that requires immediate resolution. </w:t>
      </w:r>
    </w:p>
    <w:p w14:paraId="7FD41E11" w14:textId="77777777" w:rsidR="001453FE" w:rsidRPr="00697B94" w:rsidRDefault="001453FE" w:rsidP="001453FE">
      <w:pPr>
        <w:pStyle w:val="AbstHead"/>
        <w:jc w:val="both"/>
        <w:rPr>
          <w:rFonts w:ascii="Arial" w:hAnsi="Arial" w:cs="Arial"/>
          <w:b w:val="0"/>
          <w:caps w:val="0"/>
          <w:sz w:val="20"/>
        </w:rPr>
      </w:pPr>
      <w:r w:rsidRPr="00697B94">
        <w:rPr>
          <w:rFonts w:ascii="Arial" w:hAnsi="Arial" w:cs="Arial"/>
          <w:b w:val="0"/>
          <w:caps w:val="0"/>
          <w:sz w:val="20"/>
        </w:rPr>
        <w:t>Accordingly, there has been a lot of debate on how FDI affects domestic</w:t>
      </w:r>
      <w:r w:rsidR="00DD1699" w:rsidRPr="00697B94">
        <w:rPr>
          <w:rFonts w:ascii="Arial" w:hAnsi="Arial" w:cs="Arial"/>
          <w:b w:val="0"/>
          <w:caps w:val="0"/>
          <w:sz w:val="20"/>
        </w:rPr>
        <w:t xml:space="preserve"> </w:t>
      </w:r>
      <w:r w:rsidRPr="00697B94">
        <w:rPr>
          <w:rFonts w:ascii="Arial" w:hAnsi="Arial" w:cs="Arial"/>
          <w:b w:val="0"/>
          <w:caps w:val="0"/>
          <w:sz w:val="20"/>
        </w:rPr>
        <w:t>investment, but</w:t>
      </w:r>
      <w:r w:rsidR="00DD1699" w:rsidRPr="00697B94">
        <w:rPr>
          <w:rFonts w:ascii="Arial" w:hAnsi="Arial" w:cs="Arial"/>
          <w:b w:val="0"/>
          <w:caps w:val="0"/>
          <w:sz w:val="20"/>
        </w:rPr>
        <w:t xml:space="preserve"> </w:t>
      </w:r>
      <w:r w:rsidRPr="00697B94">
        <w:rPr>
          <w:rFonts w:ascii="Arial" w:hAnsi="Arial" w:cs="Arial"/>
          <w:b w:val="0"/>
          <w:caps w:val="0"/>
          <w:sz w:val="20"/>
        </w:rPr>
        <w:t>empirical evidence</w:t>
      </w:r>
      <w:r w:rsidR="00DD1699" w:rsidRPr="00697B94">
        <w:rPr>
          <w:rFonts w:ascii="Arial" w:hAnsi="Arial" w:cs="Arial"/>
          <w:b w:val="0"/>
          <w:caps w:val="0"/>
          <w:sz w:val="20"/>
        </w:rPr>
        <w:t xml:space="preserve"> </w:t>
      </w:r>
      <w:r w:rsidRPr="00697B94">
        <w:rPr>
          <w:rFonts w:ascii="Arial" w:hAnsi="Arial" w:cs="Arial"/>
          <w:b w:val="0"/>
          <w:caps w:val="0"/>
          <w:sz w:val="20"/>
        </w:rPr>
        <w:t>on the relationship</w:t>
      </w:r>
      <w:r w:rsidR="00DD1699" w:rsidRPr="00697B94">
        <w:rPr>
          <w:rFonts w:ascii="Arial" w:hAnsi="Arial" w:cs="Arial"/>
          <w:b w:val="0"/>
          <w:caps w:val="0"/>
          <w:sz w:val="20"/>
        </w:rPr>
        <w:t xml:space="preserve"> </w:t>
      </w:r>
      <w:r w:rsidRPr="00697B94">
        <w:rPr>
          <w:rFonts w:ascii="Arial" w:hAnsi="Arial" w:cs="Arial"/>
          <w:b w:val="0"/>
          <w:caps w:val="0"/>
          <w:sz w:val="20"/>
        </w:rPr>
        <w:t>between the two variables are mixed. Several studies have found that FDI</w:t>
      </w:r>
      <w:r w:rsidR="00DD1699" w:rsidRPr="00697B94">
        <w:rPr>
          <w:rFonts w:ascii="Arial" w:hAnsi="Arial" w:cs="Arial"/>
          <w:b w:val="0"/>
          <w:caps w:val="0"/>
          <w:sz w:val="20"/>
        </w:rPr>
        <w:t xml:space="preserve"> </w:t>
      </w:r>
      <w:r w:rsidRPr="00697B94">
        <w:rPr>
          <w:rFonts w:ascii="Arial" w:hAnsi="Arial" w:cs="Arial"/>
          <w:b w:val="0"/>
          <w:caps w:val="0"/>
          <w:sz w:val="20"/>
        </w:rPr>
        <w:t>complements or crowds in</w:t>
      </w:r>
      <w:r w:rsidR="00DD1699" w:rsidRPr="00697B94">
        <w:rPr>
          <w:rFonts w:ascii="Arial" w:hAnsi="Arial" w:cs="Arial"/>
          <w:b w:val="0"/>
          <w:caps w:val="0"/>
          <w:sz w:val="20"/>
        </w:rPr>
        <w:t xml:space="preserve"> </w:t>
      </w:r>
      <w:r w:rsidRPr="00697B94">
        <w:rPr>
          <w:rFonts w:ascii="Arial" w:hAnsi="Arial" w:cs="Arial"/>
          <w:b w:val="0"/>
          <w:caps w:val="0"/>
          <w:sz w:val="20"/>
        </w:rPr>
        <w:t>domestic investment (Agosin and</w:t>
      </w:r>
      <w:r w:rsidR="00DD1699" w:rsidRPr="00697B94">
        <w:rPr>
          <w:rFonts w:ascii="Arial" w:hAnsi="Arial" w:cs="Arial"/>
          <w:b w:val="0"/>
          <w:caps w:val="0"/>
          <w:sz w:val="20"/>
        </w:rPr>
        <w:t xml:space="preserve"> </w:t>
      </w:r>
      <w:r w:rsidRPr="00697B94">
        <w:rPr>
          <w:rFonts w:ascii="Arial" w:hAnsi="Arial" w:cs="Arial"/>
          <w:b w:val="0"/>
          <w:caps w:val="0"/>
          <w:sz w:val="20"/>
        </w:rPr>
        <w:t>Meyer, 2000; Desai et al., 2005), while others have found that FDI</w:t>
      </w:r>
      <w:r w:rsidR="00DD1699" w:rsidRPr="00697B94">
        <w:rPr>
          <w:rFonts w:ascii="Arial" w:hAnsi="Arial" w:cs="Arial"/>
          <w:b w:val="0"/>
          <w:caps w:val="0"/>
          <w:sz w:val="20"/>
        </w:rPr>
        <w:t xml:space="preserve"> </w:t>
      </w:r>
      <w:r w:rsidRPr="00697B94">
        <w:rPr>
          <w:rFonts w:ascii="Arial" w:hAnsi="Arial" w:cs="Arial"/>
          <w:b w:val="0"/>
          <w:caps w:val="0"/>
          <w:sz w:val="20"/>
        </w:rPr>
        <w:t>substitutes or crowds out domestic investment (Ergha, 2012; Acar et al., 2012). To summarize, the so-called crowding-out and crowding-in hypothesis proposes two opposing viewpoints on the</w:t>
      </w:r>
      <w:r w:rsidR="002B4C19" w:rsidRPr="00697B94">
        <w:rPr>
          <w:rFonts w:ascii="Arial" w:hAnsi="Arial" w:cs="Arial"/>
          <w:b w:val="0"/>
          <w:caps w:val="0"/>
          <w:sz w:val="20"/>
        </w:rPr>
        <w:t xml:space="preserve"> </w:t>
      </w:r>
      <w:r w:rsidRPr="00697B94">
        <w:rPr>
          <w:rFonts w:ascii="Arial" w:hAnsi="Arial" w:cs="Arial"/>
          <w:b w:val="0"/>
          <w:caps w:val="0"/>
          <w:sz w:val="20"/>
        </w:rPr>
        <w:t>relationship between FDI and</w:t>
      </w:r>
      <w:r w:rsidR="00DD1699" w:rsidRPr="00697B94">
        <w:rPr>
          <w:rFonts w:ascii="Arial" w:hAnsi="Arial" w:cs="Arial"/>
          <w:b w:val="0"/>
          <w:caps w:val="0"/>
          <w:sz w:val="20"/>
        </w:rPr>
        <w:t xml:space="preserve"> </w:t>
      </w:r>
      <w:r w:rsidRPr="00697B94">
        <w:rPr>
          <w:rFonts w:ascii="Arial" w:hAnsi="Arial" w:cs="Arial"/>
          <w:b w:val="0"/>
          <w:caps w:val="0"/>
          <w:sz w:val="20"/>
        </w:rPr>
        <w:t xml:space="preserve">domestic investment. In line with these opposing theories, the scientific literature also yields contradictory results. </w:t>
      </w:r>
    </w:p>
    <w:p w14:paraId="07927FF2" w14:textId="77777777" w:rsidR="0040137B" w:rsidRPr="00697B94" w:rsidRDefault="001453FE" w:rsidP="001453FE">
      <w:pPr>
        <w:pStyle w:val="AbstHead"/>
        <w:spacing w:after="0"/>
        <w:jc w:val="both"/>
        <w:rPr>
          <w:rFonts w:ascii="Arial" w:hAnsi="Arial" w:cs="Arial"/>
          <w:b w:val="0"/>
          <w:caps w:val="0"/>
          <w:sz w:val="20"/>
        </w:rPr>
      </w:pPr>
      <w:r w:rsidRPr="00697B94">
        <w:rPr>
          <w:rFonts w:ascii="Arial" w:hAnsi="Arial" w:cs="Arial"/>
          <w:b w:val="0"/>
          <w:caps w:val="0"/>
          <w:sz w:val="20"/>
        </w:rPr>
        <w:t>However, our review of the literature reveals that while the literature on the impact of FDI on economic growth in Ghana is abundant (Osei, 2014; Owusu-Antwi et al., 2013; Barthel et al., 2011; Tsikata et al., 2000), there are few to no studies</w:t>
      </w:r>
      <w:r w:rsidR="002B4C19" w:rsidRPr="00697B94">
        <w:rPr>
          <w:rFonts w:ascii="Arial" w:hAnsi="Arial" w:cs="Arial"/>
          <w:b w:val="0"/>
          <w:caps w:val="0"/>
          <w:sz w:val="20"/>
        </w:rPr>
        <w:t xml:space="preserve"> </w:t>
      </w:r>
      <w:r w:rsidRPr="00697B94">
        <w:rPr>
          <w:rFonts w:ascii="Arial" w:hAnsi="Arial" w:cs="Arial"/>
          <w:b w:val="0"/>
          <w:caps w:val="0"/>
          <w:sz w:val="20"/>
        </w:rPr>
        <w:t>on the effect</w:t>
      </w:r>
      <w:r w:rsidR="002B4C19" w:rsidRPr="00697B94">
        <w:rPr>
          <w:rFonts w:ascii="Arial" w:hAnsi="Arial" w:cs="Arial"/>
          <w:b w:val="0"/>
          <w:caps w:val="0"/>
          <w:sz w:val="20"/>
        </w:rPr>
        <w:t xml:space="preserve"> </w:t>
      </w:r>
      <w:r w:rsidRPr="00697B94">
        <w:rPr>
          <w:rFonts w:ascii="Arial" w:hAnsi="Arial" w:cs="Arial"/>
          <w:b w:val="0"/>
          <w:caps w:val="0"/>
          <w:sz w:val="20"/>
        </w:rPr>
        <w:t>of FDI on</w:t>
      </w:r>
      <w:r w:rsidR="002B4C19" w:rsidRPr="00697B94">
        <w:rPr>
          <w:rFonts w:ascii="Arial" w:hAnsi="Arial" w:cs="Arial"/>
          <w:b w:val="0"/>
          <w:caps w:val="0"/>
          <w:sz w:val="20"/>
        </w:rPr>
        <w:t xml:space="preserve"> </w:t>
      </w:r>
      <w:r w:rsidRPr="00697B94">
        <w:rPr>
          <w:rFonts w:ascii="Arial" w:hAnsi="Arial" w:cs="Arial"/>
          <w:b w:val="0"/>
          <w:caps w:val="0"/>
          <w:sz w:val="20"/>
        </w:rPr>
        <w:t>domestic investment in Ghana. With this issue in mind, as well as the unsatisfactory performance of domestic businesses despite large FDI inflows, this paper aims to investigate the possible impact of FDI on domestic</w:t>
      </w:r>
      <w:r w:rsidR="002B4C19" w:rsidRPr="00697B94">
        <w:rPr>
          <w:rFonts w:ascii="Arial" w:hAnsi="Arial" w:cs="Arial"/>
          <w:b w:val="0"/>
          <w:caps w:val="0"/>
          <w:sz w:val="20"/>
        </w:rPr>
        <w:t xml:space="preserve"> </w:t>
      </w:r>
      <w:r w:rsidRPr="00697B94">
        <w:rPr>
          <w:rFonts w:ascii="Arial" w:hAnsi="Arial" w:cs="Arial"/>
          <w:b w:val="0"/>
          <w:caps w:val="0"/>
          <w:sz w:val="20"/>
        </w:rPr>
        <w:t>investment in Ghana using the Autoregressive Distributed Lag (ARDL) model.</w:t>
      </w:r>
    </w:p>
    <w:p w14:paraId="1A430D81" w14:textId="77777777" w:rsidR="0040137B" w:rsidRPr="00697B94" w:rsidRDefault="0040137B" w:rsidP="0040137B">
      <w:pPr>
        <w:pStyle w:val="AbstHead"/>
        <w:spacing w:after="0"/>
        <w:jc w:val="both"/>
        <w:rPr>
          <w:rFonts w:ascii="Arial" w:hAnsi="Arial" w:cs="Arial"/>
          <w:b w:val="0"/>
          <w:caps w:val="0"/>
          <w:sz w:val="20"/>
        </w:rPr>
      </w:pPr>
    </w:p>
    <w:p w14:paraId="1969D63F" w14:textId="77777777" w:rsidR="0040137B" w:rsidRPr="00697B94" w:rsidRDefault="0040137B" w:rsidP="0040137B">
      <w:pPr>
        <w:pStyle w:val="AbstHead"/>
        <w:spacing w:after="0"/>
        <w:jc w:val="both"/>
        <w:rPr>
          <w:rFonts w:ascii="Arial" w:hAnsi="Arial" w:cs="Arial"/>
          <w:b w:val="0"/>
          <w:caps w:val="0"/>
          <w:sz w:val="20"/>
        </w:rPr>
      </w:pPr>
    </w:p>
    <w:p w14:paraId="0C4CF433" w14:textId="77777777" w:rsidR="0040137B" w:rsidRPr="00697B94" w:rsidRDefault="0040137B" w:rsidP="0040137B">
      <w:pPr>
        <w:pStyle w:val="AbstHead"/>
        <w:spacing w:after="0"/>
        <w:jc w:val="both"/>
        <w:rPr>
          <w:rFonts w:ascii="Arial" w:hAnsi="Arial" w:cs="Arial"/>
          <w:caps w:val="0"/>
        </w:rPr>
      </w:pPr>
      <w:r w:rsidRPr="00697B94">
        <w:rPr>
          <w:rFonts w:ascii="Arial" w:hAnsi="Arial" w:cs="Arial"/>
          <w:caps w:val="0"/>
        </w:rPr>
        <w:t>1.3 Objectives of the Study</w:t>
      </w:r>
    </w:p>
    <w:p w14:paraId="7F40FCAD" w14:textId="77777777" w:rsidR="0040137B" w:rsidRPr="00697B94" w:rsidRDefault="0040137B" w:rsidP="0040137B">
      <w:pPr>
        <w:pStyle w:val="AbstHead"/>
        <w:spacing w:after="0"/>
        <w:jc w:val="both"/>
        <w:rPr>
          <w:rFonts w:ascii="Arial" w:hAnsi="Arial" w:cs="Arial"/>
          <w:b w:val="0"/>
          <w:caps w:val="0"/>
          <w:sz w:val="20"/>
        </w:rPr>
      </w:pPr>
    </w:p>
    <w:p w14:paraId="7B2A62DE" w14:textId="77777777" w:rsidR="0040137B" w:rsidRPr="00697B94" w:rsidRDefault="0040137B" w:rsidP="0040137B">
      <w:pPr>
        <w:pStyle w:val="AbstHead"/>
        <w:spacing w:after="0"/>
        <w:jc w:val="both"/>
        <w:rPr>
          <w:rFonts w:ascii="Arial" w:hAnsi="Arial" w:cs="Arial"/>
          <w:b w:val="0"/>
          <w:caps w:val="0"/>
          <w:sz w:val="20"/>
        </w:rPr>
      </w:pPr>
      <w:r w:rsidRPr="00697B94">
        <w:rPr>
          <w:rFonts w:ascii="Arial" w:hAnsi="Arial" w:cs="Arial"/>
          <w:b w:val="0"/>
          <w:caps w:val="0"/>
          <w:sz w:val="20"/>
        </w:rPr>
        <w:t>The objectives of this project are to;</w:t>
      </w:r>
    </w:p>
    <w:p w14:paraId="241FDFC0" w14:textId="77777777" w:rsidR="002B4C19" w:rsidRPr="00697B94" w:rsidRDefault="002B4C19" w:rsidP="002B4C19">
      <w:pPr>
        <w:pStyle w:val="AbstHead"/>
        <w:numPr>
          <w:ilvl w:val="0"/>
          <w:numId w:val="43"/>
        </w:numPr>
        <w:spacing w:after="0"/>
        <w:ind w:left="270" w:hanging="270"/>
        <w:jc w:val="both"/>
        <w:rPr>
          <w:rFonts w:ascii="Arial" w:hAnsi="Arial" w:cs="Arial"/>
          <w:b w:val="0"/>
          <w:caps w:val="0"/>
          <w:sz w:val="20"/>
        </w:rPr>
      </w:pPr>
      <w:r w:rsidRPr="00697B94">
        <w:rPr>
          <w:rFonts w:ascii="Arial" w:hAnsi="Arial" w:cs="Arial"/>
          <w:b w:val="0"/>
          <w:caps w:val="0"/>
          <w:sz w:val="20"/>
        </w:rPr>
        <w:t>investigate the long-run effect of FDI on domestic investments</w:t>
      </w:r>
    </w:p>
    <w:p w14:paraId="75D7A163" w14:textId="77777777" w:rsidR="002B4C19" w:rsidRPr="00697B94" w:rsidRDefault="002B4C19" w:rsidP="002B4C19">
      <w:pPr>
        <w:pStyle w:val="AbstHead"/>
        <w:numPr>
          <w:ilvl w:val="0"/>
          <w:numId w:val="43"/>
        </w:numPr>
        <w:spacing w:after="0"/>
        <w:ind w:left="270" w:hanging="270"/>
        <w:jc w:val="both"/>
        <w:rPr>
          <w:rFonts w:ascii="Arial" w:hAnsi="Arial" w:cs="Arial"/>
          <w:b w:val="0"/>
          <w:caps w:val="0"/>
          <w:sz w:val="20"/>
        </w:rPr>
      </w:pPr>
      <w:r w:rsidRPr="00697B94">
        <w:rPr>
          <w:rFonts w:ascii="Arial" w:hAnsi="Arial" w:cs="Arial"/>
          <w:b w:val="0"/>
          <w:caps w:val="0"/>
          <w:sz w:val="20"/>
        </w:rPr>
        <w:t>examine the short-run effect of FDI on domestic investments</w:t>
      </w:r>
    </w:p>
    <w:p w14:paraId="6C574E98" w14:textId="77777777" w:rsidR="0040137B" w:rsidRPr="00697B94" w:rsidRDefault="002B4C19" w:rsidP="002B4C19">
      <w:pPr>
        <w:pStyle w:val="AbstHead"/>
        <w:numPr>
          <w:ilvl w:val="0"/>
          <w:numId w:val="43"/>
        </w:numPr>
        <w:spacing w:after="0"/>
        <w:ind w:left="270" w:hanging="270"/>
        <w:jc w:val="both"/>
        <w:rPr>
          <w:rFonts w:ascii="Arial" w:hAnsi="Arial" w:cs="Arial"/>
          <w:b w:val="0"/>
          <w:caps w:val="0"/>
          <w:sz w:val="20"/>
        </w:rPr>
      </w:pPr>
      <w:r w:rsidRPr="00697B94">
        <w:rPr>
          <w:rFonts w:ascii="Arial" w:hAnsi="Arial" w:cs="Arial"/>
          <w:b w:val="0"/>
          <w:caps w:val="0"/>
          <w:sz w:val="20"/>
        </w:rPr>
        <w:t xml:space="preserve">identify the direction of causality between FDI and domestic investments.  </w:t>
      </w:r>
    </w:p>
    <w:p w14:paraId="6C6F1254" w14:textId="77777777" w:rsidR="002B4C19" w:rsidRPr="00697B94" w:rsidRDefault="002B4C19" w:rsidP="002B4C19">
      <w:pPr>
        <w:pStyle w:val="AbstHead"/>
        <w:spacing w:after="0"/>
        <w:ind w:left="270"/>
        <w:jc w:val="both"/>
        <w:rPr>
          <w:rFonts w:ascii="Arial" w:hAnsi="Arial" w:cs="Arial"/>
          <w:b w:val="0"/>
          <w:caps w:val="0"/>
          <w:sz w:val="20"/>
        </w:rPr>
      </w:pPr>
    </w:p>
    <w:p w14:paraId="7C1F1D1E" w14:textId="77777777" w:rsidR="0040137B" w:rsidRPr="00697B94" w:rsidRDefault="0040137B" w:rsidP="0040137B">
      <w:pPr>
        <w:pStyle w:val="AbstHead"/>
        <w:spacing w:after="0"/>
        <w:jc w:val="both"/>
        <w:rPr>
          <w:rFonts w:ascii="Arial" w:hAnsi="Arial" w:cs="Arial"/>
          <w:szCs w:val="22"/>
        </w:rPr>
      </w:pPr>
      <w:r w:rsidRPr="00697B94">
        <w:rPr>
          <w:rFonts w:ascii="Arial" w:hAnsi="Arial" w:cs="Arial"/>
          <w:szCs w:val="22"/>
        </w:rPr>
        <w:t xml:space="preserve">1.4 </w:t>
      </w:r>
      <w:r w:rsidRPr="00697B94">
        <w:rPr>
          <w:rFonts w:ascii="Arial" w:hAnsi="Arial" w:cs="Arial"/>
          <w:caps w:val="0"/>
          <w:szCs w:val="22"/>
        </w:rPr>
        <w:t>Literature Survey</w:t>
      </w:r>
    </w:p>
    <w:p w14:paraId="50AD0ACC" w14:textId="77777777" w:rsidR="0040137B" w:rsidRPr="00697B94" w:rsidRDefault="0040137B" w:rsidP="0040137B">
      <w:pPr>
        <w:pStyle w:val="AbstHead"/>
        <w:spacing w:after="0"/>
        <w:jc w:val="both"/>
        <w:rPr>
          <w:rFonts w:ascii="Arial" w:hAnsi="Arial" w:cs="Arial"/>
        </w:rPr>
      </w:pPr>
    </w:p>
    <w:p w14:paraId="19841A8A" w14:textId="77777777" w:rsidR="0040137B" w:rsidRPr="00697B94" w:rsidRDefault="00172856" w:rsidP="0040137B">
      <w:pPr>
        <w:pStyle w:val="AbstHead"/>
        <w:spacing w:after="0"/>
        <w:jc w:val="both"/>
        <w:rPr>
          <w:rFonts w:ascii="Arial" w:hAnsi="Arial" w:cs="Arial"/>
          <w:b w:val="0"/>
          <w:caps w:val="0"/>
          <w:sz w:val="20"/>
        </w:rPr>
      </w:pPr>
      <w:bookmarkStart w:id="1" w:name="_Hlk199996419"/>
      <w:r w:rsidRPr="00697B94">
        <w:rPr>
          <w:rFonts w:ascii="Arial" w:hAnsi="Arial" w:cs="Arial"/>
          <w:b w:val="0"/>
          <w:caps w:val="0"/>
          <w:sz w:val="20"/>
        </w:rPr>
        <w:t>Ghana’s experience with foreign direct investment (FDI) has moved through four distinct phases: during Nkrumah’s socialist era (1957-mid-1960s) the state dominated the economy and only a handful of flagship projects like the VALCO aluminium smelter were approved; under Busia and Acheampong (late-1960s-1982) policy oscillated between rhetorical liberalisation and renewed controls, causing annual FDI to collapse to US$4–7 million and even turn negative; the 1983 Economic Recovery Programme and subsequent structural-adjustment reforms—trade liberalisation, privatisation and the 1994 Investment Code—restored investor confidence and lifted FDI from 1 % to 6 % of GDP, making Ghana one of Africa’s top ten destinations by the mid-1990s; and since 2000, political stability, oil discoveries and sector diversification have pushed inflows to a peak of US$3.5 billion in 2016, although the bulk of capital remains resource-seeking (UNCTAD, 2003).</w:t>
      </w:r>
    </w:p>
    <w:p w14:paraId="7BFADF38" w14:textId="77777777" w:rsidR="00172856" w:rsidRPr="00697B94" w:rsidRDefault="00172856" w:rsidP="0040137B">
      <w:pPr>
        <w:pStyle w:val="AbstHead"/>
        <w:spacing w:after="0"/>
        <w:jc w:val="both"/>
        <w:rPr>
          <w:rFonts w:ascii="Arial" w:hAnsi="Arial" w:cs="Arial"/>
          <w:b w:val="0"/>
          <w:caps w:val="0"/>
          <w:sz w:val="20"/>
        </w:rPr>
      </w:pPr>
    </w:p>
    <w:bookmarkEnd w:id="1"/>
    <w:p w14:paraId="550C06B2" w14:textId="5602DA29" w:rsidR="002A4256" w:rsidRDefault="00BA73A9" w:rsidP="0040137B">
      <w:pPr>
        <w:pStyle w:val="AbstHead"/>
        <w:spacing w:after="0"/>
        <w:jc w:val="both"/>
        <w:rPr>
          <w:rFonts w:ascii="Arial" w:hAnsi="Arial" w:cs="Arial"/>
          <w:b w:val="0"/>
          <w:caps w:val="0"/>
          <w:sz w:val="20"/>
        </w:rPr>
      </w:pPr>
      <w:proofErr w:type="spellStart"/>
      <w:r w:rsidRPr="00BA73A9">
        <w:rPr>
          <w:rFonts w:ascii="Arial" w:hAnsi="Arial" w:cs="Arial"/>
          <w:b w:val="0"/>
          <w:caps w:val="0"/>
          <w:sz w:val="20"/>
          <w:highlight w:val="yellow"/>
        </w:rPr>
        <w:t>Agosin</w:t>
      </w:r>
      <w:proofErr w:type="spellEnd"/>
      <w:r w:rsidRPr="00BA73A9">
        <w:rPr>
          <w:rFonts w:ascii="Arial" w:hAnsi="Arial" w:cs="Arial"/>
          <w:b w:val="0"/>
          <w:caps w:val="0"/>
          <w:sz w:val="20"/>
          <w:highlight w:val="yellow"/>
        </w:rPr>
        <w:t xml:space="preserve"> et al. (2005) examine whether foreign direct investment (FDI) in developing countries encourages or displaces domestic investment. Their study develops an investment model that incorporates FDI and tests it using panel data from 1971 to 2000 across three decades. The analysis covers 12 countries in each of the three major developing regions: Africa, Asia, and Latin America. Findings show that, for all three regions, FDI generally does not increase domestic investment, and in some periods and places, FDI actually reduces it. The crowding-out effect is particularly noticeable in Latin America. The authors conclude that FDI’s impact on domestic investment is not universally positive, cautioning that simple pro-FDI policies may </w:t>
      </w:r>
      <w:r w:rsidRPr="00BA73A9">
        <w:rPr>
          <w:rFonts w:ascii="Arial" w:hAnsi="Arial" w:cs="Arial"/>
          <w:b w:val="0"/>
          <w:caps w:val="0"/>
          <w:sz w:val="20"/>
          <w:highlight w:val="yellow"/>
        </w:rPr>
        <w:lastRenderedPageBreak/>
        <w:t>not be effective. Instead, they stress the importance of economic policies that actively support and strengthen domestic investment.</w:t>
      </w:r>
    </w:p>
    <w:p w14:paraId="528845DF" w14:textId="77777777" w:rsidR="00BA73A9" w:rsidRPr="00697B94" w:rsidRDefault="00BA73A9" w:rsidP="0040137B">
      <w:pPr>
        <w:pStyle w:val="AbstHead"/>
        <w:spacing w:after="0"/>
        <w:jc w:val="both"/>
        <w:rPr>
          <w:rFonts w:ascii="Arial" w:hAnsi="Arial" w:cs="Arial"/>
          <w:b w:val="0"/>
          <w:sz w:val="20"/>
        </w:rPr>
      </w:pPr>
    </w:p>
    <w:p w14:paraId="7E8BB8B8" w14:textId="1A0F6E6C" w:rsidR="001A2217" w:rsidRDefault="00BA73A9" w:rsidP="001A2217">
      <w:pPr>
        <w:pStyle w:val="AbstHead"/>
        <w:spacing w:after="0"/>
        <w:jc w:val="both"/>
        <w:rPr>
          <w:rFonts w:ascii="Arial" w:hAnsi="Arial" w:cs="Arial"/>
          <w:b w:val="0"/>
          <w:caps w:val="0"/>
          <w:sz w:val="20"/>
        </w:rPr>
      </w:pPr>
      <w:proofErr w:type="spellStart"/>
      <w:r w:rsidRPr="00BA73A9">
        <w:rPr>
          <w:rFonts w:ascii="Arial" w:hAnsi="Arial" w:cs="Arial"/>
          <w:b w:val="0"/>
          <w:caps w:val="0"/>
          <w:sz w:val="20"/>
          <w:highlight w:val="yellow"/>
        </w:rPr>
        <w:t>Pravakar</w:t>
      </w:r>
      <w:proofErr w:type="spellEnd"/>
      <w:r w:rsidRPr="00BA73A9">
        <w:rPr>
          <w:rFonts w:ascii="Arial" w:hAnsi="Arial" w:cs="Arial"/>
          <w:b w:val="0"/>
          <w:caps w:val="0"/>
          <w:sz w:val="20"/>
          <w:highlight w:val="yellow"/>
        </w:rPr>
        <w:t xml:space="preserve"> Sahoo (2006) investigates how Foreign Direct Investment (FDI) affects domestic investment in South Asia, offering perspectives that are also applicable to Ghana’s FDI–domestic investment relationship. Using panel cointegration and causality analysis for six South Asian countries from 1970 to 2003, the research assesses whether FDI boosts or displaces local capital formation. The results indicate a positive long-term connection between FDI and domestic investment, suggesting that FDI typically fosters local investment through channels like technology transfer, management expertise, and improved infrastructure. Nonetheless, short-run effects differ by country: some see FDI encouraging domestic investment, while others experience temporary crowding-out due to limitations in structure and absorption capacity. The study highlights that FDI’s benefits depend on factors such as macroeconomic stability, openness to trade, human capital, and institutional strength in the host country. For Ghana, this means that FDI can enhance domestic investment, but its effectiveness relies on supportive policies, robust financial systems, and a business environment that promotes reinvestment and integration with local industries.</w:t>
      </w:r>
    </w:p>
    <w:p w14:paraId="751D3226" w14:textId="77777777" w:rsidR="00BA73A9" w:rsidRPr="00697B94" w:rsidRDefault="00BA73A9" w:rsidP="001A2217">
      <w:pPr>
        <w:pStyle w:val="AbstHead"/>
        <w:spacing w:after="0"/>
        <w:jc w:val="both"/>
        <w:rPr>
          <w:rFonts w:ascii="Arial" w:hAnsi="Arial" w:cs="Arial"/>
          <w:b w:val="0"/>
          <w:caps w:val="0"/>
          <w:sz w:val="20"/>
        </w:rPr>
      </w:pPr>
    </w:p>
    <w:p w14:paraId="3A4C87BE" w14:textId="147CCA0B" w:rsidR="006256F8" w:rsidRDefault="00BA73A9" w:rsidP="0040137B">
      <w:pPr>
        <w:pStyle w:val="AbstHead"/>
        <w:spacing w:after="0"/>
        <w:jc w:val="both"/>
        <w:rPr>
          <w:rFonts w:ascii="Arial" w:hAnsi="Arial" w:cs="Arial"/>
          <w:b w:val="0"/>
          <w:caps w:val="0"/>
          <w:sz w:val="20"/>
        </w:rPr>
      </w:pPr>
      <w:r w:rsidRPr="00BA73A9">
        <w:rPr>
          <w:rFonts w:ascii="Arial" w:hAnsi="Arial" w:cs="Arial"/>
          <w:b w:val="0"/>
          <w:caps w:val="0"/>
          <w:sz w:val="20"/>
          <w:highlight w:val="yellow"/>
        </w:rPr>
        <w:t xml:space="preserve">The paper by Jan Mišun and Vladimír Tomšík (2002) explore the dynamics of whether foreign direct investment (FDI) stimulates or displaces domestic investment across Central European nations, specifically the Czech Republic, Hungary, and Poland, over the 1990–2000 period. Employing an econometric framework that positions FDI as an exogenous factor affecting aggregate investment, the analysis assesses its enduring macroeconomic implications. Results indicate that FDI generated crowding-in outcomes explore the dynamics of whether foreign direct investment (FDI) stimulates or displaces domestic investment across Central European nations, specifically the Czech Republic, Hungary, and Poland, over the 1990–2000 period. Employing an econometric framework that positions FDI as an exogenous factor affecting aggregate investment, the analysis assesses its enduring macroeconomic implications. Results indicate that FDI generated crowding-in outcomes in Hungary and the Czech Republic, as inbound foreign capital encouraged further local investment, whereas in Poland, it led to crowding-out, with FDI supplanting native capital accumulation. Such divergent patterns stem from disparities in economic frameworks, regulatory contexts, and FDI motivations—namely, export-focused FDI bolstered domestic efforts, whereas market-oriented FDI often </w:t>
      </w:r>
      <w:proofErr w:type="spellStart"/>
      <w:r w:rsidRPr="00BA73A9">
        <w:rPr>
          <w:rFonts w:ascii="Arial" w:hAnsi="Arial" w:cs="Arial"/>
          <w:b w:val="0"/>
          <w:caps w:val="0"/>
          <w:sz w:val="20"/>
          <w:highlight w:val="yellow"/>
        </w:rPr>
        <w:t>rivaled</w:t>
      </w:r>
      <w:proofErr w:type="spellEnd"/>
      <w:r w:rsidRPr="00BA73A9">
        <w:rPr>
          <w:rFonts w:ascii="Arial" w:hAnsi="Arial" w:cs="Arial"/>
          <w:b w:val="0"/>
          <w:caps w:val="0"/>
          <w:sz w:val="20"/>
          <w:highlight w:val="yellow"/>
        </w:rPr>
        <w:t xml:space="preserve"> local enterprises. These observations offer valuable lessons for Ghana, emphasizing that FDI's interplay with domestic investment hinges on the host economy's absorptive capabilities, supportive policies, and the congruence of foreign capital with broader developmental goals. To optimize benefits in Ghana, </w:t>
      </w:r>
      <w:proofErr w:type="spellStart"/>
      <w:r w:rsidRPr="00BA73A9">
        <w:rPr>
          <w:rFonts w:ascii="Arial" w:hAnsi="Arial" w:cs="Arial"/>
          <w:b w:val="0"/>
          <w:caps w:val="0"/>
          <w:sz w:val="20"/>
          <w:highlight w:val="yellow"/>
        </w:rPr>
        <w:t>channeling</w:t>
      </w:r>
      <w:proofErr w:type="spellEnd"/>
      <w:r w:rsidRPr="00BA73A9">
        <w:rPr>
          <w:rFonts w:ascii="Arial" w:hAnsi="Arial" w:cs="Arial"/>
          <w:b w:val="0"/>
          <w:caps w:val="0"/>
          <w:sz w:val="20"/>
          <w:highlight w:val="yellow"/>
        </w:rPr>
        <w:t xml:space="preserve"> FDI into efficient, export-led, and innovation-intensive industries could amplify its synergy with local investment, thereby supporting enduring economic expansion.</w:t>
      </w:r>
    </w:p>
    <w:p w14:paraId="2C57F417" w14:textId="77777777" w:rsidR="00BA73A9" w:rsidRPr="00697B94" w:rsidRDefault="00BA73A9" w:rsidP="0040137B">
      <w:pPr>
        <w:pStyle w:val="AbstHead"/>
        <w:spacing w:after="0"/>
        <w:jc w:val="both"/>
        <w:rPr>
          <w:rFonts w:ascii="Arial" w:hAnsi="Arial" w:cs="Arial"/>
          <w:b w:val="0"/>
          <w:caps w:val="0"/>
          <w:sz w:val="20"/>
        </w:rPr>
      </w:pPr>
    </w:p>
    <w:p w14:paraId="3D31AC8E" w14:textId="6ABC0BD4" w:rsidR="00652F47" w:rsidRDefault="006256F8" w:rsidP="00441B6F">
      <w:pPr>
        <w:pStyle w:val="Body"/>
        <w:spacing w:after="0"/>
        <w:rPr>
          <w:rFonts w:cs="Helvetica"/>
        </w:rPr>
      </w:pPr>
      <w:r w:rsidRPr="006256F8">
        <w:rPr>
          <w:rFonts w:cs="Helvetica"/>
          <w:highlight w:val="yellow"/>
        </w:rPr>
        <w:t xml:space="preserve">In a study titled “The Contribution of FDI Flows to Domestic Investment: An Econometric Analysis of Developing Countries,” </w:t>
      </w:r>
      <w:proofErr w:type="spellStart"/>
      <w:r>
        <w:rPr>
          <w:rFonts w:cs="Helvetica"/>
          <w:highlight w:val="yellow"/>
        </w:rPr>
        <w:t>I</w:t>
      </w:r>
      <w:r w:rsidRPr="006256F8">
        <w:rPr>
          <w:rFonts w:cs="Helvetica"/>
          <w:highlight w:val="yellow"/>
        </w:rPr>
        <w:t>pek</w:t>
      </w:r>
      <w:proofErr w:type="spellEnd"/>
      <w:r w:rsidRPr="006256F8">
        <w:rPr>
          <w:rFonts w:cs="Helvetica"/>
          <w:highlight w:val="yellow"/>
        </w:rPr>
        <w:t xml:space="preserve"> and </w:t>
      </w:r>
      <w:proofErr w:type="spellStart"/>
      <w:r w:rsidRPr="006256F8">
        <w:rPr>
          <w:rFonts w:cs="Helvetica"/>
          <w:highlight w:val="yellow"/>
        </w:rPr>
        <w:t>Kızılgöl</w:t>
      </w:r>
      <w:proofErr w:type="spellEnd"/>
      <w:r w:rsidRPr="006256F8">
        <w:rPr>
          <w:rFonts w:cs="Helvetica"/>
          <w:highlight w:val="yellow"/>
        </w:rPr>
        <w:t xml:space="preserve"> (2015) </w:t>
      </w:r>
      <w:r w:rsidR="00BA73A9">
        <w:rPr>
          <w:rFonts w:cs="Helvetica"/>
          <w:highlight w:val="yellow"/>
        </w:rPr>
        <w:t xml:space="preserve">also </w:t>
      </w:r>
      <w:r w:rsidRPr="006256F8">
        <w:rPr>
          <w:rFonts w:cs="Helvetica"/>
          <w:highlight w:val="yellow"/>
        </w:rPr>
        <w:t xml:space="preserve">examined how foreign direct investment (FDI) influences domestic investment in selected developing economies—Turkey, Brazil, Russia, South Africa, and Mexico—using quarterly time-series data and the Generalized Method of Moments (GMM) approach. The study aimed to determine whether FDI acts as a complement (“crowding-in”) or a substitute (“crowding-out”) for domestic investment. Results revealed a crowding-out effect in Turkey and South Africa, indicating that FDI displaced domestic investment in these economies, while Russia exhibited a crowding-in effect where FDI stimulated local investment. For Brazil and Mexico, the coefficients were statistically insignificant, suggesting a neutral impact. The findings underscore the country-specific nature of FDI’s influence, shaped by domestic policies, industrial structure, and economic capacity. This study is highly relevant to assessing the nexus between FDI and domestic investment in Ghana, as it demonstrates that while FDI can provide capital, </w:t>
      </w:r>
      <w:r w:rsidRPr="006256F8">
        <w:rPr>
          <w:rFonts w:cs="Helvetica"/>
          <w:highlight w:val="yellow"/>
        </w:rPr>
        <w:lastRenderedPageBreak/>
        <w:t xml:space="preserve">technology, and productivity spillovers, its overall effect depends on local absorption capacity, sectoral distribution, and investment policy frameworks. Therefore, Ghana’s policymakers should prioritize </w:t>
      </w:r>
      <w:proofErr w:type="spellStart"/>
      <w:r w:rsidRPr="006256F8">
        <w:rPr>
          <w:rFonts w:cs="Helvetica"/>
          <w:highlight w:val="yellow"/>
        </w:rPr>
        <w:t>channeling</w:t>
      </w:r>
      <w:proofErr w:type="spellEnd"/>
      <w:r w:rsidRPr="006256F8">
        <w:rPr>
          <w:rFonts w:cs="Helvetica"/>
          <w:highlight w:val="yellow"/>
        </w:rPr>
        <w:t xml:space="preserve"> FDI into sectors with strong domestic linkages to maximize complementary effects on domestic investment and minimize displacement risks.</w:t>
      </w:r>
    </w:p>
    <w:p w14:paraId="48BE64B9" w14:textId="77777777" w:rsidR="00BA73A9" w:rsidRPr="006256F8" w:rsidRDefault="00BA73A9" w:rsidP="00441B6F">
      <w:pPr>
        <w:pStyle w:val="Body"/>
        <w:spacing w:after="0"/>
        <w:rPr>
          <w:rFonts w:cs="Helvetica"/>
        </w:rPr>
      </w:pPr>
    </w:p>
    <w:p w14:paraId="25010D48" w14:textId="3E2C0D03" w:rsidR="00A53985" w:rsidRPr="00A53985" w:rsidRDefault="00BA73A9" w:rsidP="00A53985">
      <w:pPr>
        <w:pStyle w:val="Body"/>
        <w:rPr>
          <w:rFonts w:ascii="Arial" w:hAnsi="Arial" w:cs="Arial"/>
        </w:rPr>
      </w:pPr>
      <w:r>
        <w:rPr>
          <w:rFonts w:ascii="Arial" w:hAnsi="Arial" w:cs="Arial"/>
          <w:highlight w:val="yellow"/>
        </w:rPr>
        <w:t>The debate over how foreign direct investment (FDI), domestic investment (DI), and economic growth influence each other remains unresolved. Proponents argue that FDI promotes growth by facilitating technology transfer, enhancing human capital, and providing additional capital flows. Conversely, critics warn that FDI might displace local businesses because of the monopolistic advantages held by multinational enterprises (MNEs). Tang et al. (2008) tackle this issue with a time-series analysis of China from 1988 to 2003, employing a multivariate vector autoregression (VAR) model with error correction mechanisms (ECM) and innovation accounting to examine causality. They discover that DI and GDP growth mutually influence each other, while FDI leads to both DI and growth, indicating that FDI acts more as a supplement than a substitute for domestic investment by alleviating capital constraints and encouraging overall investment. Nonetheless, DI has a stronger impact on growth than FDI. These results highlight FDI's generally positive role in emerging economies like China, where liberalization after 1978 spurred inflows and export-driven growth. In Ghana, although FDI has increased alongside reforms, DI remains low due to institutional barriers. The research suggests FDI can spur DI if directed at high-risk industries and supported through local integration, emphasising the need for similar econometric studies to shape investment policies.</w:t>
      </w:r>
    </w:p>
    <w:p w14:paraId="12DB367B" w14:textId="77777777" w:rsidR="00652F47" w:rsidRPr="00697B94" w:rsidRDefault="00652F47" w:rsidP="00441B6F">
      <w:pPr>
        <w:pStyle w:val="Body"/>
        <w:spacing w:after="0"/>
        <w:rPr>
          <w:rFonts w:ascii="Arial" w:hAnsi="Arial" w:cs="Arial"/>
        </w:rPr>
      </w:pPr>
    </w:p>
    <w:p w14:paraId="69E84DF9" w14:textId="625C9750" w:rsidR="00652F47" w:rsidRPr="00697B94" w:rsidRDefault="00652F47" w:rsidP="00441B6F">
      <w:pPr>
        <w:pStyle w:val="Body"/>
        <w:spacing w:after="0"/>
        <w:rPr>
          <w:rFonts w:ascii="Arial" w:hAnsi="Arial" w:cs="Arial"/>
        </w:rPr>
      </w:pPr>
      <w:r w:rsidRPr="00697B94">
        <w:rPr>
          <w:rFonts w:ascii="Arial" w:hAnsi="Arial" w:cs="Arial"/>
        </w:rPr>
        <w:t>Using time-series data from 1988 to 2011</w:t>
      </w:r>
      <w:r w:rsidRPr="00A56D36">
        <w:rPr>
          <w:rFonts w:ascii="Arial" w:hAnsi="Arial" w:cs="Arial"/>
          <w:highlight w:val="yellow"/>
        </w:rPr>
        <w:t xml:space="preserve">, </w:t>
      </w:r>
      <w:r w:rsidR="00A56D36" w:rsidRPr="00A56D36">
        <w:rPr>
          <w:rFonts w:ascii="Arial" w:hAnsi="Arial" w:cs="Arial"/>
          <w:highlight w:val="yellow"/>
        </w:rPr>
        <w:t>Owusu-Antwi et al., (2013)</w:t>
      </w:r>
      <w:r w:rsidR="00A56D36">
        <w:rPr>
          <w:rFonts w:ascii="Arial" w:hAnsi="Arial" w:cs="Arial"/>
        </w:rPr>
        <w:t xml:space="preserve"> </w:t>
      </w:r>
      <w:r w:rsidRPr="00697B94">
        <w:rPr>
          <w:rFonts w:ascii="Arial" w:hAnsi="Arial" w:cs="Arial"/>
        </w:rPr>
        <w:t xml:space="preserve">identify trade openness, exchange rate stability, infrastructure, and per capita GDP as significant determinants of FDI in Ghana. Their regression analysis supports the view that liberalization policies and macroeconomic stability are essential for attracting foreign investment. Infrastructure emerges as a critical factor, with poor conditions deterring inflows. The study integrates Dunning’s OLI framework and Vernon’s product cycle theory to contextualize Ghana’s investment climate. The authors conclude that sustained FDI-led growth requires transparent governance and targeted </w:t>
      </w:r>
      <w:r w:rsidR="00017552">
        <w:rPr>
          <w:rFonts w:ascii="Arial" w:hAnsi="Arial" w:cs="Arial"/>
        </w:rPr>
        <w:t>liberalisation</w:t>
      </w:r>
      <w:r w:rsidRPr="00697B94">
        <w:rPr>
          <w:rFonts w:ascii="Arial" w:hAnsi="Arial" w:cs="Arial"/>
        </w:rPr>
        <w:t>.</w:t>
      </w:r>
      <w:r w:rsidR="00A56D36">
        <w:rPr>
          <w:rFonts w:ascii="Arial" w:hAnsi="Arial" w:cs="Arial"/>
        </w:rPr>
        <w:t xml:space="preserve"> </w:t>
      </w:r>
      <w:r w:rsidRPr="00A56D36">
        <w:rPr>
          <w:rFonts w:ascii="Arial" w:hAnsi="Arial" w:cs="Arial"/>
          <w:highlight w:val="yellow"/>
        </w:rPr>
        <w:t xml:space="preserve">This version by </w:t>
      </w:r>
      <w:r w:rsidR="00A56D36" w:rsidRPr="00A56D36">
        <w:rPr>
          <w:rFonts w:ascii="Arial" w:hAnsi="Arial" w:cs="Arial"/>
          <w:highlight w:val="yellow"/>
        </w:rPr>
        <w:t xml:space="preserve">Owusu-Antwi et al., (2013) </w:t>
      </w:r>
      <w:r w:rsidRPr="00A56D36">
        <w:rPr>
          <w:rFonts w:ascii="Arial" w:hAnsi="Arial" w:cs="Arial"/>
          <w:highlight w:val="yellow"/>
        </w:rPr>
        <w:t>reinforces the earlier findings but places greater emphasis on econometric robustness. Using OLS regression and diagnostic tests, the study confirms that trade openness, exchange rate stability, and infrastructure are statistically significant drivers of FDI. Inflation and interest rates are shown to negatively affect investor confidence. The paper draws on classical FDI theories, including those of Hymer and Kindleberger, to explain Ghana’s investment dynamics. Policy recommendations include enhancing transparency, reducing debt, and improving infrastructure to sustain FDI inflows.</w:t>
      </w:r>
    </w:p>
    <w:p w14:paraId="10043369" w14:textId="77777777" w:rsidR="00692706" w:rsidRPr="00697B94" w:rsidRDefault="00692706" w:rsidP="00441B6F">
      <w:pPr>
        <w:pStyle w:val="Body"/>
        <w:spacing w:after="0"/>
        <w:rPr>
          <w:rFonts w:ascii="Arial" w:hAnsi="Arial" w:cs="Arial"/>
        </w:rPr>
      </w:pPr>
    </w:p>
    <w:p w14:paraId="0C34F07B" w14:textId="68816121" w:rsidR="00692706" w:rsidRPr="00697B94" w:rsidRDefault="00A56D36" w:rsidP="00441B6F">
      <w:pPr>
        <w:pStyle w:val="Body"/>
        <w:spacing w:after="0"/>
        <w:rPr>
          <w:rFonts w:ascii="Arial" w:hAnsi="Arial" w:cs="Arial"/>
        </w:rPr>
      </w:pPr>
      <w:r w:rsidRPr="00A56D36">
        <w:rPr>
          <w:rFonts w:ascii="Arial" w:hAnsi="Arial" w:cs="Arial"/>
          <w:highlight w:val="yellow"/>
        </w:rPr>
        <w:t>Asiamah et al.,</w:t>
      </w:r>
      <w:r w:rsidR="00652F47" w:rsidRPr="00A56D36">
        <w:rPr>
          <w:rFonts w:ascii="Arial" w:hAnsi="Arial" w:cs="Arial"/>
          <w:highlight w:val="yellow"/>
        </w:rPr>
        <w:t xml:space="preserve"> (201</w:t>
      </w:r>
      <w:r w:rsidRPr="00A56D36">
        <w:rPr>
          <w:rFonts w:ascii="Arial" w:hAnsi="Arial" w:cs="Arial"/>
          <w:highlight w:val="yellow"/>
        </w:rPr>
        <w:t>9</w:t>
      </w:r>
      <w:r w:rsidR="00652F47" w:rsidRPr="00A56D36">
        <w:rPr>
          <w:rFonts w:ascii="Arial" w:hAnsi="Arial" w:cs="Arial"/>
          <w:highlight w:val="yellow"/>
        </w:rPr>
        <w:t>)</w:t>
      </w:r>
      <w:r w:rsidR="00652F47" w:rsidRPr="00697B94">
        <w:rPr>
          <w:rFonts w:ascii="Arial" w:hAnsi="Arial" w:cs="Arial"/>
        </w:rPr>
        <w:t xml:space="preserve"> appl</w:t>
      </w:r>
      <w:r>
        <w:rPr>
          <w:rFonts w:ascii="Arial" w:hAnsi="Arial" w:cs="Arial"/>
        </w:rPr>
        <w:t>ied</w:t>
      </w:r>
      <w:r w:rsidR="00652F47" w:rsidRPr="00697B94">
        <w:rPr>
          <w:rFonts w:ascii="Arial" w:hAnsi="Arial" w:cs="Arial"/>
        </w:rPr>
        <w:t xml:space="preserve"> Johansen cointegration and vector autoregressive models to assess FDI determinants in Ghana from 1990 to 2015. Their findings show that GDP, electricity production, and telephone usage positively influence FDI, while inflation, interest rate, and exchange rate volatility have adverse effects. The study confirms long-run relationships among variables and identifies bidirectional causality between FDI and infrastructure. The authors advocate for inflation targeting and infrastructure expansion to improve Ghana’s investment climate. Their use of causality tests and variance decomposition adds methodological depth to the literature.</w:t>
      </w:r>
    </w:p>
    <w:p w14:paraId="65FA4E09" w14:textId="4A28BF73" w:rsidR="00652F47" w:rsidRPr="00697B94" w:rsidRDefault="00501AE8" w:rsidP="00441B6F">
      <w:pPr>
        <w:pStyle w:val="Body"/>
        <w:spacing w:after="0"/>
        <w:rPr>
          <w:rFonts w:ascii="Arial" w:hAnsi="Arial" w:cs="Arial"/>
        </w:rPr>
      </w:pPr>
      <w:proofErr w:type="spellStart"/>
      <w:r>
        <w:rPr>
          <w:rFonts w:ascii="Arial" w:hAnsi="Arial" w:cs="Arial"/>
        </w:rPr>
        <w:t>osi</w:t>
      </w:r>
      <w:proofErr w:type="spellEnd"/>
    </w:p>
    <w:p w14:paraId="4E90A7AE" w14:textId="3FA51880" w:rsidR="00652F47" w:rsidRPr="00697B94" w:rsidRDefault="00CD3A93" w:rsidP="00441B6F">
      <w:pPr>
        <w:pStyle w:val="Body"/>
        <w:spacing w:after="0"/>
        <w:rPr>
          <w:rFonts w:ascii="Arial" w:hAnsi="Arial" w:cs="Arial"/>
        </w:rPr>
      </w:pPr>
      <w:proofErr w:type="spellStart"/>
      <w:r w:rsidRPr="00CD3A93">
        <w:rPr>
          <w:rFonts w:ascii="Arial" w:hAnsi="Arial" w:cs="Arial"/>
          <w:highlight w:val="yellow"/>
        </w:rPr>
        <w:t>Anarfo</w:t>
      </w:r>
      <w:proofErr w:type="spellEnd"/>
      <w:r w:rsidRPr="00CD3A93">
        <w:rPr>
          <w:rFonts w:ascii="Arial" w:hAnsi="Arial" w:cs="Arial"/>
          <w:highlight w:val="yellow"/>
        </w:rPr>
        <w:t xml:space="preserve"> et al.,</w:t>
      </w:r>
      <w:r w:rsidR="00652F47" w:rsidRPr="00CD3A93">
        <w:rPr>
          <w:rFonts w:ascii="Arial" w:hAnsi="Arial" w:cs="Arial"/>
          <w:highlight w:val="yellow"/>
        </w:rPr>
        <w:t xml:space="preserve"> (201</w:t>
      </w:r>
      <w:r w:rsidRPr="00CD3A93">
        <w:rPr>
          <w:rFonts w:ascii="Arial" w:hAnsi="Arial" w:cs="Arial"/>
          <w:highlight w:val="yellow"/>
        </w:rPr>
        <w:t>7</w:t>
      </w:r>
      <w:r w:rsidR="00652F47" w:rsidRPr="00CD3A93">
        <w:rPr>
          <w:rFonts w:ascii="Arial" w:hAnsi="Arial" w:cs="Arial"/>
          <w:highlight w:val="yellow"/>
        </w:rPr>
        <w:t>)</w:t>
      </w:r>
      <w:r w:rsidR="00652F47" w:rsidRPr="00697B94">
        <w:rPr>
          <w:rFonts w:ascii="Arial" w:hAnsi="Arial" w:cs="Arial"/>
        </w:rPr>
        <w:t xml:space="preserve"> use</w:t>
      </w:r>
      <w:r>
        <w:rPr>
          <w:rFonts w:ascii="Arial" w:hAnsi="Arial" w:cs="Arial"/>
        </w:rPr>
        <w:t>d</w:t>
      </w:r>
      <w:r w:rsidR="00652F47" w:rsidRPr="00697B94">
        <w:rPr>
          <w:rFonts w:ascii="Arial" w:hAnsi="Arial" w:cs="Arial"/>
        </w:rPr>
        <w:t xml:space="preserve"> Prais-Winsten regression to </w:t>
      </w:r>
      <w:r w:rsidR="00697B94" w:rsidRPr="00697B94">
        <w:rPr>
          <w:rFonts w:ascii="Arial" w:hAnsi="Arial" w:cs="Arial"/>
        </w:rPr>
        <w:t>analyse</w:t>
      </w:r>
      <w:r w:rsidR="00652F47" w:rsidRPr="00697B94">
        <w:rPr>
          <w:rFonts w:ascii="Arial" w:hAnsi="Arial" w:cs="Arial"/>
        </w:rPr>
        <w:t xml:space="preserve"> the impact of infrastructure and natural resources on FDI inflows in Ghana from 1975 to 2014. Both variables are found to significantly and positively affect FDI, with GDP growth and market size also playing key roles. Lending interest rates negatively influence FDI, while inflation and trade openness show mixed </w:t>
      </w:r>
      <w:r w:rsidR="00652F47" w:rsidRPr="00697B94">
        <w:rPr>
          <w:rFonts w:ascii="Arial" w:hAnsi="Arial" w:cs="Arial"/>
        </w:rPr>
        <w:lastRenderedPageBreak/>
        <w:t>results. The study contributes to the literature by isolating Ghana-specific dynamics and recommending macroeconomic stabilization, infrastructure investment, and resource governance as strategic priorities.</w:t>
      </w:r>
    </w:p>
    <w:p w14:paraId="1E7D9415" w14:textId="77777777" w:rsidR="00652F47" w:rsidRPr="00697B94" w:rsidRDefault="00652F47" w:rsidP="00441B6F">
      <w:pPr>
        <w:pStyle w:val="Body"/>
        <w:spacing w:after="0"/>
        <w:rPr>
          <w:rFonts w:ascii="Arial" w:hAnsi="Arial" w:cs="Arial"/>
        </w:rPr>
      </w:pPr>
    </w:p>
    <w:p w14:paraId="52A6A33F" w14:textId="1A6FD72F" w:rsidR="00652F47" w:rsidRPr="00697B94" w:rsidRDefault="005C4B13" w:rsidP="00441B6F">
      <w:pPr>
        <w:pStyle w:val="Body"/>
        <w:spacing w:after="0"/>
        <w:rPr>
          <w:rFonts w:ascii="Arial" w:hAnsi="Arial" w:cs="Arial"/>
        </w:rPr>
      </w:pPr>
      <w:r w:rsidRPr="00BA73A9">
        <w:rPr>
          <w:rFonts w:ascii="Arial" w:hAnsi="Arial" w:cs="Arial"/>
          <w:highlight w:val="yellow"/>
        </w:rPr>
        <w:t xml:space="preserve">Al-Sadig (2013) </w:t>
      </w:r>
      <w:r w:rsidR="00BA73A9" w:rsidRPr="00BA73A9">
        <w:rPr>
          <w:rFonts w:ascii="Arial" w:hAnsi="Arial" w:cs="Arial"/>
          <w:highlight w:val="yellow"/>
        </w:rPr>
        <w:t>study dives into the hotly debated question of whether foreign direct investment (FDI) boosts or squeezes out private domestic investment in developing nations. Drawing on panel data from 91 such countries over the 1970–2000 stretch, he applies a system GMM approach to tackle thorny issues like endogeneity and dynamic effects. His results point to a clear positive link: FDI inflows reliably amp up private domestic investment, backing the idea that it acts as a partner to local capital rather than a rival, at least in the big picture. That said, the boost shines brightest in poorer countries, but only if they've got enough skilled workers to soak up the benefits—without that human capital, tech spillovers and the ability to absorb new ideas fall flat. Overall, it drives home how FDI's growth kick depends on the local setup, echoing what we've seen in places like China and stressing the importance of ramping up education to make the most of it. Turning to Ghana, as a lower-middle-income spot dealing with ups-and-downs in FDI during its reform push, this points to a smart play: pouring resources into targeted training programs could supercharge the connection between FDI and homegrown investment, dodge any crowding-out pitfalls, and really get the private sector humming for the long haul.</w:t>
      </w:r>
    </w:p>
    <w:p w14:paraId="5DD19BE0" w14:textId="77777777" w:rsidR="00692706" w:rsidRPr="00697B94" w:rsidRDefault="00692706" w:rsidP="00441B6F">
      <w:pPr>
        <w:pStyle w:val="Body"/>
        <w:spacing w:after="0"/>
        <w:rPr>
          <w:rFonts w:ascii="Arial" w:hAnsi="Arial" w:cs="Arial"/>
        </w:rPr>
      </w:pPr>
    </w:p>
    <w:p w14:paraId="4D55C11B" w14:textId="77777777" w:rsidR="0040137B" w:rsidRPr="00697B94" w:rsidRDefault="00902823" w:rsidP="005076E3">
      <w:pPr>
        <w:pStyle w:val="AbstHead"/>
        <w:spacing w:after="0"/>
        <w:jc w:val="both"/>
        <w:rPr>
          <w:rFonts w:ascii="Arial" w:hAnsi="Arial" w:cs="Arial"/>
        </w:rPr>
      </w:pPr>
      <w:r w:rsidRPr="00697B94">
        <w:rPr>
          <w:rFonts w:ascii="Arial" w:hAnsi="Arial" w:cs="Arial"/>
        </w:rPr>
        <w:t>2. material and method</w:t>
      </w:r>
      <w:r w:rsidR="00000F8F" w:rsidRPr="00697B94">
        <w:rPr>
          <w:rFonts w:ascii="Arial" w:hAnsi="Arial" w:cs="Arial"/>
        </w:rPr>
        <w:t xml:space="preserve">s </w:t>
      </w:r>
    </w:p>
    <w:p w14:paraId="6DDE15C0" w14:textId="77777777" w:rsidR="0040137B" w:rsidRPr="00697B94" w:rsidRDefault="0040137B" w:rsidP="005076E3">
      <w:pPr>
        <w:pStyle w:val="AbstHead"/>
        <w:spacing w:after="0"/>
        <w:jc w:val="both"/>
        <w:rPr>
          <w:rFonts w:ascii="Arial" w:hAnsi="Arial" w:cs="Arial"/>
        </w:rPr>
      </w:pPr>
    </w:p>
    <w:p w14:paraId="7BF56AFF" w14:textId="3410BA2B" w:rsidR="0040137B" w:rsidRPr="00697B94" w:rsidRDefault="0040137B" w:rsidP="0040137B">
      <w:pPr>
        <w:pStyle w:val="AbstHead"/>
        <w:spacing w:after="0"/>
        <w:jc w:val="both"/>
        <w:rPr>
          <w:rFonts w:cs="Helvetica"/>
          <w:sz w:val="20"/>
          <w:szCs w:val="18"/>
        </w:rPr>
      </w:pPr>
      <w:r w:rsidRPr="00697B94">
        <w:rPr>
          <w:rFonts w:cs="Helvetica"/>
          <w:caps w:val="0"/>
          <w:sz w:val="20"/>
          <w:szCs w:val="18"/>
          <w:highlight w:val="yellow"/>
        </w:rPr>
        <w:t xml:space="preserve">2.1 </w:t>
      </w:r>
      <w:r w:rsidR="00697B94" w:rsidRPr="00697B94">
        <w:rPr>
          <w:rFonts w:cs="Helvetica"/>
          <w:caps w:val="0"/>
          <w:sz w:val="20"/>
          <w:szCs w:val="18"/>
          <w:highlight w:val="yellow"/>
        </w:rPr>
        <w:t>Overview</w:t>
      </w:r>
      <w:r w:rsidRPr="00697B94">
        <w:rPr>
          <w:rFonts w:cs="Helvetica"/>
          <w:caps w:val="0"/>
          <w:sz w:val="20"/>
          <w:szCs w:val="18"/>
        </w:rPr>
        <w:t xml:space="preserve"> </w:t>
      </w:r>
    </w:p>
    <w:p w14:paraId="1116A968" w14:textId="77777777" w:rsidR="0040137B" w:rsidRPr="00697B94" w:rsidRDefault="00692706" w:rsidP="0040137B">
      <w:r w:rsidRPr="00697B94">
        <w:t>This chapter highlights the methodological frame work appropriate for carrying out this</w:t>
      </w:r>
      <w:r w:rsidR="00203218" w:rsidRPr="00697B94">
        <w:t xml:space="preserve"> </w:t>
      </w:r>
      <w:r w:rsidRPr="00697B94">
        <w:t>research with explicit emphasis on the source and type of data, model specification, justification and measurement of the variables, estimation techniques and post estimation tests.</w:t>
      </w:r>
    </w:p>
    <w:p w14:paraId="2D6DBC7F" w14:textId="77777777" w:rsidR="00692706" w:rsidRPr="00697B94" w:rsidRDefault="00692706" w:rsidP="0040137B"/>
    <w:p w14:paraId="65E51313" w14:textId="77777777" w:rsidR="0040137B" w:rsidRPr="00697B94" w:rsidRDefault="0040137B" w:rsidP="0040137B">
      <w:pPr>
        <w:rPr>
          <w:b/>
          <w:bCs/>
        </w:rPr>
      </w:pPr>
      <w:r w:rsidRPr="00697B94">
        <w:rPr>
          <w:b/>
          <w:bCs/>
        </w:rPr>
        <w:t>2.2</w:t>
      </w:r>
      <w:r w:rsidR="00153A82" w:rsidRPr="00697B94">
        <w:rPr>
          <w:b/>
          <w:bCs/>
        </w:rPr>
        <w:t xml:space="preserve"> Data Type and Source</w:t>
      </w:r>
    </w:p>
    <w:p w14:paraId="2019AFEC" w14:textId="77777777" w:rsidR="0040137B" w:rsidRPr="00697B94" w:rsidRDefault="00153A82" w:rsidP="0040137B">
      <w:r w:rsidRPr="00697B94">
        <w:t>The study employed secondary and annual time series data spanning from 1990 to 2019. Data on the variables were sourced from the World Development Indicators (Anon., 2021).</w:t>
      </w:r>
    </w:p>
    <w:p w14:paraId="147EB96B" w14:textId="77777777" w:rsidR="00153A82" w:rsidRPr="00697B94" w:rsidRDefault="00153A82" w:rsidP="0040137B"/>
    <w:p w14:paraId="5C9BF8B0" w14:textId="77777777" w:rsidR="0040137B" w:rsidRPr="00697B94" w:rsidRDefault="0040137B" w:rsidP="0040137B">
      <w:pPr>
        <w:rPr>
          <w:b/>
          <w:bCs/>
        </w:rPr>
      </w:pPr>
      <w:r w:rsidRPr="00697B94">
        <w:rPr>
          <w:b/>
          <w:bCs/>
        </w:rPr>
        <w:t xml:space="preserve">2.3 </w:t>
      </w:r>
      <w:r w:rsidR="00153A82" w:rsidRPr="00697B94">
        <w:rPr>
          <w:b/>
          <w:bCs/>
        </w:rPr>
        <w:t>Model Specification</w:t>
      </w:r>
    </w:p>
    <w:p w14:paraId="66A06854" w14:textId="77777777" w:rsidR="0040137B" w:rsidRPr="00697B94" w:rsidRDefault="00153A82" w:rsidP="0040137B">
      <w:r w:rsidRPr="00697B94">
        <w:t>This study adopted Agosin and Machado's (2005) investment model. Complete investment in an economy at any given time, according to them, consists of both domestic capital accumulation and foreign capital inflow.  That is;</w:t>
      </w:r>
    </w:p>
    <w:p w14:paraId="32CF4A0A" w14:textId="77777777" w:rsidR="009C4F6B" w:rsidRPr="00697B94" w:rsidRDefault="00C70D95" w:rsidP="0040137B">
      <m:oMathPara>
        <m:oMath>
          <m:eqArr>
            <m:eqArrPr>
              <m:maxDist m:val="1"/>
              <m:ctrlPr>
                <w:rPr>
                  <w:rFonts w:ascii="Cambria Math" w:hAnsi="Souvenir Lt BT"/>
                  <w:i/>
                </w:rPr>
              </m:ctrlPr>
            </m:eqArrPr>
            <m:e>
              <w:bookmarkStart w:id="2" w:name="_Hlk207966427"/>
              <m:sSub>
                <m:sSubPr>
                  <m:ctrlPr>
                    <w:rPr>
                      <w:rFonts w:ascii="Cambria Math" w:hAnsi="Souvenir Lt BT"/>
                      <w:i/>
                    </w:rPr>
                  </m:ctrlPr>
                </m:sSubPr>
                <m:e>
                  <m:r>
                    <w:rPr>
                      <w:rFonts w:ascii="Cambria Math" w:hAnsi="Souvenir Lt BT"/>
                    </w:rPr>
                    <m:t>I</m:t>
                  </m:r>
                </m:e>
                <m:sub>
                  <m:r>
                    <w:rPr>
                      <w:rFonts w:ascii="Cambria Math" w:hAnsi="Souvenir Lt BT"/>
                    </w:rPr>
                    <m:t>t</m:t>
                  </m:r>
                </m:sub>
              </m:sSub>
              <m:r>
                <w:rPr>
                  <w:rFonts w:ascii="Cambria Math" w:hAnsi="Souvenir Lt BT"/>
                </w:rPr>
                <m:t>=</m:t>
              </m:r>
              <m:sSub>
                <m:sSubPr>
                  <m:ctrlPr>
                    <w:rPr>
                      <w:rFonts w:ascii="Cambria Math" w:hAnsi="Souvenir Lt BT"/>
                      <w:i/>
                    </w:rPr>
                  </m:ctrlPr>
                </m:sSubPr>
                <m:e>
                  <m:r>
                    <w:rPr>
                      <w:rFonts w:ascii="Cambria Math" w:hAnsi="Souvenir Lt BT"/>
                    </w:rPr>
                    <m:t>I</m:t>
                  </m:r>
                </m:e>
                <m:sub>
                  <m:r>
                    <w:rPr>
                      <w:rFonts w:ascii="Cambria Math" w:hAnsi="Souvenir Lt BT"/>
                    </w:rPr>
                    <m:t>d</m:t>
                  </m:r>
                  <m:r>
                    <w:rPr>
                      <w:rFonts w:ascii="Cambria Math" w:hAnsi="Souvenir Lt BT"/>
                    </w:rPr>
                    <m:t>,</m:t>
                  </m:r>
                  <m:r>
                    <w:rPr>
                      <w:rFonts w:ascii="Cambria Math" w:hAnsi="Souvenir Lt BT"/>
                    </w:rPr>
                    <m:t>t</m:t>
                  </m:r>
                </m:sub>
              </m:sSub>
              <m:r>
                <w:rPr>
                  <w:rFonts w:ascii="Cambria Math" w:hAnsi="Souvenir Lt BT"/>
                </w:rPr>
                <m:t>+</m:t>
              </m:r>
              <m:sSub>
                <m:sSubPr>
                  <m:ctrlPr>
                    <w:rPr>
                      <w:rFonts w:ascii="Cambria Math" w:hAnsi="Souvenir Lt BT"/>
                      <w:i/>
                    </w:rPr>
                  </m:ctrlPr>
                </m:sSubPr>
                <m:e>
                  <m:r>
                    <w:rPr>
                      <w:rFonts w:ascii="Cambria Math" w:hAnsi="Souvenir Lt BT"/>
                    </w:rPr>
                    <m:t>I</m:t>
                  </m:r>
                </m:e>
                <m:sub>
                  <m:r>
                    <w:rPr>
                      <w:rFonts w:ascii="Cambria Math" w:hAnsi="Souvenir Lt BT"/>
                    </w:rPr>
                    <m:t>f</m:t>
                  </m:r>
                  <m:r>
                    <w:rPr>
                      <w:rFonts w:ascii="Cambria Math" w:hAnsi="Souvenir Lt BT"/>
                    </w:rPr>
                    <m:t>,</m:t>
                  </m:r>
                  <m:r>
                    <w:rPr>
                      <w:rFonts w:ascii="Cambria Math" w:hAnsi="Souvenir Lt BT"/>
                    </w:rPr>
                    <m:t>t</m:t>
                  </m:r>
                  <m:r>
                    <w:rPr>
                      <w:rFonts w:ascii="Cambria Math" w:hAnsi="Souvenir Lt BT"/>
                    </w:rPr>
                    <m:t xml:space="preserve"> </m:t>
                  </m:r>
                </m:sub>
              </m:sSub>
              <w:bookmarkEnd w:id="2"/>
              <m:r>
                <w:rPr>
                  <w:rFonts w:ascii="Cambria Math" w:hAnsi="Souvenir Lt BT"/>
                </w:rPr>
                <m:t>#</m:t>
              </m:r>
              <m:d>
                <m:dPr>
                  <m:ctrlPr>
                    <w:rPr>
                      <w:rFonts w:ascii="Cambria Math" w:hAnsi="Souvenir Lt BT"/>
                      <w:i/>
                    </w:rPr>
                  </m:ctrlPr>
                </m:dPr>
                <m:e>
                  <m:r>
                    <w:rPr>
                      <w:rFonts w:ascii="Cambria Math" w:hAnsi="Souvenir Lt BT"/>
                    </w:rPr>
                    <m:t>1</m:t>
                  </m:r>
                </m:e>
              </m:d>
            </m:e>
          </m:eqArr>
        </m:oMath>
      </m:oMathPara>
    </w:p>
    <w:p w14:paraId="55582E35" w14:textId="77777777" w:rsidR="00153A82" w:rsidRPr="00697B94" w:rsidRDefault="007174FA" w:rsidP="007174FA">
      <w:pPr>
        <w:tabs>
          <w:tab w:val="left" w:pos="1945"/>
        </w:tabs>
      </w:pPr>
      <w:r w:rsidRPr="00697B94">
        <w:tab/>
      </w:r>
    </w:p>
    <w:p w14:paraId="32F19985" w14:textId="77777777" w:rsidR="007174FA" w:rsidRPr="00697B94" w:rsidRDefault="007174FA" w:rsidP="007174FA">
      <w:pPr>
        <w:tabs>
          <w:tab w:val="left" w:pos="1945"/>
        </w:tabs>
      </w:pPr>
      <w:r w:rsidRPr="00697B94">
        <w:t xml:space="preserve">where </w:t>
      </w:r>
      <m:oMath>
        <m:sSub>
          <m:sSubPr>
            <m:ctrlPr>
              <w:rPr>
                <w:rFonts w:ascii="Cambria Math" w:hAnsi="Cambria Math"/>
                <w:i/>
              </w:rPr>
            </m:ctrlPr>
          </m:sSubPr>
          <m:e>
            <m:r>
              <w:rPr>
                <w:rFonts w:ascii="Cambria Math" w:hAnsi="Cambria Math"/>
              </w:rPr>
              <m:t>I</m:t>
            </m:r>
          </m:e>
          <m:sub>
            <m:r>
              <w:rPr>
                <w:rFonts w:ascii="Cambria Math" w:hAnsi="Cambria Math"/>
              </w:rPr>
              <m:t>t</m:t>
            </m:r>
          </m:sub>
        </m:sSub>
      </m:oMath>
      <w:r w:rsidRPr="00697B94">
        <w:t xml:space="preserve"> denotes total investment, </w:t>
      </w:r>
      <m:oMath>
        <m:sSub>
          <m:sSubPr>
            <m:ctrlPr>
              <w:rPr>
                <w:rFonts w:ascii="Cambria Math" w:hAnsi="Cambria Math"/>
                <w:i/>
              </w:rPr>
            </m:ctrlPr>
          </m:sSubPr>
          <m:e>
            <m:r>
              <w:rPr>
                <w:rFonts w:ascii="Cambria Math" w:hAnsi="Cambria Math"/>
              </w:rPr>
              <m:t>I</m:t>
            </m:r>
          </m:e>
          <m:sub>
            <m:r>
              <w:rPr>
                <w:rFonts w:ascii="Cambria Math" w:hAnsi="Cambria Math"/>
              </w:rPr>
              <m:t>(d,t)</m:t>
            </m:r>
          </m:sub>
        </m:sSub>
      </m:oMath>
      <w:r w:rsidRPr="00697B94">
        <w:t xml:space="preserve">, </w:t>
      </w:r>
      <m:oMath>
        <m:sSub>
          <m:sSubPr>
            <m:ctrlPr>
              <w:rPr>
                <w:rFonts w:ascii="Cambria Math" w:hAnsi="Cambria Math"/>
                <w:i/>
              </w:rPr>
            </m:ctrlPr>
          </m:sSubPr>
          <m:e>
            <m:r>
              <w:rPr>
                <w:rFonts w:ascii="Cambria Math" w:hAnsi="Cambria Math"/>
              </w:rPr>
              <m:t>I</m:t>
            </m:r>
          </m:e>
          <m:sub>
            <m:r>
              <w:rPr>
                <w:rFonts w:ascii="Cambria Math" w:hAnsi="Cambria Math"/>
              </w:rPr>
              <m:t>(f,t)</m:t>
            </m:r>
          </m:sub>
        </m:sSub>
      </m:oMath>
      <w:r w:rsidRPr="00697B94">
        <w:t xml:space="preserve">  represent domestic and foreign investment respectively.</w:t>
      </w:r>
    </w:p>
    <w:p w14:paraId="799B5D3A" w14:textId="77777777" w:rsidR="007174FA" w:rsidRPr="00697B94" w:rsidRDefault="007174FA" w:rsidP="007174FA">
      <w:pPr>
        <w:tabs>
          <w:tab w:val="left" w:pos="1945"/>
        </w:tabs>
      </w:pPr>
      <w:r w:rsidRPr="00697B94">
        <w:t>The development impact of FDI depends</w:t>
      </w:r>
      <w:r w:rsidR="00DB38E2" w:rsidRPr="00697B94">
        <w:t xml:space="preserve"> </w:t>
      </w:r>
      <w:r w:rsidRPr="00697B94">
        <w:t>on its effect on domestic investment. Increased foreign direct investment would lead to an increase in overall investment in the economy if it has no impact on domestic investment. If</w:t>
      </w:r>
      <w:r w:rsidR="00DB38E2" w:rsidRPr="00697B94">
        <w:t xml:space="preserve"> </w:t>
      </w:r>
      <w:r w:rsidRPr="00697B94">
        <w:t>there is a crowding in</w:t>
      </w:r>
      <w:r w:rsidR="00DB38E2" w:rsidRPr="00697B94">
        <w:t xml:space="preserve"> </w:t>
      </w:r>
      <w:r w:rsidRPr="00697B94">
        <w:t>effect, which is likely to</w:t>
      </w:r>
      <w:r w:rsidR="00DB38E2" w:rsidRPr="00697B94">
        <w:t xml:space="preserve"> </w:t>
      </w:r>
      <w:r w:rsidRPr="00697B94">
        <w:t>occur when there</w:t>
      </w:r>
      <w:r w:rsidR="00DB38E2" w:rsidRPr="00697B94">
        <w:t xml:space="preserve"> </w:t>
      </w:r>
      <w:r w:rsidRPr="00697B94">
        <w:t>are no existing domestic</w:t>
      </w:r>
      <w:r w:rsidR="00DB38E2" w:rsidRPr="00697B94">
        <w:t xml:space="preserve"> </w:t>
      </w:r>
      <w:r w:rsidRPr="00697B94">
        <w:t>producers due to lack of</w:t>
      </w:r>
      <w:r w:rsidR="00DB38E2" w:rsidRPr="00697B94">
        <w:t xml:space="preserve"> </w:t>
      </w:r>
      <w:r w:rsidRPr="00697B94">
        <w:t>technological</w:t>
      </w:r>
      <w:r w:rsidR="00DB38E2" w:rsidRPr="00697B94">
        <w:t xml:space="preserve"> </w:t>
      </w:r>
      <w:r w:rsidRPr="00697B94">
        <w:t>requirements or lack</w:t>
      </w:r>
      <w:r w:rsidR="00DB38E2" w:rsidRPr="00697B94">
        <w:t xml:space="preserve"> </w:t>
      </w:r>
      <w:r w:rsidRPr="00697B94">
        <w:t>of knowledge of foreign</w:t>
      </w:r>
      <w:r w:rsidR="00DB38E2" w:rsidRPr="00697B94">
        <w:t xml:space="preserve"> </w:t>
      </w:r>
      <w:r w:rsidRPr="00697B94">
        <w:t>markets, and</w:t>
      </w:r>
      <w:r w:rsidR="00DB38E2" w:rsidRPr="00697B94">
        <w:t xml:space="preserve"> </w:t>
      </w:r>
      <w:r w:rsidRPr="00697B94">
        <w:t>FDI inflow engenders the introduction</w:t>
      </w:r>
      <w:r w:rsidR="00DB38E2" w:rsidRPr="00697B94">
        <w:t xml:space="preserve"> </w:t>
      </w:r>
      <w:r w:rsidRPr="00697B94">
        <w:t>of new products and</w:t>
      </w:r>
      <w:r w:rsidR="00916EBB" w:rsidRPr="00697B94">
        <w:t xml:space="preserve"> </w:t>
      </w:r>
      <w:r w:rsidRPr="00697B94">
        <w:t>services into the</w:t>
      </w:r>
      <w:r w:rsidR="00916EBB" w:rsidRPr="00697B94">
        <w:t xml:space="preserve"> </w:t>
      </w:r>
      <w:r w:rsidRPr="00697B94">
        <w:t>economy, whether for the domestic</w:t>
      </w:r>
      <w:r w:rsidR="00916EBB" w:rsidRPr="00697B94">
        <w:t xml:space="preserve"> </w:t>
      </w:r>
      <w:r w:rsidRPr="00697B94">
        <w:t>market or for exports,</w:t>
      </w:r>
      <w:r w:rsidR="00916EBB" w:rsidRPr="00697B94">
        <w:t xml:space="preserve"> </w:t>
      </w:r>
      <w:r w:rsidRPr="00697B94">
        <w:t>the increase in FDI would engender a more</w:t>
      </w:r>
      <w:r w:rsidR="00916EBB" w:rsidRPr="00697B94">
        <w:t xml:space="preserve"> </w:t>
      </w:r>
      <w:r w:rsidRPr="00697B94">
        <w:t>proportionate increase</w:t>
      </w:r>
      <w:r w:rsidR="00916EBB" w:rsidRPr="00697B94">
        <w:t xml:space="preserve"> </w:t>
      </w:r>
      <w:r w:rsidRPr="00697B94">
        <w:t>in total</w:t>
      </w:r>
      <w:r w:rsidR="00916EBB" w:rsidRPr="00697B94">
        <w:t xml:space="preserve"> </w:t>
      </w:r>
      <w:r w:rsidRPr="00697B94">
        <w:t xml:space="preserve">investment (Aigheyisi, 2017). </w:t>
      </w:r>
    </w:p>
    <w:p w14:paraId="58547913" w14:textId="77777777" w:rsidR="00916EBB" w:rsidRPr="00697B94" w:rsidRDefault="00916EBB" w:rsidP="00916EBB">
      <w:pPr>
        <w:tabs>
          <w:tab w:val="left" w:pos="1945"/>
        </w:tabs>
      </w:pPr>
      <w:r w:rsidRPr="00697B94">
        <w:t>On the other hand, if FDI inflows result in the crowding out (or substitution) of domestic investment, which is likely to occur where domestic producers already exist as a result of their exposure to foreign competition, such FDI would contribute less to total investment than the FDI inflow. To put it another way, total investment could rise, but not as much as FDI (Aigheyisi, 2017). In all of these cases, the impact of FDI</w:t>
      </w:r>
      <w:r w:rsidR="00DD73F0" w:rsidRPr="00697B94">
        <w:t xml:space="preserve"> </w:t>
      </w:r>
      <w:r w:rsidRPr="00697B94">
        <w:t>on domestic investment</w:t>
      </w:r>
      <w:r w:rsidR="00DD73F0" w:rsidRPr="00697B94">
        <w:t xml:space="preserve"> </w:t>
      </w:r>
      <w:r w:rsidRPr="00697B94">
        <w:t xml:space="preserve">varies by </w:t>
      </w:r>
      <w:r w:rsidRPr="00697B94">
        <w:lastRenderedPageBreak/>
        <w:t>country and is dependent on domestic</w:t>
      </w:r>
      <w:r w:rsidR="00DD73F0" w:rsidRPr="00697B94">
        <w:t xml:space="preserve"> </w:t>
      </w:r>
      <w:r w:rsidRPr="00697B94">
        <w:t>policy, the type of FDI</w:t>
      </w:r>
      <w:r w:rsidR="00DD73F0" w:rsidRPr="00697B94">
        <w:t xml:space="preserve"> </w:t>
      </w:r>
      <w:r w:rsidRPr="00697B94">
        <w:t>flowing into the country, the strength</w:t>
      </w:r>
      <w:r w:rsidR="00DD73F0" w:rsidRPr="00697B94">
        <w:t xml:space="preserve"> </w:t>
      </w:r>
      <w:r w:rsidRPr="00697B94">
        <w:t>of domestic enterprises,</w:t>
      </w:r>
      <w:r w:rsidR="00DD73F0" w:rsidRPr="00697B94">
        <w:t xml:space="preserve"> </w:t>
      </w:r>
      <w:r w:rsidRPr="00697B94">
        <w:t>and absorptive capacities</w:t>
      </w:r>
      <w:r w:rsidR="00DD73F0" w:rsidRPr="00697B94">
        <w:t xml:space="preserve"> </w:t>
      </w:r>
      <w:r w:rsidRPr="00697B94">
        <w:t xml:space="preserve">such as skill or human capital growth, as well as the development of the financial system. </w:t>
      </w:r>
    </w:p>
    <w:p w14:paraId="3BB5A33F" w14:textId="77777777" w:rsidR="00916EBB" w:rsidRPr="00697B94" w:rsidRDefault="00916EBB" w:rsidP="00916EBB">
      <w:pPr>
        <w:tabs>
          <w:tab w:val="left" w:pos="1945"/>
        </w:tabs>
      </w:pPr>
    </w:p>
    <w:p w14:paraId="42447D74" w14:textId="77777777" w:rsidR="00916EBB" w:rsidRPr="00697B94" w:rsidRDefault="00916EBB" w:rsidP="00916EBB">
      <w:pPr>
        <w:tabs>
          <w:tab w:val="left" w:pos="1945"/>
        </w:tabs>
      </w:pPr>
      <w:r w:rsidRPr="00697B94">
        <w:t>Therefore, for the purposes of this study and in the context of the Ghanaian economy, equation one is augmented to include other factors that affect domestic investment. Hence the model can be re-specified as follows:</w:t>
      </w:r>
    </w:p>
    <w:p w14:paraId="588DB59D" w14:textId="77777777" w:rsidR="00DD73F0" w:rsidRPr="00697B94" w:rsidRDefault="00C70D95" w:rsidP="00916EBB">
      <w:pPr>
        <w:tabs>
          <w:tab w:val="left" w:pos="1945"/>
        </w:tabs>
      </w:pPr>
      <m:oMathPara>
        <m:oMath>
          <m:eqArr>
            <m:eqArrPr>
              <m:maxDist m:val="1"/>
              <m:ctrlPr>
                <w:rPr>
                  <w:rFonts w:ascii="Cambria Math" w:hAnsi="Cambria Math"/>
                  <w:i/>
                </w:rPr>
              </m:ctrlPr>
            </m:eqArrPr>
            <m:e>
              <m:r>
                <w:rPr>
                  <w:rFonts w:ascii="Cambria Math" w:hAnsi="Cambria Math"/>
                </w:rPr>
                <m:t>GFCF</m:t>
              </m:r>
              <m:r>
                <w:rPr>
                  <w:rFonts w:ascii="Cambria Math" w:hAnsi="Cambria Math"/>
                </w:rPr>
                <m:t>=</m:t>
              </m:r>
              <m:r>
                <w:rPr>
                  <w:rFonts w:ascii="Cambria Math" w:hAnsi="Cambria Math"/>
                </w:rPr>
                <m:t>f</m:t>
              </m:r>
              <m:d>
                <m:dPr>
                  <m:ctrlPr>
                    <w:rPr>
                      <w:rFonts w:ascii="Cambria Math" w:hAnsi="Cambria Math"/>
                      <w:i/>
                    </w:rPr>
                  </m:ctrlPr>
                </m:dPr>
                <m:e>
                  <m:r>
                    <w:rPr>
                      <w:rFonts w:ascii="Cambria Math" w:hAnsi="Cambria Math"/>
                    </w:rPr>
                    <m:t>FDI</m:t>
                  </m:r>
                  <m:r>
                    <w:rPr>
                      <w:rFonts w:ascii="Cambria Math" w:hAnsi="Cambria Math"/>
                    </w:rPr>
                    <m:t>,</m:t>
                  </m:r>
                  <m:r>
                    <w:rPr>
                      <w:rFonts w:ascii="Cambria Math" w:hAnsi="Cambria Math"/>
                    </w:rPr>
                    <m:t>INF</m:t>
                  </m:r>
                  <m:r>
                    <w:rPr>
                      <w:rFonts w:ascii="Cambria Math" w:hAnsi="Cambria Math"/>
                    </w:rPr>
                    <m:t>,</m:t>
                  </m:r>
                  <m:r>
                    <w:rPr>
                      <w:rFonts w:ascii="Cambria Math" w:hAnsi="Cambria Math"/>
                    </w:rPr>
                    <m:t>I</m:t>
                  </m:r>
                  <m:r>
                    <w:rPr>
                      <w:rFonts w:ascii="Cambria Math" w:hAnsi="Cambria Math"/>
                    </w:rPr>
                    <m:t>NFSQ</m:t>
                  </m:r>
                  <m:r>
                    <w:rPr>
                      <w:rFonts w:ascii="Cambria Math" w:hAnsi="Cambria Math"/>
                    </w:rPr>
                    <m:t>,</m:t>
                  </m:r>
                  <m:r>
                    <w:rPr>
                      <w:rFonts w:ascii="Cambria Math" w:hAnsi="Cambria Math"/>
                    </w:rPr>
                    <m:t>GDPG</m:t>
                  </m:r>
                  <m:r>
                    <w:rPr>
                      <w:rFonts w:ascii="Cambria Math" w:hAnsi="Cambria Math"/>
                    </w:rPr>
                    <m:t>,</m:t>
                  </m:r>
                  <m:r>
                    <w:rPr>
                      <w:rFonts w:ascii="Cambria Math" w:hAnsi="Cambria Math"/>
                    </w:rPr>
                    <m:t>EXR</m:t>
                  </m:r>
                </m:e>
              </m:d>
              <m:r>
                <w:rPr>
                  <w:rFonts w:ascii="Cambria Math" w:hAnsi="Cambria Math"/>
                </w:rPr>
                <m:t xml:space="preserve"> #</m:t>
              </m:r>
              <m:d>
                <m:dPr>
                  <m:ctrlPr>
                    <w:rPr>
                      <w:rFonts w:ascii="Cambria Math" w:hAnsi="Cambria Math"/>
                      <w:i/>
                    </w:rPr>
                  </m:ctrlPr>
                </m:dPr>
                <m:e>
                  <m:r>
                    <w:rPr>
                      <w:rFonts w:ascii="Cambria Math" w:hAnsi="Cambria Math"/>
                    </w:rPr>
                    <m:t>2</m:t>
                  </m:r>
                </m:e>
              </m:d>
            </m:e>
          </m:eqArr>
        </m:oMath>
      </m:oMathPara>
    </w:p>
    <w:p w14:paraId="4F7D2625" w14:textId="77777777" w:rsidR="00DD73F0" w:rsidRPr="00697B94" w:rsidRDefault="00916EBB" w:rsidP="00916EBB">
      <w:pPr>
        <w:tabs>
          <w:tab w:val="left" w:pos="1945"/>
        </w:tabs>
      </w:pPr>
      <w:r w:rsidRPr="00697B94">
        <w:tab/>
      </w:r>
      <w:r w:rsidRPr="00697B94">
        <w:tab/>
      </w:r>
      <w:r w:rsidRPr="00697B94">
        <w:tab/>
      </w:r>
      <w:r w:rsidRPr="00697B94">
        <w:tab/>
      </w:r>
    </w:p>
    <w:p w14:paraId="0F2D38AE" w14:textId="77777777" w:rsidR="00916EBB" w:rsidRPr="00697B94" w:rsidRDefault="00916EBB" w:rsidP="00916EBB">
      <w:pPr>
        <w:tabs>
          <w:tab w:val="left" w:pos="1945"/>
        </w:tabs>
      </w:pPr>
      <w:r w:rsidRPr="00697B94">
        <w:t xml:space="preserve">where </w:t>
      </w:r>
      <m:oMath>
        <m:r>
          <w:rPr>
            <w:rFonts w:ascii="Cambria Math" w:hAnsi="Cambria Math"/>
          </w:rPr>
          <m:t>GFCF</m:t>
        </m:r>
      </m:oMath>
      <w:r w:rsidRPr="00697B94">
        <w:t xml:space="preserve"> represents gross fixed capital formation as a proxy for domestic investment, FDI represents foreign direct investment, </w:t>
      </w:r>
      <m:oMath>
        <m:r>
          <w:rPr>
            <w:rFonts w:ascii="Cambria Math" w:hAnsi="Cambria Math"/>
          </w:rPr>
          <m:t>INF</m:t>
        </m:r>
      </m:oMath>
      <w:r w:rsidRPr="00697B94">
        <w:t xml:space="preserve"> and </w:t>
      </w:r>
      <m:oMath>
        <m:r>
          <w:rPr>
            <w:rFonts w:ascii="Cambria Math" w:hAnsi="Cambria Math"/>
          </w:rPr>
          <m:t>INFSQ</m:t>
        </m:r>
      </m:oMath>
      <w:r w:rsidRPr="00697B94">
        <w:t xml:space="preserve"> represent inflation and inflation squared respectively, </w:t>
      </w:r>
      <m:oMath>
        <m:r>
          <w:rPr>
            <w:rFonts w:ascii="Cambria Math" w:hAnsi="Cambria Math"/>
          </w:rPr>
          <m:t>GDPG</m:t>
        </m:r>
      </m:oMath>
      <w:r w:rsidRPr="00697B94">
        <w:t xml:space="preserve"> denotes growth rate of gross domestic product, and </w:t>
      </w:r>
      <m:oMath>
        <m:r>
          <w:rPr>
            <w:rFonts w:ascii="Cambria Math" w:hAnsi="Cambria Math"/>
          </w:rPr>
          <m:t>EXR</m:t>
        </m:r>
      </m:oMath>
      <w:r w:rsidRPr="00697B94">
        <w:t xml:space="preserve"> represents nominal exchange rate. </w:t>
      </w:r>
    </w:p>
    <w:p w14:paraId="54E41984" w14:textId="77777777" w:rsidR="00DD73F0" w:rsidRPr="00697B94" w:rsidRDefault="00DD73F0" w:rsidP="00DD73F0">
      <w:pPr>
        <w:tabs>
          <w:tab w:val="left" w:pos="1945"/>
        </w:tabs>
      </w:pPr>
      <w:r w:rsidRPr="00697B94">
        <w:t xml:space="preserve">The model is further transformed in an econometric form as shown below: </w:t>
      </w:r>
    </w:p>
    <w:p w14:paraId="4DB3C088" w14:textId="77777777" w:rsidR="00DD73F0" w:rsidRPr="00697B94" w:rsidRDefault="00C70D95" w:rsidP="00DD73F0">
      <w:pPr>
        <w:tabs>
          <w:tab w:val="left" w:pos="1945"/>
        </w:tabs>
      </w:pPr>
      <m:oMathPara>
        <m:oMath>
          <m:eqArr>
            <m:eqArrPr>
              <m:maxDist m:val="1"/>
              <m:ctrlPr>
                <w:rPr>
                  <w:rFonts w:ascii="Cambria Math" w:hAnsi="Cambria Math"/>
                  <w:i/>
                </w:rPr>
              </m:ctrlPr>
            </m:eqArrPr>
            <m:e>
              <m:r>
                <w:rPr>
                  <w:rFonts w:ascii="Cambria Math" w:hAnsi="Cambria Math"/>
                </w:rPr>
                <m:t>GFCF</m:t>
              </m:r>
              <m:r>
                <w:rPr>
                  <w:rFonts w:ascii="Cambria Math" w:hAnsi="Cambria Math"/>
                </w:rPr>
                <m:t xml:space="preserve">= </m:t>
              </m:r>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 xml:space="preserve">+ </m:t>
              </m:r>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 xml:space="preserve"> </m:t>
              </m:r>
              <m:r>
                <w:rPr>
                  <w:rFonts w:ascii="Cambria Math" w:hAnsi="Cambria Math"/>
                </w:rPr>
                <m:t>FDI</m:t>
              </m:r>
              <m:r>
                <w:rPr>
                  <w:rFonts w:ascii="Cambria Math" w:hAnsi="Cambria Math"/>
                </w:rPr>
                <m:t xml:space="preserve">+ </m:t>
              </m:r>
              <m:sSub>
                <m:sSubPr>
                  <m:ctrlPr>
                    <w:rPr>
                      <w:rFonts w:ascii="Cambria Math" w:hAnsi="Cambria Math"/>
                      <w:i/>
                    </w:rPr>
                  </m:ctrlPr>
                </m:sSubPr>
                <m:e>
                  <m:r>
                    <w:rPr>
                      <w:rFonts w:ascii="Cambria Math" w:hAnsi="Cambria Math"/>
                    </w:rPr>
                    <m:t>β</m:t>
                  </m:r>
                </m:e>
                <m:sub>
                  <m:r>
                    <w:rPr>
                      <w:rFonts w:ascii="Cambria Math" w:hAnsi="Cambria Math"/>
                    </w:rPr>
                    <m:t>2</m:t>
                  </m:r>
                </m:sub>
              </m:sSub>
              <m:r>
                <w:rPr>
                  <w:rFonts w:ascii="Cambria Math" w:hAnsi="Cambria Math"/>
                </w:rPr>
                <m:t>INF</m:t>
              </m:r>
              <m:r>
                <w:rPr>
                  <w:rFonts w:ascii="Cambria Math" w:hAnsi="Cambria Math"/>
                </w:rPr>
                <m:t xml:space="preserve"> +</m:t>
              </m:r>
              <m:sSub>
                <m:sSubPr>
                  <m:ctrlPr>
                    <w:rPr>
                      <w:rFonts w:ascii="Cambria Math" w:hAnsi="Cambria Math"/>
                      <w:i/>
                    </w:rPr>
                  </m:ctrlPr>
                </m:sSubPr>
                <m:e>
                  <m:r>
                    <w:rPr>
                      <w:rFonts w:ascii="Cambria Math" w:hAnsi="Cambria Math"/>
                    </w:rPr>
                    <m:t>β</m:t>
                  </m:r>
                </m:e>
                <m:sub>
                  <m:r>
                    <w:rPr>
                      <w:rFonts w:ascii="Cambria Math" w:hAnsi="Cambria Math"/>
                    </w:rPr>
                    <m:t>3</m:t>
                  </m:r>
                </m:sub>
              </m:sSub>
              <m:r>
                <w:rPr>
                  <w:rFonts w:ascii="Cambria Math" w:hAnsi="Cambria Math"/>
                </w:rPr>
                <m:t>INFSQ</m:t>
              </m:r>
              <m:r>
                <w:rPr>
                  <w:rFonts w:ascii="Cambria Math" w:hAnsi="Cambria Math"/>
                </w:rPr>
                <m:t xml:space="preserve">+ </m:t>
              </m:r>
              <m:sSub>
                <m:sSubPr>
                  <m:ctrlPr>
                    <w:rPr>
                      <w:rFonts w:ascii="Cambria Math" w:hAnsi="Cambria Math"/>
                      <w:i/>
                    </w:rPr>
                  </m:ctrlPr>
                </m:sSubPr>
                <m:e>
                  <m:r>
                    <w:rPr>
                      <w:rFonts w:ascii="Cambria Math" w:hAnsi="Cambria Math"/>
                    </w:rPr>
                    <m:t>β</m:t>
                  </m:r>
                </m:e>
                <m:sub>
                  <m:r>
                    <w:rPr>
                      <w:rFonts w:ascii="Cambria Math" w:hAnsi="Cambria Math"/>
                    </w:rPr>
                    <m:t>4</m:t>
                  </m:r>
                </m:sub>
              </m:sSub>
              <m:r>
                <w:rPr>
                  <w:rFonts w:ascii="Cambria Math" w:hAnsi="Cambria Math"/>
                </w:rPr>
                <m:t>GDPG</m:t>
              </m:r>
              <m:r>
                <w:rPr>
                  <w:rFonts w:ascii="Cambria Math" w:hAnsi="Cambria Math"/>
                </w:rPr>
                <m:t xml:space="preserve">+ </m:t>
              </m:r>
              <m:sSub>
                <m:sSubPr>
                  <m:ctrlPr>
                    <w:rPr>
                      <w:rFonts w:ascii="Cambria Math" w:hAnsi="Cambria Math"/>
                      <w:i/>
                    </w:rPr>
                  </m:ctrlPr>
                </m:sSubPr>
                <m:e>
                  <m:r>
                    <w:rPr>
                      <w:rFonts w:ascii="Cambria Math" w:hAnsi="Cambria Math"/>
                    </w:rPr>
                    <m:t>β</m:t>
                  </m:r>
                </m:e>
                <m:sub>
                  <m:r>
                    <w:rPr>
                      <w:rFonts w:ascii="Cambria Math" w:hAnsi="Cambria Math"/>
                    </w:rPr>
                    <m:t>5</m:t>
                  </m:r>
                </m:sub>
              </m:sSub>
              <m:r>
                <w:rPr>
                  <w:rFonts w:ascii="Cambria Math" w:hAnsi="Cambria Math"/>
                </w:rPr>
                <m:t xml:space="preserve"> </m:t>
              </m:r>
              <m:r>
                <w:rPr>
                  <w:rFonts w:ascii="Cambria Math" w:hAnsi="Cambria Math"/>
                </w:rPr>
                <m:t>EXR</m:t>
              </m:r>
              <m:r>
                <w:rPr>
                  <w:rFonts w:ascii="Cambria Math" w:hAnsi="Cambria Math"/>
                </w:rPr>
                <m:t xml:space="preserve">+ </m:t>
              </m:r>
              <m:sSub>
                <m:sSubPr>
                  <m:ctrlPr>
                    <w:rPr>
                      <w:rFonts w:ascii="Cambria Math" w:hAnsi="Cambria Math"/>
                      <w:i/>
                    </w:rPr>
                  </m:ctrlPr>
                </m:sSubPr>
                <m:e>
                  <m:r>
                    <w:rPr>
                      <w:rFonts w:ascii="Cambria Math" w:hAnsi="Cambria Math"/>
                    </w:rPr>
                    <m:t>μ</m:t>
                  </m:r>
                </m:e>
                <m:sub>
                  <m:r>
                    <w:rPr>
                      <w:rFonts w:ascii="Cambria Math" w:hAnsi="Cambria Math"/>
                    </w:rPr>
                    <m:t>t</m:t>
                  </m:r>
                </m:sub>
              </m:sSub>
              <m:r>
                <w:rPr>
                  <w:rFonts w:ascii="Cambria Math" w:hAnsi="Cambria Math"/>
                </w:rPr>
                <m:t xml:space="preserve"> #</m:t>
              </m:r>
              <m:d>
                <m:dPr>
                  <m:ctrlPr>
                    <w:rPr>
                      <w:rFonts w:ascii="Cambria Math" w:hAnsi="Cambria Math"/>
                      <w:i/>
                    </w:rPr>
                  </m:ctrlPr>
                </m:dPr>
                <m:e>
                  <m:r>
                    <w:rPr>
                      <w:rFonts w:ascii="Cambria Math" w:hAnsi="Cambria Math"/>
                    </w:rPr>
                    <m:t>3</m:t>
                  </m:r>
                </m:e>
              </m:d>
            </m:e>
          </m:eqArr>
        </m:oMath>
      </m:oMathPara>
    </w:p>
    <w:p w14:paraId="03EE0A9C" w14:textId="77777777" w:rsidR="00DD73F0" w:rsidRPr="00697B94" w:rsidRDefault="00DD73F0" w:rsidP="00DD73F0">
      <w:pPr>
        <w:tabs>
          <w:tab w:val="left" w:pos="1945"/>
        </w:tabs>
      </w:pPr>
    </w:p>
    <w:p w14:paraId="5E19B70C" w14:textId="77777777" w:rsidR="00DD73F0" w:rsidRPr="00697B94" w:rsidRDefault="00DD73F0" w:rsidP="00DD73F0">
      <w:pPr>
        <w:tabs>
          <w:tab w:val="left" w:pos="1945"/>
        </w:tabs>
      </w:pPr>
      <w:r w:rsidRPr="00697B94">
        <w:t xml:space="preserve">where </w:t>
      </w:r>
      <m:oMath>
        <m:sSub>
          <m:sSubPr>
            <m:ctrlPr>
              <w:rPr>
                <w:rFonts w:ascii="Cambria Math" w:hAnsi="Cambria Math"/>
                <w:i/>
              </w:rPr>
            </m:ctrlPr>
          </m:sSubPr>
          <m:e>
            <m:r>
              <w:rPr>
                <w:rFonts w:ascii="Cambria Math" w:hAnsi="Cambria Math"/>
              </w:rPr>
              <m:t>β</m:t>
            </m:r>
          </m:e>
          <m:sub>
            <m:r>
              <w:rPr>
                <w:rFonts w:ascii="Cambria Math" w:hAnsi="Cambria Math"/>
              </w:rPr>
              <m:t>1</m:t>
            </m:r>
          </m:sub>
        </m:sSub>
      </m:oMath>
      <w:r w:rsidRPr="00697B94">
        <w:t xml:space="preserve">, </w:t>
      </w:r>
      <m:oMath>
        <m:r>
          <w:rPr>
            <w:rFonts w:ascii="Cambria Math" w:hAnsi="Cambria Math"/>
          </w:rPr>
          <m:t>µ</m:t>
        </m:r>
      </m:oMath>
      <w:r w:rsidRPr="00697B94">
        <w:t>, and</w:t>
      </w:r>
      <m:oMath>
        <m:r>
          <w:rPr>
            <w:rFonts w:ascii="Cambria Math" w:hAnsi="Cambria Math"/>
          </w:rPr>
          <m:t xml:space="preserve"> t</m:t>
        </m:r>
      </m:oMath>
      <w:r w:rsidRPr="00697B94">
        <w:t xml:space="preserve"> represent the parameter estimates, disturbance term and time trend respectively.</w:t>
      </w:r>
    </w:p>
    <w:p w14:paraId="1B901FED" w14:textId="77777777" w:rsidR="007174FA" w:rsidRPr="00697B94" w:rsidRDefault="007174FA" w:rsidP="007174FA">
      <w:pPr>
        <w:tabs>
          <w:tab w:val="left" w:pos="1945"/>
        </w:tabs>
      </w:pPr>
    </w:p>
    <w:p w14:paraId="03259567" w14:textId="77777777" w:rsidR="0040137B" w:rsidRPr="00697B94" w:rsidRDefault="0040137B" w:rsidP="0040137B">
      <w:pPr>
        <w:rPr>
          <w:b/>
          <w:bCs/>
        </w:rPr>
      </w:pPr>
      <w:r w:rsidRPr="00697B94">
        <w:rPr>
          <w:b/>
          <w:bCs/>
        </w:rPr>
        <w:t xml:space="preserve">2.4 </w:t>
      </w:r>
      <w:r w:rsidR="00135CF4" w:rsidRPr="00697B94">
        <w:rPr>
          <w:b/>
          <w:bCs/>
        </w:rPr>
        <w:t>Variable Description and Expected Signs</w:t>
      </w:r>
    </w:p>
    <w:p w14:paraId="53E13CC6" w14:textId="77777777" w:rsidR="00135CF4" w:rsidRPr="00697B94" w:rsidRDefault="00135CF4" w:rsidP="0040137B">
      <w:pPr>
        <w:rPr>
          <w:b/>
          <w:bCs/>
        </w:rPr>
      </w:pPr>
    </w:p>
    <w:p w14:paraId="02E56628" w14:textId="77777777" w:rsidR="00135CF4" w:rsidRPr="00697B94" w:rsidRDefault="00135CF4" w:rsidP="0040137B">
      <w:pPr>
        <w:rPr>
          <w:b/>
          <w:bCs/>
          <w:sz w:val="18"/>
          <w:szCs w:val="18"/>
          <w:u w:val="single"/>
        </w:rPr>
      </w:pPr>
      <w:r w:rsidRPr="00697B94">
        <w:rPr>
          <w:b/>
          <w:bCs/>
          <w:u w:val="single"/>
        </w:rPr>
        <w:t>2.4.1 Domestic Investment (GFCF)</w:t>
      </w:r>
    </w:p>
    <w:p w14:paraId="358CB811" w14:textId="77777777" w:rsidR="00135CF4" w:rsidRPr="00697B94" w:rsidRDefault="00135CF4" w:rsidP="00135CF4">
      <w:pPr>
        <w:spacing w:before="120" w:after="120"/>
      </w:pPr>
      <w:r w:rsidRPr="00697B94">
        <w:t>Domestic investment as proxied by gross fixed capital formation as a percentage of gross domestic product (formerly gross domestic fixed investment) includes land improvements (fences, ditches, drains, and so on); plant, machinery, and equipment purchases; and the construction of roads, railways, and the like, including schools, offices, hospitals, private residential dwellings, and commercial and industrial buildings (Anon., 2021). It is the dependent variable in the model.</w:t>
      </w:r>
    </w:p>
    <w:p w14:paraId="727E2C1B" w14:textId="77777777" w:rsidR="00135CF4" w:rsidRPr="00697B94" w:rsidRDefault="00135CF4" w:rsidP="00135CF4">
      <w:pPr>
        <w:spacing w:before="120" w:after="120"/>
        <w:rPr>
          <w:b/>
          <w:bCs/>
          <w:u w:val="single"/>
        </w:rPr>
      </w:pPr>
      <w:r w:rsidRPr="00697B94">
        <w:rPr>
          <w:b/>
          <w:bCs/>
          <w:u w:val="single"/>
        </w:rPr>
        <w:t>2.4.2 Foreign Direct Investment (FDI)</w:t>
      </w:r>
    </w:p>
    <w:p w14:paraId="6D6F0709" w14:textId="77777777" w:rsidR="00135CF4" w:rsidRPr="00697B94" w:rsidRDefault="00135CF4" w:rsidP="00135CF4">
      <w:pPr>
        <w:spacing w:before="120" w:after="120"/>
      </w:pPr>
      <w:r w:rsidRPr="00697B94">
        <w:t xml:space="preserve">Foreign direct investment (FDI) is the process whereby residents of one country (the source country) acquire ownership of assets for the purpose of controlling the production, distribution, and other activities of a firm in that country (the host country) (Moosa, 2002). The World Bank on the other hand defines foreign direct investment as the net inflows of investment to acquire a lasting management interest (10 percent or more of voting stock) in an enterprise operating in an economy other than that of the investor. Thus, it is the sum of equity capital, reinvestment of earnings, other long-term capital, and short-term capital as shown in the balance of payments. In this study, the FDI is calculated as the net FDI inflows as a percentage of GDP. Empirically, the impact of FDI on domestic investment remains indeterminate as this depends on the domestic absorptive capacity of the host (recipient) country (Nwanna, 1986).    </w:t>
      </w:r>
    </w:p>
    <w:p w14:paraId="576DCE97" w14:textId="77777777" w:rsidR="00135CF4" w:rsidRPr="00697B94" w:rsidRDefault="00135CF4" w:rsidP="00135CF4">
      <w:pPr>
        <w:spacing w:before="120" w:after="120"/>
        <w:rPr>
          <w:b/>
          <w:bCs/>
          <w:u w:val="single"/>
        </w:rPr>
      </w:pPr>
      <w:r w:rsidRPr="00697B94">
        <w:rPr>
          <w:b/>
          <w:bCs/>
          <w:u w:val="single"/>
        </w:rPr>
        <w:t>2.4.3 Inflation (INF)</w:t>
      </w:r>
    </w:p>
    <w:p w14:paraId="2A9B6D78" w14:textId="77777777" w:rsidR="00135CF4" w:rsidRPr="00697B94" w:rsidRDefault="00135CF4" w:rsidP="00135CF4">
      <w:pPr>
        <w:spacing w:before="120" w:after="120"/>
      </w:pPr>
      <w:r w:rsidRPr="00697B94">
        <w:t xml:space="preserve">This is the persistent and appreciable increase in the general price level of goods and services in an economy over a period of time (Shim and Seigel, 1995).  The study used consumer price index (CPI) as it is the measure mainly used by the Ghana Statistical Service (GSS) as a measure of inflation and it is also able to capture nominal price changes in the economy. Inflationary pressures could stifle domestic investment by raising the cost of production inputs (Aigheyisi, 2017).  However, considerable level of inflation could have a positive impact on domestic investment as moderate increase in prices could increase the profit level of firms. As a result, the inclusion of the squared inflation term as an explanatory variable in the model assumes the existence of a threshold inflation rate above which inflation has a negative impact on domestic investment. </w:t>
      </w:r>
    </w:p>
    <w:p w14:paraId="27C35CAD" w14:textId="77777777" w:rsidR="00135CF4" w:rsidRPr="00697B94" w:rsidRDefault="00135CF4" w:rsidP="00135CF4">
      <w:pPr>
        <w:spacing w:before="120" w:after="120"/>
        <w:rPr>
          <w:b/>
          <w:bCs/>
          <w:u w:val="single"/>
        </w:rPr>
      </w:pPr>
      <w:r w:rsidRPr="00697B94">
        <w:rPr>
          <w:b/>
          <w:bCs/>
          <w:u w:val="single"/>
        </w:rPr>
        <w:lastRenderedPageBreak/>
        <w:t>2.4.4 GDP Growth</w:t>
      </w:r>
    </w:p>
    <w:p w14:paraId="0CC728A6" w14:textId="77777777" w:rsidR="00135CF4" w:rsidRPr="00697B94" w:rsidRDefault="00135CF4" w:rsidP="00135CF4">
      <w:pPr>
        <w:spacing w:before="120" w:after="120"/>
      </w:pPr>
      <w:r w:rsidRPr="00697B94">
        <w:t xml:space="preserve">The study used growth rate of gross domestic product (GDP growth) to represent economic growth (that is the sustained or continuous increase in the amount of goods and services produced by an economy over time). This variable is measured as the annual percentage growth rate of GDP at market prices based on constant local currency. It is worth to mention that GDP growth has been included in the model to account for the principle of accelerator effect. According to this principle, changes in GDP are expected to induce changes in investment, but at more rapid rates than the rates of increase in GDP (Aigheyisi, 2017). Hence, the coefficient of which conveys the effect of GDP growth on domestic investment is expected to carry a positive sign </w:t>
      </w:r>
      <m:oMath>
        <m:r>
          <w:rPr>
            <w:rFonts w:ascii="Cambria Math" w:hAnsi="Cambria Math"/>
          </w:rPr>
          <m:t>(β_3&gt;0).</m:t>
        </m:r>
      </m:oMath>
    </w:p>
    <w:p w14:paraId="4F6F2CF0" w14:textId="77777777" w:rsidR="00135CF4" w:rsidRPr="00697B94" w:rsidRDefault="00135CF4" w:rsidP="00135CF4">
      <w:pPr>
        <w:spacing w:before="120" w:after="120"/>
        <w:rPr>
          <w:b/>
          <w:bCs/>
          <w:u w:val="single"/>
        </w:rPr>
      </w:pPr>
      <w:r w:rsidRPr="00697B94">
        <w:rPr>
          <w:b/>
          <w:bCs/>
          <w:u w:val="single"/>
        </w:rPr>
        <w:t>2.4.5 Exchange Rate (EXR)</w:t>
      </w:r>
    </w:p>
    <w:p w14:paraId="771BDBB6" w14:textId="77777777" w:rsidR="00135CF4" w:rsidRPr="00697B94" w:rsidRDefault="00135CF4" w:rsidP="00135CF4">
      <w:pPr>
        <w:spacing w:before="120" w:after="120"/>
      </w:pPr>
      <w:r w:rsidRPr="00697B94">
        <w:t xml:space="preserve">Exchange rate is defined as the amount of local currency needed to change for a unit of a foreign currency. The nominal exchange rate is used in this study and it is measured as the Ghanaian Cedi per United State Dollar. The cedi-dollar exchange rate is therefore important to be included in the model since this usually influences the cost for importing raw materials and other inputs. However, due to the deteriorated value of the cedi, imports from both capital and intermediate goods become more expensive for domestic investors. A study by Ali (2018) revealed a negative relationship between exchange rate and domestic investment. Hence, as import dependent country and considering the deteriorated or weak value of the cedi, it is expected that exchange rate is likely to be negatively correlated with domestic investment </w:t>
      </w:r>
      <m:oMath>
        <m:r>
          <w:rPr>
            <w:rFonts w:ascii="Cambria Math" w:hAnsi="Cambria Math"/>
          </w:rPr>
          <m:t>(β_5&lt;0).</m:t>
        </m:r>
      </m:oMath>
      <w:r w:rsidRPr="00697B94">
        <w:t xml:space="preserve"> </w:t>
      </w:r>
    </w:p>
    <w:p w14:paraId="02C8BDDF" w14:textId="77777777" w:rsidR="00135CF4" w:rsidRPr="00697B94" w:rsidRDefault="00135CF4" w:rsidP="0040137B">
      <w:pPr>
        <w:spacing w:before="120" w:after="120"/>
      </w:pPr>
    </w:p>
    <w:p w14:paraId="6A28C516" w14:textId="77777777" w:rsidR="007723B0" w:rsidRPr="00697B94" w:rsidRDefault="007723B0" w:rsidP="0040137B">
      <w:pPr>
        <w:spacing w:before="120" w:after="120"/>
        <w:rPr>
          <w:b/>
          <w:bCs/>
        </w:rPr>
      </w:pPr>
      <w:r w:rsidRPr="00697B94">
        <w:rPr>
          <w:b/>
          <w:bCs/>
        </w:rPr>
        <w:t>2.3 Estimation Technique</w:t>
      </w:r>
    </w:p>
    <w:p w14:paraId="391DDC39" w14:textId="77777777" w:rsidR="007723B0" w:rsidRPr="00697B94" w:rsidRDefault="007723B0" w:rsidP="007723B0">
      <w:pPr>
        <w:spacing w:before="120" w:after="120"/>
      </w:pPr>
      <w:r w:rsidRPr="00697B94">
        <w:t>To investigate the effect of foreign direct investment on domestic investment in Ghana, the study adopted Autoregressive Distributed Lag (ARDL) cointegration procedure developed by Pesaran et al., (2001). The implementation of the ARDL model involves the following three steps. In the first step, we check for the order of integration of the various variables investigated by using the unit root tests of ADF (Dickey and Fuller, 1979; Phillips and Perron, 1988). That is, the unit root test is used to check for the stationarity properties of the variables. The second step involves testing for cointegration among the variables by making use of the Autoregressive Distributed Lag model. Finally, once cointegration is established, we use the ARDL to estimate the long run results and the ECM to get the short run results.</w:t>
      </w:r>
    </w:p>
    <w:p w14:paraId="49965185" w14:textId="77777777" w:rsidR="007723B0" w:rsidRPr="00697B94" w:rsidRDefault="007723B0" w:rsidP="007723B0">
      <w:pPr>
        <w:spacing w:before="120" w:after="120"/>
      </w:pPr>
      <w:r w:rsidRPr="00697B94">
        <w:t xml:space="preserve">However, causality test is also done to find out the causal relationship between foreign direct investment and domestic investment. This objective is achieved by the use of the Granger Causality Test. </w:t>
      </w:r>
    </w:p>
    <w:p w14:paraId="26C23ADA" w14:textId="77777777" w:rsidR="007723B0" w:rsidRPr="00697B94" w:rsidRDefault="007723B0" w:rsidP="007723B0">
      <w:pPr>
        <w:spacing w:before="120" w:after="120"/>
      </w:pPr>
    </w:p>
    <w:p w14:paraId="04588761" w14:textId="77777777" w:rsidR="007723B0" w:rsidRPr="00697B94" w:rsidRDefault="007723B0" w:rsidP="007723B0">
      <w:pPr>
        <w:spacing w:before="120" w:after="120"/>
        <w:rPr>
          <w:b/>
          <w:bCs/>
          <w:u w:val="single"/>
        </w:rPr>
      </w:pPr>
      <w:r w:rsidRPr="00697B94">
        <w:rPr>
          <w:b/>
          <w:bCs/>
          <w:u w:val="single"/>
        </w:rPr>
        <w:t>2.3.1 Stationarity Test (Unit Root Test)</w:t>
      </w:r>
    </w:p>
    <w:p w14:paraId="534E40F8" w14:textId="77777777" w:rsidR="007723B0" w:rsidRPr="00697B94" w:rsidRDefault="007723B0" w:rsidP="007723B0">
      <w:pPr>
        <w:spacing w:before="120" w:after="120"/>
      </w:pPr>
      <w:r w:rsidRPr="00697B94">
        <w:t xml:space="preserve">To mention Tang (2006), in the presence of </w:t>
      </w:r>
      <w:proofErr w:type="gramStart"/>
      <w:r w:rsidRPr="00697B94">
        <w:t>I(</w:t>
      </w:r>
      <w:proofErr w:type="gramEnd"/>
      <w:r w:rsidRPr="00697B94">
        <w:t xml:space="preserve">2) variables, the computed F-statistic provided by Pesaran et al., (2001) are no longer valid. In view of this, we investigate the order of integration before conducting the ARDL cointegration test. The idea is to make sure that the series are not </w:t>
      </w:r>
      <w:proofErr w:type="gramStart"/>
      <w:r w:rsidRPr="00697B94">
        <w:t>I(</w:t>
      </w:r>
      <w:proofErr w:type="gramEnd"/>
      <w:r w:rsidRPr="00697B94">
        <w:t xml:space="preserve">2) in order to avoid spurious results. This is because the bound test is based on the assumption that variables are </w:t>
      </w:r>
      <w:proofErr w:type="gramStart"/>
      <w:r w:rsidRPr="00697B94">
        <w:t>I(</w:t>
      </w:r>
      <w:proofErr w:type="gramEnd"/>
      <w:r w:rsidRPr="00697B94">
        <w:t xml:space="preserve">0) or I(1). Again, with spurious results (if some of the variables in the model have unit roots), the usual test statics (t, F, DW and R2) will not have standard distributions (Stock &amp; Watson, 1988). Therefore, to avoid inappropriate model specification and to increase the confidence of the results, time series properties of the data are investigated. </w:t>
      </w:r>
    </w:p>
    <w:p w14:paraId="7C1F54CA" w14:textId="77777777" w:rsidR="007723B0" w:rsidRPr="00697B94" w:rsidRDefault="007723B0" w:rsidP="007723B0">
      <w:pPr>
        <w:spacing w:before="120" w:after="120"/>
      </w:pPr>
      <w:r w:rsidRPr="00697B94">
        <w:t xml:space="preserve">Although there are a number of methods used to test for stationarity and the presence of unit roots, this study employs the Augmented Dickey-Fuller (ADF) and Phillip Perron (PP) tests. </w:t>
      </w:r>
      <w:r w:rsidRPr="00697B94">
        <w:lastRenderedPageBreak/>
        <w:t>Even though these tests have common features, they differ regarding the way they correct for autocorrelation in the residuals. The PP is non-parametric test which simplifies the ADF procedure and allow for less restrictive assumptions for the time series being studied. Thus, the null hypothesis to be tested is that the variables under study have a unit root. The ADF is specified as follows:</w:t>
      </w:r>
    </w:p>
    <w:p w14:paraId="5904BC66" w14:textId="77777777" w:rsidR="007723B0" w:rsidRPr="00697B94" w:rsidRDefault="00C70D95" w:rsidP="007723B0">
      <w:pPr>
        <w:spacing w:before="120" w:after="120"/>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m:t>
                  </m:r>
                  <m:r>
                    <w:rPr>
                      <w:rFonts w:ascii="Cambria Math" w:hAnsi="Cambria Math"/>
                    </w:rPr>
                    <m:t>X</m:t>
                  </m:r>
                </m:e>
                <m:sub>
                  <m:r>
                    <w:rPr>
                      <w:rFonts w:ascii="Cambria Math" w:hAnsi="Cambria Math"/>
                    </w:rPr>
                    <m:t>t</m:t>
                  </m:r>
                </m:sub>
              </m:sSub>
              <m:r>
                <w:rPr>
                  <w:rFonts w:ascii="Cambria Math" w:hAnsi="Cambria Math"/>
                </w:rPr>
                <m:t>=</m:t>
              </m:r>
              <m:r>
                <w:rPr>
                  <w:rFonts w:ascii="Cambria Math" w:hAnsi="Cambria Math"/>
                </w:rPr>
                <m:t>α</m:t>
              </m:r>
              <m:r>
                <w:rPr>
                  <w:rFonts w:ascii="Cambria Math" w:hAnsi="Cambria Math"/>
                </w:rPr>
                <m:t>+</m:t>
              </m:r>
              <m:sSub>
                <m:sSubPr>
                  <m:ctrlPr>
                    <w:rPr>
                      <w:rFonts w:ascii="Cambria Math" w:hAnsi="Cambria Math"/>
                      <w:i/>
                    </w:rPr>
                  </m:ctrlPr>
                </m:sSubPr>
                <m:e>
                  <m:r>
                    <w:rPr>
                      <w:rFonts w:ascii="Cambria Math" w:hAnsi="Cambria Math"/>
                    </w:rPr>
                    <m:t>δ</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ρX</m:t>
                  </m:r>
                </m:e>
                <m:sub>
                  <m:r>
                    <w:rPr>
                      <w:rFonts w:ascii="Cambria Math" w:hAnsi="Cambria Math"/>
                    </w:rPr>
                    <m:t>t</m:t>
                  </m:r>
                  <m:r>
                    <w:rPr>
                      <w:rFonts w:ascii="Cambria Math" w:hAnsi="Cambria Math"/>
                    </w:rPr>
                    <m:t>-1</m:t>
                  </m:r>
                </m:sub>
              </m:sSub>
              <m:r>
                <w:rPr>
                  <w:rFonts w:ascii="Cambria Math" w:hAnsi="Cambria Math"/>
                </w:rPr>
                <m:t>+</m:t>
              </m:r>
              <m:nary>
                <m:naryPr>
                  <m:chr m:val="∑"/>
                  <m:limLoc m:val="subSup"/>
                  <m:ctrlPr>
                    <w:rPr>
                      <w:rFonts w:ascii="Cambria Math" w:hAnsi="Cambria Math"/>
                      <w:i/>
                    </w:rPr>
                  </m:ctrlPr>
                </m:naryPr>
                <m:sub>
                  <m:r>
                    <w:rPr>
                      <w:rFonts w:ascii="Cambria Math" w:hAnsi="Cambria Math"/>
                    </w:rPr>
                    <m:t>t</m:t>
                  </m:r>
                  <m:r>
                    <w:rPr>
                      <w:rFonts w:ascii="Cambria Math" w:hAnsi="Cambria Math"/>
                    </w:rPr>
                    <m:t>-1</m:t>
                  </m:r>
                </m:sub>
                <m:sup>
                  <m:r>
                    <w:rPr>
                      <w:rFonts w:ascii="Cambria Math" w:hAnsi="Cambria Math"/>
                    </w:rPr>
                    <m:t>ρ</m:t>
                  </m:r>
                </m:sup>
                <m:e>
                  <m:r>
                    <w:rPr>
                      <w:rFonts w:ascii="Cambria Math" w:hAnsi="Cambria Math"/>
                    </w:rPr>
                    <m:t>β</m:t>
                  </m:r>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t</m:t>
                      </m:r>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t</m:t>
                      </m:r>
                    </m:sub>
                  </m:sSub>
                </m:e>
              </m:nary>
              <m:r>
                <w:rPr>
                  <w:rFonts w:ascii="Cambria Math" w:hAnsi="Cambria Math"/>
                </w:rPr>
                <m:t xml:space="preserve"> #</m:t>
              </m:r>
              <m:d>
                <m:dPr>
                  <m:ctrlPr>
                    <w:rPr>
                      <w:rFonts w:ascii="Cambria Math" w:hAnsi="Cambria Math"/>
                      <w:i/>
                    </w:rPr>
                  </m:ctrlPr>
                </m:dPr>
                <m:e>
                  <m:r>
                    <w:rPr>
                      <w:rFonts w:ascii="Cambria Math" w:hAnsi="Cambria Math"/>
                    </w:rPr>
                    <m:t>4</m:t>
                  </m:r>
                </m:e>
              </m:d>
            </m:e>
          </m:eqArr>
        </m:oMath>
      </m:oMathPara>
    </w:p>
    <w:p w14:paraId="25BC6801" w14:textId="77777777" w:rsidR="007723B0" w:rsidRPr="00697B94" w:rsidRDefault="007723B0" w:rsidP="007723B0">
      <w:pPr>
        <w:spacing w:before="120" w:after="120"/>
      </w:pPr>
    </w:p>
    <w:p w14:paraId="47EEA4C3" w14:textId="77777777" w:rsidR="007723B0" w:rsidRPr="00697B94" w:rsidRDefault="007723B0" w:rsidP="007723B0">
      <w:pPr>
        <w:spacing w:before="120" w:after="120"/>
      </w:pPr>
      <w:r w:rsidRPr="00697B94">
        <w:t>Wher</w:t>
      </w:r>
      <w:r w:rsidR="00EA2E7F" w:rsidRPr="00697B94">
        <w:t xml:space="preserve">e </w:t>
      </w:r>
      <m:oMath>
        <m:sSub>
          <m:sSubPr>
            <m:ctrlPr>
              <w:rPr>
                <w:rFonts w:ascii="Cambria Math" w:hAnsi="Cambria Math"/>
                <w:i/>
              </w:rPr>
            </m:ctrlPr>
          </m:sSubPr>
          <m:e>
            <m:r>
              <w:rPr>
                <w:rFonts w:ascii="Cambria Math" w:hAnsi="Cambria Math"/>
              </w:rPr>
              <m:t>μ</m:t>
            </m:r>
          </m:e>
          <m:sub>
            <m:r>
              <w:rPr>
                <w:rFonts w:ascii="Cambria Math" w:hAnsi="Cambria Math"/>
              </w:rPr>
              <m:t>t</m:t>
            </m:r>
          </m:sub>
        </m:sSub>
      </m:oMath>
      <w:r w:rsidRPr="00697B94">
        <w:t xml:space="preserve"> is a pure</w:t>
      </w:r>
      <w:r w:rsidR="00EA2E7F" w:rsidRPr="00697B94">
        <w:t xml:space="preserve"> </w:t>
      </w:r>
      <w:r w:rsidRPr="00697B94">
        <w:t>white noise</w:t>
      </w:r>
      <w:r w:rsidR="00EA2E7F" w:rsidRPr="00697B94">
        <w:t xml:space="preserve"> </w:t>
      </w:r>
      <w:r w:rsidRPr="00697B94">
        <w:t xml:space="preserve">error term and </w:t>
      </w:r>
      <m:oMath>
        <m:sSub>
          <m:sSubPr>
            <m:ctrlPr>
              <w:rPr>
                <w:rFonts w:ascii="Cambria Math" w:hAnsi="Cambria Math"/>
                <w:i/>
              </w:rPr>
            </m:ctrlPr>
          </m:sSubPr>
          <m:e>
            <m:r>
              <w:rPr>
                <w:rFonts w:ascii="Cambria Math" w:hAnsi="Cambria Math"/>
              </w:rPr>
              <m:t>∆X</m:t>
            </m:r>
          </m:e>
          <m:sub>
            <m:r>
              <w:rPr>
                <w:rFonts w:ascii="Cambria Math" w:hAnsi="Cambria Math"/>
              </w:rPr>
              <m:t>t</m:t>
            </m:r>
          </m:sub>
        </m:sSub>
      </m:oMath>
      <w:r w:rsidRPr="00697B94">
        <w:t xml:space="preserve"> is the</w:t>
      </w:r>
      <w:r w:rsidR="00EA2E7F" w:rsidRPr="00697B94">
        <w:t xml:space="preserve"> </w:t>
      </w:r>
      <w:r w:rsidRPr="00697B94">
        <w:t>first difference of the</w:t>
      </w:r>
      <w:r w:rsidR="00EA2E7F" w:rsidRPr="00697B94">
        <w:t xml:space="preserve"> </w:t>
      </w:r>
      <w:r w:rsidRPr="00697B94">
        <w:t xml:space="preserve">dependent variable. </w:t>
      </w:r>
    </w:p>
    <w:p w14:paraId="2933A1BC" w14:textId="77777777" w:rsidR="00EA2E7F" w:rsidRPr="00697B94" w:rsidRDefault="007723B0" w:rsidP="007723B0">
      <w:pPr>
        <w:spacing w:before="120" w:after="120"/>
      </w:pPr>
      <w:r w:rsidRPr="00697B94">
        <w:t>Accordingly, both the ADF</w:t>
      </w:r>
      <w:r w:rsidR="00EA2E7F" w:rsidRPr="00697B94">
        <w:t xml:space="preserve"> </w:t>
      </w:r>
      <w:r w:rsidRPr="00697B94">
        <w:t>and the PP unit root test the</w:t>
      </w:r>
      <w:r w:rsidR="00EA2E7F" w:rsidRPr="00697B94">
        <w:t xml:space="preserve"> </w:t>
      </w:r>
      <w:r w:rsidRPr="00697B94">
        <w:t>null hypothesis that</w:t>
      </w:r>
      <w:r w:rsidR="00EA2E7F" w:rsidRPr="00697B94">
        <w:t xml:space="preserve"> </w:t>
      </w:r>
      <w:r w:rsidRPr="00697B94">
        <w:t>a series contain unit root</w:t>
      </w:r>
      <w:r w:rsidR="00EA2E7F" w:rsidRPr="00697B94">
        <w:t xml:space="preserve"> </w:t>
      </w:r>
      <w:r w:rsidRPr="00697B94">
        <w:t>(non-stationary) against</w:t>
      </w:r>
      <w:r w:rsidR="00EA2E7F" w:rsidRPr="00697B94">
        <w:t xml:space="preserve"> </w:t>
      </w:r>
      <w:r w:rsidRPr="00697B94">
        <w:t>the alternative hypothesis</w:t>
      </w:r>
      <w:r w:rsidR="00EA2E7F" w:rsidRPr="00697B94">
        <w:t xml:space="preserve"> </w:t>
      </w:r>
      <w:r w:rsidRPr="00697B94">
        <w:t>of no unit root (stationary).</w:t>
      </w:r>
      <w:r w:rsidR="00EA2E7F" w:rsidRPr="00697B94">
        <w:t xml:space="preserve"> </w:t>
      </w:r>
      <w:r w:rsidRPr="00697B94">
        <w:t xml:space="preserve">That is: </w:t>
      </w:r>
    </w:p>
    <w:p w14:paraId="3CD07B6B" w14:textId="77777777" w:rsidR="00EA2E7F" w:rsidRPr="00697B94" w:rsidRDefault="00C70D95" w:rsidP="007723B0">
      <w:pPr>
        <w:spacing w:before="120" w:after="120"/>
      </w:pPr>
      <m:oMathPara>
        <m:oMath>
          <m:sSub>
            <m:sSubPr>
              <m:ctrlPr>
                <w:rPr>
                  <w:rFonts w:ascii="Cambria Math" w:hAnsi="Cambria Math"/>
                  <w:i/>
                </w:rPr>
              </m:ctrlPr>
            </m:sSubPr>
            <m:e>
              <m:r>
                <w:rPr>
                  <w:rFonts w:ascii="Cambria Math" w:hAnsi="Cambria Math"/>
                </w:rPr>
                <m:t>H</m:t>
              </m:r>
            </m:e>
            <m:sub>
              <m:r>
                <w:rPr>
                  <w:rFonts w:ascii="Cambria Math" w:hAnsi="Cambria Math"/>
                </w:rPr>
                <m:t>0</m:t>
              </m:r>
            </m:sub>
          </m:sSub>
          <m:r>
            <w:rPr>
              <w:rFonts w:ascii="Cambria Math" w:hAnsi="Cambria Math"/>
            </w:rPr>
            <m:t>:</m:t>
          </m:r>
          <m:r>
            <w:rPr>
              <w:rFonts w:ascii="Cambria Math" w:hAnsi="Cambria Math"/>
            </w:rPr>
            <m:t>ρ</m:t>
          </m:r>
          <m:r>
            <w:rPr>
              <w:rFonts w:ascii="Cambria Math" w:hAnsi="Cambria Math"/>
            </w:rPr>
            <m:t>=0</m:t>
          </m:r>
        </m:oMath>
      </m:oMathPara>
    </w:p>
    <w:p w14:paraId="251B94B6" w14:textId="77777777" w:rsidR="00EA2E7F" w:rsidRPr="00697B94" w:rsidRDefault="00C70D95" w:rsidP="007723B0">
      <w:pPr>
        <w:spacing w:before="120" w:after="120"/>
      </w:pPr>
      <m:oMathPara>
        <m:oMath>
          <m:sSub>
            <m:sSubPr>
              <m:ctrlPr>
                <w:rPr>
                  <w:rFonts w:ascii="Cambria Math" w:hAnsi="Cambria Math"/>
                  <w:i/>
                </w:rPr>
              </m:ctrlPr>
            </m:sSubPr>
            <m:e>
              <m:r>
                <w:rPr>
                  <w:rFonts w:ascii="Cambria Math" w:hAnsi="Cambria Math"/>
                </w:rPr>
                <m:t>H</m:t>
              </m:r>
            </m:e>
            <m:sub>
              <m:r>
                <w:rPr>
                  <w:rFonts w:ascii="Cambria Math" w:hAnsi="Cambria Math"/>
                </w:rPr>
                <m:t>1</m:t>
              </m:r>
            </m:sub>
          </m:sSub>
          <m:r>
            <w:rPr>
              <w:rFonts w:ascii="Cambria Math" w:hAnsi="Cambria Math"/>
            </w:rPr>
            <m:t>:</m:t>
          </m:r>
          <m:r>
            <w:rPr>
              <w:rFonts w:ascii="Cambria Math" w:hAnsi="Cambria Math"/>
            </w:rPr>
            <m:t>ρ</m:t>
          </m:r>
          <m:r>
            <w:rPr>
              <w:rFonts w:ascii="Cambria Math" w:hAnsi="Cambria Math"/>
            </w:rPr>
            <m:t>≠0</m:t>
          </m:r>
        </m:oMath>
      </m:oMathPara>
    </w:p>
    <w:p w14:paraId="2E24BF9E" w14:textId="4740FA05" w:rsidR="007723B0" w:rsidRPr="00697B94" w:rsidRDefault="007723B0" w:rsidP="007723B0">
      <w:pPr>
        <w:spacing w:before="120" w:after="120"/>
      </w:pPr>
      <w:r w:rsidRPr="00697B94">
        <w:t xml:space="preserve"> The decision rule is</w:t>
      </w:r>
      <w:r w:rsidR="00EA2E7F" w:rsidRPr="00697B94">
        <w:t xml:space="preserve"> </w:t>
      </w:r>
      <w:r w:rsidRPr="00697B94">
        <w:t>that, if the ADF</w:t>
      </w:r>
      <w:r w:rsidR="00697B94">
        <w:t xml:space="preserve"> </w:t>
      </w:r>
      <w:r w:rsidRPr="00697B94">
        <w:t>and PP statistic are higher</w:t>
      </w:r>
      <w:r w:rsidR="00EA2E7F" w:rsidRPr="00697B94">
        <w:t xml:space="preserve"> </w:t>
      </w:r>
      <w:r w:rsidRPr="00697B94">
        <w:t>(in absolute terms)</w:t>
      </w:r>
      <w:r w:rsidR="00EA2E7F" w:rsidRPr="00697B94">
        <w:t xml:space="preserve"> </w:t>
      </w:r>
      <w:r w:rsidRPr="00697B94">
        <w:t xml:space="preserve">than the critical value at 5% significant level, the null hypothesis that series is non-stationary (presence of unit root) is rejected. On the other hand, if the absolute value of ADF and PP test is lower than the absolute value of the test statistic at 5% significance level, the alternative hypothesis is rejected. </w:t>
      </w:r>
    </w:p>
    <w:p w14:paraId="52D7DE66" w14:textId="77777777" w:rsidR="00135CF4" w:rsidRPr="00697B94" w:rsidRDefault="00135CF4" w:rsidP="0040137B">
      <w:pPr>
        <w:spacing w:before="120" w:after="120"/>
      </w:pPr>
    </w:p>
    <w:p w14:paraId="3E7BCC44" w14:textId="77777777" w:rsidR="00EA2E7F" w:rsidRPr="00697B94" w:rsidRDefault="00EA2E7F" w:rsidP="00EA2E7F">
      <w:pPr>
        <w:spacing w:before="120" w:after="120"/>
        <w:rPr>
          <w:b/>
          <w:bCs/>
        </w:rPr>
      </w:pPr>
      <w:r w:rsidRPr="00697B94">
        <w:rPr>
          <w:b/>
          <w:bCs/>
        </w:rPr>
        <w:t xml:space="preserve">3.4 The ARDL Approach to Cointegration Analysis </w:t>
      </w:r>
    </w:p>
    <w:p w14:paraId="2E58250C" w14:textId="77777777" w:rsidR="00EA2E7F" w:rsidRPr="00697B94" w:rsidRDefault="00EA2E7F" w:rsidP="00EA2E7F">
      <w:pPr>
        <w:spacing w:before="120" w:after="120"/>
      </w:pPr>
      <w:r w:rsidRPr="00697B94">
        <w:t>While different cointegration methods exist, such as Engle and Granger (1987), Johansen (1988), and Johansen</w:t>
      </w:r>
      <w:r w:rsidR="00784DBB" w:rsidRPr="00697B94">
        <w:t xml:space="preserve"> </w:t>
      </w:r>
      <w:r w:rsidRPr="00697B94">
        <w:t>and Juselius</w:t>
      </w:r>
      <w:r w:rsidR="00784DBB" w:rsidRPr="00697B94">
        <w:t xml:space="preserve"> </w:t>
      </w:r>
      <w:r w:rsidRPr="00697B94">
        <w:t>(1990),</w:t>
      </w:r>
      <w:r w:rsidR="00784DBB" w:rsidRPr="00697B94">
        <w:t xml:space="preserve"> </w:t>
      </w:r>
      <w:r w:rsidRPr="00697B94">
        <w:t>the data series must</w:t>
      </w:r>
      <w:r w:rsidR="00784DBB" w:rsidRPr="00697B94">
        <w:t xml:space="preserve"> </w:t>
      </w:r>
      <w:r w:rsidRPr="00697B94">
        <w:t>have a specific order of integration in order for these</w:t>
      </w:r>
      <w:r w:rsidR="00784DBB" w:rsidRPr="00697B94">
        <w:t xml:space="preserve"> </w:t>
      </w:r>
      <w:r w:rsidRPr="00697B94">
        <w:t>models to work. Therefore, to analyse the impact of FDI on domestic investment, the study employed the ARDL bounds testing approach. The choice of this method (ARDL) of estimation is due to its numerous econometric advantages in comparison to other methods of cointegrating which are as follows:</w:t>
      </w:r>
    </w:p>
    <w:p w14:paraId="0691F6C2" w14:textId="77777777" w:rsidR="00EA2E7F" w:rsidRPr="00697B94" w:rsidRDefault="00EA2E7F" w:rsidP="00EA2E7F">
      <w:pPr>
        <w:spacing w:before="120" w:after="120"/>
      </w:pPr>
      <w:r w:rsidRPr="00697B94">
        <w:t>First, when the</w:t>
      </w:r>
      <w:r w:rsidR="00784DBB" w:rsidRPr="00697B94">
        <w:t xml:space="preserve"> </w:t>
      </w:r>
      <w:r w:rsidRPr="00697B94">
        <w:t>data series do not have a unique</w:t>
      </w:r>
      <w:r w:rsidR="00784DBB" w:rsidRPr="00697B94">
        <w:t xml:space="preserve"> </w:t>
      </w:r>
      <w:r w:rsidRPr="00697B94">
        <w:t>order of integration, the ARDL</w:t>
      </w:r>
      <w:r w:rsidR="00784DBB" w:rsidRPr="00697B94">
        <w:t xml:space="preserve"> </w:t>
      </w:r>
      <w:r w:rsidRPr="00697B94">
        <w:t>model is more versatile in</w:t>
      </w:r>
      <w:r w:rsidR="00784DBB" w:rsidRPr="00697B94">
        <w:t xml:space="preserve"> </w:t>
      </w:r>
      <w:r w:rsidRPr="00697B94">
        <w:t>terms of implementation.  Thus, this model</w:t>
      </w:r>
      <w:r w:rsidR="00784DBB" w:rsidRPr="00697B94">
        <w:t xml:space="preserve"> </w:t>
      </w:r>
      <w:r w:rsidRPr="00697B94">
        <w:t>can be extended to</w:t>
      </w:r>
      <w:r w:rsidR="00784DBB" w:rsidRPr="00697B94">
        <w:t xml:space="preserve"> </w:t>
      </w:r>
      <w:r w:rsidRPr="00697B94">
        <w:t>variables with different integration orders, such as I (0)</w:t>
      </w:r>
      <w:r w:rsidR="00784DBB" w:rsidRPr="00697B94">
        <w:t xml:space="preserve"> </w:t>
      </w:r>
      <w:r w:rsidRPr="00697B94">
        <w:t>or I (1). It is not</w:t>
      </w:r>
      <w:r w:rsidR="00784DBB" w:rsidRPr="00697B94">
        <w:t xml:space="preserve"> </w:t>
      </w:r>
      <w:r w:rsidRPr="00697B94">
        <w:t>applicable, however,</w:t>
      </w:r>
      <w:r w:rsidR="00784DBB" w:rsidRPr="00697B94">
        <w:t xml:space="preserve"> </w:t>
      </w:r>
      <w:r w:rsidRPr="00697B94">
        <w:t>if any of the variables</w:t>
      </w:r>
      <w:r w:rsidR="00784DBB" w:rsidRPr="00697B94">
        <w:t xml:space="preserve"> </w:t>
      </w:r>
      <w:r w:rsidRPr="00697B94">
        <w:t>are I (2).</w:t>
      </w:r>
      <w:r w:rsidR="00784DBB" w:rsidRPr="00697B94">
        <w:t xml:space="preserve"> </w:t>
      </w:r>
      <w:r w:rsidRPr="00697B94">
        <w:t>Moreover, it can be used to get consistent results with a small dataset (Haug, 2002).  Furthermore, selecting a lag</w:t>
      </w:r>
      <w:r w:rsidR="00784DBB" w:rsidRPr="00697B94">
        <w:t xml:space="preserve"> </w:t>
      </w:r>
      <w:r w:rsidRPr="00697B94">
        <w:t>for both the dependent and independent</w:t>
      </w:r>
      <w:r w:rsidR="00784DBB" w:rsidRPr="00697B94">
        <w:t xml:space="preserve"> </w:t>
      </w:r>
      <w:r w:rsidRPr="00697B94">
        <w:t>variables, it provides more choices and allows for the handling of endogeneity</w:t>
      </w:r>
      <w:r w:rsidR="00784DBB" w:rsidRPr="00697B94">
        <w:t xml:space="preserve"> </w:t>
      </w:r>
      <w:r w:rsidRPr="00697B94">
        <w:t>in variables, if any</w:t>
      </w:r>
      <w:r w:rsidR="00784DBB" w:rsidRPr="00697B94">
        <w:t xml:space="preserve"> </w:t>
      </w:r>
      <w:r w:rsidRPr="00697B94">
        <w:t xml:space="preserve">exist. Finally, using a simple linear transformation, the Error Correction Model (ECM) can be derived from the ARDL, and once the order of the ARDL has been determined, OLS can be used for estimation and identification (Pesaran et al., 2001). </w:t>
      </w:r>
    </w:p>
    <w:p w14:paraId="28B42933" w14:textId="77777777" w:rsidR="00EA2E7F" w:rsidRPr="00697B94" w:rsidRDefault="00EA2E7F" w:rsidP="00EA2E7F">
      <w:pPr>
        <w:spacing w:before="120" w:after="120"/>
      </w:pPr>
      <w:r w:rsidRPr="00697B94">
        <w:t>With respect to equation 4, the ARDL framework for examining the impact of FDI on domestic investment in Ghana is specified as:</w:t>
      </w:r>
    </w:p>
    <w:p w14:paraId="229D5043" w14:textId="77777777" w:rsidR="00EA2E7F" w:rsidRPr="00697B94" w:rsidRDefault="00EA2E7F" w:rsidP="00EA2E7F">
      <w:pPr>
        <w:spacing w:before="120" w:after="120"/>
      </w:pPr>
    </w:p>
    <w:p w14:paraId="081CDFCD" w14:textId="77777777" w:rsidR="00EA2E7F" w:rsidRPr="00697B94" w:rsidRDefault="00C70D95" w:rsidP="00EA2E7F">
      <w:pPr>
        <w:spacing w:before="120" w:after="120"/>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GFCF</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m:t>
                  </m:r>
                </m:e>
                <m:sub>
                  <m:r>
                    <w:rPr>
                      <w:rFonts w:ascii="Cambria Math" w:hAnsi="Cambria Math"/>
                    </w:rPr>
                    <m:t>0</m:t>
                  </m:r>
                </m:sub>
              </m:sSub>
              <m:r>
                <w:rPr>
                  <w:rFonts w:ascii="Cambria Math" w:hAnsi="Cambria Math"/>
                </w:rPr>
                <m:t>+</m:t>
              </m:r>
              <m:nary>
                <m:naryPr>
                  <m:chr m:val="∑"/>
                  <m:limLoc m:val="subSup"/>
                  <m:ctrlPr>
                    <w:rPr>
                      <w:rFonts w:ascii="Cambria Math" w:hAnsi="Cambria Math"/>
                      <w:i/>
                    </w:rPr>
                  </m:ctrlPr>
                </m:naryPr>
                <m:sub>
                  <m:r>
                    <w:rPr>
                      <w:rFonts w:ascii="Cambria Math" w:hAnsi="Cambria Math"/>
                    </w:rPr>
                    <m:t>i</m:t>
                  </m:r>
                  <m:r>
                    <w:rPr>
                      <w:rFonts w:ascii="Cambria Math" w:hAnsi="Cambria Math"/>
                    </w:rPr>
                    <m:t>=1</m:t>
                  </m:r>
                </m:sub>
                <m:sup>
                  <m:r>
                    <w:rPr>
                      <w:rFonts w:ascii="Cambria Math" w:hAnsi="Cambria Math"/>
                    </w:rPr>
                    <m:t>ρ</m:t>
                  </m:r>
                </m:sup>
                <m:e>
                  <m:sSub>
                    <m:sSubPr>
                      <m:ctrlPr>
                        <w:rPr>
                          <w:rFonts w:ascii="Cambria Math" w:hAnsi="Cambria Math"/>
                          <w:i/>
                        </w:rPr>
                      </m:ctrlPr>
                    </m:sSubPr>
                    <m:e>
                      <m:sSub>
                        <m:sSubPr>
                          <m:ctrlPr>
                            <w:rPr>
                              <w:rFonts w:ascii="Cambria Math" w:hAnsi="Cambria Math"/>
                              <w:i/>
                            </w:rPr>
                          </m:ctrlPr>
                        </m:sSubPr>
                        <m:e>
                          <m:r>
                            <w:rPr>
                              <w:rFonts w:ascii="Cambria Math" w:hAnsi="Cambria Math"/>
                            </w:rPr>
                            <m:t>α</m:t>
                          </m:r>
                        </m:e>
                        <m:sub>
                          <m:r>
                            <w:rPr>
                              <w:rFonts w:ascii="Cambria Math" w:hAnsi="Cambria Math"/>
                            </w:rPr>
                            <m:t>1</m:t>
                          </m:r>
                          <m:r>
                            <w:rPr>
                              <w:rFonts w:ascii="Cambria Math" w:hAnsi="Cambria Math"/>
                            </w:rPr>
                            <m:t>i</m:t>
                          </m:r>
                        </m:sub>
                      </m:sSub>
                      <m:r>
                        <w:rPr>
                          <w:rFonts w:ascii="Cambria Math" w:hAnsi="Cambria Math"/>
                        </w:rPr>
                        <m:t>∆</m:t>
                      </m:r>
                      <m:r>
                        <w:rPr>
                          <w:rFonts w:ascii="Cambria Math" w:hAnsi="Cambria Math"/>
                        </w:rPr>
                        <m:t>GFCF</m:t>
                      </m:r>
                    </m:e>
                    <m:sub>
                      <m:r>
                        <w:rPr>
                          <w:rFonts w:ascii="Cambria Math" w:hAnsi="Cambria Math"/>
                        </w:rPr>
                        <m:t>t</m:t>
                      </m:r>
                      <m:r>
                        <w:rPr>
                          <w:rFonts w:ascii="Cambria Math" w:hAnsi="Cambria Math"/>
                        </w:rPr>
                        <m:t>-1</m:t>
                      </m:r>
                    </m:sub>
                  </m:sSub>
                </m:e>
              </m:nary>
              <m:r>
                <w:rPr>
                  <w:rFonts w:ascii="Cambria Math" w:hAnsi="Cambria Math"/>
                </w:rPr>
                <m:t>+</m:t>
              </m:r>
              <m:nary>
                <m:naryPr>
                  <m:chr m:val="∑"/>
                  <m:limLoc m:val="subSup"/>
                  <m:ctrlPr>
                    <w:rPr>
                      <w:rFonts w:ascii="Cambria Math" w:hAnsi="Cambria Math"/>
                      <w:i/>
                    </w:rPr>
                  </m:ctrlPr>
                </m:naryPr>
                <m:sub>
                  <m:r>
                    <w:rPr>
                      <w:rFonts w:ascii="Cambria Math" w:hAnsi="Cambria Math"/>
                    </w:rPr>
                    <m:t>i</m:t>
                  </m:r>
                  <m:r>
                    <w:rPr>
                      <w:rFonts w:ascii="Cambria Math" w:hAnsi="Cambria Math"/>
                    </w:rPr>
                    <m:t>=1</m:t>
                  </m:r>
                </m:sub>
                <m:sup>
                  <m:r>
                    <w:rPr>
                      <w:rFonts w:ascii="Cambria Math" w:hAnsi="Cambria Math"/>
                    </w:rPr>
                    <m:t>ρ</m:t>
                  </m:r>
                </m:sup>
                <m:e>
                  <m:sSub>
                    <m:sSubPr>
                      <m:ctrlPr>
                        <w:rPr>
                          <w:rFonts w:ascii="Cambria Math" w:hAnsi="Cambria Math"/>
                          <w:i/>
                        </w:rPr>
                      </m:ctrlPr>
                    </m:sSubPr>
                    <m:e>
                      <m:r>
                        <w:rPr>
                          <w:rFonts w:ascii="Cambria Math" w:hAnsi="Cambria Math"/>
                        </w:rPr>
                        <m:t>α</m:t>
                      </m:r>
                    </m:e>
                    <m:sub>
                      <m:r>
                        <w:rPr>
                          <w:rFonts w:ascii="Cambria Math" w:hAnsi="Cambria Math"/>
                        </w:rPr>
                        <m:t>2</m:t>
                      </m:r>
                      <m:r>
                        <w:rPr>
                          <w:rFonts w:ascii="Cambria Math" w:hAnsi="Cambria Math"/>
                        </w:rPr>
                        <m:t>i</m:t>
                      </m:r>
                    </m:sub>
                  </m:sSub>
                  <m:sSub>
                    <m:sSubPr>
                      <m:ctrlPr>
                        <w:rPr>
                          <w:rFonts w:ascii="Cambria Math" w:hAnsi="Cambria Math"/>
                          <w:i/>
                        </w:rPr>
                      </m:ctrlPr>
                    </m:sSubPr>
                    <m:e>
                      <m:r>
                        <w:rPr>
                          <w:rFonts w:ascii="Cambria Math" w:hAnsi="Cambria Math"/>
                        </w:rPr>
                        <m:t>∆</m:t>
                      </m:r>
                      <m:r>
                        <w:rPr>
                          <w:rFonts w:ascii="Cambria Math" w:hAnsi="Cambria Math"/>
                        </w:rPr>
                        <m:t>FDI</m:t>
                      </m:r>
                    </m:e>
                    <m:sub>
                      <m:r>
                        <w:rPr>
                          <w:rFonts w:ascii="Cambria Math" w:hAnsi="Cambria Math"/>
                        </w:rPr>
                        <m:t>t</m:t>
                      </m:r>
                      <m:r>
                        <w:rPr>
                          <w:rFonts w:ascii="Cambria Math" w:hAnsi="Cambria Math"/>
                        </w:rPr>
                        <m:t>-1</m:t>
                      </m:r>
                    </m:sub>
                  </m:sSub>
                </m:e>
              </m:nary>
              <m:r>
                <w:rPr>
                  <w:rFonts w:ascii="Cambria Math" w:hAnsi="Cambria Math"/>
                </w:rPr>
                <m:t>+</m:t>
              </m:r>
              <m:nary>
                <m:naryPr>
                  <m:chr m:val="∑"/>
                  <m:limLoc m:val="subSup"/>
                  <m:ctrlPr>
                    <w:rPr>
                      <w:rFonts w:ascii="Cambria Math" w:hAnsi="Cambria Math"/>
                      <w:i/>
                    </w:rPr>
                  </m:ctrlPr>
                </m:naryPr>
                <m:sub>
                  <m:r>
                    <w:rPr>
                      <w:rFonts w:ascii="Cambria Math" w:hAnsi="Cambria Math"/>
                    </w:rPr>
                    <m:t>i</m:t>
                  </m:r>
                  <m:r>
                    <w:rPr>
                      <w:rFonts w:ascii="Cambria Math" w:hAnsi="Cambria Math"/>
                    </w:rPr>
                    <m:t>=1</m:t>
                  </m:r>
                </m:sub>
                <m:sup>
                  <m:r>
                    <w:rPr>
                      <w:rFonts w:ascii="Cambria Math" w:hAnsi="Cambria Math"/>
                    </w:rPr>
                    <m:t>ρ</m:t>
                  </m:r>
                </m:sup>
                <m:e>
                  <m:sSub>
                    <m:sSubPr>
                      <m:ctrlPr>
                        <w:rPr>
                          <w:rFonts w:ascii="Cambria Math" w:hAnsi="Cambria Math"/>
                          <w:i/>
                        </w:rPr>
                      </m:ctrlPr>
                    </m:sSubPr>
                    <m:e>
                      <m:r>
                        <w:rPr>
                          <w:rFonts w:ascii="Cambria Math" w:hAnsi="Cambria Math"/>
                        </w:rPr>
                        <m:t>α</m:t>
                      </m:r>
                    </m:e>
                    <m:sub>
                      <m:r>
                        <w:rPr>
                          <w:rFonts w:ascii="Cambria Math" w:hAnsi="Cambria Math"/>
                        </w:rPr>
                        <m:t>3</m:t>
                      </m:r>
                      <m:r>
                        <w:rPr>
                          <w:rFonts w:ascii="Cambria Math" w:hAnsi="Cambria Math"/>
                        </w:rPr>
                        <m:t>i</m:t>
                      </m:r>
                    </m:sub>
                  </m:sSub>
                  <m:r>
                    <w:rPr>
                      <w:rFonts w:ascii="Cambria Math" w:hAnsi="Cambria Math"/>
                    </w:rPr>
                    <m:t>∆</m:t>
                  </m:r>
                  <m:r>
                    <w:rPr>
                      <w:rFonts w:ascii="Cambria Math" w:hAnsi="Cambria Math"/>
                    </w:rPr>
                    <m:t>IN</m:t>
                  </m:r>
                  <m:sSub>
                    <m:sSubPr>
                      <m:ctrlPr>
                        <w:rPr>
                          <w:rFonts w:ascii="Cambria Math" w:hAnsi="Cambria Math"/>
                          <w:i/>
                        </w:rPr>
                      </m:ctrlPr>
                    </m:sSubPr>
                    <m:e>
                      <m:r>
                        <w:rPr>
                          <w:rFonts w:ascii="Cambria Math" w:hAnsi="Cambria Math"/>
                        </w:rPr>
                        <m:t>F</m:t>
                      </m:r>
                    </m:e>
                    <m:sub>
                      <m:r>
                        <w:rPr>
                          <w:rFonts w:ascii="Cambria Math" w:hAnsi="Cambria Math"/>
                        </w:rPr>
                        <m:t>t</m:t>
                      </m:r>
                      <m:r>
                        <w:rPr>
                          <w:rFonts w:ascii="Cambria Math" w:hAnsi="Cambria Math"/>
                        </w:rPr>
                        <m:t>-1</m:t>
                      </m:r>
                    </m:sub>
                  </m:sSub>
                </m:e>
              </m:nary>
              <m:r>
                <w:rPr>
                  <w:rFonts w:ascii="Cambria Math" w:hAnsi="Cambria Math"/>
                </w:rPr>
                <m:t>+</m:t>
              </m:r>
              <m:ctrlPr>
                <w:rPr>
                  <w:rFonts w:ascii="Cambria Math" w:eastAsia="Cambria Math" w:hAnsi="Cambria Math" w:cs="Cambria Math"/>
                  <w:i/>
                </w:rPr>
              </m:ctrlPr>
            </m:e>
            <m:e>
              <m:nary>
                <m:naryPr>
                  <m:chr m:val="∑"/>
                  <m:limLoc m:val="subSup"/>
                  <m:ctrlPr>
                    <w:rPr>
                      <w:rFonts w:ascii="Cambria Math" w:hAnsi="Cambria Math"/>
                      <w:i/>
                    </w:rPr>
                  </m:ctrlPr>
                </m:naryPr>
                <m:sub>
                  <m:r>
                    <w:rPr>
                      <w:rFonts w:ascii="Cambria Math" w:hAnsi="Cambria Math"/>
                    </w:rPr>
                    <m:t>i</m:t>
                  </m:r>
                  <m:r>
                    <w:rPr>
                      <w:rFonts w:ascii="Cambria Math" w:hAnsi="Cambria Math"/>
                    </w:rPr>
                    <m:t>=1</m:t>
                  </m:r>
                </m:sub>
                <m:sup>
                  <m:r>
                    <w:rPr>
                      <w:rFonts w:ascii="Cambria Math" w:hAnsi="Cambria Math"/>
                    </w:rPr>
                    <m:t>ρ</m:t>
                  </m:r>
                </m:sup>
                <m:e>
                  <m:sSub>
                    <m:sSubPr>
                      <m:ctrlPr>
                        <w:rPr>
                          <w:rFonts w:ascii="Cambria Math" w:hAnsi="Cambria Math"/>
                          <w:i/>
                        </w:rPr>
                      </m:ctrlPr>
                    </m:sSubPr>
                    <m:e>
                      <m:r>
                        <w:rPr>
                          <w:rFonts w:ascii="Cambria Math" w:hAnsi="Cambria Math"/>
                        </w:rPr>
                        <m:t>α</m:t>
                      </m:r>
                    </m:e>
                    <m:sub>
                      <m:r>
                        <w:rPr>
                          <w:rFonts w:ascii="Cambria Math" w:hAnsi="Cambria Math"/>
                        </w:rPr>
                        <m:t>4</m:t>
                      </m:r>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INFSQ</m:t>
                      </m:r>
                    </m:e>
                    <m:sub>
                      <m:r>
                        <w:rPr>
                          <w:rFonts w:ascii="Cambria Math" w:hAnsi="Cambria Math"/>
                        </w:rPr>
                        <m:t>t</m:t>
                      </m:r>
                      <m:r>
                        <w:rPr>
                          <w:rFonts w:ascii="Cambria Math" w:hAnsi="Cambria Math"/>
                        </w:rPr>
                        <m:t>-1</m:t>
                      </m:r>
                    </m:sub>
                  </m:sSub>
                  <m:r>
                    <w:rPr>
                      <w:rFonts w:ascii="Cambria Math" w:hAnsi="Cambria Math"/>
                    </w:rPr>
                    <m:t>+</m:t>
                  </m:r>
                  <m:nary>
                    <m:naryPr>
                      <m:chr m:val="∑"/>
                      <m:limLoc m:val="subSup"/>
                      <m:ctrlPr>
                        <w:rPr>
                          <w:rFonts w:ascii="Cambria Math" w:hAnsi="Cambria Math"/>
                          <w:i/>
                        </w:rPr>
                      </m:ctrlPr>
                    </m:naryPr>
                    <m:sub>
                      <m:r>
                        <w:rPr>
                          <w:rFonts w:ascii="Cambria Math" w:hAnsi="Cambria Math"/>
                        </w:rPr>
                        <m:t>i</m:t>
                      </m:r>
                      <m:r>
                        <w:rPr>
                          <w:rFonts w:ascii="Cambria Math" w:hAnsi="Cambria Math"/>
                        </w:rPr>
                        <m:t>=1</m:t>
                      </m:r>
                    </m:sub>
                    <m:sup>
                      <m:r>
                        <w:rPr>
                          <w:rFonts w:ascii="Cambria Math" w:hAnsi="Cambria Math"/>
                        </w:rPr>
                        <m:t>ρ</m:t>
                      </m:r>
                    </m:sup>
                    <m:e>
                      <m:sSub>
                        <m:sSubPr>
                          <m:ctrlPr>
                            <w:rPr>
                              <w:rFonts w:ascii="Cambria Math" w:hAnsi="Cambria Math"/>
                              <w:i/>
                            </w:rPr>
                          </m:ctrlPr>
                        </m:sSubPr>
                        <m:e>
                          <m:r>
                            <w:rPr>
                              <w:rFonts w:ascii="Cambria Math" w:hAnsi="Cambria Math"/>
                            </w:rPr>
                            <m:t>α</m:t>
                          </m:r>
                        </m:e>
                        <m:sub>
                          <m:r>
                            <w:rPr>
                              <w:rFonts w:ascii="Cambria Math" w:hAnsi="Cambria Math"/>
                            </w:rPr>
                            <m:t>5</m:t>
                          </m:r>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GDPG</m:t>
                          </m:r>
                        </m:e>
                        <m:sub>
                          <m:r>
                            <w:rPr>
                              <w:rFonts w:ascii="Cambria Math" w:hAnsi="Cambria Math"/>
                            </w:rPr>
                            <m:t>t</m:t>
                          </m:r>
                          <m:r>
                            <w:rPr>
                              <w:rFonts w:ascii="Cambria Math" w:hAnsi="Cambria Math"/>
                            </w:rPr>
                            <m:t>-1</m:t>
                          </m:r>
                        </m:sub>
                      </m:sSub>
                    </m:e>
                  </m:nary>
                </m:e>
              </m:nary>
              <m:r>
                <w:rPr>
                  <w:rFonts w:ascii="Cambria Math" w:hAnsi="Cambria Math"/>
                </w:rPr>
                <m:t>+</m:t>
              </m:r>
              <m:nary>
                <m:naryPr>
                  <m:chr m:val="∑"/>
                  <m:limLoc m:val="subSup"/>
                  <m:ctrlPr>
                    <w:rPr>
                      <w:rFonts w:ascii="Cambria Math" w:hAnsi="Cambria Math"/>
                      <w:i/>
                    </w:rPr>
                  </m:ctrlPr>
                </m:naryPr>
                <m:sub>
                  <m:r>
                    <w:rPr>
                      <w:rFonts w:ascii="Cambria Math" w:hAnsi="Cambria Math"/>
                    </w:rPr>
                    <m:t>i</m:t>
                  </m:r>
                  <m:r>
                    <w:rPr>
                      <w:rFonts w:ascii="Cambria Math" w:hAnsi="Cambria Math"/>
                    </w:rPr>
                    <m:t>=1</m:t>
                  </m:r>
                </m:sub>
                <m:sup>
                  <m:r>
                    <w:rPr>
                      <w:rFonts w:ascii="Cambria Math" w:hAnsi="Cambria Math"/>
                    </w:rPr>
                    <m:t>ρ</m:t>
                  </m:r>
                </m:sup>
                <m:e>
                  <m:sSub>
                    <m:sSubPr>
                      <m:ctrlPr>
                        <w:rPr>
                          <w:rFonts w:ascii="Cambria Math" w:hAnsi="Cambria Math"/>
                          <w:i/>
                        </w:rPr>
                      </m:ctrlPr>
                    </m:sSubPr>
                    <m:e>
                      <m:r>
                        <w:rPr>
                          <w:rFonts w:ascii="Cambria Math" w:hAnsi="Cambria Math"/>
                        </w:rPr>
                        <m:t>α</m:t>
                      </m:r>
                    </m:e>
                    <m:sub>
                      <m:r>
                        <w:rPr>
                          <w:rFonts w:ascii="Cambria Math" w:hAnsi="Cambria Math"/>
                        </w:rPr>
                        <m:t>6</m:t>
                      </m:r>
                      <m:r>
                        <w:rPr>
                          <w:rFonts w:ascii="Cambria Math" w:hAnsi="Cambria Math"/>
                        </w:rPr>
                        <m:t>i</m:t>
                      </m:r>
                    </m:sub>
                  </m:sSub>
                  <m:sSub>
                    <m:sSubPr>
                      <m:ctrlPr>
                        <w:rPr>
                          <w:rFonts w:ascii="Cambria Math" w:hAnsi="Cambria Math"/>
                          <w:i/>
                        </w:rPr>
                      </m:ctrlPr>
                    </m:sSubPr>
                    <m:e>
                      <m:r>
                        <w:rPr>
                          <w:rFonts w:ascii="Cambria Math" w:hAnsi="Cambria Math"/>
                        </w:rPr>
                        <m:t>∆</m:t>
                      </m:r>
                      <m:r>
                        <w:rPr>
                          <w:rFonts w:ascii="Cambria Math" w:hAnsi="Cambria Math"/>
                        </w:rPr>
                        <m:t>EXR</m:t>
                      </m:r>
                    </m:e>
                    <m:sub>
                      <m:r>
                        <w:rPr>
                          <w:rFonts w:ascii="Cambria Math" w:hAnsi="Cambria Math"/>
                        </w:rPr>
                        <m:t>t</m:t>
                      </m:r>
                      <m:r>
                        <w:rPr>
                          <w:rFonts w:ascii="Cambria Math" w:hAnsi="Cambria Math"/>
                        </w:rPr>
                        <m:t>-1</m:t>
                      </m:r>
                    </m:sub>
                  </m:sSub>
                </m:e>
              </m:nary>
              <m:r>
                <w:rPr>
                  <w:rFonts w:ascii="Cambria Math" w:hAnsi="Cambria Math"/>
                </w:rPr>
                <m:t>+</m:t>
              </m:r>
              <m:nary>
                <m:naryPr>
                  <m:chr m:val="∑"/>
                  <m:limLoc m:val="subSup"/>
                  <m:ctrlPr>
                    <w:rPr>
                      <w:rFonts w:ascii="Cambria Math" w:hAnsi="Cambria Math"/>
                      <w:i/>
                    </w:rPr>
                  </m:ctrlPr>
                </m:naryPr>
                <m:sub>
                  <m:r>
                    <w:rPr>
                      <w:rFonts w:ascii="Cambria Math" w:hAnsi="Cambria Math"/>
                    </w:rPr>
                    <m:t>i</m:t>
                  </m:r>
                  <m:r>
                    <w:rPr>
                      <w:rFonts w:ascii="Cambria Math" w:hAnsi="Cambria Math"/>
                    </w:rPr>
                    <m:t>=1</m:t>
                  </m:r>
                </m:sub>
                <m:sup>
                  <m:r>
                    <w:rPr>
                      <w:rFonts w:ascii="Cambria Math" w:hAnsi="Cambria Math"/>
                    </w:rPr>
                    <m:t>ρ</m:t>
                  </m:r>
                </m:sup>
                <m:e>
                  <m:sSub>
                    <m:sSubPr>
                      <m:ctrlPr>
                        <w:rPr>
                          <w:rFonts w:ascii="Cambria Math" w:hAnsi="Cambria Math"/>
                          <w:i/>
                        </w:rPr>
                      </m:ctrlPr>
                    </m:sSubPr>
                    <m:e>
                      <m:sSub>
                        <m:sSubPr>
                          <m:ctrlPr>
                            <w:rPr>
                              <w:rFonts w:ascii="Cambria Math" w:hAnsi="Cambria Math"/>
                              <w:i/>
                            </w:rPr>
                          </m:ctrlPr>
                        </m:sSubPr>
                        <m:e>
                          <m:r>
                            <w:rPr>
                              <w:rFonts w:ascii="Cambria Math" w:hAnsi="Cambria Math"/>
                            </w:rPr>
                            <m:t>δ</m:t>
                          </m:r>
                        </m:e>
                        <m:sub>
                          <m:r>
                            <w:rPr>
                              <w:rFonts w:ascii="Cambria Math" w:hAnsi="Cambria Math"/>
                            </w:rPr>
                            <m:t>1</m:t>
                          </m:r>
                        </m:sub>
                      </m:sSub>
                      <m:r>
                        <w:rPr>
                          <w:rFonts w:ascii="Cambria Math" w:hAnsi="Cambria Math"/>
                        </w:rPr>
                        <m:t>GFCF</m:t>
                      </m:r>
                    </m:e>
                    <m:sub>
                      <m:r>
                        <w:rPr>
                          <w:rFonts w:ascii="Cambria Math" w:hAnsi="Cambria Math"/>
                        </w:rPr>
                        <m:t>t</m:t>
                      </m:r>
                      <m:r>
                        <w:rPr>
                          <w:rFonts w:ascii="Cambria Math" w:hAnsi="Cambria Math"/>
                        </w:rPr>
                        <m:t>-1</m:t>
                      </m:r>
                    </m:sub>
                  </m:sSub>
                </m:e>
              </m:nary>
              <m:r>
                <w:rPr>
                  <w:rFonts w:ascii="Cambria Math" w:hAnsi="Cambria Math"/>
                </w:rPr>
                <m:t>+</m:t>
              </m:r>
              <m:nary>
                <m:naryPr>
                  <m:chr m:val="∑"/>
                  <m:limLoc m:val="subSup"/>
                  <m:ctrlPr>
                    <w:rPr>
                      <w:rFonts w:ascii="Cambria Math" w:hAnsi="Cambria Math"/>
                      <w:i/>
                    </w:rPr>
                  </m:ctrlPr>
                </m:naryPr>
                <m:sub>
                  <m:r>
                    <w:rPr>
                      <w:rFonts w:ascii="Cambria Math" w:hAnsi="Cambria Math"/>
                    </w:rPr>
                    <m:t>i</m:t>
                  </m:r>
                  <m:r>
                    <w:rPr>
                      <w:rFonts w:ascii="Cambria Math" w:hAnsi="Cambria Math"/>
                    </w:rPr>
                    <m:t>=1</m:t>
                  </m:r>
                </m:sub>
                <m:sup>
                  <m:r>
                    <w:rPr>
                      <w:rFonts w:ascii="Cambria Math" w:hAnsi="Cambria Math"/>
                    </w:rPr>
                    <m:t>ρ</m:t>
                  </m:r>
                </m:sup>
                <m:e>
                  <m:sSub>
                    <m:sSubPr>
                      <m:ctrlPr>
                        <w:rPr>
                          <w:rFonts w:ascii="Cambria Math" w:hAnsi="Cambria Math"/>
                          <w:i/>
                        </w:rPr>
                      </m:ctrlPr>
                    </m:sSubPr>
                    <m:e>
                      <m:r>
                        <w:rPr>
                          <w:rFonts w:ascii="Cambria Math" w:hAnsi="Cambria Math"/>
                        </w:rPr>
                        <m:t>δ</m:t>
                      </m:r>
                    </m:e>
                    <m:sub>
                      <m:r>
                        <w:rPr>
                          <w:rFonts w:ascii="Cambria Math" w:hAnsi="Cambria Math"/>
                        </w:rPr>
                        <m:t>2</m:t>
                      </m:r>
                    </m:sub>
                  </m:sSub>
                  <m:sSub>
                    <m:sSubPr>
                      <m:ctrlPr>
                        <w:rPr>
                          <w:rFonts w:ascii="Cambria Math" w:hAnsi="Cambria Math"/>
                          <w:i/>
                        </w:rPr>
                      </m:ctrlPr>
                    </m:sSubPr>
                    <m:e>
                      <m:r>
                        <w:rPr>
                          <w:rFonts w:ascii="Cambria Math" w:hAnsi="Cambria Math"/>
                        </w:rPr>
                        <m:t>FDI</m:t>
                      </m:r>
                    </m:e>
                    <m:sub>
                      <m:r>
                        <w:rPr>
                          <w:rFonts w:ascii="Cambria Math" w:hAnsi="Cambria Math"/>
                        </w:rPr>
                        <m:t>t</m:t>
                      </m:r>
                      <m:r>
                        <w:rPr>
                          <w:rFonts w:ascii="Cambria Math" w:hAnsi="Cambria Math"/>
                        </w:rPr>
                        <m:t>-1</m:t>
                      </m:r>
                    </m:sub>
                  </m:sSub>
                </m:e>
              </m:nary>
              <m:ctrlPr>
                <w:rPr>
                  <w:rFonts w:ascii="Cambria Math" w:eastAsia="Cambria Math" w:hAnsi="Cambria Math" w:cs="Cambria Math"/>
                  <w:i/>
                </w:rPr>
              </m:ctrlPr>
            </m:e>
            <m:e>
              <m:r>
                <w:rPr>
                  <w:rFonts w:ascii="Cambria Math" w:hAnsi="Cambria Math"/>
                </w:rPr>
                <m:t>+</m:t>
              </m:r>
              <m:nary>
                <m:naryPr>
                  <m:chr m:val="∑"/>
                  <m:limLoc m:val="subSup"/>
                  <m:ctrlPr>
                    <w:rPr>
                      <w:rFonts w:ascii="Cambria Math" w:hAnsi="Cambria Math"/>
                      <w:i/>
                    </w:rPr>
                  </m:ctrlPr>
                </m:naryPr>
                <m:sub>
                  <m:r>
                    <w:rPr>
                      <w:rFonts w:ascii="Cambria Math" w:hAnsi="Cambria Math"/>
                    </w:rPr>
                    <m:t>i</m:t>
                  </m:r>
                  <m:r>
                    <w:rPr>
                      <w:rFonts w:ascii="Cambria Math" w:hAnsi="Cambria Math"/>
                    </w:rPr>
                    <m:t>=1</m:t>
                  </m:r>
                </m:sub>
                <m:sup>
                  <m:r>
                    <w:rPr>
                      <w:rFonts w:ascii="Cambria Math" w:hAnsi="Cambria Math"/>
                    </w:rPr>
                    <m:t>ρ</m:t>
                  </m:r>
                </m:sup>
                <m:e>
                  <m:sSub>
                    <m:sSubPr>
                      <m:ctrlPr>
                        <w:rPr>
                          <w:rFonts w:ascii="Cambria Math" w:hAnsi="Cambria Math"/>
                          <w:i/>
                        </w:rPr>
                      </m:ctrlPr>
                    </m:sSubPr>
                    <m:e>
                      <m:r>
                        <w:rPr>
                          <w:rFonts w:ascii="Cambria Math" w:hAnsi="Cambria Math"/>
                        </w:rPr>
                        <m:t>δ</m:t>
                      </m:r>
                    </m:e>
                    <m:sub>
                      <m:r>
                        <w:rPr>
                          <w:rFonts w:ascii="Cambria Math" w:hAnsi="Cambria Math"/>
                        </w:rPr>
                        <m:t>3</m:t>
                      </m:r>
                    </m:sub>
                  </m:sSub>
                  <m:r>
                    <w:rPr>
                      <w:rFonts w:ascii="Cambria Math" w:hAnsi="Cambria Math"/>
                    </w:rPr>
                    <m:t>IN</m:t>
                  </m:r>
                  <m:sSub>
                    <m:sSubPr>
                      <m:ctrlPr>
                        <w:rPr>
                          <w:rFonts w:ascii="Cambria Math" w:hAnsi="Cambria Math"/>
                          <w:i/>
                        </w:rPr>
                      </m:ctrlPr>
                    </m:sSubPr>
                    <m:e>
                      <m:r>
                        <w:rPr>
                          <w:rFonts w:ascii="Cambria Math" w:hAnsi="Cambria Math"/>
                        </w:rPr>
                        <m:t>F</m:t>
                      </m:r>
                    </m:e>
                    <m:sub>
                      <m:r>
                        <w:rPr>
                          <w:rFonts w:ascii="Cambria Math" w:hAnsi="Cambria Math"/>
                        </w:rPr>
                        <m:t>t</m:t>
                      </m:r>
                      <m:r>
                        <w:rPr>
                          <w:rFonts w:ascii="Cambria Math" w:hAnsi="Cambria Math"/>
                        </w:rPr>
                        <m:t>-1</m:t>
                      </m:r>
                    </m:sub>
                  </m:sSub>
                </m:e>
              </m:nary>
              <m:r>
                <w:rPr>
                  <w:rFonts w:ascii="Cambria Math" w:hAnsi="Cambria Math"/>
                </w:rPr>
                <m:t>+</m:t>
              </m:r>
              <m:nary>
                <m:naryPr>
                  <m:chr m:val="∑"/>
                  <m:limLoc m:val="subSup"/>
                  <m:ctrlPr>
                    <w:rPr>
                      <w:rFonts w:ascii="Cambria Math" w:hAnsi="Cambria Math"/>
                      <w:i/>
                    </w:rPr>
                  </m:ctrlPr>
                </m:naryPr>
                <m:sub>
                  <m:r>
                    <w:rPr>
                      <w:rFonts w:ascii="Cambria Math" w:hAnsi="Cambria Math"/>
                    </w:rPr>
                    <m:t>i</m:t>
                  </m:r>
                  <m:r>
                    <w:rPr>
                      <w:rFonts w:ascii="Cambria Math" w:hAnsi="Cambria Math"/>
                    </w:rPr>
                    <m:t>=1</m:t>
                  </m:r>
                </m:sub>
                <m:sup>
                  <m:r>
                    <w:rPr>
                      <w:rFonts w:ascii="Cambria Math" w:hAnsi="Cambria Math"/>
                    </w:rPr>
                    <m:t>ρ</m:t>
                  </m:r>
                </m:sup>
                <m:e>
                  <m:sSub>
                    <m:sSubPr>
                      <m:ctrlPr>
                        <w:rPr>
                          <w:rFonts w:ascii="Cambria Math" w:hAnsi="Cambria Math"/>
                          <w:i/>
                        </w:rPr>
                      </m:ctrlPr>
                    </m:sSubPr>
                    <m:e>
                      <m:r>
                        <w:rPr>
                          <w:rFonts w:ascii="Cambria Math" w:hAnsi="Cambria Math"/>
                        </w:rPr>
                        <m:t>δ</m:t>
                      </m:r>
                    </m:e>
                    <m:sub>
                      <m:r>
                        <w:rPr>
                          <w:rFonts w:ascii="Cambria Math" w:hAnsi="Cambria Math"/>
                        </w:rPr>
                        <m:t>4</m:t>
                      </m:r>
                    </m:sub>
                  </m:sSub>
                  <m:sSub>
                    <m:sSubPr>
                      <m:ctrlPr>
                        <w:rPr>
                          <w:rFonts w:ascii="Cambria Math" w:hAnsi="Cambria Math"/>
                          <w:i/>
                        </w:rPr>
                      </m:ctrlPr>
                    </m:sSubPr>
                    <m:e>
                      <m:r>
                        <w:rPr>
                          <w:rFonts w:ascii="Cambria Math" w:hAnsi="Cambria Math"/>
                        </w:rPr>
                        <m:t>INFSQ</m:t>
                      </m:r>
                    </m:e>
                    <m:sub>
                      <m:r>
                        <w:rPr>
                          <w:rFonts w:ascii="Cambria Math" w:hAnsi="Cambria Math"/>
                        </w:rPr>
                        <m:t>t</m:t>
                      </m:r>
                      <m:r>
                        <w:rPr>
                          <w:rFonts w:ascii="Cambria Math" w:hAnsi="Cambria Math"/>
                        </w:rPr>
                        <m:t>-1</m:t>
                      </m:r>
                    </m:sub>
                  </m:sSub>
                  <m:r>
                    <w:rPr>
                      <w:rFonts w:ascii="Cambria Math" w:hAnsi="Cambria Math"/>
                    </w:rPr>
                    <m:t>+</m:t>
                  </m:r>
                  <m:nary>
                    <m:naryPr>
                      <m:chr m:val="∑"/>
                      <m:limLoc m:val="subSup"/>
                      <m:ctrlPr>
                        <w:rPr>
                          <w:rFonts w:ascii="Cambria Math" w:hAnsi="Cambria Math"/>
                          <w:i/>
                        </w:rPr>
                      </m:ctrlPr>
                    </m:naryPr>
                    <m:sub>
                      <m:r>
                        <w:rPr>
                          <w:rFonts w:ascii="Cambria Math" w:hAnsi="Cambria Math"/>
                        </w:rPr>
                        <m:t>i</m:t>
                      </m:r>
                      <m:r>
                        <w:rPr>
                          <w:rFonts w:ascii="Cambria Math" w:hAnsi="Cambria Math"/>
                        </w:rPr>
                        <m:t>=1</m:t>
                      </m:r>
                    </m:sub>
                    <m:sup>
                      <m:r>
                        <w:rPr>
                          <w:rFonts w:ascii="Cambria Math" w:hAnsi="Cambria Math"/>
                        </w:rPr>
                        <m:t>ρ</m:t>
                      </m:r>
                    </m:sup>
                    <m:e>
                      <m:sSub>
                        <m:sSubPr>
                          <m:ctrlPr>
                            <w:rPr>
                              <w:rFonts w:ascii="Cambria Math" w:hAnsi="Cambria Math"/>
                              <w:i/>
                            </w:rPr>
                          </m:ctrlPr>
                        </m:sSubPr>
                        <m:e>
                          <m:r>
                            <w:rPr>
                              <w:rFonts w:ascii="Cambria Math" w:hAnsi="Cambria Math"/>
                            </w:rPr>
                            <m:t>δ</m:t>
                          </m:r>
                        </m:e>
                        <m:sub>
                          <m:r>
                            <w:rPr>
                              <w:rFonts w:ascii="Cambria Math" w:hAnsi="Cambria Math"/>
                            </w:rPr>
                            <m:t>5</m:t>
                          </m:r>
                        </m:sub>
                      </m:sSub>
                      <m:sSub>
                        <m:sSubPr>
                          <m:ctrlPr>
                            <w:rPr>
                              <w:rFonts w:ascii="Cambria Math" w:hAnsi="Cambria Math"/>
                              <w:i/>
                            </w:rPr>
                          </m:ctrlPr>
                        </m:sSubPr>
                        <m:e>
                          <m:r>
                            <w:rPr>
                              <w:rFonts w:ascii="Cambria Math" w:hAnsi="Cambria Math"/>
                            </w:rPr>
                            <m:t>GDPG</m:t>
                          </m:r>
                        </m:e>
                        <m:sub>
                          <m:r>
                            <w:rPr>
                              <w:rFonts w:ascii="Cambria Math" w:hAnsi="Cambria Math"/>
                            </w:rPr>
                            <m:t>t</m:t>
                          </m:r>
                          <m:r>
                            <w:rPr>
                              <w:rFonts w:ascii="Cambria Math" w:hAnsi="Cambria Math"/>
                            </w:rPr>
                            <m:t>-1</m:t>
                          </m:r>
                        </m:sub>
                      </m:sSub>
                    </m:e>
                  </m:nary>
                </m:e>
              </m:nary>
              <m:r>
                <w:rPr>
                  <w:rFonts w:ascii="Cambria Math" w:hAnsi="Cambria Math"/>
                </w:rPr>
                <m:t>+</m:t>
              </m:r>
              <m:nary>
                <m:naryPr>
                  <m:chr m:val="∑"/>
                  <m:limLoc m:val="subSup"/>
                  <m:ctrlPr>
                    <w:rPr>
                      <w:rFonts w:ascii="Cambria Math" w:hAnsi="Cambria Math"/>
                      <w:i/>
                    </w:rPr>
                  </m:ctrlPr>
                </m:naryPr>
                <m:sub>
                  <m:r>
                    <w:rPr>
                      <w:rFonts w:ascii="Cambria Math" w:hAnsi="Cambria Math"/>
                    </w:rPr>
                    <m:t>i</m:t>
                  </m:r>
                  <m:r>
                    <w:rPr>
                      <w:rFonts w:ascii="Cambria Math" w:hAnsi="Cambria Math"/>
                    </w:rPr>
                    <m:t>=1</m:t>
                  </m:r>
                </m:sub>
                <m:sup>
                  <m:r>
                    <w:rPr>
                      <w:rFonts w:ascii="Cambria Math" w:hAnsi="Cambria Math"/>
                    </w:rPr>
                    <m:t>ρ</m:t>
                  </m:r>
                </m:sup>
                <m:e>
                  <m:sSub>
                    <m:sSubPr>
                      <m:ctrlPr>
                        <w:rPr>
                          <w:rFonts w:ascii="Cambria Math" w:hAnsi="Cambria Math"/>
                          <w:i/>
                        </w:rPr>
                      </m:ctrlPr>
                    </m:sSubPr>
                    <m:e>
                      <m:r>
                        <w:rPr>
                          <w:rFonts w:ascii="Cambria Math" w:hAnsi="Cambria Math"/>
                        </w:rPr>
                        <m:t>δ</m:t>
                      </m:r>
                    </m:e>
                    <m:sub>
                      <m:r>
                        <w:rPr>
                          <w:rFonts w:ascii="Cambria Math" w:hAnsi="Cambria Math"/>
                        </w:rPr>
                        <m:t>6</m:t>
                      </m:r>
                    </m:sub>
                  </m:sSub>
                  <m:sSub>
                    <m:sSubPr>
                      <m:ctrlPr>
                        <w:rPr>
                          <w:rFonts w:ascii="Cambria Math" w:hAnsi="Cambria Math"/>
                          <w:i/>
                        </w:rPr>
                      </m:ctrlPr>
                    </m:sSubPr>
                    <m:e>
                      <m:r>
                        <w:rPr>
                          <w:rFonts w:ascii="Cambria Math" w:hAnsi="Cambria Math"/>
                        </w:rPr>
                        <m:t>EXR</m:t>
                      </m:r>
                    </m:e>
                    <m:sub>
                      <m:r>
                        <w:rPr>
                          <w:rFonts w:ascii="Cambria Math" w:hAnsi="Cambria Math"/>
                        </w:rPr>
                        <m:t>t</m:t>
                      </m:r>
                      <m:r>
                        <w:rPr>
                          <w:rFonts w:ascii="Cambria Math" w:hAnsi="Cambria Math"/>
                        </w:rPr>
                        <m:t>-1</m:t>
                      </m:r>
                    </m:sub>
                  </m:sSub>
                </m:e>
              </m:nary>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t</m:t>
                  </m:r>
                </m:sub>
              </m:sSub>
              <m:r>
                <w:rPr>
                  <w:rFonts w:ascii="Cambria Math" w:hAnsi="Cambria Math"/>
                </w:rPr>
                <m:t xml:space="preserve"> #</m:t>
              </m:r>
              <m:d>
                <m:dPr>
                  <m:ctrlPr>
                    <w:rPr>
                      <w:rFonts w:ascii="Cambria Math" w:hAnsi="Cambria Math"/>
                      <w:i/>
                    </w:rPr>
                  </m:ctrlPr>
                </m:dPr>
                <m:e>
                  <m:r>
                    <w:rPr>
                      <w:rFonts w:ascii="Cambria Math" w:hAnsi="Cambria Math"/>
                    </w:rPr>
                    <m:t>5</m:t>
                  </m:r>
                </m:e>
              </m:d>
            </m:e>
          </m:eqArr>
        </m:oMath>
      </m:oMathPara>
    </w:p>
    <w:p w14:paraId="56C27D8F" w14:textId="77777777" w:rsidR="00EA2E7F" w:rsidRPr="00697B94" w:rsidRDefault="00EA2E7F" w:rsidP="00EA2E7F">
      <w:pPr>
        <w:spacing w:before="120" w:after="120"/>
      </w:pPr>
    </w:p>
    <w:p w14:paraId="7E57B8BA" w14:textId="77777777" w:rsidR="00EA2E7F" w:rsidRPr="00697B94" w:rsidRDefault="006F3BBC" w:rsidP="00EA2E7F">
      <w:pPr>
        <w:spacing w:before="120" w:after="120"/>
      </w:pPr>
      <w:r w:rsidRPr="00697B94">
        <w:t>W</w:t>
      </w:r>
      <w:r w:rsidR="00EA2E7F" w:rsidRPr="00697B94">
        <w:t>here</w:t>
      </w:r>
      <w:r w:rsidRPr="00697B94">
        <w:t xml:space="preserve"> </w:t>
      </w:r>
      <m:oMath>
        <m:sSub>
          <m:sSubPr>
            <m:ctrlPr>
              <w:rPr>
                <w:rFonts w:ascii="Cambria Math" w:hAnsi="Cambria Math"/>
                <w:i/>
              </w:rPr>
            </m:ctrlPr>
          </m:sSubPr>
          <m:e>
            <m:r>
              <w:rPr>
                <w:rFonts w:ascii="Cambria Math" w:hAnsi="Cambria Math"/>
              </w:rPr>
              <m:t>ε</m:t>
            </m:r>
          </m:e>
          <m:sub>
            <m:r>
              <w:rPr>
                <w:rFonts w:ascii="Cambria Math" w:hAnsi="Cambria Math"/>
              </w:rPr>
              <m:t>t</m:t>
            </m:r>
          </m:sub>
        </m:sSub>
      </m:oMath>
      <w:r w:rsidR="00EA2E7F" w:rsidRPr="00697B94">
        <w:t xml:space="preserve"> is a white noise error term, ∆ is a first difference operator and </w:t>
      </w:r>
      <m:oMath>
        <m:r>
          <w:rPr>
            <w:rFonts w:ascii="Cambria Math" w:hAnsi="Cambria Math"/>
          </w:rPr>
          <m:t>ρ</m:t>
        </m:r>
      </m:oMath>
      <w:r w:rsidR="00EA2E7F" w:rsidRPr="00697B94">
        <w:t xml:space="preserve">, is the lag order         selected by the Akaike Information Criterion (AIC) and Schwarz-Bayesian Criterion (SBC). The parameter </w:t>
      </w:r>
      <m:oMath>
        <m:sSub>
          <m:sSubPr>
            <m:ctrlPr>
              <w:rPr>
                <w:rFonts w:ascii="Cambria Math" w:hAnsi="Cambria Math"/>
                <w:i/>
              </w:rPr>
            </m:ctrlPr>
          </m:sSubPr>
          <m:e>
            <m:r>
              <w:rPr>
                <w:rFonts w:ascii="Cambria Math" w:hAnsi="Cambria Math"/>
              </w:rPr>
              <m:t>∝</m:t>
            </m:r>
          </m:e>
          <m:sub>
            <m:r>
              <w:rPr>
                <w:rFonts w:ascii="Cambria Math" w:hAnsi="Cambria Math"/>
              </w:rPr>
              <m:t>i</m:t>
            </m:r>
          </m:sub>
        </m:sSub>
      </m:oMath>
      <w:r w:rsidR="00EA2E7F" w:rsidRPr="00697B94">
        <w:t xml:space="preserve"> denotes short-run</w:t>
      </w:r>
      <w:r w:rsidRPr="00697B94">
        <w:t xml:space="preserve"> </w:t>
      </w:r>
      <w:r w:rsidR="00EA2E7F" w:rsidRPr="00697B94">
        <w:t xml:space="preserve">parameters and </w:t>
      </w:r>
      <m:oMath>
        <m:r>
          <w:rPr>
            <w:rFonts w:ascii="Cambria Math" w:hAnsi="Cambria Math"/>
          </w:rPr>
          <m:t>δ</m:t>
        </m:r>
      </m:oMath>
      <w:r w:rsidR="00EA2E7F" w:rsidRPr="00697B94">
        <w:t xml:space="preserve"> are the long-run multipliers.</w:t>
      </w:r>
    </w:p>
    <w:p w14:paraId="0656B95A" w14:textId="77777777" w:rsidR="00EA2E7F" w:rsidRPr="00697B94" w:rsidRDefault="00EA2E7F" w:rsidP="00EA2E7F">
      <w:pPr>
        <w:spacing w:before="120" w:after="120"/>
      </w:pPr>
    </w:p>
    <w:p w14:paraId="481155E3" w14:textId="77777777" w:rsidR="006F3BBC" w:rsidRPr="00697B94" w:rsidRDefault="00EA2E7F" w:rsidP="00EA2E7F">
      <w:pPr>
        <w:spacing w:before="120" w:after="120"/>
        <w:rPr>
          <w:b/>
          <w:bCs/>
          <w:u w:val="single"/>
        </w:rPr>
      </w:pPr>
      <w:r w:rsidRPr="00697B94">
        <w:rPr>
          <w:b/>
          <w:bCs/>
          <w:u w:val="single"/>
        </w:rPr>
        <w:t>3.4.1</w:t>
      </w:r>
      <w:r w:rsidR="006F3BBC" w:rsidRPr="00697B94">
        <w:rPr>
          <w:b/>
          <w:bCs/>
          <w:u w:val="single"/>
        </w:rPr>
        <w:t xml:space="preserve"> </w:t>
      </w:r>
      <w:r w:rsidRPr="00697B94">
        <w:rPr>
          <w:b/>
          <w:bCs/>
          <w:u w:val="single"/>
        </w:rPr>
        <w:t xml:space="preserve">ARDL Bounds Testing Procedure. </w:t>
      </w:r>
    </w:p>
    <w:p w14:paraId="5C18B50A" w14:textId="77777777" w:rsidR="00EA2E7F" w:rsidRPr="00697B94" w:rsidRDefault="00EA2E7F" w:rsidP="00EA2E7F">
      <w:pPr>
        <w:spacing w:before="120" w:after="120"/>
      </w:pPr>
      <w:r w:rsidRPr="00697B94">
        <w:t>The initial stage in the ARDL</w:t>
      </w:r>
      <w:r w:rsidR="006F3BBC" w:rsidRPr="00697B94">
        <w:t xml:space="preserve"> </w:t>
      </w:r>
      <w:r w:rsidRPr="00697B94">
        <w:t>bounds testing approach is the estimation of equation (6) using the ordinary least square (OLS)</w:t>
      </w:r>
      <w:r w:rsidR="006F3BBC" w:rsidRPr="00697B94">
        <w:t xml:space="preserve"> </w:t>
      </w:r>
      <w:r w:rsidRPr="00697B94">
        <w:t>to test for the existence or otherwise of a long-run association among the</w:t>
      </w:r>
      <w:r w:rsidR="006F3BBC" w:rsidRPr="00697B94">
        <w:t xml:space="preserve"> </w:t>
      </w:r>
      <w:r w:rsidRPr="00697B94">
        <w:t>variables. This is done by conducting an F-test for the collective significance of the coefficients of lagged</w:t>
      </w:r>
      <w:r w:rsidR="006F3BBC" w:rsidRPr="00697B94">
        <w:t xml:space="preserve"> </w:t>
      </w:r>
      <w:r w:rsidRPr="00697B94">
        <w:t>levels of the variables.</w:t>
      </w:r>
      <w:r w:rsidR="006F3BBC" w:rsidRPr="00697B94">
        <w:t xml:space="preserve"> </w:t>
      </w:r>
      <w:r w:rsidRPr="00697B94">
        <w:t>The relevant hypothesis employed is as follows:</w:t>
      </w:r>
    </w:p>
    <w:p w14:paraId="3AE616BA" w14:textId="77777777" w:rsidR="006F3BBC" w:rsidRPr="00697B94" w:rsidRDefault="00C70D95" w:rsidP="00EA2E7F">
      <w:pPr>
        <w:spacing w:before="120" w:after="120"/>
      </w:pPr>
      <m:oMathPara>
        <m:oMath>
          <m:sSub>
            <m:sSubPr>
              <m:ctrlPr>
                <w:rPr>
                  <w:rFonts w:ascii="Cambria Math" w:hAnsi="Cambria Math"/>
                  <w:i/>
                </w:rPr>
              </m:ctrlPr>
            </m:sSubPr>
            <m:e>
              <m:r>
                <w:rPr>
                  <w:rFonts w:ascii="Cambria Math" w:hAnsi="Cambria Math"/>
                </w:rPr>
                <m:t>H</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δ</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δ</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δ</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δ</m:t>
              </m:r>
            </m:e>
            <m:sub>
              <m:r>
                <w:rPr>
                  <w:rFonts w:ascii="Cambria Math" w:hAnsi="Cambria Math"/>
                </w:rPr>
                <m:t>4</m:t>
              </m:r>
            </m:sub>
          </m:sSub>
          <m:r>
            <w:rPr>
              <w:rFonts w:ascii="Cambria Math" w:hAnsi="Cambria Math"/>
            </w:rPr>
            <m:t>=</m:t>
          </m:r>
          <m:sSub>
            <m:sSubPr>
              <m:ctrlPr>
                <w:rPr>
                  <w:rFonts w:ascii="Cambria Math" w:hAnsi="Cambria Math"/>
                  <w:i/>
                </w:rPr>
              </m:ctrlPr>
            </m:sSubPr>
            <m:e>
              <m:r>
                <w:rPr>
                  <w:rFonts w:ascii="Cambria Math" w:hAnsi="Cambria Math"/>
                </w:rPr>
                <m:t>δ</m:t>
              </m:r>
            </m:e>
            <m:sub>
              <m:r>
                <w:rPr>
                  <w:rFonts w:ascii="Cambria Math" w:hAnsi="Cambria Math"/>
                </w:rPr>
                <m:t>5</m:t>
              </m:r>
            </m:sub>
          </m:sSub>
          <m:r>
            <w:rPr>
              <w:rFonts w:ascii="Cambria Math" w:hAnsi="Cambria Math"/>
            </w:rPr>
            <m:t>=</m:t>
          </m:r>
          <m:sSub>
            <m:sSubPr>
              <m:ctrlPr>
                <w:rPr>
                  <w:rFonts w:ascii="Cambria Math" w:hAnsi="Cambria Math"/>
                  <w:i/>
                </w:rPr>
              </m:ctrlPr>
            </m:sSubPr>
            <m:e>
              <m:r>
                <w:rPr>
                  <w:rFonts w:ascii="Cambria Math" w:hAnsi="Cambria Math"/>
                </w:rPr>
                <m:t>δ</m:t>
              </m:r>
            </m:e>
            <m:sub>
              <m:r>
                <w:rPr>
                  <w:rFonts w:ascii="Cambria Math" w:hAnsi="Cambria Math"/>
                </w:rPr>
                <m:t>6</m:t>
              </m:r>
            </m:sub>
          </m:sSub>
          <m:r>
            <w:rPr>
              <w:rFonts w:ascii="Cambria Math" w:hAnsi="Cambria Math"/>
            </w:rPr>
            <m:t>=0</m:t>
          </m:r>
        </m:oMath>
      </m:oMathPara>
    </w:p>
    <w:p w14:paraId="2802AC19" w14:textId="77777777" w:rsidR="00D01223" w:rsidRPr="00697B94" w:rsidRDefault="00C70D95" w:rsidP="00D01223">
      <w:pPr>
        <w:spacing w:before="120" w:after="120"/>
      </w:pPr>
      <m:oMathPara>
        <m:oMath>
          <m:sSub>
            <m:sSubPr>
              <m:ctrlPr>
                <w:rPr>
                  <w:rFonts w:ascii="Cambria Math" w:hAnsi="Cambria Math"/>
                  <w:i/>
                </w:rPr>
              </m:ctrlPr>
            </m:sSubPr>
            <m:e>
              <m:r>
                <w:rPr>
                  <w:rFonts w:ascii="Cambria Math" w:hAnsi="Cambria Math"/>
                </w:rPr>
                <m:t>H</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δ</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δ</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δ</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δ</m:t>
              </m:r>
            </m:e>
            <m:sub>
              <m:r>
                <w:rPr>
                  <w:rFonts w:ascii="Cambria Math" w:hAnsi="Cambria Math"/>
                </w:rPr>
                <m:t>4</m:t>
              </m:r>
            </m:sub>
          </m:sSub>
          <m:r>
            <w:rPr>
              <w:rFonts w:ascii="Cambria Math" w:hAnsi="Cambria Math"/>
            </w:rPr>
            <m:t>≠</m:t>
          </m:r>
          <m:sSub>
            <m:sSubPr>
              <m:ctrlPr>
                <w:rPr>
                  <w:rFonts w:ascii="Cambria Math" w:hAnsi="Cambria Math"/>
                  <w:i/>
                </w:rPr>
              </m:ctrlPr>
            </m:sSubPr>
            <m:e>
              <m:r>
                <w:rPr>
                  <w:rFonts w:ascii="Cambria Math" w:hAnsi="Cambria Math"/>
                </w:rPr>
                <m:t>δ</m:t>
              </m:r>
            </m:e>
            <m:sub>
              <m:r>
                <w:rPr>
                  <w:rFonts w:ascii="Cambria Math" w:hAnsi="Cambria Math"/>
                </w:rPr>
                <m:t>5</m:t>
              </m:r>
            </m:sub>
          </m:sSub>
          <m:r>
            <w:rPr>
              <w:rFonts w:ascii="Cambria Math" w:hAnsi="Cambria Math"/>
            </w:rPr>
            <m:t>≠</m:t>
          </m:r>
          <m:sSub>
            <m:sSubPr>
              <m:ctrlPr>
                <w:rPr>
                  <w:rFonts w:ascii="Cambria Math" w:hAnsi="Cambria Math"/>
                  <w:i/>
                </w:rPr>
              </m:ctrlPr>
            </m:sSubPr>
            <m:e>
              <m:r>
                <w:rPr>
                  <w:rFonts w:ascii="Cambria Math" w:hAnsi="Cambria Math"/>
                </w:rPr>
                <m:t>δ</m:t>
              </m:r>
            </m:e>
            <m:sub>
              <m:r>
                <w:rPr>
                  <w:rFonts w:ascii="Cambria Math" w:hAnsi="Cambria Math"/>
                </w:rPr>
                <m:t>6</m:t>
              </m:r>
            </m:sub>
          </m:sSub>
          <m:r>
            <w:rPr>
              <w:rFonts w:ascii="Cambria Math" w:hAnsi="Cambria Math"/>
            </w:rPr>
            <m:t>≠0</m:t>
          </m:r>
        </m:oMath>
      </m:oMathPara>
    </w:p>
    <w:p w14:paraId="0990FC59" w14:textId="77777777" w:rsidR="00D01223" w:rsidRPr="00697B94" w:rsidRDefault="00D01223" w:rsidP="00EA2E7F">
      <w:pPr>
        <w:spacing w:before="120" w:after="120"/>
      </w:pPr>
    </w:p>
    <w:p w14:paraId="1A2D9DD4" w14:textId="77777777" w:rsidR="00EA2E7F" w:rsidRPr="00697B94" w:rsidRDefault="00EA2E7F" w:rsidP="00EA2E7F">
      <w:pPr>
        <w:spacing w:before="120" w:after="120"/>
      </w:pPr>
      <w:r w:rsidRPr="00697B94">
        <w:t>The presence of</w:t>
      </w:r>
      <w:r w:rsidR="00D01223" w:rsidRPr="00697B94">
        <w:t xml:space="preserve"> </w:t>
      </w:r>
      <w:r w:rsidRPr="00697B94">
        <w:t>cointegration among the variables</w:t>
      </w:r>
      <w:r w:rsidR="00D01223" w:rsidRPr="00697B94">
        <w:t xml:space="preserve"> </w:t>
      </w:r>
      <w:r w:rsidRPr="00697B94">
        <w:t>under investigation is based on</w:t>
      </w:r>
      <w:r w:rsidR="00D01223" w:rsidRPr="00697B94">
        <w:t xml:space="preserve"> </w:t>
      </w:r>
      <w:r w:rsidRPr="00697B94">
        <w:t>the F-statistic. When the independent variables are I(d) (</w:t>
      </w:r>
      <m:oMath>
        <m:r>
          <w:rPr>
            <w:rFonts w:ascii="Cambria Math" w:hAnsi="Cambria Math"/>
          </w:rPr>
          <m:t>where 0 ≤d ≤1</m:t>
        </m:r>
      </m:oMath>
      <w:r w:rsidRPr="00697B94">
        <w:t>), two asymptotic critical values bounds provide a benchmark for cointegration: a lower value</w:t>
      </w:r>
      <w:r w:rsidR="00D01223" w:rsidRPr="00697B94">
        <w:t xml:space="preserve"> </w:t>
      </w:r>
      <w:r w:rsidRPr="00697B94">
        <w:t xml:space="preserve">assuming strictly </w:t>
      </w:r>
      <w:proofErr w:type="gramStart"/>
      <w:r w:rsidRPr="00697B94">
        <w:t>I(</w:t>
      </w:r>
      <w:proofErr w:type="gramEnd"/>
      <w:r w:rsidRPr="00697B94">
        <w:t>0) regressors and an upper value assuming</w:t>
      </w:r>
      <w:r w:rsidR="00D01223" w:rsidRPr="00697B94">
        <w:t xml:space="preserve"> </w:t>
      </w:r>
      <w:r w:rsidRPr="00697B94">
        <w:t>purely I(1) regressors. If the</w:t>
      </w:r>
      <w:r w:rsidR="00D01223" w:rsidRPr="00697B94">
        <w:t xml:space="preserve"> </w:t>
      </w:r>
      <w:r w:rsidRPr="00697B94">
        <w:t>calculated F-statistic exceeds the</w:t>
      </w:r>
      <w:r w:rsidR="00D01223" w:rsidRPr="00697B94">
        <w:t xml:space="preserve"> </w:t>
      </w:r>
      <w:r w:rsidRPr="00697B94">
        <w:t>upper critical value,</w:t>
      </w:r>
      <w:r w:rsidR="00D01223" w:rsidRPr="00697B94">
        <w:t xml:space="preserve"> </w:t>
      </w:r>
      <w:r w:rsidRPr="00697B94">
        <w:t>then the null hypothesis of no cointegration will be rejected irrespective</w:t>
      </w:r>
      <w:r w:rsidR="00D01223" w:rsidRPr="00697B94">
        <w:t xml:space="preserve"> </w:t>
      </w:r>
      <w:r w:rsidRPr="00697B94">
        <w:t>of whether the variables are I (0) or I (1).</w:t>
      </w:r>
      <w:r w:rsidR="00D01223" w:rsidRPr="00697B94">
        <w:t xml:space="preserve"> </w:t>
      </w:r>
      <w:r w:rsidRPr="00697B94">
        <w:t>This implies</w:t>
      </w:r>
      <w:r w:rsidR="00D01223" w:rsidRPr="00697B94">
        <w:t xml:space="preserve"> </w:t>
      </w:r>
      <w:r w:rsidRPr="00697B94">
        <w:t>that there is a long run relationship among the variables. Conversely,</w:t>
      </w:r>
      <w:r w:rsidR="00D01223" w:rsidRPr="00697B94">
        <w:t xml:space="preserve"> </w:t>
      </w:r>
      <w:r w:rsidRPr="00697B94">
        <w:t>if</w:t>
      </w:r>
      <w:r w:rsidR="00D01223" w:rsidRPr="00697B94">
        <w:t xml:space="preserve"> </w:t>
      </w:r>
      <w:r w:rsidRPr="00697B94">
        <w:t>the F-statistic falls below the lower bound,</w:t>
      </w:r>
      <w:r w:rsidR="00D01223" w:rsidRPr="00697B94">
        <w:t xml:space="preserve"> </w:t>
      </w:r>
      <w:r w:rsidRPr="00697B94">
        <w:t>then the null hypothesis</w:t>
      </w:r>
      <w:r w:rsidR="00D01223" w:rsidRPr="00697B94">
        <w:t xml:space="preserve"> </w:t>
      </w:r>
      <w:r w:rsidRPr="00697B94">
        <w:t>of no cointegration cannot be rejected. Lastly, if the F</w:t>
      </w:r>
      <w:r w:rsidR="00D01223" w:rsidRPr="00697B94">
        <w:t xml:space="preserve"> </w:t>
      </w:r>
      <w:r w:rsidRPr="00697B94">
        <w:t>statistic lies within the lower and upper critical bounds, the result is inconclusive,</w:t>
      </w:r>
      <w:r w:rsidR="00D01223" w:rsidRPr="00697B94">
        <w:t xml:space="preserve"> </w:t>
      </w:r>
      <w:r w:rsidRPr="00697B94">
        <w:t>(Pesaran and Pesaran,</w:t>
      </w:r>
      <w:r w:rsidR="00087DC1" w:rsidRPr="00697B94">
        <w:t xml:space="preserve"> </w:t>
      </w:r>
      <w:r w:rsidRPr="00697B94">
        <w:t>1997).</w:t>
      </w:r>
    </w:p>
    <w:p w14:paraId="630C8A08" w14:textId="77777777" w:rsidR="00EA2E7F" w:rsidRPr="00697B94" w:rsidRDefault="00EA2E7F" w:rsidP="00EA2E7F">
      <w:pPr>
        <w:spacing w:before="120" w:after="120"/>
      </w:pPr>
    </w:p>
    <w:p w14:paraId="731841B3" w14:textId="77777777" w:rsidR="00D7342B" w:rsidRPr="00697B94" w:rsidRDefault="00D7342B" w:rsidP="00D7342B">
      <w:pPr>
        <w:spacing w:before="120" w:after="120"/>
      </w:pPr>
      <w:r w:rsidRPr="00697B94">
        <w:t>In the second stage of the ARDL bounds approach, once cointegration is established, the long-run model for GFCF_t can be estimated as:</w:t>
      </w:r>
    </w:p>
    <w:p w14:paraId="049D6658" w14:textId="77777777" w:rsidR="00D7342B" w:rsidRPr="00697B94" w:rsidRDefault="00C70D95" w:rsidP="00D7342B">
      <w:pPr>
        <w:spacing w:before="120" w:after="120"/>
        <w:rPr>
          <w:iCs/>
        </w:rPr>
      </w:pPr>
      <m:oMathPara>
        <m:oMath>
          <m:eqArr>
            <m:eqArrPr>
              <m:maxDist m:val="1"/>
              <m:ctrlPr>
                <w:rPr>
                  <w:rFonts w:ascii="Cambria Math" w:eastAsiaTheme="minorEastAsia" w:hAnsi="Helv"/>
                  <w:iCs/>
                </w:rPr>
              </m:ctrlPr>
            </m:eqArrPr>
            <m:e>
              <m:sSub>
                <m:sSubPr>
                  <m:ctrlPr>
                    <w:rPr>
                      <w:rFonts w:ascii="Cambria Math" w:eastAsiaTheme="minorEastAsia" w:hAnsi="Cambria Math"/>
                      <w:iCs/>
                    </w:rPr>
                  </m:ctrlPr>
                </m:sSubPr>
                <m:e>
                  <m:r>
                    <m:rPr>
                      <m:sty m:val="p"/>
                    </m:rPr>
                    <w:rPr>
                      <w:rFonts w:ascii="Cambria Math" w:eastAsiaTheme="minorEastAsia" w:hAnsi="Cambria Math"/>
                    </w:rPr>
                    <m:t>GFCF</m:t>
                  </m:r>
                </m:e>
                <m:sub>
                  <m:r>
                    <m:rPr>
                      <m:sty m:val="p"/>
                    </m:rPr>
                    <w:rPr>
                      <w:rFonts w:ascii="Cambria Math" w:eastAsiaTheme="minorEastAsia" w:hAnsi="Cambria Math"/>
                    </w:rPr>
                    <m:t>t</m:t>
                  </m:r>
                </m:sub>
              </m:sSub>
              <m:r>
                <m:rPr>
                  <m:sty m:val="p"/>
                </m:rPr>
                <w:rPr>
                  <w:rFonts w:ascii="Cambria Math" w:eastAsiaTheme="minorEastAsia" w:hAnsi="Cambria Math"/>
                </w:rPr>
                <m:t xml:space="preserve">= </m:t>
              </m:r>
              <m:sSub>
                <m:sSubPr>
                  <m:ctrlPr>
                    <w:rPr>
                      <w:rFonts w:ascii="Cambria Math" w:eastAsiaTheme="minorEastAsia" w:hAnsi="Cambria Math"/>
                      <w:iCs/>
                    </w:rPr>
                  </m:ctrlPr>
                </m:sSubPr>
                <m:e>
                  <m:r>
                    <m:rPr>
                      <m:sty m:val="p"/>
                    </m:rPr>
                    <w:rPr>
                      <w:rFonts w:ascii="Cambria Math" w:eastAsiaTheme="minorEastAsia" w:hAnsi="Cambria Math"/>
                    </w:rPr>
                    <m:t>α</m:t>
                  </m:r>
                </m:e>
                <m:sub>
                  <m:r>
                    <m:rPr>
                      <m:sty m:val="p"/>
                    </m:rPr>
                    <w:rPr>
                      <w:rFonts w:ascii="Cambria Math" w:eastAsiaTheme="minorEastAsia" w:hAnsi="Cambria Math"/>
                    </w:rPr>
                    <m:t>0</m:t>
                  </m:r>
                </m:sub>
              </m:sSub>
              <m:r>
                <m:rPr>
                  <m:sty m:val="p"/>
                </m:rPr>
                <w:rPr>
                  <w:rFonts w:ascii="Cambria Math" w:eastAsiaTheme="minorEastAsia" w:hAnsi="Cambria Math"/>
                </w:rPr>
                <m:t xml:space="preserve">+ </m:t>
              </m:r>
              <m:nary>
                <m:naryPr>
                  <m:chr m:val="∑"/>
                  <m:limLoc m:val="undOvr"/>
                  <m:ctrlPr>
                    <w:rPr>
                      <w:rFonts w:ascii="Cambria Math" w:eastAsiaTheme="minorEastAsia" w:hAnsi="Cambria Math"/>
                      <w:iCs/>
                    </w:rPr>
                  </m:ctrlPr>
                </m:naryPr>
                <m:sub>
                  <m:r>
                    <m:rPr>
                      <m:sty m:val="p"/>
                    </m:rPr>
                    <w:rPr>
                      <w:rFonts w:ascii="Cambria Math" w:eastAsiaTheme="minorEastAsia" w:hAnsi="Cambria Math"/>
                    </w:rPr>
                    <m:t>i=1</m:t>
                  </m:r>
                </m:sub>
                <m:sup>
                  <m:r>
                    <m:rPr>
                      <m:sty m:val="p"/>
                    </m:rPr>
                    <w:rPr>
                      <w:rFonts w:ascii="Cambria Math" w:eastAsiaTheme="minorEastAsia" w:hAnsi="Cambria Math"/>
                    </w:rPr>
                    <m:t>ρ</m:t>
                  </m:r>
                </m:sup>
                <m:e>
                  <m:sSub>
                    <m:sSubPr>
                      <m:ctrlPr>
                        <w:rPr>
                          <w:rFonts w:ascii="Cambria Math" w:eastAsiaTheme="minorEastAsia" w:hAnsi="Cambria Math"/>
                          <w:iCs/>
                        </w:rPr>
                      </m:ctrlPr>
                    </m:sSubPr>
                    <m:e>
                      <m:r>
                        <m:rPr>
                          <m:sty m:val="p"/>
                        </m:rPr>
                        <w:rPr>
                          <w:rFonts w:ascii="Cambria Math" w:eastAsiaTheme="minorEastAsia" w:hAnsi="Cambria Math"/>
                        </w:rPr>
                        <m:t>δ</m:t>
                      </m:r>
                    </m:e>
                    <m:sub>
                      <m:r>
                        <m:rPr>
                          <m:sty m:val="p"/>
                        </m:rPr>
                        <w:rPr>
                          <w:rFonts w:ascii="Cambria Math" w:eastAsiaTheme="minorEastAsia" w:hAnsi="Cambria Math"/>
                        </w:rPr>
                        <m:t>1</m:t>
                      </m:r>
                    </m:sub>
                  </m:sSub>
                  <m:sSub>
                    <m:sSubPr>
                      <m:ctrlPr>
                        <w:rPr>
                          <w:rFonts w:ascii="Cambria Math" w:eastAsiaTheme="minorEastAsia" w:hAnsi="Cambria Math"/>
                          <w:iCs/>
                        </w:rPr>
                      </m:ctrlPr>
                    </m:sSubPr>
                    <m:e>
                      <m:r>
                        <m:rPr>
                          <m:sty m:val="p"/>
                        </m:rPr>
                        <w:rPr>
                          <w:rFonts w:ascii="Cambria Math" w:eastAsiaTheme="minorEastAsia" w:hAnsi="Cambria Math"/>
                        </w:rPr>
                        <m:t>GFCF</m:t>
                      </m:r>
                    </m:e>
                    <m:sub>
                      <m:r>
                        <m:rPr>
                          <m:sty m:val="p"/>
                        </m:rPr>
                        <w:rPr>
                          <w:rFonts w:ascii="Cambria Math" w:eastAsiaTheme="minorEastAsia" w:hAnsi="Cambria Math"/>
                        </w:rPr>
                        <m:t>t-1</m:t>
                      </m:r>
                    </m:sub>
                  </m:sSub>
                </m:e>
              </m:nary>
              <m:r>
                <m:rPr>
                  <m:sty m:val="p"/>
                </m:rPr>
                <w:rPr>
                  <w:rFonts w:ascii="Cambria Math" w:eastAsiaTheme="minorEastAsia" w:hAnsi="Cambria Math"/>
                </w:rPr>
                <m:t xml:space="preserve">+ </m:t>
              </m:r>
              <m:nary>
                <m:naryPr>
                  <m:chr m:val="∑"/>
                  <m:limLoc m:val="undOvr"/>
                  <m:ctrlPr>
                    <w:rPr>
                      <w:rFonts w:ascii="Cambria Math" w:eastAsiaTheme="minorEastAsia" w:hAnsi="Cambria Math"/>
                      <w:iCs/>
                    </w:rPr>
                  </m:ctrlPr>
                </m:naryPr>
                <m:sub>
                  <m:r>
                    <m:rPr>
                      <m:sty m:val="p"/>
                    </m:rPr>
                    <w:rPr>
                      <w:rFonts w:ascii="Cambria Math" w:eastAsiaTheme="minorEastAsia" w:hAnsi="Cambria Math"/>
                    </w:rPr>
                    <m:t>i=1</m:t>
                  </m:r>
                </m:sub>
                <m:sup>
                  <m:r>
                    <m:rPr>
                      <m:sty m:val="p"/>
                    </m:rPr>
                    <w:rPr>
                      <w:rFonts w:ascii="Cambria Math" w:eastAsiaTheme="minorEastAsia" w:hAnsi="Cambria Math"/>
                    </w:rPr>
                    <m:t>ρ</m:t>
                  </m:r>
                </m:sup>
                <m:e>
                  <m:sSub>
                    <m:sSubPr>
                      <m:ctrlPr>
                        <w:rPr>
                          <w:rFonts w:ascii="Cambria Math" w:eastAsiaTheme="minorEastAsia" w:hAnsi="Cambria Math"/>
                          <w:iCs/>
                        </w:rPr>
                      </m:ctrlPr>
                    </m:sSubPr>
                    <m:e>
                      <m:r>
                        <m:rPr>
                          <m:sty m:val="p"/>
                        </m:rPr>
                        <w:rPr>
                          <w:rFonts w:ascii="Cambria Math" w:eastAsiaTheme="minorEastAsia" w:hAnsi="Cambria Math"/>
                        </w:rPr>
                        <m:t>δ</m:t>
                      </m:r>
                    </m:e>
                    <m:sub>
                      <m:r>
                        <m:rPr>
                          <m:sty m:val="p"/>
                        </m:rPr>
                        <w:rPr>
                          <w:rFonts w:ascii="Cambria Math" w:eastAsiaTheme="minorEastAsia" w:hAnsi="Cambria Math"/>
                        </w:rPr>
                        <m:t>2</m:t>
                      </m:r>
                    </m:sub>
                  </m:sSub>
                  <m:sSub>
                    <m:sSubPr>
                      <m:ctrlPr>
                        <w:rPr>
                          <w:rFonts w:ascii="Cambria Math" w:eastAsiaTheme="minorEastAsia" w:hAnsi="Cambria Math"/>
                          <w:iCs/>
                        </w:rPr>
                      </m:ctrlPr>
                    </m:sSubPr>
                    <m:e>
                      <m:r>
                        <m:rPr>
                          <m:sty m:val="p"/>
                        </m:rPr>
                        <w:rPr>
                          <w:rFonts w:ascii="Cambria Math" w:eastAsiaTheme="minorEastAsia" w:hAnsi="Cambria Math"/>
                        </w:rPr>
                        <m:t>FDI</m:t>
                      </m:r>
                    </m:e>
                    <m:sub>
                      <m:r>
                        <m:rPr>
                          <m:sty m:val="p"/>
                        </m:rPr>
                        <w:rPr>
                          <w:rFonts w:ascii="Cambria Math" w:eastAsiaTheme="minorEastAsia" w:hAnsi="Cambria Math"/>
                        </w:rPr>
                        <m:t>t-1</m:t>
                      </m:r>
                    </m:sub>
                  </m:sSub>
                </m:e>
              </m:nary>
              <m:r>
                <m:rPr>
                  <m:sty m:val="p"/>
                </m:rPr>
                <w:rPr>
                  <w:rFonts w:ascii="Cambria Math" w:eastAsiaTheme="minorEastAsia" w:hAnsi="Cambria Math"/>
                </w:rPr>
                <m:t xml:space="preserve">+ </m:t>
              </m:r>
              <m:nary>
                <m:naryPr>
                  <m:chr m:val="∑"/>
                  <m:limLoc m:val="undOvr"/>
                  <m:ctrlPr>
                    <w:rPr>
                      <w:rFonts w:ascii="Cambria Math" w:eastAsiaTheme="minorEastAsia" w:hAnsi="Cambria Math"/>
                      <w:iCs/>
                    </w:rPr>
                  </m:ctrlPr>
                </m:naryPr>
                <m:sub>
                  <m:r>
                    <m:rPr>
                      <m:sty m:val="p"/>
                    </m:rPr>
                    <w:rPr>
                      <w:rFonts w:ascii="Cambria Math" w:eastAsiaTheme="minorEastAsia" w:hAnsi="Cambria Math"/>
                    </w:rPr>
                    <m:t>i=1</m:t>
                  </m:r>
                </m:sub>
                <m:sup>
                  <m:r>
                    <m:rPr>
                      <m:sty m:val="p"/>
                    </m:rPr>
                    <w:rPr>
                      <w:rFonts w:ascii="Cambria Math" w:eastAsiaTheme="minorEastAsia" w:hAnsi="Cambria Math"/>
                    </w:rPr>
                    <m:t>ρ</m:t>
                  </m:r>
                </m:sup>
                <m:e>
                  <m:sSub>
                    <m:sSubPr>
                      <m:ctrlPr>
                        <w:rPr>
                          <w:rFonts w:ascii="Cambria Math" w:eastAsiaTheme="minorEastAsia" w:hAnsi="Cambria Math"/>
                          <w:iCs/>
                        </w:rPr>
                      </m:ctrlPr>
                    </m:sSubPr>
                    <m:e>
                      <m:r>
                        <m:rPr>
                          <m:sty m:val="p"/>
                        </m:rPr>
                        <w:rPr>
                          <w:rFonts w:ascii="Cambria Math" w:eastAsiaTheme="minorEastAsia" w:hAnsi="Cambria Math"/>
                        </w:rPr>
                        <m:t>δ</m:t>
                      </m:r>
                    </m:e>
                    <m:sub>
                      <m:r>
                        <m:rPr>
                          <m:sty m:val="p"/>
                        </m:rPr>
                        <w:rPr>
                          <w:rFonts w:ascii="Cambria Math" w:eastAsiaTheme="minorEastAsia" w:hAnsi="Cambria Math"/>
                        </w:rPr>
                        <m:t>3</m:t>
                      </m:r>
                    </m:sub>
                  </m:sSub>
                  <m:sSub>
                    <m:sSubPr>
                      <m:ctrlPr>
                        <w:rPr>
                          <w:rFonts w:ascii="Cambria Math" w:eastAsiaTheme="minorEastAsia" w:hAnsi="Cambria Math"/>
                          <w:iCs/>
                        </w:rPr>
                      </m:ctrlPr>
                    </m:sSubPr>
                    <m:e>
                      <m:r>
                        <m:rPr>
                          <m:sty m:val="p"/>
                        </m:rPr>
                        <w:rPr>
                          <w:rFonts w:ascii="Cambria Math" w:eastAsiaTheme="minorEastAsia" w:hAnsi="Cambria Math"/>
                        </w:rPr>
                        <m:t>INF</m:t>
                      </m:r>
                    </m:e>
                    <m:sub>
                      <m:r>
                        <m:rPr>
                          <m:sty m:val="p"/>
                        </m:rPr>
                        <w:rPr>
                          <w:rFonts w:ascii="Cambria Math" w:eastAsiaTheme="minorEastAsia" w:hAnsi="Cambria Math"/>
                        </w:rPr>
                        <m:t>t-1</m:t>
                      </m:r>
                    </m:sub>
                  </m:sSub>
                </m:e>
              </m:nary>
              <m:ctrlPr>
                <w:rPr>
                  <w:rFonts w:ascii="Cambria Math" w:eastAsia="Cambria Math" w:hAnsi="Cambria Math" w:cs="Cambria Math"/>
                  <w:i/>
                  <w:iCs/>
                </w:rPr>
              </m:ctrlPr>
            </m:e>
            <m:e>
              <m:r>
                <m:rPr>
                  <m:sty m:val="p"/>
                </m:rPr>
                <w:rPr>
                  <w:rFonts w:ascii="Cambria Math" w:eastAsiaTheme="minorEastAsia" w:hAnsi="Cambria Math"/>
                </w:rPr>
                <m:t>+</m:t>
              </m:r>
              <m:nary>
                <m:naryPr>
                  <m:chr m:val="∑"/>
                  <m:limLoc m:val="undOvr"/>
                  <m:ctrlPr>
                    <w:rPr>
                      <w:rFonts w:ascii="Cambria Math" w:eastAsiaTheme="minorEastAsia" w:hAnsi="Cambria Math"/>
                      <w:iCs/>
                    </w:rPr>
                  </m:ctrlPr>
                </m:naryPr>
                <m:sub>
                  <m:r>
                    <m:rPr>
                      <m:sty m:val="p"/>
                    </m:rPr>
                    <w:rPr>
                      <w:rFonts w:ascii="Cambria Math" w:eastAsiaTheme="minorEastAsia" w:hAnsi="Cambria Math"/>
                    </w:rPr>
                    <m:t>i=1</m:t>
                  </m:r>
                </m:sub>
                <m:sup>
                  <m:r>
                    <m:rPr>
                      <m:sty m:val="p"/>
                    </m:rPr>
                    <w:rPr>
                      <w:rFonts w:ascii="Cambria Math" w:eastAsiaTheme="minorEastAsia" w:hAnsi="Cambria Math"/>
                    </w:rPr>
                    <m:t>ρ</m:t>
                  </m:r>
                </m:sup>
                <m:e>
                  <m:sSub>
                    <m:sSubPr>
                      <m:ctrlPr>
                        <w:rPr>
                          <w:rFonts w:ascii="Cambria Math" w:eastAsiaTheme="minorEastAsia" w:hAnsi="Cambria Math"/>
                          <w:iCs/>
                        </w:rPr>
                      </m:ctrlPr>
                    </m:sSubPr>
                    <m:e>
                      <m:r>
                        <m:rPr>
                          <m:sty m:val="p"/>
                        </m:rPr>
                        <w:rPr>
                          <w:rFonts w:ascii="Cambria Math" w:eastAsiaTheme="minorEastAsia" w:hAnsi="Cambria Math"/>
                        </w:rPr>
                        <m:t>δ</m:t>
                      </m:r>
                    </m:e>
                    <m:sub>
                      <m:r>
                        <m:rPr>
                          <m:sty m:val="p"/>
                        </m:rPr>
                        <w:rPr>
                          <w:rFonts w:ascii="Cambria Math" w:eastAsiaTheme="minorEastAsia" w:hAnsi="Cambria Math"/>
                        </w:rPr>
                        <m:t>4</m:t>
                      </m:r>
                    </m:sub>
                  </m:sSub>
                  <m:sSub>
                    <m:sSubPr>
                      <m:ctrlPr>
                        <w:rPr>
                          <w:rFonts w:ascii="Cambria Math" w:eastAsiaTheme="minorEastAsia" w:hAnsi="Cambria Math"/>
                          <w:iCs/>
                        </w:rPr>
                      </m:ctrlPr>
                    </m:sSubPr>
                    <m:e>
                      <m:r>
                        <m:rPr>
                          <m:sty m:val="p"/>
                        </m:rPr>
                        <w:rPr>
                          <w:rFonts w:ascii="Cambria Math" w:eastAsiaTheme="minorEastAsia" w:hAnsi="Cambria Math"/>
                        </w:rPr>
                        <m:t>INFSQ</m:t>
                      </m:r>
                    </m:e>
                    <m:sub>
                      <m:r>
                        <m:rPr>
                          <m:sty m:val="p"/>
                        </m:rPr>
                        <w:rPr>
                          <w:rFonts w:ascii="Cambria Math" w:eastAsiaTheme="minorEastAsia" w:hAnsi="Cambria Math"/>
                        </w:rPr>
                        <m:t>t-1</m:t>
                      </m:r>
                    </m:sub>
                  </m:sSub>
                </m:e>
              </m:nary>
              <m:r>
                <m:rPr>
                  <m:sty m:val="p"/>
                </m:rPr>
                <w:rPr>
                  <w:rFonts w:ascii="Cambria Math" w:eastAsiaTheme="minorEastAsia" w:hAnsi="Cambria Math"/>
                </w:rPr>
                <m:t xml:space="preserve">+ </m:t>
              </m:r>
              <m:nary>
                <m:naryPr>
                  <m:chr m:val="∑"/>
                  <m:limLoc m:val="undOvr"/>
                  <m:ctrlPr>
                    <w:rPr>
                      <w:rFonts w:ascii="Cambria Math" w:eastAsiaTheme="minorEastAsia" w:hAnsi="Cambria Math"/>
                      <w:iCs/>
                    </w:rPr>
                  </m:ctrlPr>
                </m:naryPr>
                <m:sub>
                  <m:r>
                    <m:rPr>
                      <m:sty m:val="p"/>
                    </m:rPr>
                    <w:rPr>
                      <w:rFonts w:ascii="Cambria Math" w:eastAsiaTheme="minorEastAsia" w:hAnsi="Cambria Math"/>
                    </w:rPr>
                    <m:t>i=1</m:t>
                  </m:r>
                </m:sub>
                <m:sup>
                  <m:r>
                    <m:rPr>
                      <m:sty m:val="p"/>
                    </m:rPr>
                    <w:rPr>
                      <w:rFonts w:ascii="Cambria Math" w:eastAsiaTheme="minorEastAsia" w:hAnsi="Cambria Math"/>
                    </w:rPr>
                    <m:t>ρ</m:t>
                  </m:r>
                </m:sup>
                <m:e>
                  <m:sSub>
                    <m:sSubPr>
                      <m:ctrlPr>
                        <w:rPr>
                          <w:rFonts w:ascii="Cambria Math" w:eastAsiaTheme="minorEastAsia" w:hAnsi="Cambria Math"/>
                          <w:iCs/>
                        </w:rPr>
                      </m:ctrlPr>
                    </m:sSubPr>
                    <m:e>
                      <m:r>
                        <m:rPr>
                          <m:sty m:val="p"/>
                        </m:rPr>
                        <w:rPr>
                          <w:rFonts w:ascii="Cambria Math" w:eastAsiaTheme="minorEastAsia" w:hAnsi="Cambria Math"/>
                        </w:rPr>
                        <m:t>δ</m:t>
                      </m:r>
                    </m:e>
                    <m:sub>
                      <m:r>
                        <m:rPr>
                          <m:sty m:val="p"/>
                        </m:rPr>
                        <w:rPr>
                          <w:rFonts w:ascii="Cambria Math" w:eastAsiaTheme="minorEastAsia" w:hAnsi="Cambria Math"/>
                        </w:rPr>
                        <m:t>5</m:t>
                      </m:r>
                    </m:sub>
                  </m:sSub>
                  <m:sSub>
                    <m:sSubPr>
                      <m:ctrlPr>
                        <w:rPr>
                          <w:rFonts w:ascii="Cambria Math" w:eastAsiaTheme="minorEastAsia" w:hAnsi="Cambria Math"/>
                          <w:iCs/>
                        </w:rPr>
                      </m:ctrlPr>
                    </m:sSubPr>
                    <m:e>
                      <m:r>
                        <m:rPr>
                          <m:sty m:val="p"/>
                        </m:rPr>
                        <w:rPr>
                          <w:rFonts w:ascii="Cambria Math" w:eastAsiaTheme="minorEastAsia" w:hAnsi="Cambria Math"/>
                        </w:rPr>
                        <m:t>GDPG</m:t>
                      </m:r>
                    </m:e>
                    <m:sub>
                      <m:r>
                        <m:rPr>
                          <m:sty m:val="p"/>
                        </m:rPr>
                        <w:rPr>
                          <w:rFonts w:ascii="Cambria Math" w:eastAsiaTheme="minorEastAsia" w:hAnsi="Cambria Math"/>
                        </w:rPr>
                        <m:t>t-1</m:t>
                      </m:r>
                    </m:sub>
                  </m:sSub>
                </m:e>
              </m:nary>
              <m:r>
                <m:rPr>
                  <m:sty m:val="p"/>
                </m:rPr>
                <w:rPr>
                  <w:rFonts w:ascii="Cambria Math" w:eastAsiaTheme="minorEastAsia" w:hAnsi="Cambria Math"/>
                </w:rPr>
                <m:t xml:space="preserve">+  </m:t>
              </m:r>
              <m:nary>
                <m:naryPr>
                  <m:chr m:val="∑"/>
                  <m:limLoc m:val="undOvr"/>
                  <m:ctrlPr>
                    <w:rPr>
                      <w:rFonts w:ascii="Cambria Math" w:eastAsiaTheme="minorEastAsia" w:hAnsi="Cambria Math"/>
                      <w:iCs/>
                    </w:rPr>
                  </m:ctrlPr>
                </m:naryPr>
                <m:sub>
                  <m:r>
                    <m:rPr>
                      <m:sty m:val="p"/>
                    </m:rPr>
                    <w:rPr>
                      <w:rFonts w:ascii="Cambria Math" w:eastAsiaTheme="minorEastAsia" w:hAnsi="Cambria Math"/>
                    </w:rPr>
                    <m:t>i=1</m:t>
                  </m:r>
                </m:sub>
                <m:sup>
                  <m:r>
                    <m:rPr>
                      <m:sty m:val="p"/>
                    </m:rPr>
                    <w:rPr>
                      <w:rFonts w:ascii="Cambria Math" w:eastAsiaTheme="minorEastAsia" w:hAnsi="Cambria Math"/>
                    </w:rPr>
                    <m:t>ρ</m:t>
                  </m:r>
                </m:sup>
                <m:e>
                  <m:sSub>
                    <m:sSubPr>
                      <m:ctrlPr>
                        <w:rPr>
                          <w:rFonts w:ascii="Cambria Math" w:eastAsiaTheme="minorEastAsia" w:hAnsi="Cambria Math"/>
                          <w:iCs/>
                        </w:rPr>
                      </m:ctrlPr>
                    </m:sSubPr>
                    <m:e>
                      <m:r>
                        <m:rPr>
                          <m:sty m:val="p"/>
                        </m:rPr>
                        <w:rPr>
                          <w:rFonts w:ascii="Cambria Math" w:eastAsiaTheme="minorEastAsia" w:hAnsi="Cambria Math"/>
                        </w:rPr>
                        <m:t>δ</m:t>
                      </m:r>
                    </m:e>
                    <m:sub>
                      <m:r>
                        <m:rPr>
                          <m:sty m:val="p"/>
                        </m:rPr>
                        <w:rPr>
                          <w:rFonts w:ascii="Cambria Math" w:eastAsiaTheme="minorEastAsia" w:hAnsi="Cambria Math"/>
                        </w:rPr>
                        <m:t>6</m:t>
                      </m:r>
                    </m:sub>
                  </m:sSub>
                  <m:sSub>
                    <m:sSubPr>
                      <m:ctrlPr>
                        <w:rPr>
                          <w:rFonts w:ascii="Cambria Math" w:eastAsiaTheme="minorEastAsia" w:hAnsi="Cambria Math"/>
                          <w:iCs/>
                        </w:rPr>
                      </m:ctrlPr>
                    </m:sSubPr>
                    <m:e>
                      <m:r>
                        <m:rPr>
                          <m:sty m:val="p"/>
                        </m:rPr>
                        <w:rPr>
                          <w:rFonts w:ascii="Cambria Math" w:eastAsiaTheme="minorEastAsia" w:hAnsi="Cambria Math"/>
                        </w:rPr>
                        <m:t>EXR</m:t>
                      </m:r>
                    </m:e>
                    <m:sub>
                      <m:r>
                        <m:rPr>
                          <m:sty m:val="p"/>
                        </m:rPr>
                        <w:rPr>
                          <w:rFonts w:ascii="Cambria Math" w:eastAsiaTheme="minorEastAsia" w:hAnsi="Cambria Math"/>
                        </w:rPr>
                        <m:t>t-1</m:t>
                      </m:r>
                    </m:sub>
                  </m:sSub>
                </m:e>
              </m:nary>
              <m:r>
                <m:rPr>
                  <m:sty m:val="p"/>
                </m:rPr>
                <w:rPr>
                  <w:rFonts w:ascii="Cambria Math" w:eastAsiaTheme="minorEastAsia" w:hAnsi="Cambria Math"/>
                </w:rPr>
                <m:t xml:space="preserve">+ </m:t>
              </m:r>
              <m:sSub>
                <m:sSubPr>
                  <m:ctrlPr>
                    <w:rPr>
                      <w:rFonts w:ascii="Cambria Math" w:eastAsiaTheme="minorEastAsia" w:hAnsi="Cambria Math"/>
                      <w:iCs/>
                    </w:rPr>
                  </m:ctrlPr>
                </m:sSubPr>
                <m:e>
                  <m:r>
                    <m:rPr>
                      <m:sty m:val="p"/>
                    </m:rPr>
                    <w:rPr>
                      <w:rFonts w:ascii="Cambria Math" w:eastAsiaTheme="minorEastAsia" w:hAnsi="Cambria Math"/>
                    </w:rPr>
                    <m:t>ε</m:t>
                  </m:r>
                </m:e>
                <m:sub>
                  <m:r>
                    <m:rPr>
                      <m:sty m:val="p"/>
                    </m:rPr>
                    <w:rPr>
                      <w:rFonts w:ascii="Cambria Math" w:eastAsiaTheme="minorEastAsia" w:hAnsi="Cambria Math"/>
                    </w:rPr>
                    <m:t>t</m:t>
                  </m:r>
                </m:sub>
              </m:sSub>
              <m:r>
                <m:rPr>
                  <m:sty m:val="p"/>
                </m:rPr>
                <w:rPr>
                  <w:rFonts w:ascii="Cambria Math" w:eastAsiaTheme="minorEastAsia" w:hAnsi="Cambria Math"/>
                </w:rPr>
                <m:t xml:space="preserve"> </m:t>
              </m:r>
              <m:r>
                <m:rPr>
                  <m:sty m:val="p"/>
                </m:rPr>
                <w:rPr>
                  <w:rFonts w:ascii="Cambria Math" w:eastAsiaTheme="minorEastAsia" w:hAnsi="Helv"/>
                </w:rPr>
                <m:t xml:space="preserve"> </m:t>
              </m:r>
              <m:r>
                <w:rPr>
                  <w:rFonts w:ascii="Cambria Math" w:eastAsiaTheme="minorEastAsia" w:hAnsi="Cambria Math"/>
                </w:rPr>
                <m:t>#</m:t>
              </m:r>
              <m:d>
                <m:dPr>
                  <m:ctrlPr>
                    <w:rPr>
                      <w:rFonts w:ascii="Cambria Math" w:eastAsiaTheme="minorEastAsia" w:hAnsi="Helv"/>
                      <w:iCs/>
                    </w:rPr>
                  </m:ctrlPr>
                </m:dPr>
                <m:e>
                  <m:r>
                    <w:rPr>
                      <w:rFonts w:ascii="Cambria Math" w:eastAsiaTheme="minorEastAsia" w:hAnsi="Helv"/>
                    </w:rPr>
                    <m:t>6</m:t>
                  </m:r>
                </m:e>
              </m:d>
              <m:ctrlPr>
                <w:rPr>
                  <w:rFonts w:ascii="Cambria Math" w:eastAsiaTheme="minorEastAsia" w:hAnsi="Cambria Math"/>
                  <w:i/>
                  <w:iCs/>
                </w:rPr>
              </m:ctrlPr>
            </m:e>
          </m:eqArr>
        </m:oMath>
      </m:oMathPara>
    </w:p>
    <w:p w14:paraId="256BEA41" w14:textId="77777777" w:rsidR="00D7342B" w:rsidRPr="00697B94" w:rsidRDefault="00D7342B" w:rsidP="00D7342B">
      <w:pPr>
        <w:spacing w:before="120" w:after="120"/>
      </w:pPr>
    </w:p>
    <w:p w14:paraId="38068081" w14:textId="77777777" w:rsidR="00D7342B" w:rsidRPr="00697B94" w:rsidRDefault="00D7342B" w:rsidP="00D7342B">
      <w:pPr>
        <w:spacing w:before="120" w:after="120"/>
      </w:pPr>
      <w:r w:rsidRPr="00697B94">
        <w:t xml:space="preserve">This involves selecting the orders of the ARDL </w:t>
      </w:r>
      <m:oMath>
        <m:r>
          <m:rPr>
            <m:sty m:val="p"/>
          </m:rPr>
          <w:rPr>
            <w:rFonts w:ascii="Cambria Math" w:eastAsiaTheme="minorEastAsia" w:hAnsi="Cambria Math"/>
            <w:sz w:val="24"/>
            <w:szCs w:val="24"/>
          </w:rPr>
          <m:t>(</m:t>
        </m:r>
        <m:sSub>
          <m:sSubPr>
            <m:ctrlPr>
              <w:rPr>
                <w:rFonts w:ascii="Cambria Math" w:eastAsiaTheme="minorEastAsia" w:hAnsi="Cambria Math"/>
                <w:iCs/>
                <w:sz w:val="24"/>
                <w:szCs w:val="24"/>
              </w:rPr>
            </m:ctrlPr>
          </m:sSubPr>
          <m:e>
            <m:r>
              <m:rPr>
                <m:sty m:val="p"/>
              </m:rPr>
              <w:rPr>
                <w:rFonts w:ascii="Cambria Math" w:eastAsiaTheme="minorEastAsia" w:hAnsi="Cambria Math"/>
                <w:sz w:val="24"/>
                <w:szCs w:val="24"/>
              </w:rPr>
              <m:t>ρ</m:t>
            </m:r>
          </m:e>
          <m:sub>
            <m:r>
              <m:rPr>
                <m:sty m:val="p"/>
              </m:rPr>
              <w:rPr>
                <w:rFonts w:ascii="Cambria Math" w:eastAsiaTheme="minorEastAsia" w:hAnsi="Cambria Math"/>
                <w:sz w:val="24"/>
                <w:szCs w:val="24"/>
              </w:rPr>
              <m:t>1</m:t>
            </m:r>
          </m:sub>
        </m:sSub>
        <m:r>
          <m:rPr>
            <m:sty m:val="p"/>
          </m:rPr>
          <w:rPr>
            <w:rFonts w:ascii="Cambria Math" w:eastAsiaTheme="minorEastAsia" w:hAnsi="Cambria Math"/>
            <w:sz w:val="24"/>
            <w:szCs w:val="24"/>
          </w:rPr>
          <m:t xml:space="preserve">, </m:t>
        </m:r>
        <m:sSub>
          <m:sSubPr>
            <m:ctrlPr>
              <w:rPr>
                <w:rFonts w:ascii="Cambria Math" w:eastAsiaTheme="minorEastAsia" w:hAnsi="Cambria Math"/>
                <w:iCs/>
                <w:sz w:val="24"/>
                <w:szCs w:val="24"/>
              </w:rPr>
            </m:ctrlPr>
          </m:sSubPr>
          <m:e>
            <m:r>
              <m:rPr>
                <m:sty m:val="p"/>
              </m:rPr>
              <w:rPr>
                <w:rFonts w:ascii="Cambria Math" w:eastAsiaTheme="minorEastAsia" w:hAnsi="Cambria Math"/>
                <w:sz w:val="24"/>
                <w:szCs w:val="24"/>
              </w:rPr>
              <m:t>ρ</m:t>
            </m:r>
          </m:e>
          <m:sub>
            <m:r>
              <m:rPr>
                <m:sty m:val="p"/>
              </m:rPr>
              <w:rPr>
                <w:rFonts w:ascii="Cambria Math" w:eastAsiaTheme="minorEastAsia" w:hAnsi="Cambria Math"/>
                <w:sz w:val="24"/>
                <w:szCs w:val="24"/>
              </w:rPr>
              <m:t>2</m:t>
            </m:r>
          </m:sub>
        </m:sSub>
        <m:r>
          <m:rPr>
            <m:sty m:val="p"/>
          </m:rPr>
          <w:rPr>
            <w:rFonts w:ascii="Cambria Math" w:eastAsiaTheme="minorEastAsia" w:hAnsi="Cambria Math"/>
            <w:sz w:val="24"/>
            <w:szCs w:val="24"/>
          </w:rPr>
          <m:t xml:space="preserve">, </m:t>
        </m:r>
        <m:sSub>
          <m:sSubPr>
            <m:ctrlPr>
              <w:rPr>
                <w:rFonts w:ascii="Cambria Math" w:eastAsiaTheme="minorEastAsia" w:hAnsi="Cambria Math"/>
                <w:iCs/>
                <w:sz w:val="24"/>
                <w:szCs w:val="24"/>
              </w:rPr>
            </m:ctrlPr>
          </m:sSubPr>
          <m:e>
            <m:r>
              <m:rPr>
                <m:sty m:val="p"/>
              </m:rPr>
              <w:rPr>
                <w:rFonts w:ascii="Cambria Math" w:eastAsiaTheme="minorEastAsia" w:hAnsi="Cambria Math"/>
                <w:sz w:val="24"/>
                <w:szCs w:val="24"/>
              </w:rPr>
              <m:t>ρ</m:t>
            </m:r>
          </m:e>
          <m:sub>
            <m:r>
              <m:rPr>
                <m:sty m:val="p"/>
              </m:rPr>
              <w:rPr>
                <w:rFonts w:ascii="Cambria Math" w:eastAsiaTheme="minorEastAsia" w:hAnsi="Cambria Math"/>
                <w:sz w:val="24"/>
                <w:szCs w:val="24"/>
              </w:rPr>
              <m:t>3</m:t>
            </m:r>
          </m:sub>
        </m:sSub>
        <m:r>
          <m:rPr>
            <m:sty m:val="p"/>
          </m:rPr>
          <w:rPr>
            <w:rFonts w:ascii="Cambria Math" w:eastAsiaTheme="minorEastAsia" w:hAnsi="Cambria Math"/>
            <w:sz w:val="24"/>
            <w:szCs w:val="24"/>
          </w:rPr>
          <m:t xml:space="preserve">, </m:t>
        </m:r>
        <m:sSub>
          <m:sSubPr>
            <m:ctrlPr>
              <w:rPr>
                <w:rFonts w:ascii="Cambria Math" w:eastAsiaTheme="minorEastAsia" w:hAnsi="Cambria Math"/>
                <w:iCs/>
                <w:sz w:val="24"/>
                <w:szCs w:val="24"/>
              </w:rPr>
            </m:ctrlPr>
          </m:sSubPr>
          <m:e>
            <m:r>
              <m:rPr>
                <m:sty m:val="p"/>
              </m:rPr>
              <w:rPr>
                <w:rFonts w:ascii="Cambria Math" w:eastAsiaTheme="minorEastAsia" w:hAnsi="Cambria Math"/>
                <w:sz w:val="24"/>
                <w:szCs w:val="24"/>
              </w:rPr>
              <m:t>ρ</m:t>
            </m:r>
          </m:e>
          <m:sub>
            <m:r>
              <m:rPr>
                <m:sty m:val="p"/>
              </m:rPr>
              <w:rPr>
                <w:rFonts w:ascii="Cambria Math" w:eastAsiaTheme="minorEastAsia" w:hAnsi="Cambria Math"/>
                <w:sz w:val="24"/>
                <w:szCs w:val="24"/>
              </w:rPr>
              <m:t>4</m:t>
            </m:r>
          </m:sub>
        </m:sSub>
        <m:r>
          <m:rPr>
            <m:sty m:val="p"/>
          </m:rPr>
          <w:rPr>
            <w:rFonts w:ascii="Cambria Math" w:eastAsiaTheme="minorEastAsia" w:hAnsi="Cambria Math"/>
            <w:sz w:val="24"/>
            <w:szCs w:val="24"/>
          </w:rPr>
          <m:t xml:space="preserve">, </m:t>
        </m:r>
        <m:sSub>
          <m:sSubPr>
            <m:ctrlPr>
              <w:rPr>
                <w:rFonts w:ascii="Cambria Math" w:eastAsiaTheme="minorEastAsia" w:hAnsi="Cambria Math"/>
                <w:iCs/>
                <w:sz w:val="24"/>
                <w:szCs w:val="24"/>
              </w:rPr>
            </m:ctrlPr>
          </m:sSubPr>
          <m:e>
            <m:r>
              <m:rPr>
                <m:sty m:val="p"/>
              </m:rPr>
              <w:rPr>
                <w:rFonts w:ascii="Cambria Math" w:eastAsiaTheme="minorEastAsia" w:hAnsi="Cambria Math"/>
                <w:sz w:val="24"/>
                <w:szCs w:val="24"/>
              </w:rPr>
              <m:t>ρ</m:t>
            </m:r>
          </m:e>
          <m:sub>
            <m:r>
              <m:rPr>
                <m:sty m:val="p"/>
              </m:rPr>
              <w:rPr>
                <w:rFonts w:ascii="Cambria Math" w:eastAsiaTheme="minorEastAsia" w:hAnsi="Cambria Math"/>
                <w:sz w:val="24"/>
                <w:szCs w:val="24"/>
              </w:rPr>
              <m:t>5</m:t>
            </m:r>
          </m:sub>
        </m:sSub>
        <m:r>
          <m:rPr>
            <m:sty m:val="p"/>
          </m:rPr>
          <w:rPr>
            <w:rFonts w:ascii="Cambria Math" w:eastAsiaTheme="minorEastAsia" w:hAnsi="Cambria Math"/>
            <w:sz w:val="24"/>
            <w:szCs w:val="24"/>
          </w:rPr>
          <m:t xml:space="preserve">, </m:t>
        </m:r>
        <m:sSub>
          <m:sSubPr>
            <m:ctrlPr>
              <w:rPr>
                <w:rFonts w:ascii="Cambria Math" w:eastAsiaTheme="minorEastAsia" w:hAnsi="Cambria Math"/>
                <w:iCs/>
                <w:sz w:val="24"/>
                <w:szCs w:val="24"/>
              </w:rPr>
            </m:ctrlPr>
          </m:sSubPr>
          <m:e>
            <m:r>
              <m:rPr>
                <m:sty m:val="p"/>
              </m:rPr>
              <w:rPr>
                <w:rFonts w:ascii="Cambria Math" w:eastAsiaTheme="minorEastAsia" w:hAnsi="Cambria Math"/>
                <w:sz w:val="24"/>
                <w:szCs w:val="24"/>
              </w:rPr>
              <m:t>ρ</m:t>
            </m:r>
          </m:e>
          <m:sub>
            <m:r>
              <m:rPr>
                <m:sty m:val="p"/>
              </m:rPr>
              <w:rPr>
                <w:rFonts w:ascii="Cambria Math" w:eastAsiaTheme="minorEastAsia" w:hAnsi="Cambria Math"/>
                <w:sz w:val="24"/>
                <w:szCs w:val="24"/>
              </w:rPr>
              <m:t>6</m:t>
            </m:r>
          </m:sub>
        </m:sSub>
        <m:r>
          <m:rPr>
            <m:sty m:val="p"/>
          </m:rPr>
          <w:rPr>
            <w:rFonts w:ascii="Cambria Math" w:eastAsiaTheme="minorEastAsia" w:hAnsi="Cambria Math"/>
            <w:sz w:val="24"/>
            <w:szCs w:val="24"/>
          </w:rPr>
          <m:t xml:space="preserve">) </m:t>
        </m:r>
      </m:oMath>
      <w:r w:rsidRPr="00697B94">
        <w:t xml:space="preserve">model in the six variables using Akaike Information Criterion (AIC). </w:t>
      </w:r>
    </w:p>
    <w:p w14:paraId="6C7C93E0" w14:textId="77777777" w:rsidR="00D7342B" w:rsidRPr="00697B94" w:rsidRDefault="00D7342B" w:rsidP="00D7342B">
      <w:pPr>
        <w:spacing w:before="120" w:after="120"/>
      </w:pPr>
      <w:r w:rsidRPr="00697B94">
        <w:t xml:space="preserve">Estimating an Error Correction Model (ECM) to capture the system's short-run dynamics is the third and final stage in the ARDL bound method. In general, the ECM is used to reconcile the short-run behaviour of an economic variable with its long-run behaviour. </w:t>
      </w:r>
    </w:p>
    <w:p w14:paraId="0241EF5D" w14:textId="77777777" w:rsidR="00D7342B" w:rsidRPr="00697B94" w:rsidRDefault="00D7342B" w:rsidP="00D7342B">
      <w:pPr>
        <w:spacing w:before="120" w:after="120"/>
      </w:pPr>
      <w:r w:rsidRPr="00697B94">
        <w:t>The ECM is specified as follows:</w:t>
      </w:r>
    </w:p>
    <w:p w14:paraId="36888758" w14:textId="77777777" w:rsidR="00D7342B" w:rsidRPr="00697B94" w:rsidRDefault="00C70D95" w:rsidP="00D7342B">
      <w:pPr>
        <w:spacing w:before="120" w:after="120"/>
        <w:rPr>
          <w:iCs/>
          <w:sz w:val="24"/>
          <w:szCs w:val="24"/>
        </w:rPr>
      </w:pPr>
      <m:oMathPara>
        <m:oMath>
          <m:eqArr>
            <m:eqArrPr>
              <m:maxDist m:val="1"/>
              <m:ctrlPr>
                <w:rPr>
                  <w:rFonts w:ascii="Cambria Math" w:hAnsi="Cambria Math"/>
                  <w:i/>
                </w:rPr>
              </m:ctrlPr>
            </m:eqArrPr>
            <m:e>
              <m:sSub>
                <m:sSubPr>
                  <m:ctrlPr>
                    <w:rPr>
                      <w:rFonts w:ascii="Cambria Math" w:eastAsiaTheme="minorEastAsia" w:hAnsi="Cambria Math"/>
                      <w:iCs/>
                      <w:sz w:val="24"/>
                      <w:szCs w:val="24"/>
                    </w:rPr>
                  </m:ctrlPr>
                </m:sSubPr>
                <m:e>
                  <m:r>
                    <m:rPr>
                      <m:sty m:val="p"/>
                    </m:rPr>
                    <w:rPr>
                      <w:rFonts w:ascii="Cambria Math" w:eastAsiaTheme="minorEastAsia" w:hAnsi="Cambria Math"/>
                      <w:sz w:val="24"/>
                      <w:szCs w:val="24"/>
                    </w:rPr>
                    <m:t>∆</m:t>
                  </m:r>
                  <m:r>
                    <m:rPr>
                      <m:sty m:val="p"/>
                    </m:rPr>
                    <w:rPr>
                      <w:rFonts w:ascii="Cambria Math" w:eastAsiaTheme="minorEastAsia" w:hAnsi="Cambria Math"/>
                      <w:sz w:val="24"/>
                      <w:szCs w:val="24"/>
                    </w:rPr>
                    <m:t>GFCF</m:t>
                  </m:r>
                </m:e>
                <m:sub>
                  <m:r>
                    <m:rPr>
                      <m:sty m:val="p"/>
                    </m:rPr>
                    <w:rPr>
                      <w:rFonts w:ascii="Cambria Math" w:eastAsiaTheme="minorEastAsia" w:hAnsi="Cambria Math"/>
                      <w:sz w:val="24"/>
                      <w:szCs w:val="24"/>
                    </w:rPr>
                    <m:t>t</m:t>
                  </m:r>
                </m:sub>
              </m:sSub>
              <m:r>
                <m:rPr>
                  <m:sty m:val="p"/>
                </m:rPr>
                <w:rPr>
                  <w:rFonts w:ascii="Cambria Math" w:eastAsiaTheme="minorEastAsia" w:hAnsi="Cambria Math"/>
                  <w:sz w:val="24"/>
                  <w:szCs w:val="24"/>
                </w:rPr>
                <m:t xml:space="preserve">= </m:t>
              </m:r>
              <m:sSub>
                <m:sSubPr>
                  <m:ctrlPr>
                    <w:rPr>
                      <w:rFonts w:ascii="Cambria Math" w:eastAsiaTheme="minorEastAsia" w:hAnsi="Cambria Math"/>
                      <w:iCs/>
                      <w:sz w:val="24"/>
                      <w:szCs w:val="24"/>
                    </w:rPr>
                  </m:ctrlPr>
                </m:sSubPr>
                <m:e>
                  <m:r>
                    <m:rPr>
                      <m:sty m:val="p"/>
                    </m:rPr>
                    <w:rPr>
                      <w:rFonts w:ascii="Cambria Math" w:eastAsiaTheme="minorEastAsia" w:hAnsi="Cambria Math"/>
                      <w:sz w:val="24"/>
                      <w:szCs w:val="24"/>
                    </w:rPr>
                    <m:t>α</m:t>
                  </m:r>
                </m:e>
                <m:sub>
                  <m:r>
                    <m:rPr>
                      <m:sty m:val="p"/>
                    </m:rPr>
                    <w:rPr>
                      <w:rFonts w:ascii="Cambria Math" w:eastAsiaTheme="minorEastAsia" w:hAnsi="Cambria Math"/>
                      <w:sz w:val="24"/>
                      <w:szCs w:val="24"/>
                    </w:rPr>
                    <m:t>0</m:t>
                  </m:r>
                </m:sub>
              </m:sSub>
              <m:r>
                <m:rPr>
                  <m:sty m:val="p"/>
                </m:rPr>
                <w:rPr>
                  <w:rFonts w:ascii="Cambria Math" w:eastAsiaTheme="minorEastAsia" w:hAnsi="Cambria Math"/>
                  <w:sz w:val="24"/>
                  <w:szCs w:val="24"/>
                </w:rPr>
                <m:t xml:space="preserve">+ </m:t>
              </m:r>
              <m:nary>
                <m:naryPr>
                  <m:chr m:val="∑"/>
                  <m:limLoc m:val="undOvr"/>
                  <m:ctrlPr>
                    <w:rPr>
                      <w:rFonts w:ascii="Cambria Math" w:eastAsiaTheme="minorEastAsia" w:hAnsi="Cambria Math"/>
                      <w:iCs/>
                      <w:sz w:val="24"/>
                      <w:szCs w:val="24"/>
                    </w:rPr>
                  </m:ctrlPr>
                </m:naryPr>
                <m:sub>
                  <m:r>
                    <m:rPr>
                      <m:sty m:val="p"/>
                    </m:rPr>
                    <w:rPr>
                      <w:rFonts w:ascii="Cambria Math" w:eastAsiaTheme="minorEastAsia" w:hAnsi="Cambria Math"/>
                      <w:sz w:val="24"/>
                      <w:szCs w:val="24"/>
                    </w:rPr>
                    <m:t>i=1</m:t>
                  </m:r>
                </m:sub>
                <m:sup>
                  <m:r>
                    <m:rPr>
                      <m:sty m:val="p"/>
                    </m:rPr>
                    <w:rPr>
                      <w:rFonts w:ascii="Cambria Math" w:eastAsiaTheme="minorEastAsia" w:hAnsi="Cambria Math"/>
                      <w:sz w:val="24"/>
                      <w:szCs w:val="24"/>
                    </w:rPr>
                    <m:t>ρ</m:t>
                  </m:r>
                </m:sup>
                <m:e>
                  <m:sSub>
                    <m:sSubPr>
                      <m:ctrlPr>
                        <w:rPr>
                          <w:rFonts w:ascii="Cambria Math" w:eastAsiaTheme="minorEastAsia" w:hAnsi="Cambria Math"/>
                          <w:iCs/>
                          <w:sz w:val="24"/>
                          <w:szCs w:val="24"/>
                        </w:rPr>
                      </m:ctrlPr>
                    </m:sSubPr>
                    <m:e>
                      <m:r>
                        <m:rPr>
                          <m:sty m:val="p"/>
                        </m:rPr>
                        <w:rPr>
                          <w:rFonts w:ascii="Cambria Math" w:eastAsiaTheme="minorEastAsia" w:hAnsi="Cambria Math"/>
                          <w:sz w:val="24"/>
                          <w:szCs w:val="24"/>
                        </w:rPr>
                        <m:t>α</m:t>
                      </m:r>
                    </m:e>
                    <m:sub>
                      <m:r>
                        <m:rPr>
                          <m:sty m:val="p"/>
                        </m:rPr>
                        <w:rPr>
                          <w:rFonts w:ascii="Cambria Math" w:eastAsiaTheme="minorEastAsia" w:hAnsi="Cambria Math"/>
                          <w:sz w:val="24"/>
                          <w:szCs w:val="24"/>
                        </w:rPr>
                        <m:t>1i</m:t>
                      </m:r>
                    </m:sub>
                  </m:sSub>
                  <m:sSub>
                    <m:sSubPr>
                      <m:ctrlPr>
                        <w:rPr>
                          <w:rFonts w:ascii="Cambria Math" w:eastAsiaTheme="minorEastAsia" w:hAnsi="Cambria Math"/>
                          <w:iCs/>
                          <w:sz w:val="24"/>
                          <w:szCs w:val="24"/>
                        </w:rPr>
                      </m:ctrlPr>
                    </m:sSubPr>
                    <m:e>
                      <m:r>
                        <m:rPr>
                          <m:sty m:val="p"/>
                        </m:rPr>
                        <w:rPr>
                          <w:rFonts w:ascii="Cambria Math" w:eastAsiaTheme="minorEastAsia" w:hAnsi="Cambria Math"/>
                          <w:sz w:val="24"/>
                          <w:szCs w:val="24"/>
                        </w:rPr>
                        <m:t>∆</m:t>
                      </m:r>
                      <m:r>
                        <m:rPr>
                          <m:sty m:val="p"/>
                        </m:rPr>
                        <w:rPr>
                          <w:rFonts w:ascii="Cambria Math" w:eastAsiaTheme="minorEastAsia" w:hAnsi="Cambria Math"/>
                          <w:sz w:val="24"/>
                          <w:szCs w:val="24"/>
                        </w:rPr>
                        <m:t>GFCF</m:t>
                      </m:r>
                    </m:e>
                    <m:sub>
                      <m:r>
                        <m:rPr>
                          <m:sty m:val="p"/>
                        </m:rPr>
                        <w:rPr>
                          <w:rFonts w:ascii="Cambria Math" w:eastAsiaTheme="minorEastAsia" w:hAnsi="Cambria Math"/>
                          <w:sz w:val="24"/>
                          <w:szCs w:val="24"/>
                        </w:rPr>
                        <m:t>t-i</m:t>
                      </m:r>
                    </m:sub>
                  </m:sSub>
                </m:e>
              </m:nary>
              <m:r>
                <m:rPr>
                  <m:sty m:val="p"/>
                </m:rPr>
                <w:rPr>
                  <w:rFonts w:ascii="Cambria Math" w:eastAsiaTheme="minorEastAsia" w:hAnsi="Cambria Math"/>
                  <w:sz w:val="24"/>
                  <w:szCs w:val="24"/>
                </w:rPr>
                <m:t xml:space="preserve">+ </m:t>
              </m:r>
              <m:nary>
                <m:naryPr>
                  <m:chr m:val="∑"/>
                  <m:limLoc m:val="undOvr"/>
                  <m:ctrlPr>
                    <w:rPr>
                      <w:rFonts w:ascii="Cambria Math" w:eastAsiaTheme="minorEastAsia" w:hAnsi="Cambria Math"/>
                      <w:iCs/>
                      <w:sz w:val="24"/>
                      <w:szCs w:val="24"/>
                    </w:rPr>
                  </m:ctrlPr>
                </m:naryPr>
                <m:sub>
                  <m:r>
                    <m:rPr>
                      <m:sty m:val="p"/>
                    </m:rPr>
                    <w:rPr>
                      <w:rFonts w:ascii="Cambria Math" w:eastAsiaTheme="minorEastAsia" w:hAnsi="Cambria Math"/>
                      <w:sz w:val="24"/>
                      <w:szCs w:val="24"/>
                    </w:rPr>
                    <m:t>i=1</m:t>
                  </m:r>
                </m:sub>
                <m:sup>
                  <m:r>
                    <m:rPr>
                      <m:sty m:val="p"/>
                    </m:rPr>
                    <w:rPr>
                      <w:rFonts w:ascii="Cambria Math" w:eastAsiaTheme="minorEastAsia" w:hAnsi="Cambria Math"/>
                      <w:sz w:val="24"/>
                      <w:szCs w:val="24"/>
                    </w:rPr>
                    <m:t>ρ</m:t>
                  </m:r>
                </m:sup>
                <m:e>
                  <m:sSub>
                    <m:sSubPr>
                      <m:ctrlPr>
                        <w:rPr>
                          <w:rFonts w:ascii="Cambria Math" w:eastAsiaTheme="minorEastAsia" w:hAnsi="Cambria Math"/>
                          <w:iCs/>
                          <w:sz w:val="24"/>
                          <w:szCs w:val="24"/>
                        </w:rPr>
                      </m:ctrlPr>
                    </m:sSubPr>
                    <m:e>
                      <m:r>
                        <m:rPr>
                          <m:sty m:val="p"/>
                        </m:rPr>
                        <w:rPr>
                          <w:rFonts w:ascii="Cambria Math" w:eastAsiaTheme="minorEastAsia" w:hAnsi="Cambria Math"/>
                          <w:sz w:val="24"/>
                          <w:szCs w:val="24"/>
                        </w:rPr>
                        <m:t>α</m:t>
                      </m:r>
                    </m:e>
                    <m:sub>
                      <m:r>
                        <m:rPr>
                          <m:sty m:val="p"/>
                        </m:rPr>
                        <w:rPr>
                          <w:rFonts w:ascii="Cambria Math" w:eastAsiaTheme="minorEastAsia" w:hAnsi="Cambria Math"/>
                          <w:sz w:val="24"/>
                          <w:szCs w:val="24"/>
                        </w:rPr>
                        <m:t>2i</m:t>
                      </m:r>
                    </m:sub>
                  </m:sSub>
                  <m:sSub>
                    <m:sSubPr>
                      <m:ctrlPr>
                        <w:rPr>
                          <w:rFonts w:ascii="Cambria Math" w:eastAsiaTheme="minorEastAsia" w:hAnsi="Cambria Math"/>
                          <w:iCs/>
                          <w:sz w:val="24"/>
                          <w:szCs w:val="24"/>
                        </w:rPr>
                      </m:ctrlPr>
                    </m:sSubPr>
                    <m:e>
                      <m:r>
                        <m:rPr>
                          <m:sty m:val="p"/>
                        </m:rPr>
                        <w:rPr>
                          <w:rFonts w:ascii="Cambria Math" w:eastAsiaTheme="minorEastAsia" w:hAnsi="Cambria Math"/>
                          <w:sz w:val="24"/>
                          <w:szCs w:val="24"/>
                        </w:rPr>
                        <m:t>∆</m:t>
                      </m:r>
                      <m:r>
                        <m:rPr>
                          <m:sty m:val="p"/>
                        </m:rPr>
                        <w:rPr>
                          <w:rFonts w:ascii="Cambria Math" w:eastAsiaTheme="minorEastAsia" w:hAnsi="Cambria Math"/>
                          <w:sz w:val="24"/>
                          <w:szCs w:val="24"/>
                        </w:rPr>
                        <m:t>FDI</m:t>
                      </m:r>
                    </m:e>
                    <m:sub>
                      <m:r>
                        <m:rPr>
                          <m:sty m:val="p"/>
                        </m:rPr>
                        <w:rPr>
                          <w:rFonts w:ascii="Cambria Math" w:eastAsiaTheme="minorEastAsia" w:hAnsi="Cambria Math"/>
                          <w:sz w:val="24"/>
                          <w:szCs w:val="24"/>
                        </w:rPr>
                        <m:t>t-i</m:t>
                      </m:r>
                    </m:sub>
                  </m:sSub>
                </m:e>
              </m:nary>
              <m:r>
                <m:rPr>
                  <m:sty m:val="p"/>
                </m:rPr>
                <w:rPr>
                  <w:rFonts w:ascii="Cambria Math" w:eastAsiaTheme="minorEastAsia" w:hAnsi="Cambria Math"/>
                  <w:sz w:val="24"/>
                  <w:szCs w:val="24"/>
                </w:rPr>
                <m:t xml:space="preserve">+ </m:t>
              </m:r>
              <m:nary>
                <m:naryPr>
                  <m:chr m:val="∑"/>
                  <m:limLoc m:val="undOvr"/>
                  <m:ctrlPr>
                    <w:rPr>
                      <w:rFonts w:ascii="Cambria Math" w:eastAsiaTheme="minorEastAsia" w:hAnsi="Cambria Math"/>
                      <w:iCs/>
                      <w:sz w:val="24"/>
                      <w:szCs w:val="24"/>
                    </w:rPr>
                  </m:ctrlPr>
                </m:naryPr>
                <m:sub>
                  <m:r>
                    <m:rPr>
                      <m:sty m:val="p"/>
                    </m:rPr>
                    <w:rPr>
                      <w:rFonts w:ascii="Cambria Math" w:eastAsiaTheme="minorEastAsia" w:hAnsi="Cambria Math"/>
                      <w:sz w:val="24"/>
                      <w:szCs w:val="24"/>
                    </w:rPr>
                    <m:t>i=1</m:t>
                  </m:r>
                </m:sub>
                <m:sup>
                  <m:r>
                    <m:rPr>
                      <m:sty m:val="p"/>
                    </m:rPr>
                    <w:rPr>
                      <w:rFonts w:ascii="Cambria Math" w:eastAsiaTheme="minorEastAsia" w:hAnsi="Cambria Math"/>
                      <w:sz w:val="24"/>
                      <w:szCs w:val="24"/>
                    </w:rPr>
                    <m:t>ρ</m:t>
                  </m:r>
                </m:sup>
                <m:e>
                  <m:sSub>
                    <m:sSubPr>
                      <m:ctrlPr>
                        <w:rPr>
                          <w:rFonts w:ascii="Cambria Math" w:eastAsiaTheme="minorEastAsia" w:hAnsi="Cambria Math"/>
                          <w:iCs/>
                          <w:sz w:val="24"/>
                          <w:szCs w:val="24"/>
                        </w:rPr>
                      </m:ctrlPr>
                    </m:sSubPr>
                    <m:e>
                      <m:r>
                        <m:rPr>
                          <m:sty m:val="p"/>
                        </m:rPr>
                        <w:rPr>
                          <w:rFonts w:ascii="Cambria Math" w:eastAsiaTheme="minorEastAsia" w:hAnsi="Cambria Math"/>
                          <w:sz w:val="24"/>
                          <w:szCs w:val="24"/>
                        </w:rPr>
                        <m:t>α</m:t>
                      </m:r>
                    </m:e>
                    <m:sub>
                      <m:r>
                        <m:rPr>
                          <m:sty m:val="p"/>
                        </m:rPr>
                        <w:rPr>
                          <w:rFonts w:ascii="Cambria Math" w:eastAsiaTheme="minorEastAsia" w:hAnsi="Cambria Math"/>
                          <w:sz w:val="24"/>
                          <w:szCs w:val="24"/>
                        </w:rPr>
                        <m:t>3i</m:t>
                      </m:r>
                    </m:sub>
                  </m:sSub>
                  <m:sSub>
                    <m:sSubPr>
                      <m:ctrlPr>
                        <w:rPr>
                          <w:rFonts w:ascii="Cambria Math" w:eastAsiaTheme="minorEastAsia" w:hAnsi="Cambria Math"/>
                          <w:iCs/>
                          <w:sz w:val="24"/>
                          <w:szCs w:val="24"/>
                        </w:rPr>
                      </m:ctrlPr>
                    </m:sSubPr>
                    <m:e>
                      <m:r>
                        <m:rPr>
                          <m:sty m:val="p"/>
                        </m:rPr>
                        <w:rPr>
                          <w:rFonts w:ascii="Cambria Math" w:eastAsiaTheme="minorEastAsia" w:hAnsi="Cambria Math"/>
                          <w:sz w:val="24"/>
                          <w:szCs w:val="24"/>
                        </w:rPr>
                        <m:t>∆</m:t>
                      </m:r>
                      <m:r>
                        <m:rPr>
                          <m:sty m:val="p"/>
                        </m:rPr>
                        <w:rPr>
                          <w:rFonts w:ascii="Cambria Math" w:eastAsiaTheme="minorEastAsia" w:hAnsi="Cambria Math"/>
                          <w:sz w:val="24"/>
                          <w:szCs w:val="24"/>
                        </w:rPr>
                        <m:t>INF</m:t>
                      </m:r>
                    </m:e>
                    <m:sub>
                      <m:r>
                        <m:rPr>
                          <m:sty m:val="p"/>
                        </m:rPr>
                        <w:rPr>
                          <w:rFonts w:ascii="Cambria Math" w:eastAsiaTheme="minorEastAsia" w:hAnsi="Cambria Math"/>
                          <w:sz w:val="24"/>
                          <w:szCs w:val="24"/>
                        </w:rPr>
                        <m:t>t-i</m:t>
                      </m:r>
                    </m:sub>
                  </m:sSub>
                </m:e>
              </m:nary>
              <m:ctrlPr>
                <w:rPr>
                  <w:rFonts w:ascii="Cambria Math" w:eastAsia="Cambria Math" w:hAnsi="Cambria Math" w:cs="Cambria Math"/>
                  <w:i/>
                </w:rPr>
              </m:ctrlPr>
            </m:e>
            <m:e>
              <m:r>
                <m:rPr>
                  <m:sty m:val="p"/>
                </m:rPr>
                <w:rPr>
                  <w:rFonts w:ascii="Cambria Math" w:eastAsiaTheme="minorEastAsia" w:hAnsi="Cambria Math"/>
                  <w:sz w:val="24"/>
                  <w:szCs w:val="24"/>
                </w:rPr>
                <m:t>+</m:t>
              </m:r>
              <m:nary>
                <m:naryPr>
                  <m:chr m:val="∑"/>
                  <m:limLoc m:val="undOvr"/>
                  <m:ctrlPr>
                    <w:rPr>
                      <w:rFonts w:ascii="Cambria Math" w:eastAsiaTheme="minorEastAsia" w:hAnsi="Cambria Math"/>
                      <w:iCs/>
                      <w:sz w:val="24"/>
                      <w:szCs w:val="24"/>
                    </w:rPr>
                  </m:ctrlPr>
                </m:naryPr>
                <m:sub>
                  <m:r>
                    <m:rPr>
                      <m:sty m:val="p"/>
                    </m:rPr>
                    <w:rPr>
                      <w:rFonts w:ascii="Cambria Math" w:eastAsiaTheme="minorEastAsia" w:hAnsi="Cambria Math"/>
                      <w:sz w:val="24"/>
                      <w:szCs w:val="24"/>
                    </w:rPr>
                    <m:t>t=1</m:t>
                  </m:r>
                </m:sub>
                <m:sup>
                  <m:r>
                    <m:rPr>
                      <m:sty m:val="p"/>
                    </m:rPr>
                    <w:rPr>
                      <w:rFonts w:ascii="Cambria Math" w:eastAsiaTheme="minorEastAsia" w:hAnsi="Cambria Math"/>
                      <w:sz w:val="24"/>
                      <w:szCs w:val="24"/>
                    </w:rPr>
                    <m:t>ρ</m:t>
                  </m:r>
                </m:sup>
                <m:e>
                  <m:sSub>
                    <m:sSubPr>
                      <m:ctrlPr>
                        <w:rPr>
                          <w:rFonts w:ascii="Cambria Math" w:eastAsiaTheme="minorEastAsia" w:hAnsi="Cambria Math"/>
                          <w:iCs/>
                          <w:sz w:val="24"/>
                          <w:szCs w:val="24"/>
                        </w:rPr>
                      </m:ctrlPr>
                    </m:sSubPr>
                    <m:e>
                      <m:r>
                        <m:rPr>
                          <m:sty m:val="p"/>
                        </m:rPr>
                        <w:rPr>
                          <w:rFonts w:ascii="Cambria Math" w:eastAsiaTheme="minorEastAsia" w:hAnsi="Cambria Math"/>
                          <w:sz w:val="24"/>
                          <w:szCs w:val="24"/>
                        </w:rPr>
                        <m:t>α</m:t>
                      </m:r>
                    </m:e>
                    <m:sub>
                      <m:r>
                        <m:rPr>
                          <m:sty m:val="p"/>
                        </m:rPr>
                        <w:rPr>
                          <w:rFonts w:ascii="Cambria Math" w:eastAsiaTheme="minorEastAsia" w:hAnsi="Cambria Math"/>
                          <w:sz w:val="24"/>
                          <w:szCs w:val="24"/>
                        </w:rPr>
                        <m:t>4i</m:t>
                      </m:r>
                    </m:sub>
                  </m:sSub>
                  <m:sSub>
                    <m:sSubPr>
                      <m:ctrlPr>
                        <w:rPr>
                          <w:rFonts w:ascii="Cambria Math" w:eastAsiaTheme="minorEastAsia" w:hAnsi="Cambria Math"/>
                          <w:iCs/>
                          <w:sz w:val="24"/>
                          <w:szCs w:val="24"/>
                        </w:rPr>
                      </m:ctrlPr>
                    </m:sSubPr>
                    <m:e>
                      <m:r>
                        <m:rPr>
                          <m:sty m:val="p"/>
                        </m:rPr>
                        <w:rPr>
                          <w:rFonts w:ascii="Cambria Math" w:eastAsiaTheme="minorEastAsia" w:hAnsi="Cambria Math"/>
                          <w:sz w:val="24"/>
                          <w:szCs w:val="24"/>
                        </w:rPr>
                        <m:t>∆</m:t>
                      </m:r>
                      <m:r>
                        <m:rPr>
                          <m:sty m:val="p"/>
                        </m:rPr>
                        <w:rPr>
                          <w:rFonts w:ascii="Cambria Math" w:eastAsiaTheme="minorEastAsia" w:hAnsi="Cambria Math"/>
                          <w:sz w:val="24"/>
                          <w:szCs w:val="24"/>
                        </w:rPr>
                        <m:t>INFSQ</m:t>
                      </m:r>
                    </m:e>
                    <m:sub>
                      <m:r>
                        <m:rPr>
                          <m:sty m:val="p"/>
                        </m:rPr>
                        <w:rPr>
                          <w:rFonts w:ascii="Cambria Math" w:eastAsiaTheme="minorEastAsia" w:hAnsi="Cambria Math"/>
                          <w:sz w:val="24"/>
                          <w:szCs w:val="24"/>
                        </w:rPr>
                        <m:t>t-i</m:t>
                      </m:r>
                    </m:sub>
                  </m:sSub>
                </m:e>
              </m:nary>
              <m:r>
                <m:rPr>
                  <m:sty m:val="p"/>
                </m:rPr>
                <w:rPr>
                  <w:rFonts w:ascii="Cambria Math" w:eastAsiaTheme="minorEastAsia" w:hAnsi="Cambria Math"/>
                  <w:sz w:val="24"/>
                  <w:szCs w:val="24"/>
                </w:rPr>
                <m:t xml:space="preserve">+ </m:t>
              </m:r>
              <m:nary>
                <m:naryPr>
                  <m:chr m:val="∑"/>
                  <m:limLoc m:val="undOvr"/>
                  <m:ctrlPr>
                    <w:rPr>
                      <w:rFonts w:ascii="Cambria Math" w:eastAsiaTheme="minorEastAsia" w:hAnsi="Cambria Math"/>
                      <w:iCs/>
                      <w:sz w:val="24"/>
                      <w:szCs w:val="24"/>
                    </w:rPr>
                  </m:ctrlPr>
                </m:naryPr>
                <m:sub>
                  <m:r>
                    <m:rPr>
                      <m:sty m:val="p"/>
                    </m:rPr>
                    <w:rPr>
                      <w:rFonts w:ascii="Cambria Math" w:eastAsiaTheme="minorEastAsia" w:hAnsi="Cambria Math"/>
                      <w:sz w:val="24"/>
                      <w:szCs w:val="24"/>
                    </w:rPr>
                    <m:t>i=1</m:t>
                  </m:r>
                </m:sub>
                <m:sup>
                  <m:r>
                    <m:rPr>
                      <m:sty m:val="p"/>
                    </m:rPr>
                    <w:rPr>
                      <w:rFonts w:ascii="Cambria Math" w:eastAsiaTheme="minorEastAsia" w:hAnsi="Cambria Math"/>
                      <w:sz w:val="24"/>
                      <w:szCs w:val="24"/>
                    </w:rPr>
                    <m:t>ρ</m:t>
                  </m:r>
                </m:sup>
                <m:e>
                  <m:sSub>
                    <m:sSubPr>
                      <m:ctrlPr>
                        <w:rPr>
                          <w:rFonts w:ascii="Cambria Math" w:eastAsiaTheme="minorEastAsia" w:hAnsi="Cambria Math"/>
                          <w:iCs/>
                          <w:sz w:val="24"/>
                          <w:szCs w:val="24"/>
                        </w:rPr>
                      </m:ctrlPr>
                    </m:sSubPr>
                    <m:e>
                      <m:r>
                        <m:rPr>
                          <m:sty m:val="p"/>
                        </m:rPr>
                        <w:rPr>
                          <w:rFonts w:ascii="Cambria Math" w:eastAsiaTheme="minorEastAsia" w:hAnsi="Cambria Math"/>
                          <w:sz w:val="24"/>
                          <w:szCs w:val="24"/>
                        </w:rPr>
                        <m:t>α</m:t>
                      </m:r>
                    </m:e>
                    <m:sub>
                      <m:r>
                        <m:rPr>
                          <m:sty m:val="p"/>
                        </m:rPr>
                        <w:rPr>
                          <w:rFonts w:ascii="Cambria Math" w:eastAsiaTheme="minorEastAsia" w:hAnsi="Cambria Math"/>
                          <w:sz w:val="24"/>
                          <w:szCs w:val="24"/>
                        </w:rPr>
                        <m:t>5i</m:t>
                      </m:r>
                    </m:sub>
                  </m:sSub>
                  <m:sSub>
                    <m:sSubPr>
                      <m:ctrlPr>
                        <w:rPr>
                          <w:rFonts w:ascii="Cambria Math" w:eastAsiaTheme="minorEastAsia" w:hAnsi="Cambria Math"/>
                          <w:iCs/>
                          <w:sz w:val="24"/>
                          <w:szCs w:val="24"/>
                        </w:rPr>
                      </m:ctrlPr>
                    </m:sSubPr>
                    <m:e>
                      <m:r>
                        <m:rPr>
                          <m:sty m:val="p"/>
                        </m:rPr>
                        <w:rPr>
                          <w:rFonts w:ascii="Cambria Math" w:eastAsiaTheme="minorEastAsia" w:hAnsi="Cambria Math"/>
                          <w:sz w:val="24"/>
                          <w:szCs w:val="24"/>
                        </w:rPr>
                        <m:t>∆</m:t>
                      </m:r>
                      <m:r>
                        <m:rPr>
                          <m:sty m:val="p"/>
                        </m:rPr>
                        <w:rPr>
                          <w:rFonts w:ascii="Cambria Math" w:eastAsiaTheme="minorEastAsia" w:hAnsi="Cambria Math"/>
                          <w:sz w:val="24"/>
                          <w:szCs w:val="24"/>
                        </w:rPr>
                        <m:t>GDPG</m:t>
                      </m:r>
                    </m:e>
                    <m:sub>
                      <m:r>
                        <m:rPr>
                          <m:sty m:val="p"/>
                        </m:rPr>
                        <w:rPr>
                          <w:rFonts w:ascii="Cambria Math" w:eastAsiaTheme="minorEastAsia" w:hAnsi="Cambria Math"/>
                          <w:sz w:val="24"/>
                          <w:szCs w:val="24"/>
                        </w:rPr>
                        <m:t>t-i</m:t>
                      </m:r>
                    </m:sub>
                  </m:sSub>
                </m:e>
              </m:nary>
              <m:r>
                <m:rPr>
                  <m:sty m:val="p"/>
                </m:rPr>
                <w:rPr>
                  <w:rFonts w:ascii="Cambria Math" w:eastAsiaTheme="minorEastAsia" w:hAnsi="Cambria Math"/>
                  <w:sz w:val="24"/>
                  <w:szCs w:val="24"/>
                </w:rPr>
                <m:t xml:space="preserve">+  </m:t>
              </m:r>
              <m:nary>
                <m:naryPr>
                  <m:chr m:val="∑"/>
                  <m:limLoc m:val="undOvr"/>
                  <m:ctrlPr>
                    <w:rPr>
                      <w:rFonts w:ascii="Cambria Math" w:eastAsiaTheme="minorEastAsia" w:hAnsi="Cambria Math"/>
                      <w:iCs/>
                      <w:sz w:val="24"/>
                      <w:szCs w:val="24"/>
                    </w:rPr>
                  </m:ctrlPr>
                </m:naryPr>
                <m:sub>
                  <m:r>
                    <m:rPr>
                      <m:sty m:val="p"/>
                    </m:rPr>
                    <w:rPr>
                      <w:rFonts w:ascii="Cambria Math" w:eastAsiaTheme="minorEastAsia" w:hAnsi="Cambria Math"/>
                      <w:sz w:val="24"/>
                      <w:szCs w:val="24"/>
                    </w:rPr>
                    <m:t>i=1</m:t>
                  </m:r>
                </m:sub>
                <m:sup>
                  <m:r>
                    <m:rPr>
                      <m:sty m:val="p"/>
                    </m:rPr>
                    <w:rPr>
                      <w:rFonts w:ascii="Cambria Math" w:eastAsiaTheme="minorEastAsia" w:hAnsi="Cambria Math"/>
                      <w:sz w:val="24"/>
                      <w:szCs w:val="24"/>
                    </w:rPr>
                    <m:t>ρ</m:t>
                  </m:r>
                </m:sup>
                <m:e>
                  <m:sSub>
                    <m:sSubPr>
                      <m:ctrlPr>
                        <w:rPr>
                          <w:rFonts w:ascii="Cambria Math" w:eastAsiaTheme="minorEastAsia" w:hAnsi="Cambria Math"/>
                          <w:iCs/>
                          <w:sz w:val="24"/>
                          <w:szCs w:val="24"/>
                        </w:rPr>
                      </m:ctrlPr>
                    </m:sSubPr>
                    <m:e>
                      <m:r>
                        <m:rPr>
                          <m:sty m:val="p"/>
                        </m:rPr>
                        <w:rPr>
                          <w:rFonts w:ascii="Cambria Math" w:eastAsiaTheme="minorEastAsia" w:hAnsi="Cambria Math"/>
                          <w:sz w:val="24"/>
                          <w:szCs w:val="24"/>
                        </w:rPr>
                        <m:t>α</m:t>
                      </m:r>
                    </m:e>
                    <m:sub>
                      <m:r>
                        <m:rPr>
                          <m:sty m:val="p"/>
                        </m:rPr>
                        <w:rPr>
                          <w:rFonts w:ascii="Cambria Math" w:eastAsiaTheme="minorEastAsia" w:hAnsi="Cambria Math"/>
                          <w:sz w:val="24"/>
                          <w:szCs w:val="24"/>
                        </w:rPr>
                        <m:t>6i</m:t>
                      </m:r>
                    </m:sub>
                  </m:sSub>
                  <m:sSub>
                    <m:sSubPr>
                      <m:ctrlPr>
                        <w:rPr>
                          <w:rFonts w:ascii="Cambria Math" w:eastAsiaTheme="minorEastAsia" w:hAnsi="Cambria Math"/>
                          <w:iCs/>
                          <w:sz w:val="24"/>
                          <w:szCs w:val="24"/>
                        </w:rPr>
                      </m:ctrlPr>
                    </m:sSubPr>
                    <m:e>
                      <m:r>
                        <m:rPr>
                          <m:sty m:val="p"/>
                        </m:rPr>
                        <w:rPr>
                          <w:rFonts w:ascii="Cambria Math" w:eastAsiaTheme="minorEastAsia" w:hAnsi="Cambria Math"/>
                          <w:sz w:val="24"/>
                          <w:szCs w:val="24"/>
                        </w:rPr>
                        <m:t>∆</m:t>
                      </m:r>
                      <m:r>
                        <m:rPr>
                          <m:sty m:val="p"/>
                        </m:rPr>
                        <w:rPr>
                          <w:rFonts w:ascii="Cambria Math" w:eastAsiaTheme="minorEastAsia" w:hAnsi="Cambria Math"/>
                          <w:sz w:val="24"/>
                          <w:szCs w:val="24"/>
                        </w:rPr>
                        <m:t>EXR</m:t>
                      </m:r>
                    </m:e>
                    <m:sub>
                      <m:r>
                        <m:rPr>
                          <m:sty m:val="p"/>
                        </m:rPr>
                        <w:rPr>
                          <w:rFonts w:ascii="Cambria Math" w:eastAsiaTheme="minorEastAsia" w:hAnsi="Cambria Math"/>
                          <w:sz w:val="24"/>
                          <w:szCs w:val="24"/>
                        </w:rPr>
                        <m:t>t-i</m:t>
                      </m:r>
                    </m:sub>
                  </m:sSub>
                </m:e>
              </m:nary>
              <m:r>
                <m:rPr>
                  <m:sty m:val="p"/>
                </m:rPr>
                <w:rPr>
                  <w:rFonts w:ascii="Cambria Math" w:eastAsiaTheme="minorEastAsia" w:hAnsi="Cambria Math"/>
                  <w:sz w:val="24"/>
                  <w:szCs w:val="24"/>
                </w:rPr>
                <m:t xml:space="preserve">+ </m:t>
              </m:r>
              <m:sSub>
                <m:sSubPr>
                  <m:ctrlPr>
                    <w:rPr>
                      <w:rFonts w:ascii="Cambria Math" w:eastAsiaTheme="minorEastAsia" w:hAnsi="Cambria Math"/>
                      <w:iCs/>
                      <w:sz w:val="24"/>
                      <w:szCs w:val="24"/>
                    </w:rPr>
                  </m:ctrlPr>
                </m:sSubPr>
                <m:e>
                  <m:r>
                    <m:rPr>
                      <m:sty m:val="p"/>
                    </m:rPr>
                    <w:rPr>
                      <w:rFonts w:ascii="Cambria Math" w:eastAsiaTheme="minorEastAsia" w:hAnsi="Cambria Math"/>
                      <w:sz w:val="24"/>
                      <w:szCs w:val="24"/>
                    </w:rPr>
                    <m:t>∅</m:t>
                  </m:r>
                  <m:r>
                    <m:rPr>
                      <m:sty m:val="p"/>
                    </m:rPr>
                    <w:rPr>
                      <w:rFonts w:ascii="Cambria Math" w:eastAsiaTheme="minorEastAsia" w:hAnsi="Cambria Math"/>
                      <w:sz w:val="24"/>
                      <w:szCs w:val="24"/>
                    </w:rPr>
                    <m:t>ECM</m:t>
                  </m:r>
                </m:e>
                <m:sub>
                  <m:r>
                    <m:rPr>
                      <m:sty m:val="p"/>
                    </m:rPr>
                    <w:rPr>
                      <w:rFonts w:ascii="Cambria Math" w:eastAsiaTheme="minorEastAsia" w:hAnsi="Cambria Math"/>
                      <w:sz w:val="24"/>
                      <w:szCs w:val="24"/>
                    </w:rPr>
                    <m:t>t-1</m:t>
                  </m:r>
                </m:sub>
              </m:sSub>
              <m:r>
                <m:rPr>
                  <m:sty m:val="p"/>
                </m:rPr>
                <w:rPr>
                  <w:rFonts w:ascii="Cambria Math" w:eastAsiaTheme="minorEastAsia" w:hAnsi="Cambria Math"/>
                  <w:sz w:val="24"/>
                  <w:szCs w:val="24"/>
                </w:rPr>
                <m:t xml:space="preserve">+ </m:t>
              </m:r>
              <m:sSub>
                <m:sSubPr>
                  <m:ctrlPr>
                    <w:rPr>
                      <w:rFonts w:ascii="Cambria Math" w:eastAsiaTheme="minorEastAsia" w:hAnsi="Cambria Math"/>
                      <w:iCs/>
                      <w:sz w:val="24"/>
                      <w:szCs w:val="24"/>
                    </w:rPr>
                  </m:ctrlPr>
                </m:sSubPr>
                <m:e>
                  <m:r>
                    <m:rPr>
                      <m:sty m:val="p"/>
                    </m:rPr>
                    <w:rPr>
                      <w:rFonts w:ascii="Cambria Math" w:eastAsiaTheme="minorEastAsia" w:hAnsi="Cambria Math"/>
                      <w:sz w:val="24"/>
                      <w:szCs w:val="24"/>
                    </w:rPr>
                    <m:t>ε</m:t>
                  </m:r>
                </m:e>
                <m:sub>
                  <m:r>
                    <m:rPr>
                      <m:sty m:val="p"/>
                    </m:rPr>
                    <w:rPr>
                      <w:rFonts w:ascii="Cambria Math" w:eastAsiaTheme="minorEastAsia" w:hAnsi="Cambria Math"/>
                      <w:sz w:val="24"/>
                      <w:szCs w:val="24"/>
                    </w:rPr>
                    <m:t>t</m:t>
                  </m:r>
                </m:sub>
              </m:sSub>
              <m:r>
                <w:rPr>
                  <w:rFonts w:ascii="Cambria Math" w:hAnsi="Cambria Math"/>
                </w:rPr>
                <m:t xml:space="preserve"> </m:t>
              </m:r>
              <m:r>
                <w:rPr>
                  <w:rFonts w:ascii="Cambria Math" w:eastAsiaTheme="minorEastAsia" w:hAnsi="Cambria Math"/>
                  <w:sz w:val="24"/>
                  <w:szCs w:val="24"/>
                </w:rPr>
                <m:t>#</m:t>
              </m:r>
              <m:d>
                <m:dPr>
                  <m:ctrlPr>
                    <w:rPr>
                      <w:rFonts w:ascii="Cambria Math" w:hAnsi="Cambria Math"/>
                      <w:i/>
                    </w:rPr>
                  </m:ctrlPr>
                </m:dPr>
                <m:e>
                  <m:r>
                    <w:rPr>
                      <w:rFonts w:ascii="Cambria Math" w:hAnsi="Cambria Math"/>
                    </w:rPr>
                    <m:t>7</m:t>
                  </m:r>
                </m:e>
              </m:d>
              <m:ctrlPr>
                <w:rPr>
                  <w:rFonts w:ascii="Cambria Math" w:eastAsiaTheme="minorEastAsia" w:hAnsi="Cambria Math"/>
                  <w:i/>
                  <w:iCs/>
                  <w:sz w:val="24"/>
                  <w:szCs w:val="24"/>
                </w:rPr>
              </m:ctrlPr>
            </m:e>
          </m:eqArr>
        </m:oMath>
      </m:oMathPara>
    </w:p>
    <w:p w14:paraId="2EBD1C87" w14:textId="77777777" w:rsidR="00D7342B" w:rsidRPr="00697B94" w:rsidRDefault="00D7342B" w:rsidP="00D7342B">
      <w:pPr>
        <w:spacing w:before="120" w:after="120"/>
      </w:pPr>
    </w:p>
    <w:p w14:paraId="27FC448E" w14:textId="77777777" w:rsidR="00D7342B" w:rsidRPr="00697B94" w:rsidRDefault="00D7342B" w:rsidP="00D7342B">
      <w:pPr>
        <w:spacing w:before="120" w:after="120"/>
      </w:pPr>
      <w:r w:rsidRPr="00697B94">
        <w:t xml:space="preserve">where </w:t>
      </w:r>
      <w:r w:rsidRPr="00697B94">
        <w:rPr>
          <w:rFonts w:ascii="Cambria Math" w:hAnsi="Cambria Math" w:cs="Cambria Math"/>
        </w:rPr>
        <w:t>∅</w:t>
      </w:r>
      <w:r w:rsidRPr="00697B94">
        <w:t xml:space="preserve"> is the speed at which the parameter adjusts to long-run equilibrium after a system shock and </w:t>
      </w:r>
      <m:oMath>
        <m:sSub>
          <m:sSubPr>
            <m:ctrlPr>
              <w:rPr>
                <w:rFonts w:ascii="Cambria Math" w:eastAsiaTheme="minorEastAsia" w:hAnsi="Cambria Math"/>
                <w:i/>
                <w:sz w:val="24"/>
                <w:szCs w:val="24"/>
              </w:rPr>
            </m:ctrlPr>
          </m:sSubPr>
          <m:e>
            <m:r>
              <w:rPr>
                <w:rFonts w:ascii="Cambria Math" w:eastAsiaTheme="minorEastAsia" w:hAnsi="Cambria Math"/>
                <w:sz w:val="24"/>
                <w:szCs w:val="24"/>
              </w:rPr>
              <m:t>ECM</m:t>
            </m:r>
          </m:e>
          <m:sub>
            <m:r>
              <w:rPr>
                <w:rFonts w:ascii="Cambria Math" w:eastAsiaTheme="minorEastAsia" w:hAnsi="Cambria Math"/>
                <w:sz w:val="24"/>
                <w:szCs w:val="24"/>
              </w:rPr>
              <m:t>t-1</m:t>
            </m:r>
          </m:sub>
        </m:sSub>
        <m:r>
          <w:rPr>
            <w:rFonts w:ascii="Cambria Math" w:hAnsi="Cambria Math"/>
          </w:rPr>
          <m:t xml:space="preserve"> </m:t>
        </m:r>
      </m:oMath>
      <w:r w:rsidRPr="00697B94">
        <w:t xml:space="preserve">is the Error Correction Model?  </w:t>
      </w:r>
    </w:p>
    <w:p w14:paraId="13DEC971" w14:textId="77777777" w:rsidR="00D7342B" w:rsidRPr="00697B94" w:rsidRDefault="00D7342B" w:rsidP="00D7342B">
      <w:pPr>
        <w:spacing w:before="120" w:after="120"/>
      </w:pPr>
    </w:p>
    <w:p w14:paraId="64E29CF6" w14:textId="77777777" w:rsidR="00D7342B" w:rsidRPr="00697B94" w:rsidRDefault="00D7342B" w:rsidP="00D7342B">
      <w:pPr>
        <w:spacing w:before="120" w:after="120"/>
        <w:rPr>
          <w:b/>
          <w:bCs/>
        </w:rPr>
      </w:pPr>
      <w:r w:rsidRPr="00697B94">
        <w:rPr>
          <w:b/>
          <w:bCs/>
        </w:rPr>
        <w:t>3.5</w:t>
      </w:r>
      <w:r w:rsidR="00F3174D" w:rsidRPr="00697B94">
        <w:rPr>
          <w:b/>
          <w:bCs/>
        </w:rPr>
        <w:t xml:space="preserve"> </w:t>
      </w:r>
      <w:r w:rsidRPr="00697B94">
        <w:rPr>
          <w:b/>
          <w:bCs/>
        </w:rPr>
        <w:t xml:space="preserve">Granger Causality </w:t>
      </w:r>
    </w:p>
    <w:p w14:paraId="64AC69F3" w14:textId="77777777" w:rsidR="00D7342B" w:rsidRPr="00697B94" w:rsidRDefault="00D7342B" w:rsidP="00D7342B">
      <w:pPr>
        <w:spacing w:before="120" w:after="120"/>
      </w:pPr>
      <w:r w:rsidRPr="00697B94">
        <w:t>The cointegration technique can only determine if there is a relationship between the variables; it cannot determine causality. Thus, it's possible that the variables may have a one-way or two-way causal relationship.  Therefore, to check for the direction or course of causality, we needed to use a causality test technique. The Granger representation theorem (Engle and Granger, 1987) suggests the direction of causality of two or more variables when they are cointegrated with the error correction being used. Hence, to identify the direction of causality between the variables of interest; domestic investment (dependent variable) and foreign direct investment (independent variable), we can frame the model as follows:</w:t>
      </w:r>
    </w:p>
    <w:p w14:paraId="45696E49" w14:textId="77777777" w:rsidR="00D7342B" w:rsidRPr="00697B94" w:rsidRDefault="00C70D95" w:rsidP="00D7342B">
      <w:pPr>
        <w:spacing w:before="120" w:after="120"/>
        <w:rPr>
          <w:sz w:val="24"/>
          <w:szCs w:val="24"/>
        </w:rPr>
      </w:pPr>
      <m:oMathPara>
        <m:oMath>
          <m:eqArr>
            <m:eqArrPr>
              <m:maxDist m:val="1"/>
              <m:ctrlPr>
                <w:rPr>
                  <w:rFonts w:ascii="Cambria Math" w:hAnsi="Cambria Math"/>
                  <w:i/>
                </w:rPr>
              </m:ctrlPr>
            </m:eqArrPr>
            <m:e>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t</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α</m:t>
                  </m:r>
                </m:e>
                <m:sub>
                  <m:r>
                    <w:rPr>
                      <w:rFonts w:ascii="Cambria Math" w:eastAsiaTheme="minorEastAsia" w:hAnsi="Cambria Math"/>
                      <w:sz w:val="24"/>
                      <w:szCs w:val="24"/>
                    </w:rPr>
                    <m:t>0</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α</m:t>
                  </m:r>
                </m:e>
                <m:sub>
                  <m:r>
                    <w:rPr>
                      <w:rFonts w:ascii="Cambria Math" w:eastAsiaTheme="minorEastAsia" w:hAnsi="Cambria Math"/>
                      <w:sz w:val="24"/>
                      <w:szCs w:val="24"/>
                    </w:rPr>
                    <m:t>1</m:t>
                  </m:r>
                </m:sub>
              </m:sSub>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t</m:t>
                  </m:r>
                  <m:r>
                    <w:rPr>
                      <w:rFonts w:ascii="Cambria Math" w:eastAsiaTheme="minorEastAsia" w:hAnsi="Cambria Math"/>
                      <w:sz w:val="24"/>
                      <w:szCs w:val="24"/>
                    </w:rPr>
                    <m:t>-</m:t>
                  </m:r>
                  <m:r>
                    <w:rPr>
                      <w:rFonts w:ascii="Cambria Math" w:eastAsiaTheme="minorEastAsia" w:hAnsi="Cambria Math"/>
                      <w:sz w:val="24"/>
                      <w:szCs w:val="24"/>
                    </w:rPr>
                    <m:t>1</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α</m:t>
                  </m:r>
                </m:e>
                <m:sub>
                  <m:r>
                    <w:rPr>
                      <w:rFonts w:ascii="Cambria Math" w:eastAsiaTheme="minorEastAsia" w:hAnsi="Cambria Math"/>
                      <w:sz w:val="24"/>
                      <w:szCs w:val="24"/>
                    </w:rPr>
                    <m:t>p</m:t>
                  </m:r>
                </m:sub>
              </m:sSub>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t</m:t>
                  </m:r>
                  <m:r>
                    <w:rPr>
                      <w:rFonts w:ascii="Cambria Math" w:eastAsiaTheme="minorEastAsia" w:hAnsi="Cambria Math"/>
                      <w:sz w:val="24"/>
                      <w:szCs w:val="24"/>
                    </w:rPr>
                    <m:t>-</m:t>
                  </m:r>
                  <m:r>
                    <w:rPr>
                      <w:rFonts w:ascii="Cambria Math" w:eastAsiaTheme="minorEastAsia" w:hAnsi="Cambria Math"/>
                      <w:sz w:val="24"/>
                      <w:szCs w:val="24"/>
                    </w:rPr>
                    <m:t>p</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1</m:t>
                  </m:r>
                </m:sub>
              </m:sSub>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t</m:t>
                  </m:r>
                  <m:r>
                    <w:rPr>
                      <w:rFonts w:ascii="Cambria Math" w:eastAsiaTheme="minorEastAsia" w:hAnsi="Cambria Math"/>
                      <w:sz w:val="24"/>
                      <w:szCs w:val="24"/>
                    </w:rPr>
                    <m:t>-</m:t>
                  </m:r>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p</m:t>
                  </m:r>
                </m:sub>
              </m:sSub>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t</m:t>
                  </m:r>
                  <m:r>
                    <w:rPr>
                      <w:rFonts w:ascii="Cambria Math" w:eastAsiaTheme="minorEastAsia" w:hAnsi="Cambria Math"/>
                      <w:sz w:val="24"/>
                      <w:szCs w:val="24"/>
                    </w:rPr>
                    <m:t>-</m:t>
                  </m:r>
                  <m:r>
                    <w:rPr>
                      <w:rFonts w:ascii="Cambria Math" w:eastAsiaTheme="minorEastAsia" w:hAnsi="Cambria Math"/>
                      <w:sz w:val="24"/>
                      <w:szCs w:val="24"/>
                    </w:rPr>
                    <m:t>p</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1,</m:t>
                  </m:r>
                  <m:r>
                    <w:rPr>
                      <w:rFonts w:ascii="Cambria Math" w:eastAsiaTheme="minorEastAsia" w:hAnsi="Cambria Math"/>
                      <w:sz w:val="24"/>
                      <w:szCs w:val="24"/>
                    </w:rPr>
                    <m:t>t</m:t>
                  </m:r>
                </m:sub>
              </m:sSub>
              <m:r>
                <w:rPr>
                  <w:rFonts w:ascii="Cambria Math" w:hAnsi="Cambria Math"/>
                </w:rPr>
                <m:t xml:space="preserve"> </m:t>
              </m:r>
              <m:r>
                <w:rPr>
                  <w:rFonts w:ascii="Cambria Math" w:eastAsiaTheme="minorEastAsia" w:hAnsi="Cambria Math"/>
                  <w:sz w:val="24"/>
                  <w:szCs w:val="24"/>
                </w:rPr>
                <m:t>#</m:t>
              </m:r>
              <m:d>
                <m:dPr>
                  <m:ctrlPr>
                    <w:rPr>
                      <w:rFonts w:ascii="Cambria Math" w:hAnsi="Cambria Math"/>
                      <w:i/>
                    </w:rPr>
                  </m:ctrlPr>
                </m:dPr>
                <m:e>
                  <m:r>
                    <w:rPr>
                      <w:rFonts w:ascii="Cambria Math" w:hAnsi="Cambria Math"/>
                    </w:rPr>
                    <m:t>8</m:t>
                  </m:r>
                </m:e>
              </m:d>
              <m:ctrlPr>
                <w:rPr>
                  <w:rFonts w:ascii="Cambria Math" w:eastAsiaTheme="minorEastAsia" w:hAnsi="Cambria Math"/>
                  <w:i/>
                  <w:sz w:val="24"/>
                  <w:szCs w:val="24"/>
                </w:rPr>
              </m:ctrlPr>
            </m:e>
          </m:eqArr>
        </m:oMath>
      </m:oMathPara>
    </w:p>
    <w:p w14:paraId="78B8CCA5" w14:textId="77777777" w:rsidR="00A27DB9" w:rsidRPr="00697B94" w:rsidRDefault="00C70D95" w:rsidP="00D7342B">
      <w:pPr>
        <w:spacing w:before="120" w:after="120"/>
        <w:rPr>
          <w:sz w:val="24"/>
          <w:szCs w:val="24"/>
        </w:rPr>
      </w:pPr>
      <m:oMathPara>
        <m:oMath>
          <m:eqArr>
            <m:eqArrPr>
              <m:maxDist m:val="1"/>
              <m:ctrlPr>
                <w:rPr>
                  <w:rFonts w:ascii="Cambria Math" w:hAnsi="Cambria Math"/>
                  <w:i/>
                </w:rPr>
              </m:ctrlPr>
            </m:eqArrPr>
            <m:e>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t</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γ</m:t>
                  </m:r>
                </m:e>
                <m:sub>
                  <m:r>
                    <w:rPr>
                      <w:rFonts w:ascii="Cambria Math" w:eastAsiaTheme="minorEastAsia" w:hAnsi="Cambria Math"/>
                      <w:sz w:val="24"/>
                      <w:szCs w:val="24"/>
                    </w:rPr>
                    <m:t>0</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γ</m:t>
                  </m:r>
                </m:e>
                <m:sub>
                  <m:r>
                    <w:rPr>
                      <w:rFonts w:ascii="Cambria Math" w:eastAsiaTheme="minorEastAsia" w:hAnsi="Cambria Math"/>
                      <w:sz w:val="24"/>
                      <w:szCs w:val="24"/>
                    </w:rPr>
                    <m:t>1</m:t>
                  </m:r>
                </m:sub>
              </m:sSub>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t</m:t>
                  </m:r>
                  <m:r>
                    <w:rPr>
                      <w:rFonts w:ascii="Cambria Math" w:eastAsiaTheme="minorEastAsia" w:hAnsi="Cambria Math"/>
                      <w:sz w:val="24"/>
                      <w:szCs w:val="24"/>
                    </w:rPr>
                    <m:t>-</m:t>
                  </m:r>
                  <m:r>
                    <w:rPr>
                      <w:rFonts w:ascii="Cambria Math" w:eastAsiaTheme="minorEastAsia" w:hAnsi="Cambria Math"/>
                      <w:sz w:val="24"/>
                      <w:szCs w:val="24"/>
                    </w:rPr>
                    <m:t>1</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γ</m:t>
                  </m:r>
                </m:e>
                <m:sub>
                  <m:r>
                    <w:rPr>
                      <w:rFonts w:ascii="Cambria Math" w:eastAsiaTheme="minorEastAsia" w:hAnsi="Cambria Math"/>
                      <w:sz w:val="24"/>
                      <w:szCs w:val="24"/>
                    </w:rPr>
                    <m:t>p</m:t>
                  </m:r>
                </m:sub>
              </m:sSub>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t</m:t>
                  </m:r>
                  <m:r>
                    <w:rPr>
                      <w:rFonts w:ascii="Cambria Math" w:eastAsiaTheme="minorEastAsia" w:hAnsi="Cambria Math"/>
                      <w:sz w:val="24"/>
                      <w:szCs w:val="24"/>
                    </w:rPr>
                    <m:t>-</m:t>
                  </m:r>
                  <m:r>
                    <w:rPr>
                      <w:rFonts w:ascii="Cambria Math" w:eastAsiaTheme="minorEastAsia" w:hAnsi="Cambria Math"/>
                      <w:sz w:val="24"/>
                      <w:szCs w:val="24"/>
                    </w:rPr>
                    <m:t>p</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δ</m:t>
                  </m:r>
                </m:e>
                <m:sub>
                  <m:r>
                    <w:rPr>
                      <w:rFonts w:ascii="Cambria Math" w:eastAsiaTheme="minorEastAsia" w:hAnsi="Cambria Math"/>
                      <w:sz w:val="24"/>
                      <w:szCs w:val="24"/>
                    </w:rPr>
                    <m:t>1</m:t>
                  </m:r>
                </m:sub>
              </m:sSub>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t</m:t>
                  </m:r>
                  <m:r>
                    <w:rPr>
                      <w:rFonts w:ascii="Cambria Math" w:eastAsiaTheme="minorEastAsia" w:hAnsi="Cambria Math"/>
                      <w:sz w:val="24"/>
                      <w:szCs w:val="24"/>
                    </w:rPr>
                    <m:t>-</m:t>
                  </m:r>
                  <m:r>
                    <w:rPr>
                      <w:rFonts w:ascii="Cambria Math" w:eastAsiaTheme="minorEastAsia" w:hAnsi="Cambria Math"/>
                      <w:sz w:val="24"/>
                      <w:szCs w:val="24"/>
                    </w:rPr>
                    <m:t>1</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δ</m:t>
                  </m:r>
                </m:e>
                <m:sub>
                  <m:r>
                    <w:rPr>
                      <w:rFonts w:ascii="Cambria Math" w:eastAsiaTheme="minorEastAsia" w:hAnsi="Cambria Math"/>
                      <w:sz w:val="24"/>
                      <w:szCs w:val="24"/>
                    </w:rPr>
                    <m:t>p</m:t>
                  </m:r>
                </m:sub>
              </m:sSub>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t</m:t>
                  </m:r>
                  <m:r>
                    <w:rPr>
                      <w:rFonts w:ascii="Cambria Math" w:eastAsiaTheme="minorEastAsia" w:hAnsi="Cambria Math"/>
                      <w:sz w:val="24"/>
                      <w:szCs w:val="24"/>
                    </w:rPr>
                    <m:t>-</m:t>
                  </m:r>
                  <m:r>
                    <w:rPr>
                      <w:rFonts w:ascii="Cambria Math" w:eastAsiaTheme="minorEastAsia" w:hAnsi="Cambria Math"/>
                      <w:sz w:val="24"/>
                      <w:szCs w:val="24"/>
                    </w:rPr>
                    <m:t>p</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2,</m:t>
                  </m:r>
                  <m:r>
                    <w:rPr>
                      <w:rFonts w:ascii="Cambria Math" w:eastAsiaTheme="minorEastAsia" w:hAnsi="Cambria Math"/>
                      <w:sz w:val="24"/>
                      <w:szCs w:val="24"/>
                    </w:rPr>
                    <m:t>t</m:t>
                  </m:r>
                </m:sub>
              </m:sSub>
              <m:r>
                <w:rPr>
                  <w:rFonts w:ascii="Cambria Math" w:hAnsi="Cambria Math"/>
                </w:rPr>
                <m:t xml:space="preserve"> </m:t>
              </m:r>
              <m:r>
                <w:rPr>
                  <w:rFonts w:ascii="Cambria Math" w:eastAsiaTheme="minorEastAsia" w:hAnsi="Cambria Math"/>
                  <w:sz w:val="24"/>
                  <w:szCs w:val="24"/>
                </w:rPr>
                <m:t>#</m:t>
              </m:r>
              <m:d>
                <m:dPr>
                  <m:ctrlPr>
                    <w:rPr>
                      <w:rFonts w:ascii="Cambria Math" w:hAnsi="Cambria Math"/>
                      <w:i/>
                    </w:rPr>
                  </m:ctrlPr>
                </m:dPr>
                <m:e>
                  <m:r>
                    <w:rPr>
                      <w:rFonts w:ascii="Cambria Math" w:hAnsi="Cambria Math"/>
                    </w:rPr>
                    <m:t>9</m:t>
                  </m:r>
                </m:e>
              </m:d>
              <m:ctrlPr>
                <w:rPr>
                  <w:rFonts w:ascii="Cambria Math" w:eastAsiaTheme="minorEastAsia" w:hAnsi="Cambria Math"/>
                  <w:i/>
                  <w:sz w:val="24"/>
                  <w:szCs w:val="24"/>
                </w:rPr>
              </m:ctrlPr>
            </m:e>
          </m:eqArr>
        </m:oMath>
      </m:oMathPara>
    </w:p>
    <w:p w14:paraId="648FC5E2" w14:textId="63156CB4" w:rsidR="00D7342B" w:rsidRPr="00697B94" w:rsidRDefault="00D7342B" w:rsidP="00D7342B">
      <w:pPr>
        <w:spacing w:before="120" w:after="120"/>
      </w:pPr>
      <w:r w:rsidRPr="00697B94">
        <w:t xml:space="preserve">where </w:t>
      </w:r>
      <m:oMath>
        <m:r>
          <m:rPr>
            <m:sty m:val="p"/>
          </m:rP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α</m:t>
            </m:r>
          </m:e>
          <m:sub>
            <m:r>
              <w:rPr>
                <w:rFonts w:ascii="Cambria Math" w:eastAsiaTheme="minorEastAsia" w:hAnsi="Cambria Math"/>
                <w:sz w:val="24"/>
                <w:szCs w:val="24"/>
              </w:rPr>
              <m:t>1</m:t>
            </m:r>
          </m:sub>
        </m:sSub>
        <m:r>
          <m:rPr>
            <m:sty m:val="p"/>
          </m:rPr>
          <w:rPr>
            <w:rFonts w:ascii="Cambria Math" w:eastAsiaTheme="minorEastAsia" w:hAnsi="Cambria Math"/>
            <w:sz w:val="24"/>
            <w:szCs w:val="24"/>
          </w:rPr>
          <m:t xml:space="preserve"> to </m:t>
        </m:r>
        <m:sSub>
          <m:sSubPr>
            <m:ctrlPr>
              <w:rPr>
                <w:rFonts w:ascii="Cambria Math" w:eastAsiaTheme="minorEastAsia" w:hAnsi="Cambria Math"/>
                <w:i/>
                <w:sz w:val="24"/>
                <w:szCs w:val="24"/>
              </w:rPr>
            </m:ctrlPr>
          </m:sSubPr>
          <m:e>
            <m:r>
              <w:rPr>
                <w:rFonts w:ascii="Cambria Math" w:eastAsiaTheme="minorEastAsia" w:hAnsi="Cambria Math"/>
                <w:sz w:val="24"/>
                <w:szCs w:val="24"/>
              </w:rPr>
              <m:t>α</m:t>
            </m:r>
          </m:e>
          <m:sub>
            <m:r>
              <w:rPr>
                <w:rFonts w:ascii="Cambria Math" w:eastAsiaTheme="minorEastAsia" w:hAnsi="Cambria Math"/>
                <w:sz w:val="24"/>
                <w:szCs w:val="24"/>
              </w:rPr>
              <m:t>p</m:t>
            </m:r>
          </m:sub>
        </m:sSub>
        <m:r>
          <m:rPr>
            <m:sty m:val="p"/>
          </m:rPr>
          <w:rPr>
            <w:rFonts w:ascii="Cambria Math" w:eastAsiaTheme="minorEastAsia" w:hAnsi="Cambria Math"/>
            <w:sz w:val="24"/>
            <w:szCs w:val="24"/>
          </w:rPr>
          <m:t xml:space="preserve">and </m:t>
        </m:r>
        <m:sSub>
          <m:sSubPr>
            <m:ctrlPr>
              <w:rPr>
                <w:rFonts w:ascii="Cambria Math" w:eastAsiaTheme="minorEastAsia" w:hAnsi="Cambria Math"/>
                <w:i/>
                <w:sz w:val="24"/>
                <w:szCs w:val="24"/>
              </w:rPr>
            </m:ctrlPr>
          </m:sSubPr>
          <m:e>
            <m:r>
              <w:rPr>
                <w:rFonts w:ascii="Cambria Math" w:eastAsiaTheme="minorEastAsia" w:hAnsi="Cambria Math"/>
                <w:sz w:val="24"/>
                <w:szCs w:val="24"/>
              </w:rPr>
              <m:t>γ</m:t>
            </m:r>
          </m:e>
          <m:sub>
            <m:r>
              <w:rPr>
                <w:rFonts w:ascii="Cambria Math" w:eastAsiaTheme="minorEastAsia" w:hAnsi="Cambria Math"/>
                <w:sz w:val="24"/>
                <w:szCs w:val="24"/>
              </w:rPr>
              <m:t>1</m:t>
            </m:r>
          </m:sub>
        </m:sSub>
        <m:r>
          <m:rPr>
            <m:sty m:val="p"/>
          </m:rPr>
          <w:rPr>
            <w:rFonts w:ascii="Cambria Math" w:eastAsiaTheme="minorEastAsia" w:hAnsi="Cambria Math"/>
            <w:sz w:val="24"/>
            <w:szCs w:val="24"/>
          </w:rPr>
          <m:t xml:space="preserve"> to </m:t>
        </m:r>
        <m:sSub>
          <m:sSubPr>
            <m:ctrlPr>
              <w:rPr>
                <w:rFonts w:ascii="Cambria Math" w:eastAsiaTheme="minorEastAsia" w:hAnsi="Cambria Math"/>
                <w:i/>
                <w:sz w:val="24"/>
                <w:szCs w:val="24"/>
              </w:rPr>
            </m:ctrlPr>
          </m:sSubPr>
          <m:e>
            <m:r>
              <w:rPr>
                <w:rFonts w:ascii="Cambria Math" w:eastAsiaTheme="minorEastAsia" w:hAnsi="Cambria Math"/>
                <w:sz w:val="24"/>
                <w:szCs w:val="24"/>
              </w:rPr>
              <m:t>γ</m:t>
            </m:r>
          </m:e>
          <m:sub>
            <m:r>
              <w:rPr>
                <w:rFonts w:ascii="Cambria Math" w:eastAsiaTheme="minorEastAsia" w:hAnsi="Cambria Math"/>
                <w:sz w:val="24"/>
                <w:szCs w:val="24"/>
              </w:rPr>
              <m:t>p</m:t>
            </m:r>
          </m:sub>
        </m:sSub>
      </m:oMath>
      <w:r w:rsidR="00186EC2" w:rsidRPr="00697B94">
        <w:t xml:space="preserve"> </w:t>
      </w:r>
      <w:r w:rsidRPr="00697B94">
        <w:t xml:space="preserve">are coefficients for </w:t>
      </w:r>
      <w:r w:rsidR="00697B94" w:rsidRPr="00697B94">
        <w:t>the lagged</w:t>
      </w:r>
      <w:r w:rsidRPr="00697B94">
        <w:t xml:space="preserve"> dependent variables,</w:t>
      </w:r>
      <w:r w:rsidR="00186EC2" w:rsidRPr="00697B94">
        <w:t xml:space="preserve"> </w:t>
      </w:r>
      <w:r w:rsidRPr="00697B94">
        <w:t>and</w:t>
      </w:r>
      <w:r w:rsidR="00186EC2" w:rsidRPr="00697B94">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1</m:t>
            </m:r>
          </m:sub>
        </m:sSub>
      </m:oMath>
      <w:r w:rsidR="00186EC2" w:rsidRPr="00697B94">
        <w:rPr>
          <w:rFonts w:ascii="Helv" w:eastAsiaTheme="minorEastAsia" w:hAnsi="Helv"/>
          <w:sz w:val="24"/>
          <w:szCs w:val="24"/>
        </w:rPr>
        <w:t xml:space="preserve"> to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p</m:t>
            </m:r>
          </m:sub>
        </m:sSub>
      </m:oMath>
      <w:r w:rsidR="00186EC2" w:rsidRPr="00697B94">
        <w:rPr>
          <w:rFonts w:ascii="Helv" w:eastAsiaTheme="minorEastAsia" w:hAnsi="Helv"/>
          <w:sz w:val="24"/>
          <w:szCs w:val="24"/>
        </w:rPr>
        <w:t xml:space="preserve"> and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δ</m:t>
            </m:r>
          </m:e>
          <m:sub>
            <m:r>
              <w:rPr>
                <w:rFonts w:ascii="Cambria Math" w:eastAsiaTheme="minorEastAsia" w:hAnsi="Cambria Math"/>
                <w:sz w:val="24"/>
                <w:szCs w:val="24"/>
              </w:rPr>
              <m:t>1</m:t>
            </m:r>
          </m:sub>
        </m:sSub>
      </m:oMath>
      <w:r w:rsidR="00186EC2" w:rsidRPr="00697B94">
        <w:rPr>
          <w:rFonts w:ascii="Helv" w:eastAsiaTheme="minorEastAsia" w:hAnsi="Helv"/>
          <w:sz w:val="24"/>
          <w:szCs w:val="24"/>
        </w:rPr>
        <w:t xml:space="preserve"> to</w:t>
      </w:r>
      <w:r w:rsidR="00697B94">
        <w:rPr>
          <w:rFonts w:ascii="Helv" w:eastAsiaTheme="minorEastAsia" w:hAnsi="Helv"/>
          <w:color w:val="FFFFFF" w:themeColor="background1"/>
          <w:sz w:val="24"/>
          <w:szCs w:val="24"/>
          <w:vertAlign w:val="superscript"/>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δ</m:t>
            </m:r>
          </m:e>
          <m:sub>
            <m:r>
              <w:rPr>
                <w:rFonts w:ascii="Cambria Math" w:eastAsiaTheme="minorEastAsia" w:hAnsi="Cambria Math"/>
                <w:sz w:val="24"/>
                <w:szCs w:val="24"/>
              </w:rPr>
              <m:t>p</m:t>
            </m:r>
          </m:sub>
        </m:sSub>
      </m:oMath>
      <w:r w:rsidRPr="00697B94">
        <w:t xml:space="preserve"> are coefficients for the</w:t>
      </w:r>
      <w:r w:rsidR="00186EC2" w:rsidRPr="00697B94">
        <w:t xml:space="preserve"> </w:t>
      </w:r>
      <w:r w:rsidRPr="00697B94">
        <w:t>lagged independent</w:t>
      </w:r>
      <w:r w:rsidR="00186EC2" w:rsidRPr="00697B94">
        <w:t xml:space="preserve"> </w:t>
      </w:r>
      <w:r w:rsidRPr="00697B94">
        <w:t>variables.</w:t>
      </w:r>
      <w:r w:rsidR="00186EC2" w:rsidRPr="00697B94">
        <w:t xml:space="preserve"> </w:t>
      </w:r>
      <w:r w:rsidRPr="00697B94">
        <w:t>First, for both</w:t>
      </w:r>
      <w:r w:rsidR="00186EC2" w:rsidRPr="00697B94">
        <w:t xml:space="preserve"> </w:t>
      </w:r>
      <w:r w:rsidRPr="00697B94">
        <w:t>time series,</w:t>
      </w:r>
      <w:r w:rsidR="00186EC2" w:rsidRPr="00697B94">
        <w:t xml:space="preserve"> </w:t>
      </w:r>
      <w:r w:rsidRPr="00697B94">
        <w:t>we took the maximum</w:t>
      </w:r>
      <w:r w:rsidR="00186EC2" w:rsidRPr="00697B94">
        <w:t xml:space="preserve"> </w:t>
      </w:r>
      <w:r w:rsidRPr="00697B94">
        <w:t>order of integration</w:t>
      </w:r>
      <w:r w:rsidR="00186EC2" w:rsidRPr="00697B94">
        <w:t xml:space="preserve"> </w:t>
      </w:r>
      <w:r w:rsidRPr="00697B94">
        <w:t>(d); second, we picked the</w:t>
      </w:r>
      <w:r w:rsidR="00186EC2" w:rsidRPr="00697B94">
        <w:t xml:space="preserve"> </w:t>
      </w:r>
      <w:r w:rsidRPr="00697B94">
        <w:t>maximum number of lags</w:t>
      </w:r>
      <w:r w:rsidR="00186EC2" w:rsidRPr="00697B94">
        <w:t xml:space="preserve"> </w:t>
      </w:r>
      <w:r w:rsidRPr="00697B94">
        <w:t>by using the vector autoregression</w:t>
      </w:r>
      <w:r w:rsidR="00186EC2" w:rsidRPr="00697B94">
        <w:t xml:space="preserve"> </w:t>
      </w:r>
      <w:r w:rsidRPr="00697B94">
        <w:t>(VAR) lag selection</w:t>
      </w:r>
      <w:r w:rsidR="00186EC2" w:rsidRPr="00697B94">
        <w:t xml:space="preserve"> </w:t>
      </w:r>
      <w:r w:rsidRPr="00697B94">
        <w:t>technique; and,</w:t>
      </w:r>
      <w:r w:rsidR="00186EC2" w:rsidRPr="00697B94">
        <w:t xml:space="preserve"> </w:t>
      </w:r>
      <w:r w:rsidRPr="00697B94">
        <w:t>third, we added the maximum order of integration</w:t>
      </w:r>
      <w:r w:rsidR="00186EC2" w:rsidRPr="00697B94">
        <w:t xml:space="preserve"> </w:t>
      </w:r>
      <w:r w:rsidRPr="00697B94">
        <w:t>(d)</w:t>
      </w:r>
      <w:r w:rsidR="00186EC2" w:rsidRPr="00697B94">
        <w:t xml:space="preserve"> </w:t>
      </w:r>
      <w:r w:rsidRPr="00697B94">
        <w:t>for both series to</w:t>
      </w:r>
      <w:r w:rsidR="00186EC2" w:rsidRPr="00697B94">
        <w:t xml:space="preserve"> </w:t>
      </w:r>
      <w:r w:rsidRPr="00697B94">
        <w:t>the lags selected</w:t>
      </w:r>
      <w:r w:rsidR="00186EC2" w:rsidRPr="00697B94">
        <w:t xml:space="preserve"> </w:t>
      </w:r>
      <w:r w:rsidRPr="00697B94">
        <w:t>by the</w:t>
      </w:r>
      <w:r w:rsidR="00186EC2" w:rsidRPr="00697B94">
        <w:t xml:space="preserve"> </w:t>
      </w:r>
      <w:r w:rsidRPr="00697B94">
        <w:t>VAR technique to obtain</w:t>
      </w:r>
      <w:r w:rsidR="00186EC2" w:rsidRPr="00697B94">
        <w:t xml:space="preserve"> </w:t>
      </w:r>
      <w:r w:rsidRPr="00697B94">
        <w:t>the total number</w:t>
      </w:r>
      <w:r w:rsidR="00186EC2" w:rsidRPr="00697B94">
        <w:t xml:space="preserve"> </w:t>
      </w:r>
      <w:r w:rsidRPr="00697B94">
        <w:t>of lags to be used while</w:t>
      </w:r>
      <w:r w:rsidR="00186EC2" w:rsidRPr="00697B94">
        <w:t xml:space="preserve"> </w:t>
      </w:r>
      <w:r w:rsidRPr="00697B94">
        <w:t>applying the Granger</w:t>
      </w:r>
      <w:r w:rsidR="00186EC2" w:rsidRPr="00697B94">
        <w:t xml:space="preserve"> </w:t>
      </w:r>
      <w:r w:rsidRPr="00697B94">
        <w:t>Causality technique</w:t>
      </w:r>
      <w:r w:rsidR="00F3174D" w:rsidRPr="00697B94">
        <w:t xml:space="preserve"> </w:t>
      </w:r>
      <w:r w:rsidRPr="00697B94">
        <w:t>(Granger, 1969).</w:t>
      </w:r>
      <w:r w:rsidR="00F3174D" w:rsidRPr="00697B94">
        <w:t xml:space="preserve"> </w:t>
      </w:r>
      <w:r w:rsidRPr="00697B94">
        <w:t xml:space="preserve">The following hypotheses will be tested: </w:t>
      </w:r>
    </w:p>
    <w:p w14:paraId="7AA75753" w14:textId="77777777" w:rsidR="00F3174D" w:rsidRPr="00697B94" w:rsidRDefault="00C70D95" w:rsidP="00D7342B">
      <w:pPr>
        <w:spacing w:before="120" w:after="120"/>
      </w:pPr>
      <m:oMath>
        <m:sSub>
          <m:sSubPr>
            <m:ctrlPr>
              <w:rPr>
                <w:rFonts w:ascii="Cambria Math" w:eastAsiaTheme="minorEastAsia" w:hAnsi="Cambria Math"/>
                <w:i/>
                <w:sz w:val="24"/>
                <w:szCs w:val="24"/>
              </w:rPr>
            </m:ctrlPr>
          </m:sSubPr>
          <m:e>
            <m:r>
              <w:rPr>
                <w:rFonts w:ascii="Cambria Math" w:eastAsiaTheme="minorEastAsia" w:hAnsi="Cambria Math"/>
                <w:sz w:val="24"/>
                <w:szCs w:val="24"/>
              </w:rPr>
              <m:t>H</m:t>
            </m:r>
          </m:e>
          <m:sub>
            <m:r>
              <w:rPr>
                <w:rFonts w:ascii="Cambria Math" w:eastAsiaTheme="minorEastAsia" w:hAnsi="Cambria Math"/>
                <w:sz w:val="24"/>
                <w:szCs w:val="24"/>
              </w:rPr>
              <m:t>0</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1</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p</m:t>
            </m:r>
          </m:sub>
        </m:sSub>
        <m:r>
          <w:rPr>
            <w:rFonts w:ascii="Cambria Math" w:eastAsiaTheme="minorEastAsia" w:hAnsi="Cambria Math"/>
            <w:sz w:val="24"/>
            <w:szCs w:val="24"/>
          </w:rPr>
          <m:t xml:space="preserve">=0 </m:t>
        </m:r>
      </m:oMath>
      <w:r w:rsidR="00D7342B" w:rsidRPr="00697B94">
        <w:t>and denotes that X does</w:t>
      </w:r>
      <w:r w:rsidR="00F3174D" w:rsidRPr="00697B94">
        <w:t xml:space="preserve"> </w:t>
      </w:r>
      <w:r w:rsidR="00D7342B" w:rsidRPr="00697B94">
        <w:t>not Granger</w:t>
      </w:r>
      <w:r w:rsidR="00F3174D" w:rsidRPr="00697B94">
        <w:t xml:space="preserve"> </w:t>
      </w:r>
      <w:r w:rsidR="00D7342B" w:rsidRPr="00697B94">
        <w:t>cause</w:t>
      </w:r>
      <w:r w:rsidR="00F3174D" w:rsidRPr="00697B94">
        <w:t xml:space="preserve"> Y</w:t>
      </w:r>
    </w:p>
    <w:p w14:paraId="00CDFE65" w14:textId="77777777" w:rsidR="00D7342B" w:rsidRPr="00697B94" w:rsidRDefault="00F3174D" w:rsidP="00D7342B">
      <w:pPr>
        <w:spacing w:before="120" w:after="120"/>
      </w:pPr>
      <w:r w:rsidRPr="00697B94">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H</m:t>
            </m:r>
          </m:e>
          <m:sub>
            <m:r>
              <w:rPr>
                <w:rFonts w:ascii="Cambria Math" w:eastAsiaTheme="minorEastAsia" w:hAnsi="Cambria Math"/>
                <w:sz w:val="24"/>
                <w:szCs w:val="24"/>
              </w:rPr>
              <m:t>1</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δ</m:t>
            </m:r>
          </m:e>
          <m:sub>
            <m:r>
              <w:rPr>
                <w:rFonts w:ascii="Cambria Math" w:eastAsiaTheme="minorEastAsia" w:hAnsi="Cambria Math"/>
                <w:sz w:val="24"/>
                <w:szCs w:val="24"/>
              </w:rPr>
              <m:t>1</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δ</m:t>
            </m:r>
          </m:e>
          <m:sub>
            <m:r>
              <w:rPr>
                <w:rFonts w:ascii="Cambria Math" w:eastAsiaTheme="minorEastAsia" w:hAnsi="Cambria Math"/>
                <w:sz w:val="24"/>
                <w:szCs w:val="24"/>
              </w:rPr>
              <m:t>p</m:t>
            </m:r>
          </m:sub>
        </m:sSub>
        <m:r>
          <w:rPr>
            <w:rFonts w:ascii="Cambria Math" w:eastAsiaTheme="minorEastAsia" w:hAnsi="Cambria Math"/>
            <w:sz w:val="24"/>
            <w:szCs w:val="24"/>
          </w:rPr>
          <m:t>=0</m:t>
        </m:r>
      </m:oMath>
      <w:r w:rsidR="00D7342B" w:rsidRPr="00697B94">
        <w:t xml:space="preserve"> and denotes that Y does</w:t>
      </w:r>
      <w:r w:rsidRPr="00697B94">
        <w:t xml:space="preserve"> </w:t>
      </w:r>
      <w:r w:rsidR="00D7342B" w:rsidRPr="00697B94">
        <w:t>not Granger</w:t>
      </w:r>
      <w:r w:rsidRPr="00697B94">
        <w:t xml:space="preserve"> </w:t>
      </w:r>
      <w:r w:rsidR="00D7342B" w:rsidRPr="00697B94">
        <w:t>cause X</w:t>
      </w:r>
    </w:p>
    <w:p w14:paraId="79A52A40" w14:textId="77777777" w:rsidR="00D7342B" w:rsidRPr="00697B94" w:rsidRDefault="00D7342B" w:rsidP="00D7342B">
      <w:pPr>
        <w:spacing w:before="120" w:after="120"/>
      </w:pPr>
      <w:r w:rsidRPr="00697B94">
        <w:t>If</w:t>
      </w:r>
      <w:r w:rsidR="00F3174D" w:rsidRPr="00697B94">
        <w:t xml:space="preserve"> </w:t>
      </w:r>
      <w:r w:rsidRPr="00697B94">
        <w:t>we reject the null</w:t>
      </w:r>
      <w:r w:rsidR="00F3174D" w:rsidRPr="00697B94">
        <w:t xml:space="preserve"> </w:t>
      </w:r>
      <w:r w:rsidRPr="00697B94">
        <w:t>hypothesis, it means that one</w:t>
      </w:r>
      <w:r w:rsidR="00F3174D" w:rsidRPr="00697B94">
        <w:t xml:space="preserve"> </w:t>
      </w:r>
      <w:r w:rsidRPr="00697B94">
        <w:t>variable granger causes</w:t>
      </w:r>
      <w:r w:rsidR="00F3174D" w:rsidRPr="00697B94">
        <w:t xml:space="preserve"> </w:t>
      </w:r>
      <w:r w:rsidRPr="00697B94">
        <w:t>another – that is,</w:t>
      </w:r>
      <w:r w:rsidR="00F3174D" w:rsidRPr="00697B94">
        <w:t xml:space="preserve"> </w:t>
      </w:r>
      <w:r w:rsidRPr="00697B94">
        <w:t>the rejection of the</w:t>
      </w:r>
      <w:r w:rsidR="00F3174D" w:rsidRPr="00697B94">
        <w:t xml:space="preserve"> </w:t>
      </w:r>
      <w:r w:rsidRPr="00697B94">
        <w:t>null hypothesis</w:t>
      </w:r>
      <w:r w:rsidR="00F3174D" w:rsidRPr="00697B94">
        <w:t xml:space="preserve"> </w:t>
      </w:r>
      <w:r w:rsidRPr="00697B94">
        <w:t>“X does not granger</w:t>
      </w:r>
      <w:r w:rsidR="00F3174D" w:rsidRPr="00697B94">
        <w:t xml:space="preserve"> </w:t>
      </w:r>
      <w:r w:rsidRPr="00697B94">
        <w:t>cause Y” indicates</w:t>
      </w:r>
      <w:r w:rsidR="00F3174D" w:rsidRPr="00697B94">
        <w:t xml:space="preserve"> </w:t>
      </w:r>
      <w:r w:rsidRPr="00697B94">
        <w:t>that X does granger</w:t>
      </w:r>
      <w:r w:rsidR="00F3174D" w:rsidRPr="00697B94">
        <w:t xml:space="preserve"> </w:t>
      </w:r>
      <w:r w:rsidRPr="00697B94">
        <w:t>cause Y.</w:t>
      </w:r>
      <w:r w:rsidR="00F3174D" w:rsidRPr="00697B94">
        <w:t xml:space="preserve"> </w:t>
      </w:r>
      <w:r w:rsidRPr="00697B94">
        <w:t xml:space="preserve">The second null hypothesis follows the same logic. </w:t>
      </w:r>
    </w:p>
    <w:p w14:paraId="5052D6FB" w14:textId="77777777" w:rsidR="00D7342B" w:rsidRPr="00697B94" w:rsidRDefault="00D7342B" w:rsidP="00D7342B">
      <w:pPr>
        <w:spacing w:before="120" w:after="120"/>
      </w:pPr>
    </w:p>
    <w:p w14:paraId="150E389F" w14:textId="77777777" w:rsidR="00D7342B" w:rsidRPr="00697B94" w:rsidRDefault="00D7342B" w:rsidP="00D7342B">
      <w:pPr>
        <w:spacing w:before="120" w:after="120"/>
        <w:rPr>
          <w:b/>
          <w:bCs/>
        </w:rPr>
      </w:pPr>
      <w:r w:rsidRPr="00697B94">
        <w:rPr>
          <w:b/>
          <w:bCs/>
        </w:rPr>
        <w:t>3.6</w:t>
      </w:r>
      <w:r w:rsidR="00F3174D" w:rsidRPr="00697B94">
        <w:rPr>
          <w:b/>
          <w:bCs/>
        </w:rPr>
        <w:t xml:space="preserve"> </w:t>
      </w:r>
      <w:r w:rsidRPr="00697B94">
        <w:rPr>
          <w:b/>
          <w:bCs/>
        </w:rPr>
        <w:t>Diagnostic Tests</w:t>
      </w:r>
    </w:p>
    <w:p w14:paraId="5D9EF2A4" w14:textId="77777777" w:rsidR="007723B0" w:rsidRPr="00697B94" w:rsidRDefault="00D7342B" w:rsidP="00D7342B">
      <w:pPr>
        <w:spacing w:before="120" w:after="120"/>
      </w:pPr>
      <w:r w:rsidRPr="00697B94">
        <w:t>To ensure the goodness of fit for the model, the diagnostic and stability tests are also conducted. The tests comprise the Breusch Godfrey LM test (Serial correlation), the Breusch-Pagan-Godfrey test (Heteroscedasticity), Jacque Bera (Normality), Ramsey RESET test (Functional form), the CUSUM and CUSUMQ (stability of variables under study).</w:t>
      </w:r>
    </w:p>
    <w:p w14:paraId="35CF7756" w14:textId="77777777" w:rsidR="00A33EFB" w:rsidRPr="00697B94" w:rsidRDefault="00A33EFB" w:rsidP="00A33EFB"/>
    <w:p w14:paraId="7321FE73" w14:textId="77777777" w:rsidR="00902823" w:rsidRPr="00697B94" w:rsidRDefault="00000F8F" w:rsidP="00441B6F">
      <w:pPr>
        <w:pStyle w:val="Head1"/>
        <w:spacing w:after="0"/>
        <w:jc w:val="both"/>
        <w:rPr>
          <w:rFonts w:ascii="Arial" w:hAnsi="Arial" w:cs="Arial"/>
        </w:rPr>
      </w:pPr>
      <w:r w:rsidRPr="00697B94">
        <w:rPr>
          <w:rFonts w:ascii="Arial" w:hAnsi="Arial" w:cs="Arial"/>
        </w:rPr>
        <w:t>3</w:t>
      </w:r>
      <w:r w:rsidR="00902823" w:rsidRPr="00697B94">
        <w:rPr>
          <w:rFonts w:ascii="Arial" w:hAnsi="Arial" w:cs="Arial"/>
        </w:rPr>
        <w:t xml:space="preserve">. </w:t>
      </w:r>
      <w:r w:rsidRPr="00697B94">
        <w:rPr>
          <w:rFonts w:ascii="Arial" w:hAnsi="Arial" w:cs="Arial"/>
        </w:rPr>
        <w:t>results and discussion</w:t>
      </w:r>
    </w:p>
    <w:p w14:paraId="7A2B644E" w14:textId="77777777" w:rsidR="00790ADA" w:rsidRPr="00697B94" w:rsidRDefault="00790ADA" w:rsidP="00441B6F">
      <w:pPr>
        <w:pStyle w:val="Head1"/>
        <w:spacing w:after="0"/>
        <w:jc w:val="both"/>
        <w:rPr>
          <w:rFonts w:ascii="Arial" w:hAnsi="Arial" w:cs="Arial"/>
        </w:rPr>
      </w:pPr>
    </w:p>
    <w:p w14:paraId="6DB3FF24" w14:textId="77777777" w:rsidR="0040137B" w:rsidRPr="00697B94" w:rsidRDefault="0040137B" w:rsidP="0040137B">
      <w:pPr>
        <w:pStyle w:val="Body"/>
        <w:spacing w:after="0"/>
        <w:rPr>
          <w:rFonts w:ascii="Arial" w:hAnsi="Arial" w:cs="Arial"/>
          <w:b/>
        </w:rPr>
      </w:pPr>
      <w:r w:rsidRPr="00697B94">
        <w:rPr>
          <w:b/>
        </w:rPr>
        <w:t>3.1 Overview of Analysis</w:t>
      </w:r>
    </w:p>
    <w:p w14:paraId="2D4FFD31" w14:textId="77777777" w:rsidR="0040137B" w:rsidRPr="00697B94" w:rsidRDefault="00BB6F7C" w:rsidP="0040137B">
      <w:pPr>
        <w:pStyle w:val="Body"/>
        <w:spacing w:after="0"/>
      </w:pPr>
      <w:r w:rsidRPr="00697B94">
        <w:lastRenderedPageBreak/>
        <w:t>This chapter consists of the results of the descriptive statistics of the relevant variables, the results of both ADF and PP unit root tests, the results of bounds test for the existence of cointegration. It further presents the discussion on the long-run and short-run estimates from the analysis. To investigate the causal relationship between foreign investment and domestic investment, the famous pairwise Granger Causality test was also conducted and the results discussed as well. Finally, the chapter presents the results of the post estimation/diagnostics tests.</w:t>
      </w:r>
    </w:p>
    <w:p w14:paraId="70B1170A" w14:textId="77777777" w:rsidR="00F944F0" w:rsidRPr="00697B94" w:rsidRDefault="00F944F0" w:rsidP="0040137B">
      <w:pPr>
        <w:pStyle w:val="Body"/>
        <w:spacing w:after="0"/>
      </w:pPr>
    </w:p>
    <w:p w14:paraId="54CDDD75" w14:textId="77777777" w:rsidR="002B2E32" w:rsidRPr="00697B94" w:rsidRDefault="002B2E32" w:rsidP="002B2E32">
      <w:pPr>
        <w:pStyle w:val="Body"/>
        <w:rPr>
          <w:b/>
          <w:bCs/>
        </w:rPr>
      </w:pPr>
      <w:r w:rsidRPr="00697B94">
        <w:rPr>
          <w:b/>
          <w:bCs/>
        </w:rPr>
        <w:t xml:space="preserve">3.2 Descriptive Statistics </w:t>
      </w:r>
    </w:p>
    <w:p w14:paraId="78B5B109" w14:textId="46E0B646" w:rsidR="002B2E32" w:rsidRPr="00697B94" w:rsidRDefault="002B2E32" w:rsidP="002B2E32">
      <w:pPr>
        <w:pStyle w:val="Body"/>
      </w:pPr>
      <w:r w:rsidRPr="00697B94">
        <w:t xml:space="preserve">The descriptive statistics is presented in Table 1. The statistics mainly comprised the mean, median, maximum, and minimum values of the respective variables. The measure of dispersion of the variables </w:t>
      </w:r>
      <w:r w:rsidR="00697B94" w:rsidRPr="00697B94">
        <w:t>is</w:t>
      </w:r>
      <w:r w:rsidRPr="00697B94">
        <w:t xml:space="preserve"> measured by standard deviation values. For the nature of distribution of the variables, skewness, kurtosis, J-B and its probability values show how the values are distributed.</w:t>
      </w:r>
    </w:p>
    <w:p w14:paraId="6D5596CF" w14:textId="77777777" w:rsidR="00D57ED2" w:rsidRPr="00697B94" w:rsidRDefault="00D57ED2" w:rsidP="00D57ED2">
      <w:pPr>
        <w:pStyle w:val="Body"/>
        <w:rPr>
          <w:b/>
          <w:bCs/>
        </w:rPr>
      </w:pPr>
      <w:r w:rsidRPr="00697B94">
        <w:rPr>
          <w:b/>
          <w:bCs/>
        </w:rPr>
        <w:t xml:space="preserve">Table 1. Summary Statistics of Variables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7"/>
        <w:gridCol w:w="1349"/>
        <w:gridCol w:w="1325"/>
        <w:gridCol w:w="1265"/>
        <w:gridCol w:w="1457"/>
        <w:gridCol w:w="1325"/>
      </w:tblGrid>
      <w:tr w:rsidR="002B2E32" w:rsidRPr="00697B94" w14:paraId="4978CCEA" w14:textId="77777777" w:rsidTr="00D57ED2">
        <w:tc>
          <w:tcPr>
            <w:tcW w:w="1487" w:type="dxa"/>
            <w:tcBorders>
              <w:top w:val="single" w:sz="4" w:space="0" w:color="auto"/>
              <w:left w:val="nil"/>
              <w:bottom w:val="single" w:sz="4" w:space="0" w:color="auto"/>
              <w:right w:val="nil"/>
            </w:tcBorders>
            <w:hideMark/>
          </w:tcPr>
          <w:p w14:paraId="07877CD0" w14:textId="77777777" w:rsidR="002B2E32" w:rsidRPr="00697B94" w:rsidRDefault="002B2E32" w:rsidP="002B2E32">
            <w:pPr>
              <w:pStyle w:val="Body"/>
              <w:rPr>
                <w:rFonts w:eastAsia="Times New Roman"/>
                <w:b/>
                <w:bCs/>
                <w:sz w:val="20"/>
              </w:rPr>
            </w:pPr>
            <w:r w:rsidRPr="00697B94">
              <w:rPr>
                <w:rFonts w:eastAsia="Times New Roman"/>
                <w:b/>
                <w:bCs/>
                <w:sz w:val="20"/>
              </w:rPr>
              <w:t>Statistic</w:t>
            </w:r>
          </w:p>
        </w:tc>
        <w:tc>
          <w:tcPr>
            <w:tcW w:w="1349" w:type="dxa"/>
            <w:tcBorders>
              <w:top w:val="single" w:sz="4" w:space="0" w:color="auto"/>
              <w:left w:val="nil"/>
              <w:bottom w:val="single" w:sz="4" w:space="0" w:color="auto"/>
              <w:right w:val="nil"/>
            </w:tcBorders>
            <w:hideMark/>
          </w:tcPr>
          <w:p w14:paraId="73CBE38B" w14:textId="77777777" w:rsidR="002B2E32" w:rsidRPr="00697B94" w:rsidRDefault="002B2E32" w:rsidP="002B2E32">
            <w:pPr>
              <w:pStyle w:val="Body"/>
              <w:rPr>
                <w:rFonts w:eastAsia="Times New Roman"/>
                <w:b/>
                <w:bCs/>
                <w:sz w:val="20"/>
              </w:rPr>
            </w:pPr>
            <w:r w:rsidRPr="00697B94">
              <w:rPr>
                <w:rFonts w:eastAsia="Times New Roman"/>
                <w:b/>
                <w:bCs/>
                <w:sz w:val="20"/>
              </w:rPr>
              <w:t>GFCF</w:t>
            </w:r>
          </w:p>
        </w:tc>
        <w:tc>
          <w:tcPr>
            <w:tcW w:w="1325" w:type="dxa"/>
            <w:tcBorders>
              <w:top w:val="single" w:sz="4" w:space="0" w:color="auto"/>
              <w:left w:val="nil"/>
              <w:bottom w:val="single" w:sz="4" w:space="0" w:color="auto"/>
              <w:right w:val="nil"/>
            </w:tcBorders>
            <w:hideMark/>
          </w:tcPr>
          <w:p w14:paraId="6FE53D3C" w14:textId="77777777" w:rsidR="002B2E32" w:rsidRPr="00697B94" w:rsidRDefault="002B2E32" w:rsidP="002B2E32">
            <w:pPr>
              <w:pStyle w:val="Body"/>
              <w:rPr>
                <w:rFonts w:eastAsia="Times New Roman"/>
                <w:b/>
                <w:bCs/>
                <w:sz w:val="20"/>
              </w:rPr>
            </w:pPr>
            <w:r w:rsidRPr="00697B94">
              <w:rPr>
                <w:rFonts w:eastAsia="Times New Roman"/>
                <w:b/>
                <w:bCs/>
                <w:sz w:val="20"/>
              </w:rPr>
              <w:t>FDI</w:t>
            </w:r>
          </w:p>
        </w:tc>
        <w:tc>
          <w:tcPr>
            <w:tcW w:w="1265" w:type="dxa"/>
            <w:tcBorders>
              <w:top w:val="single" w:sz="4" w:space="0" w:color="auto"/>
              <w:left w:val="nil"/>
              <w:bottom w:val="single" w:sz="4" w:space="0" w:color="auto"/>
              <w:right w:val="nil"/>
            </w:tcBorders>
            <w:hideMark/>
          </w:tcPr>
          <w:p w14:paraId="486B1CCF" w14:textId="77777777" w:rsidR="002B2E32" w:rsidRPr="00697B94" w:rsidRDefault="002B2E32" w:rsidP="002B2E32">
            <w:pPr>
              <w:pStyle w:val="Body"/>
              <w:rPr>
                <w:rFonts w:eastAsia="Times New Roman"/>
                <w:b/>
                <w:bCs/>
                <w:sz w:val="20"/>
              </w:rPr>
            </w:pPr>
            <w:r w:rsidRPr="00697B94">
              <w:rPr>
                <w:rFonts w:eastAsia="Times New Roman"/>
                <w:b/>
                <w:bCs/>
                <w:sz w:val="20"/>
              </w:rPr>
              <w:t>INF</w:t>
            </w:r>
          </w:p>
        </w:tc>
        <w:tc>
          <w:tcPr>
            <w:tcW w:w="1457" w:type="dxa"/>
            <w:tcBorders>
              <w:top w:val="single" w:sz="4" w:space="0" w:color="auto"/>
              <w:left w:val="nil"/>
              <w:bottom w:val="single" w:sz="4" w:space="0" w:color="auto"/>
              <w:right w:val="nil"/>
            </w:tcBorders>
            <w:hideMark/>
          </w:tcPr>
          <w:p w14:paraId="503D0E56" w14:textId="77777777" w:rsidR="002B2E32" w:rsidRPr="00697B94" w:rsidRDefault="002B2E32" w:rsidP="002B2E32">
            <w:pPr>
              <w:pStyle w:val="Body"/>
              <w:rPr>
                <w:rFonts w:eastAsia="Times New Roman"/>
                <w:b/>
                <w:bCs/>
                <w:sz w:val="20"/>
              </w:rPr>
            </w:pPr>
            <w:r w:rsidRPr="00697B94">
              <w:rPr>
                <w:rFonts w:eastAsia="Times New Roman"/>
                <w:b/>
                <w:bCs/>
                <w:sz w:val="20"/>
              </w:rPr>
              <w:t>GDPG</w:t>
            </w:r>
          </w:p>
        </w:tc>
        <w:tc>
          <w:tcPr>
            <w:tcW w:w="1325" w:type="dxa"/>
            <w:tcBorders>
              <w:top w:val="single" w:sz="4" w:space="0" w:color="auto"/>
              <w:left w:val="nil"/>
              <w:bottom w:val="single" w:sz="4" w:space="0" w:color="auto"/>
              <w:right w:val="nil"/>
            </w:tcBorders>
            <w:hideMark/>
          </w:tcPr>
          <w:p w14:paraId="515BCA9D" w14:textId="77777777" w:rsidR="002B2E32" w:rsidRPr="00697B94" w:rsidRDefault="002B2E32" w:rsidP="002B2E32">
            <w:pPr>
              <w:pStyle w:val="Body"/>
              <w:rPr>
                <w:rFonts w:eastAsia="Times New Roman"/>
                <w:b/>
                <w:bCs/>
                <w:sz w:val="20"/>
              </w:rPr>
            </w:pPr>
            <w:r w:rsidRPr="00697B94">
              <w:rPr>
                <w:rFonts w:eastAsia="Times New Roman"/>
                <w:b/>
                <w:bCs/>
                <w:sz w:val="20"/>
              </w:rPr>
              <w:t>EXR</w:t>
            </w:r>
          </w:p>
        </w:tc>
      </w:tr>
      <w:tr w:rsidR="002B2E32" w:rsidRPr="00697B94" w14:paraId="2D79173D" w14:textId="77777777" w:rsidTr="00D57ED2">
        <w:tc>
          <w:tcPr>
            <w:tcW w:w="1487" w:type="dxa"/>
            <w:tcBorders>
              <w:top w:val="single" w:sz="4" w:space="0" w:color="auto"/>
              <w:left w:val="nil"/>
              <w:bottom w:val="nil"/>
              <w:right w:val="nil"/>
            </w:tcBorders>
            <w:hideMark/>
          </w:tcPr>
          <w:p w14:paraId="3A5A0BB8" w14:textId="77777777" w:rsidR="002B2E32" w:rsidRPr="00697B94" w:rsidRDefault="002B2E32" w:rsidP="002B2E32">
            <w:pPr>
              <w:pStyle w:val="Body"/>
              <w:rPr>
                <w:rFonts w:eastAsia="Times New Roman"/>
                <w:bCs/>
                <w:sz w:val="20"/>
              </w:rPr>
            </w:pPr>
            <w:r w:rsidRPr="00697B94">
              <w:rPr>
                <w:rFonts w:eastAsia="Times New Roman"/>
                <w:bCs/>
                <w:sz w:val="20"/>
              </w:rPr>
              <w:t xml:space="preserve">Mean </w:t>
            </w:r>
          </w:p>
        </w:tc>
        <w:tc>
          <w:tcPr>
            <w:tcW w:w="1349" w:type="dxa"/>
            <w:tcBorders>
              <w:top w:val="single" w:sz="4" w:space="0" w:color="auto"/>
              <w:left w:val="nil"/>
              <w:bottom w:val="nil"/>
              <w:right w:val="nil"/>
            </w:tcBorders>
            <w:hideMark/>
          </w:tcPr>
          <w:p w14:paraId="2B805C19" w14:textId="77777777" w:rsidR="002B2E32" w:rsidRPr="00697B94" w:rsidRDefault="002B2E32" w:rsidP="002B2E32">
            <w:pPr>
              <w:pStyle w:val="Body"/>
              <w:rPr>
                <w:rFonts w:eastAsia="Times New Roman"/>
                <w:bCs/>
                <w:sz w:val="20"/>
              </w:rPr>
            </w:pPr>
            <w:r w:rsidRPr="00697B94">
              <w:rPr>
                <w:rFonts w:eastAsia="Times New Roman"/>
                <w:bCs/>
                <w:sz w:val="20"/>
              </w:rPr>
              <w:t>21.0295</w:t>
            </w:r>
          </w:p>
        </w:tc>
        <w:tc>
          <w:tcPr>
            <w:tcW w:w="1325" w:type="dxa"/>
            <w:tcBorders>
              <w:top w:val="single" w:sz="4" w:space="0" w:color="auto"/>
              <w:left w:val="nil"/>
              <w:bottom w:val="nil"/>
              <w:right w:val="nil"/>
            </w:tcBorders>
            <w:hideMark/>
          </w:tcPr>
          <w:p w14:paraId="765A0525" w14:textId="77777777" w:rsidR="002B2E32" w:rsidRPr="00697B94" w:rsidRDefault="002B2E32" w:rsidP="002B2E32">
            <w:pPr>
              <w:pStyle w:val="Body"/>
              <w:rPr>
                <w:rFonts w:eastAsia="Times New Roman"/>
                <w:bCs/>
                <w:sz w:val="20"/>
              </w:rPr>
            </w:pPr>
            <w:r w:rsidRPr="00697B94">
              <w:rPr>
                <w:rFonts w:eastAsia="Times New Roman"/>
                <w:bCs/>
                <w:sz w:val="20"/>
              </w:rPr>
              <w:t>3.9825</w:t>
            </w:r>
          </w:p>
        </w:tc>
        <w:tc>
          <w:tcPr>
            <w:tcW w:w="1265" w:type="dxa"/>
            <w:tcBorders>
              <w:top w:val="single" w:sz="4" w:space="0" w:color="auto"/>
              <w:left w:val="nil"/>
              <w:bottom w:val="nil"/>
              <w:right w:val="nil"/>
            </w:tcBorders>
            <w:hideMark/>
          </w:tcPr>
          <w:p w14:paraId="76844304" w14:textId="77777777" w:rsidR="002B2E32" w:rsidRPr="00697B94" w:rsidRDefault="002B2E32" w:rsidP="002B2E32">
            <w:pPr>
              <w:pStyle w:val="Body"/>
              <w:rPr>
                <w:rFonts w:eastAsia="Times New Roman"/>
                <w:bCs/>
                <w:sz w:val="20"/>
              </w:rPr>
            </w:pPr>
            <w:r w:rsidRPr="00697B94">
              <w:rPr>
                <w:rFonts w:eastAsia="Times New Roman"/>
                <w:bCs/>
                <w:sz w:val="20"/>
              </w:rPr>
              <w:t>19.2183</w:t>
            </w:r>
          </w:p>
        </w:tc>
        <w:tc>
          <w:tcPr>
            <w:tcW w:w="1457" w:type="dxa"/>
            <w:tcBorders>
              <w:top w:val="single" w:sz="4" w:space="0" w:color="auto"/>
              <w:left w:val="nil"/>
              <w:bottom w:val="nil"/>
              <w:right w:val="nil"/>
            </w:tcBorders>
            <w:hideMark/>
          </w:tcPr>
          <w:p w14:paraId="4B0BE3EB" w14:textId="77777777" w:rsidR="002B2E32" w:rsidRPr="00697B94" w:rsidRDefault="002B2E32" w:rsidP="002B2E32">
            <w:pPr>
              <w:pStyle w:val="Body"/>
              <w:rPr>
                <w:rFonts w:eastAsia="Times New Roman"/>
                <w:bCs/>
                <w:sz w:val="20"/>
              </w:rPr>
            </w:pPr>
            <w:r w:rsidRPr="00697B94">
              <w:rPr>
                <w:rFonts w:eastAsia="Times New Roman"/>
                <w:bCs/>
                <w:sz w:val="20"/>
              </w:rPr>
              <w:t>5.4751</w:t>
            </w:r>
          </w:p>
        </w:tc>
        <w:tc>
          <w:tcPr>
            <w:tcW w:w="1325" w:type="dxa"/>
            <w:tcBorders>
              <w:top w:val="single" w:sz="4" w:space="0" w:color="auto"/>
              <w:left w:val="nil"/>
              <w:bottom w:val="nil"/>
              <w:right w:val="nil"/>
            </w:tcBorders>
            <w:hideMark/>
          </w:tcPr>
          <w:p w14:paraId="223384C4" w14:textId="77777777" w:rsidR="002B2E32" w:rsidRPr="00697B94" w:rsidRDefault="002B2E32" w:rsidP="002B2E32">
            <w:pPr>
              <w:pStyle w:val="Body"/>
              <w:rPr>
                <w:rFonts w:eastAsia="Times New Roman"/>
                <w:bCs/>
                <w:sz w:val="20"/>
              </w:rPr>
            </w:pPr>
            <w:r w:rsidRPr="00697B94">
              <w:rPr>
                <w:rFonts w:eastAsia="Times New Roman"/>
                <w:bCs/>
                <w:sz w:val="20"/>
              </w:rPr>
              <w:t>1.4604</w:t>
            </w:r>
          </w:p>
        </w:tc>
      </w:tr>
      <w:tr w:rsidR="002B2E32" w:rsidRPr="00697B94" w14:paraId="72C203E3" w14:textId="77777777" w:rsidTr="00D57ED2">
        <w:tc>
          <w:tcPr>
            <w:tcW w:w="1487" w:type="dxa"/>
            <w:hideMark/>
          </w:tcPr>
          <w:p w14:paraId="197D564E" w14:textId="77777777" w:rsidR="002B2E32" w:rsidRPr="00697B94" w:rsidRDefault="002B2E32" w:rsidP="002B2E32">
            <w:pPr>
              <w:pStyle w:val="Body"/>
              <w:rPr>
                <w:rFonts w:eastAsia="Times New Roman"/>
                <w:bCs/>
                <w:sz w:val="20"/>
              </w:rPr>
            </w:pPr>
            <w:r w:rsidRPr="00697B94">
              <w:rPr>
                <w:rFonts w:eastAsia="Times New Roman"/>
                <w:bCs/>
                <w:sz w:val="20"/>
              </w:rPr>
              <w:t xml:space="preserve">Median </w:t>
            </w:r>
          </w:p>
        </w:tc>
        <w:tc>
          <w:tcPr>
            <w:tcW w:w="1349" w:type="dxa"/>
            <w:hideMark/>
          </w:tcPr>
          <w:p w14:paraId="7864AB53" w14:textId="77777777" w:rsidR="002B2E32" w:rsidRPr="00697B94" w:rsidRDefault="002B2E32" w:rsidP="002B2E32">
            <w:pPr>
              <w:pStyle w:val="Body"/>
              <w:rPr>
                <w:rFonts w:eastAsia="Times New Roman"/>
                <w:bCs/>
                <w:sz w:val="20"/>
              </w:rPr>
            </w:pPr>
            <w:r w:rsidRPr="00697B94">
              <w:rPr>
                <w:rFonts w:eastAsia="Times New Roman"/>
                <w:bCs/>
                <w:sz w:val="20"/>
              </w:rPr>
              <w:t>21.7472</w:t>
            </w:r>
          </w:p>
        </w:tc>
        <w:tc>
          <w:tcPr>
            <w:tcW w:w="1325" w:type="dxa"/>
            <w:hideMark/>
          </w:tcPr>
          <w:p w14:paraId="490D89CF" w14:textId="77777777" w:rsidR="002B2E32" w:rsidRPr="00697B94" w:rsidRDefault="002B2E32" w:rsidP="002B2E32">
            <w:pPr>
              <w:pStyle w:val="Body"/>
              <w:rPr>
                <w:rFonts w:eastAsia="Times New Roman"/>
                <w:bCs/>
                <w:sz w:val="20"/>
              </w:rPr>
            </w:pPr>
            <w:r w:rsidRPr="00697B94">
              <w:rPr>
                <w:rFonts w:eastAsia="Times New Roman"/>
                <w:bCs/>
                <w:sz w:val="20"/>
              </w:rPr>
              <w:t>3.2432</w:t>
            </w:r>
          </w:p>
        </w:tc>
        <w:tc>
          <w:tcPr>
            <w:tcW w:w="1265" w:type="dxa"/>
            <w:hideMark/>
          </w:tcPr>
          <w:p w14:paraId="276CB161" w14:textId="77777777" w:rsidR="002B2E32" w:rsidRPr="00697B94" w:rsidRDefault="002B2E32" w:rsidP="002B2E32">
            <w:pPr>
              <w:pStyle w:val="Body"/>
              <w:rPr>
                <w:rFonts w:eastAsia="Times New Roman"/>
                <w:bCs/>
                <w:sz w:val="20"/>
              </w:rPr>
            </w:pPr>
            <w:r w:rsidRPr="00697B94">
              <w:rPr>
                <w:rFonts w:eastAsia="Times New Roman"/>
                <w:bCs/>
                <w:sz w:val="20"/>
              </w:rPr>
              <w:t>15.3039</w:t>
            </w:r>
          </w:p>
        </w:tc>
        <w:tc>
          <w:tcPr>
            <w:tcW w:w="1457" w:type="dxa"/>
            <w:hideMark/>
          </w:tcPr>
          <w:p w14:paraId="0FDD8E4A" w14:textId="77777777" w:rsidR="002B2E32" w:rsidRPr="00697B94" w:rsidRDefault="002B2E32" w:rsidP="002B2E32">
            <w:pPr>
              <w:pStyle w:val="Body"/>
              <w:rPr>
                <w:rFonts w:eastAsia="Times New Roman"/>
                <w:bCs/>
                <w:sz w:val="20"/>
              </w:rPr>
            </w:pPr>
            <w:r w:rsidRPr="00697B94">
              <w:rPr>
                <w:rFonts w:eastAsia="Times New Roman"/>
                <w:bCs/>
                <w:sz w:val="20"/>
              </w:rPr>
              <w:t>4.7724</w:t>
            </w:r>
          </w:p>
        </w:tc>
        <w:tc>
          <w:tcPr>
            <w:tcW w:w="1325" w:type="dxa"/>
            <w:hideMark/>
          </w:tcPr>
          <w:p w14:paraId="41A85B43" w14:textId="77777777" w:rsidR="002B2E32" w:rsidRPr="00697B94" w:rsidRDefault="002B2E32" w:rsidP="002B2E32">
            <w:pPr>
              <w:pStyle w:val="Body"/>
              <w:rPr>
                <w:rFonts w:eastAsia="Times New Roman"/>
                <w:bCs/>
                <w:sz w:val="20"/>
              </w:rPr>
            </w:pPr>
            <w:r w:rsidRPr="00697B94">
              <w:rPr>
                <w:rFonts w:eastAsia="Times New Roman"/>
                <w:bCs/>
                <w:sz w:val="20"/>
              </w:rPr>
              <w:t>0.9091</w:t>
            </w:r>
          </w:p>
        </w:tc>
      </w:tr>
      <w:tr w:rsidR="002B2E32" w:rsidRPr="00697B94" w14:paraId="3DF236F0" w14:textId="77777777" w:rsidTr="00D57ED2">
        <w:tc>
          <w:tcPr>
            <w:tcW w:w="1487" w:type="dxa"/>
            <w:hideMark/>
          </w:tcPr>
          <w:p w14:paraId="181C008C" w14:textId="77777777" w:rsidR="002B2E32" w:rsidRPr="00697B94" w:rsidRDefault="002B2E32" w:rsidP="002B2E32">
            <w:pPr>
              <w:pStyle w:val="Body"/>
              <w:rPr>
                <w:rFonts w:eastAsia="Times New Roman"/>
                <w:bCs/>
                <w:sz w:val="20"/>
              </w:rPr>
            </w:pPr>
            <w:r w:rsidRPr="00697B94">
              <w:rPr>
                <w:rFonts w:eastAsia="Times New Roman"/>
                <w:bCs/>
                <w:sz w:val="20"/>
              </w:rPr>
              <w:t xml:space="preserve">Maximum </w:t>
            </w:r>
          </w:p>
        </w:tc>
        <w:tc>
          <w:tcPr>
            <w:tcW w:w="1349" w:type="dxa"/>
            <w:hideMark/>
          </w:tcPr>
          <w:p w14:paraId="054DAFB0" w14:textId="77777777" w:rsidR="002B2E32" w:rsidRPr="00697B94" w:rsidRDefault="002B2E32" w:rsidP="002B2E32">
            <w:pPr>
              <w:pStyle w:val="Body"/>
              <w:rPr>
                <w:rFonts w:eastAsia="Times New Roman"/>
                <w:bCs/>
                <w:sz w:val="20"/>
              </w:rPr>
            </w:pPr>
            <w:r w:rsidRPr="00697B94">
              <w:rPr>
                <w:rFonts w:eastAsia="Times New Roman"/>
                <w:bCs/>
                <w:sz w:val="20"/>
              </w:rPr>
              <w:t>29.2463</w:t>
            </w:r>
          </w:p>
        </w:tc>
        <w:tc>
          <w:tcPr>
            <w:tcW w:w="1325" w:type="dxa"/>
            <w:hideMark/>
          </w:tcPr>
          <w:p w14:paraId="1059A897" w14:textId="77777777" w:rsidR="002B2E32" w:rsidRPr="00697B94" w:rsidRDefault="002B2E32" w:rsidP="002B2E32">
            <w:pPr>
              <w:pStyle w:val="Body"/>
              <w:rPr>
                <w:rFonts w:eastAsia="Times New Roman"/>
                <w:bCs/>
                <w:sz w:val="20"/>
              </w:rPr>
            </w:pPr>
            <w:r w:rsidRPr="00697B94">
              <w:rPr>
                <w:rFonts w:eastAsia="Times New Roman"/>
                <w:bCs/>
                <w:sz w:val="20"/>
              </w:rPr>
              <w:t>9.4667</w:t>
            </w:r>
          </w:p>
        </w:tc>
        <w:tc>
          <w:tcPr>
            <w:tcW w:w="1265" w:type="dxa"/>
            <w:hideMark/>
          </w:tcPr>
          <w:p w14:paraId="5AA55E6E" w14:textId="77777777" w:rsidR="002B2E32" w:rsidRPr="00697B94" w:rsidRDefault="002B2E32" w:rsidP="002B2E32">
            <w:pPr>
              <w:pStyle w:val="Body"/>
              <w:rPr>
                <w:rFonts w:eastAsia="Times New Roman"/>
                <w:bCs/>
                <w:sz w:val="20"/>
              </w:rPr>
            </w:pPr>
            <w:r w:rsidRPr="00697B94">
              <w:rPr>
                <w:rFonts w:eastAsia="Times New Roman"/>
                <w:bCs/>
                <w:sz w:val="20"/>
              </w:rPr>
              <w:t>59.4616</w:t>
            </w:r>
          </w:p>
        </w:tc>
        <w:tc>
          <w:tcPr>
            <w:tcW w:w="1457" w:type="dxa"/>
            <w:hideMark/>
          </w:tcPr>
          <w:p w14:paraId="152476EF" w14:textId="77777777" w:rsidR="002B2E32" w:rsidRPr="00697B94" w:rsidRDefault="002B2E32" w:rsidP="002B2E32">
            <w:pPr>
              <w:pStyle w:val="Body"/>
              <w:rPr>
                <w:rFonts w:eastAsia="Times New Roman"/>
                <w:bCs/>
                <w:sz w:val="20"/>
              </w:rPr>
            </w:pPr>
            <w:r w:rsidRPr="00697B94">
              <w:rPr>
                <w:rFonts w:eastAsia="Times New Roman"/>
                <w:bCs/>
                <w:sz w:val="20"/>
              </w:rPr>
              <w:t>14.0471</w:t>
            </w:r>
          </w:p>
        </w:tc>
        <w:tc>
          <w:tcPr>
            <w:tcW w:w="1325" w:type="dxa"/>
            <w:hideMark/>
          </w:tcPr>
          <w:p w14:paraId="32F3618D" w14:textId="77777777" w:rsidR="002B2E32" w:rsidRPr="00697B94" w:rsidRDefault="002B2E32" w:rsidP="002B2E32">
            <w:pPr>
              <w:pStyle w:val="Body"/>
              <w:rPr>
                <w:rFonts w:eastAsia="Times New Roman"/>
                <w:bCs/>
                <w:sz w:val="20"/>
              </w:rPr>
            </w:pPr>
            <w:r w:rsidRPr="00697B94">
              <w:rPr>
                <w:rFonts w:eastAsia="Times New Roman"/>
                <w:bCs/>
                <w:sz w:val="20"/>
              </w:rPr>
              <w:t>5.5400</w:t>
            </w:r>
          </w:p>
        </w:tc>
      </w:tr>
      <w:tr w:rsidR="002B2E32" w:rsidRPr="00697B94" w14:paraId="637CE513" w14:textId="77777777" w:rsidTr="00D57ED2">
        <w:tc>
          <w:tcPr>
            <w:tcW w:w="1487" w:type="dxa"/>
            <w:hideMark/>
          </w:tcPr>
          <w:p w14:paraId="1032716D" w14:textId="77777777" w:rsidR="002B2E32" w:rsidRPr="00697B94" w:rsidRDefault="002B2E32" w:rsidP="002B2E32">
            <w:pPr>
              <w:pStyle w:val="Body"/>
              <w:rPr>
                <w:rFonts w:eastAsia="Times New Roman"/>
                <w:bCs/>
                <w:sz w:val="20"/>
              </w:rPr>
            </w:pPr>
            <w:r w:rsidRPr="00697B94">
              <w:rPr>
                <w:rFonts w:eastAsia="Times New Roman"/>
                <w:bCs/>
                <w:sz w:val="20"/>
              </w:rPr>
              <w:t xml:space="preserve">Minimum </w:t>
            </w:r>
          </w:p>
        </w:tc>
        <w:tc>
          <w:tcPr>
            <w:tcW w:w="1349" w:type="dxa"/>
            <w:hideMark/>
          </w:tcPr>
          <w:p w14:paraId="7A362D13" w14:textId="77777777" w:rsidR="002B2E32" w:rsidRPr="00697B94" w:rsidRDefault="002B2E32" w:rsidP="002B2E32">
            <w:pPr>
              <w:pStyle w:val="Body"/>
              <w:rPr>
                <w:rFonts w:eastAsia="Times New Roman"/>
                <w:bCs/>
                <w:sz w:val="20"/>
              </w:rPr>
            </w:pPr>
            <w:r w:rsidRPr="00697B94">
              <w:rPr>
                <w:rFonts w:eastAsia="Times New Roman"/>
                <w:bCs/>
                <w:sz w:val="20"/>
              </w:rPr>
              <w:t>11.7641</w:t>
            </w:r>
          </w:p>
        </w:tc>
        <w:tc>
          <w:tcPr>
            <w:tcW w:w="1325" w:type="dxa"/>
            <w:hideMark/>
          </w:tcPr>
          <w:p w14:paraId="0B6C20E0" w14:textId="77777777" w:rsidR="002B2E32" w:rsidRPr="00697B94" w:rsidRDefault="002B2E32" w:rsidP="002B2E32">
            <w:pPr>
              <w:pStyle w:val="Body"/>
              <w:rPr>
                <w:rFonts w:eastAsia="Times New Roman"/>
                <w:bCs/>
                <w:sz w:val="20"/>
              </w:rPr>
            </w:pPr>
            <w:r w:rsidRPr="00697B94">
              <w:rPr>
                <w:rFonts w:eastAsia="Times New Roman"/>
                <w:bCs/>
                <w:sz w:val="20"/>
              </w:rPr>
              <w:t>0.2513</w:t>
            </w:r>
          </w:p>
        </w:tc>
        <w:tc>
          <w:tcPr>
            <w:tcW w:w="1265" w:type="dxa"/>
            <w:hideMark/>
          </w:tcPr>
          <w:p w14:paraId="4E35E54D" w14:textId="77777777" w:rsidR="002B2E32" w:rsidRPr="00697B94" w:rsidRDefault="002B2E32" w:rsidP="002B2E32">
            <w:pPr>
              <w:pStyle w:val="Body"/>
              <w:rPr>
                <w:rFonts w:eastAsia="Times New Roman"/>
                <w:bCs/>
                <w:sz w:val="20"/>
              </w:rPr>
            </w:pPr>
            <w:r w:rsidRPr="00697B94">
              <w:rPr>
                <w:rFonts w:eastAsia="Times New Roman"/>
                <w:bCs/>
                <w:sz w:val="20"/>
              </w:rPr>
              <w:t>7.1264</w:t>
            </w:r>
          </w:p>
        </w:tc>
        <w:tc>
          <w:tcPr>
            <w:tcW w:w="1457" w:type="dxa"/>
            <w:hideMark/>
          </w:tcPr>
          <w:p w14:paraId="04AA9018" w14:textId="77777777" w:rsidR="002B2E32" w:rsidRPr="00697B94" w:rsidRDefault="002B2E32" w:rsidP="002B2E32">
            <w:pPr>
              <w:pStyle w:val="Body"/>
              <w:rPr>
                <w:rFonts w:eastAsia="Times New Roman"/>
                <w:bCs/>
                <w:sz w:val="20"/>
              </w:rPr>
            </w:pPr>
            <w:r w:rsidRPr="00697B94">
              <w:rPr>
                <w:rFonts w:eastAsia="Times New Roman"/>
                <w:bCs/>
                <w:sz w:val="20"/>
              </w:rPr>
              <w:t>2.1782</w:t>
            </w:r>
          </w:p>
        </w:tc>
        <w:tc>
          <w:tcPr>
            <w:tcW w:w="1325" w:type="dxa"/>
            <w:hideMark/>
          </w:tcPr>
          <w:p w14:paraId="1E66A962" w14:textId="77777777" w:rsidR="002B2E32" w:rsidRPr="00697B94" w:rsidRDefault="002B2E32" w:rsidP="002B2E32">
            <w:pPr>
              <w:pStyle w:val="Body"/>
              <w:rPr>
                <w:rFonts w:eastAsia="Times New Roman"/>
                <w:bCs/>
                <w:sz w:val="20"/>
              </w:rPr>
            </w:pPr>
            <w:r w:rsidRPr="00697B94">
              <w:rPr>
                <w:rFonts w:eastAsia="Times New Roman"/>
                <w:bCs/>
                <w:sz w:val="20"/>
              </w:rPr>
              <w:t>0.0345</w:t>
            </w:r>
          </w:p>
        </w:tc>
      </w:tr>
      <w:tr w:rsidR="002B2E32" w:rsidRPr="00697B94" w14:paraId="3EEF3C3B" w14:textId="77777777" w:rsidTr="00D57ED2">
        <w:tc>
          <w:tcPr>
            <w:tcW w:w="1487" w:type="dxa"/>
            <w:hideMark/>
          </w:tcPr>
          <w:p w14:paraId="496CE6E3" w14:textId="77777777" w:rsidR="002B2E32" w:rsidRPr="00697B94" w:rsidRDefault="002B2E32" w:rsidP="002B2E32">
            <w:pPr>
              <w:pStyle w:val="Body"/>
              <w:rPr>
                <w:rFonts w:eastAsia="Times New Roman"/>
                <w:bCs/>
                <w:sz w:val="20"/>
              </w:rPr>
            </w:pPr>
            <w:r w:rsidRPr="00697B94">
              <w:rPr>
                <w:rFonts w:eastAsia="Times New Roman"/>
                <w:bCs/>
                <w:sz w:val="20"/>
              </w:rPr>
              <w:t>St</w:t>
            </w:r>
            <w:r w:rsidR="00D57ED2" w:rsidRPr="00697B94">
              <w:rPr>
                <w:rFonts w:eastAsia="Times New Roman"/>
                <w:bCs/>
                <w:sz w:val="20"/>
              </w:rPr>
              <w:t>andard</w:t>
            </w:r>
            <w:r w:rsidRPr="00697B94">
              <w:rPr>
                <w:rFonts w:eastAsia="Times New Roman"/>
                <w:bCs/>
                <w:sz w:val="20"/>
              </w:rPr>
              <w:t xml:space="preserve"> Dev</w:t>
            </w:r>
            <w:r w:rsidR="00D57ED2" w:rsidRPr="00697B94">
              <w:rPr>
                <w:rFonts w:eastAsia="Times New Roman"/>
                <w:bCs/>
                <w:sz w:val="20"/>
              </w:rPr>
              <w:t>iation</w:t>
            </w:r>
          </w:p>
        </w:tc>
        <w:tc>
          <w:tcPr>
            <w:tcW w:w="1349" w:type="dxa"/>
            <w:hideMark/>
          </w:tcPr>
          <w:p w14:paraId="71E27C43" w14:textId="77777777" w:rsidR="002B2E32" w:rsidRPr="00697B94" w:rsidRDefault="002B2E32" w:rsidP="002B2E32">
            <w:pPr>
              <w:pStyle w:val="Body"/>
              <w:rPr>
                <w:rFonts w:eastAsia="Times New Roman"/>
                <w:bCs/>
                <w:sz w:val="20"/>
              </w:rPr>
            </w:pPr>
            <w:r w:rsidRPr="00697B94">
              <w:rPr>
                <w:rFonts w:eastAsia="Times New Roman"/>
                <w:bCs/>
                <w:sz w:val="20"/>
              </w:rPr>
              <w:t>5.2463</w:t>
            </w:r>
          </w:p>
        </w:tc>
        <w:tc>
          <w:tcPr>
            <w:tcW w:w="1325" w:type="dxa"/>
            <w:hideMark/>
          </w:tcPr>
          <w:p w14:paraId="18C60277" w14:textId="77777777" w:rsidR="002B2E32" w:rsidRPr="00697B94" w:rsidRDefault="002B2E32" w:rsidP="002B2E32">
            <w:pPr>
              <w:pStyle w:val="Body"/>
              <w:rPr>
                <w:rFonts w:eastAsia="Times New Roman"/>
                <w:bCs/>
                <w:sz w:val="20"/>
              </w:rPr>
            </w:pPr>
            <w:r w:rsidRPr="00697B94">
              <w:rPr>
                <w:rFonts w:eastAsia="Times New Roman"/>
                <w:bCs/>
                <w:sz w:val="20"/>
              </w:rPr>
              <w:t>2.8316</w:t>
            </w:r>
          </w:p>
        </w:tc>
        <w:tc>
          <w:tcPr>
            <w:tcW w:w="1265" w:type="dxa"/>
            <w:hideMark/>
          </w:tcPr>
          <w:p w14:paraId="7F5946E6" w14:textId="77777777" w:rsidR="002B2E32" w:rsidRPr="00697B94" w:rsidRDefault="002B2E32" w:rsidP="002B2E32">
            <w:pPr>
              <w:pStyle w:val="Body"/>
              <w:rPr>
                <w:rFonts w:eastAsia="Times New Roman"/>
                <w:bCs/>
                <w:sz w:val="20"/>
              </w:rPr>
            </w:pPr>
            <w:r w:rsidRPr="00697B94">
              <w:rPr>
                <w:rFonts w:eastAsia="Times New Roman"/>
                <w:bCs/>
                <w:sz w:val="20"/>
              </w:rPr>
              <w:t>12.0646</w:t>
            </w:r>
          </w:p>
        </w:tc>
        <w:tc>
          <w:tcPr>
            <w:tcW w:w="1457" w:type="dxa"/>
            <w:hideMark/>
          </w:tcPr>
          <w:p w14:paraId="1F01E430" w14:textId="77777777" w:rsidR="002B2E32" w:rsidRPr="00697B94" w:rsidRDefault="002B2E32" w:rsidP="002B2E32">
            <w:pPr>
              <w:pStyle w:val="Body"/>
              <w:rPr>
                <w:rFonts w:eastAsia="Times New Roman"/>
                <w:bCs/>
                <w:sz w:val="20"/>
              </w:rPr>
            </w:pPr>
            <w:r w:rsidRPr="00697B94">
              <w:rPr>
                <w:rFonts w:eastAsia="Times New Roman"/>
                <w:bCs/>
                <w:sz w:val="20"/>
              </w:rPr>
              <w:t>2.4111</w:t>
            </w:r>
          </w:p>
        </w:tc>
        <w:tc>
          <w:tcPr>
            <w:tcW w:w="1325" w:type="dxa"/>
            <w:hideMark/>
          </w:tcPr>
          <w:p w14:paraId="269BB804" w14:textId="77777777" w:rsidR="002B2E32" w:rsidRPr="00697B94" w:rsidRDefault="002B2E32" w:rsidP="002B2E32">
            <w:pPr>
              <w:pStyle w:val="Body"/>
              <w:rPr>
                <w:rFonts w:eastAsia="Times New Roman"/>
                <w:bCs/>
                <w:sz w:val="20"/>
              </w:rPr>
            </w:pPr>
            <w:r w:rsidRPr="00697B94">
              <w:rPr>
                <w:rFonts w:eastAsia="Times New Roman"/>
                <w:bCs/>
                <w:sz w:val="20"/>
              </w:rPr>
              <w:t>1.5790</w:t>
            </w:r>
          </w:p>
        </w:tc>
      </w:tr>
      <w:tr w:rsidR="002B2E32" w:rsidRPr="00697B94" w14:paraId="0691741D" w14:textId="77777777" w:rsidTr="00D57ED2">
        <w:tc>
          <w:tcPr>
            <w:tcW w:w="1487" w:type="dxa"/>
            <w:tcBorders>
              <w:top w:val="nil"/>
              <w:left w:val="nil"/>
              <w:bottom w:val="nil"/>
              <w:right w:val="nil"/>
            </w:tcBorders>
            <w:hideMark/>
          </w:tcPr>
          <w:p w14:paraId="7AE687E9" w14:textId="77777777" w:rsidR="002B2E32" w:rsidRPr="00697B94" w:rsidRDefault="002B2E32" w:rsidP="002B2E32">
            <w:pPr>
              <w:pStyle w:val="Body"/>
              <w:rPr>
                <w:rFonts w:eastAsia="Times New Roman"/>
                <w:bCs/>
                <w:sz w:val="20"/>
              </w:rPr>
            </w:pPr>
            <w:r w:rsidRPr="00697B94">
              <w:rPr>
                <w:rFonts w:eastAsia="Times New Roman"/>
                <w:bCs/>
                <w:sz w:val="20"/>
              </w:rPr>
              <w:t xml:space="preserve">Skewness </w:t>
            </w:r>
          </w:p>
        </w:tc>
        <w:tc>
          <w:tcPr>
            <w:tcW w:w="1349" w:type="dxa"/>
            <w:tcBorders>
              <w:top w:val="nil"/>
              <w:left w:val="nil"/>
              <w:bottom w:val="nil"/>
              <w:right w:val="nil"/>
            </w:tcBorders>
            <w:hideMark/>
          </w:tcPr>
          <w:p w14:paraId="78F8E5BC" w14:textId="77777777" w:rsidR="002B2E32" w:rsidRPr="00697B94" w:rsidRDefault="002B2E32" w:rsidP="002B2E32">
            <w:pPr>
              <w:pStyle w:val="Body"/>
              <w:rPr>
                <w:rFonts w:eastAsia="Times New Roman"/>
                <w:bCs/>
                <w:sz w:val="20"/>
              </w:rPr>
            </w:pPr>
            <w:r w:rsidRPr="00697B94">
              <w:rPr>
                <w:rFonts w:eastAsia="Times New Roman"/>
                <w:bCs/>
                <w:sz w:val="20"/>
              </w:rPr>
              <w:t>-0.1423</w:t>
            </w:r>
          </w:p>
        </w:tc>
        <w:tc>
          <w:tcPr>
            <w:tcW w:w="1325" w:type="dxa"/>
            <w:tcBorders>
              <w:top w:val="nil"/>
              <w:left w:val="nil"/>
              <w:bottom w:val="nil"/>
              <w:right w:val="nil"/>
            </w:tcBorders>
            <w:hideMark/>
          </w:tcPr>
          <w:p w14:paraId="7F92534E" w14:textId="77777777" w:rsidR="002B2E32" w:rsidRPr="00697B94" w:rsidRDefault="002B2E32" w:rsidP="002B2E32">
            <w:pPr>
              <w:pStyle w:val="Body"/>
              <w:rPr>
                <w:rFonts w:eastAsia="Times New Roman"/>
                <w:bCs/>
                <w:sz w:val="20"/>
              </w:rPr>
            </w:pPr>
            <w:r w:rsidRPr="00697B94">
              <w:rPr>
                <w:rFonts w:eastAsia="Times New Roman"/>
                <w:bCs/>
                <w:sz w:val="20"/>
              </w:rPr>
              <w:t>0.4098</w:t>
            </w:r>
          </w:p>
        </w:tc>
        <w:tc>
          <w:tcPr>
            <w:tcW w:w="1265" w:type="dxa"/>
            <w:tcBorders>
              <w:top w:val="nil"/>
              <w:left w:val="nil"/>
              <w:bottom w:val="nil"/>
              <w:right w:val="nil"/>
            </w:tcBorders>
            <w:hideMark/>
          </w:tcPr>
          <w:p w14:paraId="2B92DAD6" w14:textId="77777777" w:rsidR="002B2E32" w:rsidRPr="00697B94" w:rsidRDefault="002B2E32" w:rsidP="002B2E32">
            <w:pPr>
              <w:pStyle w:val="Body"/>
              <w:rPr>
                <w:rFonts w:eastAsia="Times New Roman"/>
                <w:bCs/>
                <w:sz w:val="20"/>
              </w:rPr>
            </w:pPr>
            <w:r w:rsidRPr="00697B94">
              <w:rPr>
                <w:rFonts w:eastAsia="Times New Roman"/>
                <w:bCs/>
                <w:sz w:val="20"/>
              </w:rPr>
              <w:t>1.7033</w:t>
            </w:r>
          </w:p>
        </w:tc>
        <w:tc>
          <w:tcPr>
            <w:tcW w:w="1457" w:type="dxa"/>
            <w:tcBorders>
              <w:top w:val="nil"/>
              <w:left w:val="nil"/>
              <w:bottom w:val="nil"/>
              <w:right w:val="nil"/>
            </w:tcBorders>
            <w:hideMark/>
          </w:tcPr>
          <w:p w14:paraId="3BE21531" w14:textId="77777777" w:rsidR="002B2E32" w:rsidRPr="00697B94" w:rsidRDefault="002B2E32" w:rsidP="002B2E32">
            <w:pPr>
              <w:pStyle w:val="Body"/>
              <w:rPr>
                <w:rFonts w:eastAsia="Times New Roman"/>
                <w:bCs/>
                <w:sz w:val="20"/>
              </w:rPr>
            </w:pPr>
            <w:r w:rsidRPr="00697B94">
              <w:rPr>
                <w:rFonts w:eastAsia="Times New Roman"/>
                <w:bCs/>
                <w:sz w:val="20"/>
              </w:rPr>
              <w:t>1.6834</w:t>
            </w:r>
          </w:p>
        </w:tc>
        <w:tc>
          <w:tcPr>
            <w:tcW w:w="1325" w:type="dxa"/>
            <w:tcBorders>
              <w:top w:val="nil"/>
              <w:left w:val="nil"/>
              <w:bottom w:val="nil"/>
              <w:right w:val="nil"/>
            </w:tcBorders>
            <w:hideMark/>
          </w:tcPr>
          <w:p w14:paraId="6B53BD48" w14:textId="77777777" w:rsidR="002B2E32" w:rsidRPr="00697B94" w:rsidRDefault="002B2E32" w:rsidP="002B2E32">
            <w:pPr>
              <w:pStyle w:val="Body"/>
              <w:rPr>
                <w:rFonts w:eastAsia="Times New Roman"/>
                <w:bCs/>
                <w:sz w:val="20"/>
              </w:rPr>
            </w:pPr>
            <w:r w:rsidRPr="00697B94">
              <w:rPr>
                <w:rFonts w:eastAsia="Times New Roman"/>
                <w:bCs/>
                <w:sz w:val="20"/>
              </w:rPr>
              <w:t>1.2327</w:t>
            </w:r>
          </w:p>
        </w:tc>
      </w:tr>
      <w:tr w:rsidR="002B2E32" w:rsidRPr="00697B94" w14:paraId="1A2994CE" w14:textId="77777777" w:rsidTr="00D57ED2">
        <w:tc>
          <w:tcPr>
            <w:tcW w:w="1487" w:type="dxa"/>
            <w:tcBorders>
              <w:top w:val="nil"/>
              <w:left w:val="nil"/>
              <w:bottom w:val="nil"/>
              <w:right w:val="nil"/>
            </w:tcBorders>
          </w:tcPr>
          <w:p w14:paraId="152020E1" w14:textId="77777777" w:rsidR="002B2E32" w:rsidRPr="00697B94" w:rsidRDefault="002B2E32" w:rsidP="002B2E32">
            <w:pPr>
              <w:pStyle w:val="Body"/>
              <w:rPr>
                <w:rFonts w:eastAsia="Times New Roman"/>
                <w:bCs/>
                <w:sz w:val="20"/>
              </w:rPr>
            </w:pPr>
            <w:r w:rsidRPr="00697B94">
              <w:rPr>
                <w:rFonts w:eastAsia="Times New Roman"/>
                <w:bCs/>
                <w:sz w:val="20"/>
              </w:rPr>
              <w:t xml:space="preserve">Kurtosis </w:t>
            </w:r>
          </w:p>
        </w:tc>
        <w:tc>
          <w:tcPr>
            <w:tcW w:w="1349" w:type="dxa"/>
            <w:tcBorders>
              <w:top w:val="nil"/>
              <w:left w:val="nil"/>
              <w:bottom w:val="nil"/>
              <w:right w:val="nil"/>
            </w:tcBorders>
          </w:tcPr>
          <w:p w14:paraId="0C9A0EE4" w14:textId="77777777" w:rsidR="002B2E32" w:rsidRPr="00697B94" w:rsidRDefault="002B2E32" w:rsidP="002B2E32">
            <w:pPr>
              <w:pStyle w:val="Body"/>
              <w:rPr>
                <w:rFonts w:eastAsia="Times New Roman"/>
                <w:bCs/>
                <w:sz w:val="20"/>
              </w:rPr>
            </w:pPr>
            <w:r w:rsidRPr="00697B94">
              <w:rPr>
                <w:rFonts w:eastAsia="Times New Roman"/>
                <w:bCs/>
                <w:sz w:val="20"/>
              </w:rPr>
              <w:t>2.0162</w:t>
            </w:r>
          </w:p>
        </w:tc>
        <w:tc>
          <w:tcPr>
            <w:tcW w:w="1325" w:type="dxa"/>
            <w:tcBorders>
              <w:top w:val="nil"/>
              <w:left w:val="nil"/>
              <w:bottom w:val="nil"/>
              <w:right w:val="nil"/>
            </w:tcBorders>
          </w:tcPr>
          <w:p w14:paraId="0D39E852" w14:textId="77777777" w:rsidR="002B2E32" w:rsidRPr="00697B94" w:rsidRDefault="002B2E32" w:rsidP="002B2E32">
            <w:pPr>
              <w:pStyle w:val="Body"/>
              <w:rPr>
                <w:rFonts w:eastAsia="Times New Roman"/>
                <w:bCs/>
                <w:sz w:val="20"/>
              </w:rPr>
            </w:pPr>
            <w:r w:rsidRPr="00697B94">
              <w:rPr>
                <w:rFonts w:eastAsia="Times New Roman"/>
                <w:bCs/>
                <w:sz w:val="20"/>
              </w:rPr>
              <w:t>1.9109</w:t>
            </w:r>
          </w:p>
        </w:tc>
        <w:tc>
          <w:tcPr>
            <w:tcW w:w="1265" w:type="dxa"/>
            <w:tcBorders>
              <w:top w:val="nil"/>
              <w:left w:val="nil"/>
              <w:bottom w:val="nil"/>
              <w:right w:val="nil"/>
            </w:tcBorders>
          </w:tcPr>
          <w:p w14:paraId="01923AB4" w14:textId="77777777" w:rsidR="002B2E32" w:rsidRPr="00697B94" w:rsidRDefault="002B2E32" w:rsidP="002B2E32">
            <w:pPr>
              <w:pStyle w:val="Body"/>
              <w:rPr>
                <w:rFonts w:eastAsia="Times New Roman"/>
                <w:bCs/>
                <w:sz w:val="20"/>
              </w:rPr>
            </w:pPr>
            <w:r w:rsidRPr="00697B94">
              <w:rPr>
                <w:rFonts w:eastAsia="Times New Roman"/>
                <w:bCs/>
                <w:sz w:val="20"/>
              </w:rPr>
              <w:t>5.7912</w:t>
            </w:r>
          </w:p>
        </w:tc>
        <w:tc>
          <w:tcPr>
            <w:tcW w:w="1457" w:type="dxa"/>
            <w:tcBorders>
              <w:top w:val="nil"/>
              <w:left w:val="nil"/>
              <w:bottom w:val="nil"/>
              <w:right w:val="nil"/>
            </w:tcBorders>
          </w:tcPr>
          <w:p w14:paraId="61E2C59C" w14:textId="77777777" w:rsidR="002B2E32" w:rsidRPr="00697B94" w:rsidRDefault="002B2E32" w:rsidP="002B2E32">
            <w:pPr>
              <w:pStyle w:val="Body"/>
              <w:rPr>
                <w:rFonts w:eastAsia="Times New Roman"/>
                <w:bCs/>
                <w:sz w:val="20"/>
              </w:rPr>
            </w:pPr>
            <w:r w:rsidRPr="00697B94">
              <w:rPr>
                <w:rFonts w:eastAsia="Times New Roman"/>
                <w:bCs/>
                <w:sz w:val="20"/>
              </w:rPr>
              <w:t>6.4898</w:t>
            </w:r>
          </w:p>
        </w:tc>
        <w:tc>
          <w:tcPr>
            <w:tcW w:w="1325" w:type="dxa"/>
            <w:tcBorders>
              <w:top w:val="nil"/>
              <w:left w:val="nil"/>
              <w:bottom w:val="nil"/>
              <w:right w:val="nil"/>
            </w:tcBorders>
          </w:tcPr>
          <w:p w14:paraId="53C3D0AE" w14:textId="77777777" w:rsidR="002B2E32" w:rsidRPr="00697B94" w:rsidRDefault="002B2E32" w:rsidP="002B2E32">
            <w:pPr>
              <w:pStyle w:val="Body"/>
              <w:rPr>
                <w:rFonts w:eastAsia="Times New Roman"/>
                <w:bCs/>
                <w:sz w:val="20"/>
              </w:rPr>
            </w:pPr>
            <w:r w:rsidRPr="00697B94">
              <w:rPr>
                <w:rFonts w:eastAsia="Times New Roman"/>
                <w:bCs/>
                <w:sz w:val="20"/>
              </w:rPr>
              <w:t>3.3104</w:t>
            </w:r>
          </w:p>
        </w:tc>
      </w:tr>
      <w:tr w:rsidR="002B2E32" w:rsidRPr="00697B94" w14:paraId="5AD79319" w14:textId="77777777" w:rsidTr="00D57ED2">
        <w:tc>
          <w:tcPr>
            <w:tcW w:w="1487" w:type="dxa"/>
            <w:tcBorders>
              <w:top w:val="nil"/>
              <w:left w:val="nil"/>
              <w:bottom w:val="nil"/>
              <w:right w:val="nil"/>
            </w:tcBorders>
          </w:tcPr>
          <w:p w14:paraId="483E6466" w14:textId="77777777" w:rsidR="002B2E32" w:rsidRPr="00697B94" w:rsidRDefault="002B2E32" w:rsidP="002B2E32">
            <w:pPr>
              <w:pStyle w:val="Body"/>
              <w:rPr>
                <w:rFonts w:eastAsia="Times New Roman"/>
                <w:bCs/>
                <w:sz w:val="20"/>
              </w:rPr>
            </w:pPr>
            <w:r w:rsidRPr="00697B94">
              <w:rPr>
                <w:rFonts w:eastAsia="Times New Roman"/>
                <w:bCs/>
                <w:sz w:val="20"/>
              </w:rPr>
              <w:t>Jarque-Bera</w:t>
            </w:r>
          </w:p>
        </w:tc>
        <w:tc>
          <w:tcPr>
            <w:tcW w:w="1349" w:type="dxa"/>
            <w:tcBorders>
              <w:top w:val="nil"/>
              <w:left w:val="nil"/>
              <w:bottom w:val="nil"/>
              <w:right w:val="nil"/>
            </w:tcBorders>
          </w:tcPr>
          <w:p w14:paraId="1C9E746C" w14:textId="77777777" w:rsidR="002B2E32" w:rsidRPr="00697B94" w:rsidRDefault="002B2E32" w:rsidP="002B2E32">
            <w:pPr>
              <w:pStyle w:val="Body"/>
              <w:rPr>
                <w:rFonts w:eastAsia="Times New Roman"/>
                <w:bCs/>
                <w:sz w:val="20"/>
              </w:rPr>
            </w:pPr>
            <w:r w:rsidRPr="00697B94">
              <w:rPr>
                <w:rFonts w:eastAsia="Times New Roman"/>
                <w:bCs/>
                <w:sz w:val="20"/>
              </w:rPr>
              <w:t>1.3109</w:t>
            </w:r>
          </w:p>
        </w:tc>
        <w:tc>
          <w:tcPr>
            <w:tcW w:w="1325" w:type="dxa"/>
            <w:tcBorders>
              <w:top w:val="nil"/>
              <w:left w:val="nil"/>
              <w:bottom w:val="nil"/>
              <w:right w:val="nil"/>
            </w:tcBorders>
          </w:tcPr>
          <w:p w14:paraId="05E52523" w14:textId="77777777" w:rsidR="002B2E32" w:rsidRPr="00697B94" w:rsidRDefault="002B2E32" w:rsidP="002B2E32">
            <w:pPr>
              <w:pStyle w:val="Body"/>
              <w:rPr>
                <w:rFonts w:eastAsia="Times New Roman"/>
                <w:bCs/>
                <w:sz w:val="20"/>
              </w:rPr>
            </w:pPr>
            <w:r w:rsidRPr="00697B94">
              <w:rPr>
                <w:rFonts w:eastAsia="Times New Roman"/>
                <w:bCs/>
                <w:sz w:val="20"/>
              </w:rPr>
              <w:t>2.3225</w:t>
            </w:r>
          </w:p>
        </w:tc>
        <w:tc>
          <w:tcPr>
            <w:tcW w:w="1265" w:type="dxa"/>
            <w:tcBorders>
              <w:top w:val="nil"/>
              <w:left w:val="nil"/>
              <w:bottom w:val="nil"/>
              <w:right w:val="nil"/>
            </w:tcBorders>
          </w:tcPr>
          <w:p w14:paraId="42CE5148" w14:textId="77777777" w:rsidR="002B2E32" w:rsidRPr="00697B94" w:rsidRDefault="002B2E32" w:rsidP="002B2E32">
            <w:pPr>
              <w:pStyle w:val="Body"/>
              <w:rPr>
                <w:rFonts w:eastAsia="Times New Roman"/>
                <w:bCs/>
                <w:sz w:val="20"/>
              </w:rPr>
            </w:pPr>
            <w:r w:rsidRPr="00697B94">
              <w:rPr>
                <w:rFonts w:eastAsia="Times New Roman"/>
                <w:bCs/>
                <w:sz w:val="20"/>
              </w:rPr>
              <w:t>24.2446</w:t>
            </w:r>
          </w:p>
        </w:tc>
        <w:tc>
          <w:tcPr>
            <w:tcW w:w="1457" w:type="dxa"/>
            <w:tcBorders>
              <w:top w:val="nil"/>
              <w:left w:val="nil"/>
              <w:bottom w:val="nil"/>
              <w:right w:val="nil"/>
            </w:tcBorders>
          </w:tcPr>
          <w:p w14:paraId="00111F63" w14:textId="77777777" w:rsidR="002B2E32" w:rsidRPr="00697B94" w:rsidRDefault="002B2E32" w:rsidP="002B2E32">
            <w:pPr>
              <w:pStyle w:val="Body"/>
              <w:rPr>
                <w:rFonts w:eastAsia="Times New Roman"/>
                <w:bCs/>
                <w:sz w:val="20"/>
              </w:rPr>
            </w:pPr>
            <w:r w:rsidRPr="00697B94">
              <w:rPr>
                <w:rFonts w:eastAsia="Times New Roman"/>
                <w:bCs/>
                <w:sz w:val="20"/>
              </w:rPr>
              <w:t>29.3924</w:t>
            </w:r>
          </w:p>
        </w:tc>
        <w:tc>
          <w:tcPr>
            <w:tcW w:w="1325" w:type="dxa"/>
            <w:tcBorders>
              <w:top w:val="nil"/>
              <w:left w:val="nil"/>
              <w:bottom w:val="nil"/>
              <w:right w:val="nil"/>
            </w:tcBorders>
          </w:tcPr>
          <w:p w14:paraId="2BEDBF7B" w14:textId="77777777" w:rsidR="002B2E32" w:rsidRPr="00697B94" w:rsidRDefault="002B2E32" w:rsidP="002B2E32">
            <w:pPr>
              <w:pStyle w:val="Body"/>
              <w:rPr>
                <w:rFonts w:eastAsia="Times New Roman"/>
                <w:bCs/>
                <w:sz w:val="20"/>
              </w:rPr>
            </w:pPr>
            <w:r w:rsidRPr="00697B94">
              <w:rPr>
                <w:rFonts w:eastAsia="Times New Roman"/>
                <w:bCs/>
                <w:sz w:val="20"/>
              </w:rPr>
              <w:t>7.7182</w:t>
            </w:r>
          </w:p>
        </w:tc>
      </w:tr>
      <w:tr w:rsidR="002B2E32" w:rsidRPr="00697B94" w14:paraId="6DA06A9E" w14:textId="77777777" w:rsidTr="00D57ED2">
        <w:tc>
          <w:tcPr>
            <w:tcW w:w="1487" w:type="dxa"/>
            <w:tcBorders>
              <w:top w:val="nil"/>
              <w:left w:val="nil"/>
              <w:bottom w:val="nil"/>
              <w:right w:val="nil"/>
            </w:tcBorders>
          </w:tcPr>
          <w:p w14:paraId="1B32FD27" w14:textId="77777777" w:rsidR="002B2E32" w:rsidRPr="00697B94" w:rsidRDefault="002B2E32" w:rsidP="002B2E32">
            <w:pPr>
              <w:pStyle w:val="Body"/>
              <w:rPr>
                <w:rFonts w:eastAsia="Times New Roman"/>
                <w:bCs/>
                <w:sz w:val="20"/>
              </w:rPr>
            </w:pPr>
            <w:r w:rsidRPr="00697B94">
              <w:rPr>
                <w:rFonts w:eastAsia="Times New Roman"/>
                <w:bCs/>
                <w:sz w:val="20"/>
              </w:rPr>
              <w:t xml:space="preserve">Probability </w:t>
            </w:r>
          </w:p>
        </w:tc>
        <w:tc>
          <w:tcPr>
            <w:tcW w:w="1349" w:type="dxa"/>
            <w:tcBorders>
              <w:top w:val="nil"/>
              <w:left w:val="nil"/>
              <w:bottom w:val="nil"/>
              <w:right w:val="nil"/>
            </w:tcBorders>
          </w:tcPr>
          <w:p w14:paraId="0E267732" w14:textId="77777777" w:rsidR="002B2E32" w:rsidRPr="00697B94" w:rsidRDefault="002B2E32" w:rsidP="002B2E32">
            <w:pPr>
              <w:pStyle w:val="Body"/>
              <w:rPr>
                <w:rFonts w:eastAsia="Times New Roman"/>
                <w:bCs/>
                <w:sz w:val="20"/>
              </w:rPr>
            </w:pPr>
            <w:r w:rsidRPr="00697B94">
              <w:rPr>
                <w:rFonts w:eastAsia="Times New Roman"/>
                <w:bCs/>
                <w:sz w:val="20"/>
              </w:rPr>
              <w:t>0.5192</w:t>
            </w:r>
          </w:p>
        </w:tc>
        <w:tc>
          <w:tcPr>
            <w:tcW w:w="1325" w:type="dxa"/>
            <w:tcBorders>
              <w:top w:val="nil"/>
              <w:left w:val="nil"/>
              <w:bottom w:val="nil"/>
              <w:right w:val="nil"/>
            </w:tcBorders>
          </w:tcPr>
          <w:p w14:paraId="74B76B37" w14:textId="77777777" w:rsidR="002B2E32" w:rsidRPr="00697B94" w:rsidRDefault="002B2E32" w:rsidP="002B2E32">
            <w:pPr>
              <w:pStyle w:val="Body"/>
              <w:rPr>
                <w:rFonts w:eastAsia="Times New Roman"/>
                <w:bCs/>
                <w:sz w:val="20"/>
              </w:rPr>
            </w:pPr>
            <w:r w:rsidRPr="00697B94">
              <w:rPr>
                <w:rFonts w:eastAsia="Times New Roman"/>
                <w:bCs/>
                <w:sz w:val="20"/>
              </w:rPr>
              <w:t>0.3131</w:t>
            </w:r>
          </w:p>
        </w:tc>
        <w:tc>
          <w:tcPr>
            <w:tcW w:w="1265" w:type="dxa"/>
            <w:tcBorders>
              <w:top w:val="nil"/>
              <w:left w:val="nil"/>
              <w:bottom w:val="nil"/>
              <w:right w:val="nil"/>
            </w:tcBorders>
          </w:tcPr>
          <w:p w14:paraId="3B9903B5" w14:textId="77777777" w:rsidR="002B2E32" w:rsidRPr="00697B94" w:rsidRDefault="002B2E32" w:rsidP="002B2E32">
            <w:pPr>
              <w:pStyle w:val="Body"/>
              <w:rPr>
                <w:rFonts w:eastAsia="Times New Roman"/>
                <w:bCs/>
                <w:sz w:val="20"/>
              </w:rPr>
            </w:pPr>
            <w:r w:rsidRPr="00697B94">
              <w:rPr>
                <w:rFonts w:eastAsia="Times New Roman"/>
                <w:bCs/>
                <w:sz w:val="20"/>
              </w:rPr>
              <w:t>0.0000</w:t>
            </w:r>
          </w:p>
        </w:tc>
        <w:tc>
          <w:tcPr>
            <w:tcW w:w="1457" w:type="dxa"/>
            <w:tcBorders>
              <w:top w:val="nil"/>
              <w:left w:val="nil"/>
              <w:bottom w:val="nil"/>
              <w:right w:val="nil"/>
            </w:tcBorders>
          </w:tcPr>
          <w:p w14:paraId="783011CA" w14:textId="77777777" w:rsidR="002B2E32" w:rsidRPr="00697B94" w:rsidRDefault="002B2E32" w:rsidP="002B2E32">
            <w:pPr>
              <w:pStyle w:val="Body"/>
              <w:rPr>
                <w:rFonts w:eastAsia="Times New Roman"/>
                <w:bCs/>
                <w:sz w:val="20"/>
              </w:rPr>
            </w:pPr>
            <w:r w:rsidRPr="00697B94">
              <w:rPr>
                <w:rFonts w:eastAsia="Times New Roman"/>
                <w:bCs/>
                <w:sz w:val="20"/>
              </w:rPr>
              <w:t>0.0000</w:t>
            </w:r>
          </w:p>
        </w:tc>
        <w:tc>
          <w:tcPr>
            <w:tcW w:w="1325" w:type="dxa"/>
            <w:tcBorders>
              <w:top w:val="nil"/>
              <w:left w:val="nil"/>
              <w:bottom w:val="nil"/>
              <w:right w:val="nil"/>
            </w:tcBorders>
          </w:tcPr>
          <w:p w14:paraId="672766D2" w14:textId="77777777" w:rsidR="002B2E32" w:rsidRPr="00697B94" w:rsidRDefault="002B2E32" w:rsidP="002B2E32">
            <w:pPr>
              <w:pStyle w:val="Body"/>
              <w:rPr>
                <w:rFonts w:eastAsia="Times New Roman"/>
                <w:bCs/>
                <w:sz w:val="20"/>
              </w:rPr>
            </w:pPr>
            <w:r w:rsidRPr="00697B94">
              <w:rPr>
                <w:rFonts w:eastAsia="Times New Roman"/>
                <w:bCs/>
                <w:sz w:val="20"/>
              </w:rPr>
              <w:t>0.0211</w:t>
            </w:r>
          </w:p>
        </w:tc>
      </w:tr>
      <w:tr w:rsidR="002B2E32" w:rsidRPr="00697B94" w14:paraId="5339F6A4" w14:textId="77777777" w:rsidTr="00D57ED2">
        <w:tc>
          <w:tcPr>
            <w:tcW w:w="1487" w:type="dxa"/>
            <w:tcBorders>
              <w:top w:val="nil"/>
              <w:left w:val="nil"/>
              <w:bottom w:val="single" w:sz="4" w:space="0" w:color="auto"/>
              <w:right w:val="nil"/>
            </w:tcBorders>
          </w:tcPr>
          <w:p w14:paraId="3E27118E" w14:textId="77777777" w:rsidR="002B2E32" w:rsidRPr="00697B94" w:rsidRDefault="002B2E32" w:rsidP="002B2E32">
            <w:pPr>
              <w:pStyle w:val="Body"/>
              <w:rPr>
                <w:rFonts w:eastAsia="Times New Roman"/>
                <w:bCs/>
                <w:sz w:val="20"/>
              </w:rPr>
            </w:pPr>
            <w:r w:rsidRPr="00697B94">
              <w:rPr>
                <w:rFonts w:eastAsia="Times New Roman"/>
                <w:bCs/>
                <w:sz w:val="20"/>
              </w:rPr>
              <w:t xml:space="preserve">Observation </w:t>
            </w:r>
          </w:p>
        </w:tc>
        <w:tc>
          <w:tcPr>
            <w:tcW w:w="1349" w:type="dxa"/>
            <w:tcBorders>
              <w:top w:val="nil"/>
              <w:left w:val="nil"/>
              <w:bottom w:val="single" w:sz="4" w:space="0" w:color="auto"/>
              <w:right w:val="nil"/>
            </w:tcBorders>
          </w:tcPr>
          <w:p w14:paraId="7BD94CA0" w14:textId="77777777" w:rsidR="002B2E32" w:rsidRPr="00697B94" w:rsidRDefault="002B2E32" w:rsidP="002B2E32">
            <w:pPr>
              <w:pStyle w:val="Body"/>
              <w:rPr>
                <w:rFonts w:eastAsia="Times New Roman"/>
                <w:bCs/>
                <w:sz w:val="20"/>
              </w:rPr>
            </w:pPr>
            <w:r w:rsidRPr="00697B94">
              <w:rPr>
                <w:rFonts w:eastAsia="Times New Roman"/>
                <w:bCs/>
                <w:sz w:val="20"/>
              </w:rPr>
              <w:t>30</w:t>
            </w:r>
          </w:p>
        </w:tc>
        <w:tc>
          <w:tcPr>
            <w:tcW w:w="1325" w:type="dxa"/>
            <w:tcBorders>
              <w:top w:val="nil"/>
              <w:left w:val="nil"/>
              <w:bottom w:val="single" w:sz="4" w:space="0" w:color="auto"/>
              <w:right w:val="nil"/>
            </w:tcBorders>
          </w:tcPr>
          <w:p w14:paraId="5A5D805F" w14:textId="77777777" w:rsidR="002B2E32" w:rsidRPr="00697B94" w:rsidRDefault="002B2E32" w:rsidP="002B2E32">
            <w:pPr>
              <w:pStyle w:val="Body"/>
              <w:rPr>
                <w:rFonts w:eastAsia="Times New Roman"/>
                <w:bCs/>
                <w:sz w:val="20"/>
              </w:rPr>
            </w:pPr>
            <w:r w:rsidRPr="00697B94">
              <w:rPr>
                <w:rFonts w:eastAsia="Times New Roman"/>
                <w:bCs/>
                <w:sz w:val="20"/>
              </w:rPr>
              <w:t>30</w:t>
            </w:r>
          </w:p>
        </w:tc>
        <w:tc>
          <w:tcPr>
            <w:tcW w:w="1265" w:type="dxa"/>
            <w:tcBorders>
              <w:top w:val="nil"/>
              <w:left w:val="nil"/>
              <w:bottom w:val="single" w:sz="4" w:space="0" w:color="auto"/>
              <w:right w:val="nil"/>
            </w:tcBorders>
          </w:tcPr>
          <w:p w14:paraId="5012AC3B" w14:textId="77777777" w:rsidR="002B2E32" w:rsidRPr="00697B94" w:rsidRDefault="002B2E32" w:rsidP="002B2E32">
            <w:pPr>
              <w:pStyle w:val="Body"/>
              <w:rPr>
                <w:rFonts w:eastAsia="Times New Roman"/>
                <w:bCs/>
                <w:sz w:val="20"/>
              </w:rPr>
            </w:pPr>
            <w:r w:rsidRPr="00697B94">
              <w:rPr>
                <w:rFonts w:eastAsia="Times New Roman"/>
                <w:bCs/>
                <w:sz w:val="20"/>
              </w:rPr>
              <w:t>30</w:t>
            </w:r>
          </w:p>
        </w:tc>
        <w:tc>
          <w:tcPr>
            <w:tcW w:w="1457" w:type="dxa"/>
            <w:tcBorders>
              <w:top w:val="nil"/>
              <w:left w:val="nil"/>
              <w:bottom w:val="single" w:sz="4" w:space="0" w:color="auto"/>
              <w:right w:val="nil"/>
            </w:tcBorders>
          </w:tcPr>
          <w:p w14:paraId="7766269A" w14:textId="77777777" w:rsidR="002B2E32" w:rsidRPr="00697B94" w:rsidRDefault="002B2E32" w:rsidP="002B2E32">
            <w:pPr>
              <w:pStyle w:val="Body"/>
              <w:rPr>
                <w:rFonts w:eastAsia="Times New Roman"/>
                <w:bCs/>
                <w:sz w:val="20"/>
              </w:rPr>
            </w:pPr>
            <w:r w:rsidRPr="00697B94">
              <w:rPr>
                <w:rFonts w:eastAsia="Times New Roman"/>
                <w:bCs/>
                <w:sz w:val="20"/>
              </w:rPr>
              <w:t>30</w:t>
            </w:r>
          </w:p>
        </w:tc>
        <w:tc>
          <w:tcPr>
            <w:tcW w:w="1325" w:type="dxa"/>
            <w:tcBorders>
              <w:top w:val="nil"/>
              <w:left w:val="nil"/>
              <w:bottom w:val="single" w:sz="4" w:space="0" w:color="auto"/>
              <w:right w:val="nil"/>
            </w:tcBorders>
          </w:tcPr>
          <w:p w14:paraId="24E3D39D" w14:textId="77777777" w:rsidR="002B2E32" w:rsidRPr="00697B94" w:rsidRDefault="002B2E32" w:rsidP="002B2E32">
            <w:pPr>
              <w:pStyle w:val="Body"/>
              <w:rPr>
                <w:rFonts w:eastAsia="Times New Roman"/>
                <w:bCs/>
                <w:sz w:val="20"/>
              </w:rPr>
            </w:pPr>
            <w:r w:rsidRPr="00697B94">
              <w:rPr>
                <w:rFonts w:eastAsia="Times New Roman"/>
                <w:bCs/>
                <w:sz w:val="20"/>
              </w:rPr>
              <w:t>30</w:t>
            </w:r>
          </w:p>
        </w:tc>
      </w:tr>
    </w:tbl>
    <w:p w14:paraId="71B7CBCA" w14:textId="77777777" w:rsidR="002B2E32" w:rsidRPr="00697B94" w:rsidRDefault="002B2E32" w:rsidP="002B2E32">
      <w:pPr>
        <w:pStyle w:val="Body"/>
      </w:pPr>
      <w:r w:rsidRPr="00697B94">
        <w:t>Data source: Anon. (2021)</w:t>
      </w:r>
    </w:p>
    <w:p w14:paraId="3311F8E6" w14:textId="77777777" w:rsidR="002B2E32" w:rsidRPr="00697B94" w:rsidRDefault="002B2E32" w:rsidP="002B2E32">
      <w:pPr>
        <w:pStyle w:val="Body"/>
      </w:pPr>
      <w:r w:rsidRPr="00697B94">
        <w:t xml:space="preserve">From Table 1, it is observed that the total observations for the study are 30 observations given that we have 1990-2019 period and the data frequency is yearly. Looking at the mean values, gross fixed capital formation (GFCF) has the highest mean value of approximately 21.03% followed by inflation (INF) of 19.22%. Moreover, GDP growth over the study period averaged approximately 5.48% while foreign direct investment (FDI) averaged 3.98%. Exchange rate (EXR) between the US dollar and Ghana cedi for the study period on the other hand averaged 1.46. </w:t>
      </w:r>
    </w:p>
    <w:p w14:paraId="5386546A" w14:textId="77777777" w:rsidR="002B2E32" w:rsidRPr="00697B94" w:rsidRDefault="002B2E32" w:rsidP="002B2E32">
      <w:pPr>
        <w:pStyle w:val="Body"/>
      </w:pPr>
      <w:r w:rsidRPr="00697B94">
        <w:t xml:space="preserve">The median values of the variables were reported 21.75% for gross fixed capital formation, 15.30% for inflation, 4.77% for GDP growth, 3.24% for foreign direct investment and 0.91% </w:t>
      </w:r>
      <w:r w:rsidRPr="00697B94">
        <w:lastRenderedPageBreak/>
        <w:t>for exchange rate. Comparing the mean and median values of each of the variables indicate that for all the variables, the values of means and medians are close to each other indicating minor symmetry of the variables.</w:t>
      </w:r>
    </w:p>
    <w:p w14:paraId="63613D93" w14:textId="77777777" w:rsidR="002B2E32" w:rsidRPr="00697B94" w:rsidRDefault="002B2E32" w:rsidP="002B2E32">
      <w:pPr>
        <w:pStyle w:val="Body"/>
      </w:pPr>
      <w:r w:rsidRPr="00697B94">
        <w:t>On the distribution of the variables, it is observed from Table 1 that, all the variables with the exception of gross fixed capital formation are skewed to the right meaning that they are positively skewed. This is evidenced by the positively skewed values of the variables. However, by simple observation of the values of skewness and kurtosis, it is difficult to tell whether a given series is normally distributed or not. In Table 1, the result for Jarque-Bera (JB) test for normality is given for each variable under the null hypothesis of normal distribution. Therefore, from</w:t>
      </w:r>
      <w:r w:rsidR="00D57ED2" w:rsidRPr="00697B94">
        <w:t xml:space="preserve"> </w:t>
      </w:r>
      <w:r w:rsidRPr="00697B94">
        <w:t>Table</w:t>
      </w:r>
      <w:r w:rsidR="00D57ED2" w:rsidRPr="00697B94">
        <w:t xml:space="preserve"> </w:t>
      </w:r>
      <w:r w:rsidRPr="00697B94">
        <w:t>1, the Jarque-Bera statistic</w:t>
      </w:r>
      <w:r w:rsidR="00D57ED2" w:rsidRPr="00697B94">
        <w:t xml:space="preserve"> </w:t>
      </w:r>
      <w:r w:rsidRPr="00697B94">
        <w:t>which shows the</w:t>
      </w:r>
      <w:r w:rsidR="00D57ED2" w:rsidRPr="00697B94">
        <w:t xml:space="preserve"> </w:t>
      </w:r>
      <w:r w:rsidRPr="00697B94">
        <w:t>null hypothesis that all the variables were</w:t>
      </w:r>
      <w:r w:rsidR="00D57ED2" w:rsidRPr="00697B94">
        <w:t xml:space="preserve"> </w:t>
      </w:r>
      <w:r w:rsidRPr="00697B94">
        <w:t>drawn from a normally</w:t>
      </w:r>
      <w:r w:rsidR="00D57ED2" w:rsidRPr="00697B94">
        <w:t xml:space="preserve"> </w:t>
      </w:r>
      <w:r w:rsidRPr="00697B94">
        <w:t>distributed random process cannot be</w:t>
      </w:r>
      <w:r w:rsidR="00D57ED2" w:rsidRPr="00697B94">
        <w:t xml:space="preserve"> </w:t>
      </w:r>
      <w:r w:rsidRPr="00697B94">
        <w:t>rejected for gross fixed capital formation (GFCF) and foreign direct investment (FDI) since they have probability values greater than 5%, implying that, they are normally distributed. On the other hand, inflation (INF), GDP growth (GDPG) and exchange rate (EXR) are not normally distributed because their probability values are less than 5%.</w:t>
      </w:r>
    </w:p>
    <w:p w14:paraId="24840CCA" w14:textId="5815F30C" w:rsidR="00D57ED2" w:rsidRPr="00697B94" w:rsidRDefault="00D57ED2" w:rsidP="002B2E32">
      <w:pPr>
        <w:pStyle w:val="Body"/>
        <w:rPr>
          <w:b/>
          <w:bCs/>
        </w:rPr>
      </w:pPr>
      <w:r w:rsidRPr="00697B94">
        <w:rPr>
          <w:b/>
          <w:bCs/>
        </w:rPr>
        <w:t>3</w:t>
      </w:r>
      <w:r w:rsidR="002B2E32" w:rsidRPr="00697B94">
        <w:rPr>
          <w:b/>
          <w:bCs/>
        </w:rPr>
        <w:t>.2</w:t>
      </w:r>
      <w:r w:rsidRPr="00697B94">
        <w:rPr>
          <w:b/>
          <w:bCs/>
        </w:rPr>
        <w:t xml:space="preserve"> </w:t>
      </w:r>
      <w:r w:rsidR="002B2E32" w:rsidRPr="00697B94">
        <w:rPr>
          <w:b/>
          <w:bCs/>
        </w:rPr>
        <w:t>Unit</w:t>
      </w:r>
      <w:r w:rsidR="0030563F" w:rsidRPr="00697B94">
        <w:rPr>
          <w:b/>
          <w:bCs/>
        </w:rPr>
        <w:t xml:space="preserve"> </w:t>
      </w:r>
      <w:r w:rsidR="002B2E32" w:rsidRPr="00697B94">
        <w:rPr>
          <w:b/>
          <w:bCs/>
        </w:rPr>
        <w:t>Root Test Results</w:t>
      </w:r>
    </w:p>
    <w:p w14:paraId="78EB79CC" w14:textId="77777777" w:rsidR="002B2E32" w:rsidRPr="00697B94" w:rsidRDefault="002B2E32" w:rsidP="002B2E32">
      <w:pPr>
        <w:pStyle w:val="Body"/>
        <w:rPr>
          <w:b/>
          <w:bCs/>
        </w:rPr>
      </w:pPr>
      <w:r w:rsidRPr="00697B94">
        <w:t>To ascertain the properties of the series of the variables specified for the study, Augmented Dickey-Fuller (ADF) test as proposed by Dickey and Fuller (1979) and Phillips-Perron (PP) test were employed. The adoption of the two tests is to check for consistency in the unit root results obtained. In both tests,</w:t>
      </w:r>
      <w:r w:rsidR="00D57ED2" w:rsidRPr="00697B94">
        <w:t xml:space="preserve"> </w:t>
      </w:r>
      <w:r w:rsidRPr="00697B94">
        <w:t>the null hypothesis of unit</w:t>
      </w:r>
      <w:r w:rsidR="00D57ED2" w:rsidRPr="00697B94">
        <w:t xml:space="preserve"> </w:t>
      </w:r>
      <w:r w:rsidRPr="00697B94">
        <w:t>root is tested against the alternative</w:t>
      </w:r>
      <w:r w:rsidR="00D57ED2" w:rsidRPr="00697B94">
        <w:t xml:space="preserve"> </w:t>
      </w:r>
      <w:r w:rsidRPr="00697B94">
        <w:t>hypothesis of no</w:t>
      </w:r>
      <w:r w:rsidR="00D57ED2" w:rsidRPr="00697B94">
        <w:t xml:space="preserve"> </w:t>
      </w:r>
      <w:r w:rsidRPr="00697B94">
        <w:t>unit roots. For this reason, all the</w:t>
      </w:r>
      <w:r w:rsidR="00D57ED2" w:rsidRPr="00697B94">
        <w:t xml:space="preserve"> </w:t>
      </w:r>
      <w:r w:rsidRPr="00697B94">
        <w:t>variables are examined by</w:t>
      </w:r>
      <w:r w:rsidR="00D57ED2" w:rsidRPr="00697B94">
        <w:t xml:space="preserve"> </w:t>
      </w:r>
      <w:r w:rsidRPr="00697B94">
        <w:t>first inspecting their trends</w:t>
      </w:r>
      <w:r w:rsidR="00D57ED2" w:rsidRPr="00697B94">
        <w:t xml:space="preserve"> </w:t>
      </w:r>
      <w:r w:rsidRPr="00697B94">
        <w:t>graphically. From the graphs in Appendix</w:t>
      </w:r>
      <w:r w:rsidR="00D57ED2" w:rsidRPr="00697B94">
        <w:t xml:space="preserve"> </w:t>
      </w:r>
      <w:r w:rsidRPr="00697B94">
        <w:t>A, with the exception of gross fixed capital formation, inflation (and inflation squared) and GDP growth, the rest of the variables are non-stationary at levels. Nonetheless, the plots of all the variables in their first differences show the variables are stationary (Appendix B). The results of both ADF and PP unit tests with constant are given in Table 2.</w:t>
      </w:r>
    </w:p>
    <w:p w14:paraId="7CAC6DD5" w14:textId="77777777" w:rsidR="00D57ED2" w:rsidRPr="00697B94" w:rsidRDefault="00D57ED2" w:rsidP="00D57ED2">
      <w:pPr>
        <w:pStyle w:val="Body"/>
        <w:rPr>
          <w:b/>
          <w:iCs/>
        </w:rPr>
      </w:pPr>
      <w:bookmarkStart w:id="3" w:name="_Toc76559491"/>
      <w:r w:rsidRPr="00697B94">
        <w:rPr>
          <w:b/>
          <w:iCs/>
        </w:rPr>
        <w:t>Table 2</w:t>
      </w:r>
      <w:r w:rsidR="006741FD" w:rsidRPr="00697B94">
        <w:rPr>
          <w:b/>
          <w:iCs/>
        </w:rPr>
        <w:t>.</w:t>
      </w:r>
      <w:r w:rsidRPr="00697B94">
        <w:rPr>
          <w:b/>
          <w:iCs/>
        </w:rPr>
        <w:t xml:space="preserve"> Results of Unit Root Test</w:t>
      </w:r>
      <w:bookmarkEnd w:id="3"/>
    </w:p>
    <w:tbl>
      <w:tblPr>
        <w:tblW w:w="9216" w:type="dxa"/>
        <w:tblBorders>
          <w:top w:val="single" w:sz="4" w:space="0" w:color="auto"/>
        </w:tblBorders>
        <w:tblLook w:val="04A0" w:firstRow="1" w:lastRow="0" w:firstColumn="1" w:lastColumn="0" w:noHBand="0" w:noVBand="1"/>
      </w:tblPr>
      <w:tblGrid>
        <w:gridCol w:w="1420"/>
        <w:gridCol w:w="1498"/>
        <w:gridCol w:w="1498"/>
        <w:gridCol w:w="1420"/>
        <w:gridCol w:w="1610"/>
        <w:gridCol w:w="1770"/>
      </w:tblGrid>
      <w:tr w:rsidR="00D57ED2" w:rsidRPr="00697B94" w14:paraId="6321250E" w14:textId="77777777" w:rsidTr="00D57ED2">
        <w:trPr>
          <w:trHeight w:val="288"/>
        </w:trPr>
        <w:tc>
          <w:tcPr>
            <w:tcW w:w="0" w:type="auto"/>
            <w:gridSpan w:val="3"/>
            <w:tcBorders>
              <w:top w:val="single" w:sz="4" w:space="0" w:color="auto"/>
              <w:left w:val="nil"/>
              <w:bottom w:val="nil"/>
              <w:right w:val="single" w:sz="4" w:space="0" w:color="auto"/>
            </w:tcBorders>
            <w:vAlign w:val="bottom"/>
          </w:tcPr>
          <w:p w14:paraId="7DFE85C7" w14:textId="77777777" w:rsidR="00D57ED2" w:rsidRPr="00697B94" w:rsidRDefault="00D57ED2" w:rsidP="00D57ED2">
            <w:pPr>
              <w:pStyle w:val="Body"/>
              <w:spacing w:after="0"/>
              <w:jc w:val="center"/>
              <w:rPr>
                <w:rFonts w:cs="Helvetica"/>
                <w:b/>
                <w:bCs/>
              </w:rPr>
            </w:pPr>
            <w:bookmarkStart w:id="4" w:name="_Hlk2663108"/>
            <w:r w:rsidRPr="00697B94">
              <w:rPr>
                <w:rFonts w:cs="Helvetica"/>
                <w:b/>
                <w:bCs/>
              </w:rPr>
              <w:t>LEVEL</w:t>
            </w:r>
          </w:p>
        </w:tc>
        <w:tc>
          <w:tcPr>
            <w:tcW w:w="0" w:type="auto"/>
            <w:gridSpan w:val="3"/>
            <w:tcBorders>
              <w:top w:val="single" w:sz="4" w:space="0" w:color="auto"/>
              <w:left w:val="single" w:sz="4" w:space="0" w:color="auto"/>
              <w:bottom w:val="nil"/>
              <w:right w:val="nil"/>
            </w:tcBorders>
            <w:vAlign w:val="bottom"/>
            <w:hideMark/>
          </w:tcPr>
          <w:p w14:paraId="285F17CF" w14:textId="77777777" w:rsidR="00D57ED2" w:rsidRPr="00697B94" w:rsidRDefault="00D57ED2" w:rsidP="00D57ED2">
            <w:pPr>
              <w:pStyle w:val="Body"/>
              <w:spacing w:after="0"/>
              <w:jc w:val="center"/>
              <w:rPr>
                <w:rFonts w:cs="Helvetica"/>
                <w:b/>
                <w:bCs/>
              </w:rPr>
            </w:pPr>
            <w:r w:rsidRPr="00697B94">
              <w:rPr>
                <w:rFonts w:cs="Helvetica"/>
                <w:b/>
                <w:bCs/>
              </w:rPr>
              <w:t>FIRST DIFFERENCE</w:t>
            </w:r>
          </w:p>
        </w:tc>
      </w:tr>
      <w:tr w:rsidR="00D57ED2" w:rsidRPr="00697B94" w14:paraId="30B44DA6" w14:textId="77777777" w:rsidTr="00D57ED2">
        <w:trPr>
          <w:trHeight w:val="288"/>
        </w:trPr>
        <w:tc>
          <w:tcPr>
            <w:tcW w:w="0" w:type="auto"/>
            <w:tcBorders>
              <w:top w:val="nil"/>
              <w:left w:val="nil"/>
              <w:bottom w:val="nil"/>
              <w:right w:val="nil"/>
            </w:tcBorders>
            <w:vAlign w:val="bottom"/>
            <w:hideMark/>
          </w:tcPr>
          <w:p w14:paraId="09978785" w14:textId="77777777" w:rsidR="00D57ED2" w:rsidRPr="00697B94" w:rsidRDefault="00D57ED2" w:rsidP="00D57ED2">
            <w:pPr>
              <w:pStyle w:val="Body"/>
              <w:spacing w:after="0"/>
              <w:jc w:val="center"/>
              <w:rPr>
                <w:rFonts w:cs="Helvetica"/>
                <w:b/>
                <w:bCs/>
              </w:rPr>
            </w:pPr>
            <w:r w:rsidRPr="00697B94">
              <w:rPr>
                <w:rFonts w:cs="Helvetica"/>
                <w:b/>
                <w:bCs/>
              </w:rPr>
              <w:t>Variable</w:t>
            </w:r>
          </w:p>
        </w:tc>
        <w:tc>
          <w:tcPr>
            <w:tcW w:w="0" w:type="auto"/>
            <w:tcBorders>
              <w:top w:val="nil"/>
              <w:left w:val="nil"/>
              <w:bottom w:val="nil"/>
              <w:right w:val="nil"/>
            </w:tcBorders>
            <w:vAlign w:val="bottom"/>
            <w:hideMark/>
          </w:tcPr>
          <w:p w14:paraId="1536AF58" w14:textId="77777777" w:rsidR="00D57ED2" w:rsidRPr="00697B94" w:rsidRDefault="00D57ED2" w:rsidP="00D57ED2">
            <w:pPr>
              <w:pStyle w:val="Body"/>
              <w:spacing w:after="0"/>
              <w:jc w:val="center"/>
              <w:rPr>
                <w:rFonts w:cs="Helvetica"/>
                <w:b/>
                <w:bCs/>
              </w:rPr>
            </w:pPr>
            <w:r w:rsidRPr="00697B94">
              <w:rPr>
                <w:rFonts w:cs="Helvetica"/>
                <w:b/>
                <w:bCs/>
              </w:rPr>
              <w:t>ADF</w:t>
            </w:r>
          </w:p>
        </w:tc>
        <w:tc>
          <w:tcPr>
            <w:tcW w:w="0" w:type="auto"/>
            <w:tcBorders>
              <w:top w:val="nil"/>
              <w:left w:val="nil"/>
              <w:bottom w:val="nil"/>
              <w:right w:val="single" w:sz="4" w:space="0" w:color="auto"/>
            </w:tcBorders>
            <w:vAlign w:val="bottom"/>
            <w:hideMark/>
          </w:tcPr>
          <w:p w14:paraId="6DF17505" w14:textId="77777777" w:rsidR="00D57ED2" w:rsidRPr="00697B94" w:rsidRDefault="00D57ED2" w:rsidP="00D57ED2">
            <w:pPr>
              <w:pStyle w:val="Body"/>
              <w:spacing w:after="0"/>
              <w:jc w:val="center"/>
              <w:rPr>
                <w:rFonts w:cs="Helvetica"/>
                <w:b/>
                <w:bCs/>
              </w:rPr>
            </w:pPr>
            <w:r w:rsidRPr="00697B94">
              <w:rPr>
                <w:rFonts w:cs="Helvetica"/>
                <w:b/>
                <w:bCs/>
              </w:rPr>
              <w:t>PP</w:t>
            </w:r>
          </w:p>
        </w:tc>
        <w:tc>
          <w:tcPr>
            <w:tcW w:w="0" w:type="auto"/>
            <w:tcBorders>
              <w:top w:val="nil"/>
              <w:left w:val="single" w:sz="4" w:space="0" w:color="auto"/>
              <w:bottom w:val="nil"/>
              <w:right w:val="nil"/>
            </w:tcBorders>
            <w:vAlign w:val="bottom"/>
            <w:hideMark/>
          </w:tcPr>
          <w:p w14:paraId="6323278B" w14:textId="77777777" w:rsidR="00D57ED2" w:rsidRPr="00697B94" w:rsidRDefault="00D57ED2" w:rsidP="00D57ED2">
            <w:pPr>
              <w:pStyle w:val="Body"/>
              <w:spacing w:after="0"/>
              <w:jc w:val="center"/>
              <w:rPr>
                <w:rFonts w:cs="Helvetica"/>
                <w:b/>
                <w:bCs/>
              </w:rPr>
            </w:pPr>
            <w:r w:rsidRPr="00697B94">
              <w:rPr>
                <w:rFonts w:cs="Helvetica"/>
                <w:b/>
                <w:bCs/>
              </w:rPr>
              <w:t>Variable</w:t>
            </w:r>
          </w:p>
        </w:tc>
        <w:tc>
          <w:tcPr>
            <w:tcW w:w="0" w:type="auto"/>
            <w:tcBorders>
              <w:top w:val="nil"/>
              <w:left w:val="nil"/>
              <w:bottom w:val="single" w:sz="4" w:space="0" w:color="auto"/>
              <w:right w:val="nil"/>
            </w:tcBorders>
            <w:vAlign w:val="bottom"/>
            <w:hideMark/>
          </w:tcPr>
          <w:p w14:paraId="56B0DA88" w14:textId="77777777" w:rsidR="00D57ED2" w:rsidRPr="00697B94" w:rsidRDefault="00D57ED2" w:rsidP="00D57ED2">
            <w:pPr>
              <w:pStyle w:val="Body"/>
              <w:spacing w:after="0"/>
              <w:jc w:val="center"/>
              <w:rPr>
                <w:rFonts w:cs="Helvetica"/>
                <w:b/>
                <w:bCs/>
              </w:rPr>
            </w:pPr>
            <w:r w:rsidRPr="00697B94">
              <w:rPr>
                <w:rFonts w:cs="Helvetica"/>
                <w:b/>
                <w:bCs/>
              </w:rPr>
              <w:t>ADF</w:t>
            </w:r>
          </w:p>
        </w:tc>
        <w:tc>
          <w:tcPr>
            <w:tcW w:w="0" w:type="auto"/>
            <w:tcBorders>
              <w:top w:val="nil"/>
              <w:left w:val="nil"/>
              <w:bottom w:val="single" w:sz="4" w:space="0" w:color="auto"/>
              <w:right w:val="nil"/>
            </w:tcBorders>
            <w:vAlign w:val="bottom"/>
            <w:hideMark/>
          </w:tcPr>
          <w:p w14:paraId="59BC87D8" w14:textId="77777777" w:rsidR="00D57ED2" w:rsidRPr="00697B94" w:rsidRDefault="00D57ED2" w:rsidP="00D57ED2">
            <w:pPr>
              <w:pStyle w:val="Body"/>
              <w:spacing w:after="0"/>
              <w:jc w:val="center"/>
              <w:rPr>
                <w:rFonts w:cs="Helvetica"/>
                <w:b/>
                <w:bCs/>
              </w:rPr>
            </w:pPr>
            <w:r w:rsidRPr="00697B94">
              <w:rPr>
                <w:rFonts w:cs="Helvetica"/>
                <w:b/>
                <w:bCs/>
              </w:rPr>
              <w:t>PP</w:t>
            </w:r>
          </w:p>
        </w:tc>
      </w:tr>
      <w:tr w:rsidR="00D57ED2" w:rsidRPr="00697B94" w14:paraId="3E724B46" w14:textId="77777777" w:rsidTr="00D57ED2">
        <w:trPr>
          <w:trHeight w:val="19"/>
        </w:trPr>
        <w:tc>
          <w:tcPr>
            <w:tcW w:w="0" w:type="auto"/>
            <w:tcBorders>
              <w:top w:val="single" w:sz="4" w:space="0" w:color="auto"/>
              <w:left w:val="nil"/>
              <w:bottom w:val="nil"/>
              <w:right w:val="nil"/>
            </w:tcBorders>
            <w:vAlign w:val="center"/>
            <w:hideMark/>
          </w:tcPr>
          <w:p w14:paraId="1013AD87" w14:textId="77777777" w:rsidR="00D57ED2" w:rsidRPr="00697B94" w:rsidRDefault="00D57ED2" w:rsidP="00D57ED2">
            <w:pPr>
              <w:pStyle w:val="Body"/>
              <w:spacing w:before="240" w:after="0"/>
              <w:jc w:val="left"/>
              <w:rPr>
                <w:rFonts w:cs="Helvetica"/>
                <w:bCs/>
              </w:rPr>
            </w:pPr>
            <m:oMathPara>
              <m:oMathParaPr>
                <m:jc m:val="left"/>
              </m:oMathParaPr>
              <m:oMath>
                <m:r>
                  <m:rPr>
                    <m:sty m:val="p"/>
                  </m:rPr>
                  <w:rPr>
                    <w:rFonts w:ascii="Cambria Math" w:hAnsi="Cambria Math" w:cs="Helvetica"/>
                  </w:rPr>
                  <m:t>GFCF</m:t>
                </m:r>
              </m:oMath>
            </m:oMathPara>
          </w:p>
        </w:tc>
        <w:tc>
          <w:tcPr>
            <w:tcW w:w="0" w:type="auto"/>
            <w:tcBorders>
              <w:top w:val="single" w:sz="4" w:space="0" w:color="auto"/>
              <w:left w:val="nil"/>
              <w:bottom w:val="nil"/>
              <w:right w:val="nil"/>
            </w:tcBorders>
            <w:vAlign w:val="center"/>
            <w:hideMark/>
          </w:tcPr>
          <w:p w14:paraId="5DF4CDD0" w14:textId="77777777" w:rsidR="00D57ED2" w:rsidRPr="00697B94" w:rsidRDefault="00D57ED2" w:rsidP="00D57ED2">
            <w:pPr>
              <w:pStyle w:val="Body"/>
              <w:spacing w:before="240" w:after="0"/>
              <w:jc w:val="left"/>
              <w:rPr>
                <w:rFonts w:cs="Helvetica"/>
                <w:bCs/>
              </w:rPr>
            </w:pPr>
            <w:r w:rsidRPr="00697B94">
              <w:rPr>
                <w:rFonts w:cs="Helvetica"/>
                <w:bCs/>
              </w:rPr>
              <w:t xml:space="preserve">-2.7083* </w:t>
            </w:r>
          </w:p>
        </w:tc>
        <w:tc>
          <w:tcPr>
            <w:tcW w:w="0" w:type="auto"/>
            <w:tcBorders>
              <w:top w:val="single" w:sz="4" w:space="0" w:color="auto"/>
              <w:left w:val="nil"/>
              <w:bottom w:val="nil"/>
              <w:right w:val="single" w:sz="4" w:space="0" w:color="auto"/>
            </w:tcBorders>
            <w:vAlign w:val="center"/>
            <w:hideMark/>
          </w:tcPr>
          <w:p w14:paraId="13888021" w14:textId="77777777" w:rsidR="00D57ED2" w:rsidRPr="00697B94" w:rsidRDefault="00D57ED2" w:rsidP="00D57ED2">
            <w:pPr>
              <w:pStyle w:val="Body"/>
              <w:spacing w:before="240" w:after="0"/>
              <w:jc w:val="left"/>
              <w:rPr>
                <w:rFonts w:cs="Helvetica"/>
                <w:bCs/>
              </w:rPr>
            </w:pPr>
            <w:r w:rsidRPr="00697B94">
              <w:rPr>
                <w:rFonts w:cs="Helvetica"/>
                <w:bCs/>
              </w:rPr>
              <w:t xml:space="preserve">-2.7325* </w:t>
            </w:r>
          </w:p>
        </w:tc>
        <w:tc>
          <w:tcPr>
            <w:tcW w:w="0" w:type="auto"/>
            <w:tcBorders>
              <w:top w:val="single" w:sz="4" w:space="0" w:color="auto"/>
              <w:left w:val="single" w:sz="4" w:space="0" w:color="auto"/>
              <w:bottom w:val="nil"/>
              <w:right w:val="nil"/>
            </w:tcBorders>
            <w:vAlign w:val="center"/>
            <w:hideMark/>
          </w:tcPr>
          <w:p w14:paraId="76A8241D" w14:textId="77777777" w:rsidR="00D57ED2" w:rsidRPr="00697B94" w:rsidRDefault="00D57ED2" w:rsidP="00D57ED2">
            <w:pPr>
              <w:pStyle w:val="Body"/>
              <w:spacing w:before="240" w:after="0"/>
              <w:jc w:val="left"/>
              <w:rPr>
                <w:rFonts w:cs="Helvetica"/>
                <w:bCs/>
                <w:iCs/>
              </w:rPr>
            </w:pPr>
            <m:oMathPara>
              <m:oMathParaPr>
                <m:jc m:val="left"/>
              </m:oMathParaPr>
              <m:oMath>
                <m:r>
                  <m:rPr>
                    <m:sty m:val="p"/>
                  </m:rPr>
                  <w:rPr>
                    <w:rFonts w:ascii="Cambria Math" w:hAnsi="Cambria Math" w:cs="Helvetica"/>
                  </w:rPr>
                  <m:t>∆GFCF</m:t>
                </m:r>
              </m:oMath>
            </m:oMathPara>
          </w:p>
        </w:tc>
        <w:tc>
          <w:tcPr>
            <w:tcW w:w="0" w:type="auto"/>
            <w:tcBorders>
              <w:top w:val="single" w:sz="4" w:space="0" w:color="auto"/>
              <w:left w:val="nil"/>
              <w:bottom w:val="nil"/>
              <w:right w:val="nil"/>
            </w:tcBorders>
            <w:vAlign w:val="center"/>
            <w:hideMark/>
          </w:tcPr>
          <w:p w14:paraId="2B7E5A3B" w14:textId="77777777" w:rsidR="00D57ED2" w:rsidRPr="00697B94" w:rsidRDefault="00D57ED2" w:rsidP="00D57ED2">
            <w:pPr>
              <w:pStyle w:val="Body"/>
              <w:spacing w:before="240" w:after="0"/>
              <w:jc w:val="left"/>
              <w:rPr>
                <w:rFonts w:cs="Helvetica"/>
                <w:bCs/>
              </w:rPr>
            </w:pPr>
            <w:r w:rsidRPr="00697B94">
              <w:rPr>
                <w:rFonts w:cs="Helvetica"/>
                <w:bCs/>
              </w:rPr>
              <w:t xml:space="preserve">-5.0283***    </w:t>
            </w:r>
          </w:p>
        </w:tc>
        <w:tc>
          <w:tcPr>
            <w:tcW w:w="0" w:type="auto"/>
            <w:tcBorders>
              <w:top w:val="nil"/>
              <w:left w:val="nil"/>
              <w:bottom w:val="nil"/>
              <w:right w:val="nil"/>
            </w:tcBorders>
            <w:vAlign w:val="center"/>
            <w:hideMark/>
          </w:tcPr>
          <w:p w14:paraId="29586047" w14:textId="77777777" w:rsidR="00D57ED2" w:rsidRPr="00697B94" w:rsidRDefault="00D57ED2" w:rsidP="00D57ED2">
            <w:pPr>
              <w:pStyle w:val="Body"/>
              <w:spacing w:before="240" w:after="0"/>
              <w:jc w:val="left"/>
              <w:rPr>
                <w:rFonts w:cs="Helvetica"/>
                <w:bCs/>
              </w:rPr>
            </w:pPr>
            <w:r w:rsidRPr="00697B94">
              <w:rPr>
                <w:rFonts w:cs="Helvetica"/>
                <w:bCs/>
              </w:rPr>
              <w:t xml:space="preserve">-5.4282*** </w:t>
            </w:r>
          </w:p>
        </w:tc>
      </w:tr>
      <w:tr w:rsidR="00D57ED2" w:rsidRPr="00697B94" w14:paraId="31393B68" w14:textId="77777777" w:rsidTr="00D57ED2">
        <w:trPr>
          <w:trHeight w:val="19"/>
        </w:trPr>
        <w:tc>
          <w:tcPr>
            <w:tcW w:w="0" w:type="auto"/>
            <w:tcBorders>
              <w:top w:val="nil"/>
              <w:left w:val="nil"/>
              <w:bottom w:val="nil"/>
              <w:right w:val="nil"/>
            </w:tcBorders>
            <w:vAlign w:val="center"/>
            <w:hideMark/>
          </w:tcPr>
          <w:p w14:paraId="41BEA135" w14:textId="77777777" w:rsidR="00D57ED2" w:rsidRPr="00697B94" w:rsidRDefault="00D57ED2" w:rsidP="00D57ED2">
            <w:pPr>
              <w:pStyle w:val="Body"/>
              <w:spacing w:before="240" w:after="0"/>
              <w:jc w:val="left"/>
              <w:rPr>
                <w:rFonts w:cs="Helvetica"/>
                <w:bCs/>
              </w:rPr>
            </w:pPr>
            <m:oMathPara>
              <m:oMathParaPr>
                <m:jc m:val="left"/>
              </m:oMathParaPr>
              <m:oMath>
                <m:r>
                  <m:rPr>
                    <m:sty m:val="p"/>
                  </m:rPr>
                  <w:rPr>
                    <w:rFonts w:ascii="Cambria Math" w:hAnsi="Cambria Math" w:cs="Helvetica"/>
                  </w:rPr>
                  <m:t>FDI</m:t>
                </m:r>
              </m:oMath>
            </m:oMathPara>
          </w:p>
        </w:tc>
        <w:tc>
          <w:tcPr>
            <w:tcW w:w="0" w:type="auto"/>
            <w:tcBorders>
              <w:top w:val="nil"/>
              <w:left w:val="nil"/>
              <w:bottom w:val="nil"/>
              <w:right w:val="nil"/>
            </w:tcBorders>
            <w:vAlign w:val="center"/>
            <w:hideMark/>
          </w:tcPr>
          <w:p w14:paraId="493B53DB" w14:textId="77777777" w:rsidR="00D57ED2" w:rsidRPr="00697B94" w:rsidRDefault="00D57ED2" w:rsidP="00D57ED2">
            <w:pPr>
              <w:pStyle w:val="Body"/>
              <w:spacing w:before="240" w:after="0"/>
              <w:jc w:val="left"/>
              <w:rPr>
                <w:rFonts w:cs="Helvetica"/>
                <w:bCs/>
              </w:rPr>
            </w:pPr>
            <w:r w:rsidRPr="00697B94">
              <w:rPr>
                <w:rFonts w:cs="Helvetica"/>
                <w:bCs/>
              </w:rPr>
              <w:t xml:space="preserve">-1.6371 </w:t>
            </w:r>
          </w:p>
        </w:tc>
        <w:tc>
          <w:tcPr>
            <w:tcW w:w="0" w:type="auto"/>
            <w:tcBorders>
              <w:top w:val="nil"/>
              <w:left w:val="nil"/>
              <w:bottom w:val="nil"/>
              <w:right w:val="single" w:sz="4" w:space="0" w:color="auto"/>
            </w:tcBorders>
            <w:vAlign w:val="center"/>
            <w:hideMark/>
          </w:tcPr>
          <w:p w14:paraId="040CDE17" w14:textId="77777777" w:rsidR="00D57ED2" w:rsidRPr="00697B94" w:rsidRDefault="00D57ED2" w:rsidP="00D57ED2">
            <w:pPr>
              <w:pStyle w:val="Body"/>
              <w:spacing w:before="240" w:after="0"/>
              <w:jc w:val="left"/>
              <w:rPr>
                <w:rFonts w:cs="Helvetica"/>
                <w:bCs/>
              </w:rPr>
            </w:pPr>
            <w:r w:rsidRPr="00697B94">
              <w:rPr>
                <w:rFonts w:cs="Helvetica"/>
                <w:bCs/>
              </w:rPr>
              <w:t>-1.6980</w:t>
            </w:r>
          </w:p>
        </w:tc>
        <w:tc>
          <w:tcPr>
            <w:tcW w:w="0" w:type="auto"/>
            <w:tcBorders>
              <w:top w:val="nil"/>
              <w:left w:val="single" w:sz="4" w:space="0" w:color="auto"/>
              <w:bottom w:val="nil"/>
              <w:right w:val="nil"/>
            </w:tcBorders>
            <w:vAlign w:val="center"/>
            <w:hideMark/>
          </w:tcPr>
          <w:p w14:paraId="7CB0D08C" w14:textId="77777777" w:rsidR="00D57ED2" w:rsidRPr="00697B94" w:rsidRDefault="00D57ED2" w:rsidP="00D57ED2">
            <w:pPr>
              <w:pStyle w:val="Body"/>
              <w:spacing w:before="240" w:after="0"/>
              <w:jc w:val="left"/>
              <w:rPr>
                <w:rFonts w:cs="Helvetica"/>
                <w:bCs/>
                <w:iCs/>
              </w:rPr>
            </w:pPr>
            <m:oMathPara>
              <m:oMathParaPr>
                <m:jc m:val="left"/>
              </m:oMathParaPr>
              <m:oMath>
                <m:r>
                  <m:rPr>
                    <m:sty m:val="p"/>
                  </m:rPr>
                  <w:rPr>
                    <w:rFonts w:ascii="Cambria Math" w:hAnsi="Cambria Math" w:cs="Helvetica"/>
                  </w:rPr>
                  <m:t>∆FDI</m:t>
                </m:r>
              </m:oMath>
            </m:oMathPara>
          </w:p>
        </w:tc>
        <w:tc>
          <w:tcPr>
            <w:tcW w:w="0" w:type="auto"/>
            <w:tcBorders>
              <w:top w:val="nil"/>
              <w:left w:val="nil"/>
              <w:bottom w:val="nil"/>
              <w:right w:val="nil"/>
            </w:tcBorders>
            <w:vAlign w:val="center"/>
            <w:hideMark/>
          </w:tcPr>
          <w:p w14:paraId="263D93E8" w14:textId="77777777" w:rsidR="00D57ED2" w:rsidRPr="00697B94" w:rsidRDefault="00D57ED2" w:rsidP="00D57ED2">
            <w:pPr>
              <w:pStyle w:val="Body"/>
              <w:spacing w:before="240" w:after="0"/>
              <w:jc w:val="left"/>
              <w:rPr>
                <w:rFonts w:cs="Helvetica"/>
                <w:bCs/>
              </w:rPr>
            </w:pPr>
            <w:r w:rsidRPr="00697B94">
              <w:rPr>
                <w:rFonts w:cs="Helvetica"/>
                <w:bCs/>
              </w:rPr>
              <w:t xml:space="preserve">-4.4322***   </w:t>
            </w:r>
          </w:p>
        </w:tc>
        <w:tc>
          <w:tcPr>
            <w:tcW w:w="0" w:type="auto"/>
            <w:tcBorders>
              <w:top w:val="nil"/>
              <w:left w:val="nil"/>
              <w:bottom w:val="nil"/>
              <w:right w:val="nil"/>
            </w:tcBorders>
            <w:vAlign w:val="center"/>
            <w:hideMark/>
          </w:tcPr>
          <w:p w14:paraId="235FE74D" w14:textId="77777777" w:rsidR="00D57ED2" w:rsidRPr="00697B94" w:rsidRDefault="00D57ED2" w:rsidP="00D57ED2">
            <w:pPr>
              <w:pStyle w:val="Body"/>
              <w:spacing w:before="240" w:after="0"/>
              <w:jc w:val="left"/>
              <w:rPr>
                <w:rFonts w:cs="Helvetica"/>
                <w:bCs/>
              </w:rPr>
            </w:pPr>
            <w:r w:rsidRPr="00697B94">
              <w:rPr>
                <w:rFonts w:cs="Helvetica"/>
                <w:bCs/>
              </w:rPr>
              <w:t xml:space="preserve">-4.3476***  </w:t>
            </w:r>
          </w:p>
        </w:tc>
      </w:tr>
      <w:tr w:rsidR="00D57ED2" w:rsidRPr="00697B94" w14:paraId="43EB43C6" w14:textId="77777777" w:rsidTr="00D57ED2">
        <w:trPr>
          <w:trHeight w:val="19"/>
        </w:trPr>
        <w:tc>
          <w:tcPr>
            <w:tcW w:w="0" w:type="auto"/>
            <w:tcBorders>
              <w:top w:val="nil"/>
              <w:left w:val="nil"/>
              <w:bottom w:val="nil"/>
              <w:right w:val="nil"/>
            </w:tcBorders>
            <w:vAlign w:val="center"/>
            <w:hideMark/>
          </w:tcPr>
          <w:p w14:paraId="7BA8D4BA" w14:textId="77777777" w:rsidR="00D57ED2" w:rsidRPr="00697B94" w:rsidRDefault="00D57ED2" w:rsidP="00D57ED2">
            <w:pPr>
              <w:pStyle w:val="Body"/>
              <w:spacing w:before="240" w:after="0"/>
              <w:jc w:val="left"/>
              <w:rPr>
                <w:rFonts w:cs="Helvetica"/>
                <w:bCs/>
              </w:rPr>
            </w:pPr>
            <m:oMathPara>
              <m:oMathParaPr>
                <m:jc m:val="left"/>
              </m:oMathParaPr>
              <m:oMath>
                <m:r>
                  <m:rPr>
                    <m:sty m:val="p"/>
                  </m:rPr>
                  <w:rPr>
                    <w:rFonts w:ascii="Cambria Math" w:hAnsi="Cambria Math" w:cs="Helvetica"/>
                  </w:rPr>
                  <m:t>INF</m:t>
                </m:r>
              </m:oMath>
            </m:oMathPara>
          </w:p>
        </w:tc>
        <w:tc>
          <w:tcPr>
            <w:tcW w:w="0" w:type="auto"/>
            <w:tcBorders>
              <w:top w:val="nil"/>
              <w:left w:val="nil"/>
              <w:bottom w:val="nil"/>
              <w:right w:val="nil"/>
            </w:tcBorders>
            <w:vAlign w:val="center"/>
            <w:hideMark/>
          </w:tcPr>
          <w:p w14:paraId="16F5DC82" w14:textId="77777777" w:rsidR="00D57ED2" w:rsidRPr="00697B94" w:rsidRDefault="00D57ED2" w:rsidP="00D57ED2">
            <w:pPr>
              <w:pStyle w:val="Body"/>
              <w:spacing w:before="240" w:after="0"/>
              <w:jc w:val="left"/>
              <w:rPr>
                <w:rFonts w:cs="Helvetica"/>
                <w:bCs/>
              </w:rPr>
            </w:pPr>
            <w:r w:rsidRPr="00697B94">
              <w:rPr>
                <w:rFonts w:cs="Helvetica"/>
                <w:bCs/>
              </w:rPr>
              <w:t>-2.9736**</w:t>
            </w:r>
          </w:p>
        </w:tc>
        <w:tc>
          <w:tcPr>
            <w:tcW w:w="0" w:type="auto"/>
            <w:tcBorders>
              <w:top w:val="nil"/>
              <w:left w:val="nil"/>
              <w:bottom w:val="nil"/>
              <w:right w:val="single" w:sz="4" w:space="0" w:color="auto"/>
            </w:tcBorders>
            <w:vAlign w:val="center"/>
            <w:hideMark/>
          </w:tcPr>
          <w:p w14:paraId="7119214B" w14:textId="77777777" w:rsidR="00D57ED2" w:rsidRPr="00697B94" w:rsidRDefault="00D57ED2" w:rsidP="00D57ED2">
            <w:pPr>
              <w:pStyle w:val="Body"/>
              <w:spacing w:before="240" w:after="0"/>
              <w:jc w:val="left"/>
              <w:rPr>
                <w:rFonts w:cs="Helvetica"/>
                <w:bCs/>
              </w:rPr>
            </w:pPr>
            <w:r w:rsidRPr="00697B94">
              <w:rPr>
                <w:rFonts w:cs="Helvetica"/>
                <w:bCs/>
              </w:rPr>
              <w:t>-2.9217*</w:t>
            </w:r>
          </w:p>
        </w:tc>
        <w:tc>
          <w:tcPr>
            <w:tcW w:w="0" w:type="auto"/>
            <w:tcBorders>
              <w:top w:val="nil"/>
              <w:left w:val="single" w:sz="4" w:space="0" w:color="auto"/>
              <w:bottom w:val="nil"/>
              <w:right w:val="nil"/>
            </w:tcBorders>
            <w:vAlign w:val="center"/>
            <w:hideMark/>
          </w:tcPr>
          <w:p w14:paraId="6C1F31AE" w14:textId="77777777" w:rsidR="00D57ED2" w:rsidRPr="00697B94" w:rsidRDefault="00D57ED2" w:rsidP="00D57ED2">
            <w:pPr>
              <w:pStyle w:val="Body"/>
              <w:spacing w:before="240" w:after="0"/>
              <w:jc w:val="left"/>
              <w:rPr>
                <w:rFonts w:cs="Helvetica"/>
                <w:bCs/>
                <w:iCs/>
              </w:rPr>
            </w:pPr>
            <m:oMathPara>
              <m:oMathParaPr>
                <m:jc m:val="left"/>
              </m:oMathParaPr>
              <m:oMath>
                <m:r>
                  <m:rPr>
                    <m:sty m:val="p"/>
                  </m:rPr>
                  <w:rPr>
                    <w:rFonts w:ascii="Cambria Math" w:hAnsi="Cambria Math" w:cs="Helvetica"/>
                  </w:rPr>
                  <m:t>∆INF</m:t>
                </m:r>
              </m:oMath>
            </m:oMathPara>
          </w:p>
        </w:tc>
        <w:tc>
          <w:tcPr>
            <w:tcW w:w="0" w:type="auto"/>
            <w:tcBorders>
              <w:top w:val="nil"/>
              <w:left w:val="nil"/>
              <w:bottom w:val="nil"/>
              <w:right w:val="nil"/>
            </w:tcBorders>
            <w:vAlign w:val="center"/>
            <w:hideMark/>
          </w:tcPr>
          <w:p w14:paraId="03C1CEBC" w14:textId="77777777" w:rsidR="00D57ED2" w:rsidRPr="00697B94" w:rsidRDefault="00D57ED2" w:rsidP="00D57ED2">
            <w:pPr>
              <w:pStyle w:val="Body"/>
              <w:spacing w:before="240" w:after="0"/>
              <w:jc w:val="left"/>
              <w:rPr>
                <w:rFonts w:cs="Helvetica"/>
                <w:bCs/>
              </w:rPr>
            </w:pPr>
            <w:r w:rsidRPr="00697B94">
              <w:rPr>
                <w:rFonts w:cs="Helvetica"/>
                <w:bCs/>
              </w:rPr>
              <w:t>-5.9070***</w:t>
            </w:r>
          </w:p>
        </w:tc>
        <w:tc>
          <w:tcPr>
            <w:tcW w:w="0" w:type="auto"/>
            <w:tcBorders>
              <w:top w:val="nil"/>
              <w:left w:val="nil"/>
              <w:bottom w:val="nil"/>
              <w:right w:val="nil"/>
            </w:tcBorders>
            <w:vAlign w:val="center"/>
            <w:hideMark/>
          </w:tcPr>
          <w:p w14:paraId="3D24B2C7" w14:textId="77777777" w:rsidR="00D57ED2" w:rsidRPr="00697B94" w:rsidRDefault="00D57ED2" w:rsidP="00D57ED2">
            <w:pPr>
              <w:pStyle w:val="Body"/>
              <w:spacing w:before="240" w:after="0"/>
              <w:jc w:val="left"/>
              <w:rPr>
                <w:rFonts w:cs="Helvetica"/>
                <w:bCs/>
              </w:rPr>
            </w:pPr>
            <w:r w:rsidRPr="00697B94">
              <w:rPr>
                <w:rFonts w:cs="Helvetica"/>
                <w:bCs/>
              </w:rPr>
              <w:t>-11.9965***</w:t>
            </w:r>
          </w:p>
        </w:tc>
      </w:tr>
      <w:tr w:rsidR="00D57ED2" w:rsidRPr="00697B94" w14:paraId="1561F1C4" w14:textId="77777777" w:rsidTr="00D57ED2">
        <w:trPr>
          <w:trHeight w:val="19"/>
        </w:trPr>
        <w:tc>
          <w:tcPr>
            <w:tcW w:w="0" w:type="auto"/>
            <w:tcBorders>
              <w:top w:val="nil"/>
              <w:left w:val="nil"/>
              <w:bottom w:val="nil"/>
              <w:right w:val="nil"/>
            </w:tcBorders>
            <w:vAlign w:val="center"/>
            <w:hideMark/>
          </w:tcPr>
          <w:p w14:paraId="3393E7B6" w14:textId="77777777" w:rsidR="00D57ED2" w:rsidRPr="00697B94" w:rsidRDefault="00D57ED2" w:rsidP="00D57ED2">
            <w:pPr>
              <w:pStyle w:val="Body"/>
              <w:spacing w:before="240" w:after="0"/>
              <w:jc w:val="left"/>
              <w:rPr>
                <w:rFonts w:cs="Helvetica"/>
                <w:bCs/>
                <w:iCs/>
              </w:rPr>
            </w:pPr>
            <m:oMathPara>
              <m:oMathParaPr>
                <m:jc m:val="left"/>
              </m:oMathParaPr>
              <m:oMath>
                <m:r>
                  <m:rPr>
                    <m:sty m:val="p"/>
                  </m:rPr>
                  <w:rPr>
                    <w:rFonts w:ascii="Cambria Math" w:hAnsi="Cambria Math" w:cs="Helvetica"/>
                  </w:rPr>
                  <m:t>INFSQ</m:t>
                </m:r>
              </m:oMath>
            </m:oMathPara>
          </w:p>
        </w:tc>
        <w:tc>
          <w:tcPr>
            <w:tcW w:w="0" w:type="auto"/>
            <w:tcBorders>
              <w:top w:val="nil"/>
              <w:left w:val="nil"/>
              <w:bottom w:val="nil"/>
              <w:right w:val="nil"/>
            </w:tcBorders>
            <w:vAlign w:val="center"/>
            <w:hideMark/>
          </w:tcPr>
          <w:p w14:paraId="4C2CF05B" w14:textId="77777777" w:rsidR="00D57ED2" w:rsidRPr="00697B94" w:rsidRDefault="00D57ED2" w:rsidP="00D57ED2">
            <w:pPr>
              <w:pStyle w:val="Body"/>
              <w:spacing w:before="240" w:after="0"/>
              <w:jc w:val="left"/>
              <w:rPr>
                <w:rFonts w:cs="Helvetica"/>
                <w:bCs/>
              </w:rPr>
            </w:pPr>
            <w:r w:rsidRPr="00697B94">
              <w:rPr>
                <w:rFonts w:cs="Helvetica"/>
                <w:bCs/>
              </w:rPr>
              <w:t>-3.2186**</w:t>
            </w:r>
          </w:p>
        </w:tc>
        <w:tc>
          <w:tcPr>
            <w:tcW w:w="0" w:type="auto"/>
            <w:tcBorders>
              <w:top w:val="nil"/>
              <w:left w:val="nil"/>
              <w:bottom w:val="nil"/>
              <w:right w:val="single" w:sz="4" w:space="0" w:color="auto"/>
            </w:tcBorders>
            <w:vAlign w:val="center"/>
            <w:hideMark/>
          </w:tcPr>
          <w:p w14:paraId="730DB895" w14:textId="77777777" w:rsidR="00D57ED2" w:rsidRPr="00697B94" w:rsidRDefault="00D57ED2" w:rsidP="00D57ED2">
            <w:pPr>
              <w:pStyle w:val="Body"/>
              <w:spacing w:before="240" w:after="0"/>
              <w:jc w:val="left"/>
              <w:rPr>
                <w:rFonts w:cs="Helvetica"/>
                <w:bCs/>
              </w:rPr>
            </w:pPr>
            <w:r w:rsidRPr="00697B94">
              <w:rPr>
                <w:rFonts w:cs="Helvetica"/>
                <w:bCs/>
              </w:rPr>
              <w:t>-3.1444**</w:t>
            </w:r>
          </w:p>
        </w:tc>
        <w:tc>
          <w:tcPr>
            <w:tcW w:w="0" w:type="auto"/>
            <w:tcBorders>
              <w:top w:val="nil"/>
              <w:left w:val="single" w:sz="4" w:space="0" w:color="auto"/>
              <w:bottom w:val="nil"/>
              <w:right w:val="nil"/>
            </w:tcBorders>
            <w:vAlign w:val="center"/>
            <w:hideMark/>
          </w:tcPr>
          <w:p w14:paraId="706F310D" w14:textId="77777777" w:rsidR="00D57ED2" w:rsidRPr="00697B94" w:rsidRDefault="00D57ED2" w:rsidP="00D57ED2">
            <w:pPr>
              <w:pStyle w:val="Body"/>
              <w:spacing w:before="240" w:after="0"/>
              <w:jc w:val="left"/>
              <w:rPr>
                <w:rFonts w:cs="Helvetica"/>
                <w:bCs/>
                <w:iCs/>
              </w:rPr>
            </w:pPr>
            <m:oMathPara>
              <m:oMathParaPr>
                <m:jc m:val="left"/>
              </m:oMathParaPr>
              <m:oMath>
                <m:r>
                  <m:rPr>
                    <m:sty m:val="p"/>
                  </m:rPr>
                  <w:rPr>
                    <w:rFonts w:ascii="Cambria Math" w:hAnsi="Cambria Math" w:cs="Helvetica"/>
                  </w:rPr>
                  <m:t>∆INFSQ</m:t>
                </m:r>
              </m:oMath>
            </m:oMathPara>
          </w:p>
        </w:tc>
        <w:tc>
          <w:tcPr>
            <w:tcW w:w="0" w:type="auto"/>
            <w:tcBorders>
              <w:top w:val="nil"/>
              <w:left w:val="nil"/>
              <w:bottom w:val="nil"/>
              <w:right w:val="nil"/>
            </w:tcBorders>
            <w:vAlign w:val="center"/>
            <w:hideMark/>
          </w:tcPr>
          <w:p w14:paraId="74B9A28D" w14:textId="77777777" w:rsidR="00D57ED2" w:rsidRPr="00697B94" w:rsidRDefault="00D57ED2" w:rsidP="00D57ED2">
            <w:pPr>
              <w:pStyle w:val="Body"/>
              <w:spacing w:before="240" w:after="0"/>
              <w:jc w:val="left"/>
              <w:rPr>
                <w:rFonts w:cs="Helvetica"/>
                <w:bCs/>
              </w:rPr>
            </w:pPr>
            <w:r w:rsidRPr="00697B94">
              <w:rPr>
                <w:rFonts w:cs="Helvetica"/>
                <w:bCs/>
              </w:rPr>
              <w:t>-6.0297***</w:t>
            </w:r>
          </w:p>
        </w:tc>
        <w:tc>
          <w:tcPr>
            <w:tcW w:w="0" w:type="auto"/>
            <w:tcBorders>
              <w:top w:val="nil"/>
              <w:left w:val="nil"/>
              <w:bottom w:val="nil"/>
              <w:right w:val="nil"/>
            </w:tcBorders>
            <w:vAlign w:val="center"/>
            <w:hideMark/>
          </w:tcPr>
          <w:p w14:paraId="109DEB8B" w14:textId="77777777" w:rsidR="00D57ED2" w:rsidRPr="00697B94" w:rsidRDefault="00D57ED2" w:rsidP="00D57ED2">
            <w:pPr>
              <w:pStyle w:val="Body"/>
              <w:spacing w:before="240" w:after="0"/>
              <w:jc w:val="left"/>
              <w:rPr>
                <w:rFonts w:cs="Helvetica"/>
                <w:bCs/>
              </w:rPr>
            </w:pPr>
            <w:r w:rsidRPr="00697B94">
              <w:rPr>
                <w:rFonts w:cs="Helvetica"/>
                <w:bCs/>
              </w:rPr>
              <w:t>-12.9327***</w:t>
            </w:r>
          </w:p>
        </w:tc>
      </w:tr>
      <w:tr w:rsidR="00D57ED2" w:rsidRPr="00697B94" w14:paraId="67903BD5" w14:textId="77777777" w:rsidTr="00D57ED2">
        <w:trPr>
          <w:trHeight w:val="19"/>
        </w:trPr>
        <w:tc>
          <w:tcPr>
            <w:tcW w:w="0" w:type="auto"/>
            <w:tcBorders>
              <w:top w:val="nil"/>
              <w:left w:val="nil"/>
              <w:bottom w:val="nil"/>
              <w:right w:val="nil"/>
            </w:tcBorders>
            <w:vAlign w:val="center"/>
          </w:tcPr>
          <w:p w14:paraId="69849D81" w14:textId="77777777" w:rsidR="00D57ED2" w:rsidRPr="00697B94" w:rsidRDefault="00D57ED2" w:rsidP="00D57ED2">
            <w:pPr>
              <w:pStyle w:val="Body"/>
              <w:spacing w:before="240" w:after="0"/>
              <w:jc w:val="left"/>
              <w:rPr>
                <w:rFonts w:cs="Helvetica"/>
              </w:rPr>
            </w:pPr>
            <m:oMathPara>
              <m:oMathParaPr>
                <m:jc m:val="left"/>
              </m:oMathParaPr>
              <m:oMath>
                <m:r>
                  <m:rPr>
                    <m:sty m:val="p"/>
                  </m:rPr>
                  <w:rPr>
                    <w:rFonts w:ascii="Cambria Math" w:hAnsi="Cambria Math" w:cs="Helvetica"/>
                  </w:rPr>
                  <m:t>GDPG</m:t>
                </m:r>
              </m:oMath>
            </m:oMathPara>
          </w:p>
        </w:tc>
        <w:tc>
          <w:tcPr>
            <w:tcW w:w="0" w:type="auto"/>
            <w:tcBorders>
              <w:top w:val="nil"/>
              <w:left w:val="nil"/>
              <w:bottom w:val="nil"/>
              <w:right w:val="nil"/>
            </w:tcBorders>
            <w:vAlign w:val="center"/>
          </w:tcPr>
          <w:p w14:paraId="1F9B4BA3" w14:textId="77777777" w:rsidR="00D57ED2" w:rsidRPr="00697B94" w:rsidRDefault="00D57ED2" w:rsidP="00D57ED2">
            <w:pPr>
              <w:pStyle w:val="Body"/>
              <w:spacing w:before="240" w:after="0"/>
              <w:jc w:val="left"/>
              <w:rPr>
                <w:rFonts w:cs="Helvetica"/>
                <w:bCs/>
              </w:rPr>
            </w:pPr>
            <w:r w:rsidRPr="00697B94">
              <w:rPr>
                <w:rFonts w:cs="Helvetica"/>
                <w:bCs/>
              </w:rPr>
              <w:t>-3.2238**</w:t>
            </w:r>
          </w:p>
        </w:tc>
        <w:tc>
          <w:tcPr>
            <w:tcW w:w="0" w:type="auto"/>
            <w:tcBorders>
              <w:top w:val="nil"/>
              <w:left w:val="nil"/>
              <w:bottom w:val="nil"/>
              <w:right w:val="single" w:sz="4" w:space="0" w:color="auto"/>
            </w:tcBorders>
            <w:vAlign w:val="center"/>
          </w:tcPr>
          <w:p w14:paraId="23B163AA" w14:textId="77777777" w:rsidR="00D57ED2" w:rsidRPr="00697B94" w:rsidRDefault="00D57ED2" w:rsidP="00D57ED2">
            <w:pPr>
              <w:pStyle w:val="Body"/>
              <w:spacing w:before="240" w:after="0"/>
              <w:jc w:val="left"/>
              <w:rPr>
                <w:rFonts w:cs="Helvetica"/>
                <w:bCs/>
              </w:rPr>
            </w:pPr>
            <w:r w:rsidRPr="00697B94">
              <w:rPr>
                <w:rFonts w:cs="Helvetica"/>
                <w:bCs/>
              </w:rPr>
              <w:t>-3.2379**</w:t>
            </w:r>
          </w:p>
        </w:tc>
        <w:tc>
          <w:tcPr>
            <w:tcW w:w="0" w:type="auto"/>
            <w:tcBorders>
              <w:top w:val="nil"/>
              <w:left w:val="single" w:sz="4" w:space="0" w:color="auto"/>
              <w:bottom w:val="nil"/>
              <w:right w:val="nil"/>
            </w:tcBorders>
            <w:vAlign w:val="center"/>
          </w:tcPr>
          <w:p w14:paraId="6749341E" w14:textId="77777777" w:rsidR="00D57ED2" w:rsidRPr="00697B94" w:rsidRDefault="00D57ED2" w:rsidP="00D57ED2">
            <w:pPr>
              <w:pStyle w:val="Body"/>
              <w:spacing w:before="240" w:after="0"/>
              <w:jc w:val="left"/>
              <w:rPr>
                <w:rFonts w:cs="Helvetica"/>
              </w:rPr>
            </w:pPr>
            <m:oMathPara>
              <m:oMath>
                <m:r>
                  <m:rPr>
                    <m:sty m:val="p"/>
                  </m:rPr>
                  <w:rPr>
                    <w:rFonts w:ascii="Cambria Math" w:hAnsi="Cambria Math" w:cs="Helvetica"/>
                  </w:rPr>
                  <m:t>∆GDPG</m:t>
                </m:r>
              </m:oMath>
            </m:oMathPara>
          </w:p>
        </w:tc>
        <w:tc>
          <w:tcPr>
            <w:tcW w:w="0" w:type="auto"/>
            <w:tcBorders>
              <w:top w:val="nil"/>
              <w:left w:val="nil"/>
              <w:bottom w:val="nil"/>
              <w:right w:val="nil"/>
            </w:tcBorders>
            <w:vAlign w:val="center"/>
          </w:tcPr>
          <w:p w14:paraId="7E61480C" w14:textId="77777777" w:rsidR="00D57ED2" w:rsidRPr="00697B94" w:rsidRDefault="00D57ED2" w:rsidP="00D57ED2">
            <w:pPr>
              <w:pStyle w:val="Body"/>
              <w:spacing w:before="240" w:after="0"/>
              <w:jc w:val="left"/>
              <w:rPr>
                <w:rFonts w:cs="Helvetica"/>
                <w:bCs/>
              </w:rPr>
            </w:pPr>
            <w:r w:rsidRPr="00697B94">
              <w:rPr>
                <w:rFonts w:cs="Helvetica"/>
                <w:bCs/>
              </w:rPr>
              <w:t>-6.6302***</w:t>
            </w:r>
          </w:p>
        </w:tc>
        <w:tc>
          <w:tcPr>
            <w:tcW w:w="0" w:type="auto"/>
            <w:tcBorders>
              <w:top w:val="nil"/>
              <w:left w:val="nil"/>
              <w:bottom w:val="nil"/>
              <w:right w:val="nil"/>
            </w:tcBorders>
            <w:vAlign w:val="center"/>
          </w:tcPr>
          <w:p w14:paraId="7515FCCD" w14:textId="77777777" w:rsidR="00D57ED2" w:rsidRPr="00697B94" w:rsidRDefault="00D57ED2" w:rsidP="00D57ED2">
            <w:pPr>
              <w:pStyle w:val="Body"/>
              <w:spacing w:before="240" w:after="0"/>
              <w:jc w:val="left"/>
              <w:rPr>
                <w:rFonts w:cs="Helvetica"/>
                <w:bCs/>
              </w:rPr>
            </w:pPr>
            <w:r w:rsidRPr="00697B94">
              <w:rPr>
                <w:rFonts w:cs="Helvetica"/>
                <w:bCs/>
              </w:rPr>
              <w:t>-9.5784***</w:t>
            </w:r>
          </w:p>
        </w:tc>
      </w:tr>
      <w:tr w:rsidR="00D57ED2" w:rsidRPr="00697B94" w14:paraId="4E9E8E1A" w14:textId="77777777" w:rsidTr="00D57ED2">
        <w:trPr>
          <w:trHeight w:val="19"/>
        </w:trPr>
        <w:tc>
          <w:tcPr>
            <w:tcW w:w="0" w:type="auto"/>
            <w:tcBorders>
              <w:top w:val="nil"/>
              <w:left w:val="nil"/>
              <w:bottom w:val="single" w:sz="4" w:space="0" w:color="auto"/>
              <w:right w:val="nil"/>
            </w:tcBorders>
            <w:vAlign w:val="center"/>
            <w:hideMark/>
          </w:tcPr>
          <w:p w14:paraId="235441DB" w14:textId="77777777" w:rsidR="00D57ED2" w:rsidRPr="00697B94" w:rsidRDefault="00D57ED2" w:rsidP="00D57ED2">
            <w:pPr>
              <w:pStyle w:val="Body"/>
              <w:spacing w:before="240" w:after="0"/>
              <w:jc w:val="left"/>
              <w:rPr>
                <w:rFonts w:cs="Helvetica"/>
                <w:bCs/>
              </w:rPr>
            </w:pPr>
            <m:oMathPara>
              <m:oMathParaPr>
                <m:jc m:val="left"/>
              </m:oMathParaPr>
              <m:oMath>
                <m:r>
                  <m:rPr>
                    <m:sty m:val="p"/>
                  </m:rPr>
                  <w:rPr>
                    <w:rFonts w:ascii="Cambria Math" w:hAnsi="Cambria Math" w:cs="Helvetica"/>
                  </w:rPr>
                  <m:t>EXR</m:t>
                </m:r>
              </m:oMath>
            </m:oMathPara>
          </w:p>
        </w:tc>
        <w:tc>
          <w:tcPr>
            <w:tcW w:w="0" w:type="auto"/>
            <w:tcBorders>
              <w:top w:val="nil"/>
              <w:left w:val="nil"/>
              <w:bottom w:val="single" w:sz="4" w:space="0" w:color="auto"/>
              <w:right w:val="nil"/>
            </w:tcBorders>
            <w:vAlign w:val="center"/>
            <w:hideMark/>
          </w:tcPr>
          <w:p w14:paraId="726F427A" w14:textId="77777777" w:rsidR="00D57ED2" w:rsidRPr="00697B94" w:rsidRDefault="00D57ED2" w:rsidP="00D57ED2">
            <w:pPr>
              <w:pStyle w:val="Body"/>
              <w:spacing w:before="240" w:after="0"/>
              <w:jc w:val="left"/>
              <w:rPr>
                <w:rFonts w:cs="Helvetica"/>
                <w:bCs/>
              </w:rPr>
            </w:pPr>
            <w:r w:rsidRPr="00697B94">
              <w:rPr>
                <w:rFonts w:cs="Helvetica"/>
                <w:bCs/>
              </w:rPr>
              <w:t>-4.3018</w:t>
            </w:r>
          </w:p>
        </w:tc>
        <w:tc>
          <w:tcPr>
            <w:tcW w:w="0" w:type="auto"/>
            <w:tcBorders>
              <w:top w:val="nil"/>
              <w:left w:val="nil"/>
              <w:bottom w:val="single" w:sz="4" w:space="0" w:color="auto"/>
              <w:right w:val="single" w:sz="4" w:space="0" w:color="auto"/>
            </w:tcBorders>
            <w:vAlign w:val="center"/>
            <w:hideMark/>
          </w:tcPr>
          <w:p w14:paraId="31562CF2" w14:textId="77777777" w:rsidR="00D57ED2" w:rsidRPr="00697B94" w:rsidRDefault="00D57ED2" w:rsidP="00D57ED2">
            <w:pPr>
              <w:pStyle w:val="Body"/>
              <w:spacing w:before="240" w:after="0"/>
              <w:jc w:val="left"/>
              <w:rPr>
                <w:rFonts w:cs="Helvetica"/>
                <w:bCs/>
              </w:rPr>
            </w:pPr>
            <w:r w:rsidRPr="00697B94">
              <w:rPr>
                <w:rFonts w:cs="Helvetica"/>
                <w:bCs/>
              </w:rPr>
              <w:t>-7.2978</w:t>
            </w:r>
          </w:p>
        </w:tc>
        <w:tc>
          <w:tcPr>
            <w:tcW w:w="0" w:type="auto"/>
            <w:tcBorders>
              <w:top w:val="nil"/>
              <w:left w:val="single" w:sz="4" w:space="0" w:color="auto"/>
              <w:bottom w:val="single" w:sz="4" w:space="0" w:color="auto"/>
              <w:right w:val="nil"/>
            </w:tcBorders>
            <w:vAlign w:val="center"/>
            <w:hideMark/>
          </w:tcPr>
          <w:p w14:paraId="520705AC" w14:textId="77777777" w:rsidR="00D57ED2" w:rsidRPr="00697B94" w:rsidRDefault="00D57ED2" w:rsidP="00D57ED2">
            <w:pPr>
              <w:pStyle w:val="Body"/>
              <w:spacing w:before="240" w:after="0"/>
              <w:jc w:val="left"/>
              <w:rPr>
                <w:rFonts w:cs="Helvetica"/>
                <w:iCs/>
              </w:rPr>
            </w:pPr>
            <m:oMathPara>
              <m:oMathParaPr>
                <m:jc m:val="left"/>
              </m:oMathParaPr>
              <m:oMath>
                <m:r>
                  <m:rPr>
                    <m:sty m:val="p"/>
                  </m:rPr>
                  <w:rPr>
                    <w:rFonts w:ascii="Cambria Math" w:hAnsi="Cambria Math" w:cs="Helvetica"/>
                  </w:rPr>
                  <m:t>∆EXR</m:t>
                </m:r>
              </m:oMath>
            </m:oMathPara>
          </w:p>
        </w:tc>
        <w:tc>
          <w:tcPr>
            <w:tcW w:w="0" w:type="auto"/>
            <w:tcBorders>
              <w:top w:val="nil"/>
              <w:left w:val="nil"/>
              <w:bottom w:val="single" w:sz="4" w:space="0" w:color="auto"/>
              <w:right w:val="nil"/>
            </w:tcBorders>
            <w:vAlign w:val="center"/>
            <w:hideMark/>
          </w:tcPr>
          <w:p w14:paraId="72717571" w14:textId="77777777" w:rsidR="00D57ED2" w:rsidRPr="00697B94" w:rsidRDefault="00D57ED2" w:rsidP="00D57ED2">
            <w:pPr>
              <w:pStyle w:val="Body"/>
              <w:spacing w:before="240" w:after="0"/>
              <w:jc w:val="left"/>
              <w:rPr>
                <w:rFonts w:cs="Helvetica"/>
                <w:bCs/>
              </w:rPr>
            </w:pPr>
            <w:r w:rsidRPr="00697B94">
              <w:rPr>
                <w:rFonts w:cs="Helvetica"/>
                <w:bCs/>
              </w:rPr>
              <w:t xml:space="preserve">-5.2258***                    </w:t>
            </w:r>
          </w:p>
        </w:tc>
        <w:tc>
          <w:tcPr>
            <w:tcW w:w="0" w:type="auto"/>
            <w:tcBorders>
              <w:top w:val="nil"/>
              <w:left w:val="nil"/>
              <w:bottom w:val="single" w:sz="4" w:space="0" w:color="auto"/>
              <w:right w:val="nil"/>
            </w:tcBorders>
            <w:vAlign w:val="center"/>
            <w:hideMark/>
          </w:tcPr>
          <w:p w14:paraId="05B367B7" w14:textId="77777777" w:rsidR="00D57ED2" w:rsidRPr="00697B94" w:rsidRDefault="00D57ED2" w:rsidP="00D57ED2">
            <w:pPr>
              <w:pStyle w:val="Body"/>
              <w:spacing w:before="240" w:after="0"/>
              <w:jc w:val="left"/>
              <w:rPr>
                <w:rFonts w:cs="Helvetica"/>
                <w:bCs/>
              </w:rPr>
            </w:pPr>
            <w:r w:rsidRPr="00697B94">
              <w:rPr>
                <w:rFonts w:cs="Helvetica"/>
                <w:bCs/>
              </w:rPr>
              <w:t>-5.3178***</w:t>
            </w:r>
          </w:p>
        </w:tc>
      </w:tr>
    </w:tbl>
    <w:bookmarkEnd w:id="4"/>
    <w:p w14:paraId="33BE653F" w14:textId="77777777" w:rsidR="002B2E32" w:rsidRPr="00697B94" w:rsidRDefault="002B2E32" w:rsidP="002B2E32">
      <w:pPr>
        <w:pStyle w:val="Body"/>
      </w:pPr>
      <w:r w:rsidRPr="00697B94">
        <w:t>Note: ***, ** and *indicate the rejection of the</w:t>
      </w:r>
      <w:r w:rsidR="00BC43FD" w:rsidRPr="00697B94">
        <w:t xml:space="preserve"> </w:t>
      </w:r>
      <w:r w:rsidRPr="00697B94">
        <w:t>null hypothesis of non-stationary</w:t>
      </w:r>
      <w:r w:rsidR="00BC43FD" w:rsidRPr="00697B94">
        <w:t xml:space="preserve"> </w:t>
      </w:r>
      <w:r w:rsidRPr="00697B94">
        <w:t>at 1%, 5%, and 10% level of significance, ∆</w:t>
      </w:r>
      <w:r w:rsidR="00BC43FD" w:rsidRPr="00697B94">
        <w:t xml:space="preserve"> </w:t>
      </w:r>
      <w:r w:rsidRPr="00697B94">
        <w:t>denotes the first</w:t>
      </w:r>
      <w:r w:rsidR="00BC43FD" w:rsidRPr="00697B94">
        <w:t xml:space="preserve"> </w:t>
      </w:r>
      <w:r w:rsidRPr="00697B94">
        <w:t xml:space="preserve">difference. </w:t>
      </w:r>
      <w:r w:rsidR="00BC43FD" w:rsidRPr="00697B94">
        <w:t xml:space="preserve"> </w:t>
      </w:r>
      <w:r w:rsidRPr="00697B94">
        <w:t xml:space="preserve">Data source: Anon. (2021). </w:t>
      </w:r>
    </w:p>
    <w:p w14:paraId="2A3EE7A6" w14:textId="77777777" w:rsidR="002B2E32" w:rsidRPr="00697B94" w:rsidRDefault="002B2E32" w:rsidP="002B2E32">
      <w:pPr>
        <w:pStyle w:val="Body"/>
      </w:pPr>
      <w:r w:rsidRPr="00697B94">
        <w:t xml:space="preserve">The results reported in Table are based on the ADF and PP unit roots tests for all variables included in the model under investigation. On the whole, the tests indicated that, the null hypothesis the series in their levels contain unit roots with an intercept but without trend, </w:t>
      </w:r>
      <w:r w:rsidRPr="00697B94">
        <w:lastRenderedPageBreak/>
        <w:t>cannot be rejected with exception of gross fixed capital formation (GFCF), inflation (INF and INFSQ) and GDP growth (GDPG). This outcome implies that the rest of the series are nonstationary at level. However, after differencing the data once, the tests statistics rejected the null hypothesis for all series. This analysis shows that all</w:t>
      </w:r>
      <w:r w:rsidR="00BC43FD" w:rsidRPr="00697B94">
        <w:t xml:space="preserve"> </w:t>
      </w:r>
      <w:r w:rsidRPr="00697B94">
        <w:t>the variables are integrated of either order zero; I (0)</w:t>
      </w:r>
      <w:r w:rsidR="00BC43FD" w:rsidRPr="00697B94">
        <w:t xml:space="preserve"> </w:t>
      </w:r>
      <w:r w:rsidRPr="00697B94">
        <w:t>or order one; I (1).</w:t>
      </w:r>
      <w:r w:rsidR="00BC43FD" w:rsidRPr="00697B94">
        <w:t xml:space="preserve"> </w:t>
      </w:r>
      <w:r w:rsidRPr="00697B94">
        <w:t>The degree of</w:t>
      </w:r>
      <w:r w:rsidR="00BC43FD" w:rsidRPr="00697B94">
        <w:t xml:space="preserve"> </w:t>
      </w:r>
      <w:r w:rsidRPr="00697B94">
        <w:t>mixing order leads us to employ the</w:t>
      </w:r>
      <w:r w:rsidR="00BC43FD" w:rsidRPr="00697B94">
        <w:t xml:space="preserve"> </w:t>
      </w:r>
      <w:r w:rsidRPr="00697B94">
        <w:t>ARDL bounds testing approach to the</w:t>
      </w:r>
      <w:r w:rsidR="00BC43FD" w:rsidRPr="00697B94">
        <w:t xml:space="preserve"> </w:t>
      </w:r>
      <w:r w:rsidRPr="00697B94">
        <w:t>presence of co-integration</w:t>
      </w:r>
      <w:r w:rsidR="00BC43FD" w:rsidRPr="00697B94">
        <w:t xml:space="preserve"> </w:t>
      </w:r>
      <w:r w:rsidRPr="00697B94">
        <w:t>for the long-run relationship between the</w:t>
      </w:r>
      <w:r w:rsidR="00BC43FD" w:rsidRPr="00697B94">
        <w:t xml:space="preserve"> </w:t>
      </w:r>
      <w:r w:rsidRPr="00697B94">
        <w:t xml:space="preserve">variables over the period of study. </w:t>
      </w:r>
    </w:p>
    <w:p w14:paraId="4A4982E7" w14:textId="77777777" w:rsidR="00BC43FD" w:rsidRPr="00697B94" w:rsidRDefault="00BC43FD" w:rsidP="002B2E32">
      <w:pPr>
        <w:pStyle w:val="Body"/>
        <w:rPr>
          <w:b/>
          <w:bCs/>
        </w:rPr>
      </w:pPr>
      <w:r w:rsidRPr="00697B94">
        <w:rPr>
          <w:b/>
          <w:bCs/>
        </w:rPr>
        <w:t>3</w:t>
      </w:r>
      <w:r w:rsidR="002B2E32" w:rsidRPr="00697B94">
        <w:rPr>
          <w:b/>
          <w:bCs/>
        </w:rPr>
        <w:t>.3</w:t>
      </w:r>
      <w:r w:rsidRPr="00697B94">
        <w:rPr>
          <w:b/>
          <w:bCs/>
        </w:rPr>
        <w:t xml:space="preserve"> </w:t>
      </w:r>
      <w:r w:rsidR="002B2E32" w:rsidRPr="00697B94">
        <w:rPr>
          <w:b/>
          <w:bCs/>
        </w:rPr>
        <w:t>Bounds Test for Cointegration</w:t>
      </w:r>
    </w:p>
    <w:p w14:paraId="012FA938" w14:textId="77777777" w:rsidR="002B2E32" w:rsidRPr="00697B94" w:rsidRDefault="002B2E32" w:rsidP="002B2E32">
      <w:pPr>
        <w:pStyle w:val="Body"/>
      </w:pPr>
      <w:r w:rsidRPr="00697B94">
        <w:t>Having ascertained the presence of both I (0) and I (1) integration order among the series of the specified variables, the bounds test approach within the ARDL framework is used to</w:t>
      </w:r>
      <w:r w:rsidR="00BC43FD" w:rsidRPr="00697B94">
        <w:t xml:space="preserve"> </w:t>
      </w:r>
      <w:r w:rsidRPr="00697B94">
        <w:t>test for cointegration existence among</w:t>
      </w:r>
      <w:r w:rsidR="00BC43FD" w:rsidRPr="00697B94">
        <w:t xml:space="preserve"> </w:t>
      </w:r>
      <w:r w:rsidRPr="00697B94">
        <w:t>the specific variables included in the model. In other words, the bounds test checks for the</w:t>
      </w:r>
      <w:r w:rsidR="00BC43FD" w:rsidRPr="00697B94">
        <w:t xml:space="preserve"> </w:t>
      </w:r>
      <w:r w:rsidRPr="00697B94">
        <w:t>existence of a stable long-run equilibrium among</w:t>
      </w:r>
      <w:r w:rsidR="00BC43FD" w:rsidRPr="00697B94">
        <w:t xml:space="preserve"> </w:t>
      </w:r>
      <w:r w:rsidRPr="00697B94">
        <w:t>the variables used in the model. The bounds test result is presented in Table 3.</w:t>
      </w:r>
    </w:p>
    <w:p w14:paraId="1C7B7FE5" w14:textId="77777777" w:rsidR="006741FD" w:rsidRPr="00697B94" w:rsidRDefault="006741FD" w:rsidP="006741FD">
      <w:pPr>
        <w:pStyle w:val="Body"/>
        <w:rPr>
          <w:b/>
          <w:iCs/>
        </w:rPr>
      </w:pPr>
      <w:bookmarkStart w:id="5" w:name="_Toc76559492"/>
      <w:r w:rsidRPr="00697B94">
        <w:rPr>
          <w:b/>
          <w:iCs/>
        </w:rPr>
        <w:t>Table 3. Results of Cointegration</w:t>
      </w:r>
      <w:bookmarkEnd w:id="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1"/>
        <w:gridCol w:w="1631"/>
        <w:gridCol w:w="1731"/>
        <w:gridCol w:w="1592"/>
        <w:gridCol w:w="1593"/>
      </w:tblGrid>
      <w:tr w:rsidR="006741FD" w:rsidRPr="00697B94" w14:paraId="68849A46" w14:textId="77777777" w:rsidTr="00F363C4">
        <w:tc>
          <w:tcPr>
            <w:tcW w:w="1803" w:type="dxa"/>
            <w:tcBorders>
              <w:top w:val="single" w:sz="4" w:space="0" w:color="auto"/>
              <w:bottom w:val="single" w:sz="4" w:space="0" w:color="auto"/>
            </w:tcBorders>
          </w:tcPr>
          <w:p w14:paraId="48E630A9" w14:textId="77777777" w:rsidR="006741FD" w:rsidRPr="00697B94" w:rsidRDefault="006741FD" w:rsidP="006741FD">
            <w:pPr>
              <w:pStyle w:val="Body"/>
              <w:rPr>
                <w:b/>
                <w:bCs/>
                <w:sz w:val="20"/>
              </w:rPr>
            </w:pPr>
            <w:r w:rsidRPr="00697B94">
              <w:rPr>
                <w:b/>
                <w:bCs/>
                <w:sz w:val="20"/>
              </w:rPr>
              <w:t xml:space="preserve">Test Statistic </w:t>
            </w:r>
          </w:p>
        </w:tc>
        <w:tc>
          <w:tcPr>
            <w:tcW w:w="1803" w:type="dxa"/>
            <w:tcBorders>
              <w:top w:val="single" w:sz="4" w:space="0" w:color="auto"/>
              <w:bottom w:val="single" w:sz="4" w:space="0" w:color="auto"/>
            </w:tcBorders>
          </w:tcPr>
          <w:p w14:paraId="41E598C7" w14:textId="77777777" w:rsidR="006741FD" w:rsidRPr="00697B94" w:rsidRDefault="006741FD" w:rsidP="006741FD">
            <w:pPr>
              <w:pStyle w:val="Body"/>
              <w:rPr>
                <w:b/>
                <w:bCs/>
                <w:sz w:val="20"/>
              </w:rPr>
            </w:pPr>
            <w:r w:rsidRPr="00697B94">
              <w:rPr>
                <w:b/>
                <w:bCs/>
                <w:sz w:val="20"/>
              </w:rPr>
              <w:t xml:space="preserve">Value </w:t>
            </w:r>
          </w:p>
        </w:tc>
        <w:tc>
          <w:tcPr>
            <w:tcW w:w="1803" w:type="dxa"/>
            <w:tcBorders>
              <w:top w:val="single" w:sz="4" w:space="0" w:color="auto"/>
              <w:bottom w:val="single" w:sz="4" w:space="0" w:color="auto"/>
            </w:tcBorders>
          </w:tcPr>
          <w:p w14:paraId="2022D021" w14:textId="77777777" w:rsidR="006741FD" w:rsidRPr="00697B94" w:rsidRDefault="006741FD" w:rsidP="006741FD">
            <w:pPr>
              <w:pStyle w:val="Body"/>
              <w:rPr>
                <w:b/>
                <w:bCs/>
                <w:sz w:val="20"/>
              </w:rPr>
            </w:pPr>
            <w:r w:rsidRPr="00697B94">
              <w:rPr>
                <w:b/>
                <w:bCs/>
                <w:sz w:val="20"/>
              </w:rPr>
              <w:t xml:space="preserve">Significance </w:t>
            </w:r>
          </w:p>
        </w:tc>
        <w:tc>
          <w:tcPr>
            <w:tcW w:w="1803" w:type="dxa"/>
            <w:tcBorders>
              <w:top w:val="single" w:sz="4" w:space="0" w:color="auto"/>
              <w:bottom w:val="single" w:sz="4" w:space="0" w:color="auto"/>
            </w:tcBorders>
          </w:tcPr>
          <w:p w14:paraId="7297408D" w14:textId="77777777" w:rsidR="006741FD" w:rsidRPr="00697B94" w:rsidRDefault="006741FD" w:rsidP="006741FD">
            <w:pPr>
              <w:pStyle w:val="Body"/>
              <w:rPr>
                <w:b/>
                <w:bCs/>
                <w:sz w:val="20"/>
              </w:rPr>
            </w:pPr>
            <w:r w:rsidRPr="00697B94">
              <w:rPr>
                <w:b/>
                <w:bCs/>
                <w:i/>
                <w:iCs/>
                <w:sz w:val="20"/>
              </w:rPr>
              <w:t xml:space="preserve">I </w:t>
            </w:r>
            <w:r w:rsidRPr="00697B94">
              <w:rPr>
                <w:b/>
                <w:bCs/>
                <w:sz w:val="20"/>
              </w:rPr>
              <w:t>(0)</w:t>
            </w:r>
          </w:p>
        </w:tc>
        <w:tc>
          <w:tcPr>
            <w:tcW w:w="1804" w:type="dxa"/>
            <w:tcBorders>
              <w:top w:val="single" w:sz="4" w:space="0" w:color="auto"/>
              <w:bottom w:val="single" w:sz="4" w:space="0" w:color="auto"/>
            </w:tcBorders>
          </w:tcPr>
          <w:p w14:paraId="2F9454C3" w14:textId="77777777" w:rsidR="006741FD" w:rsidRPr="00697B94" w:rsidRDefault="006741FD" w:rsidP="006741FD">
            <w:pPr>
              <w:pStyle w:val="Body"/>
              <w:rPr>
                <w:b/>
                <w:bCs/>
                <w:sz w:val="20"/>
              </w:rPr>
            </w:pPr>
            <w:r w:rsidRPr="00697B94">
              <w:rPr>
                <w:b/>
                <w:bCs/>
                <w:i/>
                <w:iCs/>
                <w:sz w:val="20"/>
              </w:rPr>
              <w:t xml:space="preserve">I </w:t>
            </w:r>
            <w:r w:rsidRPr="00697B94">
              <w:rPr>
                <w:b/>
                <w:bCs/>
                <w:sz w:val="20"/>
              </w:rPr>
              <w:t>(1)</w:t>
            </w:r>
          </w:p>
        </w:tc>
      </w:tr>
      <w:tr w:rsidR="006741FD" w:rsidRPr="00697B94" w14:paraId="1F800686" w14:textId="77777777" w:rsidTr="00F363C4">
        <w:tc>
          <w:tcPr>
            <w:tcW w:w="1803" w:type="dxa"/>
            <w:tcBorders>
              <w:top w:val="single" w:sz="4" w:space="0" w:color="auto"/>
            </w:tcBorders>
          </w:tcPr>
          <w:p w14:paraId="421F5CAD" w14:textId="77777777" w:rsidR="006741FD" w:rsidRPr="00697B94" w:rsidRDefault="006741FD" w:rsidP="006741FD">
            <w:pPr>
              <w:pStyle w:val="Body"/>
              <w:rPr>
                <w:bCs/>
                <w:sz w:val="20"/>
              </w:rPr>
            </w:pPr>
            <w:r w:rsidRPr="00697B94">
              <w:rPr>
                <w:bCs/>
                <w:sz w:val="20"/>
              </w:rPr>
              <w:t>F-statistic</w:t>
            </w:r>
          </w:p>
        </w:tc>
        <w:tc>
          <w:tcPr>
            <w:tcW w:w="1803" w:type="dxa"/>
            <w:tcBorders>
              <w:top w:val="single" w:sz="4" w:space="0" w:color="auto"/>
            </w:tcBorders>
          </w:tcPr>
          <w:p w14:paraId="48332C3E" w14:textId="77777777" w:rsidR="006741FD" w:rsidRPr="00697B94" w:rsidRDefault="006741FD" w:rsidP="006741FD">
            <w:pPr>
              <w:pStyle w:val="Body"/>
              <w:rPr>
                <w:bCs/>
                <w:sz w:val="20"/>
              </w:rPr>
            </w:pPr>
            <w:r w:rsidRPr="00697B94">
              <w:rPr>
                <w:bCs/>
                <w:sz w:val="20"/>
              </w:rPr>
              <w:t>9.6570</w:t>
            </w:r>
          </w:p>
        </w:tc>
        <w:tc>
          <w:tcPr>
            <w:tcW w:w="1803" w:type="dxa"/>
            <w:tcBorders>
              <w:top w:val="single" w:sz="4" w:space="0" w:color="auto"/>
            </w:tcBorders>
          </w:tcPr>
          <w:p w14:paraId="6E3526BB" w14:textId="77777777" w:rsidR="006741FD" w:rsidRPr="00697B94" w:rsidRDefault="006741FD" w:rsidP="006741FD">
            <w:pPr>
              <w:pStyle w:val="Body"/>
              <w:rPr>
                <w:bCs/>
                <w:sz w:val="20"/>
              </w:rPr>
            </w:pPr>
            <w:r w:rsidRPr="00697B94">
              <w:rPr>
                <w:bCs/>
                <w:sz w:val="20"/>
              </w:rPr>
              <w:t>10%</w:t>
            </w:r>
          </w:p>
        </w:tc>
        <w:tc>
          <w:tcPr>
            <w:tcW w:w="1803" w:type="dxa"/>
            <w:tcBorders>
              <w:top w:val="single" w:sz="4" w:space="0" w:color="auto"/>
            </w:tcBorders>
          </w:tcPr>
          <w:p w14:paraId="081BB678" w14:textId="77777777" w:rsidR="006741FD" w:rsidRPr="00697B94" w:rsidRDefault="006741FD" w:rsidP="006741FD">
            <w:pPr>
              <w:pStyle w:val="Body"/>
              <w:rPr>
                <w:bCs/>
                <w:sz w:val="20"/>
              </w:rPr>
            </w:pPr>
            <w:r w:rsidRPr="00697B94">
              <w:rPr>
                <w:bCs/>
                <w:sz w:val="20"/>
              </w:rPr>
              <w:t>2.26</w:t>
            </w:r>
          </w:p>
        </w:tc>
        <w:tc>
          <w:tcPr>
            <w:tcW w:w="1804" w:type="dxa"/>
            <w:tcBorders>
              <w:top w:val="single" w:sz="4" w:space="0" w:color="auto"/>
            </w:tcBorders>
          </w:tcPr>
          <w:p w14:paraId="2A33C7AD" w14:textId="77777777" w:rsidR="006741FD" w:rsidRPr="00697B94" w:rsidRDefault="006741FD" w:rsidP="006741FD">
            <w:pPr>
              <w:pStyle w:val="Body"/>
              <w:rPr>
                <w:bCs/>
                <w:sz w:val="20"/>
              </w:rPr>
            </w:pPr>
            <w:r w:rsidRPr="00697B94">
              <w:rPr>
                <w:bCs/>
                <w:sz w:val="20"/>
              </w:rPr>
              <w:t>3.35</w:t>
            </w:r>
          </w:p>
        </w:tc>
      </w:tr>
      <w:tr w:rsidR="006741FD" w:rsidRPr="00697B94" w14:paraId="1B0FEB6C" w14:textId="77777777" w:rsidTr="00F363C4">
        <w:tc>
          <w:tcPr>
            <w:tcW w:w="1803" w:type="dxa"/>
          </w:tcPr>
          <w:p w14:paraId="0D8711E2" w14:textId="77777777" w:rsidR="006741FD" w:rsidRPr="00697B94" w:rsidRDefault="006741FD" w:rsidP="006741FD">
            <w:pPr>
              <w:pStyle w:val="Body"/>
              <w:rPr>
                <w:bCs/>
                <w:sz w:val="20"/>
              </w:rPr>
            </w:pPr>
            <w:r w:rsidRPr="00697B94">
              <w:rPr>
                <w:bCs/>
                <w:sz w:val="20"/>
              </w:rPr>
              <w:t xml:space="preserve">K </w:t>
            </w:r>
          </w:p>
        </w:tc>
        <w:tc>
          <w:tcPr>
            <w:tcW w:w="1803" w:type="dxa"/>
          </w:tcPr>
          <w:p w14:paraId="11C5BE5B" w14:textId="77777777" w:rsidR="006741FD" w:rsidRPr="00697B94" w:rsidRDefault="006741FD" w:rsidP="006741FD">
            <w:pPr>
              <w:pStyle w:val="Body"/>
              <w:rPr>
                <w:bCs/>
                <w:sz w:val="20"/>
              </w:rPr>
            </w:pPr>
            <w:r w:rsidRPr="00697B94">
              <w:rPr>
                <w:bCs/>
                <w:sz w:val="20"/>
              </w:rPr>
              <w:t>5</w:t>
            </w:r>
          </w:p>
        </w:tc>
        <w:tc>
          <w:tcPr>
            <w:tcW w:w="1803" w:type="dxa"/>
          </w:tcPr>
          <w:p w14:paraId="6A2465D3" w14:textId="77777777" w:rsidR="006741FD" w:rsidRPr="00697B94" w:rsidRDefault="006741FD" w:rsidP="006741FD">
            <w:pPr>
              <w:pStyle w:val="Body"/>
              <w:rPr>
                <w:bCs/>
                <w:sz w:val="20"/>
              </w:rPr>
            </w:pPr>
            <w:r w:rsidRPr="00697B94">
              <w:rPr>
                <w:bCs/>
                <w:sz w:val="20"/>
              </w:rPr>
              <w:t>5%</w:t>
            </w:r>
          </w:p>
        </w:tc>
        <w:tc>
          <w:tcPr>
            <w:tcW w:w="1803" w:type="dxa"/>
          </w:tcPr>
          <w:p w14:paraId="11633568" w14:textId="77777777" w:rsidR="006741FD" w:rsidRPr="00697B94" w:rsidRDefault="006741FD" w:rsidP="006741FD">
            <w:pPr>
              <w:pStyle w:val="Body"/>
              <w:rPr>
                <w:bCs/>
                <w:sz w:val="20"/>
              </w:rPr>
            </w:pPr>
            <w:r w:rsidRPr="00697B94">
              <w:rPr>
                <w:bCs/>
                <w:sz w:val="20"/>
              </w:rPr>
              <w:t>3.62</w:t>
            </w:r>
          </w:p>
        </w:tc>
        <w:tc>
          <w:tcPr>
            <w:tcW w:w="1804" w:type="dxa"/>
          </w:tcPr>
          <w:p w14:paraId="2604A3E2" w14:textId="77777777" w:rsidR="006741FD" w:rsidRPr="00697B94" w:rsidRDefault="006741FD" w:rsidP="006741FD">
            <w:pPr>
              <w:pStyle w:val="Body"/>
              <w:rPr>
                <w:bCs/>
                <w:sz w:val="20"/>
              </w:rPr>
            </w:pPr>
            <w:r w:rsidRPr="00697B94">
              <w:rPr>
                <w:bCs/>
                <w:sz w:val="20"/>
              </w:rPr>
              <w:t>3.79</w:t>
            </w:r>
          </w:p>
        </w:tc>
      </w:tr>
      <w:tr w:rsidR="006741FD" w:rsidRPr="00697B94" w14:paraId="58EAE685" w14:textId="77777777" w:rsidTr="00F363C4">
        <w:tc>
          <w:tcPr>
            <w:tcW w:w="1803" w:type="dxa"/>
            <w:tcBorders>
              <w:bottom w:val="single" w:sz="4" w:space="0" w:color="auto"/>
            </w:tcBorders>
          </w:tcPr>
          <w:p w14:paraId="4CC74B4D" w14:textId="77777777" w:rsidR="006741FD" w:rsidRPr="00697B94" w:rsidRDefault="006741FD" w:rsidP="006741FD">
            <w:pPr>
              <w:pStyle w:val="Body"/>
              <w:rPr>
                <w:bCs/>
                <w:sz w:val="20"/>
              </w:rPr>
            </w:pPr>
          </w:p>
        </w:tc>
        <w:tc>
          <w:tcPr>
            <w:tcW w:w="1803" w:type="dxa"/>
            <w:tcBorders>
              <w:bottom w:val="single" w:sz="4" w:space="0" w:color="auto"/>
            </w:tcBorders>
          </w:tcPr>
          <w:p w14:paraId="14A0A43D" w14:textId="77777777" w:rsidR="006741FD" w:rsidRPr="00697B94" w:rsidRDefault="006741FD" w:rsidP="006741FD">
            <w:pPr>
              <w:pStyle w:val="Body"/>
              <w:rPr>
                <w:bCs/>
                <w:sz w:val="20"/>
              </w:rPr>
            </w:pPr>
          </w:p>
        </w:tc>
        <w:tc>
          <w:tcPr>
            <w:tcW w:w="1803" w:type="dxa"/>
            <w:tcBorders>
              <w:bottom w:val="single" w:sz="4" w:space="0" w:color="auto"/>
            </w:tcBorders>
          </w:tcPr>
          <w:p w14:paraId="71C974C6" w14:textId="77777777" w:rsidR="006741FD" w:rsidRPr="00697B94" w:rsidRDefault="006741FD" w:rsidP="006741FD">
            <w:pPr>
              <w:pStyle w:val="Body"/>
              <w:rPr>
                <w:bCs/>
                <w:sz w:val="20"/>
              </w:rPr>
            </w:pPr>
            <w:r w:rsidRPr="00697B94">
              <w:rPr>
                <w:bCs/>
                <w:sz w:val="20"/>
              </w:rPr>
              <w:t>1%</w:t>
            </w:r>
          </w:p>
        </w:tc>
        <w:tc>
          <w:tcPr>
            <w:tcW w:w="1803" w:type="dxa"/>
            <w:tcBorders>
              <w:bottom w:val="single" w:sz="4" w:space="0" w:color="auto"/>
            </w:tcBorders>
          </w:tcPr>
          <w:p w14:paraId="5891CE1C" w14:textId="77777777" w:rsidR="006741FD" w:rsidRPr="00697B94" w:rsidRDefault="006741FD" w:rsidP="006741FD">
            <w:pPr>
              <w:pStyle w:val="Body"/>
              <w:rPr>
                <w:bCs/>
                <w:sz w:val="20"/>
              </w:rPr>
            </w:pPr>
            <w:r w:rsidRPr="00697B94">
              <w:rPr>
                <w:bCs/>
                <w:sz w:val="20"/>
              </w:rPr>
              <w:t>3.41</w:t>
            </w:r>
          </w:p>
        </w:tc>
        <w:tc>
          <w:tcPr>
            <w:tcW w:w="1804" w:type="dxa"/>
            <w:tcBorders>
              <w:bottom w:val="single" w:sz="4" w:space="0" w:color="auto"/>
            </w:tcBorders>
          </w:tcPr>
          <w:p w14:paraId="6C9CDD83" w14:textId="77777777" w:rsidR="006741FD" w:rsidRPr="00697B94" w:rsidRDefault="006741FD" w:rsidP="006741FD">
            <w:pPr>
              <w:pStyle w:val="Body"/>
              <w:rPr>
                <w:bCs/>
                <w:sz w:val="20"/>
              </w:rPr>
            </w:pPr>
            <w:r w:rsidRPr="00697B94">
              <w:rPr>
                <w:bCs/>
                <w:sz w:val="20"/>
              </w:rPr>
              <w:t>4.68</w:t>
            </w:r>
          </w:p>
        </w:tc>
      </w:tr>
    </w:tbl>
    <w:p w14:paraId="469A66F0" w14:textId="77777777" w:rsidR="002B2E32" w:rsidRPr="00697B94" w:rsidRDefault="002B2E32" w:rsidP="002B2E32">
      <w:pPr>
        <w:pStyle w:val="Body"/>
      </w:pPr>
      <w:r w:rsidRPr="00697B94">
        <w:t>Note:</w:t>
      </w:r>
      <w:r w:rsidR="006741FD" w:rsidRPr="00697B94">
        <w:t xml:space="preserve"> </w:t>
      </w:r>
      <w:r w:rsidRPr="00697B94">
        <w:t>k is the number of regressors used in the model,</w:t>
      </w:r>
      <w:r w:rsidR="006741FD" w:rsidRPr="00697B94">
        <w:t xml:space="preserve"> </w:t>
      </w:r>
      <w:r w:rsidRPr="00697B94">
        <w:t>I (0) and I (1) represent lower and upper bounds respectively.</w:t>
      </w:r>
    </w:p>
    <w:p w14:paraId="2C6BF13C" w14:textId="77777777" w:rsidR="002B2E32" w:rsidRPr="00697B94" w:rsidRDefault="002B2E32" w:rsidP="002B2E32">
      <w:pPr>
        <w:pStyle w:val="Body"/>
      </w:pPr>
      <w:r w:rsidRPr="00697B94">
        <w:t xml:space="preserve">The results from the bounds test in Table 3 indicate that, there exists cointegration among the variables because the computed F-statistic of 9.6570 is higher than the critical upper bound values of 3.35, 3.79, and 4.68 at 10%, 5% and 1% significance levels respectively. This implies that the null hypothesis of no cointegration among the variables is rejected. Hence, the F-statistic being greater than the critical upper bound values in the model confirms a stable long-run relationship among the variables </w:t>
      </w:r>
    </w:p>
    <w:p w14:paraId="441261CA" w14:textId="77777777" w:rsidR="002B2E32" w:rsidRPr="00697B94" w:rsidRDefault="006741FD" w:rsidP="002B2E32">
      <w:pPr>
        <w:pStyle w:val="Body"/>
        <w:rPr>
          <w:b/>
          <w:bCs/>
        </w:rPr>
      </w:pPr>
      <w:r w:rsidRPr="00697B94">
        <w:rPr>
          <w:b/>
          <w:bCs/>
        </w:rPr>
        <w:t>3</w:t>
      </w:r>
      <w:r w:rsidR="002B2E32" w:rsidRPr="00697B94">
        <w:rPr>
          <w:b/>
          <w:bCs/>
        </w:rPr>
        <w:t>.4</w:t>
      </w:r>
      <w:r w:rsidRPr="00697B94">
        <w:rPr>
          <w:b/>
          <w:bCs/>
        </w:rPr>
        <w:t xml:space="preserve"> </w:t>
      </w:r>
      <w:r w:rsidR="002B2E32" w:rsidRPr="00697B94">
        <w:rPr>
          <w:b/>
          <w:bCs/>
        </w:rPr>
        <w:t>Long-run Results</w:t>
      </w:r>
    </w:p>
    <w:p w14:paraId="103E57CE" w14:textId="77777777" w:rsidR="002B2E32" w:rsidRPr="00697B94" w:rsidRDefault="002B2E32" w:rsidP="002B2E32">
      <w:pPr>
        <w:pStyle w:val="Body"/>
      </w:pPr>
      <w:r w:rsidRPr="00697B94">
        <w:t xml:space="preserve">Consequent to the establishment of the existence of cointegration based on the ARDL bounds test, the study continued to estimate the coefficients of the long-run associations as well as the accompanying error correction model using the ARDL approach. Table 4 shows the outcome of the ARDL long-run estimation.  </w:t>
      </w:r>
    </w:p>
    <w:p w14:paraId="42BB3002" w14:textId="77777777" w:rsidR="002B2E32" w:rsidRPr="00697B94" w:rsidRDefault="002B2E32" w:rsidP="002B2E32">
      <w:pPr>
        <w:pStyle w:val="Body"/>
      </w:pPr>
    </w:p>
    <w:p w14:paraId="222DA315" w14:textId="77777777" w:rsidR="002B2E32" w:rsidRPr="00697B94" w:rsidRDefault="002B2E32" w:rsidP="002B2E32">
      <w:pPr>
        <w:pStyle w:val="Body"/>
      </w:pPr>
      <w:r w:rsidRPr="00697B94">
        <w:t>The long-run coefficient of foreign direct investment (FDI) in Table 4 is found to be negative and statistically significant at 1% significant level. This means that, keeping everything else constant, 1% increase in foreign direct investment will cause approximately a 1.963% decrease in domestic businesses in Ghana in the long-run. This negative and significant effect of</w:t>
      </w:r>
      <w:r w:rsidR="006741FD" w:rsidRPr="00697B94">
        <w:t xml:space="preserve"> </w:t>
      </w:r>
      <w:r w:rsidRPr="00697B94">
        <w:t>foreign direct investment</w:t>
      </w:r>
      <w:r w:rsidR="006741FD" w:rsidRPr="00697B94">
        <w:t xml:space="preserve"> </w:t>
      </w:r>
      <w:r w:rsidRPr="00697B94">
        <w:t>on domestic investments is in line with the competition effect theory which states</w:t>
      </w:r>
      <w:r w:rsidR="006741FD" w:rsidRPr="00697B94">
        <w:t xml:space="preserve"> </w:t>
      </w:r>
      <w:r w:rsidRPr="00697B94">
        <w:t>that the entry of MNCs</w:t>
      </w:r>
      <w:r w:rsidR="006741FD" w:rsidRPr="00697B94">
        <w:t xml:space="preserve"> </w:t>
      </w:r>
      <w:r w:rsidRPr="00697B94">
        <w:t>increases competition in the final</w:t>
      </w:r>
      <w:r w:rsidR="006741FD" w:rsidRPr="00697B94">
        <w:t xml:space="preserve"> </w:t>
      </w:r>
      <w:r w:rsidRPr="00697B94">
        <w:t>product industry and reduces the</w:t>
      </w:r>
      <w:r w:rsidR="006741FD" w:rsidRPr="00697B94">
        <w:t xml:space="preserve"> </w:t>
      </w:r>
      <w:r w:rsidRPr="00697B94">
        <w:t>profitability of domestic</w:t>
      </w:r>
      <w:r w:rsidR="006741FD" w:rsidRPr="00697B94">
        <w:t xml:space="preserve"> </w:t>
      </w:r>
      <w:r w:rsidRPr="00697B94">
        <w:t>firms in the same industry.</w:t>
      </w:r>
      <w:r w:rsidR="006741FD" w:rsidRPr="00697B94">
        <w:t xml:space="preserve"> </w:t>
      </w:r>
      <w:r w:rsidRPr="00697B94">
        <w:t>This, in turn, causes domestic firms</w:t>
      </w:r>
      <w:r w:rsidR="006741FD" w:rsidRPr="00697B94">
        <w:t xml:space="preserve"> </w:t>
      </w:r>
      <w:r w:rsidRPr="00697B94">
        <w:t>to exit (Markusen and Venables, 1999).  In other words, the negative effect</w:t>
      </w:r>
      <w:r w:rsidR="006741FD" w:rsidRPr="00697B94">
        <w:t xml:space="preserve"> </w:t>
      </w:r>
      <w:r w:rsidRPr="00697B94">
        <w:t xml:space="preserve">of </w:t>
      </w:r>
      <w:r w:rsidRPr="00697B94">
        <w:lastRenderedPageBreak/>
        <w:t>FDI inflows on domestic investment</w:t>
      </w:r>
      <w:r w:rsidR="006741FD" w:rsidRPr="00697B94">
        <w:t xml:space="preserve"> </w:t>
      </w:r>
      <w:r w:rsidRPr="00697B94">
        <w:t>may be due that,</w:t>
      </w:r>
      <w:r w:rsidR="006741FD" w:rsidRPr="00697B94">
        <w:t xml:space="preserve"> </w:t>
      </w:r>
      <w:r w:rsidRPr="00697B94">
        <w:t>foreign investors can easily out-compete domestic</w:t>
      </w:r>
      <w:r w:rsidR="000613D8" w:rsidRPr="00697B94">
        <w:t xml:space="preserve"> </w:t>
      </w:r>
      <w:r w:rsidRPr="00697B94">
        <w:t>investors particularly due to their superior</w:t>
      </w:r>
      <w:r w:rsidR="000613D8" w:rsidRPr="00697B94">
        <w:t xml:space="preserve"> </w:t>
      </w:r>
      <w:r w:rsidRPr="00697B94">
        <w:t>technology which gives foreign investors the competitive advantage over their domestic counter parts. Another reason for the crowding out is that the discretionary</w:t>
      </w:r>
      <w:r w:rsidR="000613D8" w:rsidRPr="00697B94">
        <w:t xml:space="preserve"> </w:t>
      </w:r>
      <w:r w:rsidRPr="00697B94">
        <w:t>incentives offered to foreign</w:t>
      </w:r>
      <w:r w:rsidR="000613D8" w:rsidRPr="00697B94">
        <w:t xml:space="preserve"> </w:t>
      </w:r>
      <w:r w:rsidRPr="00697B94">
        <w:t>investors (such as tax holidays, free property,</w:t>
      </w:r>
      <w:r w:rsidR="000613D8" w:rsidRPr="00697B94">
        <w:t xml:space="preserve"> </w:t>
      </w:r>
      <w:r w:rsidRPr="00697B94">
        <w:t>tax exemptions on imported machinery</w:t>
      </w:r>
      <w:r w:rsidR="000613D8" w:rsidRPr="00697B94">
        <w:t xml:space="preserve"> </w:t>
      </w:r>
      <w:r w:rsidRPr="00697B94">
        <w:t>and intermediate inputs, access to loan guarantees,</w:t>
      </w:r>
      <w:r w:rsidR="000613D8" w:rsidRPr="00697B94">
        <w:t xml:space="preserve"> </w:t>
      </w:r>
      <w:r w:rsidRPr="00697B94">
        <w:t>and other benefits) make it difficult for domestic firms to compete favourably with their counterparts. Moreover, the negative impact could also mean that, the inflow of FDI has not actually created business opportunities for local investors in the host country (Ghana) and instead, replaced them (the substitution effect). This finding is also consistent with findings of Wang (2010), Szkorupová (2015) and Yahia et al., (2018).</w:t>
      </w:r>
    </w:p>
    <w:tbl>
      <w:tblPr>
        <w:tblStyle w:val="TableGrid"/>
        <w:tblpPr w:leftFromText="180" w:rightFromText="180" w:vertAnchor="text" w:horzAnchor="margin" w:tblpY="3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0"/>
        <w:gridCol w:w="1579"/>
        <w:gridCol w:w="1465"/>
        <w:gridCol w:w="1507"/>
        <w:gridCol w:w="1527"/>
      </w:tblGrid>
      <w:tr w:rsidR="000613D8" w:rsidRPr="00697B94" w14:paraId="0AC15018" w14:textId="77777777" w:rsidTr="000613D8">
        <w:trPr>
          <w:trHeight w:val="288"/>
        </w:trPr>
        <w:tc>
          <w:tcPr>
            <w:tcW w:w="2130" w:type="dxa"/>
            <w:tcBorders>
              <w:top w:val="single" w:sz="4" w:space="0" w:color="auto"/>
              <w:left w:val="nil"/>
              <w:bottom w:val="nil"/>
              <w:right w:val="nil"/>
            </w:tcBorders>
            <w:hideMark/>
          </w:tcPr>
          <w:p w14:paraId="4BD614C0" w14:textId="77777777" w:rsidR="000613D8" w:rsidRPr="00697B94" w:rsidRDefault="000613D8" w:rsidP="000613D8">
            <w:pPr>
              <w:pStyle w:val="Body"/>
              <w:spacing w:after="0"/>
              <w:rPr>
                <w:sz w:val="20"/>
              </w:rPr>
            </w:pPr>
            <w:bookmarkStart w:id="6" w:name="_Toc76559493"/>
            <w:r w:rsidRPr="00697B94">
              <w:rPr>
                <w:b/>
                <w:bCs/>
                <w:sz w:val="20"/>
              </w:rPr>
              <w:t>ARDL (1, 0, 1, 0, 1, 0)</w:t>
            </w:r>
          </w:p>
        </w:tc>
        <w:tc>
          <w:tcPr>
            <w:tcW w:w="1579" w:type="dxa"/>
            <w:tcBorders>
              <w:top w:val="single" w:sz="4" w:space="0" w:color="auto"/>
              <w:left w:val="nil"/>
              <w:bottom w:val="nil"/>
              <w:right w:val="nil"/>
            </w:tcBorders>
          </w:tcPr>
          <w:p w14:paraId="6EE6E576" w14:textId="77777777" w:rsidR="000613D8" w:rsidRPr="00697B94" w:rsidRDefault="000613D8" w:rsidP="000613D8">
            <w:pPr>
              <w:pStyle w:val="Body"/>
              <w:spacing w:after="0"/>
              <w:rPr>
                <w:sz w:val="20"/>
              </w:rPr>
            </w:pPr>
          </w:p>
        </w:tc>
        <w:tc>
          <w:tcPr>
            <w:tcW w:w="1465" w:type="dxa"/>
            <w:tcBorders>
              <w:top w:val="single" w:sz="4" w:space="0" w:color="auto"/>
              <w:left w:val="nil"/>
              <w:bottom w:val="nil"/>
              <w:right w:val="nil"/>
            </w:tcBorders>
          </w:tcPr>
          <w:p w14:paraId="2AFDC64C" w14:textId="77777777" w:rsidR="000613D8" w:rsidRPr="00697B94" w:rsidRDefault="000613D8" w:rsidP="000613D8">
            <w:pPr>
              <w:pStyle w:val="Body"/>
              <w:spacing w:after="0"/>
              <w:rPr>
                <w:sz w:val="20"/>
              </w:rPr>
            </w:pPr>
          </w:p>
        </w:tc>
        <w:tc>
          <w:tcPr>
            <w:tcW w:w="1507" w:type="dxa"/>
            <w:tcBorders>
              <w:top w:val="single" w:sz="4" w:space="0" w:color="auto"/>
              <w:left w:val="nil"/>
              <w:bottom w:val="nil"/>
              <w:right w:val="nil"/>
            </w:tcBorders>
          </w:tcPr>
          <w:p w14:paraId="64AD10C6" w14:textId="77777777" w:rsidR="000613D8" w:rsidRPr="00697B94" w:rsidRDefault="000613D8" w:rsidP="000613D8">
            <w:pPr>
              <w:pStyle w:val="Body"/>
              <w:spacing w:after="0"/>
              <w:rPr>
                <w:sz w:val="20"/>
              </w:rPr>
            </w:pPr>
          </w:p>
        </w:tc>
        <w:tc>
          <w:tcPr>
            <w:tcW w:w="1527" w:type="dxa"/>
            <w:tcBorders>
              <w:top w:val="single" w:sz="4" w:space="0" w:color="auto"/>
              <w:left w:val="nil"/>
              <w:bottom w:val="nil"/>
              <w:right w:val="nil"/>
            </w:tcBorders>
          </w:tcPr>
          <w:p w14:paraId="5E695A7D" w14:textId="77777777" w:rsidR="000613D8" w:rsidRPr="00697B94" w:rsidRDefault="000613D8" w:rsidP="000613D8">
            <w:pPr>
              <w:pStyle w:val="Body"/>
              <w:spacing w:after="0"/>
              <w:rPr>
                <w:sz w:val="20"/>
              </w:rPr>
            </w:pPr>
          </w:p>
        </w:tc>
      </w:tr>
      <w:tr w:rsidR="000613D8" w:rsidRPr="00697B94" w14:paraId="02678FBA" w14:textId="77777777" w:rsidTr="000613D8">
        <w:trPr>
          <w:trHeight w:val="288"/>
        </w:trPr>
        <w:tc>
          <w:tcPr>
            <w:tcW w:w="2130" w:type="dxa"/>
            <w:tcBorders>
              <w:top w:val="nil"/>
              <w:left w:val="nil"/>
              <w:bottom w:val="single" w:sz="4" w:space="0" w:color="auto"/>
              <w:right w:val="nil"/>
            </w:tcBorders>
            <w:hideMark/>
          </w:tcPr>
          <w:p w14:paraId="352A64AA" w14:textId="77777777" w:rsidR="000613D8" w:rsidRPr="00697B94" w:rsidRDefault="000613D8" w:rsidP="000613D8">
            <w:pPr>
              <w:pStyle w:val="Body"/>
              <w:spacing w:after="0"/>
              <w:rPr>
                <w:b/>
                <w:bCs/>
                <w:sz w:val="20"/>
              </w:rPr>
            </w:pPr>
            <w:r w:rsidRPr="00697B94">
              <w:rPr>
                <w:b/>
                <w:bCs/>
                <w:sz w:val="20"/>
              </w:rPr>
              <w:t>Variable</w:t>
            </w:r>
          </w:p>
        </w:tc>
        <w:tc>
          <w:tcPr>
            <w:tcW w:w="1579" w:type="dxa"/>
            <w:tcBorders>
              <w:top w:val="nil"/>
              <w:left w:val="nil"/>
              <w:bottom w:val="single" w:sz="4" w:space="0" w:color="auto"/>
              <w:right w:val="nil"/>
            </w:tcBorders>
            <w:hideMark/>
          </w:tcPr>
          <w:p w14:paraId="36648D39" w14:textId="77777777" w:rsidR="000613D8" w:rsidRPr="00697B94" w:rsidRDefault="000613D8" w:rsidP="000613D8">
            <w:pPr>
              <w:pStyle w:val="Body"/>
              <w:spacing w:after="0"/>
              <w:rPr>
                <w:b/>
                <w:bCs/>
                <w:sz w:val="20"/>
              </w:rPr>
            </w:pPr>
            <w:r w:rsidRPr="00697B94">
              <w:rPr>
                <w:b/>
                <w:bCs/>
                <w:sz w:val="20"/>
              </w:rPr>
              <w:t>Coefficient</w:t>
            </w:r>
          </w:p>
        </w:tc>
        <w:tc>
          <w:tcPr>
            <w:tcW w:w="1465" w:type="dxa"/>
            <w:tcBorders>
              <w:top w:val="nil"/>
              <w:left w:val="nil"/>
              <w:bottom w:val="single" w:sz="4" w:space="0" w:color="auto"/>
              <w:right w:val="nil"/>
            </w:tcBorders>
            <w:hideMark/>
          </w:tcPr>
          <w:p w14:paraId="4A8A97C7" w14:textId="77777777" w:rsidR="000613D8" w:rsidRPr="00697B94" w:rsidRDefault="000613D8" w:rsidP="000613D8">
            <w:pPr>
              <w:pStyle w:val="Body"/>
              <w:spacing w:after="0"/>
              <w:rPr>
                <w:b/>
                <w:bCs/>
                <w:sz w:val="20"/>
              </w:rPr>
            </w:pPr>
            <w:r w:rsidRPr="00697B94">
              <w:rPr>
                <w:b/>
                <w:bCs/>
                <w:sz w:val="20"/>
              </w:rPr>
              <w:t>Std. Error</w:t>
            </w:r>
          </w:p>
        </w:tc>
        <w:tc>
          <w:tcPr>
            <w:tcW w:w="1507" w:type="dxa"/>
            <w:tcBorders>
              <w:top w:val="nil"/>
              <w:left w:val="nil"/>
              <w:bottom w:val="single" w:sz="4" w:space="0" w:color="auto"/>
              <w:right w:val="nil"/>
            </w:tcBorders>
            <w:hideMark/>
          </w:tcPr>
          <w:p w14:paraId="41ED7F7D" w14:textId="77777777" w:rsidR="000613D8" w:rsidRPr="00697B94" w:rsidRDefault="000613D8" w:rsidP="000613D8">
            <w:pPr>
              <w:pStyle w:val="Body"/>
              <w:spacing w:after="0"/>
              <w:rPr>
                <w:b/>
                <w:bCs/>
                <w:sz w:val="20"/>
              </w:rPr>
            </w:pPr>
            <w:r w:rsidRPr="00697B94">
              <w:rPr>
                <w:b/>
                <w:bCs/>
                <w:sz w:val="20"/>
              </w:rPr>
              <w:t>t-statistic</w:t>
            </w:r>
          </w:p>
        </w:tc>
        <w:tc>
          <w:tcPr>
            <w:tcW w:w="1527" w:type="dxa"/>
            <w:tcBorders>
              <w:top w:val="nil"/>
              <w:left w:val="nil"/>
              <w:bottom w:val="single" w:sz="4" w:space="0" w:color="auto"/>
              <w:right w:val="nil"/>
            </w:tcBorders>
          </w:tcPr>
          <w:p w14:paraId="4F40C237" w14:textId="77777777" w:rsidR="000613D8" w:rsidRPr="00697B94" w:rsidRDefault="000613D8" w:rsidP="000613D8">
            <w:pPr>
              <w:pStyle w:val="Body"/>
              <w:spacing w:after="0"/>
              <w:rPr>
                <w:b/>
                <w:bCs/>
                <w:sz w:val="20"/>
              </w:rPr>
            </w:pPr>
            <w:r w:rsidRPr="00697B94">
              <w:rPr>
                <w:b/>
                <w:bCs/>
                <w:sz w:val="20"/>
              </w:rPr>
              <w:t xml:space="preserve">P-values </w:t>
            </w:r>
          </w:p>
        </w:tc>
      </w:tr>
      <w:tr w:rsidR="000613D8" w:rsidRPr="00697B94" w14:paraId="26C9CF6C" w14:textId="77777777" w:rsidTr="000613D8">
        <w:trPr>
          <w:trHeight w:val="288"/>
        </w:trPr>
        <w:tc>
          <w:tcPr>
            <w:tcW w:w="2130" w:type="dxa"/>
            <w:tcBorders>
              <w:top w:val="single" w:sz="4" w:space="0" w:color="auto"/>
              <w:left w:val="nil"/>
              <w:bottom w:val="nil"/>
              <w:right w:val="nil"/>
            </w:tcBorders>
            <w:hideMark/>
          </w:tcPr>
          <w:p w14:paraId="5A017A95" w14:textId="77777777" w:rsidR="000613D8" w:rsidRPr="00697B94" w:rsidRDefault="000613D8" w:rsidP="000613D8">
            <w:pPr>
              <w:pStyle w:val="Body"/>
              <w:spacing w:after="0"/>
              <w:rPr>
                <w:sz w:val="20"/>
              </w:rPr>
            </w:pPr>
            <w:r w:rsidRPr="00697B94">
              <w:rPr>
                <w:sz w:val="20"/>
              </w:rPr>
              <w:t>FDI</w:t>
            </w:r>
          </w:p>
        </w:tc>
        <w:tc>
          <w:tcPr>
            <w:tcW w:w="1579" w:type="dxa"/>
            <w:tcBorders>
              <w:top w:val="single" w:sz="4" w:space="0" w:color="auto"/>
              <w:left w:val="nil"/>
              <w:bottom w:val="nil"/>
              <w:right w:val="nil"/>
            </w:tcBorders>
            <w:hideMark/>
          </w:tcPr>
          <w:p w14:paraId="05C87FD3" w14:textId="77777777" w:rsidR="000613D8" w:rsidRPr="00697B94" w:rsidRDefault="000613D8" w:rsidP="000613D8">
            <w:pPr>
              <w:pStyle w:val="Body"/>
              <w:spacing w:after="0"/>
              <w:rPr>
                <w:sz w:val="20"/>
              </w:rPr>
            </w:pPr>
            <w:r w:rsidRPr="00697B94">
              <w:rPr>
                <w:sz w:val="20"/>
              </w:rPr>
              <w:t>-1.9631</w:t>
            </w:r>
          </w:p>
        </w:tc>
        <w:tc>
          <w:tcPr>
            <w:tcW w:w="1465" w:type="dxa"/>
            <w:tcBorders>
              <w:top w:val="single" w:sz="4" w:space="0" w:color="auto"/>
              <w:left w:val="nil"/>
              <w:bottom w:val="nil"/>
              <w:right w:val="nil"/>
            </w:tcBorders>
            <w:hideMark/>
          </w:tcPr>
          <w:p w14:paraId="77DC7606" w14:textId="77777777" w:rsidR="000613D8" w:rsidRPr="00697B94" w:rsidRDefault="000613D8" w:rsidP="000613D8">
            <w:pPr>
              <w:pStyle w:val="Body"/>
              <w:spacing w:after="0"/>
              <w:rPr>
                <w:sz w:val="20"/>
              </w:rPr>
            </w:pPr>
            <w:r w:rsidRPr="00697B94">
              <w:rPr>
                <w:sz w:val="20"/>
              </w:rPr>
              <w:t>0.7109</w:t>
            </w:r>
          </w:p>
        </w:tc>
        <w:tc>
          <w:tcPr>
            <w:tcW w:w="1507" w:type="dxa"/>
            <w:tcBorders>
              <w:top w:val="single" w:sz="4" w:space="0" w:color="auto"/>
              <w:left w:val="nil"/>
              <w:bottom w:val="nil"/>
              <w:right w:val="nil"/>
            </w:tcBorders>
            <w:hideMark/>
          </w:tcPr>
          <w:p w14:paraId="5FA8C31B" w14:textId="77777777" w:rsidR="000613D8" w:rsidRPr="00697B94" w:rsidRDefault="000613D8" w:rsidP="000613D8">
            <w:pPr>
              <w:pStyle w:val="Body"/>
              <w:spacing w:after="0"/>
              <w:rPr>
                <w:sz w:val="20"/>
              </w:rPr>
            </w:pPr>
            <w:r w:rsidRPr="00697B94">
              <w:rPr>
                <w:sz w:val="20"/>
              </w:rPr>
              <w:t>-2.7615</w:t>
            </w:r>
          </w:p>
        </w:tc>
        <w:tc>
          <w:tcPr>
            <w:tcW w:w="1527" w:type="dxa"/>
            <w:tcBorders>
              <w:top w:val="single" w:sz="4" w:space="0" w:color="auto"/>
              <w:left w:val="nil"/>
              <w:bottom w:val="nil"/>
              <w:right w:val="nil"/>
            </w:tcBorders>
          </w:tcPr>
          <w:p w14:paraId="6851D79F" w14:textId="77777777" w:rsidR="000613D8" w:rsidRPr="00697B94" w:rsidRDefault="000613D8" w:rsidP="000613D8">
            <w:pPr>
              <w:pStyle w:val="Body"/>
              <w:spacing w:after="0"/>
              <w:rPr>
                <w:sz w:val="20"/>
              </w:rPr>
            </w:pPr>
            <w:r w:rsidRPr="00697B94">
              <w:rPr>
                <w:sz w:val="20"/>
              </w:rPr>
              <w:t>0.0120***</w:t>
            </w:r>
          </w:p>
        </w:tc>
      </w:tr>
      <w:tr w:rsidR="000613D8" w:rsidRPr="00697B94" w14:paraId="18ECCD16" w14:textId="77777777" w:rsidTr="000613D8">
        <w:trPr>
          <w:trHeight w:val="288"/>
        </w:trPr>
        <w:tc>
          <w:tcPr>
            <w:tcW w:w="2130" w:type="dxa"/>
            <w:hideMark/>
          </w:tcPr>
          <w:p w14:paraId="272721DA" w14:textId="77777777" w:rsidR="000613D8" w:rsidRPr="00697B94" w:rsidRDefault="000613D8" w:rsidP="000613D8">
            <w:pPr>
              <w:pStyle w:val="Body"/>
              <w:spacing w:after="0"/>
              <w:rPr>
                <w:sz w:val="20"/>
              </w:rPr>
            </w:pPr>
            <w:r w:rsidRPr="00697B94">
              <w:rPr>
                <w:sz w:val="20"/>
              </w:rPr>
              <w:t>INF</w:t>
            </w:r>
          </w:p>
        </w:tc>
        <w:tc>
          <w:tcPr>
            <w:tcW w:w="1579" w:type="dxa"/>
            <w:hideMark/>
          </w:tcPr>
          <w:p w14:paraId="234A63D7" w14:textId="77777777" w:rsidR="000613D8" w:rsidRPr="00697B94" w:rsidRDefault="000613D8" w:rsidP="000613D8">
            <w:pPr>
              <w:pStyle w:val="Body"/>
              <w:spacing w:after="0"/>
              <w:rPr>
                <w:sz w:val="20"/>
              </w:rPr>
            </w:pPr>
            <w:r w:rsidRPr="00697B94">
              <w:rPr>
                <w:sz w:val="20"/>
              </w:rPr>
              <w:t>1.8941</w:t>
            </w:r>
          </w:p>
        </w:tc>
        <w:tc>
          <w:tcPr>
            <w:tcW w:w="1465" w:type="dxa"/>
            <w:hideMark/>
          </w:tcPr>
          <w:p w14:paraId="77E4F90E" w14:textId="77777777" w:rsidR="000613D8" w:rsidRPr="00697B94" w:rsidRDefault="000613D8" w:rsidP="000613D8">
            <w:pPr>
              <w:pStyle w:val="Body"/>
              <w:spacing w:after="0"/>
              <w:rPr>
                <w:sz w:val="20"/>
              </w:rPr>
            </w:pPr>
            <w:r w:rsidRPr="00697B94">
              <w:rPr>
                <w:sz w:val="20"/>
              </w:rPr>
              <w:t>0.6784</w:t>
            </w:r>
          </w:p>
        </w:tc>
        <w:tc>
          <w:tcPr>
            <w:tcW w:w="1507" w:type="dxa"/>
            <w:hideMark/>
          </w:tcPr>
          <w:p w14:paraId="26339901" w14:textId="77777777" w:rsidR="000613D8" w:rsidRPr="00697B94" w:rsidRDefault="000613D8" w:rsidP="000613D8">
            <w:pPr>
              <w:pStyle w:val="Body"/>
              <w:spacing w:after="0"/>
              <w:rPr>
                <w:sz w:val="20"/>
              </w:rPr>
            </w:pPr>
            <w:r w:rsidRPr="00697B94">
              <w:rPr>
                <w:sz w:val="20"/>
              </w:rPr>
              <w:t>2.7918</w:t>
            </w:r>
          </w:p>
        </w:tc>
        <w:tc>
          <w:tcPr>
            <w:tcW w:w="1527" w:type="dxa"/>
          </w:tcPr>
          <w:p w14:paraId="24818C37" w14:textId="77777777" w:rsidR="000613D8" w:rsidRPr="00697B94" w:rsidRDefault="000613D8" w:rsidP="000613D8">
            <w:pPr>
              <w:pStyle w:val="Body"/>
              <w:spacing w:after="0"/>
              <w:rPr>
                <w:sz w:val="20"/>
              </w:rPr>
            </w:pPr>
            <w:r w:rsidRPr="00697B94">
              <w:rPr>
                <w:sz w:val="20"/>
              </w:rPr>
              <w:t>0.0113***</w:t>
            </w:r>
          </w:p>
        </w:tc>
      </w:tr>
      <w:tr w:rsidR="000613D8" w:rsidRPr="00697B94" w14:paraId="144367E7" w14:textId="77777777" w:rsidTr="000613D8">
        <w:trPr>
          <w:trHeight w:val="288"/>
        </w:trPr>
        <w:tc>
          <w:tcPr>
            <w:tcW w:w="2130" w:type="dxa"/>
            <w:hideMark/>
          </w:tcPr>
          <w:p w14:paraId="4F8473D2" w14:textId="77777777" w:rsidR="000613D8" w:rsidRPr="00697B94" w:rsidRDefault="000613D8" w:rsidP="000613D8">
            <w:pPr>
              <w:pStyle w:val="Body"/>
              <w:spacing w:after="0"/>
              <w:rPr>
                <w:sz w:val="20"/>
              </w:rPr>
            </w:pPr>
            <w:r w:rsidRPr="00697B94">
              <w:rPr>
                <w:sz w:val="20"/>
              </w:rPr>
              <w:t>INFSQ</w:t>
            </w:r>
          </w:p>
        </w:tc>
        <w:tc>
          <w:tcPr>
            <w:tcW w:w="1579" w:type="dxa"/>
            <w:hideMark/>
          </w:tcPr>
          <w:p w14:paraId="275C2D49" w14:textId="77777777" w:rsidR="000613D8" w:rsidRPr="00697B94" w:rsidRDefault="000613D8" w:rsidP="000613D8">
            <w:pPr>
              <w:pStyle w:val="Body"/>
              <w:spacing w:after="0"/>
              <w:rPr>
                <w:sz w:val="20"/>
              </w:rPr>
            </w:pPr>
            <w:r w:rsidRPr="00697B94">
              <w:rPr>
                <w:sz w:val="20"/>
              </w:rPr>
              <w:t>-0.0291</w:t>
            </w:r>
          </w:p>
        </w:tc>
        <w:tc>
          <w:tcPr>
            <w:tcW w:w="1465" w:type="dxa"/>
            <w:hideMark/>
          </w:tcPr>
          <w:p w14:paraId="164215E0" w14:textId="77777777" w:rsidR="000613D8" w:rsidRPr="00697B94" w:rsidRDefault="000613D8" w:rsidP="000613D8">
            <w:pPr>
              <w:pStyle w:val="Body"/>
              <w:spacing w:after="0"/>
              <w:rPr>
                <w:sz w:val="20"/>
              </w:rPr>
            </w:pPr>
            <w:r w:rsidRPr="00697B94">
              <w:rPr>
                <w:sz w:val="20"/>
              </w:rPr>
              <w:t>0.0099</w:t>
            </w:r>
          </w:p>
        </w:tc>
        <w:tc>
          <w:tcPr>
            <w:tcW w:w="1507" w:type="dxa"/>
            <w:hideMark/>
          </w:tcPr>
          <w:p w14:paraId="004DE960" w14:textId="77777777" w:rsidR="000613D8" w:rsidRPr="00697B94" w:rsidRDefault="000613D8" w:rsidP="000613D8">
            <w:pPr>
              <w:pStyle w:val="Body"/>
              <w:spacing w:after="0"/>
              <w:rPr>
                <w:sz w:val="20"/>
              </w:rPr>
            </w:pPr>
            <w:r w:rsidRPr="00697B94">
              <w:rPr>
                <w:sz w:val="20"/>
              </w:rPr>
              <w:t>-2.9507</w:t>
            </w:r>
          </w:p>
        </w:tc>
        <w:tc>
          <w:tcPr>
            <w:tcW w:w="1527" w:type="dxa"/>
          </w:tcPr>
          <w:p w14:paraId="47FEC7CA" w14:textId="77777777" w:rsidR="000613D8" w:rsidRPr="00697B94" w:rsidRDefault="000613D8" w:rsidP="000613D8">
            <w:pPr>
              <w:pStyle w:val="Body"/>
              <w:spacing w:after="0"/>
              <w:rPr>
                <w:sz w:val="20"/>
              </w:rPr>
            </w:pPr>
            <w:r w:rsidRPr="00697B94">
              <w:rPr>
                <w:sz w:val="20"/>
              </w:rPr>
              <w:t>0.0079***</w:t>
            </w:r>
          </w:p>
        </w:tc>
      </w:tr>
      <w:tr w:rsidR="000613D8" w:rsidRPr="00697B94" w14:paraId="74210134" w14:textId="77777777" w:rsidTr="000613D8">
        <w:trPr>
          <w:trHeight w:val="288"/>
        </w:trPr>
        <w:tc>
          <w:tcPr>
            <w:tcW w:w="2130" w:type="dxa"/>
            <w:hideMark/>
          </w:tcPr>
          <w:p w14:paraId="78F5D0C5" w14:textId="77777777" w:rsidR="000613D8" w:rsidRPr="00697B94" w:rsidRDefault="000613D8" w:rsidP="000613D8">
            <w:pPr>
              <w:pStyle w:val="Body"/>
              <w:spacing w:after="0"/>
              <w:rPr>
                <w:sz w:val="20"/>
              </w:rPr>
            </w:pPr>
            <w:r w:rsidRPr="00697B94">
              <w:rPr>
                <w:sz w:val="20"/>
              </w:rPr>
              <w:t>GDPG</w:t>
            </w:r>
          </w:p>
        </w:tc>
        <w:tc>
          <w:tcPr>
            <w:tcW w:w="1579" w:type="dxa"/>
            <w:hideMark/>
          </w:tcPr>
          <w:p w14:paraId="09571D31" w14:textId="77777777" w:rsidR="000613D8" w:rsidRPr="00697B94" w:rsidRDefault="000613D8" w:rsidP="000613D8">
            <w:pPr>
              <w:pStyle w:val="Body"/>
              <w:spacing w:after="0"/>
              <w:rPr>
                <w:sz w:val="20"/>
              </w:rPr>
            </w:pPr>
            <w:r w:rsidRPr="00697B94">
              <w:rPr>
                <w:sz w:val="20"/>
              </w:rPr>
              <w:t>1.9364</w:t>
            </w:r>
          </w:p>
        </w:tc>
        <w:tc>
          <w:tcPr>
            <w:tcW w:w="1465" w:type="dxa"/>
            <w:hideMark/>
          </w:tcPr>
          <w:p w14:paraId="6E078B95" w14:textId="77777777" w:rsidR="000613D8" w:rsidRPr="00697B94" w:rsidRDefault="000613D8" w:rsidP="000613D8">
            <w:pPr>
              <w:pStyle w:val="Body"/>
              <w:spacing w:after="0"/>
              <w:rPr>
                <w:sz w:val="20"/>
              </w:rPr>
            </w:pPr>
            <w:r w:rsidRPr="00697B94">
              <w:rPr>
                <w:sz w:val="20"/>
              </w:rPr>
              <w:t>1.0966</w:t>
            </w:r>
          </w:p>
        </w:tc>
        <w:tc>
          <w:tcPr>
            <w:tcW w:w="1507" w:type="dxa"/>
            <w:hideMark/>
          </w:tcPr>
          <w:p w14:paraId="3282C878" w14:textId="77777777" w:rsidR="000613D8" w:rsidRPr="00697B94" w:rsidRDefault="000613D8" w:rsidP="000613D8">
            <w:pPr>
              <w:pStyle w:val="Body"/>
              <w:spacing w:after="0"/>
              <w:rPr>
                <w:sz w:val="20"/>
              </w:rPr>
            </w:pPr>
            <w:r w:rsidRPr="00697B94">
              <w:rPr>
                <w:sz w:val="20"/>
              </w:rPr>
              <w:t>1.7658</w:t>
            </w:r>
          </w:p>
        </w:tc>
        <w:tc>
          <w:tcPr>
            <w:tcW w:w="1527" w:type="dxa"/>
          </w:tcPr>
          <w:p w14:paraId="5E516874" w14:textId="77777777" w:rsidR="000613D8" w:rsidRPr="00697B94" w:rsidRDefault="000613D8" w:rsidP="000613D8">
            <w:pPr>
              <w:pStyle w:val="Body"/>
              <w:spacing w:after="0"/>
              <w:rPr>
                <w:sz w:val="20"/>
              </w:rPr>
            </w:pPr>
            <w:r w:rsidRPr="00697B94">
              <w:rPr>
                <w:sz w:val="20"/>
              </w:rPr>
              <w:t>0.0927*</w:t>
            </w:r>
          </w:p>
        </w:tc>
      </w:tr>
      <w:tr w:rsidR="000613D8" w:rsidRPr="00697B94" w14:paraId="28534D49" w14:textId="77777777" w:rsidTr="000613D8">
        <w:trPr>
          <w:trHeight w:val="288"/>
        </w:trPr>
        <w:tc>
          <w:tcPr>
            <w:tcW w:w="2130" w:type="dxa"/>
            <w:tcBorders>
              <w:top w:val="nil"/>
              <w:left w:val="nil"/>
              <w:bottom w:val="single" w:sz="4" w:space="0" w:color="auto"/>
              <w:right w:val="nil"/>
            </w:tcBorders>
            <w:hideMark/>
          </w:tcPr>
          <w:p w14:paraId="31382AA4" w14:textId="77777777" w:rsidR="000613D8" w:rsidRPr="00697B94" w:rsidRDefault="000613D8" w:rsidP="000613D8">
            <w:pPr>
              <w:pStyle w:val="Body"/>
              <w:spacing w:after="0"/>
              <w:rPr>
                <w:sz w:val="20"/>
              </w:rPr>
            </w:pPr>
            <w:r w:rsidRPr="00697B94">
              <w:rPr>
                <w:sz w:val="20"/>
              </w:rPr>
              <w:t>EXR</w:t>
            </w:r>
          </w:p>
        </w:tc>
        <w:tc>
          <w:tcPr>
            <w:tcW w:w="1579" w:type="dxa"/>
            <w:tcBorders>
              <w:top w:val="nil"/>
              <w:left w:val="nil"/>
              <w:bottom w:val="single" w:sz="4" w:space="0" w:color="auto"/>
              <w:right w:val="nil"/>
            </w:tcBorders>
            <w:hideMark/>
          </w:tcPr>
          <w:p w14:paraId="52C8AE11" w14:textId="77777777" w:rsidR="000613D8" w:rsidRPr="00697B94" w:rsidRDefault="000613D8" w:rsidP="000613D8">
            <w:pPr>
              <w:pStyle w:val="Body"/>
              <w:spacing w:after="0"/>
              <w:rPr>
                <w:sz w:val="20"/>
              </w:rPr>
            </w:pPr>
            <w:r w:rsidRPr="00697B94">
              <w:rPr>
                <w:sz w:val="20"/>
              </w:rPr>
              <w:t>-2.8219</w:t>
            </w:r>
          </w:p>
        </w:tc>
        <w:tc>
          <w:tcPr>
            <w:tcW w:w="1465" w:type="dxa"/>
            <w:tcBorders>
              <w:top w:val="nil"/>
              <w:left w:val="nil"/>
              <w:bottom w:val="single" w:sz="4" w:space="0" w:color="auto"/>
              <w:right w:val="nil"/>
            </w:tcBorders>
            <w:hideMark/>
          </w:tcPr>
          <w:p w14:paraId="77CAAFDE" w14:textId="77777777" w:rsidR="000613D8" w:rsidRPr="00697B94" w:rsidRDefault="000613D8" w:rsidP="000613D8">
            <w:pPr>
              <w:pStyle w:val="Body"/>
              <w:spacing w:after="0"/>
              <w:rPr>
                <w:sz w:val="20"/>
              </w:rPr>
            </w:pPr>
            <w:r w:rsidRPr="00697B94">
              <w:rPr>
                <w:sz w:val="20"/>
              </w:rPr>
              <w:t>1.1172</w:t>
            </w:r>
          </w:p>
        </w:tc>
        <w:tc>
          <w:tcPr>
            <w:tcW w:w="1507" w:type="dxa"/>
            <w:tcBorders>
              <w:top w:val="nil"/>
              <w:left w:val="nil"/>
              <w:bottom w:val="single" w:sz="4" w:space="0" w:color="auto"/>
              <w:right w:val="nil"/>
            </w:tcBorders>
            <w:hideMark/>
          </w:tcPr>
          <w:p w14:paraId="35C9D4DB" w14:textId="77777777" w:rsidR="000613D8" w:rsidRPr="00697B94" w:rsidRDefault="000613D8" w:rsidP="000613D8">
            <w:pPr>
              <w:pStyle w:val="Body"/>
              <w:spacing w:after="0"/>
              <w:rPr>
                <w:sz w:val="20"/>
              </w:rPr>
            </w:pPr>
            <w:r w:rsidRPr="00697B94">
              <w:rPr>
                <w:sz w:val="20"/>
              </w:rPr>
              <w:t>-2.5258</w:t>
            </w:r>
          </w:p>
        </w:tc>
        <w:tc>
          <w:tcPr>
            <w:tcW w:w="1527" w:type="dxa"/>
            <w:tcBorders>
              <w:top w:val="nil"/>
              <w:left w:val="nil"/>
              <w:bottom w:val="single" w:sz="4" w:space="0" w:color="auto"/>
              <w:right w:val="nil"/>
            </w:tcBorders>
          </w:tcPr>
          <w:p w14:paraId="1AF79D1E" w14:textId="77777777" w:rsidR="000613D8" w:rsidRPr="00697B94" w:rsidRDefault="000613D8" w:rsidP="000613D8">
            <w:pPr>
              <w:pStyle w:val="Body"/>
              <w:spacing w:after="0"/>
              <w:rPr>
                <w:sz w:val="20"/>
              </w:rPr>
            </w:pPr>
            <w:r w:rsidRPr="00697B94">
              <w:rPr>
                <w:sz w:val="20"/>
              </w:rPr>
              <w:t>0.0201**</w:t>
            </w:r>
          </w:p>
        </w:tc>
      </w:tr>
    </w:tbl>
    <w:p w14:paraId="1EC8A4A4" w14:textId="77777777" w:rsidR="000613D8" w:rsidRPr="00697B94" w:rsidRDefault="000613D8" w:rsidP="000613D8">
      <w:pPr>
        <w:pStyle w:val="Body"/>
        <w:rPr>
          <w:b/>
          <w:iCs/>
        </w:rPr>
      </w:pPr>
      <w:r w:rsidRPr="00697B94">
        <w:rPr>
          <w:b/>
          <w:iCs/>
        </w:rPr>
        <w:t>Table 4. Long-run Results</w:t>
      </w:r>
      <w:bookmarkEnd w:id="6"/>
      <w:r w:rsidRPr="00697B94">
        <w:rPr>
          <w:b/>
          <w:iCs/>
        </w:rPr>
        <w:t xml:space="preserve"> </w:t>
      </w:r>
    </w:p>
    <w:p w14:paraId="1260E71F" w14:textId="77777777" w:rsidR="002B2E32" w:rsidRPr="00697B94" w:rsidRDefault="002B2E32" w:rsidP="002B2E32">
      <w:pPr>
        <w:pStyle w:val="Body"/>
      </w:pPr>
      <w:r w:rsidRPr="00697B94">
        <w:t>***, **, *denote significance level at 1%, 5% and 10%</w:t>
      </w:r>
      <w:r w:rsidR="000613D8" w:rsidRPr="00697B94">
        <w:t xml:space="preserve"> </w:t>
      </w:r>
      <w:r w:rsidRPr="00697B94">
        <w:t xml:space="preserve">respectively. </w:t>
      </w:r>
    </w:p>
    <w:p w14:paraId="2A8F44F0" w14:textId="77777777" w:rsidR="002B2E32" w:rsidRPr="00697B94" w:rsidRDefault="002B2E32" w:rsidP="002B2E32">
      <w:pPr>
        <w:pStyle w:val="Body"/>
      </w:pPr>
      <w:r w:rsidRPr="00697B94">
        <w:t>For the included covariates, inflation and inflation squared variables are significant</w:t>
      </w:r>
      <w:r w:rsidR="000613D8" w:rsidRPr="00697B94">
        <w:t xml:space="preserve"> </w:t>
      </w:r>
      <w:r w:rsidRPr="00697B94">
        <w:t>at 1% significant level. This implies that a 1% increase in inflation causes domestic investment to go up by approximately 1.894%. This means that, considerable level of inflation</w:t>
      </w:r>
      <w:r w:rsidR="000613D8" w:rsidRPr="00697B94">
        <w:t xml:space="preserve"> </w:t>
      </w:r>
      <w:r w:rsidRPr="00697B94">
        <w:t>could positively affect domestic</w:t>
      </w:r>
      <w:r w:rsidR="000613D8" w:rsidRPr="00697B94">
        <w:t xml:space="preserve"> </w:t>
      </w:r>
      <w:r w:rsidRPr="00697B94">
        <w:t>investment as moderate or considerable increase in the general prices level of goods and services increases profit margins of firms. On the other hand, a 1% increase in inflation squared causes domestic investment to decrease by 0.029%. The implication of this is that, high rate of inflation can have a negative impact on domestic investment, as increases in prices of production inputs may act as deterrent to investment. On the whole, the positive</w:t>
      </w:r>
      <w:r w:rsidR="000613D8" w:rsidRPr="00697B94">
        <w:t xml:space="preserve"> </w:t>
      </w:r>
      <w:r w:rsidRPr="00697B94">
        <w:t>sign on the former and the negative</w:t>
      </w:r>
      <w:r w:rsidR="000613D8" w:rsidRPr="00697B94">
        <w:t xml:space="preserve"> </w:t>
      </w:r>
      <w:r w:rsidRPr="00697B94">
        <w:t xml:space="preserve">sign on the latter suggest that inflation and domestic investment have an inverted U-shaped relationship. That is, when inflation is low, it boosts domestic investment; however, when inflation is high, it has the opposite effect. This outcome is consistent with the finding of Aigheyisi (2017). </w:t>
      </w:r>
    </w:p>
    <w:p w14:paraId="55547943" w14:textId="77777777" w:rsidR="002B2E32" w:rsidRPr="00697B94" w:rsidRDefault="002B2E32" w:rsidP="002B2E32">
      <w:pPr>
        <w:pStyle w:val="Body"/>
      </w:pPr>
    </w:p>
    <w:p w14:paraId="24BCE385" w14:textId="77777777" w:rsidR="002B2E32" w:rsidRPr="00697B94" w:rsidRDefault="002B2E32" w:rsidP="002B2E32">
      <w:pPr>
        <w:pStyle w:val="Body"/>
      </w:pPr>
      <w:r w:rsidRPr="00697B94">
        <w:t>Furthermore, as expected, the coefficient</w:t>
      </w:r>
      <w:r w:rsidR="000613D8" w:rsidRPr="00697B94">
        <w:t xml:space="preserve"> </w:t>
      </w:r>
      <w:r w:rsidRPr="00697B94">
        <w:t>of GDP growth is positive</w:t>
      </w:r>
      <w:r w:rsidR="000613D8" w:rsidRPr="00697B94">
        <w:t xml:space="preserve"> </w:t>
      </w:r>
      <w:r w:rsidRPr="00697B94">
        <w:t>and statistically significant at 10% significance</w:t>
      </w:r>
      <w:r w:rsidR="000613D8" w:rsidRPr="00697B94">
        <w:t xml:space="preserve"> </w:t>
      </w:r>
      <w:r w:rsidRPr="00697B94">
        <w:t>level. This means that, a 1% increase in GDP growth leads to a 1.936% increase in domestic businesses. This positive impact of GDP growth on domestic investment is line with the accelerator principle as discussed earlier and also consistent with the findings of Ali (2018) and Ndikumana et al., (2007).</w:t>
      </w:r>
    </w:p>
    <w:p w14:paraId="7D713988" w14:textId="77777777" w:rsidR="002B2E32" w:rsidRPr="00697B94" w:rsidRDefault="002B2E32" w:rsidP="002B2E32">
      <w:pPr>
        <w:pStyle w:val="Body"/>
      </w:pPr>
      <w:r w:rsidRPr="00697B94">
        <w:t>Finally, the coefficient of nominal exchange rate is negative and statistically significant at 5% significance level. This means that, a unit increase in nominal exchange rate, all things being equal, reduces domestic investment by approximately 2.822%. As import dependent country with weak or deteriorated value of the currency, it is therefore not surprising that exchange rate exerts negative impact on the performance of domestic businesses in Ghana. Thus, this significant and negative effect may be attributed, in part, to the fact that imports from both capital and intermediate goods become more expensive for domestic investors due to deteriorated value of the local currency. In addition, a</w:t>
      </w:r>
      <w:r w:rsidR="000613D8" w:rsidRPr="00697B94">
        <w:t xml:space="preserve"> </w:t>
      </w:r>
      <w:r w:rsidRPr="00697B94">
        <w:t xml:space="preserve">depreciation of the local currency raises </w:t>
      </w:r>
      <w:r w:rsidRPr="00697B94">
        <w:lastRenderedPageBreak/>
        <w:t>the</w:t>
      </w:r>
      <w:r w:rsidR="000613D8" w:rsidRPr="00697B94">
        <w:t xml:space="preserve"> </w:t>
      </w:r>
      <w:r w:rsidRPr="00697B94">
        <w:t>foreign debt burden of domestic firms,</w:t>
      </w:r>
      <w:r w:rsidR="000613D8" w:rsidRPr="00697B94">
        <w:t xml:space="preserve"> </w:t>
      </w:r>
      <w:r w:rsidRPr="00697B94">
        <w:t xml:space="preserve">making it harder for them to invest. This finding confirms the result of Ali (2018). </w:t>
      </w:r>
    </w:p>
    <w:p w14:paraId="7BB91CE6" w14:textId="77777777" w:rsidR="002B2E32" w:rsidRPr="00697B94" w:rsidRDefault="000613D8" w:rsidP="002B2E32">
      <w:pPr>
        <w:pStyle w:val="Body"/>
        <w:rPr>
          <w:b/>
          <w:bCs/>
        </w:rPr>
      </w:pPr>
      <w:r w:rsidRPr="00697B94">
        <w:rPr>
          <w:b/>
          <w:bCs/>
        </w:rPr>
        <w:t>3</w:t>
      </w:r>
      <w:r w:rsidR="002B2E32" w:rsidRPr="00697B94">
        <w:rPr>
          <w:b/>
          <w:bCs/>
        </w:rPr>
        <w:t>.5</w:t>
      </w:r>
      <w:r w:rsidRPr="00697B94">
        <w:rPr>
          <w:b/>
          <w:bCs/>
        </w:rPr>
        <w:t xml:space="preserve"> </w:t>
      </w:r>
      <w:r w:rsidR="002B2E32" w:rsidRPr="00697B94">
        <w:rPr>
          <w:b/>
          <w:bCs/>
        </w:rPr>
        <w:t>Short-run Results</w:t>
      </w:r>
    </w:p>
    <w:p w14:paraId="0796A58F" w14:textId="77777777" w:rsidR="002B2E32" w:rsidRPr="00697B94" w:rsidRDefault="002B2E32" w:rsidP="002B2E32">
      <w:pPr>
        <w:pStyle w:val="Body"/>
      </w:pPr>
      <w:r w:rsidRPr="00697B94">
        <w:t>The study further employed the Error Correction Model (ECM) to test for the short-run relationship among the variables and the results are presented in Table 5.</w:t>
      </w:r>
    </w:p>
    <w:p w14:paraId="395A181F" w14:textId="77777777" w:rsidR="000613D8" w:rsidRPr="00697B94" w:rsidRDefault="000613D8" w:rsidP="000613D8">
      <w:pPr>
        <w:pStyle w:val="Body"/>
        <w:rPr>
          <w:b/>
          <w:iCs/>
        </w:rPr>
      </w:pPr>
      <w:bookmarkStart w:id="7" w:name="_Toc76559494"/>
      <w:r w:rsidRPr="00697B94">
        <w:rPr>
          <w:b/>
          <w:iCs/>
        </w:rPr>
        <w:t>Table 5</w:t>
      </w:r>
      <w:r w:rsidR="00C933A0" w:rsidRPr="00697B94">
        <w:rPr>
          <w:b/>
          <w:iCs/>
        </w:rPr>
        <w:t>.</w:t>
      </w:r>
      <w:r w:rsidRPr="00697B94">
        <w:rPr>
          <w:b/>
          <w:iCs/>
        </w:rPr>
        <w:t xml:space="preserve"> Short-run Results</w:t>
      </w:r>
      <w:bookmarkEnd w:id="7"/>
    </w:p>
    <w:tbl>
      <w:tblPr>
        <w:tblStyle w:val="TableGrid"/>
        <w:tblpPr w:leftFromText="180" w:rightFromText="180" w:vertAnchor="text" w:horzAnchor="margin" w:tblpY="-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5"/>
        <w:gridCol w:w="1470"/>
        <w:gridCol w:w="1924"/>
        <w:gridCol w:w="1390"/>
        <w:gridCol w:w="1319"/>
      </w:tblGrid>
      <w:tr w:rsidR="000613D8" w:rsidRPr="00697B94" w14:paraId="7A61ED25" w14:textId="77777777" w:rsidTr="000613D8">
        <w:trPr>
          <w:trHeight w:val="288"/>
        </w:trPr>
        <w:tc>
          <w:tcPr>
            <w:tcW w:w="8208" w:type="dxa"/>
            <w:gridSpan w:val="5"/>
            <w:tcBorders>
              <w:top w:val="single" w:sz="4" w:space="0" w:color="auto"/>
              <w:left w:val="nil"/>
              <w:bottom w:val="single" w:sz="4" w:space="0" w:color="auto"/>
              <w:right w:val="nil"/>
            </w:tcBorders>
            <w:hideMark/>
          </w:tcPr>
          <w:p w14:paraId="505C2771" w14:textId="77777777" w:rsidR="000613D8" w:rsidRPr="00697B94" w:rsidRDefault="000613D8" w:rsidP="000613D8">
            <w:pPr>
              <w:pStyle w:val="Body"/>
              <w:spacing w:after="0"/>
              <w:rPr>
                <w:b/>
                <w:bCs/>
                <w:sz w:val="20"/>
              </w:rPr>
            </w:pPr>
            <w:r w:rsidRPr="00697B94">
              <w:rPr>
                <w:b/>
                <w:bCs/>
                <w:sz w:val="20"/>
              </w:rPr>
              <w:t>Dependent Variable: GFCF, ARDL (1, 0, 1, 0, 1, 0)</w:t>
            </w:r>
          </w:p>
        </w:tc>
      </w:tr>
      <w:tr w:rsidR="000613D8" w:rsidRPr="00697B94" w14:paraId="55B58B9C" w14:textId="77777777" w:rsidTr="000613D8">
        <w:trPr>
          <w:trHeight w:val="288"/>
        </w:trPr>
        <w:tc>
          <w:tcPr>
            <w:tcW w:w="2105" w:type="dxa"/>
            <w:tcBorders>
              <w:top w:val="single" w:sz="4" w:space="0" w:color="auto"/>
              <w:left w:val="nil"/>
              <w:bottom w:val="single" w:sz="4" w:space="0" w:color="auto"/>
              <w:right w:val="nil"/>
            </w:tcBorders>
            <w:hideMark/>
          </w:tcPr>
          <w:p w14:paraId="19D38F24" w14:textId="77777777" w:rsidR="000613D8" w:rsidRPr="00697B94" w:rsidRDefault="000613D8" w:rsidP="000613D8">
            <w:pPr>
              <w:pStyle w:val="Body"/>
              <w:spacing w:after="0"/>
              <w:rPr>
                <w:b/>
                <w:bCs/>
                <w:sz w:val="20"/>
              </w:rPr>
            </w:pPr>
            <w:r w:rsidRPr="00697B94">
              <w:rPr>
                <w:b/>
                <w:bCs/>
                <w:sz w:val="20"/>
              </w:rPr>
              <w:t>Variable</w:t>
            </w:r>
          </w:p>
        </w:tc>
        <w:tc>
          <w:tcPr>
            <w:tcW w:w="1470" w:type="dxa"/>
            <w:tcBorders>
              <w:top w:val="single" w:sz="4" w:space="0" w:color="auto"/>
              <w:left w:val="nil"/>
              <w:bottom w:val="single" w:sz="4" w:space="0" w:color="auto"/>
              <w:right w:val="nil"/>
            </w:tcBorders>
            <w:hideMark/>
          </w:tcPr>
          <w:p w14:paraId="642724BA" w14:textId="77777777" w:rsidR="000613D8" w:rsidRPr="00697B94" w:rsidRDefault="000613D8" w:rsidP="000613D8">
            <w:pPr>
              <w:pStyle w:val="Body"/>
              <w:spacing w:after="0"/>
              <w:rPr>
                <w:b/>
                <w:bCs/>
                <w:sz w:val="20"/>
              </w:rPr>
            </w:pPr>
            <w:r w:rsidRPr="00697B94">
              <w:rPr>
                <w:b/>
                <w:bCs/>
                <w:sz w:val="20"/>
              </w:rPr>
              <w:t>Coefficient</w:t>
            </w:r>
          </w:p>
        </w:tc>
        <w:tc>
          <w:tcPr>
            <w:tcW w:w="1924" w:type="dxa"/>
            <w:tcBorders>
              <w:top w:val="single" w:sz="4" w:space="0" w:color="auto"/>
              <w:left w:val="nil"/>
              <w:bottom w:val="single" w:sz="4" w:space="0" w:color="auto"/>
              <w:right w:val="nil"/>
            </w:tcBorders>
            <w:hideMark/>
          </w:tcPr>
          <w:p w14:paraId="4CB8ECCE" w14:textId="77777777" w:rsidR="000613D8" w:rsidRPr="00697B94" w:rsidRDefault="000613D8" w:rsidP="000613D8">
            <w:pPr>
              <w:pStyle w:val="Body"/>
              <w:spacing w:after="0"/>
              <w:rPr>
                <w:b/>
                <w:bCs/>
                <w:sz w:val="20"/>
              </w:rPr>
            </w:pPr>
            <w:r w:rsidRPr="00697B94">
              <w:rPr>
                <w:b/>
                <w:bCs/>
                <w:sz w:val="20"/>
              </w:rPr>
              <w:t>Std. Error</w:t>
            </w:r>
          </w:p>
        </w:tc>
        <w:tc>
          <w:tcPr>
            <w:tcW w:w="1390" w:type="dxa"/>
            <w:tcBorders>
              <w:top w:val="single" w:sz="4" w:space="0" w:color="auto"/>
              <w:left w:val="nil"/>
              <w:bottom w:val="single" w:sz="4" w:space="0" w:color="auto"/>
              <w:right w:val="nil"/>
            </w:tcBorders>
            <w:hideMark/>
          </w:tcPr>
          <w:p w14:paraId="6D6170A0" w14:textId="77777777" w:rsidR="000613D8" w:rsidRPr="00697B94" w:rsidRDefault="000613D8" w:rsidP="000613D8">
            <w:pPr>
              <w:pStyle w:val="Body"/>
              <w:spacing w:after="0"/>
              <w:rPr>
                <w:b/>
                <w:bCs/>
                <w:sz w:val="20"/>
              </w:rPr>
            </w:pPr>
            <w:r w:rsidRPr="00697B94">
              <w:rPr>
                <w:b/>
                <w:bCs/>
                <w:sz w:val="20"/>
              </w:rPr>
              <w:t>t-statistic</w:t>
            </w:r>
          </w:p>
        </w:tc>
        <w:tc>
          <w:tcPr>
            <w:tcW w:w="1319" w:type="dxa"/>
            <w:tcBorders>
              <w:top w:val="single" w:sz="4" w:space="0" w:color="auto"/>
              <w:left w:val="nil"/>
              <w:bottom w:val="single" w:sz="4" w:space="0" w:color="auto"/>
              <w:right w:val="nil"/>
            </w:tcBorders>
          </w:tcPr>
          <w:p w14:paraId="4E2AA981" w14:textId="77777777" w:rsidR="000613D8" w:rsidRPr="00697B94" w:rsidRDefault="000613D8" w:rsidP="000613D8">
            <w:pPr>
              <w:pStyle w:val="Body"/>
              <w:spacing w:after="0"/>
              <w:rPr>
                <w:b/>
                <w:bCs/>
                <w:sz w:val="20"/>
              </w:rPr>
            </w:pPr>
            <w:r w:rsidRPr="00697B94">
              <w:rPr>
                <w:b/>
                <w:bCs/>
                <w:sz w:val="20"/>
              </w:rPr>
              <w:t xml:space="preserve">P-values </w:t>
            </w:r>
          </w:p>
        </w:tc>
      </w:tr>
      <w:tr w:rsidR="000613D8" w:rsidRPr="00697B94" w14:paraId="5253A424" w14:textId="77777777" w:rsidTr="000613D8">
        <w:trPr>
          <w:trHeight w:val="288"/>
        </w:trPr>
        <w:tc>
          <w:tcPr>
            <w:tcW w:w="2105" w:type="dxa"/>
            <w:tcBorders>
              <w:top w:val="single" w:sz="4" w:space="0" w:color="auto"/>
              <w:left w:val="nil"/>
              <w:bottom w:val="nil"/>
              <w:right w:val="nil"/>
            </w:tcBorders>
            <w:hideMark/>
          </w:tcPr>
          <w:p w14:paraId="30B9C008" w14:textId="77777777" w:rsidR="000613D8" w:rsidRPr="00697B94" w:rsidRDefault="000613D8" w:rsidP="000613D8">
            <w:pPr>
              <w:pStyle w:val="Body"/>
              <w:spacing w:after="0"/>
              <w:rPr>
                <w:sz w:val="20"/>
              </w:rPr>
            </w:pPr>
            <m:oMath>
              <m:r>
                <m:rPr>
                  <m:sty m:val="p"/>
                </m:rPr>
                <w:rPr>
                  <w:rFonts w:ascii="Cambria Math" w:hAnsi="Cambria Math"/>
                </w:rPr>
                <m:t>∆</m:t>
              </m:r>
            </m:oMath>
            <w:r w:rsidRPr="00697B94">
              <w:rPr>
                <w:rFonts w:eastAsia="Times New Roman"/>
                <w:sz w:val="20"/>
              </w:rPr>
              <w:t>GFCF (-1)</w:t>
            </w:r>
          </w:p>
        </w:tc>
        <w:tc>
          <w:tcPr>
            <w:tcW w:w="1470" w:type="dxa"/>
            <w:tcBorders>
              <w:top w:val="single" w:sz="4" w:space="0" w:color="auto"/>
              <w:left w:val="nil"/>
              <w:bottom w:val="nil"/>
              <w:right w:val="nil"/>
            </w:tcBorders>
            <w:hideMark/>
          </w:tcPr>
          <w:p w14:paraId="6108BD02" w14:textId="77777777" w:rsidR="000613D8" w:rsidRPr="00697B94" w:rsidRDefault="000613D8" w:rsidP="000613D8">
            <w:pPr>
              <w:pStyle w:val="Body"/>
              <w:spacing w:after="0"/>
              <w:rPr>
                <w:sz w:val="20"/>
              </w:rPr>
            </w:pPr>
            <w:r w:rsidRPr="00697B94">
              <w:rPr>
                <w:sz w:val="20"/>
              </w:rPr>
              <w:t>-0.4547</w:t>
            </w:r>
          </w:p>
        </w:tc>
        <w:tc>
          <w:tcPr>
            <w:tcW w:w="1924" w:type="dxa"/>
            <w:tcBorders>
              <w:top w:val="single" w:sz="4" w:space="0" w:color="auto"/>
              <w:left w:val="nil"/>
              <w:bottom w:val="nil"/>
              <w:right w:val="nil"/>
            </w:tcBorders>
            <w:hideMark/>
          </w:tcPr>
          <w:p w14:paraId="2747E838" w14:textId="77777777" w:rsidR="000613D8" w:rsidRPr="00697B94" w:rsidRDefault="000613D8" w:rsidP="000613D8">
            <w:pPr>
              <w:pStyle w:val="Body"/>
              <w:spacing w:after="0"/>
              <w:rPr>
                <w:sz w:val="20"/>
              </w:rPr>
            </w:pPr>
            <w:r w:rsidRPr="00697B94">
              <w:rPr>
                <w:sz w:val="20"/>
              </w:rPr>
              <w:t>0.1696</w:t>
            </w:r>
          </w:p>
        </w:tc>
        <w:tc>
          <w:tcPr>
            <w:tcW w:w="1390" w:type="dxa"/>
            <w:tcBorders>
              <w:top w:val="single" w:sz="4" w:space="0" w:color="auto"/>
              <w:left w:val="nil"/>
              <w:bottom w:val="nil"/>
              <w:right w:val="nil"/>
            </w:tcBorders>
            <w:hideMark/>
          </w:tcPr>
          <w:p w14:paraId="0CA474CE" w14:textId="77777777" w:rsidR="000613D8" w:rsidRPr="00697B94" w:rsidRDefault="000613D8" w:rsidP="000613D8">
            <w:pPr>
              <w:pStyle w:val="Body"/>
              <w:spacing w:after="0"/>
              <w:rPr>
                <w:sz w:val="20"/>
              </w:rPr>
            </w:pPr>
            <w:r w:rsidRPr="00697B94">
              <w:rPr>
                <w:sz w:val="20"/>
              </w:rPr>
              <w:t>-2.6805</w:t>
            </w:r>
          </w:p>
        </w:tc>
        <w:tc>
          <w:tcPr>
            <w:tcW w:w="1319" w:type="dxa"/>
            <w:tcBorders>
              <w:top w:val="single" w:sz="4" w:space="0" w:color="auto"/>
              <w:left w:val="nil"/>
              <w:bottom w:val="nil"/>
              <w:right w:val="nil"/>
            </w:tcBorders>
          </w:tcPr>
          <w:p w14:paraId="1C21A8C1" w14:textId="77777777" w:rsidR="000613D8" w:rsidRPr="00697B94" w:rsidRDefault="000613D8" w:rsidP="000613D8">
            <w:pPr>
              <w:pStyle w:val="Body"/>
              <w:spacing w:after="0"/>
              <w:rPr>
                <w:sz w:val="20"/>
              </w:rPr>
            </w:pPr>
            <w:r w:rsidRPr="00697B94">
              <w:rPr>
                <w:sz w:val="20"/>
              </w:rPr>
              <w:t>0.0144***</w:t>
            </w:r>
          </w:p>
        </w:tc>
      </w:tr>
      <w:tr w:rsidR="000613D8" w:rsidRPr="00697B94" w14:paraId="792DDF16" w14:textId="77777777" w:rsidTr="000613D8">
        <w:trPr>
          <w:trHeight w:val="288"/>
        </w:trPr>
        <w:tc>
          <w:tcPr>
            <w:tcW w:w="2105" w:type="dxa"/>
            <w:hideMark/>
          </w:tcPr>
          <w:p w14:paraId="6DCCE379" w14:textId="77777777" w:rsidR="000613D8" w:rsidRPr="00697B94" w:rsidRDefault="000613D8" w:rsidP="000613D8">
            <w:pPr>
              <w:pStyle w:val="Body"/>
              <w:spacing w:after="0"/>
              <w:rPr>
                <w:sz w:val="20"/>
              </w:rPr>
            </w:pPr>
            <m:oMath>
              <m:r>
                <m:rPr>
                  <m:sty m:val="p"/>
                </m:rPr>
                <w:rPr>
                  <w:rFonts w:ascii="Cambria Math" w:hAnsi="Cambria Math"/>
                </w:rPr>
                <m:t>∆</m:t>
              </m:r>
            </m:oMath>
            <w:r w:rsidRPr="00697B94">
              <w:rPr>
                <w:rFonts w:eastAsia="Times New Roman"/>
                <w:sz w:val="20"/>
              </w:rPr>
              <w:t>FDI</w:t>
            </w:r>
          </w:p>
        </w:tc>
        <w:tc>
          <w:tcPr>
            <w:tcW w:w="1470" w:type="dxa"/>
            <w:hideMark/>
          </w:tcPr>
          <w:p w14:paraId="683F9676" w14:textId="77777777" w:rsidR="000613D8" w:rsidRPr="00697B94" w:rsidRDefault="000613D8" w:rsidP="000613D8">
            <w:pPr>
              <w:pStyle w:val="Body"/>
              <w:spacing w:after="0"/>
              <w:rPr>
                <w:sz w:val="20"/>
              </w:rPr>
            </w:pPr>
            <w:r w:rsidRPr="00697B94">
              <w:rPr>
                <w:sz w:val="20"/>
              </w:rPr>
              <w:t>-0.8927</w:t>
            </w:r>
          </w:p>
        </w:tc>
        <w:tc>
          <w:tcPr>
            <w:tcW w:w="1924" w:type="dxa"/>
            <w:hideMark/>
          </w:tcPr>
          <w:p w14:paraId="6A7C104B" w14:textId="77777777" w:rsidR="000613D8" w:rsidRPr="00697B94" w:rsidRDefault="000613D8" w:rsidP="000613D8">
            <w:pPr>
              <w:pStyle w:val="Body"/>
              <w:spacing w:after="0"/>
              <w:rPr>
                <w:sz w:val="20"/>
              </w:rPr>
            </w:pPr>
            <w:r w:rsidRPr="00697B94">
              <w:rPr>
                <w:sz w:val="20"/>
              </w:rPr>
              <w:t>0.3379</w:t>
            </w:r>
          </w:p>
        </w:tc>
        <w:tc>
          <w:tcPr>
            <w:tcW w:w="1390" w:type="dxa"/>
            <w:hideMark/>
          </w:tcPr>
          <w:p w14:paraId="348A0EE0" w14:textId="77777777" w:rsidR="000613D8" w:rsidRPr="00697B94" w:rsidRDefault="000613D8" w:rsidP="000613D8">
            <w:pPr>
              <w:pStyle w:val="Body"/>
              <w:spacing w:after="0"/>
              <w:rPr>
                <w:sz w:val="20"/>
              </w:rPr>
            </w:pPr>
            <w:r w:rsidRPr="00697B94">
              <w:rPr>
                <w:sz w:val="20"/>
              </w:rPr>
              <w:t>-2.6418</w:t>
            </w:r>
          </w:p>
        </w:tc>
        <w:tc>
          <w:tcPr>
            <w:tcW w:w="1319" w:type="dxa"/>
          </w:tcPr>
          <w:p w14:paraId="2F6963FE" w14:textId="77777777" w:rsidR="000613D8" w:rsidRPr="00697B94" w:rsidRDefault="000613D8" w:rsidP="000613D8">
            <w:pPr>
              <w:pStyle w:val="Body"/>
              <w:spacing w:after="0"/>
              <w:rPr>
                <w:sz w:val="20"/>
              </w:rPr>
            </w:pPr>
            <w:r w:rsidRPr="00697B94">
              <w:rPr>
                <w:sz w:val="20"/>
              </w:rPr>
              <w:t>0.0156**</w:t>
            </w:r>
          </w:p>
        </w:tc>
      </w:tr>
      <w:tr w:rsidR="000613D8" w:rsidRPr="00697B94" w14:paraId="6703777A" w14:textId="77777777" w:rsidTr="000613D8">
        <w:trPr>
          <w:trHeight w:val="288"/>
        </w:trPr>
        <w:tc>
          <w:tcPr>
            <w:tcW w:w="2105" w:type="dxa"/>
            <w:hideMark/>
          </w:tcPr>
          <w:p w14:paraId="6FD44AB2" w14:textId="77777777" w:rsidR="000613D8" w:rsidRPr="00697B94" w:rsidRDefault="000613D8" w:rsidP="000613D8">
            <w:pPr>
              <w:pStyle w:val="Body"/>
              <w:spacing w:after="0"/>
              <w:rPr>
                <w:sz w:val="20"/>
              </w:rPr>
            </w:pPr>
            <m:oMath>
              <m:r>
                <m:rPr>
                  <m:sty m:val="p"/>
                </m:rPr>
                <w:rPr>
                  <w:rFonts w:ascii="Cambria Math" w:hAnsi="Cambria Math"/>
                </w:rPr>
                <m:t>∆</m:t>
              </m:r>
            </m:oMath>
            <w:r w:rsidRPr="00697B94">
              <w:rPr>
                <w:rFonts w:eastAsia="Times New Roman"/>
                <w:sz w:val="20"/>
              </w:rPr>
              <w:t>INF</w:t>
            </w:r>
          </w:p>
        </w:tc>
        <w:tc>
          <w:tcPr>
            <w:tcW w:w="1470" w:type="dxa"/>
            <w:hideMark/>
          </w:tcPr>
          <w:p w14:paraId="3E428AAC" w14:textId="77777777" w:rsidR="000613D8" w:rsidRPr="00697B94" w:rsidRDefault="000613D8" w:rsidP="000613D8">
            <w:pPr>
              <w:pStyle w:val="Body"/>
              <w:spacing w:after="0"/>
              <w:rPr>
                <w:sz w:val="20"/>
              </w:rPr>
            </w:pPr>
            <w:r w:rsidRPr="00697B94">
              <w:rPr>
                <w:sz w:val="20"/>
              </w:rPr>
              <w:t>1.0067</w:t>
            </w:r>
          </w:p>
        </w:tc>
        <w:tc>
          <w:tcPr>
            <w:tcW w:w="1924" w:type="dxa"/>
            <w:hideMark/>
          </w:tcPr>
          <w:p w14:paraId="19CEB3A4" w14:textId="77777777" w:rsidR="000613D8" w:rsidRPr="00697B94" w:rsidRDefault="000613D8" w:rsidP="000613D8">
            <w:pPr>
              <w:pStyle w:val="Body"/>
              <w:spacing w:after="0"/>
              <w:rPr>
                <w:sz w:val="20"/>
              </w:rPr>
            </w:pPr>
            <w:r w:rsidRPr="00697B94">
              <w:rPr>
                <w:sz w:val="20"/>
              </w:rPr>
              <w:t>0.2716</w:t>
            </w:r>
          </w:p>
        </w:tc>
        <w:tc>
          <w:tcPr>
            <w:tcW w:w="1390" w:type="dxa"/>
            <w:hideMark/>
          </w:tcPr>
          <w:p w14:paraId="29CE552C" w14:textId="77777777" w:rsidR="000613D8" w:rsidRPr="00697B94" w:rsidRDefault="000613D8" w:rsidP="000613D8">
            <w:pPr>
              <w:pStyle w:val="Body"/>
              <w:spacing w:after="0"/>
              <w:rPr>
                <w:sz w:val="20"/>
              </w:rPr>
            </w:pPr>
            <w:r w:rsidRPr="00697B94">
              <w:rPr>
                <w:sz w:val="20"/>
              </w:rPr>
              <w:t>3.7073</w:t>
            </w:r>
          </w:p>
        </w:tc>
        <w:tc>
          <w:tcPr>
            <w:tcW w:w="1319" w:type="dxa"/>
          </w:tcPr>
          <w:p w14:paraId="6BA65478" w14:textId="77777777" w:rsidR="000613D8" w:rsidRPr="00697B94" w:rsidRDefault="000613D8" w:rsidP="000613D8">
            <w:pPr>
              <w:pStyle w:val="Body"/>
              <w:spacing w:after="0"/>
              <w:rPr>
                <w:sz w:val="20"/>
              </w:rPr>
            </w:pPr>
            <w:r w:rsidRPr="00697B94">
              <w:rPr>
                <w:sz w:val="20"/>
              </w:rPr>
              <w:t>0.0014***</w:t>
            </w:r>
          </w:p>
        </w:tc>
      </w:tr>
      <w:tr w:rsidR="000613D8" w:rsidRPr="00697B94" w14:paraId="29FCF206" w14:textId="77777777" w:rsidTr="000613D8">
        <w:trPr>
          <w:trHeight w:val="288"/>
        </w:trPr>
        <w:tc>
          <w:tcPr>
            <w:tcW w:w="2105" w:type="dxa"/>
            <w:hideMark/>
          </w:tcPr>
          <w:p w14:paraId="0B0B7524" w14:textId="77777777" w:rsidR="000613D8" w:rsidRPr="00697B94" w:rsidRDefault="000613D8" w:rsidP="000613D8">
            <w:pPr>
              <w:pStyle w:val="Body"/>
              <w:spacing w:after="0"/>
              <w:rPr>
                <w:sz w:val="20"/>
              </w:rPr>
            </w:pPr>
            <m:oMath>
              <m:r>
                <m:rPr>
                  <m:sty m:val="p"/>
                </m:rPr>
                <w:rPr>
                  <w:rFonts w:ascii="Cambria Math" w:hAnsi="Cambria Math"/>
                </w:rPr>
                <m:t>∆</m:t>
              </m:r>
            </m:oMath>
            <w:r w:rsidRPr="00697B94">
              <w:rPr>
                <w:rFonts w:eastAsia="Times New Roman"/>
                <w:sz w:val="20"/>
              </w:rPr>
              <w:t>INF (-1)</w:t>
            </w:r>
          </w:p>
        </w:tc>
        <w:tc>
          <w:tcPr>
            <w:tcW w:w="1470" w:type="dxa"/>
            <w:hideMark/>
          </w:tcPr>
          <w:p w14:paraId="5199962E" w14:textId="77777777" w:rsidR="000613D8" w:rsidRPr="00697B94" w:rsidRDefault="000613D8" w:rsidP="000613D8">
            <w:pPr>
              <w:pStyle w:val="Body"/>
              <w:spacing w:after="0"/>
              <w:rPr>
                <w:sz w:val="20"/>
              </w:rPr>
            </w:pPr>
            <w:r w:rsidRPr="00697B94">
              <w:rPr>
                <w:sz w:val="20"/>
              </w:rPr>
              <w:t>0.8613</w:t>
            </w:r>
          </w:p>
        </w:tc>
        <w:tc>
          <w:tcPr>
            <w:tcW w:w="1924" w:type="dxa"/>
            <w:hideMark/>
          </w:tcPr>
          <w:p w14:paraId="0C235415" w14:textId="77777777" w:rsidR="000613D8" w:rsidRPr="00697B94" w:rsidRDefault="000613D8" w:rsidP="000613D8">
            <w:pPr>
              <w:pStyle w:val="Body"/>
              <w:spacing w:after="0"/>
              <w:rPr>
                <w:sz w:val="20"/>
              </w:rPr>
            </w:pPr>
            <w:r w:rsidRPr="00697B94">
              <w:rPr>
                <w:sz w:val="20"/>
              </w:rPr>
              <w:t>0.2641</w:t>
            </w:r>
          </w:p>
        </w:tc>
        <w:tc>
          <w:tcPr>
            <w:tcW w:w="1390" w:type="dxa"/>
            <w:hideMark/>
          </w:tcPr>
          <w:p w14:paraId="425D5649" w14:textId="77777777" w:rsidR="000613D8" w:rsidRPr="00697B94" w:rsidRDefault="000613D8" w:rsidP="000613D8">
            <w:pPr>
              <w:pStyle w:val="Body"/>
              <w:spacing w:after="0"/>
              <w:rPr>
                <w:sz w:val="20"/>
              </w:rPr>
            </w:pPr>
            <w:r w:rsidRPr="00697B94">
              <w:rPr>
                <w:sz w:val="20"/>
              </w:rPr>
              <w:t>3.2614</w:t>
            </w:r>
          </w:p>
        </w:tc>
        <w:tc>
          <w:tcPr>
            <w:tcW w:w="1319" w:type="dxa"/>
          </w:tcPr>
          <w:p w14:paraId="11C41241" w14:textId="77777777" w:rsidR="000613D8" w:rsidRPr="00697B94" w:rsidRDefault="000613D8" w:rsidP="000613D8">
            <w:pPr>
              <w:pStyle w:val="Body"/>
              <w:spacing w:after="0"/>
              <w:rPr>
                <w:sz w:val="20"/>
              </w:rPr>
            </w:pPr>
            <w:r w:rsidRPr="00697B94">
              <w:rPr>
                <w:sz w:val="20"/>
              </w:rPr>
              <w:t>0.0039***</w:t>
            </w:r>
          </w:p>
        </w:tc>
      </w:tr>
      <w:tr w:rsidR="000613D8" w:rsidRPr="00697B94" w14:paraId="6BAE6ACD" w14:textId="77777777" w:rsidTr="000613D8">
        <w:trPr>
          <w:trHeight w:val="288"/>
        </w:trPr>
        <w:tc>
          <w:tcPr>
            <w:tcW w:w="2105" w:type="dxa"/>
            <w:tcBorders>
              <w:top w:val="nil"/>
              <w:left w:val="nil"/>
              <w:bottom w:val="nil"/>
              <w:right w:val="nil"/>
            </w:tcBorders>
            <w:hideMark/>
          </w:tcPr>
          <w:p w14:paraId="67DDA2AC" w14:textId="77777777" w:rsidR="000613D8" w:rsidRPr="00697B94" w:rsidRDefault="000613D8" w:rsidP="000613D8">
            <w:pPr>
              <w:pStyle w:val="Body"/>
              <w:spacing w:after="0"/>
              <w:rPr>
                <w:sz w:val="20"/>
              </w:rPr>
            </w:pPr>
            <m:oMath>
              <m:r>
                <m:rPr>
                  <m:sty m:val="p"/>
                </m:rPr>
                <w:rPr>
                  <w:rFonts w:ascii="Cambria Math" w:hAnsi="Cambria Math"/>
                </w:rPr>
                <m:t>∆</m:t>
              </m:r>
            </m:oMath>
            <w:r w:rsidRPr="00697B94">
              <w:rPr>
                <w:rFonts w:eastAsia="Times New Roman"/>
                <w:sz w:val="20"/>
              </w:rPr>
              <w:t>INFSQ</w:t>
            </w:r>
          </w:p>
        </w:tc>
        <w:tc>
          <w:tcPr>
            <w:tcW w:w="1470" w:type="dxa"/>
            <w:tcBorders>
              <w:top w:val="nil"/>
              <w:left w:val="nil"/>
              <w:bottom w:val="nil"/>
              <w:right w:val="nil"/>
            </w:tcBorders>
            <w:hideMark/>
          </w:tcPr>
          <w:p w14:paraId="3CB6A02A" w14:textId="77777777" w:rsidR="000613D8" w:rsidRPr="00697B94" w:rsidRDefault="000613D8" w:rsidP="000613D8">
            <w:pPr>
              <w:pStyle w:val="Body"/>
              <w:spacing w:after="0"/>
              <w:rPr>
                <w:sz w:val="20"/>
              </w:rPr>
            </w:pPr>
            <w:r w:rsidRPr="00697B94">
              <w:rPr>
                <w:sz w:val="20"/>
              </w:rPr>
              <w:t>-0.0133</w:t>
            </w:r>
          </w:p>
        </w:tc>
        <w:tc>
          <w:tcPr>
            <w:tcW w:w="1924" w:type="dxa"/>
            <w:tcBorders>
              <w:top w:val="nil"/>
              <w:left w:val="nil"/>
              <w:bottom w:val="nil"/>
              <w:right w:val="nil"/>
            </w:tcBorders>
            <w:hideMark/>
          </w:tcPr>
          <w:p w14:paraId="452B3284" w14:textId="77777777" w:rsidR="000613D8" w:rsidRPr="00697B94" w:rsidRDefault="000613D8" w:rsidP="000613D8">
            <w:pPr>
              <w:pStyle w:val="Body"/>
              <w:spacing w:after="0"/>
              <w:rPr>
                <w:sz w:val="20"/>
              </w:rPr>
            </w:pPr>
            <w:r w:rsidRPr="00697B94">
              <w:rPr>
                <w:sz w:val="20"/>
              </w:rPr>
              <w:t>0.0039</w:t>
            </w:r>
          </w:p>
        </w:tc>
        <w:tc>
          <w:tcPr>
            <w:tcW w:w="1390" w:type="dxa"/>
            <w:tcBorders>
              <w:top w:val="nil"/>
              <w:left w:val="nil"/>
              <w:bottom w:val="nil"/>
              <w:right w:val="nil"/>
            </w:tcBorders>
            <w:hideMark/>
          </w:tcPr>
          <w:p w14:paraId="253DC1D4" w14:textId="77777777" w:rsidR="000613D8" w:rsidRPr="00697B94" w:rsidRDefault="000613D8" w:rsidP="000613D8">
            <w:pPr>
              <w:pStyle w:val="Body"/>
              <w:spacing w:after="0"/>
              <w:rPr>
                <w:sz w:val="20"/>
              </w:rPr>
            </w:pPr>
            <w:r w:rsidRPr="00697B94">
              <w:rPr>
                <w:sz w:val="20"/>
              </w:rPr>
              <w:t>-3.3780</w:t>
            </w:r>
          </w:p>
        </w:tc>
        <w:tc>
          <w:tcPr>
            <w:tcW w:w="1319" w:type="dxa"/>
            <w:tcBorders>
              <w:top w:val="nil"/>
              <w:left w:val="nil"/>
              <w:bottom w:val="nil"/>
              <w:right w:val="nil"/>
            </w:tcBorders>
          </w:tcPr>
          <w:p w14:paraId="4D41AD9E" w14:textId="77777777" w:rsidR="000613D8" w:rsidRPr="00697B94" w:rsidRDefault="000613D8" w:rsidP="000613D8">
            <w:pPr>
              <w:pStyle w:val="Body"/>
              <w:spacing w:after="0"/>
              <w:rPr>
                <w:sz w:val="20"/>
              </w:rPr>
            </w:pPr>
            <w:r w:rsidRPr="00697B94">
              <w:rPr>
                <w:sz w:val="20"/>
              </w:rPr>
              <w:t>0.0030***</w:t>
            </w:r>
          </w:p>
        </w:tc>
      </w:tr>
      <w:tr w:rsidR="000613D8" w:rsidRPr="00697B94" w14:paraId="4ACBAB5A" w14:textId="77777777" w:rsidTr="000613D8">
        <w:trPr>
          <w:trHeight w:val="288"/>
        </w:trPr>
        <w:tc>
          <w:tcPr>
            <w:tcW w:w="2105" w:type="dxa"/>
            <w:tcBorders>
              <w:top w:val="nil"/>
              <w:left w:val="nil"/>
              <w:bottom w:val="nil"/>
              <w:right w:val="nil"/>
            </w:tcBorders>
          </w:tcPr>
          <w:p w14:paraId="1D442399" w14:textId="77777777" w:rsidR="000613D8" w:rsidRPr="00697B94" w:rsidRDefault="000613D8" w:rsidP="000613D8">
            <w:pPr>
              <w:pStyle w:val="Body"/>
              <w:spacing w:after="0"/>
              <w:rPr>
                <w:rFonts w:eastAsia="Times New Roman"/>
                <w:sz w:val="20"/>
              </w:rPr>
            </w:pPr>
            <m:oMath>
              <m:r>
                <m:rPr>
                  <m:sty m:val="p"/>
                </m:rPr>
                <w:rPr>
                  <w:rFonts w:ascii="Cambria Math" w:hAnsi="Cambria Math"/>
                </w:rPr>
                <m:t>∆</m:t>
              </m:r>
            </m:oMath>
            <w:r w:rsidRPr="00697B94">
              <w:rPr>
                <w:rFonts w:eastAsia="Times New Roman"/>
                <w:sz w:val="20"/>
              </w:rPr>
              <w:t xml:space="preserve">GDPG </w:t>
            </w:r>
          </w:p>
        </w:tc>
        <w:tc>
          <w:tcPr>
            <w:tcW w:w="1470" w:type="dxa"/>
            <w:tcBorders>
              <w:top w:val="nil"/>
              <w:left w:val="nil"/>
              <w:bottom w:val="nil"/>
              <w:right w:val="nil"/>
            </w:tcBorders>
          </w:tcPr>
          <w:p w14:paraId="5A16786D" w14:textId="77777777" w:rsidR="000613D8" w:rsidRPr="00697B94" w:rsidRDefault="000613D8" w:rsidP="000613D8">
            <w:pPr>
              <w:pStyle w:val="Body"/>
              <w:spacing w:after="0"/>
              <w:rPr>
                <w:sz w:val="20"/>
              </w:rPr>
            </w:pPr>
            <w:r w:rsidRPr="00697B94">
              <w:rPr>
                <w:sz w:val="20"/>
              </w:rPr>
              <w:t>0.1302</w:t>
            </w:r>
          </w:p>
        </w:tc>
        <w:tc>
          <w:tcPr>
            <w:tcW w:w="1924" w:type="dxa"/>
            <w:tcBorders>
              <w:top w:val="nil"/>
              <w:left w:val="nil"/>
              <w:bottom w:val="nil"/>
              <w:right w:val="nil"/>
            </w:tcBorders>
          </w:tcPr>
          <w:p w14:paraId="2B16D141" w14:textId="77777777" w:rsidR="000613D8" w:rsidRPr="00697B94" w:rsidRDefault="000613D8" w:rsidP="000613D8">
            <w:pPr>
              <w:pStyle w:val="Body"/>
              <w:spacing w:after="0"/>
              <w:rPr>
                <w:sz w:val="20"/>
              </w:rPr>
            </w:pPr>
            <w:r w:rsidRPr="00697B94">
              <w:rPr>
                <w:sz w:val="20"/>
              </w:rPr>
              <w:t>0.3880</w:t>
            </w:r>
          </w:p>
        </w:tc>
        <w:tc>
          <w:tcPr>
            <w:tcW w:w="1390" w:type="dxa"/>
            <w:tcBorders>
              <w:top w:val="nil"/>
              <w:left w:val="nil"/>
              <w:bottom w:val="nil"/>
              <w:right w:val="nil"/>
            </w:tcBorders>
          </w:tcPr>
          <w:p w14:paraId="2566746B" w14:textId="77777777" w:rsidR="000613D8" w:rsidRPr="00697B94" w:rsidRDefault="000613D8" w:rsidP="000613D8">
            <w:pPr>
              <w:pStyle w:val="Body"/>
              <w:spacing w:after="0"/>
              <w:rPr>
                <w:sz w:val="20"/>
              </w:rPr>
            </w:pPr>
            <w:r w:rsidRPr="00697B94">
              <w:rPr>
                <w:sz w:val="20"/>
              </w:rPr>
              <w:t>0.3355</w:t>
            </w:r>
          </w:p>
        </w:tc>
        <w:tc>
          <w:tcPr>
            <w:tcW w:w="1319" w:type="dxa"/>
            <w:tcBorders>
              <w:top w:val="nil"/>
              <w:left w:val="nil"/>
              <w:bottom w:val="nil"/>
              <w:right w:val="nil"/>
            </w:tcBorders>
          </w:tcPr>
          <w:p w14:paraId="668D037C" w14:textId="77777777" w:rsidR="000613D8" w:rsidRPr="00697B94" w:rsidRDefault="000613D8" w:rsidP="000613D8">
            <w:pPr>
              <w:pStyle w:val="Body"/>
              <w:spacing w:after="0"/>
              <w:rPr>
                <w:sz w:val="20"/>
              </w:rPr>
            </w:pPr>
            <w:r w:rsidRPr="00697B94">
              <w:rPr>
                <w:sz w:val="20"/>
              </w:rPr>
              <w:t>0.7408</w:t>
            </w:r>
          </w:p>
        </w:tc>
      </w:tr>
      <w:tr w:rsidR="000613D8" w:rsidRPr="00697B94" w14:paraId="5E98F3F6" w14:textId="77777777" w:rsidTr="000613D8">
        <w:trPr>
          <w:trHeight w:val="288"/>
        </w:trPr>
        <w:tc>
          <w:tcPr>
            <w:tcW w:w="2105" w:type="dxa"/>
            <w:tcBorders>
              <w:top w:val="nil"/>
              <w:left w:val="nil"/>
              <w:bottom w:val="nil"/>
              <w:right w:val="nil"/>
            </w:tcBorders>
          </w:tcPr>
          <w:p w14:paraId="0279667A" w14:textId="77777777" w:rsidR="000613D8" w:rsidRPr="00697B94" w:rsidRDefault="000613D8" w:rsidP="000613D8">
            <w:pPr>
              <w:pStyle w:val="Body"/>
              <w:spacing w:after="0"/>
              <w:rPr>
                <w:rFonts w:eastAsia="Times New Roman"/>
                <w:sz w:val="20"/>
              </w:rPr>
            </w:pPr>
            <m:oMath>
              <m:r>
                <m:rPr>
                  <m:sty m:val="p"/>
                </m:rPr>
                <w:rPr>
                  <w:rFonts w:ascii="Cambria Math" w:hAnsi="Cambria Math"/>
                </w:rPr>
                <m:t>∆</m:t>
              </m:r>
            </m:oMath>
            <w:r w:rsidRPr="00697B94">
              <w:rPr>
                <w:rFonts w:eastAsia="Times New Roman"/>
                <w:sz w:val="20"/>
              </w:rPr>
              <w:t>GDPG (-1)</w:t>
            </w:r>
          </w:p>
        </w:tc>
        <w:tc>
          <w:tcPr>
            <w:tcW w:w="1470" w:type="dxa"/>
            <w:tcBorders>
              <w:top w:val="nil"/>
              <w:left w:val="nil"/>
              <w:bottom w:val="nil"/>
              <w:right w:val="nil"/>
            </w:tcBorders>
          </w:tcPr>
          <w:p w14:paraId="065D1471" w14:textId="77777777" w:rsidR="000613D8" w:rsidRPr="00697B94" w:rsidRDefault="000613D8" w:rsidP="000613D8">
            <w:pPr>
              <w:pStyle w:val="Body"/>
              <w:spacing w:after="0"/>
              <w:rPr>
                <w:sz w:val="20"/>
              </w:rPr>
            </w:pPr>
            <w:r w:rsidRPr="00697B94">
              <w:rPr>
                <w:sz w:val="20"/>
              </w:rPr>
              <w:t>0.8805</w:t>
            </w:r>
          </w:p>
        </w:tc>
        <w:tc>
          <w:tcPr>
            <w:tcW w:w="1924" w:type="dxa"/>
            <w:tcBorders>
              <w:top w:val="nil"/>
              <w:left w:val="nil"/>
              <w:bottom w:val="nil"/>
              <w:right w:val="nil"/>
            </w:tcBorders>
          </w:tcPr>
          <w:p w14:paraId="3BE5D66B" w14:textId="77777777" w:rsidR="000613D8" w:rsidRPr="00697B94" w:rsidRDefault="000613D8" w:rsidP="000613D8">
            <w:pPr>
              <w:pStyle w:val="Body"/>
              <w:spacing w:after="0"/>
              <w:rPr>
                <w:sz w:val="20"/>
              </w:rPr>
            </w:pPr>
            <w:r w:rsidRPr="00697B94">
              <w:rPr>
                <w:sz w:val="20"/>
              </w:rPr>
              <w:t>0.5484</w:t>
            </w:r>
          </w:p>
        </w:tc>
        <w:tc>
          <w:tcPr>
            <w:tcW w:w="1390" w:type="dxa"/>
            <w:tcBorders>
              <w:top w:val="nil"/>
              <w:left w:val="nil"/>
              <w:bottom w:val="nil"/>
              <w:right w:val="nil"/>
            </w:tcBorders>
          </w:tcPr>
          <w:p w14:paraId="7B5FAD83" w14:textId="77777777" w:rsidR="000613D8" w:rsidRPr="00697B94" w:rsidRDefault="000613D8" w:rsidP="000613D8">
            <w:pPr>
              <w:pStyle w:val="Body"/>
              <w:spacing w:after="0"/>
              <w:rPr>
                <w:sz w:val="20"/>
              </w:rPr>
            </w:pPr>
            <w:r w:rsidRPr="00697B94">
              <w:rPr>
                <w:sz w:val="20"/>
              </w:rPr>
              <w:t>1.6057</w:t>
            </w:r>
          </w:p>
        </w:tc>
        <w:tc>
          <w:tcPr>
            <w:tcW w:w="1319" w:type="dxa"/>
            <w:tcBorders>
              <w:top w:val="nil"/>
              <w:left w:val="nil"/>
              <w:bottom w:val="nil"/>
              <w:right w:val="nil"/>
            </w:tcBorders>
          </w:tcPr>
          <w:p w14:paraId="209065AA" w14:textId="77777777" w:rsidR="000613D8" w:rsidRPr="00697B94" w:rsidRDefault="000613D8" w:rsidP="000613D8">
            <w:pPr>
              <w:pStyle w:val="Body"/>
              <w:spacing w:after="0"/>
              <w:rPr>
                <w:sz w:val="20"/>
              </w:rPr>
            </w:pPr>
            <w:r w:rsidRPr="00697B94">
              <w:rPr>
                <w:sz w:val="20"/>
              </w:rPr>
              <w:t>0.1240</w:t>
            </w:r>
          </w:p>
        </w:tc>
      </w:tr>
      <w:tr w:rsidR="000613D8" w:rsidRPr="00697B94" w14:paraId="4FFF28E6" w14:textId="77777777" w:rsidTr="000613D8">
        <w:trPr>
          <w:trHeight w:val="288"/>
        </w:trPr>
        <w:tc>
          <w:tcPr>
            <w:tcW w:w="2105" w:type="dxa"/>
            <w:tcBorders>
              <w:top w:val="nil"/>
              <w:left w:val="nil"/>
              <w:right w:val="nil"/>
            </w:tcBorders>
          </w:tcPr>
          <w:p w14:paraId="2CD40FF7" w14:textId="77777777" w:rsidR="000613D8" w:rsidRPr="00697B94" w:rsidRDefault="000613D8" w:rsidP="000613D8">
            <w:pPr>
              <w:pStyle w:val="Body"/>
              <w:spacing w:after="0"/>
              <w:rPr>
                <w:rFonts w:eastAsia="Times New Roman"/>
                <w:sz w:val="20"/>
              </w:rPr>
            </w:pPr>
            <m:oMath>
              <m:r>
                <m:rPr>
                  <m:sty m:val="p"/>
                </m:rPr>
                <w:rPr>
                  <w:rFonts w:ascii="Cambria Math" w:hAnsi="Cambria Math"/>
                </w:rPr>
                <m:t>∆</m:t>
              </m:r>
            </m:oMath>
            <w:r w:rsidRPr="00697B94">
              <w:rPr>
                <w:rFonts w:eastAsia="Times New Roman"/>
                <w:sz w:val="20"/>
              </w:rPr>
              <w:t>EXR</w:t>
            </w:r>
          </w:p>
        </w:tc>
        <w:tc>
          <w:tcPr>
            <w:tcW w:w="1470" w:type="dxa"/>
            <w:tcBorders>
              <w:top w:val="nil"/>
              <w:left w:val="nil"/>
              <w:right w:val="nil"/>
            </w:tcBorders>
          </w:tcPr>
          <w:p w14:paraId="5E754A46" w14:textId="77777777" w:rsidR="000613D8" w:rsidRPr="00697B94" w:rsidRDefault="000613D8" w:rsidP="000613D8">
            <w:pPr>
              <w:pStyle w:val="Body"/>
              <w:spacing w:after="0"/>
              <w:rPr>
                <w:sz w:val="20"/>
              </w:rPr>
            </w:pPr>
            <w:r w:rsidRPr="00697B94">
              <w:rPr>
                <w:sz w:val="20"/>
              </w:rPr>
              <w:t>-1.2832</w:t>
            </w:r>
          </w:p>
        </w:tc>
        <w:tc>
          <w:tcPr>
            <w:tcW w:w="1924" w:type="dxa"/>
            <w:tcBorders>
              <w:top w:val="nil"/>
              <w:left w:val="nil"/>
              <w:right w:val="nil"/>
            </w:tcBorders>
          </w:tcPr>
          <w:p w14:paraId="54AF4D93" w14:textId="77777777" w:rsidR="000613D8" w:rsidRPr="00697B94" w:rsidRDefault="000613D8" w:rsidP="000613D8">
            <w:pPr>
              <w:pStyle w:val="Body"/>
              <w:spacing w:after="0"/>
              <w:rPr>
                <w:sz w:val="20"/>
              </w:rPr>
            </w:pPr>
            <w:r w:rsidRPr="00697B94">
              <w:rPr>
                <w:sz w:val="20"/>
              </w:rPr>
              <w:t>0.5841</w:t>
            </w:r>
          </w:p>
        </w:tc>
        <w:tc>
          <w:tcPr>
            <w:tcW w:w="1390" w:type="dxa"/>
            <w:tcBorders>
              <w:top w:val="nil"/>
              <w:left w:val="nil"/>
              <w:right w:val="nil"/>
            </w:tcBorders>
          </w:tcPr>
          <w:p w14:paraId="643FDAB0" w14:textId="77777777" w:rsidR="000613D8" w:rsidRPr="00697B94" w:rsidRDefault="000613D8" w:rsidP="000613D8">
            <w:pPr>
              <w:pStyle w:val="Body"/>
              <w:spacing w:after="0"/>
              <w:rPr>
                <w:sz w:val="20"/>
              </w:rPr>
            </w:pPr>
            <w:r w:rsidRPr="00697B94">
              <w:rPr>
                <w:sz w:val="20"/>
              </w:rPr>
              <w:t>-2.1968</w:t>
            </w:r>
          </w:p>
        </w:tc>
        <w:tc>
          <w:tcPr>
            <w:tcW w:w="1319" w:type="dxa"/>
            <w:tcBorders>
              <w:top w:val="nil"/>
              <w:left w:val="nil"/>
              <w:right w:val="nil"/>
            </w:tcBorders>
          </w:tcPr>
          <w:p w14:paraId="00B58D6C" w14:textId="77777777" w:rsidR="000613D8" w:rsidRPr="00697B94" w:rsidRDefault="000613D8" w:rsidP="000613D8">
            <w:pPr>
              <w:pStyle w:val="Body"/>
              <w:spacing w:after="0"/>
              <w:rPr>
                <w:sz w:val="20"/>
              </w:rPr>
            </w:pPr>
            <w:r w:rsidRPr="00697B94">
              <w:rPr>
                <w:sz w:val="20"/>
              </w:rPr>
              <w:t>0.0400**</w:t>
            </w:r>
          </w:p>
        </w:tc>
      </w:tr>
      <w:tr w:rsidR="000613D8" w:rsidRPr="00697B94" w14:paraId="44336FBC" w14:textId="77777777" w:rsidTr="000613D8">
        <w:trPr>
          <w:trHeight w:val="288"/>
        </w:trPr>
        <w:tc>
          <w:tcPr>
            <w:tcW w:w="2105" w:type="dxa"/>
            <w:tcBorders>
              <w:top w:val="nil"/>
              <w:left w:val="nil"/>
              <w:bottom w:val="single" w:sz="4" w:space="0" w:color="auto"/>
              <w:right w:val="nil"/>
            </w:tcBorders>
          </w:tcPr>
          <w:p w14:paraId="0AD0D008" w14:textId="77777777" w:rsidR="000613D8" w:rsidRPr="00697B94" w:rsidRDefault="000613D8" w:rsidP="000613D8">
            <w:pPr>
              <w:pStyle w:val="Body"/>
              <w:spacing w:after="0"/>
              <w:rPr>
                <w:rFonts w:eastAsia="Times New Roman"/>
                <w:sz w:val="20"/>
              </w:rPr>
            </w:pPr>
            <w:r w:rsidRPr="00697B94">
              <w:rPr>
                <w:rFonts w:eastAsia="Times New Roman"/>
                <w:sz w:val="20"/>
              </w:rPr>
              <w:t>ECT (-1)</w:t>
            </w:r>
          </w:p>
        </w:tc>
        <w:tc>
          <w:tcPr>
            <w:tcW w:w="1470" w:type="dxa"/>
            <w:tcBorders>
              <w:top w:val="nil"/>
              <w:left w:val="nil"/>
              <w:bottom w:val="single" w:sz="4" w:space="0" w:color="auto"/>
              <w:right w:val="nil"/>
            </w:tcBorders>
          </w:tcPr>
          <w:p w14:paraId="07C984FF" w14:textId="77777777" w:rsidR="000613D8" w:rsidRPr="00697B94" w:rsidRDefault="000613D8" w:rsidP="000613D8">
            <w:pPr>
              <w:pStyle w:val="Body"/>
              <w:spacing w:after="0"/>
              <w:rPr>
                <w:sz w:val="20"/>
              </w:rPr>
            </w:pPr>
            <w:r w:rsidRPr="00697B94">
              <w:rPr>
                <w:sz w:val="20"/>
              </w:rPr>
              <w:t>-0.4547</w:t>
            </w:r>
          </w:p>
        </w:tc>
        <w:tc>
          <w:tcPr>
            <w:tcW w:w="1924" w:type="dxa"/>
            <w:tcBorders>
              <w:top w:val="nil"/>
              <w:left w:val="nil"/>
              <w:bottom w:val="single" w:sz="4" w:space="0" w:color="auto"/>
              <w:right w:val="nil"/>
            </w:tcBorders>
          </w:tcPr>
          <w:p w14:paraId="58FFE60E" w14:textId="77777777" w:rsidR="000613D8" w:rsidRPr="00697B94" w:rsidRDefault="000613D8" w:rsidP="000613D8">
            <w:pPr>
              <w:pStyle w:val="Body"/>
              <w:spacing w:after="0"/>
              <w:rPr>
                <w:sz w:val="20"/>
              </w:rPr>
            </w:pPr>
            <w:r w:rsidRPr="00697B94">
              <w:rPr>
                <w:sz w:val="20"/>
              </w:rPr>
              <w:t>0.0775</w:t>
            </w:r>
          </w:p>
        </w:tc>
        <w:tc>
          <w:tcPr>
            <w:tcW w:w="1390" w:type="dxa"/>
            <w:tcBorders>
              <w:top w:val="nil"/>
              <w:left w:val="nil"/>
              <w:bottom w:val="single" w:sz="4" w:space="0" w:color="auto"/>
              <w:right w:val="nil"/>
            </w:tcBorders>
          </w:tcPr>
          <w:p w14:paraId="6C29827F" w14:textId="77777777" w:rsidR="000613D8" w:rsidRPr="00697B94" w:rsidRDefault="000613D8" w:rsidP="000613D8">
            <w:pPr>
              <w:pStyle w:val="Body"/>
              <w:spacing w:after="0"/>
              <w:rPr>
                <w:sz w:val="20"/>
              </w:rPr>
            </w:pPr>
            <w:r w:rsidRPr="00697B94">
              <w:rPr>
                <w:sz w:val="20"/>
              </w:rPr>
              <w:t>-5.8713</w:t>
            </w:r>
          </w:p>
        </w:tc>
        <w:tc>
          <w:tcPr>
            <w:tcW w:w="1319" w:type="dxa"/>
            <w:tcBorders>
              <w:top w:val="nil"/>
              <w:left w:val="nil"/>
              <w:bottom w:val="single" w:sz="4" w:space="0" w:color="auto"/>
              <w:right w:val="nil"/>
            </w:tcBorders>
          </w:tcPr>
          <w:p w14:paraId="0F80330F" w14:textId="77777777" w:rsidR="000613D8" w:rsidRPr="00697B94" w:rsidRDefault="000613D8" w:rsidP="000613D8">
            <w:pPr>
              <w:pStyle w:val="Body"/>
              <w:spacing w:after="0"/>
              <w:rPr>
                <w:sz w:val="20"/>
              </w:rPr>
            </w:pPr>
            <w:r w:rsidRPr="00697B94">
              <w:rPr>
                <w:sz w:val="20"/>
              </w:rPr>
              <w:t>0.0000***</w:t>
            </w:r>
          </w:p>
        </w:tc>
      </w:tr>
      <w:tr w:rsidR="000613D8" w:rsidRPr="00697B94" w14:paraId="6BD32CBF" w14:textId="77777777" w:rsidTr="000613D8">
        <w:trPr>
          <w:trHeight w:val="288"/>
        </w:trPr>
        <w:tc>
          <w:tcPr>
            <w:tcW w:w="2105" w:type="dxa"/>
            <w:tcBorders>
              <w:top w:val="single" w:sz="4" w:space="0" w:color="auto"/>
              <w:left w:val="nil"/>
              <w:bottom w:val="single" w:sz="4" w:space="0" w:color="auto"/>
              <w:right w:val="nil"/>
            </w:tcBorders>
          </w:tcPr>
          <w:p w14:paraId="04525C5D" w14:textId="77777777" w:rsidR="000613D8" w:rsidRPr="00697B94" w:rsidRDefault="000613D8" w:rsidP="000613D8">
            <w:pPr>
              <w:pStyle w:val="Body"/>
              <w:spacing w:after="0"/>
              <w:rPr>
                <w:rFonts w:eastAsia="Times New Roman"/>
                <w:sz w:val="20"/>
              </w:rPr>
            </w:pPr>
            <w:r w:rsidRPr="00697B94">
              <w:rPr>
                <w:rFonts w:eastAsia="Times New Roman"/>
                <w:sz w:val="20"/>
              </w:rPr>
              <w:t xml:space="preserve">R-squared </w:t>
            </w:r>
          </w:p>
          <w:p w14:paraId="66ADFFD3" w14:textId="77777777" w:rsidR="000613D8" w:rsidRPr="00697B94" w:rsidRDefault="000613D8" w:rsidP="000613D8">
            <w:pPr>
              <w:pStyle w:val="Body"/>
              <w:spacing w:after="0"/>
              <w:rPr>
                <w:rFonts w:eastAsia="Times New Roman"/>
                <w:sz w:val="20"/>
              </w:rPr>
            </w:pPr>
            <w:r w:rsidRPr="00697B94">
              <w:rPr>
                <w:rFonts w:eastAsia="Times New Roman"/>
                <w:sz w:val="20"/>
              </w:rPr>
              <w:t>F-statistic</w:t>
            </w:r>
          </w:p>
          <w:p w14:paraId="3C3C29A7" w14:textId="77777777" w:rsidR="000613D8" w:rsidRPr="00697B94" w:rsidRDefault="000613D8" w:rsidP="000613D8">
            <w:pPr>
              <w:pStyle w:val="Body"/>
              <w:spacing w:after="0"/>
              <w:rPr>
                <w:rFonts w:eastAsia="Times New Roman"/>
                <w:sz w:val="20"/>
              </w:rPr>
            </w:pPr>
            <w:r w:rsidRPr="00697B94">
              <w:rPr>
                <w:rFonts w:eastAsia="Times New Roman"/>
                <w:sz w:val="20"/>
              </w:rPr>
              <w:t>Prob (F-statistic)</w:t>
            </w:r>
          </w:p>
        </w:tc>
        <w:tc>
          <w:tcPr>
            <w:tcW w:w="1470" w:type="dxa"/>
            <w:tcBorders>
              <w:top w:val="single" w:sz="4" w:space="0" w:color="auto"/>
              <w:left w:val="nil"/>
              <w:bottom w:val="single" w:sz="4" w:space="0" w:color="auto"/>
              <w:right w:val="nil"/>
            </w:tcBorders>
          </w:tcPr>
          <w:p w14:paraId="6B16CA00" w14:textId="77777777" w:rsidR="000613D8" w:rsidRPr="00697B94" w:rsidRDefault="000613D8" w:rsidP="000613D8">
            <w:pPr>
              <w:pStyle w:val="Body"/>
              <w:spacing w:after="0"/>
              <w:rPr>
                <w:sz w:val="20"/>
              </w:rPr>
            </w:pPr>
            <w:r w:rsidRPr="00697B94">
              <w:rPr>
                <w:b/>
                <w:bCs/>
                <w:sz w:val="20"/>
              </w:rPr>
              <w:t>0.7059</w:t>
            </w:r>
          </w:p>
          <w:p w14:paraId="64505623" w14:textId="77777777" w:rsidR="000613D8" w:rsidRPr="00697B94" w:rsidRDefault="000613D8" w:rsidP="000613D8">
            <w:pPr>
              <w:pStyle w:val="Body"/>
              <w:spacing w:after="0"/>
              <w:rPr>
                <w:sz w:val="20"/>
              </w:rPr>
            </w:pPr>
            <w:r w:rsidRPr="00697B94">
              <w:rPr>
                <w:b/>
                <w:bCs/>
                <w:sz w:val="20"/>
              </w:rPr>
              <w:t>6.0017</w:t>
            </w:r>
          </w:p>
          <w:p w14:paraId="79056B88" w14:textId="77777777" w:rsidR="000613D8" w:rsidRPr="00697B94" w:rsidRDefault="000613D8" w:rsidP="000613D8">
            <w:pPr>
              <w:pStyle w:val="Body"/>
              <w:spacing w:after="0"/>
              <w:rPr>
                <w:sz w:val="20"/>
              </w:rPr>
            </w:pPr>
            <w:r w:rsidRPr="00697B94">
              <w:rPr>
                <w:b/>
                <w:bCs/>
                <w:sz w:val="20"/>
              </w:rPr>
              <w:t>0.0005</w:t>
            </w:r>
          </w:p>
        </w:tc>
        <w:tc>
          <w:tcPr>
            <w:tcW w:w="1924" w:type="dxa"/>
            <w:tcBorders>
              <w:top w:val="single" w:sz="4" w:space="0" w:color="auto"/>
              <w:left w:val="nil"/>
              <w:bottom w:val="single" w:sz="4" w:space="0" w:color="auto"/>
              <w:right w:val="nil"/>
            </w:tcBorders>
          </w:tcPr>
          <w:p w14:paraId="5FFB330C" w14:textId="77777777" w:rsidR="000613D8" w:rsidRPr="00697B94" w:rsidRDefault="000613D8" w:rsidP="000613D8">
            <w:pPr>
              <w:pStyle w:val="Body"/>
              <w:spacing w:after="0"/>
              <w:rPr>
                <w:sz w:val="20"/>
              </w:rPr>
            </w:pPr>
            <w:r w:rsidRPr="00697B94">
              <w:rPr>
                <w:b/>
                <w:bCs/>
                <w:sz w:val="20"/>
              </w:rPr>
              <w:t xml:space="preserve">Adjusted                          R-squared </w:t>
            </w:r>
          </w:p>
          <w:p w14:paraId="42E229E7" w14:textId="77777777" w:rsidR="000613D8" w:rsidRPr="00697B94" w:rsidRDefault="000613D8" w:rsidP="000613D8">
            <w:pPr>
              <w:pStyle w:val="Body"/>
              <w:spacing w:after="0"/>
              <w:rPr>
                <w:sz w:val="20"/>
              </w:rPr>
            </w:pPr>
            <w:r w:rsidRPr="00697B94">
              <w:rPr>
                <w:b/>
                <w:bCs/>
                <w:sz w:val="20"/>
              </w:rPr>
              <w:t>Durbin-Watson</w:t>
            </w:r>
          </w:p>
        </w:tc>
        <w:tc>
          <w:tcPr>
            <w:tcW w:w="2709" w:type="dxa"/>
            <w:gridSpan w:val="2"/>
            <w:tcBorders>
              <w:top w:val="single" w:sz="4" w:space="0" w:color="auto"/>
              <w:left w:val="nil"/>
              <w:bottom w:val="single" w:sz="4" w:space="0" w:color="auto"/>
              <w:right w:val="nil"/>
            </w:tcBorders>
          </w:tcPr>
          <w:p w14:paraId="796E54E3" w14:textId="77777777" w:rsidR="000613D8" w:rsidRPr="00697B94" w:rsidRDefault="000613D8" w:rsidP="000613D8">
            <w:pPr>
              <w:pStyle w:val="Body"/>
              <w:spacing w:after="0"/>
              <w:rPr>
                <w:sz w:val="20"/>
              </w:rPr>
            </w:pPr>
            <w:r w:rsidRPr="00697B94">
              <w:rPr>
                <w:b/>
                <w:bCs/>
                <w:sz w:val="20"/>
              </w:rPr>
              <w:t xml:space="preserve"> 0.5893</w:t>
            </w:r>
          </w:p>
          <w:p w14:paraId="18BB7DBB" w14:textId="77777777" w:rsidR="000613D8" w:rsidRPr="00697B94" w:rsidRDefault="000613D8" w:rsidP="000613D8">
            <w:pPr>
              <w:pStyle w:val="Body"/>
              <w:spacing w:after="0"/>
              <w:rPr>
                <w:sz w:val="20"/>
              </w:rPr>
            </w:pPr>
            <w:r w:rsidRPr="00697B94">
              <w:rPr>
                <w:b/>
                <w:bCs/>
                <w:sz w:val="20"/>
              </w:rPr>
              <w:t>1.9871</w:t>
            </w:r>
          </w:p>
        </w:tc>
      </w:tr>
    </w:tbl>
    <w:p w14:paraId="1F6895F9" w14:textId="77777777" w:rsidR="002B2E32" w:rsidRPr="00697B94" w:rsidRDefault="002B2E32" w:rsidP="002B2E32">
      <w:pPr>
        <w:pStyle w:val="Body"/>
      </w:pPr>
      <w:r w:rsidRPr="00697B94">
        <w:t>Note: ***, **, and * denote significance level at 1%, 5% and 10% respectively</w:t>
      </w:r>
      <w:r w:rsidR="00C933A0" w:rsidRPr="00697B94">
        <w:t>.</w:t>
      </w:r>
      <w:r w:rsidRPr="00697B94">
        <w:t xml:space="preserve"> Data source: Anon. (2021)</w:t>
      </w:r>
    </w:p>
    <w:p w14:paraId="0A4E2B3B" w14:textId="77777777" w:rsidR="002B2E32" w:rsidRPr="00697B94" w:rsidRDefault="002B2E32" w:rsidP="002B2E32">
      <w:pPr>
        <w:pStyle w:val="Body"/>
      </w:pPr>
      <w:r w:rsidRPr="00697B94">
        <w:t>As displayed in Table 5, the adjustment coefficient of the error correction term (ECT) is approximately -0.45% and statistically significant at 1% significance level. It suggests that if disturbance from domestic investment long run equilibrium occurs, the error correction returns it to equilibrium position with approximately 45% speed of adjustment per year.</w:t>
      </w:r>
    </w:p>
    <w:p w14:paraId="73DD2BA1" w14:textId="77777777" w:rsidR="002B2E32" w:rsidRPr="00697B94" w:rsidRDefault="002B2E32" w:rsidP="002B2E32">
      <w:pPr>
        <w:pStyle w:val="Body"/>
      </w:pPr>
      <w:r w:rsidRPr="00697B94">
        <w:t>Consistent with the long</w:t>
      </w:r>
      <w:r w:rsidR="00C933A0" w:rsidRPr="00697B94">
        <w:t xml:space="preserve"> </w:t>
      </w:r>
      <w:r w:rsidRPr="00697B94">
        <w:t>run findings, the coefficient of foreign direct investment retained its negative sign and</w:t>
      </w:r>
      <w:r w:rsidR="00C933A0" w:rsidRPr="00697B94">
        <w:t xml:space="preserve"> </w:t>
      </w:r>
      <w:r w:rsidRPr="00697B94">
        <w:t>statistically significant at 5% significance level. The coefficient is -0.8927 meaning that if foreign direct investment increases by one percent, domestic investment will decrease by approximately 0.893% in the short run, keeping all things constant. What this means is that, increasing foreign direct investment has the potential to cause domestic businesses to decline in Ghana in both the long-run and short-run.</w:t>
      </w:r>
    </w:p>
    <w:p w14:paraId="06DFBE58" w14:textId="77777777" w:rsidR="002B2E32" w:rsidRPr="00697B94" w:rsidRDefault="002B2E32" w:rsidP="002B2E32">
      <w:pPr>
        <w:pStyle w:val="Body"/>
      </w:pPr>
      <w:r w:rsidRPr="00697B94">
        <w:t xml:space="preserve">Again, in the short-run, inflation is positively and significantly associated with domestic investment. This is evidenced by 1.007% and 0.861% increases in domestic investment at 1% significant level for current and lagged values respectively, following a unit increase in inflation. However, the magnitude of the impact in the current short-run outcome is slightly lower than the impact in the long-run. Similarly, the coefficient of inflation squared maintained its negative sign as expected and statistically significant at 1% significance level. Specifically, from Table 5, a one percent increases in the value of squared inflation leads to 0.013% decrease in domestic investment in the short-run, all things being equal. The magnitude of the impact in the short-run was however found to be less than the magnitude of the impact in the long-run. In all the short run results confirm the existence of an inverted U-shaped relationship between inflation and domestic investment in Ghana. </w:t>
      </w:r>
    </w:p>
    <w:p w14:paraId="5095FD60" w14:textId="77777777" w:rsidR="002B2E32" w:rsidRPr="00697B94" w:rsidRDefault="002B2E32" w:rsidP="002B2E32">
      <w:pPr>
        <w:pStyle w:val="Body"/>
      </w:pPr>
      <w:r w:rsidRPr="00697B94">
        <w:lastRenderedPageBreak/>
        <w:t xml:space="preserve">Moreover, the short-run dynamics indicate a positive relationship between GDP growth and domestic investment for current and lagged values, albeit insignificant. </w:t>
      </w:r>
    </w:p>
    <w:p w14:paraId="252629B0" w14:textId="521CAE63" w:rsidR="002B2E32" w:rsidRPr="00697B94" w:rsidRDefault="002B2E32" w:rsidP="002B2E32">
      <w:pPr>
        <w:pStyle w:val="Body"/>
      </w:pPr>
      <w:r w:rsidRPr="00697B94">
        <w:t xml:space="preserve">Finally, the estimated model indicates a good fit to the data since the estimated value of Adjusted R2 shows that about 71% of the short-run variations in domestic investment are explained by the variables incorporated in the model. Again, a </w:t>
      </w:r>
      <w:r w:rsidR="00697B94">
        <w:t>DW-statistic of</w:t>
      </w:r>
      <w:r w:rsidRPr="00697B94">
        <w:t xml:space="preserve"> 1.987 indicates </w:t>
      </w:r>
      <w:r w:rsidR="00697B94">
        <w:t>that there</w:t>
      </w:r>
      <w:r w:rsidRPr="00697B94">
        <w:t xml:space="preserve"> is no serial correlation</w:t>
      </w:r>
      <w:r w:rsidR="00C933A0" w:rsidRPr="00697B94">
        <w:t xml:space="preserve"> </w:t>
      </w:r>
      <w:r w:rsidRPr="00697B94">
        <w:t>in the residuals.</w:t>
      </w:r>
    </w:p>
    <w:p w14:paraId="441A084C" w14:textId="77777777" w:rsidR="002B2E32" w:rsidRPr="00697B94" w:rsidRDefault="00C933A0" w:rsidP="002B2E32">
      <w:pPr>
        <w:pStyle w:val="Body"/>
        <w:rPr>
          <w:b/>
          <w:bCs/>
        </w:rPr>
      </w:pPr>
      <w:r w:rsidRPr="00697B94">
        <w:rPr>
          <w:b/>
          <w:bCs/>
        </w:rPr>
        <w:t>3</w:t>
      </w:r>
      <w:r w:rsidR="002B2E32" w:rsidRPr="00697B94">
        <w:rPr>
          <w:b/>
          <w:bCs/>
        </w:rPr>
        <w:t>.6</w:t>
      </w:r>
      <w:r w:rsidRPr="00697B94">
        <w:rPr>
          <w:b/>
          <w:bCs/>
        </w:rPr>
        <w:t xml:space="preserve"> </w:t>
      </w:r>
      <w:r w:rsidR="002B2E32" w:rsidRPr="00697B94">
        <w:rPr>
          <w:b/>
          <w:bCs/>
        </w:rPr>
        <w:t>Model Diagnostics and Stability Tests</w:t>
      </w:r>
    </w:p>
    <w:p w14:paraId="35BD30C3" w14:textId="77777777" w:rsidR="002B2E32" w:rsidRPr="00697B94" w:rsidRDefault="002B2E32" w:rsidP="002B2E32">
      <w:pPr>
        <w:pStyle w:val="Body"/>
      </w:pPr>
      <w:r w:rsidRPr="00697B94">
        <w:t>Diagnostic measures such as serial correlation, functional form, normality, heteroscedasticity, and structural stability of the model are considered to ensure the</w:t>
      </w:r>
      <w:r w:rsidR="00C933A0" w:rsidRPr="00697B94">
        <w:t xml:space="preserve"> </w:t>
      </w:r>
      <w:r w:rsidRPr="00697B94">
        <w:t>robustness of the outcomes of the results as</w:t>
      </w:r>
      <w:r w:rsidR="00C933A0" w:rsidRPr="00697B94">
        <w:t xml:space="preserve"> </w:t>
      </w:r>
      <w:r w:rsidRPr="00697B94">
        <w:t>well as the reliability of the</w:t>
      </w:r>
      <w:r w:rsidR="00C933A0" w:rsidRPr="00697B94">
        <w:t xml:space="preserve"> </w:t>
      </w:r>
      <w:r w:rsidRPr="00697B94">
        <w:t>variables. The test statistics for the various test is expected to be statistically insignificant to ensure the absence of these econometric problems. The results are presented in</w:t>
      </w:r>
      <w:r w:rsidR="00C933A0" w:rsidRPr="00697B94">
        <w:t xml:space="preserve"> </w:t>
      </w:r>
      <w:r w:rsidRPr="00697B94">
        <w:t>Table 6.</w:t>
      </w:r>
    </w:p>
    <w:p w14:paraId="36048AEC" w14:textId="77777777" w:rsidR="00C933A0" w:rsidRPr="00697B94" w:rsidRDefault="00C933A0" w:rsidP="00C933A0">
      <w:pPr>
        <w:pStyle w:val="Body"/>
        <w:rPr>
          <w:b/>
          <w:iCs/>
        </w:rPr>
      </w:pPr>
      <w:bookmarkStart w:id="8" w:name="_Toc76559495"/>
      <w:r w:rsidRPr="00697B94">
        <w:rPr>
          <w:b/>
          <w:iCs/>
        </w:rPr>
        <w:t>Table 6. Model Diagnostics</w:t>
      </w:r>
      <w:bookmarkEnd w:id="8"/>
    </w:p>
    <w:tbl>
      <w:tblPr>
        <w:tblW w:w="0" w:type="auto"/>
        <w:tblLook w:val="04A0" w:firstRow="1" w:lastRow="0" w:firstColumn="1" w:lastColumn="0" w:noHBand="0" w:noVBand="1"/>
      </w:tblPr>
      <w:tblGrid>
        <w:gridCol w:w="3402"/>
        <w:gridCol w:w="2974"/>
        <w:gridCol w:w="1634"/>
      </w:tblGrid>
      <w:tr w:rsidR="00C933A0" w:rsidRPr="00697B94" w14:paraId="60738B57" w14:textId="77777777" w:rsidTr="00F33C0F">
        <w:trPr>
          <w:trHeight w:val="288"/>
        </w:trPr>
        <w:tc>
          <w:tcPr>
            <w:tcW w:w="3402" w:type="dxa"/>
            <w:tcBorders>
              <w:top w:val="single" w:sz="4" w:space="0" w:color="auto"/>
              <w:left w:val="nil"/>
              <w:bottom w:val="single" w:sz="4" w:space="0" w:color="auto"/>
              <w:right w:val="nil"/>
            </w:tcBorders>
            <w:hideMark/>
          </w:tcPr>
          <w:p w14:paraId="675250A8" w14:textId="77777777" w:rsidR="00C933A0" w:rsidRPr="00697B94" w:rsidRDefault="00C933A0" w:rsidP="00F33C0F">
            <w:pPr>
              <w:pStyle w:val="Body"/>
              <w:spacing w:after="0"/>
              <w:rPr>
                <w:b/>
              </w:rPr>
            </w:pPr>
            <w:r w:rsidRPr="00697B94">
              <w:rPr>
                <w:b/>
              </w:rPr>
              <w:t xml:space="preserve">Test </w:t>
            </w:r>
          </w:p>
        </w:tc>
        <w:tc>
          <w:tcPr>
            <w:tcW w:w="2974" w:type="dxa"/>
            <w:tcBorders>
              <w:top w:val="single" w:sz="4" w:space="0" w:color="auto"/>
              <w:left w:val="nil"/>
              <w:bottom w:val="single" w:sz="4" w:space="0" w:color="auto"/>
              <w:right w:val="nil"/>
            </w:tcBorders>
            <w:hideMark/>
          </w:tcPr>
          <w:p w14:paraId="5BED1D76" w14:textId="77777777" w:rsidR="00C933A0" w:rsidRPr="00697B94" w:rsidRDefault="00C933A0" w:rsidP="00F33C0F">
            <w:pPr>
              <w:pStyle w:val="Body"/>
              <w:spacing w:after="0"/>
              <w:rPr>
                <w:b/>
              </w:rPr>
            </w:pPr>
            <w:r w:rsidRPr="00697B94">
              <w:rPr>
                <w:b/>
              </w:rPr>
              <w:t>F- statistic</w:t>
            </w:r>
          </w:p>
        </w:tc>
        <w:tc>
          <w:tcPr>
            <w:tcW w:w="1634" w:type="dxa"/>
            <w:tcBorders>
              <w:top w:val="single" w:sz="4" w:space="0" w:color="auto"/>
              <w:left w:val="nil"/>
              <w:bottom w:val="single" w:sz="4" w:space="0" w:color="auto"/>
              <w:right w:val="nil"/>
            </w:tcBorders>
            <w:hideMark/>
          </w:tcPr>
          <w:p w14:paraId="32902F4E" w14:textId="77777777" w:rsidR="00C933A0" w:rsidRPr="00697B94" w:rsidRDefault="00C933A0" w:rsidP="00F33C0F">
            <w:pPr>
              <w:pStyle w:val="Body"/>
              <w:spacing w:after="0"/>
              <w:rPr>
                <w:b/>
              </w:rPr>
            </w:pPr>
            <w:r w:rsidRPr="00697B94">
              <w:rPr>
                <w:b/>
              </w:rPr>
              <w:t>P-Value</w:t>
            </w:r>
          </w:p>
        </w:tc>
      </w:tr>
      <w:tr w:rsidR="00C933A0" w:rsidRPr="00697B94" w14:paraId="2D8C819E" w14:textId="77777777" w:rsidTr="00F33C0F">
        <w:trPr>
          <w:trHeight w:val="288"/>
        </w:trPr>
        <w:tc>
          <w:tcPr>
            <w:tcW w:w="3402" w:type="dxa"/>
            <w:tcBorders>
              <w:top w:val="single" w:sz="4" w:space="0" w:color="auto"/>
              <w:left w:val="nil"/>
              <w:bottom w:val="nil"/>
              <w:right w:val="nil"/>
            </w:tcBorders>
            <w:hideMark/>
          </w:tcPr>
          <w:p w14:paraId="4BB577CC" w14:textId="77777777" w:rsidR="00C933A0" w:rsidRPr="00697B94" w:rsidRDefault="00C933A0" w:rsidP="00F33C0F">
            <w:pPr>
              <w:pStyle w:val="Body"/>
              <w:spacing w:after="0"/>
            </w:pPr>
            <w:r w:rsidRPr="00697B94">
              <w:t xml:space="preserve">Serial Correlation </w:t>
            </w:r>
          </w:p>
        </w:tc>
        <w:tc>
          <w:tcPr>
            <w:tcW w:w="2974" w:type="dxa"/>
            <w:tcBorders>
              <w:top w:val="single" w:sz="4" w:space="0" w:color="auto"/>
              <w:left w:val="nil"/>
              <w:bottom w:val="nil"/>
              <w:right w:val="nil"/>
            </w:tcBorders>
            <w:hideMark/>
          </w:tcPr>
          <w:p w14:paraId="0BC1BC3B" w14:textId="77777777" w:rsidR="00C933A0" w:rsidRPr="00697B94" w:rsidRDefault="00C933A0" w:rsidP="00F33C0F">
            <w:pPr>
              <w:pStyle w:val="Body"/>
              <w:spacing w:after="0"/>
            </w:pPr>
            <w:r w:rsidRPr="00697B94">
              <w:t>0.9262</w:t>
            </w:r>
          </w:p>
        </w:tc>
        <w:tc>
          <w:tcPr>
            <w:tcW w:w="1634" w:type="dxa"/>
            <w:tcBorders>
              <w:top w:val="single" w:sz="4" w:space="0" w:color="auto"/>
              <w:left w:val="nil"/>
              <w:bottom w:val="nil"/>
              <w:right w:val="nil"/>
            </w:tcBorders>
            <w:hideMark/>
          </w:tcPr>
          <w:p w14:paraId="225EE539" w14:textId="77777777" w:rsidR="00C933A0" w:rsidRPr="00697B94" w:rsidRDefault="00C933A0" w:rsidP="00F33C0F">
            <w:pPr>
              <w:pStyle w:val="Body"/>
              <w:spacing w:after="0"/>
            </w:pPr>
            <w:r w:rsidRPr="00697B94">
              <w:t>0.9077</w:t>
            </w:r>
          </w:p>
        </w:tc>
      </w:tr>
      <w:tr w:rsidR="00C933A0" w:rsidRPr="00697B94" w14:paraId="14A608D9" w14:textId="77777777" w:rsidTr="00F33C0F">
        <w:trPr>
          <w:trHeight w:val="288"/>
        </w:trPr>
        <w:tc>
          <w:tcPr>
            <w:tcW w:w="3402" w:type="dxa"/>
            <w:hideMark/>
          </w:tcPr>
          <w:p w14:paraId="02554FF0" w14:textId="77777777" w:rsidR="00C933A0" w:rsidRPr="00697B94" w:rsidRDefault="00C933A0" w:rsidP="00F33C0F">
            <w:pPr>
              <w:pStyle w:val="Body"/>
              <w:spacing w:after="0"/>
            </w:pPr>
            <w:r w:rsidRPr="00697B94">
              <w:t xml:space="preserve">Heteroscedasticity </w:t>
            </w:r>
          </w:p>
        </w:tc>
        <w:tc>
          <w:tcPr>
            <w:tcW w:w="2974" w:type="dxa"/>
            <w:hideMark/>
          </w:tcPr>
          <w:p w14:paraId="1DE84CE2" w14:textId="77777777" w:rsidR="00C933A0" w:rsidRPr="00697B94" w:rsidRDefault="00C933A0" w:rsidP="00F33C0F">
            <w:pPr>
              <w:pStyle w:val="Body"/>
              <w:spacing w:after="0"/>
            </w:pPr>
            <w:r w:rsidRPr="00697B94">
              <w:t>0.9601</w:t>
            </w:r>
          </w:p>
        </w:tc>
        <w:tc>
          <w:tcPr>
            <w:tcW w:w="1634" w:type="dxa"/>
            <w:hideMark/>
          </w:tcPr>
          <w:p w14:paraId="73DA3166" w14:textId="77777777" w:rsidR="00C933A0" w:rsidRPr="00697B94" w:rsidRDefault="00C933A0" w:rsidP="00F33C0F">
            <w:pPr>
              <w:pStyle w:val="Body"/>
              <w:spacing w:after="0"/>
            </w:pPr>
            <w:r w:rsidRPr="00697B94">
              <w:t>0.9316</w:t>
            </w:r>
          </w:p>
        </w:tc>
      </w:tr>
      <w:tr w:rsidR="00C933A0" w:rsidRPr="00697B94" w14:paraId="45AA719B" w14:textId="77777777" w:rsidTr="00F33C0F">
        <w:trPr>
          <w:trHeight w:val="288"/>
        </w:trPr>
        <w:tc>
          <w:tcPr>
            <w:tcW w:w="3402" w:type="dxa"/>
            <w:hideMark/>
          </w:tcPr>
          <w:p w14:paraId="40AE2ACC" w14:textId="77777777" w:rsidR="00C933A0" w:rsidRPr="00697B94" w:rsidRDefault="00C933A0" w:rsidP="00F33C0F">
            <w:pPr>
              <w:pStyle w:val="Body"/>
              <w:spacing w:after="0"/>
            </w:pPr>
            <w:r w:rsidRPr="00697B94">
              <w:t>Functional Form</w:t>
            </w:r>
          </w:p>
        </w:tc>
        <w:tc>
          <w:tcPr>
            <w:tcW w:w="2974" w:type="dxa"/>
            <w:hideMark/>
          </w:tcPr>
          <w:p w14:paraId="74ACB643" w14:textId="77777777" w:rsidR="00C933A0" w:rsidRPr="00697B94" w:rsidRDefault="00C933A0" w:rsidP="00F33C0F">
            <w:pPr>
              <w:pStyle w:val="Body"/>
              <w:spacing w:after="0"/>
            </w:pPr>
            <w:r w:rsidRPr="00697B94">
              <w:t>0.0198</w:t>
            </w:r>
          </w:p>
        </w:tc>
        <w:tc>
          <w:tcPr>
            <w:tcW w:w="1634" w:type="dxa"/>
            <w:hideMark/>
          </w:tcPr>
          <w:p w14:paraId="20D92699" w14:textId="77777777" w:rsidR="00C933A0" w:rsidRPr="00697B94" w:rsidRDefault="00C933A0" w:rsidP="00F33C0F">
            <w:pPr>
              <w:pStyle w:val="Body"/>
              <w:spacing w:after="0"/>
            </w:pPr>
            <w:r w:rsidRPr="00697B94">
              <w:t>0.8895</w:t>
            </w:r>
          </w:p>
        </w:tc>
      </w:tr>
      <w:tr w:rsidR="00C933A0" w:rsidRPr="00697B94" w14:paraId="45E49D7D" w14:textId="77777777" w:rsidTr="00F33C0F">
        <w:trPr>
          <w:trHeight w:val="288"/>
        </w:trPr>
        <w:tc>
          <w:tcPr>
            <w:tcW w:w="3402" w:type="dxa"/>
            <w:tcBorders>
              <w:top w:val="nil"/>
              <w:left w:val="nil"/>
              <w:bottom w:val="single" w:sz="4" w:space="0" w:color="auto"/>
              <w:right w:val="nil"/>
            </w:tcBorders>
            <w:hideMark/>
          </w:tcPr>
          <w:p w14:paraId="36D51FBA" w14:textId="77777777" w:rsidR="00C933A0" w:rsidRPr="00697B94" w:rsidRDefault="00C933A0" w:rsidP="00F33C0F">
            <w:pPr>
              <w:pStyle w:val="Body"/>
              <w:spacing w:after="0"/>
            </w:pPr>
            <w:r w:rsidRPr="00697B94">
              <w:t xml:space="preserve">Normality </w:t>
            </w:r>
          </w:p>
        </w:tc>
        <w:tc>
          <w:tcPr>
            <w:tcW w:w="2974" w:type="dxa"/>
            <w:tcBorders>
              <w:top w:val="nil"/>
              <w:left w:val="nil"/>
              <w:bottom w:val="single" w:sz="4" w:space="0" w:color="auto"/>
              <w:right w:val="nil"/>
            </w:tcBorders>
            <w:hideMark/>
          </w:tcPr>
          <w:p w14:paraId="292EE2EF" w14:textId="77777777" w:rsidR="00C933A0" w:rsidRPr="00697B94" w:rsidRDefault="00C933A0" w:rsidP="00F33C0F">
            <w:pPr>
              <w:pStyle w:val="Body"/>
              <w:spacing w:after="0"/>
            </w:pPr>
            <w:r w:rsidRPr="00697B94">
              <w:t>1.2006</w:t>
            </w:r>
          </w:p>
        </w:tc>
        <w:tc>
          <w:tcPr>
            <w:tcW w:w="1634" w:type="dxa"/>
            <w:tcBorders>
              <w:top w:val="nil"/>
              <w:left w:val="nil"/>
              <w:bottom w:val="single" w:sz="4" w:space="0" w:color="auto"/>
              <w:right w:val="nil"/>
            </w:tcBorders>
            <w:hideMark/>
          </w:tcPr>
          <w:p w14:paraId="06C4C5CA" w14:textId="77777777" w:rsidR="00C933A0" w:rsidRPr="00697B94" w:rsidRDefault="00C933A0" w:rsidP="00F33C0F">
            <w:pPr>
              <w:pStyle w:val="Body"/>
              <w:spacing w:after="0"/>
            </w:pPr>
            <w:r w:rsidRPr="00697B94">
              <w:t>0.5486</w:t>
            </w:r>
          </w:p>
        </w:tc>
      </w:tr>
    </w:tbl>
    <w:p w14:paraId="6E7AACB5" w14:textId="77777777" w:rsidR="0085406C" w:rsidRPr="00697B94" w:rsidRDefault="0085406C" w:rsidP="002B2E32">
      <w:pPr>
        <w:pStyle w:val="Body"/>
      </w:pPr>
    </w:p>
    <w:p w14:paraId="734095F6" w14:textId="77777777" w:rsidR="002B2E32" w:rsidRPr="00697B94" w:rsidRDefault="002B2E32" w:rsidP="002B2E32">
      <w:pPr>
        <w:pStyle w:val="Body"/>
      </w:pPr>
      <w:r w:rsidRPr="00697B94">
        <w:t>The Breusch-Godfrey test was used to verify the heteroscedasticity of the ARDL model's residuals, as shown in Table 6. The results of the test showed that the model's residuals were</w:t>
      </w:r>
      <w:r w:rsidR="00E6346C" w:rsidRPr="00697B94">
        <w:t xml:space="preserve"> </w:t>
      </w:r>
      <w:r w:rsidRPr="00697B94">
        <w:t>homoscedastic and uncorrelated.</w:t>
      </w:r>
      <w:r w:rsidR="00E6346C" w:rsidRPr="00697B94">
        <w:t xml:space="preserve"> </w:t>
      </w:r>
      <w:r w:rsidRPr="00697B94">
        <w:t>The Jarque-Berla test was used to determine normality, and the results showed that the test's residuals were normally</w:t>
      </w:r>
      <w:r w:rsidR="00E6346C" w:rsidRPr="00697B94">
        <w:t xml:space="preserve"> </w:t>
      </w:r>
      <w:r w:rsidRPr="00697B94">
        <w:t>distributed. Moreover,</w:t>
      </w:r>
      <w:r w:rsidR="00E6346C" w:rsidRPr="00697B94">
        <w:t xml:space="preserve"> </w:t>
      </w:r>
      <w:r w:rsidRPr="00697B94">
        <w:t>to check for the appropriate functional form, the study used the Ramsey RESET test. The probability value of 0.8895 suggested that, the model is well specified.</w:t>
      </w:r>
    </w:p>
    <w:p w14:paraId="0FC5E21A" w14:textId="32345D60" w:rsidR="002B2E32" w:rsidRDefault="002B2E32" w:rsidP="002B2E32">
      <w:pPr>
        <w:pStyle w:val="Body"/>
      </w:pPr>
      <w:r w:rsidRPr="00697B94">
        <w:t>Furthermore, to ensure the stability of the estimated parameters of the long-run relationship of our results, we employed the CUSUM and CUSUM of squares tests based on the recursive residuals developed by Brown et al., (1975). Parameter constancy and model stability are significant if both plots, CUSUM and CUSUM of squares, remain between the 5% critical bounds.</w:t>
      </w:r>
      <w:r w:rsidRPr="00697B94">
        <w:tab/>
      </w:r>
      <w:r w:rsidR="00210F2B" w:rsidRPr="00210F2B">
        <w:rPr>
          <w:highlight w:val="yellow"/>
        </w:rPr>
        <w:t>Figures 4.1 and 4.2 show CUSUM and CUSUM of squares plots that remained within the 5% bounds, showing “parameter constancy” and “no defined systematic change” in the coefficients at the 5% significance level.</w:t>
      </w:r>
      <w:r w:rsidR="00210F2B" w:rsidRPr="00210F2B">
        <w:t xml:space="preserve"> </w:t>
      </w:r>
    </w:p>
    <w:p w14:paraId="1D42192A" w14:textId="2E1CEA7C" w:rsidR="00FA6FC9" w:rsidRPr="00FA6FC9" w:rsidRDefault="00FA6FC9" w:rsidP="00FA6FC9">
      <w:pPr>
        <w:pStyle w:val="Body"/>
        <w:jc w:val="center"/>
        <w:rPr>
          <w:highlight w:val="yellow"/>
        </w:rPr>
      </w:pPr>
      <w:r w:rsidRPr="00FA6FC9">
        <w:rPr>
          <w:highlight w:val="yellow"/>
        </w:rPr>
        <w:object w:dxaOrig="7215" w:dyaOrig="5115" w14:anchorId="1DAA6C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pt;height:2in" o:ole="">
            <v:imagedata r:id="rId8" o:title=""/>
          </v:shape>
          <o:OLEObject Type="Embed" ProgID="EViews.Workfile.2" ShapeID="_x0000_i1025" DrawAspect="Content" ObjectID="_1822121464" r:id="rId9"/>
        </w:object>
      </w:r>
    </w:p>
    <w:p w14:paraId="31AD477C" w14:textId="04597946" w:rsidR="00FA6FC9" w:rsidRPr="00FA6FC9" w:rsidRDefault="00FA6FC9" w:rsidP="00FA6FC9">
      <w:pPr>
        <w:pStyle w:val="Body"/>
        <w:jc w:val="center"/>
        <w:rPr>
          <w:b/>
          <w:bCs/>
        </w:rPr>
      </w:pPr>
      <w:r w:rsidRPr="00FA6FC9">
        <w:rPr>
          <w:b/>
          <w:bCs/>
          <w:highlight w:val="yellow"/>
        </w:rPr>
        <w:t>Figure 1 Plots of CUSUM</w:t>
      </w:r>
    </w:p>
    <w:p w14:paraId="1D6DEDE5" w14:textId="216A23F4" w:rsidR="00210F2B" w:rsidRPr="00FA6FC9" w:rsidRDefault="00FA6FC9" w:rsidP="00FA6FC9">
      <w:pPr>
        <w:pStyle w:val="Body"/>
        <w:jc w:val="center"/>
        <w:rPr>
          <w:highlight w:val="yellow"/>
        </w:rPr>
      </w:pPr>
      <w:r w:rsidRPr="00FA6FC9">
        <w:rPr>
          <w:highlight w:val="yellow"/>
        </w:rPr>
        <w:object w:dxaOrig="7275" w:dyaOrig="5115" w14:anchorId="34F7CC6C">
          <v:shape id="_x0000_i1026" type="#_x0000_t75" style="width:230.5pt;height:2in" o:ole="">
            <v:imagedata r:id="rId10" o:title=""/>
          </v:shape>
          <o:OLEObject Type="Embed" ProgID="EViews.Workfile.2" ShapeID="_x0000_i1026" DrawAspect="Content" ObjectID="_1822121465" r:id="rId11"/>
        </w:object>
      </w:r>
    </w:p>
    <w:p w14:paraId="0DD2C702" w14:textId="2ECE5467" w:rsidR="00210F2B" w:rsidRPr="00FA6FC9" w:rsidRDefault="00FA6FC9" w:rsidP="00FA6FC9">
      <w:pPr>
        <w:pStyle w:val="Body"/>
        <w:jc w:val="center"/>
        <w:rPr>
          <w:b/>
          <w:bCs/>
        </w:rPr>
      </w:pPr>
      <w:r w:rsidRPr="00FA6FC9">
        <w:rPr>
          <w:b/>
          <w:bCs/>
          <w:highlight w:val="yellow"/>
        </w:rPr>
        <w:t>Figure 2 Plots of CUSUM of Squares</w:t>
      </w:r>
    </w:p>
    <w:p w14:paraId="357FA9EE" w14:textId="77777777" w:rsidR="002B2E32" w:rsidRPr="00697B94" w:rsidRDefault="00EA2A9D" w:rsidP="002B2E32">
      <w:pPr>
        <w:pStyle w:val="Body"/>
        <w:rPr>
          <w:b/>
          <w:bCs/>
        </w:rPr>
      </w:pPr>
      <w:r w:rsidRPr="00697B94">
        <w:rPr>
          <w:b/>
          <w:bCs/>
        </w:rPr>
        <w:t>3</w:t>
      </w:r>
      <w:r w:rsidR="002B2E32" w:rsidRPr="00697B94">
        <w:rPr>
          <w:b/>
          <w:bCs/>
        </w:rPr>
        <w:t>.7</w:t>
      </w:r>
      <w:r w:rsidRPr="00697B94">
        <w:rPr>
          <w:b/>
          <w:bCs/>
        </w:rPr>
        <w:t xml:space="preserve"> </w:t>
      </w:r>
      <w:r w:rsidR="002B2E32" w:rsidRPr="00697B94">
        <w:rPr>
          <w:b/>
          <w:bCs/>
        </w:rPr>
        <w:t>Granger Causality Test</w:t>
      </w:r>
    </w:p>
    <w:p w14:paraId="7DA6E8EC" w14:textId="77777777" w:rsidR="002B2E32" w:rsidRPr="00697B94" w:rsidRDefault="002B2E32" w:rsidP="002B2E32">
      <w:pPr>
        <w:pStyle w:val="Body"/>
      </w:pPr>
      <w:r w:rsidRPr="00697B94">
        <w:t>This section presents the results of the Granger causality test. The test seeks to explore the direction of causality between foreign direct investment and domestic investment. The analysis tests the null hypothesis of no causal relationship between foreign direct investment and domestic investment as against the alternative hypothesis of a causal relationship between foreign direct investment and domestic investment. The results are presented in Table 7.</w:t>
      </w:r>
    </w:p>
    <w:p w14:paraId="0742A14B" w14:textId="77777777" w:rsidR="002B2E32" w:rsidRPr="00697B94" w:rsidRDefault="002B2E32" w:rsidP="002B2E32">
      <w:pPr>
        <w:pStyle w:val="Body"/>
        <w:rPr>
          <w:b/>
          <w:bCs/>
        </w:rPr>
      </w:pPr>
      <w:r w:rsidRPr="00697B94">
        <w:rPr>
          <w:b/>
          <w:bCs/>
        </w:rPr>
        <w:t>Table 7</w:t>
      </w:r>
      <w:r w:rsidR="00EA2A9D" w:rsidRPr="00697B94">
        <w:rPr>
          <w:b/>
          <w:bCs/>
        </w:rPr>
        <w:t>.</w:t>
      </w:r>
      <w:r w:rsidRPr="00697B94">
        <w:rPr>
          <w:b/>
          <w:bCs/>
        </w:rPr>
        <w:t xml:space="preserve"> Results of Pair-wise Granger Causality Tests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0"/>
        <w:gridCol w:w="872"/>
        <w:gridCol w:w="1250"/>
        <w:gridCol w:w="1050"/>
      </w:tblGrid>
      <w:tr w:rsidR="00EA2A9D" w:rsidRPr="00697B94" w14:paraId="3EE8775D" w14:textId="77777777" w:rsidTr="001B299E">
        <w:trPr>
          <w:trHeight w:val="288"/>
        </w:trPr>
        <w:tc>
          <w:tcPr>
            <w:tcW w:w="0" w:type="auto"/>
            <w:tcBorders>
              <w:top w:val="single" w:sz="4" w:space="0" w:color="auto"/>
              <w:bottom w:val="single" w:sz="4" w:space="0" w:color="auto"/>
            </w:tcBorders>
            <w:vAlign w:val="center"/>
          </w:tcPr>
          <w:p w14:paraId="223281F4" w14:textId="77777777" w:rsidR="00EA2A9D" w:rsidRPr="00697B94" w:rsidRDefault="00EA2A9D" w:rsidP="001B299E">
            <w:pPr>
              <w:pStyle w:val="Body"/>
              <w:spacing w:after="0"/>
              <w:jc w:val="left"/>
              <w:rPr>
                <w:b/>
                <w:bCs/>
                <w:sz w:val="20"/>
                <w:szCs w:val="20"/>
              </w:rPr>
            </w:pPr>
            <w:r w:rsidRPr="00697B94">
              <w:rPr>
                <w:b/>
                <w:bCs/>
                <w:sz w:val="20"/>
                <w:szCs w:val="20"/>
              </w:rPr>
              <w:t>Null Hypothesis</w:t>
            </w:r>
          </w:p>
        </w:tc>
        <w:tc>
          <w:tcPr>
            <w:tcW w:w="0" w:type="auto"/>
            <w:tcBorders>
              <w:top w:val="single" w:sz="4" w:space="0" w:color="auto"/>
              <w:bottom w:val="single" w:sz="4" w:space="0" w:color="auto"/>
            </w:tcBorders>
            <w:vAlign w:val="center"/>
          </w:tcPr>
          <w:p w14:paraId="06B040F7" w14:textId="77777777" w:rsidR="00EA2A9D" w:rsidRPr="00697B94" w:rsidRDefault="00EA2A9D" w:rsidP="001B299E">
            <w:pPr>
              <w:pStyle w:val="Body"/>
              <w:spacing w:after="0"/>
              <w:jc w:val="left"/>
              <w:rPr>
                <w:b/>
                <w:bCs/>
                <w:sz w:val="20"/>
                <w:szCs w:val="20"/>
              </w:rPr>
            </w:pPr>
            <w:r w:rsidRPr="00697B94">
              <w:rPr>
                <w:b/>
                <w:bCs/>
                <w:sz w:val="20"/>
                <w:szCs w:val="20"/>
              </w:rPr>
              <w:t>F- Test</w:t>
            </w:r>
          </w:p>
        </w:tc>
        <w:tc>
          <w:tcPr>
            <w:tcW w:w="0" w:type="auto"/>
            <w:tcBorders>
              <w:top w:val="single" w:sz="4" w:space="0" w:color="auto"/>
              <w:bottom w:val="single" w:sz="4" w:space="0" w:color="auto"/>
            </w:tcBorders>
            <w:vAlign w:val="center"/>
          </w:tcPr>
          <w:p w14:paraId="32B8F69C" w14:textId="77777777" w:rsidR="00EA2A9D" w:rsidRPr="00697B94" w:rsidRDefault="00EA2A9D" w:rsidP="001B299E">
            <w:pPr>
              <w:pStyle w:val="Body"/>
              <w:spacing w:after="0"/>
              <w:jc w:val="left"/>
              <w:rPr>
                <w:b/>
                <w:bCs/>
                <w:sz w:val="20"/>
                <w:szCs w:val="20"/>
              </w:rPr>
            </w:pPr>
            <w:r w:rsidRPr="00697B94">
              <w:rPr>
                <w:b/>
                <w:bCs/>
                <w:sz w:val="20"/>
                <w:szCs w:val="20"/>
              </w:rPr>
              <w:t>Probability</w:t>
            </w:r>
          </w:p>
        </w:tc>
        <w:tc>
          <w:tcPr>
            <w:tcW w:w="0" w:type="auto"/>
            <w:tcBorders>
              <w:top w:val="single" w:sz="4" w:space="0" w:color="auto"/>
              <w:bottom w:val="single" w:sz="4" w:space="0" w:color="auto"/>
            </w:tcBorders>
            <w:vAlign w:val="center"/>
          </w:tcPr>
          <w:p w14:paraId="7CD97EF5" w14:textId="77777777" w:rsidR="00EA2A9D" w:rsidRPr="00697B94" w:rsidRDefault="00EA2A9D" w:rsidP="001B299E">
            <w:pPr>
              <w:pStyle w:val="Body"/>
              <w:spacing w:after="0"/>
              <w:jc w:val="left"/>
              <w:rPr>
                <w:b/>
                <w:bCs/>
                <w:sz w:val="20"/>
                <w:szCs w:val="20"/>
              </w:rPr>
            </w:pPr>
            <w:r w:rsidRPr="00697B94">
              <w:rPr>
                <w:b/>
                <w:bCs/>
                <w:sz w:val="20"/>
                <w:szCs w:val="20"/>
              </w:rPr>
              <w:t>Decision</w:t>
            </w:r>
          </w:p>
        </w:tc>
      </w:tr>
      <w:tr w:rsidR="00EA2A9D" w:rsidRPr="00697B94" w14:paraId="5D093FBC" w14:textId="77777777" w:rsidTr="001B299E">
        <w:trPr>
          <w:trHeight w:val="288"/>
        </w:trPr>
        <w:tc>
          <w:tcPr>
            <w:tcW w:w="0" w:type="auto"/>
            <w:tcBorders>
              <w:top w:val="single" w:sz="4" w:space="0" w:color="auto"/>
            </w:tcBorders>
          </w:tcPr>
          <w:p w14:paraId="7737F616" w14:textId="77777777" w:rsidR="00EA2A9D" w:rsidRPr="00697B94" w:rsidRDefault="001B299E" w:rsidP="001B299E">
            <w:pPr>
              <w:pStyle w:val="Body"/>
              <w:spacing w:after="0"/>
              <w:rPr>
                <w:sz w:val="20"/>
                <w:szCs w:val="20"/>
              </w:rPr>
            </w:pPr>
            <w:r w:rsidRPr="00697B94">
              <w:rPr>
                <w:sz w:val="20"/>
                <w:szCs w:val="20"/>
              </w:rPr>
              <w:t>FDI does not Granger cause GFCF</w:t>
            </w:r>
          </w:p>
        </w:tc>
        <w:tc>
          <w:tcPr>
            <w:tcW w:w="0" w:type="auto"/>
            <w:tcBorders>
              <w:top w:val="single" w:sz="4" w:space="0" w:color="auto"/>
            </w:tcBorders>
          </w:tcPr>
          <w:p w14:paraId="38E898E3" w14:textId="77777777" w:rsidR="00EA2A9D" w:rsidRPr="00697B94" w:rsidRDefault="001B299E" w:rsidP="001B299E">
            <w:pPr>
              <w:pStyle w:val="Body"/>
              <w:spacing w:after="0"/>
              <w:rPr>
                <w:sz w:val="20"/>
                <w:szCs w:val="20"/>
              </w:rPr>
            </w:pPr>
            <w:r w:rsidRPr="00697B94">
              <w:rPr>
                <w:sz w:val="20"/>
                <w:szCs w:val="20"/>
              </w:rPr>
              <w:t>0.1012</w:t>
            </w:r>
          </w:p>
        </w:tc>
        <w:tc>
          <w:tcPr>
            <w:tcW w:w="0" w:type="auto"/>
            <w:tcBorders>
              <w:top w:val="single" w:sz="4" w:space="0" w:color="auto"/>
            </w:tcBorders>
          </w:tcPr>
          <w:p w14:paraId="4E3E0FB6" w14:textId="77777777" w:rsidR="00EA2A9D" w:rsidRPr="00697B94" w:rsidRDefault="001B299E" w:rsidP="001B299E">
            <w:pPr>
              <w:pStyle w:val="Body"/>
              <w:spacing w:after="0"/>
              <w:rPr>
                <w:sz w:val="20"/>
                <w:szCs w:val="20"/>
              </w:rPr>
            </w:pPr>
            <w:r w:rsidRPr="00697B94">
              <w:rPr>
                <w:sz w:val="20"/>
                <w:szCs w:val="20"/>
              </w:rPr>
              <w:t>0.7530</w:t>
            </w:r>
          </w:p>
        </w:tc>
        <w:tc>
          <w:tcPr>
            <w:tcW w:w="0" w:type="auto"/>
            <w:tcBorders>
              <w:top w:val="single" w:sz="4" w:space="0" w:color="auto"/>
            </w:tcBorders>
          </w:tcPr>
          <w:p w14:paraId="3DED8B64" w14:textId="77777777" w:rsidR="00EA2A9D" w:rsidRPr="00697B94" w:rsidRDefault="001B299E" w:rsidP="001B299E">
            <w:pPr>
              <w:pStyle w:val="Body"/>
              <w:spacing w:after="0"/>
              <w:rPr>
                <w:sz w:val="20"/>
                <w:szCs w:val="20"/>
              </w:rPr>
            </w:pPr>
            <w:r w:rsidRPr="00697B94">
              <w:rPr>
                <w:sz w:val="20"/>
                <w:szCs w:val="20"/>
              </w:rPr>
              <w:t>Accepted</w:t>
            </w:r>
          </w:p>
        </w:tc>
      </w:tr>
      <w:tr w:rsidR="00EA2A9D" w:rsidRPr="00697B94" w14:paraId="458C6263" w14:textId="77777777" w:rsidTr="001B299E">
        <w:trPr>
          <w:trHeight w:val="288"/>
        </w:trPr>
        <w:tc>
          <w:tcPr>
            <w:tcW w:w="0" w:type="auto"/>
            <w:tcBorders>
              <w:bottom w:val="single" w:sz="4" w:space="0" w:color="auto"/>
            </w:tcBorders>
          </w:tcPr>
          <w:p w14:paraId="46DF0948" w14:textId="77777777" w:rsidR="00EA2A9D" w:rsidRPr="00697B94" w:rsidRDefault="001B299E" w:rsidP="001B299E">
            <w:pPr>
              <w:pStyle w:val="Body"/>
              <w:spacing w:after="0"/>
              <w:rPr>
                <w:sz w:val="20"/>
                <w:szCs w:val="20"/>
              </w:rPr>
            </w:pPr>
            <w:r w:rsidRPr="00697B94">
              <w:rPr>
                <w:sz w:val="20"/>
                <w:szCs w:val="20"/>
              </w:rPr>
              <w:t>GFCF does not Granger cause FDI</w:t>
            </w:r>
          </w:p>
        </w:tc>
        <w:tc>
          <w:tcPr>
            <w:tcW w:w="0" w:type="auto"/>
            <w:tcBorders>
              <w:bottom w:val="single" w:sz="4" w:space="0" w:color="auto"/>
            </w:tcBorders>
          </w:tcPr>
          <w:p w14:paraId="7573DDE7" w14:textId="77777777" w:rsidR="00EA2A9D" w:rsidRPr="00697B94" w:rsidRDefault="001B299E" w:rsidP="001B299E">
            <w:pPr>
              <w:pStyle w:val="Body"/>
              <w:spacing w:after="0"/>
              <w:rPr>
                <w:sz w:val="20"/>
                <w:szCs w:val="20"/>
              </w:rPr>
            </w:pPr>
            <w:r w:rsidRPr="00697B94">
              <w:rPr>
                <w:sz w:val="20"/>
                <w:szCs w:val="20"/>
              </w:rPr>
              <w:t>0.3235</w:t>
            </w:r>
          </w:p>
        </w:tc>
        <w:tc>
          <w:tcPr>
            <w:tcW w:w="0" w:type="auto"/>
            <w:tcBorders>
              <w:bottom w:val="single" w:sz="4" w:space="0" w:color="auto"/>
            </w:tcBorders>
          </w:tcPr>
          <w:p w14:paraId="7914E372" w14:textId="77777777" w:rsidR="00EA2A9D" w:rsidRPr="00697B94" w:rsidRDefault="001B299E" w:rsidP="001B299E">
            <w:pPr>
              <w:pStyle w:val="Body"/>
              <w:spacing w:after="0"/>
              <w:rPr>
                <w:sz w:val="20"/>
                <w:szCs w:val="20"/>
              </w:rPr>
            </w:pPr>
            <w:r w:rsidRPr="00697B94">
              <w:rPr>
                <w:sz w:val="20"/>
                <w:szCs w:val="20"/>
              </w:rPr>
              <w:t>0.5744</w:t>
            </w:r>
          </w:p>
        </w:tc>
        <w:tc>
          <w:tcPr>
            <w:tcW w:w="0" w:type="auto"/>
            <w:tcBorders>
              <w:bottom w:val="single" w:sz="4" w:space="0" w:color="auto"/>
            </w:tcBorders>
          </w:tcPr>
          <w:p w14:paraId="3166886C" w14:textId="77777777" w:rsidR="00EA2A9D" w:rsidRPr="00697B94" w:rsidRDefault="001B299E" w:rsidP="001B299E">
            <w:pPr>
              <w:pStyle w:val="Body"/>
              <w:spacing w:after="0"/>
              <w:rPr>
                <w:sz w:val="20"/>
                <w:szCs w:val="20"/>
              </w:rPr>
            </w:pPr>
            <w:r w:rsidRPr="00697B94">
              <w:rPr>
                <w:sz w:val="20"/>
                <w:szCs w:val="20"/>
              </w:rPr>
              <w:t>Accepted</w:t>
            </w:r>
          </w:p>
        </w:tc>
      </w:tr>
    </w:tbl>
    <w:p w14:paraId="35A750EC" w14:textId="77777777" w:rsidR="002B2E32" w:rsidRPr="00697B94" w:rsidRDefault="002B2E32" w:rsidP="002B2E32">
      <w:pPr>
        <w:pStyle w:val="Body"/>
      </w:pPr>
      <w:r w:rsidRPr="00697B94">
        <w:t>Note</w:t>
      </w:r>
      <w:r w:rsidR="001B299E" w:rsidRPr="00697B94">
        <w:t>:</w:t>
      </w:r>
      <w:r w:rsidRPr="00697B94">
        <w:t xml:space="preserve"> ***, ** and * denote significance level at 1%, 5% and 10% respectively.</w:t>
      </w:r>
    </w:p>
    <w:p w14:paraId="6ED84938" w14:textId="77777777" w:rsidR="005B230C" w:rsidRPr="00697B94" w:rsidRDefault="002B2E32" w:rsidP="002B2E32">
      <w:pPr>
        <w:pStyle w:val="Body"/>
        <w:spacing w:after="0"/>
      </w:pPr>
      <w:r w:rsidRPr="00697B94">
        <w:t>It is evidenced from</w:t>
      </w:r>
      <w:r w:rsidR="004E1CBC" w:rsidRPr="00697B94">
        <w:t xml:space="preserve"> </w:t>
      </w:r>
      <w:r w:rsidRPr="00697B94">
        <w:t>Table</w:t>
      </w:r>
      <w:r w:rsidR="004E1CBC" w:rsidRPr="00697B94">
        <w:t xml:space="preserve"> </w:t>
      </w:r>
      <w:r w:rsidRPr="00697B94">
        <w:t>7 that, the Granger</w:t>
      </w:r>
      <w:r w:rsidR="001B299E" w:rsidRPr="00697B94">
        <w:t xml:space="preserve"> </w:t>
      </w:r>
      <w:r w:rsidRPr="00697B94">
        <w:t>causality test result shows no causal</w:t>
      </w:r>
      <w:r w:rsidR="004E1CBC" w:rsidRPr="00697B94">
        <w:t xml:space="preserve"> </w:t>
      </w:r>
      <w:r w:rsidRPr="00697B94">
        <w:t>relationship between foreign direct investment and domestic</w:t>
      </w:r>
      <w:r w:rsidR="004E1CBC" w:rsidRPr="00697B94">
        <w:t xml:space="preserve"> </w:t>
      </w:r>
      <w:r w:rsidRPr="00697B94">
        <w:t>investment.</w:t>
      </w:r>
    </w:p>
    <w:p w14:paraId="7A7DE13A" w14:textId="77777777" w:rsidR="0040137B" w:rsidRPr="00697B94" w:rsidRDefault="0040137B" w:rsidP="0040137B">
      <w:pPr>
        <w:pStyle w:val="Body"/>
        <w:spacing w:after="0"/>
        <w:rPr>
          <w:rFonts w:ascii="Arial" w:hAnsi="Arial" w:cs="Arial"/>
        </w:rPr>
      </w:pPr>
    </w:p>
    <w:p w14:paraId="4A365FE3" w14:textId="77777777" w:rsidR="004E1CBC" w:rsidRPr="00697B94" w:rsidRDefault="0040137B" w:rsidP="0040137B">
      <w:pPr>
        <w:pStyle w:val="ConcHead"/>
        <w:spacing w:after="0"/>
        <w:jc w:val="both"/>
        <w:rPr>
          <w:rFonts w:ascii="Arial" w:hAnsi="Arial" w:cs="Arial"/>
        </w:rPr>
      </w:pPr>
      <w:r w:rsidRPr="00697B94">
        <w:rPr>
          <w:rFonts w:ascii="Arial" w:hAnsi="Arial" w:cs="Arial"/>
        </w:rPr>
        <w:t>4. Conclusion</w:t>
      </w:r>
    </w:p>
    <w:p w14:paraId="23095E02" w14:textId="77777777" w:rsidR="004E1CBC" w:rsidRPr="00697B94" w:rsidRDefault="004E1CBC" w:rsidP="0040137B">
      <w:pPr>
        <w:pStyle w:val="Body"/>
        <w:spacing w:after="0"/>
        <w:rPr>
          <w:rFonts w:cs="Helvetica"/>
        </w:rPr>
      </w:pPr>
    </w:p>
    <w:p w14:paraId="396844B3" w14:textId="77777777" w:rsidR="004E1CBC" w:rsidRPr="00697B94" w:rsidRDefault="004E1CBC" w:rsidP="004E1CBC">
      <w:pPr>
        <w:pStyle w:val="Body"/>
        <w:spacing w:after="0"/>
        <w:rPr>
          <w:rFonts w:cs="Helvetica"/>
        </w:rPr>
      </w:pPr>
      <w:r w:rsidRPr="00697B94">
        <w:rPr>
          <w:rFonts w:cs="Helvetica"/>
        </w:rPr>
        <w:t>Conclusions drawn from the research are;</w:t>
      </w:r>
    </w:p>
    <w:p w14:paraId="702055ED" w14:textId="77777777" w:rsidR="009C751B" w:rsidRPr="00697B94" w:rsidRDefault="009C751B" w:rsidP="009C751B">
      <w:pPr>
        <w:pStyle w:val="Body"/>
        <w:spacing w:after="0"/>
        <w:rPr>
          <w:rFonts w:cs="Helvetica"/>
        </w:rPr>
      </w:pPr>
      <w:r w:rsidRPr="00697B94">
        <w:rPr>
          <w:rFonts w:cs="Helvetica"/>
        </w:rPr>
        <w:lastRenderedPageBreak/>
        <w:t>In line with empirical evidence, the study has shown that FDI, inflation squared and exchange rate were found to have negative and significant effects on domestic investment in Ghana. However, inflation and GDP growth were found to have positive impact on domestic investment in Ghana. Additionally, the study found no causal relationship between FDI and domestic investment in Ghana.</w:t>
      </w:r>
    </w:p>
    <w:p w14:paraId="238D4934" w14:textId="77777777" w:rsidR="0040137B" w:rsidRPr="00697B94" w:rsidRDefault="0040137B" w:rsidP="009C751B">
      <w:pPr>
        <w:pStyle w:val="Body"/>
        <w:spacing w:after="0"/>
        <w:rPr>
          <w:rFonts w:ascii="Arial" w:hAnsi="Arial" w:cs="Arial"/>
          <w:bCs/>
        </w:rPr>
      </w:pPr>
    </w:p>
    <w:p w14:paraId="1F49712E" w14:textId="77777777" w:rsidR="00877D87" w:rsidRPr="00697B94" w:rsidRDefault="00877D87" w:rsidP="00877D87">
      <w:pPr>
        <w:rPr>
          <w:highlight w:val="yellow"/>
        </w:rPr>
      </w:pPr>
      <w:r w:rsidRPr="00697B94">
        <w:rPr>
          <w:highlight w:val="yellow"/>
        </w:rPr>
        <w:t>Disclaimer (Artificial intelligence)</w:t>
      </w:r>
    </w:p>
    <w:p w14:paraId="5F87B72B" w14:textId="77777777" w:rsidR="00877D87" w:rsidRPr="00697B94" w:rsidRDefault="00877D87" w:rsidP="00877D87">
      <w:pPr>
        <w:rPr>
          <w:highlight w:val="yellow"/>
        </w:rPr>
      </w:pPr>
      <w:r w:rsidRPr="00697B94">
        <w:rPr>
          <w:highlight w:val="yellow"/>
        </w:rPr>
        <w:t xml:space="preserve">Option 1: </w:t>
      </w:r>
    </w:p>
    <w:p w14:paraId="748AD511" w14:textId="52A2628B" w:rsidR="00877D87" w:rsidRPr="00697B94" w:rsidRDefault="00877D87" w:rsidP="00877D87">
      <w:pPr>
        <w:rPr>
          <w:highlight w:val="yellow"/>
        </w:rPr>
      </w:pPr>
      <w:r w:rsidRPr="00697B94">
        <w:rPr>
          <w:highlight w:val="yellow"/>
        </w:rPr>
        <w:t xml:space="preserve">Author(s) hereby </w:t>
      </w:r>
      <w:r w:rsidR="00697B94" w:rsidRPr="00697B94">
        <w:rPr>
          <w:highlight w:val="yellow"/>
        </w:rPr>
        <w:t>declares</w:t>
      </w:r>
      <w:r w:rsidRPr="00697B94">
        <w:rPr>
          <w:highlight w:val="yellow"/>
        </w:rPr>
        <w:t xml:space="preserve"> that NO generative AI technologies such as Large Language Models (ChatGPT, COPILOT, etc.) and text-to-image generators have been used during the writing or editing of this manuscript. </w:t>
      </w:r>
    </w:p>
    <w:p w14:paraId="0D1CF553" w14:textId="77777777" w:rsidR="00877D87" w:rsidRPr="00697B94" w:rsidRDefault="00877D87" w:rsidP="00877D87">
      <w:pPr>
        <w:rPr>
          <w:highlight w:val="yellow"/>
        </w:rPr>
      </w:pPr>
      <w:r w:rsidRPr="00697B94">
        <w:rPr>
          <w:highlight w:val="yellow"/>
        </w:rPr>
        <w:t xml:space="preserve">Option 2: </w:t>
      </w:r>
    </w:p>
    <w:p w14:paraId="2AFC2647" w14:textId="39DC60DB" w:rsidR="00877D87" w:rsidRPr="00697B94" w:rsidRDefault="00877D87" w:rsidP="00877D87">
      <w:pPr>
        <w:rPr>
          <w:highlight w:val="yellow"/>
        </w:rPr>
      </w:pPr>
      <w:r w:rsidRPr="00697B94">
        <w:rPr>
          <w:highlight w:val="yellow"/>
        </w:rPr>
        <w:t xml:space="preserve">Author(s) hereby </w:t>
      </w:r>
      <w:r w:rsidR="00697B94" w:rsidRPr="00697B94">
        <w:rPr>
          <w:highlight w:val="yellow"/>
        </w:rPr>
        <w:t>declares</w:t>
      </w:r>
      <w:r w:rsidRPr="00697B94">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6554351" w14:textId="77777777" w:rsidR="00877D87" w:rsidRPr="00697B94" w:rsidRDefault="00877D87" w:rsidP="00877D87">
      <w:pPr>
        <w:rPr>
          <w:highlight w:val="yellow"/>
        </w:rPr>
      </w:pPr>
      <w:r w:rsidRPr="00697B94">
        <w:rPr>
          <w:highlight w:val="yellow"/>
        </w:rPr>
        <w:t>Details of the AI usage are given below:</w:t>
      </w:r>
    </w:p>
    <w:p w14:paraId="300445E1" w14:textId="77777777" w:rsidR="00877D87" w:rsidRPr="00697B94" w:rsidRDefault="00877D87" w:rsidP="00877D87">
      <w:pPr>
        <w:rPr>
          <w:highlight w:val="yellow"/>
        </w:rPr>
      </w:pPr>
      <w:r w:rsidRPr="00697B94">
        <w:rPr>
          <w:highlight w:val="yellow"/>
        </w:rPr>
        <w:t>1.</w:t>
      </w:r>
    </w:p>
    <w:p w14:paraId="2EF99F35" w14:textId="77777777" w:rsidR="00877D87" w:rsidRPr="00697B94" w:rsidRDefault="00877D87" w:rsidP="00877D87">
      <w:pPr>
        <w:rPr>
          <w:highlight w:val="yellow"/>
        </w:rPr>
      </w:pPr>
      <w:r w:rsidRPr="00697B94">
        <w:rPr>
          <w:highlight w:val="yellow"/>
        </w:rPr>
        <w:t>2.</w:t>
      </w:r>
    </w:p>
    <w:p w14:paraId="395D7F42" w14:textId="77777777" w:rsidR="00877D87" w:rsidRPr="00697B94" w:rsidRDefault="00877D87" w:rsidP="00877D87">
      <w:r w:rsidRPr="00697B94">
        <w:rPr>
          <w:highlight w:val="yellow"/>
        </w:rPr>
        <w:t>3.</w:t>
      </w:r>
    </w:p>
    <w:p w14:paraId="7E3E1D23" w14:textId="77777777" w:rsidR="00C07AC4" w:rsidRPr="00697B94" w:rsidRDefault="00C07AC4" w:rsidP="00441B6F">
      <w:pPr>
        <w:pStyle w:val="Body"/>
        <w:spacing w:after="0"/>
        <w:rPr>
          <w:rFonts w:ascii="Arial" w:hAnsi="Arial" w:cs="Arial"/>
        </w:rPr>
      </w:pPr>
    </w:p>
    <w:p w14:paraId="074395EF" w14:textId="77777777" w:rsidR="00860000" w:rsidRPr="00697B94" w:rsidRDefault="00860000" w:rsidP="00441B6F">
      <w:pPr>
        <w:pStyle w:val="ReferHead"/>
        <w:spacing w:after="0"/>
        <w:jc w:val="both"/>
        <w:rPr>
          <w:rFonts w:ascii="Arial" w:hAnsi="Arial" w:cs="Arial"/>
        </w:rPr>
      </w:pPr>
    </w:p>
    <w:p w14:paraId="46DB9E42" w14:textId="77777777" w:rsidR="00B01FCD" w:rsidRPr="00697B94" w:rsidRDefault="00B01FCD" w:rsidP="00441B6F">
      <w:pPr>
        <w:pStyle w:val="ReferHead"/>
        <w:spacing w:after="0"/>
        <w:jc w:val="both"/>
        <w:rPr>
          <w:rFonts w:ascii="Arial" w:hAnsi="Arial" w:cs="Arial"/>
        </w:rPr>
      </w:pPr>
      <w:r w:rsidRPr="00697B94">
        <w:rPr>
          <w:rFonts w:ascii="Arial" w:hAnsi="Arial" w:cs="Arial"/>
        </w:rPr>
        <w:t>References</w:t>
      </w:r>
    </w:p>
    <w:p w14:paraId="725318CC" w14:textId="77777777" w:rsidR="00790ADA" w:rsidRPr="00697B94" w:rsidRDefault="00790ADA" w:rsidP="00441B6F">
      <w:pPr>
        <w:pStyle w:val="ReferHead"/>
        <w:spacing w:after="0"/>
        <w:jc w:val="both"/>
        <w:rPr>
          <w:rFonts w:ascii="Arial" w:hAnsi="Arial" w:cs="Arial"/>
        </w:rPr>
      </w:pPr>
    </w:p>
    <w:p w14:paraId="78EB4D9B" w14:textId="77777777" w:rsidR="009C751B" w:rsidRPr="00697B94" w:rsidRDefault="009C751B" w:rsidP="009C751B">
      <w:pPr>
        <w:pStyle w:val="Body"/>
        <w:rPr>
          <w:rFonts w:ascii="Arial" w:hAnsi="Arial" w:cs="Arial"/>
        </w:rPr>
      </w:pPr>
      <w:r w:rsidRPr="00697B94">
        <w:rPr>
          <w:rFonts w:ascii="Arial" w:hAnsi="Arial" w:cs="Arial"/>
        </w:rPr>
        <w:t>Acar S., Eris B., and Tekce M. (2012), “The effect of foreign direct investment on domestic investment: Evidence from MENA countries” In European Trade Study Group (ETSG) 14th Annual Conference, September, Leuven.</w:t>
      </w:r>
    </w:p>
    <w:p w14:paraId="760D2B1E" w14:textId="77777777" w:rsidR="009C751B" w:rsidRPr="00697B94" w:rsidRDefault="009C751B" w:rsidP="009C751B">
      <w:pPr>
        <w:pStyle w:val="Body"/>
        <w:rPr>
          <w:rFonts w:ascii="Arial" w:hAnsi="Arial" w:cs="Arial"/>
        </w:rPr>
      </w:pPr>
      <w:r w:rsidRPr="00697B94">
        <w:rPr>
          <w:rFonts w:ascii="Arial" w:hAnsi="Arial" w:cs="Arial"/>
        </w:rPr>
        <w:t>Açikalin S. (2009), “Turkish foreign direct investment and causality between domestic investment”, Hitit University Journal of Social Sciences Institute, Vol. 2, No. 2, pp. 1-14.</w:t>
      </w:r>
    </w:p>
    <w:p w14:paraId="042B41ED" w14:textId="47C67621" w:rsidR="009C751B" w:rsidRPr="00697B94" w:rsidRDefault="009C751B" w:rsidP="009C751B">
      <w:pPr>
        <w:pStyle w:val="Body"/>
        <w:rPr>
          <w:rFonts w:ascii="Arial" w:hAnsi="Arial" w:cs="Arial"/>
        </w:rPr>
      </w:pPr>
      <w:proofErr w:type="spellStart"/>
      <w:r w:rsidRPr="00697B94">
        <w:rPr>
          <w:rFonts w:ascii="Arial" w:hAnsi="Arial" w:cs="Arial"/>
        </w:rPr>
        <w:t>Agosin</w:t>
      </w:r>
      <w:proofErr w:type="spellEnd"/>
      <w:r w:rsidRPr="00697B94">
        <w:rPr>
          <w:rFonts w:ascii="Arial" w:hAnsi="Arial" w:cs="Arial"/>
        </w:rPr>
        <w:t xml:space="preserve"> M. R. and Machado R. (2005), “Foreign investment in developing countries: Does it crowd in domestic investment?”, Oxford Development Studies, Vol. 33, No. 2, pp. 149-162.</w:t>
      </w:r>
    </w:p>
    <w:p w14:paraId="55EC7248" w14:textId="77777777" w:rsidR="009C751B" w:rsidRPr="00697B94" w:rsidRDefault="009C751B" w:rsidP="009C751B">
      <w:pPr>
        <w:pStyle w:val="Body"/>
        <w:rPr>
          <w:rFonts w:ascii="Arial" w:hAnsi="Arial" w:cs="Arial"/>
        </w:rPr>
      </w:pPr>
      <w:r w:rsidRPr="00697B94">
        <w:rPr>
          <w:rFonts w:ascii="Arial" w:hAnsi="Arial" w:cs="Arial"/>
        </w:rPr>
        <w:t xml:space="preserve">Ahmed K. T., Ghani G. M., Mohamad N. and Derus A. M. (2015), “Does inward FDI crowd-out domestic investment?” Evidence from Uganda”, Procedia-Social and Behavioural Sciences, No. 172, pp. 419-426. </w:t>
      </w:r>
    </w:p>
    <w:p w14:paraId="6AE92539" w14:textId="77777777" w:rsidR="009C751B" w:rsidRPr="00697B94" w:rsidRDefault="009C751B" w:rsidP="009C751B">
      <w:pPr>
        <w:pStyle w:val="Body"/>
        <w:rPr>
          <w:rFonts w:ascii="Arial" w:hAnsi="Arial" w:cs="Arial"/>
        </w:rPr>
      </w:pPr>
      <w:r w:rsidRPr="00697B94">
        <w:rPr>
          <w:rFonts w:ascii="Arial" w:hAnsi="Arial" w:cs="Arial"/>
        </w:rPr>
        <w:t>Aigheyisi O. S. (2017), “The Effect of Foreign Direct Investment on Domestic Investment in Nigeria: Any Role for Financial Development and Human Capital?”, Amity Journal of Economics, Vol. 2, No. 2, pp. 1-20.</w:t>
      </w:r>
    </w:p>
    <w:p w14:paraId="0D45D939" w14:textId="77777777" w:rsidR="009C751B" w:rsidRPr="00697B94" w:rsidRDefault="009C751B" w:rsidP="009C751B">
      <w:pPr>
        <w:pStyle w:val="Body"/>
        <w:rPr>
          <w:rFonts w:ascii="Arial" w:hAnsi="Arial" w:cs="Arial"/>
        </w:rPr>
      </w:pPr>
      <w:r w:rsidRPr="00697B94">
        <w:rPr>
          <w:rFonts w:ascii="Arial" w:hAnsi="Arial" w:cs="Arial"/>
        </w:rPr>
        <w:t>Ali M. E. M. (2018), “Impact of Foreign Direct Investment on Domestic Investment in Sudan:" Giving Hope Hypothesis”, Journal of Economic Cooperation &amp; Development, Vol. 39, No. 3, pp. 39-63.</w:t>
      </w:r>
    </w:p>
    <w:p w14:paraId="4BAB0732" w14:textId="77777777" w:rsidR="009C751B" w:rsidRPr="00697B94" w:rsidRDefault="009C751B" w:rsidP="009C751B">
      <w:pPr>
        <w:pStyle w:val="Body"/>
        <w:rPr>
          <w:rFonts w:ascii="Arial" w:hAnsi="Arial" w:cs="Arial"/>
        </w:rPr>
      </w:pPr>
      <w:r w:rsidRPr="00697B94">
        <w:rPr>
          <w:rFonts w:ascii="Arial" w:hAnsi="Arial" w:cs="Arial"/>
        </w:rPr>
        <w:t xml:space="preserve">Aliber R.Z., (1970), “A Theory of Foreign Direct Investment, in C.P”, Kindleberger, ed., The International Corporation. Cambridge, Mass.: MIT Press, 1970, pp. 17-34. </w:t>
      </w:r>
    </w:p>
    <w:p w14:paraId="7B3FD86F" w14:textId="77777777" w:rsidR="009C751B" w:rsidRPr="00697B94" w:rsidRDefault="009C751B" w:rsidP="009C751B">
      <w:pPr>
        <w:pStyle w:val="Body"/>
        <w:rPr>
          <w:rFonts w:ascii="Arial" w:hAnsi="Arial" w:cs="Arial"/>
        </w:rPr>
      </w:pPr>
      <w:r w:rsidRPr="00697B94">
        <w:rPr>
          <w:rFonts w:ascii="Arial" w:hAnsi="Arial" w:cs="Arial"/>
        </w:rPr>
        <w:t>Aliber R.Z., (1971), “The Multinational Enterprise in a Multiple Currency World, in J.H”, Dunning, ed., The Multinational Enterprise. London: Allen &amp; Unwin, 1971, pp. 49-56.</w:t>
      </w:r>
    </w:p>
    <w:p w14:paraId="5B5F2145" w14:textId="77777777" w:rsidR="009C751B" w:rsidRDefault="009C751B" w:rsidP="009C751B">
      <w:pPr>
        <w:pStyle w:val="Body"/>
        <w:rPr>
          <w:rFonts w:ascii="Arial" w:hAnsi="Arial" w:cs="Arial"/>
        </w:rPr>
      </w:pPr>
      <w:r w:rsidRPr="00697B94">
        <w:rPr>
          <w:rFonts w:ascii="Arial" w:hAnsi="Arial" w:cs="Arial"/>
        </w:rPr>
        <w:lastRenderedPageBreak/>
        <w:t>Al khatib H. B., Altaleb G. S. and Alokor S. M. (2012), “Economical Determinants of Domestic Investment”, European Scientific Journal, Vol. 8, No. 7, pp. 1-17.</w:t>
      </w:r>
    </w:p>
    <w:p w14:paraId="12DDA558" w14:textId="59F8B387" w:rsidR="00961469" w:rsidRDefault="00961469" w:rsidP="00961469">
      <w:r w:rsidRPr="00697B94">
        <w:rPr>
          <w:highlight w:val="yellow"/>
        </w:rPr>
        <w:t>Al-Sadig, A. (2013). The effects of foreign direct investment on private domestic investment: evidence from developing countries. Empirical Economics, 44(3), 1267-1275.</w:t>
      </w:r>
    </w:p>
    <w:p w14:paraId="2FE2F4C6" w14:textId="77777777" w:rsidR="00961469" w:rsidRPr="00961469" w:rsidRDefault="00961469" w:rsidP="00961469"/>
    <w:p w14:paraId="3375B5F3" w14:textId="1641D0F5" w:rsidR="00961469" w:rsidRDefault="00961469" w:rsidP="00961469">
      <w:pPr>
        <w:pStyle w:val="Reference"/>
        <w:numPr>
          <w:ilvl w:val="0"/>
          <w:numId w:val="0"/>
        </w:numPr>
        <w:spacing w:line="240" w:lineRule="auto"/>
        <w:rPr>
          <w:rFonts w:ascii="Arial" w:hAnsi="Arial" w:cs="Arial"/>
        </w:rPr>
      </w:pPr>
      <w:proofErr w:type="spellStart"/>
      <w:r w:rsidRPr="00CD3A93">
        <w:rPr>
          <w:rFonts w:ascii="Arial" w:hAnsi="Arial" w:cs="Arial"/>
          <w:highlight w:val="yellow"/>
        </w:rPr>
        <w:t>Anarfo</w:t>
      </w:r>
      <w:proofErr w:type="spellEnd"/>
      <w:r w:rsidRPr="00CD3A93">
        <w:rPr>
          <w:rFonts w:ascii="Arial" w:hAnsi="Arial" w:cs="Arial"/>
          <w:highlight w:val="yellow"/>
        </w:rPr>
        <w:t xml:space="preserve">, E.B., </w:t>
      </w:r>
      <w:proofErr w:type="spellStart"/>
      <w:r w:rsidRPr="00CD3A93">
        <w:rPr>
          <w:rFonts w:ascii="Arial" w:hAnsi="Arial" w:cs="Arial"/>
          <w:highlight w:val="yellow"/>
        </w:rPr>
        <w:t>Agoba</w:t>
      </w:r>
      <w:proofErr w:type="spellEnd"/>
      <w:r w:rsidRPr="00CD3A93">
        <w:rPr>
          <w:rFonts w:ascii="Arial" w:hAnsi="Arial" w:cs="Arial"/>
          <w:highlight w:val="yellow"/>
        </w:rPr>
        <w:t xml:space="preserve">, A.M. and </w:t>
      </w:r>
      <w:proofErr w:type="spellStart"/>
      <w:r w:rsidRPr="00CD3A93">
        <w:rPr>
          <w:rFonts w:ascii="Arial" w:hAnsi="Arial" w:cs="Arial"/>
          <w:highlight w:val="yellow"/>
        </w:rPr>
        <w:t>Abebreseh</w:t>
      </w:r>
      <w:proofErr w:type="spellEnd"/>
      <w:r w:rsidRPr="00CD3A93">
        <w:rPr>
          <w:rFonts w:ascii="Arial" w:hAnsi="Arial" w:cs="Arial"/>
          <w:highlight w:val="yellow"/>
        </w:rPr>
        <w:t>, R., 2017. Foreign direct investment in Ghana: The role of infrastructural development and natural resources. African Development Review, 29(4), pp.575-588.</w:t>
      </w:r>
    </w:p>
    <w:p w14:paraId="12AEEAFD" w14:textId="77777777" w:rsidR="00961469" w:rsidRPr="00697B94" w:rsidRDefault="00961469" w:rsidP="00961469">
      <w:pPr>
        <w:pStyle w:val="Reference"/>
        <w:numPr>
          <w:ilvl w:val="0"/>
          <w:numId w:val="0"/>
        </w:numPr>
        <w:spacing w:line="240" w:lineRule="auto"/>
        <w:rPr>
          <w:rFonts w:ascii="Arial" w:hAnsi="Arial" w:cs="Arial"/>
        </w:rPr>
      </w:pPr>
    </w:p>
    <w:p w14:paraId="6B8C3326" w14:textId="77777777" w:rsidR="009C751B" w:rsidRPr="00697B94" w:rsidRDefault="009C751B" w:rsidP="009C751B">
      <w:pPr>
        <w:pStyle w:val="Body"/>
        <w:rPr>
          <w:rFonts w:ascii="Arial" w:hAnsi="Arial" w:cs="Arial"/>
        </w:rPr>
      </w:pPr>
      <w:r w:rsidRPr="00697B94">
        <w:rPr>
          <w:rFonts w:ascii="Arial" w:hAnsi="Arial" w:cs="Arial"/>
        </w:rPr>
        <w:t>Andrews A. P. (2015), “Exports, Imports, and Economic Growth in Liberia: Evidence from Causality and Cointegration Analysis”, Journal of Management Policy and Practice, Vol. 16. No. 3, pp.95-108.</w:t>
      </w:r>
    </w:p>
    <w:p w14:paraId="7C9325E6" w14:textId="77777777" w:rsidR="009C751B" w:rsidRPr="00697B94" w:rsidRDefault="009C751B" w:rsidP="009C751B">
      <w:pPr>
        <w:pStyle w:val="Body"/>
        <w:rPr>
          <w:rFonts w:ascii="Arial" w:hAnsi="Arial" w:cs="Arial"/>
        </w:rPr>
      </w:pPr>
      <w:r w:rsidRPr="00697B94">
        <w:rPr>
          <w:rFonts w:ascii="Arial" w:hAnsi="Arial" w:cs="Arial"/>
        </w:rPr>
        <w:t>Andrews S., Leblang D. and Pandya S. S. (2018), “Ethnocentrism reduces foreign direct investment”, The Journal of Politics, Vol. 80, No.2, pp. 697-700.</w:t>
      </w:r>
    </w:p>
    <w:p w14:paraId="3421D461" w14:textId="77777777" w:rsidR="009C751B" w:rsidRPr="00697B94" w:rsidRDefault="009C751B" w:rsidP="009C751B">
      <w:pPr>
        <w:pStyle w:val="Body"/>
        <w:rPr>
          <w:rFonts w:ascii="Arial" w:hAnsi="Arial" w:cs="Arial"/>
        </w:rPr>
      </w:pPr>
      <w:r w:rsidRPr="00697B94">
        <w:rPr>
          <w:rFonts w:ascii="Arial" w:hAnsi="Arial" w:cs="Arial"/>
        </w:rPr>
        <w:t>Anon. (2003), “UNCTAD: Investment Policy Review: Ghana”, United Nations Publications, Vol. 14.</w:t>
      </w:r>
    </w:p>
    <w:p w14:paraId="10DD4F67" w14:textId="77777777" w:rsidR="009C751B" w:rsidRPr="00697B94" w:rsidRDefault="009C751B" w:rsidP="009C751B">
      <w:pPr>
        <w:pStyle w:val="Body"/>
        <w:rPr>
          <w:rFonts w:ascii="Arial" w:hAnsi="Arial" w:cs="Arial"/>
        </w:rPr>
      </w:pPr>
      <w:r w:rsidRPr="00697B94">
        <w:rPr>
          <w:rFonts w:ascii="Arial" w:hAnsi="Arial" w:cs="Arial"/>
        </w:rPr>
        <w:t>Anon. (2021), “World Develop Indicators”, www.worldbank.org, Accessed: May 29, 2021.</w:t>
      </w:r>
    </w:p>
    <w:p w14:paraId="153BE4CF" w14:textId="77777777" w:rsidR="009C751B" w:rsidRDefault="009C751B" w:rsidP="009C751B">
      <w:pPr>
        <w:pStyle w:val="Body"/>
        <w:rPr>
          <w:rFonts w:ascii="Arial" w:hAnsi="Arial" w:cs="Arial"/>
        </w:rPr>
      </w:pPr>
      <w:r w:rsidRPr="00697B94">
        <w:rPr>
          <w:rFonts w:ascii="Arial" w:hAnsi="Arial" w:cs="Arial"/>
        </w:rPr>
        <w:t>Apergis N., Katrakilidis C. P. and Tabakis N. M. (2006), “Dynamic linkages between FDI inflows and domestic investment: a panel cointegration approach”, Atlantic Economic Journal, Vol. 34, No. 4, pp. 385-394.</w:t>
      </w:r>
    </w:p>
    <w:p w14:paraId="6A465548" w14:textId="176C89DB" w:rsidR="00961469" w:rsidRDefault="00961469" w:rsidP="00961469">
      <w:pPr>
        <w:rPr>
          <w:rFonts w:ascii="Arial" w:hAnsi="Arial" w:cs="Arial"/>
        </w:rPr>
      </w:pPr>
      <w:r w:rsidRPr="00961469">
        <w:rPr>
          <w:rFonts w:ascii="Arial" w:hAnsi="Arial" w:cs="Arial"/>
          <w:highlight w:val="yellow"/>
        </w:rPr>
        <w:t>Asiamah, M., Ofori, D. and Afful, J., 2019. Analysis of the determinants of foreign direct investment in Ghana. Journal of Asian Business and Economic Studies, 26(1), pp.56-75.</w:t>
      </w:r>
    </w:p>
    <w:p w14:paraId="03BE199A" w14:textId="77777777" w:rsidR="00961469" w:rsidRPr="00697B94" w:rsidRDefault="00961469" w:rsidP="00961469">
      <w:pPr>
        <w:rPr>
          <w:rFonts w:ascii="Arial" w:hAnsi="Arial" w:cs="Arial"/>
        </w:rPr>
      </w:pPr>
    </w:p>
    <w:p w14:paraId="35C58A21" w14:textId="77777777" w:rsidR="009C751B" w:rsidRPr="00697B94" w:rsidRDefault="009C751B" w:rsidP="009C751B">
      <w:pPr>
        <w:pStyle w:val="Body"/>
        <w:rPr>
          <w:rFonts w:ascii="Arial" w:hAnsi="Arial" w:cs="Arial"/>
        </w:rPr>
      </w:pPr>
      <w:r w:rsidRPr="00697B94">
        <w:rPr>
          <w:rFonts w:ascii="Arial" w:hAnsi="Arial" w:cs="Arial"/>
        </w:rPr>
        <w:t>Barthel F., Busse M. and Osei R. (2011), “The characteristics and determinants of FDI in Ghana” The European Journal of Development Research, Vol. 23, No. 3, pp. 389-408.</w:t>
      </w:r>
    </w:p>
    <w:p w14:paraId="7650DEEA" w14:textId="77777777" w:rsidR="009C751B" w:rsidRPr="00697B94" w:rsidRDefault="009C751B" w:rsidP="009C751B">
      <w:pPr>
        <w:pStyle w:val="Body"/>
        <w:rPr>
          <w:rFonts w:ascii="Arial" w:hAnsi="Arial" w:cs="Arial"/>
        </w:rPr>
      </w:pPr>
      <w:r w:rsidRPr="00697B94">
        <w:rPr>
          <w:rFonts w:ascii="Arial" w:hAnsi="Arial" w:cs="Arial"/>
        </w:rPr>
        <w:t>Bilgili F., Düzgün R. and Uğurlu E. (2007), “The interaction between growth, foreign direct investment and domestic investments”, Erciyes University Journal of Social Sciences Institute, Vol. 23, No. 2, pp. 127-152.</w:t>
      </w:r>
    </w:p>
    <w:p w14:paraId="1784A96D" w14:textId="77777777" w:rsidR="009C751B" w:rsidRPr="00697B94" w:rsidRDefault="009C751B" w:rsidP="009C751B">
      <w:pPr>
        <w:pStyle w:val="Body"/>
        <w:rPr>
          <w:rFonts w:ascii="Arial" w:hAnsi="Arial" w:cs="Arial"/>
        </w:rPr>
      </w:pPr>
      <w:r w:rsidRPr="00697B94">
        <w:rPr>
          <w:rFonts w:ascii="Arial" w:hAnsi="Arial" w:cs="Arial"/>
        </w:rPr>
        <w:t>Blomström M., and Kokko A. (1998), “Multinational corporations and spillovers”, Journal of Economic surveys, Vol. 12, No. 3, pp. 247-277.</w:t>
      </w:r>
    </w:p>
    <w:p w14:paraId="57647C29" w14:textId="77777777" w:rsidR="009C751B" w:rsidRPr="00697B94" w:rsidRDefault="009C751B" w:rsidP="009C751B">
      <w:pPr>
        <w:pStyle w:val="Body"/>
        <w:rPr>
          <w:rFonts w:ascii="Arial" w:hAnsi="Arial" w:cs="Arial"/>
        </w:rPr>
      </w:pPr>
      <w:r w:rsidRPr="00697B94">
        <w:rPr>
          <w:rFonts w:ascii="Arial" w:hAnsi="Arial" w:cs="Arial"/>
        </w:rPr>
        <w:t>Braunstein E. and Epstein G. (2004), “Bargaining power and foreign direct investment in China: Can 1.3 billion consumers tame the multinationals?”, In Labour and the Globalization of Production, Palgrave Macmillan, London, pp. 209-248.</w:t>
      </w:r>
    </w:p>
    <w:p w14:paraId="44FC0843" w14:textId="77777777" w:rsidR="009C751B" w:rsidRPr="00697B94" w:rsidRDefault="009C751B" w:rsidP="009C751B">
      <w:pPr>
        <w:pStyle w:val="Body"/>
        <w:rPr>
          <w:rFonts w:ascii="Arial" w:hAnsi="Arial" w:cs="Arial"/>
        </w:rPr>
      </w:pPr>
      <w:r w:rsidRPr="00697B94">
        <w:rPr>
          <w:rFonts w:ascii="Arial" w:hAnsi="Arial" w:cs="Arial"/>
        </w:rPr>
        <w:t>Brown R. L., Durbin J. and Evans J. M. (1975), “Techniques for testing the constancy of regression relationships over time”, Journal of the Royal Statistical Society, Vol. 37, No. 2, pp. 149-163.</w:t>
      </w:r>
    </w:p>
    <w:p w14:paraId="13D5C43D" w14:textId="77777777" w:rsidR="009C751B" w:rsidRPr="00697B94" w:rsidRDefault="009C751B" w:rsidP="009C751B">
      <w:pPr>
        <w:pStyle w:val="Body"/>
        <w:rPr>
          <w:rFonts w:ascii="Arial" w:hAnsi="Arial" w:cs="Arial"/>
        </w:rPr>
      </w:pPr>
      <w:r w:rsidRPr="00697B94">
        <w:rPr>
          <w:rFonts w:ascii="Arial" w:hAnsi="Arial" w:cs="Arial"/>
        </w:rPr>
        <w:t>Caves R. E. (1971), “International corporations: The industrial economics of foreign investment”, Economics, Vol. 38, No. 149, pp. 1-27.</w:t>
      </w:r>
    </w:p>
    <w:p w14:paraId="0AD62018" w14:textId="77777777" w:rsidR="009C751B" w:rsidRPr="00697B94" w:rsidRDefault="009C751B" w:rsidP="009C751B">
      <w:pPr>
        <w:pStyle w:val="Body"/>
        <w:rPr>
          <w:rFonts w:ascii="Arial" w:hAnsi="Arial" w:cs="Arial"/>
        </w:rPr>
      </w:pPr>
      <w:r w:rsidRPr="00697B94">
        <w:rPr>
          <w:rFonts w:ascii="Arial" w:hAnsi="Arial" w:cs="Arial"/>
        </w:rPr>
        <w:t>Dantama Y. U. and Usman U. A. (2012), “Foreign Direct Investment, Domestic Investment and Other Complementary Determinants of Economic Growth in Nigeria: A Time Series Analysis”, Sokoto Journal of the Social Sciences, Vol. 2, No. 1, pp. 89-100.</w:t>
      </w:r>
    </w:p>
    <w:p w14:paraId="5399FA94" w14:textId="77777777" w:rsidR="009C751B" w:rsidRPr="00697B94" w:rsidRDefault="009C751B" w:rsidP="009C751B">
      <w:pPr>
        <w:pStyle w:val="Body"/>
        <w:rPr>
          <w:rFonts w:ascii="Arial" w:hAnsi="Arial" w:cs="Arial"/>
        </w:rPr>
      </w:pPr>
      <w:r w:rsidRPr="00697B94">
        <w:rPr>
          <w:rFonts w:ascii="Arial" w:hAnsi="Arial" w:cs="Arial"/>
        </w:rPr>
        <w:lastRenderedPageBreak/>
        <w:t>Denisia V. (2010), “Foreign direct investment theories: An overview of the main FDI theories”, European Journal of Interdisciplinary Studies, Vol. 3, No. 1, pp. 53–59.</w:t>
      </w:r>
    </w:p>
    <w:p w14:paraId="552EF301" w14:textId="77777777" w:rsidR="009C751B" w:rsidRPr="00697B94" w:rsidRDefault="009C751B" w:rsidP="009C751B">
      <w:pPr>
        <w:pStyle w:val="Body"/>
        <w:rPr>
          <w:rFonts w:ascii="Arial" w:hAnsi="Arial" w:cs="Arial"/>
        </w:rPr>
      </w:pPr>
      <w:r w:rsidRPr="00697B94">
        <w:rPr>
          <w:rFonts w:ascii="Arial" w:hAnsi="Arial" w:cs="Arial"/>
        </w:rPr>
        <w:t>Desai M. A., Foley C. F. and Hines Jr. J. R. (2005), “Foreign direct investment and domestic economic activity”, National Bureau of Economic Research.</w:t>
      </w:r>
    </w:p>
    <w:p w14:paraId="052D5525" w14:textId="77777777" w:rsidR="009C751B" w:rsidRPr="00697B94" w:rsidRDefault="009C751B" w:rsidP="009C751B">
      <w:pPr>
        <w:pStyle w:val="Body"/>
        <w:rPr>
          <w:rFonts w:ascii="Arial" w:hAnsi="Arial" w:cs="Arial"/>
        </w:rPr>
      </w:pPr>
      <w:r w:rsidRPr="00697B94">
        <w:rPr>
          <w:rFonts w:ascii="Arial" w:hAnsi="Arial" w:cs="Arial"/>
        </w:rPr>
        <w:t>Dickey D., and Fuller W. A. (1979), “Distribution of the estimators for time series regressions with a unit root”, Journal of the American Statistical Association, Vol. 74, No. 366, pp. 427-431.</w:t>
      </w:r>
    </w:p>
    <w:p w14:paraId="37280F82" w14:textId="77777777" w:rsidR="009C751B" w:rsidRPr="00697B94" w:rsidRDefault="009C751B" w:rsidP="009C751B">
      <w:pPr>
        <w:pStyle w:val="Body"/>
        <w:rPr>
          <w:rFonts w:ascii="Arial" w:hAnsi="Arial" w:cs="Arial"/>
        </w:rPr>
      </w:pPr>
      <w:r w:rsidRPr="00697B94">
        <w:rPr>
          <w:rFonts w:ascii="Arial" w:hAnsi="Arial" w:cs="Arial"/>
        </w:rPr>
        <w:t>Dunning J. H. (2001), “The eclectic (OLI) paradigm of international production: past, present and future”, International journal of the economics of business, Vol. 8, No. 2, pp. 173-190.</w:t>
      </w:r>
    </w:p>
    <w:p w14:paraId="16E7C85E" w14:textId="77777777" w:rsidR="009C751B" w:rsidRPr="00697B94" w:rsidRDefault="009C751B" w:rsidP="009C751B">
      <w:pPr>
        <w:pStyle w:val="Body"/>
        <w:rPr>
          <w:rFonts w:ascii="Arial" w:hAnsi="Arial" w:cs="Arial"/>
        </w:rPr>
      </w:pPr>
      <w:r w:rsidRPr="00697B94">
        <w:rPr>
          <w:rFonts w:ascii="Arial" w:hAnsi="Arial" w:cs="Arial"/>
        </w:rPr>
        <w:t>Dunning J. H. and McQueen M. (1981), “The eclectic theory of international production: A case study of the international hotel industry”, Managerial and decision economics, Vol. 2, No. 4, pp. 197-210.</w:t>
      </w:r>
    </w:p>
    <w:p w14:paraId="54FE8554" w14:textId="77777777" w:rsidR="009C751B" w:rsidRPr="00697B94" w:rsidRDefault="009C751B" w:rsidP="009C751B">
      <w:pPr>
        <w:pStyle w:val="Body"/>
        <w:rPr>
          <w:rFonts w:ascii="Arial" w:hAnsi="Arial" w:cs="Arial"/>
        </w:rPr>
      </w:pPr>
      <w:r w:rsidRPr="00697B94">
        <w:rPr>
          <w:rFonts w:ascii="Arial" w:hAnsi="Arial" w:cs="Arial"/>
        </w:rPr>
        <w:t>Düzgün R. (2008), “Foreign direct investment and domestic investments between cointegration relationship: in Turkey”, Eskişehir Osmangazi University Journal of Social Sciences, Vol. 9, No. 1, pp. 187-204.</w:t>
      </w:r>
    </w:p>
    <w:p w14:paraId="434DD6C9" w14:textId="77777777" w:rsidR="009C751B" w:rsidRPr="00697B94" w:rsidRDefault="009C751B" w:rsidP="009C751B">
      <w:pPr>
        <w:pStyle w:val="Body"/>
        <w:rPr>
          <w:rFonts w:ascii="Arial" w:hAnsi="Arial" w:cs="Arial"/>
        </w:rPr>
      </w:pPr>
      <w:r w:rsidRPr="00697B94">
        <w:rPr>
          <w:rFonts w:ascii="Arial" w:hAnsi="Arial" w:cs="Arial"/>
        </w:rPr>
        <w:t>Engle R. F. and Granger C. W. (1987), “Co-integration and error correction: representation, estimation, and testing”, Econometrical: Journal of the Econometric Society, Vol. 55, No. 2, pp. 251–276.</w:t>
      </w:r>
    </w:p>
    <w:p w14:paraId="1C35ACBF" w14:textId="77777777" w:rsidR="009C751B" w:rsidRPr="00697B94" w:rsidRDefault="009C751B" w:rsidP="009C751B">
      <w:pPr>
        <w:pStyle w:val="Body"/>
        <w:rPr>
          <w:rFonts w:ascii="Arial" w:hAnsi="Arial" w:cs="Arial"/>
        </w:rPr>
      </w:pPr>
      <w:r w:rsidRPr="00697B94">
        <w:rPr>
          <w:rFonts w:ascii="Arial" w:hAnsi="Arial" w:cs="Arial"/>
        </w:rPr>
        <w:t>Eregha P. B. (2012), “The dynamic linkages between foreign direct investment and domestic investment in ECOWAS countries: A panel cointegration analysis”, African Development Review, Vol. 24, No. 3, pp. 208-220.</w:t>
      </w:r>
    </w:p>
    <w:p w14:paraId="5230D90D" w14:textId="77777777" w:rsidR="009C751B" w:rsidRPr="00697B94" w:rsidRDefault="009C751B" w:rsidP="009C751B">
      <w:pPr>
        <w:pStyle w:val="Body"/>
        <w:rPr>
          <w:rFonts w:ascii="Arial" w:hAnsi="Arial" w:cs="Arial"/>
        </w:rPr>
      </w:pPr>
      <w:r w:rsidRPr="00697B94">
        <w:rPr>
          <w:rFonts w:ascii="Arial" w:hAnsi="Arial" w:cs="Arial"/>
        </w:rPr>
        <w:t>Filiz Ö., Murat A. T. A. N., and Semiha K. A. Y. A. (2004), “The impact of foreign direct investment on total investments”, Economic Approach, Vol. 15, No. 51, pp. 65-71.</w:t>
      </w:r>
    </w:p>
    <w:p w14:paraId="3703B45F" w14:textId="77777777" w:rsidR="009C751B" w:rsidRPr="00697B94" w:rsidRDefault="009C751B" w:rsidP="009C751B">
      <w:pPr>
        <w:pStyle w:val="Body"/>
        <w:rPr>
          <w:rFonts w:ascii="Arial" w:hAnsi="Arial" w:cs="Arial"/>
        </w:rPr>
      </w:pPr>
      <w:r w:rsidRPr="00697B94">
        <w:rPr>
          <w:rFonts w:ascii="Arial" w:hAnsi="Arial" w:cs="Arial"/>
        </w:rPr>
        <w:t>Granger C. W. (1969), “Investigating causal relations by econometric models and cross-spectral methods” Econometrics: journal of the Econometric Society, Vol. 37, No. 3, pp. 424-438.</w:t>
      </w:r>
    </w:p>
    <w:p w14:paraId="242B6287" w14:textId="77777777" w:rsidR="009C751B" w:rsidRPr="00697B94" w:rsidRDefault="009C751B" w:rsidP="009C751B">
      <w:pPr>
        <w:pStyle w:val="Body"/>
        <w:rPr>
          <w:rFonts w:ascii="Arial" w:hAnsi="Arial" w:cs="Arial"/>
        </w:rPr>
      </w:pPr>
      <w:r w:rsidRPr="00697B94">
        <w:rPr>
          <w:rFonts w:ascii="Arial" w:hAnsi="Arial" w:cs="Arial"/>
        </w:rPr>
        <w:t>Haug A. A. (2002), “Temporal aggregation and the power of cointegration tests: A Monte Carlo study”, Oxford Bulletin of Economics and Statistics, Vol. 64, No. 4, pp. 399-412.</w:t>
      </w:r>
    </w:p>
    <w:p w14:paraId="2F6F897E" w14:textId="77777777" w:rsidR="009C751B" w:rsidRPr="00697B94" w:rsidRDefault="009C751B" w:rsidP="009C751B">
      <w:pPr>
        <w:pStyle w:val="Body"/>
        <w:rPr>
          <w:rFonts w:ascii="Arial" w:hAnsi="Arial" w:cs="Arial"/>
        </w:rPr>
      </w:pPr>
      <w:r w:rsidRPr="00697B94">
        <w:rPr>
          <w:rFonts w:ascii="Arial" w:hAnsi="Arial" w:cs="Arial"/>
        </w:rPr>
        <w:t>Huang Y. (2003), “Selling China: Foreign direct investment during the reform era”, Cambridge University Press.</w:t>
      </w:r>
    </w:p>
    <w:p w14:paraId="64FA864E" w14:textId="77777777" w:rsidR="009C751B" w:rsidRPr="00697B94" w:rsidRDefault="009C751B" w:rsidP="009C751B">
      <w:pPr>
        <w:pStyle w:val="Body"/>
        <w:rPr>
          <w:rFonts w:ascii="Arial" w:hAnsi="Arial" w:cs="Arial"/>
        </w:rPr>
      </w:pPr>
      <w:r w:rsidRPr="00697B94">
        <w:rPr>
          <w:rFonts w:ascii="Arial" w:hAnsi="Arial" w:cs="Arial"/>
        </w:rPr>
        <w:t>Hymer S. H. (1960), “The international operations of national firms, a study of direct foreign investment”, Doctoral dissertation, Massachusetts Institute of Technology.</w:t>
      </w:r>
    </w:p>
    <w:p w14:paraId="79FF4EE0" w14:textId="77777777" w:rsidR="009C751B" w:rsidRPr="00697B94" w:rsidRDefault="009C751B" w:rsidP="009C751B">
      <w:pPr>
        <w:pStyle w:val="Body"/>
        <w:rPr>
          <w:rFonts w:ascii="Arial" w:hAnsi="Arial" w:cs="Arial"/>
        </w:rPr>
      </w:pPr>
      <w:r w:rsidRPr="00697B94">
        <w:rPr>
          <w:rFonts w:ascii="Arial" w:hAnsi="Arial" w:cs="Arial"/>
        </w:rPr>
        <w:t>Ipek E. and Ayvaz Kizilgol O. (2015), “The contribution of FDI flows to domestic investment: An econometric analysis of developing countries”, Journal of Management &amp; Economics, Vol. 22, No. 2, pp. 401-413.</w:t>
      </w:r>
    </w:p>
    <w:p w14:paraId="5281E0D5" w14:textId="77777777" w:rsidR="009C751B" w:rsidRPr="00697B94" w:rsidRDefault="009C751B" w:rsidP="009C751B">
      <w:pPr>
        <w:pStyle w:val="Body"/>
        <w:rPr>
          <w:rFonts w:ascii="Arial" w:hAnsi="Arial" w:cs="Arial"/>
        </w:rPr>
      </w:pPr>
      <w:r w:rsidRPr="00697B94">
        <w:rPr>
          <w:rFonts w:ascii="Arial" w:hAnsi="Arial" w:cs="Arial"/>
        </w:rPr>
        <w:t>Johansen S. and Juselius K. (1990), “Maximum likelihood estimation and inference on cointegration—with applications to the demand for money”, Oxford Bulletin of Economics and statistics, Vol. 52, No. 2, pp. 169-210.</w:t>
      </w:r>
    </w:p>
    <w:p w14:paraId="5B9B3626" w14:textId="77777777" w:rsidR="009C751B" w:rsidRPr="00697B94" w:rsidRDefault="009C751B" w:rsidP="009C751B">
      <w:pPr>
        <w:pStyle w:val="Body"/>
        <w:rPr>
          <w:rFonts w:ascii="Arial" w:hAnsi="Arial" w:cs="Arial"/>
        </w:rPr>
      </w:pPr>
      <w:r w:rsidRPr="00697B94">
        <w:rPr>
          <w:rFonts w:ascii="Arial" w:hAnsi="Arial" w:cs="Arial"/>
        </w:rPr>
        <w:lastRenderedPageBreak/>
        <w:t>Johansen S. (1988), “Statistical analysis of cointegration vectors”, Journal of economic dynamics and control, Vol. 12, No. 2-3, pp. 231-254.</w:t>
      </w:r>
    </w:p>
    <w:p w14:paraId="6C7949C9" w14:textId="77777777" w:rsidR="009C751B" w:rsidRPr="00697B94" w:rsidRDefault="009C751B" w:rsidP="009C751B">
      <w:pPr>
        <w:pStyle w:val="Body"/>
        <w:rPr>
          <w:rFonts w:ascii="Arial" w:hAnsi="Arial" w:cs="Arial"/>
        </w:rPr>
      </w:pPr>
      <w:r w:rsidRPr="00697B94">
        <w:rPr>
          <w:rFonts w:ascii="Arial" w:hAnsi="Arial" w:cs="Arial"/>
        </w:rPr>
        <w:t>Kim D. D. K. and Seo J. S. (2003), “Does FDI inflow crowd out domestic investment in Korea?”, Journal of economic studies, Vol. 15, No. 8, pp. 110-140.</w:t>
      </w:r>
    </w:p>
    <w:p w14:paraId="04109923" w14:textId="77777777" w:rsidR="009C751B" w:rsidRPr="00697B94" w:rsidRDefault="009C751B" w:rsidP="009C751B">
      <w:pPr>
        <w:pStyle w:val="Body"/>
        <w:rPr>
          <w:rFonts w:ascii="Arial" w:hAnsi="Arial" w:cs="Arial"/>
        </w:rPr>
      </w:pPr>
      <w:r w:rsidRPr="00697B94">
        <w:rPr>
          <w:rFonts w:ascii="Arial" w:hAnsi="Arial" w:cs="Arial"/>
        </w:rPr>
        <w:t>Liu X., Burridge P. and Sinclair P. J. (2002), “Relationships between economic growth, foreign direct investment and trade: Evidence from China”, Applied economics, Vol. 34, No. 11, pp. 1433-1440.</w:t>
      </w:r>
    </w:p>
    <w:p w14:paraId="0BCF8399" w14:textId="77777777" w:rsidR="009C751B" w:rsidRPr="00697B94" w:rsidRDefault="009C751B" w:rsidP="009C751B">
      <w:pPr>
        <w:pStyle w:val="Body"/>
        <w:rPr>
          <w:rFonts w:ascii="Arial" w:hAnsi="Arial" w:cs="Arial"/>
        </w:rPr>
      </w:pPr>
      <w:r w:rsidRPr="00697B94">
        <w:rPr>
          <w:rFonts w:ascii="Arial" w:hAnsi="Arial" w:cs="Arial"/>
        </w:rPr>
        <w:t>Mahmood H. and Chaudhary A. R. (2012), “Foreign direct investment-domestic investment nexus in Pakistan” Middle-East Journal of Scientific Research, Vol. 11. No. 11, pp. 1500-1507.</w:t>
      </w:r>
    </w:p>
    <w:p w14:paraId="32F83AAE" w14:textId="77777777" w:rsidR="009C751B" w:rsidRPr="00697B94" w:rsidRDefault="009C751B" w:rsidP="009C751B">
      <w:pPr>
        <w:pStyle w:val="Body"/>
        <w:rPr>
          <w:rFonts w:ascii="Arial" w:hAnsi="Arial" w:cs="Arial"/>
        </w:rPr>
      </w:pPr>
      <w:r w:rsidRPr="00697B94">
        <w:rPr>
          <w:rFonts w:ascii="Arial" w:hAnsi="Arial" w:cs="Arial"/>
        </w:rPr>
        <w:t>Makoni P. L. (2015), “An extensive exploration of theories of foreign direct investment”, Risk Governance &amp; Control: Financial markets and institutions, Vol. 5, No. 2, pp.77-83.</w:t>
      </w:r>
    </w:p>
    <w:p w14:paraId="77F00497" w14:textId="77777777" w:rsidR="009C751B" w:rsidRPr="00697B94" w:rsidRDefault="009C751B" w:rsidP="009C751B">
      <w:pPr>
        <w:pStyle w:val="Body"/>
        <w:rPr>
          <w:rFonts w:ascii="Arial" w:hAnsi="Arial" w:cs="Arial"/>
        </w:rPr>
      </w:pPr>
      <w:r w:rsidRPr="00697B94">
        <w:rPr>
          <w:rFonts w:ascii="Arial" w:hAnsi="Arial" w:cs="Arial"/>
        </w:rPr>
        <w:t>Mayanja J. B. (2012), “Determinants of domestic private investment in Sub-Saharan African (SSA) countries: the role of foreign direct investment”.</w:t>
      </w:r>
    </w:p>
    <w:p w14:paraId="4DED1DD3" w14:textId="77777777" w:rsidR="009C751B" w:rsidRPr="00697B94" w:rsidRDefault="009C751B" w:rsidP="009C751B">
      <w:pPr>
        <w:pStyle w:val="Body"/>
        <w:rPr>
          <w:rFonts w:ascii="Arial" w:hAnsi="Arial" w:cs="Arial"/>
        </w:rPr>
      </w:pPr>
      <w:r w:rsidRPr="00697B94">
        <w:rPr>
          <w:rFonts w:ascii="Arial" w:hAnsi="Arial" w:cs="Arial"/>
        </w:rPr>
        <w:t>Markusen J. R. and Venables A. J. (1999), “Foreign direct investment as a catalyst for industrial development”, European economic review, Vol. 43, No. 2, pp. 335-356.</w:t>
      </w:r>
    </w:p>
    <w:p w14:paraId="1C9E02FE" w14:textId="77777777" w:rsidR="009C751B" w:rsidRPr="00697B94" w:rsidRDefault="009C751B" w:rsidP="009C751B">
      <w:pPr>
        <w:pStyle w:val="Body"/>
        <w:rPr>
          <w:rFonts w:ascii="Arial" w:hAnsi="Arial" w:cs="Arial"/>
        </w:rPr>
      </w:pPr>
      <w:r w:rsidRPr="00697B94">
        <w:rPr>
          <w:rFonts w:ascii="Arial" w:hAnsi="Arial" w:cs="Arial"/>
        </w:rPr>
        <w:t>Mišun J. and Tomšík V. (2002), “Foreign direct investment in Central Europe-does it crowd in domestic investment?” Prague Economic Papers, Vol. 11, No. 1, pp. 57-66.</w:t>
      </w:r>
    </w:p>
    <w:p w14:paraId="74E58DDB" w14:textId="77777777" w:rsidR="009C751B" w:rsidRPr="00697B94" w:rsidRDefault="009C751B" w:rsidP="009C751B">
      <w:pPr>
        <w:pStyle w:val="Body"/>
        <w:rPr>
          <w:rFonts w:ascii="Arial" w:hAnsi="Arial" w:cs="Arial"/>
        </w:rPr>
      </w:pPr>
      <w:r w:rsidRPr="00697B94">
        <w:rPr>
          <w:rFonts w:ascii="Arial" w:hAnsi="Arial" w:cs="Arial"/>
        </w:rPr>
        <w:t>Moosa I. A. (2002), “Foreign Direct Investment: Theory, Evidence and Practice”, Palgrave: London.</w:t>
      </w:r>
    </w:p>
    <w:p w14:paraId="2580049E" w14:textId="77777777" w:rsidR="009C751B" w:rsidRPr="00697B94" w:rsidRDefault="009C751B" w:rsidP="009C751B">
      <w:pPr>
        <w:pStyle w:val="Body"/>
        <w:rPr>
          <w:rFonts w:ascii="Arial" w:hAnsi="Arial" w:cs="Arial"/>
        </w:rPr>
      </w:pPr>
      <w:r w:rsidRPr="00697B94">
        <w:rPr>
          <w:rFonts w:ascii="Arial" w:hAnsi="Arial" w:cs="Arial"/>
        </w:rPr>
        <w:t>Mugenda O. M. and Mugenda A. G. (2003), “Research Methods: Qualitative and Quantitative Techniques”, Africa Centre for Technology Studies, Nairobi, Kenya.</w:t>
      </w:r>
    </w:p>
    <w:p w14:paraId="3B3DF731" w14:textId="77777777" w:rsidR="009C751B" w:rsidRPr="00697B94" w:rsidRDefault="009C751B" w:rsidP="009C751B">
      <w:pPr>
        <w:pStyle w:val="Body"/>
        <w:rPr>
          <w:rFonts w:ascii="Arial" w:hAnsi="Arial" w:cs="Arial"/>
        </w:rPr>
      </w:pPr>
      <w:r w:rsidRPr="00697B94">
        <w:rPr>
          <w:rFonts w:ascii="Arial" w:hAnsi="Arial" w:cs="Arial"/>
        </w:rPr>
        <w:t>Mutenyo J. and Asmah E. (2010). “Does foreign direct investment crowd-out domestic private investment in Sub-Saharan Africa?”, African Finance Journal, Vol. 12, No. 1, pp. 27-52.</w:t>
      </w:r>
    </w:p>
    <w:p w14:paraId="5340EBD1" w14:textId="77777777" w:rsidR="009C751B" w:rsidRPr="00697B94" w:rsidRDefault="009C751B" w:rsidP="009C751B">
      <w:pPr>
        <w:pStyle w:val="Body"/>
        <w:rPr>
          <w:rFonts w:ascii="Arial" w:hAnsi="Arial" w:cs="Arial"/>
        </w:rPr>
      </w:pPr>
      <w:r w:rsidRPr="00697B94">
        <w:rPr>
          <w:rFonts w:ascii="Arial" w:hAnsi="Arial" w:cs="Arial"/>
        </w:rPr>
        <w:t xml:space="preserve">Nayak D. and Choudhury R.N. (2014), “A selective review of foreign direct investment theories”, ARTNeT Working Paper Series, No. 143. </w:t>
      </w:r>
    </w:p>
    <w:p w14:paraId="7CA382AB" w14:textId="77777777" w:rsidR="009C751B" w:rsidRPr="00697B94" w:rsidRDefault="009C751B" w:rsidP="009C751B">
      <w:pPr>
        <w:pStyle w:val="Body"/>
        <w:rPr>
          <w:rFonts w:ascii="Arial" w:hAnsi="Arial" w:cs="Arial"/>
        </w:rPr>
      </w:pPr>
      <w:r w:rsidRPr="00697B94">
        <w:rPr>
          <w:rFonts w:ascii="Arial" w:hAnsi="Arial" w:cs="Arial"/>
        </w:rPr>
        <w:t>Ndikumana L. and Verick S. (2007), “The linkages between FDI and domestic investment: Unravelling the developmental impact of foreign investment in Sub</w:t>
      </w:r>
      <w:r w:rsidRPr="00697B94">
        <w:rPr>
          <w:rFonts w:ascii="Cambria Math" w:hAnsi="Cambria Math" w:cs="Cambria Math"/>
        </w:rPr>
        <w:t>‐</w:t>
      </w:r>
      <w:r w:rsidRPr="00697B94">
        <w:rPr>
          <w:rFonts w:ascii="Arial" w:hAnsi="Arial" w:cs="Arial"/>
        </w:rPr>
        <w:t>Saharan Africa”, Development Policy Review, Vol. 26, No. 6, pp.713-726.</w:t>
      </w:r>
    </w:p>
    <w:p w14:paraId="27D8E0D8" w14:textId="77777777" w:rsidR="009C751B" w:rsidRPr="00697B94" w:rsidRDefault="009C751B" w:rsidP="009C751B">
      <w:pPr>
        <w:pStyle w:val="Body"/>
        <w:rPr>
          <w:rFonts w:ascii="Arial" w:hAnsi="Arial" w:cs="Arial"/>
        </w:rPr>
      </w:pPr>
      <w:r w:rsidRPr="00697B94">
        <w:rPr>
          <w:rFonts w:ascii="Arial" w:hAnsi="Arial" w:cs="Arial"/>
        </w:rPr>
        <w:t>Noorzoy M. S. (1979), “Flows of direct investment and their effects on investment in Canada”, Economics Letters, Vol. 2, No. 3, pp. 257-261.</w:t>
      </w:r>
    </w:p>
    <w:p w14:paraId="463688B9" w14:textId="77777777" w:rsidR="009C751B" w:rsidRPr="00697B94" w:rsidRDefault="009C751B" w:rsidP="009C751B">
      <w:pPr>
        <w:pStyle w:val="Body"/>
        <w:rPr>
          <w:rFonts w:ascii="Arial" w:hAnsi="Arial" w:cs="Arial"/>
        </w:rPr>
      </w:pPr>
      <w:r w:rsidRPr="00697B94">
        <w:rPr>
          <w:rFonts w:ascii="Arial" w:hAnsi="Arial" w:cs="Arial"/>
        </w:rPr>
        <w:t>Nwanna G. I. (1986), “The Impact of Foreign Direct Investment on Domestic Capital Formation in a Developing Country: Nigeria”, Savings and Development, Vol. 10, No. 3, pp. 265-278.</w:t>
      </w:r>
    </w:p>
    <w:p w14:paraId="3527FB46" w14:textId="77777777" w:rsidR="009C751B" w:rsidRPr="00697B94" w:rsidRDefault="009C751B" w:rsidP="009C751B">
      <w:pPr>
        <w:pStyle w:val="Body"/>
        <w:rPr>
          <w:rFonts w:ascii="Arial" w:hAnsi="Arial" w:cs="Arial"/>
        </w:rPr>
      </w:pPr>
      <w:r w:rsidRPr="00697B94">
        <w:rPr>
          <w:rFonts w:ascii="Arial" w:hAnsi="Arial" w:cs="Arial"/>
        </w:rPr>
        <w:t>Osei C. (2014), “UK foreign direct investment in Ghana: determinants and implications”, Doctoral dissertation, Edinburgh Napier University.</w:t>
      </w:r>
    </w:p>
    <w:p w14:paraId="59DF6CA4" w14:textId="77777777" w:rsidR="009C751B" w:rsidRPr="00697B94" w:rsidRDefault="009C751B" w:rsidP="009C751B">
      <w:pPr>
        <w:pStyle w:val="Body"/>
        <w:rPr>
          <w:rFonts w:ascii="Arial" w:hAnsi="Arial" w:cs="Arial"/>
        </w:rPr>
      </w:pPr>
      <w:r w:rsidRPr="00697B94">
        <w:rPr>
          <w:rFonts w:ascii="Arial" w:hAnsi="Arial" w:cs="Arial"/>
        </w:rPr>
        <w:t>Owusu-Antwi G., Antwi J., and Poku P. K. (2013), “Foreign direct investment: a journey to economic growth in Ghana-empirical evidence”, International Business and Economics Research Journal (IBER), Vol. 12, No. (5), pp. 573-584.</w:t>
      </w:r>
    </w:p>
    <w:p w14:paraId="6B57C2F7" w14:textId="77777777" w:rsidR="009C751B" w:rsidRPr="00697B94" w:rsidRDefault="009C751B" w:rsidP="009C751B">
      <w:pPr>
        <w:pStyle w:val="Body"/>
        <w:rPr>
          <w:rFonts w:ascii="Arial" w:hAnsi="Arial" w:cs="Arial"/>
        </w:rPr>
      </w:pPr>
      <w:r w:rsidRPr="00697B94">
        <w:rPr>
          <w:rFonts w:ascii="Arial" w:hAnsi="Arial" w:cs="Arial"/>
        </w:rPr>
        <w:lastRenderedPageBreak/>
        <w:t>Pesaran M. H. and Pesaran B. (1997), “Working with Micro fit 4.0: interactive econometric analysis”, Windows version, Oxford University Press.</w:t>
      </w:r>
    </w:p>
    <w:p w14:paraId="20DF7372" w14:textId="77777777" w:rsidR="009C751B" w:rsidRPr="00697B94" w:rsidRDefault="009C751B" w:rsidP="009C751B">
      <w:pPr>
        <w:pStyle w:val="Body"/>
        <w:rPr>
          <w:rFonts w:ascii="Arial" w:hAnsi="Arial" w:cs="Arial"/>
        </w:rPr>
      </w:pPr>
      <w:r w:rsidRPr="00697B94">
        <w:rPr>
          <w:rFonts w:ascii="Arial" w:hAnsi="Arial" w:cs="Arial"/>
        </w:rPr>
        <w:t>Pesaran M. H. and Shin Y. (1998), “An autoregressive distributed-lag modelling approach to cointegration analysis”, Econometric Society Monographs, No. 31, pp. 371-413.</w:t>
      </w:r>
    </w:p>
    <w:p w14:paraId="375C9DAD" w14:textId="77777777" w:rsidR="009C751B" w:rsidRPr="00697B94" w:rsidRDefault="009C751B" w:rsidP="009C751B">
      <w:pPr>
        <w:pStyle w:val="Body"/>
        <w:rPr>
          <w:rFonts w:ascii="Arial" w:hAnsi="Arial" w:cs="Arial"/>
        </w:rPr>
      </w:pPr>
      <w:r w:rsidRPr="00697B94">
        <w:rPr>
          <w:rFonts w:ascii="Arial" w:hAnsi="Arial" w:cs="Arial"/>
        </w:rPr>
        <w:t>Pesaran M. H., Shin Y. and Smith R. J. (2001), “Bounds testing approaches to the analysis of level relationships”, Journal of applied econometrics, Vol. 16, No. 3, pp. 289-326.</w:t>
      </w:r>
    </w:p>
    <w:p w14:paraId="7719D7B3" w14:textId="77777777" w:rsidR="009C751B" w:rsidRPr="00697B94" w:rsidRDefault="009C751B" w:rsidP="009C751B">
      <w:pPr>
        <w:pStyle w:val="Body"/>
        <w:rPr>
          <w:rFonts w:ascii="Arial" w:hAnsi="Arial" w:cs="Arial"/>
        </w:rPr>
      </w:pPr>
      <w:r w:rsidRPr="00697B94">
        <w:rPr>
          <w:rFonts w:ascii="Arial" w:hAnsi="Arial" w:cs="Arial"/>
        </w:rPr>
        <w:t>Phillips P. C. and Perron P. (1988), “Testing for a unit root in time series regression”, Biometrika, Vol. 75, No. 2, pp. 335-346.</w:t>
      </w:r>
    </w:p>
    <w:p w14:paraId="3574F6C6" w14:textId="77777777" w:rsidR="009C751B" w:rsidRDefault="009C751B" w:rsidP="009C751B">
      <w:pPr>
        <w:pStyle w:val="Body"/>
        <w:rPr>
          <w:rFonts w:ascii="Arial" w:hAnsi="Arial" w:cs="Arial"/>
        </w:rPr>
      </w:pPr>
      <w:r w:rsidRPr="00697B94">
        <w:rPr>
          <w:rFonts w:ascii="Arial" w:hAnsi="Arial" w:cs="Arial"/>
        </w:rPr>
        <w:t>Popovici O. C. and Călin A. C. (2014), “FDI theories. A location-based approach”, Romanian Economic Journal, Vol. 17, No. 53, pp. 3-24.</w:t>
      </w:r>
    </w:p>
    <w:p w14:paraId="6287A074" w14:textId="64758923" w:rsidR="00961469" w:rsidRPr="00697B94" w:rsidRDefault="00961469" w:rsidP="009C751B">
      <w:pPr>
        <w:pStyle w:val="Body"/>
        <w:rPr>
          <w:rFonts w:ascii="Arial" w:hAnsi="Arial" w:cs="Arial"/>
        </w:rPr>
      </w:pPr>
      <w:r w:rsidRPr="00961469">
        <w:rPr>
          <w:rFonts w:ascii="Arial" w:hAnsi="Arial" w:cs="Arial"/>
          <w:highlight w:val="yellow"/>
        </w:rPr>
        <w:t>Sahoo, P., 2006. Foreign direct investment in South Asia: Policy, trends, impact and determinants (No. 56). ADBI Discussion Paper.</w:t>
      </w:r>
    </w:p>
    <w:p w14:paraId="632BD06F" w14:textId="77777777" w:rsidR="009C751B" w:rsidRPr="00697B94" w:rsidRDefault="009C751B" w:rsidP="009C751B">
      <w:pPr>
        <w:pStyle w:val="Body"/>
        <w:rPr>
          <w:rFonts w:ascii="Arial" w:hAnsi="Arial" w:cs="Arial"/>
        </w:rPr>
      </w:pPr>
      <w:r w:rsidRPr="00697B94">
        <w:rPr>
          <w:rFonts w:ascii="Arial" w:hAnsi="Arial" w:cs="Arial"/>
        </w:rPr>
        <w:t>Shan J. (2002), “A VAR approach to the economics of FDI in China”, Applied economics, Vol. 34, No. 7, pp. 885-893.</w:t>
      </w:r>
    </w:p>
    <w:p w14:paraId="22E82F9B" w14:textId="77777777" w:rsidR="009C751B" w:rsidRPr="00697B94" w:rsidRDefault="009C751B" w:rsidP="009C751B">
      <w:pPr>
        <w:pStyle w:val="Body"/>
        <w:rPr>
          <w:rFonts w:ascii="Arial" w:hAnsi="Arial" w:cs="Arial"/>
        </w:rPr>
      </w:pPr>
      <w:r w:rsidRPr="00697B94">
        <w:rPr>
          <w:rFonts w:ascii="Arial" w:hAnsi="Arial" w:cs="Arial"/>
        </w:rPr>
        <w:t>Shim J. K. and Siegel J. G. (1995), “Dictionary of economics”, Wiley.</w:t>
      </w:r>
    </w:p>
    <w:p w14:paraId="40771BC2" w14:textId="77777777" w:rsidR="009C751B" w:rsidRPr="00697B94" w:rsidRDefault="009C751B" w:rsidP="009C751B">
      <w:pPr>
        <w:pStyle w:val="Body"/>
        <w:rPr>
          <w:rFonts w:ascii="Arial" w:hAnsi="Arial" w:cs="Arial"/>
        </w:rPr>
      </w:pPr>
      <w:r w:rsidRPr="00697B94">
        <w:rPr>
          <w:rFonts w:ascii="Arial" w:hAnsi="Arial" w:cs="Arial"/>
        </w:rPr>
        <w:t>Şimşek M. and Behdioğlu S. (2006), “Influence on economic growth of direct foreign investments in Turkey: A Study of Applied”, Atatürk University Journal of Economic and Administrative Sciences, Vol. 20, No. 2, pp. 47-65.</w:t>
      </w:r>
    </w:p>
    <w:p w14:paraId="3470C223" w14:textId="77777777" w:rsidR="009C751B" w:rsidRPr="00697B94" w:rsidRDefault="009C751B" w:rsidP="009C751B">
      <w:pPr>
        <w:pStyle w:val="Body"/>
        <w:rPr>
          <w:rFonts w:ascii="Arial" w:hAnsi="Arial" w:cs="Arial"/>
        </w:rPr>
      </w:pPr>
      <w:r w:rsidRPr="00697B94">
        <w:rPr>
          <w:rFonts w:ascii="Arial" w:hAnsi="Arial" w:cs="Arial"/>
        </w:rPr>
        <w:t>Stock J. H. and Watson M. W. (1988), “Testing for common trends”, Journal of the American statistical Association, Vol. 83, No. 404, pp. 1097-1107.</w:t>
      </w:r>
    </w:p>
    <w:p w14:paraId="64D47854" w14:textId="77777777" w:rsidR="009C751B" w:rsidRPr="00697B94" w:rsidRDefault="009C751B" w:rsidP="009C751B">
      <w:pPr>
        <w:pStyle w:val="Body"/>
        <w:rPr>
          <w:rFonts w:ascii="Arial" w:hAnsi="Arial" w:cs="Arial"/>
        </w:rPr>
      </w:pPr>
      <w:r w:rsidRPr="00697B94">
        <w:rPr>
          <w:rFonts w:ascii="Arial" w:hAnsi="Arial" w:cs="Arial"/>
        </w:rPr>
        <w:t>Sun Q., Tong W. and Yu Q. (2002), “Determinants of foreign direct investment across China”, Journal of international money and finance, Vol. 21, No. 1, pp. 79-113.</w:t>
      </w:r>
    </w:p>
    <w:p w14:paraId="46191086" w14:textId="77777777" w:rsidR="009C751B" w:rsidRPr="00697B94" w:rsidRDefault="009C751B" w:rsidP="009C751B">
      <w:pPr>
        <w:pStyle w:val="Body"/>
        <w:rPr>
          <w:rFonts w:ascii="Arial" w:hAnsi="Arial" w:cs="Arial"/>
        </w:rPr>
      </w:pPr>
      <w:r w:rsidRPr="00697B94">
        <w:rPr>
          <w:rFonts w:ascii="Arial" w:hAnsi="Arial" w:cs="Arial"/>
        </w:rPr>
        <w:t>Szkorupová Z. (2015), “Relationship between Foreign direct investment and domestic investment in selected countries of central and Eastern Europe”, Procedia Economics and Finance, No. 23, pp. 1017-1022.</w:t>
      </w:r>
    </w:p>
    <w:p w14:paraId="4A9BAEA2" w14:textId="77777777" w:rsidR="009C751B" w:rsidRDefault="009C751B" w:rsidP="009C751B">
      <w:pPr>
        <w:pStyle w:val="Body"/>
        <w:rPr>
          <w:rFonts w:ascii="Arial" w:hAnsi="Arial" w:cs="Arial"/>
        </w:rPr>
      </w:pPr>
      <w:r w:rsidRPr="00697B94">
        <w:rPr>
          <w:rFonts w:ascii="Arial" w:hAnsi="Arial" w:cs="Arial"/>
        </w:rPr>
        <w:t>Tang C. S. (2006), “Perspectives in supply chain risk management”, International journal of production economics, Vol. 103, No. 2, pp. 451-488.</w:t>
      </w:r>
    </w:p>
    <w:p w14:paraId="17E413D4" w14:textId="57033D8E" w:rsidR="00961469" w:rsidRDefault="00961469" w:rsidP="00961469">
      <w:r w:rsidRPr="00697B94">
        <w:rPr>
          <w:highlight w:val="yellow"/>
        </w:rPr>
        <w:t>Tang, S., Selvanathan, E. A., &amp; Selvanathan, S. (2008). Foreign direct investment, domestic investment and economic growth in China: A time series analysis. World Economy, 31(10), 1292-1309.</w:t>
      </w:r>
    </w:p>
    <w:p w14:paraId="7493D977" w14:textId="77777777" w:rsidR="00961469" w:rsidRPr="00961469" w:rsidRDefault="00961469" w:rsidP="00961469"/>
    <w:p w14:paraId="51876168" w14:textId="77777777" w:rsidR="009C751B" w:rsidRPr="00697B94" w:rsidRDefault="009C751B" w:rsidP="009C751B">
      <w:pPr>
        <w:pStyle w:val="Body"/>
        <w:rPr>
          <w:rFonts w:ascii="Arial" w:hAnsi="Arial" w:cs="Arial"/>
        </w:rPr>
      </w:pPr>
      <w:r w:rsidRPr="00697B94">
        <w:rPr>
          <w:rFonts w:ascii="Arial" w:hAnsi="Arial" w:cs="Arial"/>
        </w:rPr>
        <w:t>Titarenko D. (2005), “The Influence of Foreign Direct Investment on Domestic Investment Processes in Latvia”, MPRA, No. 1819, pp. 1-9,</w:t>
      </w:r>
    </w:p>
    <w:p w14:paraId="51B0A37A" w14:textId="77777777" w:rsidR="009C751B" w:rsidRPr="00697B94" w:rsidRDefault="009C751B" w:rsidP="009C751B">
      <w:pPr>
        <w:pStyle w:val="Body"/>
        <w:rPr>
          <w:rFonts w:ascii="Arial" w:hAnsi="Arial" w:cs="Arial"/>
        </w:rPr>
      </w:pPr>
      <w:r w:rsidRPr="00697B94">
        <w:rPr>
          <w:rFonts w:ascii="Arial" w:hAnsi="Arial" w:cs="Arial"/>
        </w:rPr>
        <w:t>Tsikata G. K., Asante Y. and Gyasi E. M. (2000), “Determinants of foreign direct investment in Ghana”, London: Overseas Development Institute, pp. 70-80.</w:t>
      </w:r>
    </w:p>
    <w:p w14:paraId="007C7137" w14:textId="77777777" w:rsidR="009C751B" w:rsidRPr="00697B94" w:rsidRDefault="009C751B" w:rsidP="009C751B">
      <w:pPr>
        <w:pStyle w:val="Body"/>
        <w:rPr>
          <w:rFonts w:ascii="Arial" w:hAnsi="Arial" w:cs="Arial"/>
        </w:rPr>
      </w:pPr>
      <w:r w:rsidRPr="00697B94">
        <w:rPr>
          <w:rFonts w:ascii="Arial" w:hAnsi="Arial" w:cs="Arial"/>
        </w:rPr>
        <w:t>Vernon R. (1966), “International investments and international trade in the product life cycle”, Quarterly Journal of Economics, Vol. 80, No. 2, pp. 190–207.</w:t>
      </w:r>
    </w:p>
    <w:p w14:paraId="4110020E" w14:textId="77777777" w:rsidR="009C751B" w:rsidRPr="00697B94" w:rsidRDefault="009C751B" w:rsidP="009C751B">
      <w:pPr>
        <w:pStyle w:val="Body"/>
        <w:rPr>
          <w:rFonts w:ascii="Arial" w:hAnsi="Arial" w:cs="Arial"/>
        </w:rPr>
      </w:pPr>
      <w:r w:rsidRPr="00697B94">
        <w:rPr>
          <w:rFonts w:ascii="Arial" w:hAnsi="Arial" w:cs="Arial"/>
        </w:rPr>
        <w:lastRenderedPageBreak/>
        <w:t>Wang M. (2010), “Foreign direct investment and domestic investment in the host country: evidence from panel study”, Applied Economics, Vol. 42, No. 29, pp. 3711-3721.</w:t>
      </w:r>
    </w:p>
    <w:p w14:paraId="1E2B99F9" w14:textId="77777777" w:rsidR="009C751B" w:rsidRPr="00697B94" w:rsidRDefault="009C751B" w:rsidP="009C751B">
      <w:pPr>
        <w:pStyle w:val="Body"/>
        <w:rPr>
          <w:rFonts w:ascii="Arial" w:hAnsi="Arial" w:cs="Arial"/>
        </w:rPr>
      </w:pPr>
      <w:r w:rsidRPr="00697B94">
        <w:rPr>
          <w:rFonts w:ascii="Arial" w:hAnsi="Arial" w:cs="Arial"/>
        </w:rPr>
        <w:t>Yahia Y. E., Liu H., Khan M. A., Shah S. S. H. and Islam M. A. (2018), “The impact of foreign direct investment on domestic investment: Evidence from Sudan”, International Journal of Economics and Financial Issues, Vol. 8, No. 6, pp. 1-10.</w:t>
      </w:r>
    </w:p>
    <w:p w14:paraId="09BE9DF5" w14:textId="77777777" w:rsidR="00441B6F" w:rsidRPr="00697B94" w:rsidRDefault="009C751B" w:rsidP="009C751B">
      <w:pPr>
        <w:pStyle w:val="Body"/>
        <w:spacing w:after="0"/>
        <w:jc w:val="left"/>
        <w:rPr>
          <w:rFonts w:ascii="Arial" w:hAnsi="Arial" w:cs="Arial"/>
        </w:rPr>
      </w:pPr>
      <w:r w:rsidRPr="00697B94">
        <w:rPr>
          <w:rFonts w:ascii="Arial" w:hAnsi="Arial" w:cs="Arial"/>
        </w:rPr>
        <w:t>Zinc L. (2009), “Macroeconomic effects of direct foreign capital flows”, Marmara University Journal of Economic and Administrative Sciences, Vol. 26, No. 1, pp. 117-131.</w:t>
      </w:r>
    </w:p>
    <w:p w14:paraId="70BE71D4" w14:textId="77777777" w:rsidR="009C751B" w:rsidRPr="00697B94" w:rsidRDefault="009C751B" w:rsidP="009C751B">
      <w:pPr>
        <w:pStyle w:val="Body"/>
        <w:spacing w:after="0"/>
        <w:jc w:val="left"/>
        <w:rPr>
          <w:rFonts w:ascii="Arial" w:hAnsi="Arial" w:cs="Arial"/>
        </w:rPr>
      </w:pPr>
    </w:p>
    <w:p w14:paraId="6459EFE6" w14:textId="77777777" w:rsidR="00A53985" w:rsidRPr="00697B94" w:rsidRDefault="00A53985" w:rsidP="00A53985"/>
    <w:p w14:paraId="2A896CFF" w14:textId="77777777" w:rsidR="00A56D36" w:rsidRDefault="00A56D36" w:rsidP="00D876BD">
      <w:pPr>
        <w:pStyle w:val="Body"/>
        <w:spacing w:after="0"/>
        <w:jc w:val="left"/>
        <w:rPr>
          <w:rFonts w:ascii="Arial" w:hAnsi="Arial" w:cs="Arial"/>
        </w:rPr>
      </w:pPr>
    </w:p>
    <w:p w14:paraId="4651D64E" w14:textId="77777777" w:rsidR="00CD3A93" w:rsidRPr="00697B94" w:rsidRDefault="00CD3A93" w:rsidP="00441B6F">
      <w:pPr>
        <w:pStyle w:val="Reference"/>
        <w:numPr>
          <w:ilvl w:val="0"/>
          <w:numId w:val="0"/>
        </w:numPr>
        <w:spacing w:line="240" w:lineRule="auto"/>
        <w:rPr>
          <w:rFonts w:ascii="Arial" w:hAnsi="Arial" w:cs="Arial"/>
        </w:rPr>
      </w:pPr>
    </w:p>
    <w:p w14:paraId="3D6C2453" w14:textId="77777777" w:rsidR="00961469" w:rsidRPr="00697B94" w:rsidRDefault="00961469" w:rsidP="005C4B13"/>
    <w:p w14:paraId="3F8E0925" w14:textId="77777777" w:rsidR="005C4B13" w:rsidRPr="00697B94" w:rsidRDefault="005C4B13" w:rsidP="00441B6F">
      <w:pPr>
        <w:pStyle w:val="Reference"/>
        <w:numPr>
          <w:ilvl w:val="0"/>
          <w:numId w:val="0"/>
        </w:numPr>
        <w:spacing w:line="240" w:lineRule="auto"/>
        <w:rPr>
          <w:rFonts w:ascii="Arial" w:hAnsi="Arial" w:cs="Arial"/>
        </w:rPr>
      </w:pPr>
    </w:p>
    <w:p w14:paraId="4AA308F3" w14:textId="77777777" w:rsidR="00790ADA" w:rsidRPr="00697B94" w:rsidRDefault="00790ADA" w:rsidP="00441B6F">
      <w:pPr>
        <w:pStyle w:val="Body"/>
        <w:spacing w:after="0"/>
        <w:rPr>
          <w:rFonts w:ascii="Arial" w:hAnsi="Arial" w:cs="Arial"/>
        </w:rPr>
      </w:pPr>
    </w:p>
    <w:p w14:paraId="6B9B2752" w14:textId="1F1F8C69" w:rsidR="004D4277" w:rsidRPr="00697B94" w:rsidRDefault="009C751B" w:rsidP="00441B6F">
      <w:pPr>
        <w:pStyle w:val="Appendix"/>
        <w:spacing w:after="0"/>
        <w:jc w:val="both"/>
        <w:rPr>
          <w:rFonts w:ascii="Arial" w:hAnsi="Arial" w:cs="Arial"/>
          <w:b w:val="0"/>
        </w:rPr>
        <w:sectPr w:rsidR="004D4277" w:rsidRPr="00697B94" w:rsidSect="00D602F2">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2016" w:bottom="2016" w:left="2016" w:header="720" w:footer="1123" w:gutter="0"/>
          <w:cols w:space="720"/>
          <w:docGrid w:linePitch="272"/>
        </w:sectPr>
      </w:pPr>
      <w:r w:rsidRPr="00697B94">
        <w:rPr>
          <w:rFonts w:ascii="Arial" w:hAnsi="Arial" w:cs="Arial"/>
        </w:rPr>
        <w:t xml:space="preserve"> </w:t>
      </w:r>
    </w:p>
    <w:p w14:paraId="17FB9639" w14:textId="77777777" w:rsidR="00E91823" w:rsidRDefault="00E91823" w:rsidP="00A81C44">
      <w:pPr>
        <w:rPr>
          <w:b/>
          <w:bCs/>
        </w:rPr>
      </w:pPr>
    </w:p>
    <w:p w14:paraId="16DE5662" w14:textId="77777777" w:rsidR="00E91823" w:rsidRDefault="00E91823" w:rsidP="00A81C44">
      <w:pPr>
        <w:rPr>
          <w:b/>
          <w:bCs/>
        </w:rPr>
      </w:pPr>
    </w:p>
    <w:p w14:paraId="4CFD1D4F" w14:textId="77777777" w:rsidR="00E91823" w:rsidRDefault="00E91823" w:rsidP="00A81C44">
      <w:pPr>
        <w:rPr>
          <w:b/>
          <w:bCs/>
        </w:rPr>
      </w:pPr>
    </w:p>
    <w:p w14:paraId="14CDCD3C" w14:textId="77777777" w:rsidR="00E91823" w:rsidRDefault="00E91823" w:rsidP="00A81C44">
      <w:pPr>
        <w:rPr>
          <w:b/>
          <w:bCs/>
        </w:rPr>
      </w:pPr>
    </w:p>
    <w:p w14:paraId="63DA0957" w14:textId="77777777" w:rsidR="00E91823" w:rsidRDefault="00E91823" w:rsidP="00A81C44">
      <w:pPr>
        <w:rPr>
          <w:b/>
          <w:bCs/>
        </w:rPr>
      </w:pPr>
    </w:p>
    <w:p w14:paraId="642C8B22" w14:textId="77777777" w:rsidR="00E91823" w:rsidRDefault="00E91823" w:rsidP="00A81C44">
      <w:pPr>
        <w:rPr>
          <w:b/>
          <w:bCs/>
        </w:rPr>
      </w:pPr>
    </w:p>
    <w:p w14:paraId="59D52E32" w14:textId="77777777" w:rsidR="00E91823" w:rsidRDefault="00E91823" w:rsidP="00A81C44">
      <w:pPr>
        <w:rPr>
          <w:b/>
          <w:bCs/>
        </w:rPr>
      </w:pPr>
    </w:p>
    <w:p w14:paraId="347EC689" w14:textId="77777777" w:rsidR="00E91823" w:rsidRDefault="00E91823" w:rsidP="00A81C44">
      <w:pPr>
        <w:rPr>
          <w:b/>
          <w:bCs/>
        </w:rPr>
      </w:pPr>
    </w:p>
    <w:p w14:paraId="72FD7561" w14:textId="77777777" w:rsidR="00E91823" w:rsidRDefault="00E91823" w:rsidP="00A81C44">
      <w:pPr>
        <w:rPr>
          <w:b/>
          <w:bCs/>
        </w:rPr>
      </w:pPr>
    </w:p>
    <w:p w14:paraId="39E29052" w14:textId="77777777" w:rsidR="00E91823" w:rsidRDefault="00E91823" w:rsidP="00A81C44">
      <w:pPr>
        <w:rPr>
          <w:b/>
          <w:bCs/>
        </w:rPr>
      </w:pPr>
    </w:p>
    <w:p w14:paraId="5591E5C9" w14:textId="77777777" w:rsidR="00E91823" w:rsidRDefault="00E91823" w:rsidP="00A81C44">
      <w:pPr>
        <w:rPr>
          <w:b/>
          <w:bCs/>
        </w:rPr>
      </w:pPr>
    </w:p>
    <w:p w14:paraId="1F81BD32" w14:textId="77777777" w:rsidR="00E91823" w:rsidRDefault="00E91823" w:rsidP="00A81C44">
      <w:pPr>
        <w:rPr>
          <w:b/>
          <w:bCs/>
        </w:rPr>
      </w:pPr>
    </w:p>
    <w:p w14:paraId="78E29A5A" w14:textId="77777777" w:rsidR="00E91823" w:rsidRDefault="00E91823" w:rsidP="00A81C44">
      <w:pPr>
        <w:rPr>
          <w:b/>
          <w:bCs/>
        </w:rPr>
      </w:pPr>
    </w:p>
    <w:p w14:paraId="7B551C02" w14:textId="77777777" w:rsidR="00E91823" w:rsidRDefault="00E91823" w:rsidP="00A81C44">
      <w:pPr>
        <w:rPr>
          <w:b/>
          <w:bCs/>
        </w:rPr>
      </w:pPr>
    </w:p>
    <w:p w14:paraId="77E5F2F7" w14:textId="77777777" w:rsidR="00E91823" w:rsidRDefault="00E91823" w:rsidP="00A81C44">
      <w:pPr>
        <w:rPr>
          <w:b/>
          <w:bCs/>
        </w:rPr>
      </w:pPr>
    </w:p>
    <w:p w14:paraId="5E225A39" w14:textId="77777777" w:rsidR="00E91823" w:rsidRDefault="00E91823" w:rsidP="00A81C44">
      <w:pPr>
        <w:rPr>
          <w:b/>
          <w:bCs/>
        </w:rPr>
      </w:pPr>
    </w:p>
    <w:p w14:paraId="0B23DF49" w14:textId="77777777" w:rsidR="00E91823" w:rsidRDefault="00E91823" w:rsidP="00A81C44">
      <w:pPr>
        <w:rPr>
          <w:b/>
          <w:bCs/>
        </w:rPr>
      </w:pPr>
    </w:p>
    <w:p w14:paraId="0EBA4DFB" w14:textId="77777777" w:rsidR="00E91823" w:rsidRDefault="00E91823" w:rsidP="00A81C44">
      <w:pPr>
        <w:rPr>
          <w:b/>
          <w:bCs/>
        </w:rPr>
      </w:pPr>
    </w:p>
    <w:p w14:paraId="00674159" w14:textId="77777777" w:rsidR="00E91823" w:rsidRDefault="00E91823" w:rsidP="00A81C44">
      <w:pPr>
        <w:rPr>
          <w:b/>
          <w:bCs/>
        </w:rPr>
      </w:pPr>
    </w:p>
    <w:p w14:paraId="5DE34F67" w14:textId="77777777" w:rsidR="00E91823" w:rsidRDefault="00E91823" w:rsidP="00A81C44">
      <w:pPr>
        <w:rPr>
          <w:b/>
          <w:bCs/>
        </w:rPr>
      </w:pPr>
    </w:p>
    <w:p w14:paraId="240C6686" w14:textId="77777777" w:rsidR="00E91823" w:rsidRDefault="00E91823" w:rsidP="00A81C44">
      <w:pPr>
        <w:rPr>
          <w:b/>
          <w:bCs/>
        </w:rPr>
      </w:pPr>
    </w:p>
    <w:p w14:paraId="7888AC16" w14:textId="77777777" w:rsidR="00961469" w:rsidRDefault="00961469" w:rsidP="00A81C44">
      <w:pPr>
        <w:rPr>
          <w:b/>
          <w:bCs/>
        </w:rPr>
      </w:pPr>
    </w:p>
    <w:p w14:paraId="380C0980" w14:textId="77777777" w:rsidR="00961469" w:rsidRDefault="00961469" w:rsidP="00A81C44">
      <w:pPr>
        <w:rPr>
          <w:b/>
          <w:bCs/>
        </w:rPr>
      </w:pPr>
    </w:p>
    <w:p w14:paraId="50C002E4" w14:textId="77777777" w:rsidR="00961469" w:rsidRDefault="00961469" w:rsidP="00A81C44">
      <w:pPr>
        <w:rPr>
          <w:b/>
          <w:bCs/>
        </w:rPr>
      </w:pPr>
    </w:p>
    <w:p w14:paraId="1CC94F64" w14:textId="77777777" w:rsidR="00961469" w:rsidRDefault="00961469" w:rsidP="00A81C44">
      <w:pPr>
        <w:rPr>
          <w:b/>
          <w:bCs/>
        </w:rPr>
      </w:pPr>
    </w:p>
    <w:p w14:paraId="3AA1C9FE" w14:textId="77777777" w:rsidR="00961469" w:rsidRDefault="00961469" w:rsidP="00A81C44">
      <w:pPr>
        <w:rPr>
          <w:b/>
          <w:bCs/>
        </w:rPr>
      </w:pPr>
    </w:p>
    <w:p w14:paraId="7A341A2C" w14:textId="77777777" w:rsidR="00961469" w:rsidRDefault="00961469" w:rsidP="00A81C44">
      <w:pPr>
        <w:rPr>
          <w:b/>
          <w:bCs/>
        </w:rPr>
      </w:pPr>
    </w:p>
    <w:p w14:paraId="2A2D2191" w14:textId="77777777" w:rsidR="00961469" w:rsidRDefault="00961469" w:rsidP="00A81C44">
      <w:pPr>
        <w:rPr>
          <w:b/>
          <w:bCs/>
        </w:rPr>
      </w:pPr>
    </w:p>
    <w:p w14:paraId="21A31E1C" w14:textId="77777777" w:rsidR="00961469" w:rsidRDefault="00961469" w:rsidP="00A81C44">
      <w:pPr>
        <w:rPr>
          <w:b/>
          <w:bCs/>
        </w:rPr>
      </w:pPr>
    </w:p>
    <w:p w14:paraId="2AE9CC31" w14:textId="77777777" w:rsidR="00961469" w:rsidRDefault="00961469" w:rsidP="00A81C44">
      <w:pPr>
        <w:rPr>
          <w:b/>
          <w:bCs/>
        </w:rPr>
      </w:pPr>
    </w:p>
    <w:p w14:paraId="72027D58" w14:textId="77777777" w:rsidR="00961469" w:rsidRDefault="00961469" w:rsidP="00A81C44">
      <w:pPr>
        <w:rPr>
          <w:b/>
          <w:bCs/>
        </w:rPr>
      </w:pPr>
    </w:p>
    <w:p w14:paraId="6F901138" w14:textId="77777777" w:rsidR="00961469" w:rsidRDefault="00961469" w:rsidP="00A81C44">
      <w:pPr>
        <w:rPr>
          <w:b/>
          <w:bCs/>
        </w:rPr>
      </w:pPr>
    </w:p>
    <w:p w14:paraId="678F5655" w14:textId="77777777" w:rsidR="00E91823" w:rsidRDefault="00E91823" w:rsidP="00A81C44">
      <w:pPr>
        <w:rPr>
          <w:b/>
          <w:bCs/>
        </w:rPr>
      </w:pPr>
    </w:p>
    <w:p w14:paraId="0F1901FB" w14:textId="77777777" w:rsidR="00E91823" w:rsidRDefault="00E91823" w:rsidP="00A81C44">
      <w:pPr>
        <w:rPr>
          <w:b/>
          <w:bCs/>
        </w:rPr>
      </w:pPr>
    </w:p>
    <w:p w14:paraId="03898B20" w14:textId="77777777" w:rsidR="00E91823" w:rsidRDefault="00E91823" w:rsidP="00A81C44">
      <w:pPr>
        <w:rPr>
          <w:b/>
          <w:bCs/>
        </w:rPr>
      </w:pPr>
    </w:p>
    <w:p w14:paraId="0EEBF3C1" w14:textId="77777777" w:rsidR="00E91823" w:rsidRDefault="00E91823" w:rsidP="00A81C44">
      <w:pPr>
        <w:rPr>
          <w:b/>
          <w:bCs/>
        </w:rPr>
      </w:pPr>
    </w:p>
    <w:p w14:paraId="3A4054D9" w14:textId="4EAAF0FD" w:rsidR="00A81C44" w:rsidRPr="00E91823" w:rsidRDefault="00E91823" w:rsidP="00A81C44">
      <w:pPr>
        <w:rPr>
          <w:b/>
          <w:bCs/>
          <w:highlight w:val="yellow"/>
        </w:rPr>
      </w:pPr>
      <w:r w:rsidRPr="00E91823">
        <w:rPr>
          <w:b/>
          <w:bCs/>
          <w:highlight w:val="yellow"/>
        </w:rPr>
        <w:lastRenderedPageBreak/>
        <w:t>APPENDIX</w:t>
      </w:r>
    </w:p>
    <w:p w14:paraId="168C625F" w14:textId="77777777" w:rsidR="00E91823" w:rsidRPr="00E91823" w:rsidRDefault="00E91823" w:rsidP="00A81C44">
      <w:pPr>
        <w:rPr>
          <w:b/>
          <w:bCs/>
          <w:highlight w:val="yellow"/>
        </w:rPr>
      </w:pPr>
    </w:p>
    <w:p w14:paraId="53775BE7" w14:textId="77777777" w:rsidR="00E91823" w:rsidRPr="00E91823" w:rsidRDefault="00E91823" w:rsidP="00E91823">
      <w:pPr>
        <w:jc w:val="center"/>
        <w:rPr>
          <w:rFonts w:cs="Helvetica"/>
          <w:b/>
          <w:bCs/>
          <w:highlight w:val="yellow"/>
        </w:rPr>
      </w:pPr>
      <w:bookmarkStart w:id="9" w:name="_Toc536667644"/>
      <w:r w:rsidRPr="00E91823">
        <w:rPr>
          <w:rFonts w:cs="Helvetica"/>
          <w:b/>
          <w:bCs/>
          <w:highlight w:val="yellow"/>
        </w:rPr>
        <w:t>APPENDIX A</w:t>
      </w:r>
      <w:bookmarkEnd w:id="9"/>
    </w:p>
    <w:p w14:paraId="250D88C8" w14:textId="77777777" w:rsidR="00E91823" w:rsidRPr="00E91823" w:rsidRDefault="00E91823" w:rsidP="00E91823">
      <w:pPr>
        <w:jc w:val="center"/>
        <w:rPr>
          <w:rFonts w:cs="Helvetica"/>
          <w:b/>
          <w:bCs/>
          <w:highlight w:val="yellow"/>
        </w:rPr>
      </w:pPr>
      <w:bookmarkStart w:id="10" w:name="_Toc536667645"/>
      <w:r w:rsidRPr="00E91823">
        <w:rPr>
          <w:rFonts w:cs="Helvetica"/>
          <w:b/>
          <w:bCs/>
          <w:highlight w:val="yellow"/>
        </w:rPr>
        <w:t>GRAPH OF VARIABLES AT LEVEL</w:t>
      </w:r>
      <w:bookmarkEnd w:id="10"/>
    </w:p>
    <w:p w14:paraId="0AF5CD4A" w14:textId="77777777" w:rsidR="00E91823" w:rsidRPr="00E91823" w:rsidRDefault="00E91823" w:rsidP="00E91823">
      <w:pPr>
        <w:jc w:val="center"/>
        <w:rPr>
          <w:rFonts w:cs="Helvetica"/>
          <w:b/>
          <w:bCs/>
          <w:highlight w:val="yellow"/>
        </w:rPr>
      </w:pPr>
    </w:p>
    <w:p w14:paraId="13452EA9" w14:textId="77777777" w:rsidR="00E91823" w:rsidRPr="00E91823" w:rsidRDefault="00E91823" w:rsidP="00E91823">
      <w:pPr>
        <w:rPr>
          <w:rFonts w:cs="Helvetica"/>
        </w:rPr>
      </w:pPr>
      <w:r w:rsidRPr="00E91823">
        <w:rPr>
          <w:rFonts w:ascii="Souvenir Lt BT" w:hAnsi="Souvenir Lt BT"/>
          <w:sz w:val="24"/>
          <w:szCs w:val="24"/>
          <w:highlight w:val="yellow"/>
        </w:rPr>
        <w:object w:dxaOrig="10020" w:dyaOrig="10996" w14:anchorId="474AE05E">
          <v:shape id="_x0000_i1027" type="#_x0000_t75" style="width:467.5pt;height:511.5pt" o:ole="">
            <v:imagedata r:id="rId18" o:title=""/>
          </v:shape>
          <o:OLEObject Type="Embed" ProgID="EViews.Workfile.2" ShapeID="_x0000_i1027" DrawAspect="Content" ObjectID="_1822121466" r:id="rId19"/>
        </w:object>
      </w:r>
    </w:p>
    <w:p w14:paraId="08BC69EF" w14:textId="77777777" w:rsidR="00E91823" w:rsidRDefault="00E91823" w:rsidP="00E91823">
      <w:pPr>
        <w:jc w:val="center"/>
        <w:rPr>
          <w:rFonts w:cs="Helvetica"/>
          <w:b/>
          <w:bCs/>
        </w:rPr>
      </w:pPr>
      <w:bookmarkStart w:id="11" w:name="_Toc536667646"/>
    </w:p>
    <w:p w14:paraId="7EA0BFAA" w14:textId="77777777" w:rsidR="00E91823" w:rsidRDefault="00E91823" w:rsidP="00E91823">
      <w:pPr>
        <w:jc w:val="center"/>
        <w:rPr>
          <w:rFonts w:cs="Helvetica"/>
          <w:b/>
          <w:bCs/>
        </w:rPr>
      </w:pPr>
    </w:p>
    <w:p w14:paraId="460795CF" w14:textId="77777777" w:rsidR="00E91823" w:rsidRDefault="00E91823" w:rsidP="00E91823">
      <w:pPr>
        <w:jc w:val="center"/>
        <w:rPr>
          <w:rFonts w:cs="Helvetica"/>
          <w:b/>
          <w:bCs/>
        </w:rPr>
      </w:pPr>
    </w:p>
    <w:p w14:paraId="3E5AC24E" w14:textId="77777777" w:rsidR="00E91823" w:rsidRDefault="00E91823" w:rsidP="00E91823">
      <w:pPr>
        <w:jc w:val="center"/>
        <w:rPr>
          <w:rFonts w:cs="Helvetica"/>
          <w:b/>
          <w:bCs/>
        </w:rPr>
      </w:pPr>
    </w:p>
    <w:p w14:paraId="493E6351" w14:textId="77777777" w:rsidR="00E91823" w:rsidRDefault="00E91823" w:rsidP="00E91823">
      <w:pPr>
        <w:jc w:val="center"/>
        <w:rPr>
          <w:rFonts w:cs="Helvetica"/>
          <w:b/>
          <w:bCs/>
        </w:rPr>
      </w:pPr>
    </w:p>
    <w:p w14:paraId="16B4A76A" w14:textId="77777777" w:rsidR="00E91823" w:rsidRDefault="00E91823" w:rsidP="00E91823">
      <w:pPr>
        <w:jc w:val="center"/>
        <w:rPr>
          <w:rFonts w:cs="Helvetica"/>
          <w:b/>
          <w:bCs/>
        </w:rPr>
      </w:pPr>
    </w:p>
    <w:p w14:paraId="7DFA5F0B" w14:textId="77777777" w:rsidR="00E91823" w:rsidRDefault="00E91823" w:rsidP="00E91823">
      <w:pPr>
        <w:jc w:val="center"/>
        <w:rPr>
          <w:rFonts w:cs="Helvetica"/>
          <w:b/>
          <w:bCs/>
        </w:rPr>
      </w:pPr>
    </w:p>
    <w:p w14:paraId="3FA29130" w14:textId="77777777" w:rsidR="00E91823" w:rsidRDefault="00E91823" w:rsidP="00E91823">
      <w:pPr>
        <w:jc w:val="center"/>
        <w:rPr>
          <w:rFonts w:cs="Helvetica"/>
          <w:b/>
          <w:bCs/>
        </w:rPr>
      </w:pPr>
    </w:p>
    <w:p w14:paraId="147EBB4E" w14:textId="77777777" w:rsidR="00E91823" w:rsidRDefault="00E91823" w:rsidP="00E91823">
      <w:pPr>
        <w:jc w:val="center"/>
        <w:rPr>
          <w:rFonts w:cs="Helvetica"/>
          <w:b/>
          <w:bCs/>
        </w:rPr>
      </w:pPr>
    </w:p>
    <w:p w14:paraId="410FC74B" w14:textId="77777777" w:rsidR="00E91823" w:rsidRDefault="00E91823" w:rsidP="00E91823">
      <w:pPr>
        <w:jc w:val="center"/>
        <w:rPr>
          <w:rFonts w:cs="Helvetica"/>
          <w:b/>
          <w:bCs/>
        </w:rPr>
      </w:pPr>
    </w:p>
    <w:p w14:paraId="601BC03E" w14:textId="5CE46551" w:rsidR="00E91823" w:rsidRPr="00E91823" w:rsidRDefault="00E91823" w:rsidP="00E91823">
      <w:pPr>
        <w:jc w:val="center"/>
        <w:rPr>
          <w:rFonts w:cs="Helvetica"/>
          <w:b/>
          <w:bCs/>
          <w:highlight w:val="yellow"/>
        </w:rPr>
      </w:pPr>
      <w:r w:rsidRPr="00E91823">
        <w:rPr>
          <w:rFonts w:cs="Helvetica"/>
          <w:b/>
          <w:bCs/>
          <w:highlight w:val="yellow"/>
        </w:rPr>
        <w:t>APPENDIX B</w:t>
      </w:r>
      <w:bookmarkEnd w:id="11"/>
    </w:p>
    <w:p w14:paraId="23AAE2DE" w14:textId="77777777" w:rsidR="00E91823" w:rsidRDefault="00E91823" w:rsidP="00E91823">
      <w:pPr>
        <w:jc w:val="center"/>
        <w:rPr>
          <w:rFonts w:cs="Helvetica"/>
          <w:b/>
          <w:bCs/>
        </w:rPr>
      </w:pPr>
      <w:bookmarkStart w:id="12" w:name="_Toc536667647"/>
      <w:r w:rsidRPr="00E91823">
        <w:rPr>
          <w:rFonts w:cs="Helvetica"/>
          <w:b/>
          <w:bCs/>
          <w:highlight w:val="yellow"/>
        </w:rPr>
        <w:lastRenderedPageBreak/>
        <w:t>GRAPH OF VARIABLES AT FIRST DIFFERENCE</w:t>
      </w:r>
      <w:bookmarkEnd w:id="12"/>
    </w:p>
    <w:p w14:paraId="1916ED4D" w14:textId="77777777" w:rsidR="00E91823" w:rsidRPr="00E91823" w:rsidRDefault="00E91823" w:rsidP="00E91823">
      <w:pPr>
        <w:jc w:val="center"/>
        <w:rPr>
          <w:rFonts w:cs="Helvetica"/>
          <w:b/>
          <w:bCs/>
        </w:rPr>
      </w:pPr>
    </w:p>
    <w:p w14:paraId="6DCE180B" w14:textId="77777777" w:rsidR="00E91823" w:rsidRPr="002A5103" w:rsidRDefault="00E91823" w:rsidP="00E91823">
      <w:pPr>
        <w:rPr>
          <w:rFonts w:ascii="Souvenir Lt BT" w:hAnsi="Souvenir Lt BT"/>
        </w:rPr>
      </w:pPr>
    </w:p>
    <w:p w14:paraId="42F25F45" w14:textId="167D3D15" w:rsidR="00E91823" w:rsidRPr="00E91823" w:rsidRDefault="00E91823" w:rsidP="00E91823">
      <w:pPr>
        <w:rPr>
          <w:b/>
          <w:bCs/>
        </w:rPr>
      </w:pPr>
      <w:r w:rsidRPr="00E91823">
        <w:rPr>
          <w:rFonts w:ascii="Souvenir Lt BT" w:hAnsi="Souvenir Lt BT"/>
          <w:highlight w:val="yellow"/>
        </w:rPr>
        <w:object w:dxaOrig="10006" w:dyaOrig="10935" w14:anchorId="1E8E4846">
          <v:shape id="_x0000_i1028" type="#_x0000_t75" style="width:468pt;height:512pt" o:ole="">
            <v:imagedata r:id="rId20" o:title=""/>
          </v:shape>
          <o:OLEObject Type="Embed" ProgID="EViews.Workfile.2" ShapeID="_x0000_i1028" DrawAspect="Content" ObjectID="_1822121467" r:id="rId21"/>
        </w:object>
      </w:r>
    </w:p>
    <w:sectPr w:rsidR="00E91823" w:rsidRPr="00E91823" w:rsidSect="00D602F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3ACA9" w14:textId="77777777" w:rsidR="00C70D95" w:rsidRPr="00697B94" w:rsidRDefault="00C70D95" w:rsidP="00C37E61">
      <w:r w:rsidRPr="00697B94">
        <w:separator/>
      </w:r>
    </w:p>
  </w:endnote>
  <w:endnote w:type="continuationSeparator" w:id="0">
    <w:p w14:paraId="205FEE01" w14:textId="77777777" w:rsidR="00C70D95" w:rsidRPr="00697B94" w:rsidRDefault="00C70D95" w:rsidP="00C37E61">
      <w:r w:rsidRPr="00697B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ouvenir Lt BT">
    <w:altName w:val="Cambria"/>
    <w:charset w:val="00"/>
    <w:family w:val="roman"/>
    <w:pitch w:val="variable"/>
    <w:sig w:usb0="00000087" w:usb1="00000000" w:usb2="00000000" w:usb3="00000000" w:csb0="0000001B" w:csb1="00000000"/>
  </w:font>
  <w:font w:name="Helv">
    <w:altName w:val="Arial"/>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5861B" w14:textId="77777777" w:rsidR="00995498" w:rsidRPr="00697B94" w:rsidRDefault="009954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2AE12" w14:textId="77777777" w:rsidR="001A0C49" w:rsidRPr="00697B94" w:rsidRDefault="001A0C49"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355E0" w14:textId="77777777" w:rsidR="00995498" w:rsidRPr="00697B94" w:rsidRDefault="009954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45631" w14:textId="77777777" w:rsidR="00C70D95" w:rsidRPr="00697B94" w:rsidRDefault="00C70D95" w:rsidP="00C37E61">
      <w:r w:rsidRPr="00697B94">
        <w:separator/>
      </w:r>
    </w:p>
  </w:footnote>
  <w:footnote w:type="continuationSeparator" w:id="0">
    <w:p w14:paraId="19A20C3A" w14:textId="77777777" w:rsidR="00C70D95" w:rsidRPr="00697B94" w:rsidRDefault="00C70D95" w:rsidP="00C37E61">
      <w:r w:rsidRPr="00697B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CEA51" w14:textId="2B71C276" w:rsidR="00995498" w:rsidRPr="00697B94" w:rsidRDefault="00C70D95">
    <w:pPr>
      <w:pStyle w:val="Header"/>
    </w:pPr>
    <w:r>
      <w:pict w14:anchorId="4E68F4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3879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4C68A" w14:textId="043EA286" w:rsidR="00995498" w:rsidRPr="00697B94" w:rsidRDefault="00C70D95">
    <w:pPr>
      <w:pStyle w:val="Header"/>
    </w:pPr>
    <w:r>
      <w:pict w14:anchorId="652980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3879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1BCAC" w14:textId="7B658121" w:rsidR="00995498" w:rsidRPr="00697B94" w:rsidRDefault="00C70D95">
    <w:pPr>
      <w:pStyle w:val="Header"/>
    </w:pPr>
    <w:r>
      <w:pict w14:anchorId="43ED23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38796"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2D410A2"/>
    <w:multiLevelType w:val="hybridMultilevel"/>
    <w:tmpl w:val="E3FE02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4E174D"/>
    <w:multiLevelType w:val="multilevel"/>
    <w:tmpl w:val="9D16FCC2"/>
    <w:lvl w:ilvl="0">
      <w:start w:val="1"/>
      <w:numFmt w:val="lowerLetter"/>
      <w:lvlText w:val="%1."/>
      <w:lvlJc w:val="left"/>
      <w:pPr>
        <w:ind w:left="928" w:hanging="360"/>
      </w:pPr>
    </w:lvl>
    <w:lvl w:ilvl="1">
      <w:start w:val="1"/>
      <w:numFmt w:val="lowerLetter"/>
      <w:lvlText w:val="%2."/>
      <w:lvlJc w:val="left"/>
      <w:pPr>
        <w:ind w:left="1378" w:hanging="359"/>
      </w:pPr>
    </w:lvl>
    <w:lvl w:ilvl="2">
      <w:start w:val="1"/>
      <w:numFmt w:val="lowerRoman"/>
      <w:lvlText w:val="%3."/>
      <w:lvlJc w:val="right"/>
      <w:pPr>
        <w:ind w:left="2458" w:hanging="180"/>
      </w:pPr>
    </w:lvl>
    <w:lvl w:ilvl="3">
      <w:start w:val="1"/>
      <w:numFmt w:val="decimal"/>
      <w:lvlText w:val="%4."/>
      <w:lvlJc w:val="left"/>
      <w:pPr>
        <w:ind w:left="3178" w:hanging="360"/>
      </w:pPr>
    </w:lvl>
    <w:lvl w:ilvl="4">
      <w:start w:val="1"/>
      <w:numFmt w:val="lowerLetter"/>
      <w:lvlText w:val="%5."/>
      <w:lvlJc w:val="left"/>
      <w:pPr>
        <w:ind w:left="3898" w:hanging="360"/>
      </w:pPr>
    </w:lvl>
    <w:lvl w:ilvl="5">
      <w:start w:val="1"/>
      <w:numFmt w:val="lowerRoman"/>
      <w:lvlText w:val="%6."/>
      <w:lvlJc w:val="right"/>
      <w:pPr>
        <w:ind w:left="4618" w:hanging="180"/>
      </w:pPr>
    </w:lvl>
    <w:lvl w:ilvl="6">
      <w:start w:val="1"/>
      <w:numFmt w:val="decimal"/>
      <w:lvlText w:val="%7."/>
      <w:lvlJc w:val="left"/>
      <w:pPr>
        <w:ind w:left="5338" w:hanging="360"/>
      </w:pPr>
    </w:lvl>
    <w:lvl w:ilvl="7">
      <w:start w:val="1"/>
      <w:numFmt w:val="lowerLetter"/>
      <w:lvlText w:val="%8."/>
      <w:lvlJc w:val="left"/>
      <w:pPr>
        <w:ind w:left="6058" w:hanging="360"/>
      </w:pPr>
    </w:lvl>
    <w:lvl w:ilvl="8">
      <w:start w:val="1"/>
      <w:numFmt w:val="lowerRoman"/>
      <w:lvlText w:val="%9."/>
      <w:lvlJc w:val="right"/>
      <w:pPr>
        <w:ind w:left="6778"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9883010"/>
    <w:multiLevelType w:val="hybridMultilevel"/>
    <w:tmpl w:val="A72825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974BDA"/>
    <w:multiLevelType w:val="multilevel"/>
    <w:tmpl w:val="4B52EB2A"/>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7E0C62"/>
    <w:multiLevelType w:val="multilevel"/>
    <w:tmpl w:val="9D16FCC2"/>
    <w:lvl w:ilvl="0">
      <w:start w:val="1"/>
      <w:numFmt w:val="lowerLetter"/>
      <w:lvlText w:val="%1."/>
      <w:lvlJc w:val="left"/>
      <w:pPr>
        <w:ind w:left="928" w:hanging="360"/>
      </w:pPr>
    </w:lvl>
    <w:lvl w:ilvl="1">
      <w:start w:val="1"/>
      <w:numFmt w:val="lowerLetter"/>
      <w:lvlText w:val="%2."/>
      <w:lvlJc w:val="left"/>
      <w:pPr>
        <w:ind w:left="1378" w:hanging="359"/>
      </w:pPr>
    </w:lvl>
    <w:lvl w:ilvl="2">
      <w:start w:val="1"/>
      <w:numFmt w:val="lowerRoman"/>
      <w:lvlText w:val="%3."/>
      <w:lvlJc w:val="right"/>
      <w:pPr>
        <w:ind w:left="2458" w:hanging="180"/>
      </w:pPr>
    </w:lvl>
    <w:lvl w:ilvl="3">
      <w:start w:val="1"/>
      <w:numFmt w:val="decimal"/>
      <w:lvlText w:val="%4."/>
      <w:lvlJc w:val="left"/>
      <w:pPr>
        <w:ind w:left="3178" w:hanging="360"/>
      </w:pPr>
    </w:lvl>
    <w:lvl w:ilvl="4">
      <w:start w:val="1"/>
      <w:numFmt w:val="lowerLetter"/>
      <w:lvlText w:val="%5."/>
      <w:lvlJc w:val="left"/>
      <w:pPr>
        <w:ind w:left="3898" w:hanging="360"/>
      </w:pPr>
    </w:lvl>
    <w:lvl w:ilvl="5">
      <w:start w:val="1"/>
      <w:numFmt w:val="lowerRoman"/>
      <w:lvlText w:val="%6."/>
      <w:lvlJc w:val="right"/>
      <w:pPr>
        <w:ind w:left="4618" w:hanging="180"/>
      </w:pPr>
    </w:lvl>
    <w:lvl w:ilvl="6">
      <w:start w:val="1"/>
      <w:numFmt w:val="decimal"/>
      <w:lvlText w:val="%7."/>
      <w:lvlJc w:val="left"/>
      <w:pPr>
        <w:ind w:left="5338" w:hanging="360"/>
      </w:pPr>
    </w:lvl>
    <w:lvl w:ilvl="7">
      <w:start w:val="1"/>
      <w:numFmt w:val="lowerLetter"/>
      <w:lvlText w:val="%8."/>
      <w:lvlJc w:val="left"/>
      <w:pPr>
        <w:ind w:left="6058" w:hanging="360"/>
      </w:pPr>
    </w:lvl>
    <w:lvl w:ilvl="8">
      <w:start w:val="1"/>
      <w:numFmt w:val="lowerRoman"/>
      <w:lvlText w:val="%9."/>
      <w:lvlJc w:val="right"/>
      <w:pPr>
        <w:ind w:left="6778" w:hanging="180"/>
      </w:pPr>
    </w:lvl>
  </w:abstractNum>
  <w:abstractNum w:abstractNumId="16" w15:restartNumberingAfterBreak="0">
    <w:nsid w:val="26471881"/>
    <w:multiLevelType w:val="multilevel"/>
    <w:tmpl w:val="8422804E"/>
    <w:lvl w:ilvl="0">
      <w:start w:val="1"/>
      <w:numFmt w:val="decimal"/>
      <w:lvlText w:val="%1."/>
      <w:lvlJc w:val="left"/>
      <w:pPr>
        <w:ind w:left="450" w:hanging="360"/>
      </w:pPr>
    </w:lvl>
    <w:lvl w:ilvl="1">
      <w:start w:val="1"/>
      <w:numFmt w:val="lowerLetter"/>
      <w:lvlText w:val="%2."/>
      <w:lvlJc w:val="left"/>
      <w:pPr>
        <w:ind w:left="90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7220B79"/>
    <w:multiLevelType w:val="multilevel"/>
    <w:tmpl w:val="8422804E"/>
    <w:lvl w:ilvl="0">
      <w:start w:val="1"/>
      <w:numFmt w:val="decimal"/>
      <w:lvlText w:val="%1."/>
      <w:lvlJc w:val="left"/>
      <w:pPr>
        <w:ind w:left="785" w:hanging="360"/>
      </w:pPr>
    </w:lvl>
    <w:lvl w:ilvl="1">
      <w:start w:val="1"/>
      <w:numFmt w:val="lowerLetter"/>
      <w:lvlText w:val="%2."/>
      <w:lvlJc w:val="left"/>
      <w:pPr>
        <w:ind w:left="90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8"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40C9129E"/>
    <w:multiLevelType w:val="multilevel"/>
    <w:tmpl w:val="F948E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58671A"/>
    <w:multiLevelType w:val="hybridMultilevel"/>
    <w:tmpl w:val="E0FE18C2"/>
    <w:lvl w:ilvl="0" w:tplc="4F6651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455443"/>
    <w:multiLevelType w:val="hybridMultilevel"/>
    <w:tmpl w:val="5648834E"/>
    <w:lvl w:ilvl="0" w:tplc="86F02C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FA480C"/>
    <w:multiLevelType w:val="hybridMultilevel"/>
    <w:tmpl w:val="E3FE02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3" w15:restartNumberingAfterBreak="0">
    <w:nsid w:val="73B83D63"/>
    <w:multiLevelType w:val="multilevel"/>
    <w:tmpl w:val="9D16FCC2"/>
    <w:lvl w:ilvl="0">
      <w:start w:val="1"/>
      <w:numFmt w:val="lowerLetter"/>
      <w:lvlText w:val="%1."/>
      <w:lvlJc w:val="left"/>
      <w:pPr>
        <w:ind w:left="928" w:hanging="360"/>
      </w:pPr>
    </w:lvl>
    <w:lvl w:ilvl="1">
      <w:start w:val="1"/>
      <w:numFmt w:val="lowerLetter"/>
      <w:lvlText w:val="%2."/>
      <w:lvlJc w:val="left"/>
      <w:pPr>
        <w:ind w:left="1378" w:hanging="359"/>
      </w:pPr>
    </w:lvl>
    <w:lvl w:ilvl="2">
      <w:start w:val="1"/>
      <w:numFmt w:val="lowerRoman"/>
      <w:lvlText w:val="%3."/>
      <w:lvlJc w:val="right"/>
      <w:pPr>
        <w:ind w:left="2458" w:hanging="180"/>
      </w:pPr>
    </w:lvl>
    <w:lvl w:ilvl="3">
      <w:start w:val="1"/>
      <w:numFmt w:val="decimal"/>
      <w:lvlText w:val="%4."/>
      <w:lvlJc w:val="left"/>
      <w:pPr>
        <w:ind w:left="3178" w:hanging="360"/>
      </w:pPr>
    </w:lvl>
    <w:lvl w:ilvl="4">
      <w:start w:val="1"/>
      <w:numFmt w:val="lowerLetter"/>
      <w:lvlText w:val="%5."/>
      <w:lvlJc w:val="left"/>
      <w:pPr>
        <w:ind w:left="3898" w:hanging="360"/>
      </w:pPr>
    </w:lvl>
    <w:lvl w:ilvl="5">
      <w:start w:val="1"/>
      <w:numFmt w:val="lowerRoman"/>
      <w:lvlText w:val="%6."/>
      <w:lvlJc w:val="right"/>
      <w:pPr>
        <w:ind w:left="4618" w:hanging="180"/>
      </w:pPr>
    </w:lvl>
    <w:lvl w:ilvl="6">
      <w:start w:val="1"/>
      <w:numFmt w:val="decimal"/>
      <w:lvlText w:val="%7."/>
      <w:lvlJc w:val="left"/>
      <w:pPr>
        <w:ind w:left="5338" w:hanging="360"/>
      </w:pPr>
    </w:lvl>
    <w:lvl w:ilvl="7">
      <w:start w:val="1"/>
      <w:numFmt w:val="lowerLetter"/>
      <w:lvlText w:val="%8."/>
      <w:lvlJc w:val="left"/>
      <w:pPr>
        <w:ind w:left="6058" w:hanging="360"/>
      </w:pPr>
    </w:lvl>
    <w:lvl w:ilvl="8">
      <w:start w:val="1"/>
      <w:numFmt w:val="lowerRoman"/>
      <w:lvlText w:val="%9."/>
      <w:lvlJc w:val="right"/>
      <w:pPr>
        <w:ind w:left="6778" w:hanging="180"/>
      </w:pPr>
    </w:lvl>
  </w:abstractNum>
  <w:abstractNum w:abstractNumId="3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4"/>
  </w:num>
  <w:num w:numId="3">
    <w:abstractNumId w:val="3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6"/>
  </w:num>
  <w:num w:numId="7">
    <w:abstractNumId w:val="1"/>
  </w:num>
  <w:num w:numId="8">
    <w:abstractNumId w:val="19"/>
  </w:num>
  <w:num w:numId="9">
    <w:abstractNumId w:val="37"/>
  </w:num>
  <w:num w:numId="10">
    <w:abstractNumId w:val="2"/>
  </w:num>
  <w:num w:numId="11">
    <w:abstractNumId w:val="29"/>
  </w:num>
  <w:num w:numId="12">
    <w:abstractNumId w:val="3"/>
  </w:num>
  <w:num w:numId="13">
    <w:abstractNumId w:val="28"/>
  </w:num>
  <w:num w:numId="14">
    <w:abstractNumId w:val="11"/>
  </w:num>
  <w:num w:numId="15">
    <w:abstractNumId w:val="32"/>
  </w:num>
  <w:num w:numId="16">
    <w:abstractNumId w:val="5"/>
  </w:num>
  <w:num w:numId="17">
    <w:abstractNumId w:val="34"/>
  </w:num>
  <w:num w:numId="18">
    <w:abstractNumId w:val="21"/>
  </w:num>
  <w:num w:numId="19">
    <w:abstractNumId w:val="40"/>
  </w:num>
  <w:num w:numId="20">
    <w:abstractNumId w:val="18"/>
  </w:num>
  <w:num w:numId="21">
    <w:abstractNumId w:val="13"/>
  </w:num>
  <w:num w:numId="22">
    <w:abstractNumId w:val="20"/>
  </w:num>
  <w:num w:numId="23">
    <w:abstractNumId w:val="30"/>
  </w:num>
  <w:num w:numId="24">
    <w:abstractNumId w:val="38"/>
  </w:num>
  <w:num w:numId="25">
    <w:abstractNumId w:val="4"/>
  </w:num>
  <w:num w:numId="26">
    <w:abstractNumId w:val="25"/>
  </w:num>
  <w:num w:numId="27">
    <w:abstractNumId w:val="31"/>
  </w:num>
  <w:num w:numId="28">
    <w:abstractNumId w:val="39"/>
  </w:num>
  <w:num w:numId="29">
    <w:abstractNumId w:val="36"/>
  </w:num>
  <w:num w:numId="30">
    <w:abstractNumId w:val="14"/>
  </w:num>
  <w:num w:numId="3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33">
    <w:abstractNumId w:val="7"/>
  </w:num>
  <w:num w:numId="34">
    <w:abstractNumId w:val="27"/>
  </w:num>
  <w:num w:numId="35">
    <w:abstractNumId w:val="10"/>
  </w:num>
  <w:num w:numId="36">
    <w:abstractNumId w:val="26"/>
  </w:num>
  <w:num w:numId="37">
    <w:abstractNumId w:val="15"/>
  </w:num>
  <w:num w:numId="38">
    <w:abstractNumId w:val="12"/>
  </w:num>
  <w:num w:numId="39">
    <w:abstractNumId w:val="17"/>
  </w:num>
  <w:num w:numId="40">
    <w:abstractNumId w:val="16"/>
  </w:num>
  <w:num w:numId="41">
    <w:abstractNumId w:val="33"/>
  </w:num>
  <w:num w:numId="42">
    <w:abstractNumId w:val="8"/>
  </w:num>
  <w:num w:numId="43">
    <w:abstractNumId w:val="23"/>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7552"/>
    <w:rsid w:val="00017B12"/>
    <w:rsid w:val="00030174"/>
    <w:rsid w:val="00037742"/>
    <w:rsid w:val="0004579C"/>
    <w:rsid w:val="000613D8"/>
    <w:rsid w:val="00071F01"/>
    <w:rsid w:val="000852BE"/>
    <w:rsid w:val="000867C5"/>
    <w:rsid w:val="00087DC1"/>
    <w:rsid w:val="000A2D58"/>
    <w:rsid w:val="000A47FA"/>
    <w:rsid w:val="000A65D3"/>
    <w:rsid w:val="000B1E33"/>
    <w:rsid w:val="000D689F"/>
    <w:rsid w:val="000E7B7B"/>
    <w:rsid w:val="000E7D62"/>
    <w:rsid w:val="00103357"/>
    <w:rsid w:val="00123C9F"/>
    <w:rsid w:val="00126190"/>
    <w:rsid w:val="00127797"/>
    <w:rsid w:val="001306B4"/>
    <w:rsid w:val="00130F17"/>
    <w:rsid w:val="001320BF"/>
    <w:rsid w:val="00135CF4"/>
    <w:rsid w:val="00137520"/>
    <w:rsid w:val="00144220"/>
    <w:rsid w:val="001453FE"/>
    <w:rsid w:val="00147777"/>
    <w:rsid w:val="00150C70"/>
    <w:rsid w:val="00153A82"/>
    <w:rsid w:val="00163BC4"/>
    <w:rsid w:val="00172856"/>
    <w:rsid w:val="00173F5D"/>
    <w:rsid w:val="001847EF"/>
    <w:rsid w:val="00186EC2"/>
    <w:rsid w:val="00191062"/>
    <w:rsid w:val="001911E8"/>
    <w:rsid w:val="00192B72"/>
    <w:rsid w:val="001A0C49"/>
    <w:rsid w:val="001A2217"/>
    <w:rsid w:val="001A29D8"/>
    <w:rsid w:val="001A5CAA"/>
    <w:rsid w:val="001B0427"/>
    <w:rsid w:val="001B299E"/>
    <w:rsid w:val="001D2888"/>
    <w:rsid w:val="001D29D0"/>
    <w:rsid w:val="001D3A51"/>
    <w:rsid w:val="001E10D2"/>
    <w:rsid w:val="001E25B4"/>
    <w:rsid w:val="001E44FE"/>
    <w:rsid w:val="001E7EF2"/>
    <w:rsid w:val="001F17A3"/>
    <w:rsid w:val="001F7325"/>
    <w:rsid w:val="00200595"/>
    <w:rsid w:val="00203218"/>
    <w:rsid w:val="00204835"/>
    <w:rsid w:val="00210F2B"/>
    <w:rsid w:val="00231920"/>
    <w:rsid w:val="0023195C"/>
    <w:rsid w:val="0024282C"/>
    <w:rsid w:val="002460DC"/>
    <w:rsid w:val="00250985"/>
    <w:rsid w:val="002556F6"/>
    <w:rsid w:val="00283105"/>
    <w:rsid w:val="00284C4C"/>
    <w:rsid w:val="00287E68"/>
    <w:rsid w:val="00296529"/>
    <w:rsid w:val="002A2222"/>
    <w:rsid w:val="002A3FBF"/>
    <w:rsid w:val="002A4256"/>
    <w:rsid w:val="002B27FB"/>
    <w:rsid w:val="002B2E32"/>
    <w:rsid w:val="002B4C19"/>
    <w:rsid w:val="002B685A"/>
    <w:rsid w:val="002C57D2"/>
    <w:rsid w:val="002E0D56"/>
    <w:rsid w:val="002F3D6A"/>
    <w:rsid w:val="003001BC"/>
    <w:rsid w:val="0030563F"/>
    <w:rsid w:val="00314EB7"/>
    <w:rsid w:val="00315186"/>
    <w:rsid w:val="0033343E"/>
    <w:rsid w:val="003512C2"/>
    <w:rsid w:val="003543F2"/>
    <w:rsid w:val="003638AA"/>
    <w:rsid w:val="00371FB6"/>
    <w:rsid w:val="003763C1"/>
    <w:rsid w:val="00376BBE"/>
    <w:rsid w:val="00381146"/>
    <w:rsid w:val="0039224F"/>
    <w:rsid w:val="003A43A4"/>
    <w:rsid w:val="003A734F"/>
    <w:rsid w:val="003A7E18"/>
    <w:rsid w:val="003C4C86"/>
    <w:rsid w:val="003C6258"/>
    <w:rsid w:val="003E2904"/>
    <w:rsid w:val="003F1AD6"/>
    <w:rsid w:val="0040137B"/>
    <w:rsid w:val="00401927"/>
    <w:rsid w:val="00404021"/>
    <w:rsid w:val="0041027F"/>
    <w:rsid w:val="00410F4E"/>
    <w:rsid w:val="00412475"/>
    <w:rsid w:val="00420156"/>
    <w:rsid w:val="00423789"/>
    <w:rsid w:val="00440F43"/>
    <w:rsid w:val="00441B6F"/>
    <w:rsid w:val="00442703"/>
    <w:rsid w:val="00446221"/>
    <w:rsid w:val="00450E62"/>
    <w:rsid w:val="004539DB"/>
    <w:rsid w:val="00471A80"/>
    <w:rsid w:val="00473AF9"/>
    <w:rsid w:val="004843AD"/>
    <w:rsid w:val="004B4AB0"/>
    <w:rsid w:val="004D0AB4"/>
    <w:rsid w:val="004D305E"/>
    <w:rsid w:val="004D4277"/>
    <w:rsid w:val="004E1CBC"/>
    <w:rsid w:val="00501AE8"/>
    <w:rsid w:val="00502516"/>
    <w:rsid w:val="00505F06"/>
    <w:rsid w:val="00506828"/>
    <w:rsid w:val="005076E3"/>
    <w:rsid w:val="005108D3"/>
    <w:rsid w:val="00511E82"/>
    <w:rsid w:val="0053056E"/>
    <w:rsid w:val="00550033"/>
    <w:rsid w:val="00554FDA"/>
    <w:rsid w:val="00560860"/>
    <w:rsid w:val="00562FEE"/>
    <w:rsid w:val="00563CA0"/>
    <w:rsid w:val="00586331"/>
    <w:rsid w:val="005B230C"/>
    <w:rsid w:val="005C4B13"/>
    <w:rsid w:val="005C784C"/>
    <w:rsid w:val="005D17F6"/>
    <w:rsid w:val="005E5539"/>
    <w:rsid w:val="005F230B"/>
    <w:rsid w:val="00600977"/>
    <w:rsid w:val="00602BF5"/>
    <w:rsid w:val="006051F3"/>
    <w:rsid w:val="00617FDD"/>
    <w:rsid w:val="00623897"/>
    <w:rsid w:val="006256F8"/>
    <w:rsid w:val="00633614"/>
    <w:rsid w:val="00633F68"/>
    <w:rsid w:val="00636EB2"/>
    <w:rsid w:val="006375B8"/>
    <w:rsid w:val="0064169A"/>
    <w:rsid w:val="00641BAD"/>
    <w:rsid w:val="006525CE"/>
    <w:rsid w:val="00652F47"/>
    <w:rsid w:val="0066510A"/>
    <w:rsid w:val="00673F9F"/>
    <w:rsid w:val="006741FD"/>
    <w:rsid w:val="00686953"/>
    <w:rsid w:val="00687DEA"/>
    <w:rsid w:val="00687E67"/>
    <w:rsid w:val="00692706"/>
    <w:rsid w:val="006967F7"/>
    <w:rsid w:val="00697B94"/>
    <w:rsid w:val="006A250C"/>
    <w:rsid w:val="006A6D29"/>
    <w:rsid w:val="006A6DCD"/>
    <w:rsid w:val="006B21D3"/>
    <w:rsid w:val="006B4264"/>
    <w:rsid w:val="006B57D0"/>
    <w:rsid w:val="006D22E5"/>
    <w:rsid w:val="006D30FF"/>
    <w:rsid w:val="006D6940"/>
    <w:rsid w:val="006E6D71"/>
    <w:rsid w:val="006F11EC"/>
    <w:rsid w:val="006F3BBC"/>
    <w:rsid w:val="0070082C"/>
    <w:rsid w:val="00712851"/>
    <w:rsid w:val="007174FA"/>
    <w:rsid w:val="007369E6"/>
    <w:rsid w:val="00746E59"/>
    <w:rsid w:val="00754C9A"/>
    <w:rsid w:val="0075599A"/>
    <w:rsid w:val="00760455"/>
    <w:rsid w:val="00761D52"/>
    <w:rsid w:val="007723B0"/>
    <w:rsid w:val="00775C4A"/>
    <w:rsid w:val="0077749E"/>
    <w:rsid w:val="00784DBB"/>
    <w:rsid w:val="00790ADA"/>
    <w:rsid w:val="00792C34"/>
    <w:rsid w:val="00792C4B"/>
    <w:rsid w:val="007A1EEE"/>
    <w:rsid w:val="007A6552"/>
    <w:rsid w:val="007C79A0"/>
    <w:rsid w:val="007D103C"/>
    <w:rsid w:val="007D2288"/>
    <w:rsid w:val="007E088F"/>
    <w:rsid w:val="007F76A2"/>
    <w:rsid w:val="007F7B32"/>
    <w:rsid w:val="00804BC2"/>
    <w:rsid w:val="0081431A"/>
    <w:rsid w:val="0083216F"/>
    <w:rsid w:val="00844997"/>
    <w:rsid w:val="00846558"/>
    <w:rsid w:val="00847D96"/>
    <w:rsid w:val="0085103F"/>
    <w:rsid w:val="0085406C"/>
    <w:rsid w:val="00855083"/>
    <w:rsid w:val="00860000"/>
    <w:rsid w:val="0086240D"/>
    <w:rsid w:val="0086275D"/>
    <w:rsid w:val="00863BD3"/>
    <w:rsid w:val="008641ED"/>
    <w:rsid w:val="008645D8"/>
    <w:rsid w:val="00866D66"/>
    <w:rsid w:val="008671C6"/>
    <w:rsid w:val="00875803"/>
    <w:rsid w:val="00877D87"/>
    <w:rsid w:val="008909D4"/>
    <w:rsid w:val="008970E8"/>
    <w:rsid w:val="008B459E"/>
    <w:rsid w:val="008C67A0"/>
    <w:rsid w:val="008D3656"/>
    <w:rsid w:val="008E13AE"/>
    <w:rsid w:val="008E1506"/>
    <w:rsid w:val="008E710C"/>
    <w:rsid w:val="008F69D6"/>
    <w:rsid w:val="00902823"/>
    <w:rsid w:val="00915CA6"/>
    <w:rsid w:val="00916EBB"/>
    <w:rsid w:val="00927834"/>
    <w:rsid w:val="009500A6"/>
    <w:rsid w:val="00957C18"/>
    <w:rsid w:val="00961469"/>
    <w:rsid w:val="009659BA"/>
    <w:rsid w:val="00983040"/>
    <w:rsid w:val="00986785"/>
    <w:rsid w:val="009919F0"/>
    <w:rsid w:val="00995498"/>
    <w:rsid w:val="009B0E71"/>
    <w:rsid w:val="009B3FB9"/>
    <w:rsid w:val="009C1549"/>
    <w:rsid w:val="009C2465"/>
    <w:rsid w:val="009C4F6B"/>
    <w:rsid w:val="009C5526"/>
    <w:rsid w:val="009C751B"/>
    <w:rsid w:val="009D35A0"/>
    <w:rsid w:val="009D7EB7"/>
    <w:rsid w:val="009E048A"/>
    <w:rsid w:val="009E08E9"/>
    <w:rsid w:val="009E3DB9"/>
    <w:rsid w:val="009E6E35"/>
    <w:rsid w:val="009F0EDA"/>
    <w:rsid w:val="00A03B96"/>
    <w:rsid w:val="00A05B19"/>
    <w:rsid w:val="00A1134E"/>
    <w:rsid w:val="00A24E7E"/>
    <w:rsid w:val="00A258C3"/>
    <w:rsid w:val="00A27DB9"/>
    <w:rsid w:val="00A33EFB"/>
    <w:rsid w:val="00A347C0"/>
    <w:rsid w:val="00A42222"/>
    <w:rsid w:val="00A51431"/>
    <w:rsid w:val="00A53985"/>
    <w:rsid w:val="00A539AD"/>
    <w:rsid w:val="00A56D36"/>
    <w:rsid w:val="00A80837"/>
    <w:rsid w:val="00A81C44"/>
    <w:rsid w:val="00A82A24"/>
    <w:rsid w:val="00A94063"/>
    <w:rsid w:val="00A94DF2"/>
    <w:rsid w:val="00AA6219"/>
    <w:rsid w:val="00AA74E0"/>
    <w:rsid w:val="00AB703F"/>
    <w:rsid w:val="00AC4C35"/>
    <w:rsid w:val="00AC6BB8"/>
    <w:rsid w:val="00AD0CB4"/>
    <w:rsid w:val="00AD2B1B"/>
    <w:rsid w:val="00AE008F"/>
    <w:rsid w:val="00AE08C3"/>
    <w:rsid w:val="00B009D5"/>
    <w:rsid w:val="00B01FCD"/>
    <w:rsid w:val="00B118F0"/>
    <w:rsid w:val="00B14B3E"/>
    <w:rsid w:val="00B1776C"/>
    <w:rsid w:val="00B20BFE"/>
    <w:rsid w:val="00B52583"/>
    <w:rsid w:val="00B52896"/>
    <w:rsid w:val="00B8758C"/>
    <w:rsid w:val="00B95236"/>
    <w:rsid w:val="00B96BD9"/>
    <w:rsid w:val="00B96DB9"/>
    <w:rsid w:val="00BA1B01"/>
    <w:rsid w:val="00BA2641"/>
    <w:rsid w:val="00BA4175"/>
    <w:rsid w:val="00BA73A9"/>
    <w:rsid w:val="00BB37AA"/>
    <w:rsid w:val="00BB6F7C"/>
    <w:rsid w:val="00BC43FD"/>
    <w:rsid w:val="00BC53A0"/>
    <w:rsid w:val="00BC56EA"/>
    <w:rsid w:val="00BD1918"/>
    <w:rsid w:val="00BE62AD"/>
    <w:rsid w:val="00BE7700"/>
    <w:rsid w:val="00BF121F"/>
    <w:rsid w:val="00BF1F80"/>
    <w:rsid w:val="00BF3853"/>
    <w:rsid w:val="00BF5F27"/>
    <w:rsid w:val="00C07AC4"/>
    <w:rsid w:val="00C13252"/>
    <w:rsid w:val="00C13FF1"/>
    <w:rsid w:val="00C166EF"/>
    <w:rsid w:val="00C17EB0"/>
    <w:rsid w:val="00C2041D"/>
    <w:rsid w:val="00C27F5F"/>
    <w:rsid w:val="00C30A0F"/>
    <w:rsid w:val="00C37E61"/>
    <w:rsid w:val="00C70D95"/>
    <w:rsid w:val="00C70F1B"/>
    <w:rsid w:val="00C71A47"/>
    <w:rsid w:val="00C7276D"/>
    <w:rsid w:val="00C7464C"/>
    <w:rsid w:val="00C77BFE"/>
    <w:rsid w:val="00C85588"/>
    <w:rsid w:val="00C91AE9"/>
    <w:rsid w:val="00C933A0"/>
    <w:rsid w:val="00CA01E1"/>
    <w:rsid w:val="00CA3434"/>
    <w:rsid w:val="00CD3A93"/>
    <w:rsid w:val="00CD6755"/>
    <w:rsid w:val="00CD6856"/>
    <w:rsid w:val="00CE0089"/>
    <w:rsid w:val="00CE793C"/>
    <w:rsid w:val="00CF1119"/>
    <w:rsid w:val="00CF193C"/>
    <w:rsid w:val="00D01223"/>
    <w:rsid w:val="00D13124"/>
    <w:rsid w:val="00D173F1"/>
    <w:rsid w:val="00D17B02"/>
    <w:rsid w:val="00D36719"/>
    <w:rsid w:val="00D50110"/>
    <w:rsid w:val="00D560D4"/>
    <w:rsid w:val="00D57ED2"/>
    <w:rsid w:val="00D602F2"/>
    <w:rsid w:val="00D6644E"/>
    <w:rsid w:val="00D7342B"/>
    <w:rsid w:val="00D74CB0"/>
    <w:rsid w:val="00D8295D"/>
    <w:rsid w:val="00D852F4"/>
    <w:rsid w:val="00D876BD"/>
    <w:rsid w:val="00DA46C8"/>
    <w:rsid w:val="00DA5947"/>
    <w:rsid w:val="00DB38E2"/>
    <w:rsid w:val="00DC2A65"/>
    <w:rsid w:val="00DD1699"/>
    <w:rsid w:val="00DD73F0"/>
    <w:rsid w:val="00DE15F0"/>
    <w:rsid w:val="00DE2B31"/>
    <w:rsid w:val="00DE5663"/>
    <w:rsid w:val="00DE78AA"/>
    <w:rsid w:val="00DF4336"/>
    <w:rsid w:val="00E02D76"/>
    <w:rsid w:val="00E04B57"/>
    <w:rsid w:val="00E053D0"/>
    <w:rsid w:val="00E15994"/>
    <w:rsid w:val="00E3114E"/>
    <w:rsid w:val="00E31A70"/>
    <w:rsid w:val="00E35B02"/>
    <w:rsid w:val="00E37DEE"/>
    <w:rsid w:val="00E62CFC"/>
    <w:rsid w:val="00E6346C"/>
    <w:rsid w:val="00E66496"/>
    <w:rsid w:val="00E66B35"/>
    <w:rsid w:val="00E66E10"/>
    <w:rsid w:val="00E769F6"/>
    <w:rsid w:val="00E816D6"/>
    <w:rsid w:val="00E8407C"/>
    <w:rsid w:val="00E84F3C"/>
    <w:rsid w:val="00E91823"/>
    <w:rsid w:val="00EA012C"/>
    <w:rsid w:val="00EA1DAB"/>
    <w:rsid w:val="00EA2A9D"/>
    <w:rsid w:val="00EA2E7F"/>
    <w:rsid w:val="00EB25B9"/>
    <w:rsid w:val="00EB4399"/>
    <w:rsid w:val="00EC6A55"/>
    <w:rsid w:val="00ED0288"/>
    <w:rsid w:val="00EE52CB"/>
    <w:rsid w:val="00EE62C1"/>
    <w:rsid w:val="00EF581D"/>
    <w:rsid w:val="00EF7FD8"/>
    <w:rsid w:val="00F06F59"/>
    <w:rsid w:val="00F17988"/>
    <w:rsid w:val="00F251E8"/>
    <w:rsid w:val="00F3174D"/>
    <w:rsid w:val="00F33C0F"/>
    <w:rsid w:val="00F363C4"/>
    <w:rsid w:val="00F41ADB"/>
    <w:rsid w:val="00F469F0"/>
    <w:rsid w:val="00F47957"/>
    <w:rsid w:val="00F53273"/>
    <w:rsid w:val="00F755E4"/>
    <w:rsid w:val="00F77D02"/>
    <w:rsid w:val="00F8354E"/>
    <w:rsid w:val="00F944F0"/>
    <w:rsid w:val="00FA6FC9"/>
    <w:rsid w:val="00FB2F6D"/>
    <w:rsid w:val="00FB3A86"/>
    <w:rsid w:val="00FC17C0"/>
    <w:rsid w:val="00FD36C8"/>
    <w:rsid w:val="00FE05A7"/>
    <w:rsid w:val="00FF1B61"/>
    <w:rsid w:val="00FF2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B0D0960"/>
  <w15:docId w15:val="{083D7013-D977-490D-A212-8864EADDC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61469"/>
    <w:rPr>
      <w:rFonts w:ascii="Helvetica" w:hAnsi="Helvetica"/>
      <w:lang w:val="en-GB"/>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40137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7723B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semiHidden/>
    <w:unhideWhenUsed/>
    <w:qFormat/>
    <w:rsid w:val="001A2217"/>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link w:val="BodyChar"/>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MTEquationSection">
    <w:name w:val="MTEquationSection"/>
    <w:basedOn w:val="DefaultParagraphFont"/>
    <w:rsid w:val="00792C4B"/>
    <w:rPr>
      <w:vanish w:val="0"/>
      <w:color w:val="FF0000"/>
    </w:rPr>
  </w:style>
  <w:style w:type="paragraph" w:customStyle="1" w:styleId="MTDisplayEquation">
    <w:name w:val="MTDisplayEquation"/>
    <w:basedOn w:val="Body"/>
    <w:next w:val="Normal"/>
    <w:link w:val="MTDisplayEquationChar"/>
    <w:rsid w:val="00792C4B"/>
    <w:pPr>
      <w:tabs>
        <w:tab w:val="center" w:pos="4100"/>
        <w:tab w:val="right" w:pos="8200"/>
      </w:tabs>
      <w:spacing w:after="0"/>
    </w:pPr>
  </w:style>
  <w:style w:type="character" w:customStyle="1" w:styleId="BodyChar">
    <w:name w:val="Body Char"/>
    <w:basedOn w:val="DefaultParagraphFont"/>
    <w:link w:val="Body"/>
    <w:rsid w:val="00792C4B"/>
    <w:rPr>
      <w:rFonts w:ascii="Helvetica" w:hAnsi="Helvetica"/>
    </w:rPr>
  </w:style>
  <w:style w:type="character" w:customStyle="1" w:styleId="MTDisplayEquationChar">
    <w:name w:val="MTDisplayEquation Char"/>
    <w:basedOn w:val="BodyChar"/>
    <w:link w:val="MTDisplayEquation"/>
    <w:rsid w:val="00792C4B"/>
    <w:rPr>
      <w:rFonts w:ascii="Helvetica" w:hAnsi="Helvetica"/>
    </w:rPr>
  </w:style>
  <w:style w:type="character" w:styleId="PlaceholderText">
    <w:name w:val="Placeholder Text"/>
    <w:basedOn w:val="DefaultParagraphFont"/>
    <w:uiPriority w:val="99"/>
    <w:semiHidden/>
    <w:rsid w:val="003F1AD6"/>
    <w:rPr>
      <w:color w:val="808080"/>
    </w:rPr>
  </w:style>
  <w:style w:type="character" w:customStyle="1" w:styleId="Heading2Char">
    <w:name w:val="Heading 2 Char"/>
    <w:basedOn w:val="DefaultParagraphFont"/>
    <w:link w:val="Heading2"/>
    <w:semiHidden/>
    <w:rsid w:val="0040137B"/>
    <w:rPr>
      <w:rFonts w:asciiTheme="majorHAnsi" w:eastAsiaTheme="majorEastAsia" w:hAnsiTheme="majorHAnsi" w:cstheme="majorBidi"/>
      <w:color w:val="365F91" w:themeColor="accent1" w:themeShade="BF"/>
      <w:sz w:val="26"/>
      <w:szCs w:val="26"/>
    </w:rPr>
  </w:style>
  <w:style w:type="character" w:customStyle="1" w:styleId="UnresolvedMention2">
    <w:name w:val="Unresolved Mention2"/>
    <w:basedOn w:val="DefaultParagraphFont"/>
    <w:uiPriority w:val="99"/>
    <w:semiHidden/>
    <w:unhideWhenUsed/>
    <w:rsid w:val="0040137B"/>
    <w:rPr>
      <w:color w:val="605E5C"/>
      <w:shd w:val="clear" w:color="auto" w:fill="E1DFDD"/>
    </w:rPr>
  </w:style>
  <w:style w:type="character" w:styleId="UnresolvedMention">
    <w:name w:val="Unresolved Mention"/>
    <w:basedOn w:val="DefaultParagraphFont"/>
    <w:uiPriority w:val="99"/>
    <w:semiHidden/>
    <w:unhideWhenUsed/>
    <w:rsid w:val="0040137B"/>
    <w:rPr>
      <w:color w:val="605E5C"/>
      <w:shd w:val="clear" w:color="auto" w:fill="E1DFDD"/>
    </w:rPr>
  </w:style>
  <w:style w:type="paragraph" w:styleId="ListParagraph">
    <w:name w:val="List Paragraph"/>
    <w:basedOn w:val="Normal"/>
    <w:uiPriority w:val="34"/>
    <w:qFormat/>
    <w:rsid w:val="0040137B"/>
    <w:pPr>
      <w:ind w:left="720"/>
      <w:contextualSpacing/>
    </w:pPr>
  </w:style>
  <w:style w:type="character" w:customStyle="1" w:styleId="Heading3Char">
    <w:name w:val="Heading 3 Char"/>
    <w:basedOn w:val="DefaultParagraphFont"/>
    <w:link w:val="Heading3"/>
    <w:semiHidden/>
    <w:rsid w:val="007723B0"/>
    <w:rPr>
      <w:rFonts w:asciiTheme="majorHAnsi" w:eastAsiaTheme="majorEastAsia" w:hAnsiTheme="majorHAnsi" w:cstheme="majorBidi"/>
      <w:color w:val="243F60" w:themeColor="accent1" w:themeShade="7F"/>
      <w:sz w:val="24"/>
      <w:szCs w:val="24"/>
    </w:rPr>
  </w:style>
  <w:style w:type="paragraph" w:styleId="Caption">
    <w:name w:val="caption"/>
    <w:basedOn w:val="Normal"/>
    <w:next w:val="Normal"/>
    <w:uiPriority w:val="35"/>
    <w:unhideWhenUsed/>
    <w:qFormat/>
    <w:rsid w:val="00EA2A9D"/>
    <w:pPr>
      <w:spacing w:after="200"/>
      <w:jc w:val="center"/>
    </w:pPr>
    <w:rPr>
      <w:rFonts w:ascii="Times New Roman" w:eastAsiaTheme="minorHAnsi" w:hAnsi="Times New Roman" w:cstheme="minorBidi"/>
      <w:b/>
      <w:iCs/>
      <w:color w:val="000000" w:themeColor="text1"/>
      <w:sz w:val="24"/>
      <w:szCs w:val="18"/>
    </w:rPr>
  </w:style>
  <w:style w:type="character" w:customStyle="1" w:styleId="Heading6Char">
    <w:name w:val="Heading 6 Char"/>
    <w:basedOn w:val="DefaultParagraphFont"/>
    <w:link w:val="Heading6"/>
    <w:semiHidden/>
    <w:rsid w:val="001A2217"/>
    <w:rPr>
      <w:rFonts w:asciiTheme="majorHAnsi" w:eastAsiaTheme="majorEastAsia" w:hAnsiTheme="majorHAnsi" w:cstheme="majorBidi"/>
      <w:color w:val="243F60" w:themeColor="accent1" w:themeShade="7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6791D-A76D-43E8-9B3A-AC6477027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2290</TotalTime>
  <Pages>26</Pages>
  <Words>10531</Words>
  <Characters>60031</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70422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Editor-11</cp:lastModifiedBy>
  <cp:revision>17</cp:revision>
  <cp:lastPrinted>2025-02-25T17:45:00Z</cp:lastPrinted>
  <dcterms:created xsi:type="dcterms:W3CDTF">2025-02-03T02:18:00Z</dcterms:created>
  <dcterms:modified xsi:type="dcterms:W3CDTF">2025-10-16T06:35:00Z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Section">
    <vt:lpwstr>1</vt:lpwstr>
  </property>
  <property fmtid="{D5CDD505-2E9C-101B-9397-08002B2CF9AE}" pid="3" name="MTWinEqns">
    <vt:bool>true</vt:bool>
  </property>
  <property fmtid="{D5CDD505-2E9C-101B-9397-08002B2CF9AE}" pid="4" name="MTEquationNumber2">
    <vt:lpwstr>(#C1.#E1)</vt:lpwstr>
  </property>
  <property fmtid="{D5CDD505-2E9C-101B-9397-08002B2CF9AE}" pid="5" name="GrammarlyDocumentId">
    <vt:lpwstr>43573ca4-c6f6-4ed9-be8a-997883558190</vt:lpwstr>
  </property>
</Properties>
</file>