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2BF0" w14:textId="77777777" w:rsidR="00754C9A" w:rsidRDefault="00754C9A" w:rsidP="00441B6F">
      <w:pPr>
        <w:pStyle w:val="Title"/>
        <w:spacing w:after="0"/>
        <w:jc w:val="both"/>
        <w:rPr>
          <w:rFonts w:ascii="Arial" w:hAnsi="Arial" w:cs="Arial"/>
        </w:rPr>
      </w:pPr>
    </w:p>
    <w:p w14:paraId="04A25F2C" w14:textId="15F9FBFC"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092B75">
        <w:rPr>
          <w:rFonts w:ascii="Arial" w:hAnsi="Arial" w:cs="Arial"/>
          <w:bCs/>
          <w:iCs/>
          <w:kern w:val="28"/>
          <w:sz w:val="36"/>
        </w:rPr>
        <w:t>he Impact of International Financial Reporting Standards (IFRS) Adoption on Financial Reporting Quality on Listed Companies in Malawi</w:t>
      </w:r>
    </w:p>
    <w:p w14:paraId="6429CB50" w14:textId="77777777" w:rsidR="00A258C3" w:rsidRPr="00790ADA" w:rsidRDefault="00A258C3" w:rsidP="00441B6F">
      <w:pPr>
        <w:pStyle w:val="Author"/>
        <w:spacing w:line="240" w:lineRule="auto"/>
        <w:jc w:val="both"/>
        <w:rPr>
          <w:rFonts w:ascii="Arial" w:hAnsi="Arial" w:cs="Arial"/>
          <w:sz w:val="36"/>
        </w:rPr>
      </w:pPr>
    </w:p>
    <w:p w14:paraId="058E8B49" w14:textId="77777777" w:rsidR="00790ADA" w:rsidRDefault="00790ADA" w:rsidP="00441B6F">
      <w:pPr>
        <w:pStyle w:val="Affiliation"/>
        <w:spacing w:after="0" w:line="240" w:lineRule="auto"/>
        <w:jc w:val="both"/>
        <w:rPr>
          <w:rFonts w:ascii="Arial" w:hAnsi="Arial" w:cs="Arial"/>
        </w:rPr>
      </w:pPr>
    </w:p>
    <w:p w14:paraId="44517920" w14:textId="1D3AE127" w:rsidR="00B01FCD" w:rsidRPr="00FB3A86" w:rsidRDefault="00092B75" w:rsidP="00441B6F">
      <w:pPr>
        <w:pStyle w:val="Copyright"/>
        <w:spacing w:after="0" w:line="240" w:lineRule="auto"/>
        <w:jc w:val="both"/>
        <w:rPr>
          <w:rFonts w:ascii="Arial" w:hAnsi="Arial" w:cs="Arial"/>
        </w:rPr>
        <w:sectPr w:rsidR="00B01FCD" w:rsidRPr="00FB3A86" w:rsidSect="00EC45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C24866" wp14:editId="204F4C9D">
                <wp:extent cx="5303520" cy="635"/>
                <wp:effectExtent l="13335" t="13335" r="17145" b="15240"/>
                <wp:docPr id="14285895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2C7B8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26660FB" w14:textId="2020476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100DB5" w14:textId="77777777" w:rsidTr="001E44FE">
        <w:tc>
          <w:tcPr>
            <w:tcW w:w="9576" w:type="dxa"/>
            <w:shd w:val="clear" w:color="auto" w:fill="F2F2F2"/>
          </w:tcPr>
          <w:p w14:paraId="387B4A53" w14:textId="77777777" w:rsidR="00612895" w:rsidRPr="007719AD" w:rsidRDefault="00BA1B01" w:rsidP="00441B6F">
            <w:pPr>
              <w:pStyle w:val="Body"/>
              <w:spacing w:after="0"/>
              <w:rPr>
                <w:rFonts w:ascii="Times New Roman" w:hAnsi="Times New Roman"/>
              </w:rPr>
            </w:pPr>
            <w:r w:rsidRPr="00BA1B01">
              <w:rPr>
                <w:rFonts w:ascii="Arial" w:eastAsia="Calibri" w:hAnsi="Arial" w:cs="Arial"/>
                <w:b/>
                <w:szCs w:val="22"/>
              </w:rPr>
              <w:t xml:space="preserve">Aims: </w:t>
            </w:r>
            <w:r w:rsidR="007951B2" w:rsidRPr="007719AD">
              <w:rPr>
                <w:rFonts w:ascii="Arial" w:hAnsi="Arial" w:cs="Arial"/>
              </w:rPr>
              <w:t>Financial reporting quality has been central to maintaining market confidence and efficiency. High-quality financial reporting has been attributed to fostering investor and stakeholder trust, benefiting organizations and the capital market. Different factors have been identified as contributing to organizations achieving higher financial reporting quality. This study examines the adoption of International Financial Reporting Standards (IFRS) and its impact on financial reporting quality.</w:t>
            </w:r>
            <w:r w:rsidR="007951B2" w:rsidRPr="007719AD">
              <w:rPr>
                <w:rFonts w:ascii="Times New Roman" w:hAnsi="Times New Roman"/>
              </w:rPr>
              <w:t xml:space="preserve"> </w:t>
            </w:r>
          </w:p>
          <w:p w14:paraId="1453DA2A" w14:textId="484C76E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6747E1" w:rsidRPr="007719AD">
              <w:rPr>
                <w:rFonts w:ascii="Arial" w:eastAsia="Calibri" w:hAnsi="Arial" w:cs="Arial"/>
                <w:b/>
              </w:rPr>
              <w:t xml:space="preserve"> </w:t>
            </w:r>
            <w:r w:rsidR="00EF0F60" w:rsidRPr="00305A10">
              <w:rPr>
                <w:rFonts w:ascii="Arial" w:eastAsia="Calibri" w:hAnsi="Arial" w:cs="Arial"/>
                <w:sz w:val="22"/>
                <w:szCs w:val="22"/>
              </w:rPr>
              <w:t xml:space="preserve">Using a positivist research paradigm, the study employed </w:t>
            </w:r>
            <w:r w:rsidR="00305A10" w:rsidRPr="007719AD">
              <w:rPr>
                <w:rFonts w:ascii="Arial" w:eastAsia="Calibri" w:hAnsi="Arial" w:cs="Arial"/>
              </w:rPr>
              <w:t xml:space="preserve">quantitative archival method. </w:t>
            </w:r>
          </w:p>
          <w:p w14:paraId="6FE5292A" w14:textId="1DBF03A9" w:rsidR="00BA1B01" w:rsidRPr="00BA1B01" w:rsidRDefault="00BA1B01" w:rsidP="00441B6F">
            <w:pPr>
              <w:pStyle w:val="Body"/>
              <w:spacing w:after="0"/>
              <w:rPr>
                <w:rFonts w:ascii="Arial" w:eastAsia="Calibri" w:hAnsi="Arial" w:cs="Arial"/>
                <w:szCs w:val="22"/>
              </w:rPr>
            </w:pPr>
            <w:r w:rsidRPr="007719AD">
              <w:rPr>
                <w:rFonts w:ascii="Arial" w:eastAsia="Calibri" w:hAnsi="Arial" w:cs="Arial"/>
                <w:b/>
              </w:rPr>
              <w:t>Place and Duration of Study:</w:t>
            </w:r>
            <w:r w:rsidR="006747E1" w:rsidRPr="007719AD">
              <w:rPr>
                <w:rFonts w:ascii="Arial" w:eastAsia="Calibri" w:hAnsi="Arial" w:cs="Arial"/>
                <w:b/>
              </w:rPr>
              <w:t xml:space="preserve"> </w:t>
            </w:r>
            <w:r w:rsidR="006747E1" w:rsidRPr="007719AD">
              <w:rPr>
                <w:rFonts w:ascii="Arial" w:eastAsia="Calibri" w:hAnsi="Arial" w:cs="Arial"/>
                <w:bCs/>
              </w:rPr>
              <w:t>The</w:t>
            </w:r>
            <w:r w:rsidR="006747E1" w:rsidRPr="007719AD">
              <w:rPr>
                <w:rFonts w:ascii="Arial" w:hAnsi="Arial" w:cs="Arial"/>
              </w:rPr>
              <w:t xml:space="preserve"> study employed longitudinal analysis and quantitative archival methods to investigate companies listed on the Malawi Stock Exchange from 2008 to 2019. </w:t>
            </w:r>
            <w:r w:rsidRPr="007719AD">
              <w:rPr>
                <w:rFonts w:ascii="Arial" w:eastAsia="Calibri" w:hAnsi="Arial" w:cs="Arial"/>
              </w:rPr>
              <w:t xml:space="preserve"> </w:t>
            </w:r>
          </w:p>
          <w:p w14:paraId="45691B08" w14:textId="6347FA32" w:rsidR="00BA1B01" w:rsidRPr="00BA1B01" w:rsidRDefault="00BA1B01" w:rsidP="00441B6F">
            <w:pPr>
              <w:pStyle w:val="Body"/>
              <w:spacing w:after="0"/>
              <w:rPr>
                <w:rFonts w:ascii="Arial" w:eastAsia="Calibri" w:hAnsi="Arial" w:cs="Arial"/>
                <w:szCs w:val="22"/>
              </w:rPr>
            </w:pPr>
            <w:r w:rsidRPr="007719AD">
              <w:rPr>
                <w:rFonts w:ascii="Arial" w:eastAsia="Calibri" w:hAnsi="Arial" w:cs="Arial"/>
                <w:b/>
                <w:bCs/>
              </w:rPr>
              <w:t>Methodology:</w:t>
            </w:r>
            <w:r w:rsidRPr="007719AD">
              <w:rPr>
                <w:rFonts w:ascii="Arial" w:eastAsia="Calibri" w:hAnsi="Arial" w:cs="Arial"/>
              </w:rPr>
              <w:t xml:space="preserve"> </w:t>
            </w:r>
            <w:r w:rsidR="00A6481B" w:rsidRPr="007719AD">
              <w:rPr>
                <w:rFonts w:ascii="Arial" w:eastAsia="Calibri" w:hAnsi="Arial" w:cs="Arial"/>
              </w:rPr>
              <w:t xml:space="preserve">The study </w:t>
            </w:r>
            <w:r w:rsidR="00AD1CA0" w:rsidRPr="007719AD">
              <w:rPr>
                <w:rFonts w:ascii="Arial" w:eastAsia="Calibri" w:hAnsi="Arial" w:cs="Arial"/>
              </w:rPr>
              <w:t xml:space="preserve">used all the listed companies on Malawi Stock exchange between 2008 and 2019. </w:t>
            </w:r>
            <w:r w:rsidR="00D265FD" w:rsidRPr="007719AD">
              <w:rPr>
                <w:rFonts w:ascii="Arial" w:eastAsia="Calibri" w:hAnsi="Arial" w:cs="Arial"/>
              </w:rPr>
              <w:t>The study used repeated measures ANOVA to measure the financial reporting quality for the various IFRS transition stages (preparation</w:t>
            </w:r>
            <w:r w:rsidR="00943EDD" w:rsidRPr="007719AD">
              <w:rPr>
                <w:rFonts w:ascii="Arial" w:eastAsia="Calibri" w:hAnsi="Arial" w:cs="Arial"/>
              </w:rPr>
              <w:t xml:space="preserve"> 2009 to 2013</w:t>
            </w:r>
            <w:r w:rsidR="00D265FD" w:rsidRPr="007719AD">
              <w:rPr>
                <w:rFonts w:ascii="Arial" w:eastAsia="Calibri" w:hAnsi="Arial" w:cs="Arial"/>
              </w:rPr>
              <w:t>, implementation</w:t>
            </w:r>
            <w:r w:rsidR="00943EDD" w:rsidRPr="007719AD">
              <w:rPr>
                <w:rFonts w:ascii="Arial" w:eastAsia="Calibri" w:hAnsi="Arial" w:cs="Arial"/>
              </w:rPr>
              <w:t xml:space="preserve"> 2014 to 2016</w:t>
            </w:r>
            <w:r w:rsidR="00D265FD" w:rsidRPr="007719AD">
              <w:rPr>
                <w:rFonts w:ascii="Arial" w:eastAsia="Calibri" w:hAnsi="Arial" w:cs="Arial"/>
              </w:rPr>
              <w:t>, and adoption</w:t>
            </w:r>
            <w:r w:rsidR="00943EDD" w:rsidRPr="007719AD">
              <w:rPr>
                <w:rFonts w:ascii="Arial" w:eastAsia="Calibri" w:hAnsi="Arial" w:cs="Arial"/>
              </w:rPr>
              <w:t xml:space="preserve"> 2017 to 2019</w:t>
            </w:r>
            <w:r w:rsidR="00D265FD" w:rsidRPr="007719AD">
              <w:rPr>
                <w:rFonts w:ascii="Arial" w:eastAsia="Calibri" w:hAnsi="Arial" w:cs="Arial"/>
              </w:rPr>
              <w:t xml:space="preserve">). </w:t>
            </w:r>
          </w:p>
          <w:p w14:paraId="355143F1" w14:textId="3E3A296F" w:rsidR="00695152" w:rsidRPr="007719AD" w:rsidRDefault="00BA1B01" w:rsidP="00441B6F">
            <w:pPr>
              <w:pStyle w:val="Body"/>
              <w:spacing w:after="0"/>
              <w:rPr>
                <w:rFonts w:ascii="Arial" w:hAnsi="Arial" w:cs="Arial"/>
              </w:rPr>
            </w:pPr>
            <w:r w:rsidRPr="007719AD">
              <w:rPr>
                <w:rFonts w:ascii="Arial" w:eastAsia="Calibri" w:hAnsi="Arial" w:cs="Arial"/>
                <w:b/>
                <w:bCs/>
              </w:rPr>
              <w:t>Results:</w:t>
            </w:r>
            <w:r w:rsidRPr="007719AD">
              <w:rPr>
                <w:rFonts w:ascii="Arial" w:eastAsia="Calibri" w:hAnsi="Arial" w:cs="Arial"/>
              </w:rPr>
              <w:t xml:space="preserve"> </w:t>
            </w:r>
            <w:r w:rsidR="00695152" w:rsidRPr="007719AD">
              <w:rPr>
                <w:rFonts w:ascii="Arial" w:eastAsia="Calibri" w:hAnsi="Arial" w:cs="Arial"/>
              </w:rPr>
              <w:t>This study found that the financial reports did not significantly change after adopting IFRS</w:t>
            </w:r>
            <w:r w:rsidR="003E60AB" w:rsidRPr="007719AD">
              <w:rPr>
                <w:rFonts w:ascii="Arial" w:eastAsia="Calibri" w:hAnsi="Arial" w:cs="Arial"/>
              </w:rPr>
              <w:t xml:space="preserve"> (</w:t>
            </w:r>
            <w:proofErr w:type="gramStart"/>
            <w:r w:rsidR="003E60AB" w:rsidRPr="007719AD">
              <w:rPr>
                <w:rFonts w:ascii="Arial" w:eastAsia="Calibri" w:hAnsi="Arial" w:cs="Arial"/>
              </w:rPr>
              <w:t>f(</w:t>
            </w:r>
            <w:proofErr w:type="gramEnd"/>
            <w:r w:rsidR="003E60AB" w:rsidRPr="007719AD">
              <w:rPr>
                <w:rFonts w:ascii="Arial" w:eastAsia="Calibri" w:hAnsi="Arial" w:cs="Arial"/>
              </w:rPr>
              <w:t>2,24) = 1.317, ƞ</w:t>
            </w:r>
            <w:r w:rsidR="003E60AB" w:rsidRPr="007719AD">
              <w:rPr>
                <w:rFonts w:ascii="Arial" w:eastAsia="Calibri" w:hAnsi="Arial" w:cs="Arial"/>
                <w:vertAlign w:val="subscript"/>
              </w:rPr>
              <w:t>2</w:t>
            </w:r>
            <w:r w:rsidR="003E60AB" w:rsidRPr="007719AD">
              <w:rPr>
                <w:rFonts w:ascii="Arial" w:eastAsia="Calibri" w:hAnsi="Arial" w:cs="Arial"/>
              </w:rPr>
              <w:t xml:space="preserve"> = .009, </w:t>
            </w:r>
            <w:r w:rsidR="003E60AB" w:rsidRPr="007719AD">
              <w:rPr>
                <w:rFonts w:ascii="Arial" w:eastAsia="Calibri" w:hAnsi="Arial" w:cs="Arial"/>
                <w:i/>
                <w:iCs/>
              </w:rPr>
              <w:t>p-</w:t>
            </w:r>
            <w:r w:rsidR="003E60AB" w:rsidRPr="007719AD">
              <w:rPr>
                <w:rFonts w:ascii="Arial" w:eastAsia="Calibri" w:hAnsi="Arial" w:cs="Arial"/>
              </w:rPr>
              <w:t>value = .287.</w:t>
            </w:r>
            <w:r w:rsidR="00E163BF" w:rsidRPr="007719AD">
              <w:rPr>
                <w:rFonts w:ascii="Arial" w:eastAsia="Calibri" w:hAnsi="Arial" w:cs="Arial"/>
              </w:rPr>
              <w:t>)</w:t>
            </w:r>
            <w:r w:rsidR="003E60AB" w:rsidRPr="007719AD">
              <w:rPr>
                <w:rFonts w:ascii="Times New Roman" w:eastAsia="Calibri" w:hAnsi="Times New Roman"/>
              </w:rPr>
              <w:t xml:space="preserve"> </w:t>
            </w:r>
            <w:r w:rsidR="004E53AD" w:rsidRPr="007719AD">
              <w:rPr>
                <w:rFonts w:ascii="Arial" w:hAnsi="Arial" w:cs="Arial"/>
              </w:rPr>
              <w:t>However, the study showed changes between the IFRS transition periods, starting with an increase in the percentage of movement toward financial reporting quality from the preparation period of 55.38% to 71.79% in the implementation period. However, the percentage towards good financial reporting quality dropped in the adoption period after implementation to 61.54%.</w:t>
            </w:r>
          </w:p>
          <w:p w14:paraId="175E2DCF" w14:textId="711DF54F" w:rsidR="00505F06" w:rsidRPr="0091664B" w:rsidRDefault="00BA1B01" w:rsidP="00831769">
            <w:pPr>
              <w:rPr>
                <w:rFonts w:ascii="Arial" w:hAnsi="Arial" w:cs="Arial"/>
                <w:sz w:val="22"/>
                <w:szCs w:val="22"/>
              </w:rPr>
            </w:pPr>
            <w:r w:rsidRPr="00BA1B01">
              <w:rPr>
                <w:rFonts w:ascii="Arial" w:eastAsia="Calibri" w:hAnsi="Arial" w:cs="Arial"/>
                <w:b/>
                <w:szCs w:val="22"/>
              </w:rPr>
              <w:t>Conclusion:</w:t>
            </w:r>
            <w:r w:rsidRPr="00BA1B01">
              <w:rPr>
                <w:rFonts w:ascii="Arial" w:eastAsia="Calibri" w:hAnsi="Arial" w:cs="Arial"/>
                <w:szCs w:val="22"/>
              </w:rPr>
              <w:t xml:space="preserve"> </w:t>
            </w:r>
            <w:r w:rsidR="00831769" w:rsidRPr="007719AD">
              <w:rPr>
                <w:rFonts w:ascii="Arial" w:hAnsi="Arial" w:cs="Arial"/>
              </w:rPr>
              <w:t>The findings showed that adopting IFRS involves a complex, non-linear process that affects financial reporting quality differently across various transition periods. Understanding this relationship is crucial for regulators, companies, and investors, as it has different implications for each group. The study results show that the post-adoption phase of IFRS is critical for both organizations and regulators to ensure that the benefits of these international standards are fully realized and sustained over time.</w:t>
            </w:r>
          </w:p>
        </w:tc>
      </w:tr>
    </w:tbl>
    <w:p w14:paraId="69EA925F" w14:textId="77777777" w:rsidR="00C85BBF" w:rsidRDefault="00C85BBF" w:rsidP="00441B6F">
      <w:pPr>
        <w:pStyle w:val="Body"/>
        <w:spacing w:after="0"/>
        <w:rPr>
          <w:rFonts w:ascii="Arial" w:hAnsi="Arial" w:cs="Arial"/>
          <w:i/>
        </w:rPr>
      </w:pPr>
    </w:p>
    <w:p w14:paraId="66FE3A80" w14:textId="06DD3C57" w:rsidR="00A24E7E" w:rsidRDefault="00A24E7E" w:rsidP="00441B6F">
      <w:pPr>
        <w:pStyle w:val="Body"/>
        <w:spacing w:after="0"/>
        <w:rPr>
          <w:rFonts w:ascii="Arial" w:hAnsi="Arial" w:cs="Arial"/>
          <w:i/>
        </w:rPr>
      </w:pPr>
      <w:r>
        <w:rPr>
          <w:rFonts w:ascii="Arial" w:hAnsi="Arial" w:cs="Arial"/>
          <w:i/>
        </w:rPr>
        <w:t xml:space="preserve">Keywords: </w:t>
      </w:r>
      <w:r w:rsidR="00025279">
        <w:rPr>
          <w:rFonts w:ascii="Arial" w:hAnsi="Arial" w:cs="Arial"/>
          <w:i/>
        </w:rPr>
        <w:t>International Finan</w:t>
      </w:r>
      <w:r w:rsidR="00491130">
        <w:rPr>
          <w:rFonts w:ascii="Arial" w:hAnsi="Arial" w:cs="Arial"/>
          <w:i/>
        </w:rPr>
        <w:t>cial Reporting Standards, Adoption, Financial Reporting Quality</w:t>
      </w:r>
      <w:r w:rsidR="00B8186B">
        <w:rPr>
          <w:rFonts w:ascii="Arial" w:hAnsi="Arial" w:cs="Arial"/>
          <w:i/>
        </w:rPr>
        <w:t>, Agency Problem</w:t>
      </w:r>
      <w:r w:rsidR="00491130">
        <w:rPr>
          <w:rFonts w:ascii="Arial" w:hAnsi="Arial" w:cs="Arial"/>
          <w:i/>
        </w:rPr>
        <w:t xml:space="preserve"> </w:t>
      </w:r>
    </w:p>
    <w:p w14:paraId="4217213C" w14:textId="77777777" w:rsidR="00790ADA" w:rsidRDefault="00790ADA" w:rsidP="00441B6F">
      <w:pPr>
        <w:pStyle w:val="Body"/>
        <w:spacing w:after="0"/>
        <w:rPr>
          <w:rFonts w:ascii="Arial" w:hAnsi="Arial" w:cs="Arial"/>
          <w:i/>
        </w:rPr>
      </w:pPr>
    </w:p>
    <w:p w14:paraId="60F736AC" w14:textId="77777777" w:rsidR="0024282C" w:rsidRDefault="0024282C" w:rsidP="00441B6F">
      <w:pPr>
        <w:pStyle w:val="Body"/>
        <w:spacing w:after="0"/>
        <w:rPr>
          <w:rFonts w:ascii="Arial" w:hAnsi="Arial" w:cs="Arial"/>
          <w:i/>
          <w:sz w:val="18"/>
        </w:rPr>
      </w:pPr>
    </w:p>
    <w:p w14:paraId="06F946F2" w14:textId="77777777" w:rsidR="00505F06" w:rsidRPr="00A24E7E" w:rsidRDefault="00505F06" w:rsidP="00441B6F">
      <w:pPr>
        <w:pStyle w:val="Body"/>
        <w:spacing w:after="0"/>
        <w:rPr>
          <w:rFonts w:ascii="Arial" w:hAnsi="Arial" w:cs="Arial"/>
          <w:i/>
        </w:rPr>
      </w:pPr>
    </w:p>
    <w:p w14:paraId="242358F4" w14:textId="2AD3C09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185477" w14:textId="77777777" w:rsidR="00790ADA" w:rsidRPr="00FB3A86" w:rsidRDefault="00790ADA" w:rsidP="00441B6F">
      <w:pPr>
        <w:pStyle w:val="AbstHead"/>
        <w:spacing w:after="0"/>
        <w:jc w:val="both"/>
        <w:rPr>
          <w:rFonts w:ascii="Arial" w:hAnsi="Arial" w:cs="Arial"/>
        </w:rPr>
      </w:pPr>
    </w:p>
    <w:p w14:paraId="6082F66F" w14:textId="6146619F" w:rsidR="002724DD" w:rsidRPr="002724DD" w:rsidRDefault="00583CD7" w:rsidP="002724DD">
      <w:pPr>
        <w:pStyle w:val="Body"/>
        <w:rPr>
          <w:rFonts w:ascii="Arial" w:hAnsi="Arial" w:cs="Arial"/>
        </w:rPr>
      </w:pPr>
      <w:r w:rsidRPr="00583CD7">
        <w:rPr>
          <w:rFonts w:ascii="Arial" w:hAnsi="Arial" w:cs="Arial"/>
        </w:rPr>
        <w:t>Financial reporting quality is a cornerstone of effective corporate communication and accountability, as it determines the reliability, relevance, and transparency of the information presented in financial statements</w:t>
      </w:r>
      <w:r w:rsidR="0048530A">
        <w:rPr>
          <w:rFonts w:ascii="Arial" w:hAnsi="Arial" w:cs="Arial"/>
        </w:rPr>
        <w:t xml:space="preserve">. </w:t>
      </w:r>
      <w:r w:rsidR="002724DD" w:rsidRPr="002724DD">
        <w:rPr>
          <w:rFonts w:ascii="Arial" w:hAnsi="Arial" w:cs="Arial"/>
        </w:rPr>
        <w:t>Quality is central to discussions on financial reporting, regulation, and the establishment of accounting standards worldwide (</w:t>
      </w:r>
      <w:proofErr w:type="spellStart"/>
      <w:r w:rsidR="002724DD" w:rsidRPr="002724DD">
        <w:rPr>
          <w:rFonts w:ascii="Arial" w:hAnsi="Arial" w:cs="Arial"/>
        </w:rPr>
        <w:t>Agienohuwa</w:t>
      </w:r>
      <w:proofErr w:type="spellEnd"/>
      <w:r w:rsidR="002724DD" w:rsidRPr="002724DD">
        <w:rPr>
          <w:rFonts w:ascii="Arial" w:hAnsi="Arial" w:cs="Arial"/>
        </w:rPr>
        <w:t xml:space="preserve"> &amp; </w:t>
      </w:r>
      <w:proofErr w:type="spellStart"/>
      <w:r w:rsidR="002724DD" w:rsidRPr="002724DD">
        <w:rPr>
          <w:rFonts w:ascii="Arial" w:hAnsi="Arial" w:cs="Arial"/>
        </w:rPr>
        <w:t>Ilaboya</w:t>
      </w:r>
      <w:proofErr w:type="spellEnd"/>
      <w:r w:rsidR="002724DD" w:rsidRPr="002724DD">
        <w:rPr>
          <w:rFonts w:ascii="Arial" w:hAnsi="Arial" w:cs="Arial"/>
        </w:rPr>
        <w:t xml:space="preserve">, </w:t>
      </w:r>
      <w:r w:rsidR="002724DD" w:rsidRPr="002724DD">
        <w:rPr>
          <w:rFonts w:ascii="Arial" w:hAnsi="Arial" w:cs="Arial"/>
        </w:rPr>
        <w:lastRenderedPageBreak/>
        <w:t xml:space="preserve">2018). International Financial Reporting Standards (IFRS) have been increasingly adopted worldwide to enhance the quality of accounting information by providing a unified framework for financial reporting (Al Malzouri, 2023). They further state that the primary goal of the International Accounting Standards Board (IASB) is to bolster and improve confidence in financial reporting, which is achieved through the adoption of IFRS. </w:t>
      </w:r>
      <w:proofErr w:type="spellStart"/>
      <w:r w:rsidR="002724DD" w:rsidRPr="002724DD">
        <w:rPr>
          <w:rFonts w:ascii="Arial" w:hAnsi="Arial" w:cs="Arial"/>
        </w:rPr>
        <w:t>Agienohuwa</w:t>
      </w:r>
      <w:proofErr w:type="spellEnd"/>
      <w:r w:rsidR="002724DD" w:rsidRPr="002724DD">
        <w:rPr>
          <w:rFonts w:ascii="Arial" w:hAnsi="Arial" w:cs="Arial"/>
        </w:rPr>
        <w:t xml:space="preserve"> and </w:t>
      </w:r>
      <w:proofErr w:type="spellStart"/>
      <w:r w:rsidR="002724DD" w:rsidRPr="002724DD">
        <w:rPr>
          <w:rFonts w:ascii="Arial" w:hAnsi="Arial" w:cs="Arial"/>
        </w:rPr>
        <w:t>Ilaboya</w:t>
      </w:r>
      <w:proofErr w:type="spellEnd"/>
      <w:r w:rsidR="002724DD" w:rsidRPr="002724DD">
        <w:rPr>
          <w:rFonts w:ascii="Arial" w:hAnsi="Arial" w:cs="Arial"/>
        </w:rPr>
        <w:t xml:space="preserve"> (2018) also state that one frequently cited reason for adopting IFRS is to enhance financial reporting quality. The implementation of IFRS globally aims to enhance accounting through unified financial reporting, thereby improving financial reporting quality.</w:t>
      </w:r>
      <w:r w:rsidR="009C7867">
        <w:rPr>
          <w:rFonts w:ascii="Arial" w:hAnsi="Arial" w:cs="Arial"/>
        </w:rPr>
        <w:t xml:space="preserve"> </w:t>
      </w:r>
      <w:r w:rsidR="002724DD" w:rsidRPr="002724DD">
        <w:rPr>
          <w:rFonts w:ascii="Arial" w:hAnsi="Arial" w:cs="Arial"/>
        </w:rPr>
        <w:t xml:space="preserve">The primary objective of IFRS is to provide investors and other stakeholders with a clear understanding of a company’s financial position and performance, regardless of its geographic location. This standardization enables easier comparison of companies across countries and streamlines cross-border investment decisions (Amiri et al., 2024; Johri, 2024; </w:t>
      </w:r>
      <w:proofErr w:type="spellStart"/>
      <w:r w:rsidR="002724DD" w:rsidRPr="002724DD">
        <w:rPr>
          <w:rFonts w:ascii="Arial" w:hAnsi="Arial" w:cs="Arial"/>
        </w:rPr>
        <w:t>Yusran</w:t>
      </w:r>
      <w:proofErr w:type="spellEnd"/>
      <w:r w:rsidR="002724DD" w:rsidRPr="002724DD">
        <w:rPr>
          <w:rFonts w:ascii="Arial" w:hAnsi="Arial" w:cs="Arial"/>
        </w:rPr>
        <w:t xml:space="preserve">, 2023). </w:t>
      </w:r>
      <w:proofErr w:type="spellStart"/>
      <w:r w:rsidR="002724DD" w:rsidRPr="002724DD">
        <w:rPr>
          <w:rFonts w:ascii="Arial" w:hAnsi="Arial" w:cs="Arial"/>
        </w:rPr>
        <w:t>Alasbahi</w:t>
      </w:r>
      <w:proofErr w:type="spellEnd"/>
      <w:r w:rsidR="002724DD" w:rsidRPr="002724DD">
        <w:rPr>
          <w:rFonts w:ascii="Arial" w:hAnsi="Arial" w:cs="Arial"/>
        </w:rPr>
        <w:t xml:space="preserve"> and Ishwara (2021) state that the primary goal of the IASB is to boost and improve confidence in financial reporting, such as through the adoption of IFRS.</w:t>
      </w:r>
    </w:p>
    <w:p w14:paraId="1B34EE19" w14:textId="77777777" w:rsidR="002724DD" w:rsidRDefault="002724DD" w:rsidP="002724DD">
      <w:pPr>
        <w:pStyle w:val="Body"/>
        <w:spacing w:after="0"/>
        <w:rPr>
          <w:rFonts w:ascii="Arial" w:hAnsi="Arial" w:cs="Arial"/>
        </w:rPr>
      </w:pPr>
      <w:r w:rsidRPr="002724DD">
        <w:rPr>
          <w:rFonts w:ascii="Arial" w:hAnsi="Arial" w:cs="Arial"/>
        </w:rPr>
        <w:t>The adoption of IFRS is globally recognized for its potential to improve financial reporting quality (Amiri et al., 2024). IFRS emphasizes comprehensive principles, harmonization, and transparency in financial reporting, fostering comparability and reliability across jurisdictions (</w:t>
      </w:r>
      <w:proofErr w:type="spellStart"/>
      <w:r w:rsidRPr="002724DD">
        <w:rPr>
          <w:rFonts w:ascii="Arial" w:hAnsi="Arial" w:cs="Arial"/>
        </w:rPr>
        <w:t>Yusran</w:t>
      </w:r>
      <w:proofErr w:type="spellEnd"/>
      <w:r w:rsidRPr="002724DD">
        <w:rPr>
          <w:rFonts w:ascii="Arial" w:hAnsi="Arial" w:cs="Arial"/>
        </w:rPr>
        <w:t>, 2023). By aligning diverse accounting practices under a universal framework, IFRS aims to enhance decision-usefulness for investors and stakeholders. The adoption is often linked to higher financial reporting quality through improved consistency, reduced earnings management, and increased accountability. Nonetheless, challenges such as implementation costs and varied institutional contexts can moderate these benefits. In their paper, Al-Mazroui et al. (2023) state that IFRS is being rapidly adopted worldwide to improve financial reporting quality by providing a unified set of standards. The widespread adoption of IFRS globally underscores its significance and influence on the quality of financial reporting. IFRS standardizes accounting practices, thereby improving the comparability of financial information and facilitating better investment decisions (</w:t>
      </w:r>
      <w:proofErr w:type="spellStart"/>
      <w:r w:rsidRPr="002724DD">
        <w:rPr>
          <w:rFonts w:ascii="Arial" w:hAnsi="Arial" w:cs="Arial"/>
        </w:rPr>
        <w:t>Iatridis</w:t>
      </w:r>
      <w:proofErr w:type="spellEnd"/>
      <w:r w:rsidRPr="002724DD">
        <w:rPr>
          <w:rFonts w:ascii="Arial" w:hAnsi="Arial" w:cs="Arial"/>
        </w:rPr>
        <w:t xml:space="preserve">, 2010; </w:t>
      </w:r>
      <w:proofErr w:type="spellStart"/>
      <w:r w:rsidRPr="002724DD">
        <w:rPr>
          <w:rFonts w:ascii="Arial" w:hAnsi="Arial" w:cs="Arial"/>
        </w:rPr>
        <w:t>Zeghal</w:t>
      </w:r>
      <w:proofErr w:type="spellEnd"/>
      <w:r w:rsidRPr="002724DD">
        <w:rPr>
          <w:rFonts w:ascii="Arial" w:hAnsi="Arial" w:cs="Arial"/>
        </w:rPr>
        <w:t xml:space="preserve"> et al., 2012). Consequently, IFRS serves as a reliable benchmark for assessing the quality of financial reports.</w:t>
      </w:r>
    </w:p>
    <w:p w14:paraId="0EA242D5" w14:textId="77777777" w:rsidR="00FC48E2" w:rsidRDefault="00FC48E2" w:rsidP="002724DD">
      <w:pPr>
        <w:pStyle w:val="Body"/>
        <w:spacing w:after="0"/>
        <w:rPr>
          <w:rFonts w:ascii="Arial" w:hAnsi="Arial" w:cs="Arial"/>
        </w:rPr>
      </w:pPr>
    </w:p>
    <w:p w14:paraId="32099E9A" w14:textId="2550F214" w:rsidR="00CA5304" w:rsidRDefault="004F7F4A" w:rsidP="00CA5304">
      <w:pPr>
        <w:pStyle w:val="Body"/>
        <w:rPr>
          <w:rFonts w:ascii="Arial" w:hAnsi="Arial" w:cs="Arial"/>
        </w:rPr>
      </w:pPr>
      <w:r w:rsidRPr="004F7F4A">
        <w:rPr>
          <w:rFonts w:ascii="Arial" w:hAnsi="Arial" w:cs="Arial"/>
        </w:rPr>
        <w:t>Previous research suggests that adopting the IFRS improves the quality of financial reports. Adnan and Khan (2021) assert that IFRS adoption is expected to enhance the quality of financial reporting. Similarly, Yeboah and Pais (2021) indicate that existing research demonstrates the positive impact of IFRS adoption on accounting quality. Wahyuni et al. (2020) suggest that adopting IFRS positively impacts the quality of financial reporting. Thus, this shows that the general notion from previous studies supports the idea that IFRS improves financial reporting quality.</w:t>
      </w:r>
      <w:r w:rsidR="00B72110">
        <w:rPr>
          <w:rFonts w:ascii="Arial" w:hAnsi="Arial" w:cs="Arial"/>
        </w:rPr>
        <w:t xml:space="preserve"> </w:t>
      </w:r>
      <w:proofErr w:type="spellStart"/>
      <w:r w:rsidR="00CA5304" w:rsidRPr="00CA5304">
        <w:rPr>
          <w:rFonts w:ascii="Arial" w:hAnsi="Arial" w:cs="Arial"/>
        </w:rPr>
        <w:t>Madawaki</w:t>
      </w:r>
      <w:proofErr w:type="spellEnd"/>
      <w:r w:rsidR="00CA5304" w:rsidRPr="00CA5304">
        <w:rPr>
          <w:rFonts w:ascii="Arial" w:hAnsi="Arial" w:cs="Arial"/>
        </w:rPr>
        <w:t xml:space="preserve"> (2012) asserts that implementing IFRS diminishes the necessity for additional information provision or requests, as the detailed disclosure criteria are typically fulfilled. This indicates that IFRS adoption mitigates information disparities and facilitates the delivery of pertinent information to users, enhancing their decision-making capabilities. </w:t>
      </w:r>
    </w:p>
    <w:p w14:paraId="4D0D5BAC" w14:textId="77777777" w:rsidR="00D02C79" w:rsidRPr="00D02C79" w:rsidRDefault="00C56EAB" w:rsidP="00D02C79">
      <w:pPr>
        <w:pStyle w:val="Body"/>
        <w:rPr>
          <w:rFonts w:ascii="Arial" w:hAnsi="Arial" w:cs="Arial"/>
        </w:rPr>
      </w:pPr>
      <w:r>
        <w:rPr>
          <w:rFonts w:ascii="Arial" w:hAnsi="Arial" w:cs="Arial"/>
        </w:rPr>
        <w:t xml:space="preserve">Previous </w:t>
      </w:r>
      <w:r w:rsidRPr="00C56EAB">
        <w:rPr>
          <w:rFonts w:ascii="Arial" w:hAnsi="Arial" w:cs="Arial"/>
        </w:rPr>
        <w:t>studies have approached IFRS from different perspectives, including its effects on earnings management, timely reporting, and extent of disclosure</w:t>
      </w:r>
      <w:r>
        <w:rPr>
          <w:rFonts w:ascii="Arial" w:hAnsi="Arial" w:cs="Arial"/>
        </w:rPr>
        <w:t xml:space="preserve">. </w:t>
      </w:r>
      <w:r w:rsidR="00D02C79" w:rsidRPr="00D02C79">
        <w:rPr>
          <w:rFonts w:ascii="Arial" w:hAnsi="Arial" w:cs="Arial"/>
        </w:rPr>
        <w:t xml:space="preserve">Scholars such as </w:t>
      </w:r>
      <w:proofErr w:type="spellStart"/>
      <w:r w:rsidR="00D02C79" w:rsidRPr="00D02C79">
        <w:rPr>
          <w:rFonts w:ascii="Arial" w:hAnsi="Arial" w:cs="Arial"/>
        </w:rPr>
        <w:t>Olowabi</w:t>
      </w:r>
      <w:proofErr w:type="spellEnd"/>
      <w:r w:rsidR="00D02C79" w:rsidRPr="00D02C79">
        <w:rPr>
          <w:rFonts w:ascii="Arial" w:hAnsi="Arial" w:cs="Arial"/>
        </w:rPr>
        <w:t xml:space="preserve"> and </w:t>
      </w:r>
      <w:proofErr w:type="spellStart"/>
      <w:r w:rsidR="00D02C79" w:rsidRPr="00D02C79">
        <w:rPr>
          <w:rFonts w:ascii="Arial" w:hAnsi="Arial" w:cs="Arial"/>
        </w:rPr>
        <w:t>Iyoha</w:t>
      </w:r>
      <w:proofErr w:type="spellEnd"/>
      <w:r w:rsidR="00D02C79" w:rsidRPr="00D02C79">
        <w:rPr>
          <w:rFonts w:ascii="Arial" w:hAnsi="Arial" w:cs="Arial"/>
        </w:rPr>
        <w:t xml:space="preserve"> (2012) argue that the pursuit of quality financial reporting has driven the adoption of IFRS, asserting that a universally accepted set of financial reporting standards can enhance reporting quality (Cai &amp; Wong, 2010). They contend that IFRS, as a single set of globally accepted standards, fosters comparability and uniformity in financial reporting, facilitating user evaluation and analysis (</w:t>
      </w:r>
      <w:proofErr w:type="spellStart"/>
      <w:r w:rsidR="00D02C79" w:rsidRPr="00D02C79">
        <w:rPr>
          <w:rFonts w:ascii="Arial" w:hAnsi="Arial" w:cs="Arial"/>
        </w:rPr>
        <w:t>Platikanova</w:t>
      </w:r>
      <w:proofErr w:type="spellEnd"/>
      <w:r w:rsidR="00D02C79" w:rsidRPr="00D02C79">
        <w:rPr>
          <w:rFonts w:ascii="Arial" w:hAnsi="Arial" w:cs="Arial"/>
        </w:rPr>
        <w:t xml:space="preserve"> &amp; </w:t>
      </w:r>
      <w:proofErr w:type="spellStart"/>
      <w:r w:rsidR="00D02C79" w:rsidRPr="00D02C79">
        <w:rPr>
          <w:rFonts w:ascii="Arial" w:hAnsi="Arial" w:cs="Arial"/>
        </w:rPr>
        <w:t>Perramon</w:t>
      </w:r>
      <w:proofErr w:type="spellEnd"/>
      <w:r w:rsidR="00D02C79" w:rsidRPr="00D02C79">
        <w:rPr>
          <w:rFonts w:ascii="Arial" w:hAnsi="Arial" w:cs="Arial"/>
        </w:rPr>
        <w:t xml:space="preserve">, 2012). </w:t>
      </w:r>
      <w:proofErr w:type="spellStart"/>
      <w:r w:rsidR="00D02C79" w:rsidRPr="00D02C79">
        <w:rPr>
          <w:rFonts w:ascii="Arial" w:hAnsi="Arial" w:cs="Arial"/>
        </w:rPr>
        <w:t>Madawaki</w:t>
      </w:r>
      <w:proofErr w:type="spellEnd"/>
      <w:r w:rsidR="00D02C79" w:rsidRPr="00D02C79">
        <w:rPr>
          <w:rFonts w:ascii="Arial" w:hAnsi="Arial" w:cs="Arial"/>
        </w:rPr>
        <w:t xml:space="preserve"> (2012) supports the notion by stating that “IFRS represents a single set of high quality, globally accepted accounting standards that can enhance comparability of financial reporting across the globe” </w:t>
      </w:r>
      <w:r w:rsidR="00D02C79" w:rsidRPr="00D02C79">
        <w:rPr>
          <w:rFonts w:ascii="Arial" w:hAnsi="Arial" w:cs="Arial"/>
        </w:rPr>
        <w:lastRenderedPageBreak/>
        <w:t>(p. 153). This indicates that IFRS succeeds in achieving comparability and uniformity in reporting worldwide.</w:t>
      </w:r>
    </w:p>
    <w:p w14:paraId="3E6CFABC" w14:textId="4854E6F2" w:rsidR="00E2626E" w:rsidRPr="00E2626E" w:rsidRDefault="00C6681C" w:rsidP="00E2626E">
      <w:pPr>
        <w:pStyle w:val="Body"/>
        <w:rPr>
          <w:rFonts w:ascii="Arial" w:hAnsi="Arial" w:cs="Arial"/>
        </w:rPr>
      </w:pPr>
      <w:r>
        <w:rPr>
          <w:rFonts w:ascii="Arial" w:hAnsi="Arial" w:cs="Arial"/>
        </w:rPr>
        <w:t xml:space="preserve">Previous </w:t>
      </w:r>
      <w:r w:rsidR="00E2626E" w:rsidRPr="00E2626E">
        <w:rPr>
          <w:rFonts w:ascii="Arial" w:hAnsi="Arial" w:cs="Arial"/>
        </w:rPr>
        <w:t xml:space="preserve">research findings regarding the application of IFRS are as follows: </w:t>
      </w:r>
      <w:proofErr w:type="spellStart"/>
      <w:r w:rsidR="00E2626E" w:rsidRPr="00E2626E">
        <w:rPr>
          <w:rFonts w:ascii="Arial" w:hAnsi="Arial" w:cs="Arial"/>
        </w:rPr>
        <w:t>Păşcan</w:t>
      </w:r>
      <w:proofErr w:type="spellEnd"/>
      <w:r w:rsidR="00E2626E" w:rsidRPr="00E2626E">
        <w:rPr>
          <w:rFonts w:ascii="Arial" w:hAnsi="Arial" w:cs="Arial"/>
        </w:rPr>
        <w:t xml:space="preserve"> (2015) discovered that the widespread use of IFRS spurred research from various angles concerning mandatory or voluntary adoption and its consequences. It is argued that adopting IFRS improves comparability, enhances the quality of financial statements (</w:t>
      </w:r>
      <w:proofErr w:type="spellStart"/>
      <w:r w:rsidR="00E2626E" w:rsidRPr="00E2626E">
        <w:rPr>
          <w:rFonts w:ascii="Arial" w:hAnsi="Arial" w:cs="Arial"/>
        </w:rPr>
        <w:t>Platikano</w:t>
      </w:r>
      <w:proofErr w:type="spellEnd"/>
      <w:r w:rsidR="00E2626E" w:rsidRPr="00E2626E">
        <w:rPr>
          <w:rFonts w:ascii="Arial" w:hAnsi="Arial" w:cs="Arial"/>
        </w:rPr>
        <w:t xml:space="preserve"> &amp; </w:t>
      </w:r>
      <w:proofErr w:type="spellStart"/>
      <w:r w:rsidR="00E2626E" w:rsidRPr="00E2626E">
        <w:rPr>
          <w:rFonts w:ascii="Arial" w:hAnsi="Arial" w:cs="Arial"/>
        </w:rPr>
        <w:t>Perramon</w:t>
      </w:r>
      <w:proofErr w:type="spellEnd"/>
      <w:r w:rsidR="00E2626E" w:rsidRPr="00E2626E">
        <w:rPr>
          <w:rFonts w:ascii="Arial" w:hAnsi="Arial" w:cs="Arial"/>
        </w:rPr>
        <w:t xml:space="preserve">, 2012), and increases overall disclosure in annual reports (Melis &amp; Carta, 2009). Georgescu et al. (2015) also noted that the introduction of IFRS affected the performance of listed companies on the BVB. Outa (2011) examined the impact of eight standards on financial reporting quality, yielding mixed results. While three of the eight standards showed a slight improvement, the remaining five indicated a marginal decline in financial reporting quality. </w:t>
      </w:r>
      <w:proofErr w:type="spellStart"/>
      <w:r w:rsidR="00E2626E" w:rsidRPr="00E2626E">
        <w:rPr>
          <w:rFonts w:ascii="Arial" w:hAnsi="Arial" w:cs="Arial"/>
        </w:rPr>
        <w:t>Yurisandi</w:t>
      </w:r>
      <w:proofErr w:type="spellEnd"/>
      <w:r w:rsidR="00E2626E" w:rsidRPr="00E2626E">
        <w:rPr>
          <w:rFonts w:ascii="Arial" w:hAnsi="Arial" w:cs="Arial"/>
        </w:rPr>
        <w:t xml:space="preserve"> and </w:t>
      </w:r>
      <w:proofErr w:type="spellStart"/>
      <w:r w:rsidR="00E2626E" w:rsidRPr="00E2626E">
        <w:rPr>
          <w:rFonts w:ascii="Arial" w:hAnsi="Arial" w:cs="Arial"/>
        </w:rPr>
        <w:t>Puspitasari</w:t>
      </w:r>
      <w:proofErr w:type="spellEnd"/>
      <w:r w:rsidR="00E2626E" w:rsidRPr="00E2626E">
        <w:rPr>
          <w:rFonts w:ascii="Arial" w:hAnsi="Arial" w:cs="Arial"/>
        </w:rPr>
        <w:t xml:space="preserve"> (2015) concluded that IFRS adoption enhances relevance, comparability, and understandability, improving financial reporting quality. Osasere and Ilabuya (2018) found that following the adoption of IFRS, the quality of financial reporting improved across all five qualitative aspects investigated: relevance, faithful representation, comparability, understandability, and timeliness. Palea (2013) observed that IAS/IFRS adoption enhances the quality of financial reporting, and </w:t>
      </w:r>
      <w:proofErr w:type="spellStart"/>
      <w:r w:rsidR="00E2626E" w:rsidRPr="00E2626E">
        <w:rPr>
          <w:rFonts w:ascii="Arial" w:hAnsi="Arial" w:cs="Arial"/>
        </w:rPr>
        <w:t>Bowrin</w:t>
      </w:r>
      <w:proofErr w:type="spellEnd"/>
      <w:r w:rsidR="00E2626E" w:rsidRPr="00E2626E">
        <w:rPr>
          <w:rFonts w:ascii="Arial" w:hAnsi="Arial" w:cs="Arial"/>
        </w:rPr>
        <w:t xml:space="preserve"> (2008) noted an overall improvement in financial reporting quality with IFRS adoption. However, </w:t>
      </w:r>
      <w:proofErr w:type="spellStart"/>
      <w:r w:rsidR="00E2626E" w:rsidRPr="00E2626E">
        <w:rPr>
          <w:rFonts w:ascii="Arial" w:hAnsi="Arial" w:cs="Arial"/>
        </w:rPr>
        <w:t>Alshetwi’s</w:t>
      </w:r>
      <w:proofErr w:type="spellEnd"/>
      <w:r w:rsidR="00E2626E" w:rsidRPr="00E2626E">
        <w:rPr>
          <w:rFonts w:ascii="Arial" w:hAnsi="Arial" w:cs="Arial"/>
        </w:rPr>
        <w:t xml:space="preserve"> (2020) research discovered that adopting IFRS does not significantly correlate with improved financial reporting quality.</w:t>
      </w:r>
    </w:p>
    <w:p w14:paraId="75DBD210" w14:textId="77777777" w:rsidR="00E2626E" w:rsidRPr="00E2626E" w:rsidRDefault="00E2626E" w:rsidP="00E2626E">
      <w:pPr>
        <w:pStyle w:val="Body"/>
        <w:rPr>
          <w:rFonts w:ascii="Arial" w:hAnsi="Arial" w:cs="Arial"/>
        </w:rPr>
      </w:pPr>
      <w:r w:rsidRPr="00E2626E">
        <w:rPr>
          <w:rFonts w:ascii="Arial" w:hAnsi="Arial" w:cs="Arial"/>
        </w:rPr>
        <w:t>Additionally, Barth et al. (2008) found that the IAS/IFRS application enhances accounting quality, while Liu et al. (2011) suggested a decrease in earnings management and an increase in the value relevance of accounting information. However, Ames (2013) found no significant improvement in earnings management post</w:t>
      </w:r>
      <w:r w:rsidRPr="00E2626E">
        <w:rPr>
          <w:rFonts w:ascii="Arial" w:hAnsi="Arial" w:cs="Arial"/>
          <w:i/>
          <w:iCs/>
        </w:rPr>
        <w:t>-</w:t>
      </w:r>
      <w:r w:rsidRPr="00E2626E">
        <w:rPr>
          <w:rFonts w:ascii="Arial" w:hAnsi="Arial" w:cs="Arial"/>
        </w:rPr>
        <w:t>IFRS adoption. Some studies suggest that adoption may not alter reporting practices significantly and advocate for enhancing other mechanisms to achieve quality financial reporting (</w:t>
      </w:r>
      <w:proofErr w:type="spellStart"/>
      <w:r w:rsidRPr="00E2626E">
        <w:rPr>
          <w:rFonts w:ascii="Arial" w:hAnsi="Arial" w:cs="Arial"/>
        </w:rPr>
        <w:t>Houque</w:t>
      </w:r>
      <w:proofErr w:type="spellEnd"/>
      <w:r w:rsidRPr="00E2626E">
        <w:rPr>
          <w:rFonts w:ascii="Arial" w:hAnsi="Arial" w:cs="Arial"/>
        </w:rPr>
        <w:t xml:space="preserve"> et al., 2010; Chen et al., 2010). Nevertheless, most findings indicate that IFRS adoption has positively impacted the quality of financial statements, prompting many scholars to advocate for strategies to expedite adoption. For instance, </w:t>
      </w:r>
      <w:proofErr w:type="spellStart"/>
      <w:r w:rsidRPr="00E2626E">
        <w:rPr>
          <w:rFonts w:ascii="Arial" w:hAnsi="Arial" w:cs="Arial"/>
        </w:rPr>
        <w:t>Yurisandi</w:t>
      </w:r>
      <w:proofErr w:type="spellEnd"/>
      <w:r w:rsidRPr="00E2626E">
        <w:rPr>
          <w:rFonts w:ascii="Arial" w:hAnsi="Arial" w:cs="Arial"/>
        </w:rPr>
        <w:t xml:space="preserve"> and </w:t>
      </w:r>
      <w:proofErr w:type="spellStart"/>
      <w:r w:rsidRPr="00E2626E">
        <w:rPr>
          <w:rFonts w:ascii="Arial" w:hAnsi="Arial" w:cs="Arial"/>
        </w:rPr>
        <w:t>Puspitasari</w:t>
      </w:r>
      <w:proofErr w:type="spellEnd"/>
      <w:r w:rsidRPr="00E2626E">
        <w:rPr>
          <w:rFonts w:ascii="Arial" w:hAnsi="Arial" w:cs="Arial"/>
        </w:rPr>
        <w:t xml:space="preserve"> (2015) found that implementing IFRS enhanced the quality of reporting. Their study indicated that following the adoption of IFRS, there was a notable improvement in qualitative attributes: relevance, understandability, and comparability. </w:t>
      </w:r>
    </w:p>
    <w:p w14:paraId="0D16B2DE" w14:textId="77777777" w:rsidR="00E2626E" w:rsidRDefault="00E2626E" w:rsidP="00E2626E">
      <w:pPr>
        <w:pStyle w:val="Body"/>
        <w:rPr>
          <w:rFonts w:ascii="Arial" w:hAnsi="Arial" w:cs="Arial"/>
        </w:rPr>
      </w:pPr>
      <w:proofErr w:type="spellStart"/>
      <w:r w:rsidRPr="00E2626E">
        <w:rPr>
          <w:rFonts w:ascii="Arial" w:hAnsi="Arial" w:cs="Arial"/>
        </w:rPr>
        <w:t>Olowabi</w:t>
      </w:r>
      <w:proofErr w:type="spellEnd"/>
      <w:r w:rsidRPr="00E2626E">
        <w:rPr>
          <w:rFonts w:ascii="Arial" w:hAnsi="Arial" w:cs="Arial"/>
        </w:rPr>
        <w:t xml:space="preserve"> and </w:t>
      </w:r>
      <w:proofErr w:type="spellStart"/>
      <w:r w:rsidRPr="00E2626E">
        <w:rPr>
          <w:rFonts w:ascii="Arial" w:hAnsi="Arial" w:cs="Arial"/>
        </w:rPr>
        <w:t>Iyoha</w:t>
      </w:r>
      <w:proofErr w:type="spellEnd"/>
      <w:r w:rsidRPr="00E2626E">
        <w:rPr>
          <w:rFonts w:ascii="Arial" w:hAnsi="Arial" w:cs="Arial"/>
        </w:rPr>
        <w:t xml:space="preserve"> (2012) recommended that all regulatory bodies undertake rigorous IFRS capacity-building programs. </w:t>
      </w:r>
      <w:proofErr w:type="spellStart"/>
      <w:r w:rsidRPr="00E2626E">
        <w:rPr>
          <w:rFonts w:ascii="Arial" w:hAnsi="Arial" w:cs="Arial"/>
        </w:rPr>
        <w:t>Madawaki</w:t>
      </w:r>
      <w:proofErr w:type="spellEnd"/>
      <w:r w:rsidRPr="00E2626E">
        <w:rPr>
          <w:rFonts w:ascii="Arial" w:hAnsi="Arial" w:cs="Arial"/>
        </w:rPr>
        <w:t xml:space="preserve"> (2012) suggested awareness programs emphasizing the importance of IFRS standards in financial statement preparation and the need to enhance the statutory framework of accounting to safeguard public interest. Owolabi and </w:t>
      </w:r>
      <w:proofErr w:type="spellStart"/>
      <w:r w:rsidRPr="00E2626E">
        <w:rPr>
          <w:rFonts w:ascii="Arial" w:hAnsi="Arial" w:cs="Arial"/>
        </w:rPr>
        <w:t>Iyoha</w:t>
      </w:r>
      <w:proofErr w:type="spellEnd"/>
      <w:r w:rsidRPr="00E2626E">
        <w:rPr>
          <w:rFonts w:ascii="Arial" w:hAnsi="Arial" w:cs="Arial"/>
        </w:rPr>
        <w:t xml:space="preserve"> (2012) assert that IFRS adoption is expected to benefit a wide range of users. </w:t>
      </w:r>
      <w:proofErr w:type="spellStart"/>
      <w:r w:rsidRPr="00E2626E">
        <w:rPr>
          <w:rFonts w:ascii="Arial" w:hAnsi="Arial" w:cs="Arial"/>
        </w:rPr>
        <w:t>Nijam</w:t>
      </w:r>
      <w:proofErr w:type="spellEnd"/>
      <w:r w:rsidRPr="00E2626E">
        <w:rPr>
          <w:rFonts w:ascii="Arial" w:hAnsi="Arial" w:cs="Arial"/>
        </w:rPr>
        <w:t xml:space="preserve"> and </w:t>
      </w:r>
      <w:proofErr w:type="spellStart"/>
      <w:r w:rsidRPr="00E2626E">
        <w:rPr>
          <w:rFonts w:ascii="Arial" w:hAnsi="Arial" w:cs="Arial"/>
        </w:rPr>
        <w:t>Jahfer</w:t>
      </w:r>
      <w:proofErr w:type="spellEnd"/>
      <w:r w:rsidRPr="00E2626E">
        <w:rPr>
          <w:rFonts w:ascii="Arial" w:hAnsi="Arial" w:cs="Arial"/>
        </w:rPr>
        <w:t xml:space="preserve"> (2016) discovered that IFRS surpasses many domestic financial reporting standards in terms of both the quantity and quality of disclosures within financial statements. The research conducted by Al-Mazroui et al. (2023) reveals a notable correlation between implementing IFRS and financial reporting standards in Oman. Companies that effectively adopted IFRS exhibited enhanced financial reporting quality, whereas those that struggled with IFRS implementation did not experience a significant impact on their reporting quality. </w:t>
      </w:r>
    </w:p>
    <w:p w14:paraId="1E519565" w14:textId="77777777" w:rsidR="00793032" w:rsidRPr="00E2626E" w:rsidRDefault="00793032" w:rsidP="00793032">
      <w:pPr>
        <w:pStyle w:val="Body"/>
        <w:rPr>
          <w:rFonts w:ascii="Arial" w:hAnsi="Arial" w:cs="Arial"/>
        </w:rPr>
      </w:pPr>
      <w:r w:rsidRPr="00E2626E">
        <w:rPr>
          <w:rFonts w:ascii="Arial" w:hAnsi="Arial" w:cs="Arial"/>
        </w:rPr>
        <w:t xml:space="preserve">In addition to various research studies, meta-analyses were also conducted, and the findings are presented below. Ahmed et al. (2013) conducted a meta-analysis of studies on IFRS adoption, focusing on its effects on financial reporting and capital markets. They investigated the value relevance of financial information and earnings transparency, particularly through discretionary accruals and the quality of analysts’ earnings forecasts. Their findings reveal that the value relevance of the book value of equity has not increased after IFRS adoption. However, the value relevance of earnings has generally improved when evaluated using price </w:t>
      </w:r>
      <w:r w:rsidRPr="00E2626E">
        <w:rPr>
          <w:rFonts w:ascii="Arial" w:hAnsi="Arial" w:cs="Arial"/>
        </w:rPr>
        <w:lastRenderedPageBreak/>
        <w:t>models. Additionally, the results indicate that discretionary accruals have not decreased, but the accuracy of analysts’ forecasts has significantly improved post</w:t>
      </w:r>
      <w:r w:rsidRPr="00E2626E">
        <w:rPr>
          <w:rFonts w:ascii="Arial" w:hAnsi="Arial" w:cs="Arial"/>
          <w:i/>
          <w:iCs/>
        </w:rPr>
        <w:t>-</w:t>
      </w:r>
      <w:r w:rsidRPr="00E2626E">
        <w:rPr>
          <w:rFonts w:ascii="Arial" w:hAnsi="Arial" w:cs="Arial"/>
        </w:rPr>
        <w:t xml:space="preserve">IFRS adoption. While the meta-analysis of Etemadi et al. (2017) was based on the analysis of 107 observations and an independent sample of 401,057 firm-years, results indicate that adopting IFRS has not led to improved financial reporting. The positive or negative consequences of adopting these standards depend on various factors, including a country’s legal system and the accounting and auditing enforcement regime. Additionally, a meta-analysis by Opare et al. (2021), based on 56 empirical studies with 1265 effect sizes, found that adopting IFRS has increased financial reporting quality and market liquidity and reduced the cost of equity. </w:t>
      </w:r>
    </w:p>
    <w:p w14:paraId="1A8829E1" w14:textId="57CC7465" w:rsidR="00790ADA" w:rsidRPr="00FB3A86" w:rsidRDefault="00E2626E" w:rsidP="00C86D9C">
      <w:pPr>
        <w:pStyle w:val="Body"/>
        <w:rPr>
          <w:rFonts w:ascii="Arial" w:hAnsi="Arial" w:cs="Arial"/>
        </w:rPr>
      </w:pPr>
      <w:r w:rsidRPr="00E2626E">
        <w:rPr>
          <w:rFonts w:ascii="Arial" w:hAnsi="Arial" w:cs="Arial"/>
        </w:rPr>
        <w:t xml:space="preserve">Previous research examining the effects of IFRS adoption on the quality of financial reporting has yielded varied outcomes. This disparity is the impetus for investigating the impact of IFRS adoption on financial reporting quality in Malawi. Given the similarity in the Malawian context and the </w:t>
      </w:r>
      <w:proofErr w:type="spellStart"/>
      <w:r w:rsidRPr="00E2626E">
        <w:rPr>
          <w:rFonts w:ascii="Arial" w:hAnsi="Arial" w:cs="Arial"/>
        </w:rPr>
        <w:t>firmography</w:t>
      </w:r>
      <w:proofErr w:type="spellEnd"/>
      <w:r w:rsidRPr="00E2626E">
        <w:rPr>
          <w:rFonts w:ascii="Arial" w:hAnsi="Arial" w:cs="Arial"/>
        </w:rPr>
        <w:t xml:space="preserve"> of the sample firms in this study to those examined by Mensah (2021), Al Mazroui et al. (2023), Aishetwi (2020), Osasere and </w:t>
      </w:r>
      <w:proofErr w:type="spellStart"/>
      <w:r w:rsidRPr="00E2626E">
        <w:rPr>
          <w:rFonts w:ascii="Arial" w:hAnsi="Arial" w:cs="Arial"/>
        </w:rPr>
        <w:t>Ilaboya</w:t>
      </w:r>
      <w:proofErr w:type="spellEnd"/>
      <w:r w:rsidRPr="00E2626E">
        <w:rPr>
          <w:rFonts w:ascii="Arial" w:hAnsi="Arial" w:cs="Arial"/>
        </w:rPr>
        <w:t xml:space="preserve"> (2018), and Musa (2019) who observed improved financial reporting quality following IFRS adoption, this study anticipates a similar influence. Consequently, the following null hypothesis is posited: H</w:t>
      </w:r>
      <w:r w:rsidRPr="00E2626E">
        <w:rPr>
          <w:rFonts w:ascii="Arial" w:hAnsi="Arial" w:cs="Arial"/>
          <w:vertAlign w:val="subscript"/>
        </w:rPr>
        <w:t>01</w:t>
      </w:r>
      <w:r w:rsidRPr="00E2626E">
        <w:rPr>
          <w:rFonts w:ascii="Arial" w:hAnsi="Arial" w:cs="Arial"/>
        </w:rPr>
        <w:t xml:space="preserve"> Financial reports do not show better quality after adopting International Financial Reporting Standards.</w:t>
      </w:r>
    </w:p>
    <w:p w14:paraId="74BB4F76" w14:textId="000FF1D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529CEE3" w14:textId="77777777" w:rsidR="00045C79" w:rsidRDefault="00AA74E0" w:rsidP="00441B6F">
      <w:pPr>
        <w:pStyle w:val="Body"/>
        <w:spacing w:after="0"/>
        <w:rPr>
          <w:rFonts w:ascii="Arial" w:hAnsi="Arial" w:cs="Arial"/>
          <w:b/>
          <w:sz w:val="22"/>
        </w:rPr>
      </w:pPr>
      <w:r w:rsidRPr="00C30A0F">
        <w:rPr>
          <w:rFonts w:ascii="Arial" w:hAnsi="Arial" w:cs="Arial"/>
          <w:b/>
          <w:caps/>
          <w:sz w:val="22"/>
        </w:rPr>
        <w:t xml:space="preserve">2.1 </w:t>
      </w:r>
      <w:r w:rsidR="006C0639">
        <w:rPr>
          <w:rFonts w:ascii="Arial" w:hAnsi="Arial" w:cs="Arial"/>
          <w:b/>
          <w:sz w:val="22"/>
        </w:rPr>
        <w:t xml:space="preserve">Research Design </w:t>
      </w:r>
    </w:p>
    <w:p w14:paraId="4DE1C8E6" w14:textId="77777777" w:rsidR="00045C79" w:rsidRPr="00F5149D" w:rsidRDefault="00AA74E0" w:rsidP="00045C79">
      <w:pPr>
        <w:pStyle w:val="Body"/>
        <w:rPr>
          <w:rFonts w:ascii="Arial" w:hAnsi="Arial" w:cs="Arial"/>
        </w:rPr>
      </w:pPr>
      <w:r w:rsidRPr="00FB3A86">
        <w:t xml:space="preserve"> </w:t>
      </w:r>
      <w:r w:rsidR="00045C79" w:rsidRPr="00F5149D">
        <w:rPr>
          <w:rFonts w:ascii="Arial" w:hAnsi="Arial" w:cs="Arial"/>
        </w:rPr>
        <w:t>A quantitative research method was employed, utilizing a longitudinal time horizon. The research employed three cross-sectional periods to collect data from secondary sources, effectively transforming it into a longitudinal study. That is, six years before the IFRS adoption requirement by the Malawi Companies Act in 2013 (2008</w:t>
      </w:r>
      <w:r w:rsidR="00045C79" w:rsidRPr="00F5149D">
        <w:rPr>
          <w:rFonts w:ascii="Arial" w:hAnsi="Arial" w:cs="Arial"/>
          <w:i/>
          <w:iCs/>
        </w:rPr>
        <w:t>–</w:t>
      </w:r>
      <w:r w:rsidR="00045C79" w:rsidRPr="00F5149D">
        <w:rPr>
          <w:rFonts w:ascii="Arial" w:hAnsi="Arial" w:cs="Arial"/>
        </w:rPr>
        <w:t xml:space="preserve">2013) compared to three years of adjustment (adoption) after the mandatory requirement by the Malawi Companies Act (2014-2016), and lastly, compared to the implementation period, the period after the IFRS adoption requirement announcement (2017-2019). The use of longitudinal studies is supported by Goddard and Melville (2004), who noted that the longitudinal time horizon for data collection refers to the repeated collection and analysis of data over an extended period. The reason for conducting a longitudinal study is to compare the years involved and determine if an organization experienced any changes, and if these changes were favorable. The study sought to note if the quality of reporting on financial statements changed over time during these three periods. To ensure access to the most relevant information, companies listed on the Malawi Stock Exchange (MSE) were selected as the research population.  Annual reports for each company were downloaded from the MSE website and African Financial then analyzed, and relevant data was collected. </w:t>
      </w:r>
    </w:p>
    <w:p w14:paraId="6E18FB78" w14:textId="49FA15E5" w:rsidR="00C54420" w:rsidRDefault="00C54420" w:rsidP="00C54420">
      <w:pPr>
        <w:pStyle w:val="Body"/>
        <w:spacing w:after="0"/>
        <w:rPr>
          <w:rFonts w:ascii="Arial" w:hAnsi="Arial" w:cs="Arial"/>
          <w:b/>
          <w:sz w:val="22"/>
        </w:rPr>
      </w:pPr>
      <w:r w:rsidRPr="00C30A0F">
        <w:rPr>
          <w:rFonts w:ascii="Arial" w:hAnsi="Arial" w:cs="Arial"/>
          <w:b/>
          <w:caps/>
          <w:sz w:val="22"/>
        </w:rPr>
        <w:t>2.</w:t>
      </w:r>
      <w:r w:rsidR="00AE36A2">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Measurement of Variables </w:t>
      </w:r>
    </w:p>
    <w:p w14:paraId="71179D3F" w14:textId="77777777" w:rsidR="00AE36A2" w:rsidRPr="00B15C5D" w:rsidRDefault="00AE36A2" w:rsidP="00AE36A2">
      <w:pPr>
        <w:pStyle w:val="Body"/>
        <w:rPr>
          <w:rFonts w:ascii="Arial" w:hAnsi="Arial" w:cs="Arial"/>
        </w:rPr>
      </w:pPr>
      <w:r w:rsidRPr="00B15C5D">
        <w:rPr>
          <w:rFonts w:ascii="Arial" w:hAnsi="Arial" w:cs="Arial"/>
        </w:rPr>
        <w:t xml:space="preserve">The dependent variable for this study is financial reporting quality, which is measured using the qualitative characteristic of faithful representation (reliability). Financial reporting quality is defined </w:t>
      </w:r>
      <w:r>
        <w:rPr>
          <w:rFonts w:ascii="Arial" w:hAnsi="Arial" w:cs="Arial"/>
        </w:rPr>
        <w:t>by the qualitative characteristic of faithful representation (reliability), which is proxied by the alignment percentage of the Price-to-Book (PB) ratio</w:t>
      </w:r>
      <w:r w:rsidRPr="00B15C5D">
        <w:rPr>
          <w:rFonts w:ascii="Arial" w:hAnsi="Arial" w:cs="Arial"/>
        </w:rPr>
        <w:t xml:space="preserve">. Financial reporting quality was measured using the proportion of companies moving towards good-quality financial reports. This proportion was calculated using the binomial variables, where 0 represents a movement away from 1, indicating poor quality, and 1 represents a movement towards 1, indicating better quality. Better quality is observed when the PB ratio changes towards 1, while poorer quality is observed when the PB ratio changes away from 1. The proportion is expressed as Price-to-Book Alignment (PB alignment). </w:t>
      </w:r>
    </w:p>
    <w:p w14:paraId="31F876F1" w14:textId="77777777" w:rsidR="00AE36A2" w:rsidRPr="00B15C5D" w:rsidRDefault="00AE36A2" w:rsidP="00AE36A2">
      <w:pPr>
        <w:pStyle w:val="Body"/>
        <w:spacing w:after="0"/>
        <w:rPr>
          <w:rFonts w:ascii="Arial" w:hAnsi="Arial" w:cs="Arial"/>
        </w:rPr>
      </w:pPr>
      <w:r w:rsidRPr="00B15C5D">
        <w:rPr>
          <w:rFonts w:ascii="Arial" w:hAnsi="Arial" w:cs="Arial"/>
        </w:rPr>
        <w:t xml:space="preserve">The price-to-book (PB) ratio is a valuation metric representing the market’s assessment of a company’s value (Penman, 2007; Sun, 2012). Hence, the reliability of financial reporting was measured by how well the book value equity aligns with the market value equity. High-quality </w:t>
      </w:r>
      <w:r w:rsidRPr="00B15C5D">
        <w:rPr>
          <w:rFonts w:ascii="Arial" w:hAnsi="Arial" w:cs="Arial"/>
        </w:rPr>
        <w:lastRenderedPageBreak/>
        <w:t xml:space="preserve">financial reporting is represented by better alignment between the accounting-based book value equity and market value equity, measured by the PB ratio (stock price divided by the book value of equity). A PB ratio of 1 indicates perfect alignment between book and market valuation, while </w:t>
      </w:r>
      <w:r>
        <w:rPr>
          <w:rFonts w:ascii="Arial" w:hAnsi="Arial" w:cs="Arial"/>
        </w:rPr>
        <w:t>a variation from 1 indicates over- or undervaluation</w:t>
      </w:r>
      <w:r w:rsidRPr="00B15C5D">
        <w:rPr>
          <w:rFonts w:ascii="Arial" w:hAnsi="Arial" w:cs="Arial"/>
        </w:rPr>
        <w:t xml:space="preserve"> by the books. It is expected that financial reporting quality leads to better alignment between book value and market value, as measured by the stock price. This relationship is expressed in equation 1,</w:t>
      </w:r>
    </w:p>
    <w:p w14:paraId="23F7DB89" w14:textId="77777777" w:rsidR="00AE36A2" w:rsidRDefault="00AE36A2" w:rsidP="00AE36A2">
      <w:pPr>
        <w:pStyle w:val="Body"/>
        <w:spacing w:after="0"/>
        <w:rPr>
          <w:rFonts w:ascii="Arial" w:hAnsi="Arial" w:cs="Arial"/>
        </w:rPr>
      </w:pPr>
      <m:oMath>
        <m:r>
          <m:rPr>
            <m:sty m:val="bi"/>
          </m:rPr>
          <w:rPr>
            <w:rFonts w:ascii="Cambria Math" w:hAnsi="Cambria Math" w:cs="Arial"/>
          </w:rPr>
          <m:t>∆</m:t>
        </m:r>
        <m:d>
          <m:dPr>
            <m:ctrlPr>
              <w:rPr>
                <w:rFonts w:ascii="Cambria Math" w:hAnsi="Cambria Math" w:cs="Arial"/>
                <w:b/>
                <w:bCs/>
                <w:i/>
              </w:rPr>
            </m:ctrlPr>
          </m:dPr>
          <m:e>
            <m:r>
              <m:rPr>
                <m:sty m:val="bi"/>
              </m:rPr>
              <w:rPr>
                <w:rFonts w:ascii="Cambria Math" w:hAnsi="Cambria Math" w:cs="Arial"/>
              </w:rPr>
              <m:t xml:space="preserve">1-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P</m:t>
                    </m:r>
                  </m:e>
                  <m:sub>
                    <m:r>
                      <m:rPr>
                        <m:sty m:val="bi"/>
                      </m:rPr>
                      <w:rPr>
                        <w:rFonts w:ascii="Cambria Math" w:hAnsi="Cambria Math" w:cs="Arial"/>
                      </w:rPr>
                      <m:t>it</m:t>
                    </m:r>
                  </m:sub>
                </m:sSub>
              </m:num>
              <m:den>
                <m:sSub>
                  <m:sSubPr>
                    <m:ctrlPr>
                      <w:rPr>
                        <w:rFonts w:ascii="Cambria Math" w:hAnsi="Cambria Math" w:cs="Arial"/>
                        <w:b/>
                        <w:bCs/>
                        <w:i/>
                      </w:rPr>
                    </m:ctrlPr>
                  </m:sSubPr>
                  <m:e>
                    <m:r>
                      <m:rPr>
                        <m:sty m:val="bi"/>
                      </m:rPr>
                      <w:rPr>
                        <w:rFonts w:ascii="Cambria Math" w:hAnsi="Cambria Math" w:cs="Arial"/>
                      </w:rPr>
                      <m:t>BV</m:t>
                    </m:r>
                  </m:e>
                  <m:sub>
                    <m:r>
                      <m:rPr>
                        <m:sty m:val="bi"/>
                      </m:rPr>
                      <w:rPr>
                        <w:rFonts w:ascii="Cambria Math" w:hAnsi="Cambria Math" w:cs="Arial"/>
                      </w:rPr>
                      <m:t>it</m:t>
                    </m:r>
                  </m:sub>
                </m:sSub>
              </m:den>
            </m:f>
          </m:e>
        </m:d>
      </m:oMath>
      <w:r w:rsidRPr="00B15C5D">
        <w:rPr>
          <w:rFonts w:ascii="Arial" w:hAnsi="Arial" w:cs="Arial"/>
        </w:rPr>
        <w:tab/>
      </w:r>
      <w:r w:rsidRPr="00B15C5D">
        <w:rPr>
          <w:rFonts w:ascii="Arial" w:hAnsi="Arial" w:cs="Arial"/>
        </w:rPr>
        <w:tab/>
      </w:r>
      <w:r w:rsidRPr="00B15C5D">
        <w:rPr>
          <w:rFonts w:ascii="Arial" w:hAnsi="Arial" w:cs="Arial"/>
        </w:rPr>
        <w:tab/>
      </w:r>
      <w:r w:rsidRPr="00B15C5D">
        <w:rPr>
          <w:rFonts w:ascii="Arial" w:hAnsi="Arial" w:cs="Arial"/>
        </w:rPr>
        <w:tab/>
      </w:r>
      <w:r w:rsidRPr="00B15C5D">
        <w:rPr>
          <w:rFonts w:ascii="Arial" w:hAnsi="Arial" w:cs="Arial"/>
        </w:rPr>
        <w:tab/>
        <w:t>Equation 1</w:t>
      </w:r>
    </w:p>
    <w:p w14:paraId="76ADE464" w14:textId="77777777" w:rsidR="00AE36A2" w:rsidRPr="00B15C5D" w:rsidRDefault="00AE36A2" w:rsidP="00AE36A2">
      <w:pPr>
        <w:pStyle w:val="Body"/>
        <w:spacing w:after="0"/>
        <w:rPr>
          <w:rFonts w:ascii="Arial" w:hAnsi="Arial" w:cs="Arial"/>
        </w:rPr>
      </w:pPr>
    </w:p>
    <w:p w14:paraId="081FD76D" w14:textId="77777777" w:rsidR="00AE36A2" w:rsidRPr="00B15C5D" w:rsidRDefault="00AE36A2" w:rsidP="00AE36A2">
      <w:pPr>
        <w:pStyle w:val="Body"/>
        <w:spacing w:after="0"/>
        <w:rPr>
          <w:rFonts w:ascii="Arial" w:hAnsi="Arial" w:cs="Arial"/>
        </w:rPr>
      </w:pPr>
      <w:r w:rsidRPr="00B15C5D">
        <w:rPr>
          <w:rFonts w:ascii="Arial" w:hAnsi="Arial" w:cs="Arial"/>
        </w:rPr>
        <w:t>The stock price is the valuation placed by investors on a company. Financial reports are one primary source of information used by investors to gauge the value of a company; hence, a financial report is considered high quality if it influences investors’ buying decisions as observed through price changes. A change in the variation of the price-to-book (PB) ratio from 1 indicates an improvement in financial reporting quality because the PB ratio reflects the market’s perception of a firm’s value relative to its book value (net assets reported in financial statements). Thus, the change in variation is significant because it aligns with intrinsic value. When the PB ratio is close to 1, it suggests that the market perceives the firm’s book value as accurately representing its intrinsic value. Significant deviations from 1 (either much higher or lower) may indicate that the financial statements do not fully reflect the actual economic position or potential of the firm due to issues such as aggressive accounting practices or poor-quality reporting. Thus, a ratio close to one indicates higher alignment and, hence, higher quality of the financial report.</w:t>
      </w:r>
    </w:p>
    <w:p w14:paraId="48983741" w14:textId="77777777" w:rsidR="00AE36A2" w:rsidRDefault="00AE36A2" w:rsidP="00AE36A2">
      <w:pPr>
        <w:pStyle w:val="Body"/>
        <w:spacing w:after="0"/>
        <w:rPr>
          <w:rFonts w:ascii="Arial" w:hAnsi="Arial" w:cs="Arial"/>
        </w:rPr>
      </w:pPr>
    </w:p>
    <w:p w14:paraId="3FE65601" w14:textId="77777777" w:rsidR="00777E78" w:rsidRDefault="00AA74E0" w:rsidP="00045C79">
      <w:pPr>
        <w:rPr>
          <w:rFonts w:ascii="Arial" w:hAnsi="Arial" w:cs="Arial"/>
          <w:b/>
          <w:sz w:val="22"/>
        </w:rPr>
      </w:pPr>
      <w:r w:rsidRPr="00FB3A86">
        <w:t xml:space="preserve"> </w:t>
      </w:r>
      <w:r w:rsidR="00AE36A2" w:rsidRPr="00C30A0F">
        <w:rPr>
          <w:rFonts w:ascii="Arial" w:hAnsi="Arial" w:cs="Arial"/>
          <w:b/>
          <w:caps/>
          <w:sz w:val="22"/>
        </w:rPr>
        <w:t>2.</w:t>
      </w:r>
      <w:r w:rsidR="00AE36A2">
        <w:rPr>
          <w:rFonts w:ascii="Arial" w:hAnsi="Arial" w:cs="Arial"/>
          <w:b/>
          <w:caps/>
          <w:sz w:val="22"/>
        </w:rPr>
        <w:t>3</w:t>
      </w:r>
      <w:r w:rsidR="00AE36A2" w:rsidRPr="00C30A0F">
        <w:rPr>
          <w:rFonts w:ascii="Arial" w:hAnsi="Arial" w:cs="Arial"/>
          <w:b/>
          <w:caps/>
          <w:sz w:val="22"/>
        </w:rPr>
        <w:t xml:space="preserve"> </w:t>
      </w:r>
      <w:r w:rsidR="00777E78">
        <w:rPr>
          <w:rFonts w:ascii="Arial" w:hAnsi="Arial" w:cs="Arial"/>
          <w:b/>
          <w:sz w:val="22"/>
        </w:rPr>
        <w:t>Data Analysis</w:t>
      </w:r>
    </w:p>
    <w:p w14:paraId="136BEBE7" w14:textId="77777777" w:rsidR="00AE7444" w:rsidRPr="00AE7444" w:rsidRDefault="00AE7444" w:rsidP="00AE7444">
      <w:pPr>
        <w:jc w:val="both"/>
        <w:rPr>
          <w:rFonts w:ascii="Arial" w:hAnsi="Arial" w:cs="Arial"/>
        </w:rPr>
      </w:pPr>
      <w:r w:rsidRPr="00AE7444">
        <w:rPr>
          <w:rFonts w:ascii="Arial" w:hAnsi="Arial" w:cs="Arial"/>
        </w:rPr>
        <w:t>The study employed a repeated-measures ANOVA to assess financial reporting quality across various IFRS transition stages. The IFRS transition is divided into three phases: preparation, implementation, and adoption. The preparation period refers to the period between 2009 and 2013, spanning the time before IFRS adoption became mandatory through the Malawi Companies Act in 2013. The implementation period refers to the time when IFRS adoption became mandatory, and companies adjusted their accounting-based book values to meet the requirements of IFRS. The period covers the years 2014 to 2016. Lastly, the adoption period is when companies are assumed to have fully adopted IFRS, covering 2017 to 2019.</w:t>
      </w:r>
    </w:p>
    <w:p w14:paraId="2737FE0D" w14:textId="1E8A6F8E" w:rsidR="00AA74E0" w:rsidRDefault="00AE36A2" w:rsidP="00045C79">
      <w:r>
        <w:rPr>
          <w:rFonts w:ascii="Arial" w:hAnsi="Arial" w:cs="Arial"/>
          <w:b/>
          <w:sz w:val="22"/>
        </w:rPr>
        <w:t xml:space="preserve"> </w:t>
      </w:r>
    </w:p>
    <w:p w14:paraId="79F7B3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B46982" w14:textId="77777777" w:rsidR="00790ADA" w:rsidRPr="00FB3A86" w:rsidRDefault="00790ADA" w:rsidP="00441B6F">
      <w:pPr>
        <w:pStyle w:val="Head1"/>
        <w:spacing w:after="0"/>
        <w:jc w:val="both"/>
        <w:rPr>
          <w:rFonts w:ascii="Arial" w:hAnsi="Arial" w:cs="Arial"/>
        </w:rPr>
      </w:pPr>
    </w:p>
    <w:p w14:paraId="30E72E00" w14:textId="307C1F3F" w:rsidR="00550AE9" w:rsidRDefault="00550AE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Results</w:t>
      </w:r>
      <w:r w:rsidRPr="00C30A0F">
        <w:rPr>
          <w:rFonts w:ascii="Arial" w:hAnsi="Arial" w:cs="Arial"/>
          <w:b/>
          <w:sz w:val="22"/>
        </w:rPr>
        <w:t xml:space="preserve"> </w:t>
      </w:r>
    </w:p>
    <w:p w14:paraId="3D106FC9" w14:textId="2BCB4A1E" w:rsidR="007F55B4" w:rsidRDefault="00ED4151" w:rsidP="00441B6F">
      <w:pPr>
        <w:pStyle w:val="Body"/>
        <w:spacing w:after="0"/>
        <w:rPr>
          <w:rFonts w:ascii="Arial" w:hAnsi="Arial" w:cs="Arial"/>
        </w:rPr>
      </w:pPr>
      <w:r w:rsidRPr="00ED4151">
        <w:rPr>
          <w:rFonts w:ascii="Arial" w:hAnsi="Arial" w:cs="Arial"/>
        </w:rPr>
        <w:t xml:space="preserve">The table below presents the average percentage for price-to-book alignment for each year under study. The line graph shows the proportion of companies moving towards one (improving financial reporting quality); the same results were used to compute the line graph presented in Figure 1 below. </w:t>
      </w:r>
    </w:p>
    <w:p w14:paraId="77FAF8EA" w14:textId="77777777" w:rsidR="00ED4151" w:rsidRDefault="00ED4151" w:rsidP="00441B6F">
      <w:pPr>
        <w:pStyle w:val="Body"/>
        <w:spacing w:after="0"/>
        <w:rPr>
          <w:rFonts w:ascii="Arial" w:hAnsi="Arial" w:cs="Arial"/>
        </w:rPr>
      </w:pPr>
    </w:p>
    <w:p w14:paraId="631DAC3B" w14:textId="63730452" w:rsidR="00CE273C" w:rsidRPr="00CE273C" w:rsidRDefault="00CE273C" w:rsidP="00CE273C">
      <w:pPr>
        <w:pStyle w:val="Body"/>
        <w:rPr>
          <w:rFonts w:ascii="Arial" w:hAnsi="Arial" w:cs="Arial"/>
          <w:b/>
          <w:bCs/>
          <w:iCs/>
        </w:rPr>
      </w:pPr>
      <w:bookmarkStart w:id="0" w:name="_Toc181799421"/>
      <w:r w:rsidRPr="00CE273C">
        <w:rPr>
          <w:rFonts w:ascii="Arial" w:hAnsi="Arial" w:cs="Arial"/>
          <w:b/>
          <w:bCs/>
          <w:iCs/>
        </w:rPr>
        <w:t>Table</w:t>
      </w:r>
      <w:r w:rsidRPr="006E5E33">
        <w:rPr>
          <w:rFonts w:ascii="Arial" w:hAnsi="Arial" w:cs="Arial"/>
          <w:b/>
          <w:bCs/>
          <w:iCs/>
        </w:rPr>
        <w:t xml:space="preserve"> </w:t>
      </w:r>
      <w:r w:rsidRPr="00CE273C">
        <w:rPr>
          <w:rFonts w:ascii="Arial" w:hAnsi="Arial" w:cs="Arial"/>
          <w:b/>
          <w:bCs/>
          <w:iCs/>
        </w:rPr>
        <w:t>1</w:t>
      </w:r>
      <w:r w:rsidR="00E26C47" w:rsidRPr="006E5E33">
        <w:rPr>
          <w:rFonts w:ascii="Arial" w:hAnsi="Arial" w:cs="Arial"/>
          <w:b/>
          <w:bCs/>
          <w:iCs/>
        </w:rPr>
        <w:t xml:space="preserve">: </w:t>
      </w:r>
      <w:bookmarkStart w:id="1" w:name="_Toc185323563"/>
      <w:r w:rsidRPr="00CE273C">
        <w:rPr>
          <w:rFonts w:ascii="Arial" w:hAnsi="Arial" w:cs="Arial"/>
          <w:b/>
          <w:bCs/>
          <w:i/>
        </w:rPr>
        <w:t>Percentages Towards Good Financial Reporting Quality Descriptive Statistics</w:t>
      </w:r>
      <w:bookmarkEnd w:id="0"/>
      <w:bookmarkEnd w:id="1"/>
    </w:p>
    <w:tbl>
      <w:tblPr>
        <w:tblW w:w="85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330"/>
        <w:gridCol w:w="591"/>
        <w:gridCol w:w="1071"/>
        <w:gridCol w:w="1102"/>
        <w:gridCol w:w="1025"/>
        <w:gridCol w:w="1438"/>
      </w:tblGrid>
      <w:tr w:rsidR="00103E91" w:rsidRPr="00103E91" w14:paraId="55C2DF4A" w14:textId="77777777" w:rsidTr="00CC41DF">
        <w:trPr>
          <w:cantSplit/>
        </w:trPr>
        <w:tc>
          <w:tcPr>
            <w:tcW w:w="3330" w:type="dxa"/>
            <w:tcBorders>
              <w:top w:val="single" w:sz="4" w:space="0" w:color="auto"/>
              <w:bottom w:val="single" w:sz="4" w:space="0" w:color="auto"/>
            </w:tcBorders>
            <w:vAlign w:val="bottom"/>
          </w:tcPr>
          <w:p w14:paraId="4BD8FF52" w14:textId="77777777" w:rsidR="00103E91" w:rsidRPr="00103E91" w:rsidRDefault="00103E91" w:rsidP="00CC41DF">
            <w:pPr>
              <w:rPr>
                <w:rFonts w:ascii="Arial" w:hAnsi="Arial" w:cs="Arial"/>
              </w:rPr>
            </w:pPr>
          </w:p>
        </w:tc>
        <w:tc>
          <w:tcPr>
            <w:tcW w:w="591" w:type="dxa"/>
            <w:tcBorders>
              <w:top w:val="single" w:sz="4" w:space="0" w:color="auto"/>
              <w:bottom w:val="single" w:sz="4" w:space="0" w:color="auto"/>
            </w:tcBorders>
            <w:vAlign w:val="bottom"/>
          </w:tcPr>
          <w:p w14:paraId="5EC7CE58" w14:textId="77777777" w:rsidR="00103E91" w:rsidRPr="00103E91" w:rsidRDefault="00103E91" w:rsidP="00CC41DF">
            <w:pPr>
              <w:rPr>
                <w:rFonts w:ascii="Arial" w:hAnsi="Arial" w:cs="Arial"/>
              </w:rPr>
            </w:pPr>
            <w:r w:rsidRPr="00103E91">
              <w:rPr>
                <w:rFonts w:ascii="Arial" w:hAnsi="Arial" w:cs="Arial"/>
              </w:rPr>
              <w:t>N</w:t>
            </w:r>
          </w:p>
        </w:tc>
        <w:tc>
          <w:tcPr>
            <w:tcW w:w="1071" w:type="dxa"/>
            <w:tcBorders>
              <w:top w:val="single" w:sz="4" w:space="0" w:color="auto"/>
              <w:bottom w:val="single" w:sz="4" w:space="0" w:color="auto"/>
            </w:tcBorders>
            <w:vAlign w:val="bottom"/>
          </w:tcPr>
          <w:p w14:paraId="3243F2D7" w14:textId="77777777" w:rsidR="00103E91" w:rsidRPr="00103E91" w:rsidRDefault="00103E91" w:rsidP="00CC41DF">
            <w:pPr>
              <w:rPr>
                <w:rFonts w:ascii="Arial" w:hAnsi="Arial" w:cs="Arial"/>
              </w:rPr>
            </w:pPr>
            <w:r w:rsidRPr="00103E91">
              <w:rPr>
                <w:rFonts w:ascii="Arial" w:hAnsi="Arial" w:cs="Arial"/>
              </w:rPr>
              <w:t>Min</w:t>
            </w:r>
          </w:p>
        </w:tc>
        <w:tc>
          <w:tcPr>
            <w:tcW w:w="1102" w:type="dxa"/>
            <w:tcBorders>
              <w:top w:val="single" w:sz="4" w:space="0" w:color="auto"/>
              <w:bottom w:val="single" w:sz="4" w:space="0" w:color="auto"/>
            </w:tcBorders>
            <w:vAlign w:val="bottom"/>
          </w:tcPr>
          <w:p w14:paraId="73C7F905" w14:textId="77777777" w:rsidR="00103E91" w:rsidRPr="00103E91" w:rsidRDefault="00103E91" w:rsidP="00CC41DF">
            <w:pPr>
              <w:rPr>
                <w:rFonts w:ascii="Arial" w:hAnsi="Arial" w:cs="Arial"/>
              </w:rPr>
            </w:pPr>
            <w:r w:rsidRPr="00103E91">
              <w:rPr>
                <w:rFonts w:ascii="Arial" w:hAnsi="Arial" w:cs="Arial"/>
              </w:rPr>
              <w:t>Max</w:t>
            </w:r>
          </w:p>
        </w:tc>
        <w:tc>
          <w:tcPr>
            <w:tcW w:w="1025" w:type="dxa"/>
            <w:tcBorders>
              <w:top w:val="single" w:sz="4" w:space="0" w:color="auto"/>
              <w:bottom w:val="single" w:sz="4" w:space="0" w:color="auto"/>
            </w:tcBorders>
            <w:vAlign w:val="bottom"/>
          </w:tcPr>
          <w:p w14:paraId="59A929A1" w14:textId="77777777" w:rsidR="00103E91" w:rsidRPr="00103E91" w:rsidRDefault="00103E91" w:rsidP="00CC41DF">
            <w:pPr>
              <w:rPr>
                <w:rFonts w:ascii="Arial" w:hAnsi="Arial" w:cs="Arial"/>
              </w:rPr>
            </w:pPr>
            <w:r w:rsidRPr="00103E91">
              <w:rPr>
                <w:rFonts w:ascii="Arial" w:hAnsi="Arial" w:cs="Arial"/>
              </w:rPr>
              <w:t>M</w:t>
            </w:r>
          </w:p>
        </w:tc>
        <w:tc>
          <w:tcPr>
            <w:tcW w:w="1438" w:type="dxa"/>
            <w:tcBorders>
              <w:top w:val="single" w:sz="4" w:space="0" w:color="auto"/>
              <w:bottom w:val="single" w:sz="4" w:space="0" w:color="auto"/>
            </w:tcBorders>
            <w:vAlign w:val="bottom"/>
          </w:tcPr>
          <w:p w14:paraId="49AEE638" w14:textId="77777777" w:rsidR="00103E91" w:rsidRPr="00103E91" w:rsidRDefault="00103E91" w:rsidP="00CC41DF">
            <w:pPr>
              <w:rPr>
                <w:rFonts w:ascii="Arial" w:hAnsi="Arial" w:cs="Arial"/>
              </w:rPr>
            </w:pPr>
            <w:r w:rsidRPr="00103E91">
              <w:rPr>
                <w:rFonts w:ascii="Arial" w:hAnsi="Arial" w:cs="Arial"/>
              </w:rPr>
              <w:t>SD</w:t>
            </w:r>
          </w:p>
        </w:tc>
      </w:tr>
      <w:tr w:rsidR="00103E91" w:rsidRPr="00103E91" w14:paraId="3F97816F" w14:textId="77777777" w:rsidTr="00CC41DF">
        <w:trPr>
          <w:cantSplit/>
        </w:trPr>
        <w:tc>
          <w:tcPr>
            <w:tcW w:w="3330" w:type="dxa"/>
            <w:tcBorders>
              <w:top w:val="single" w:sz="4" w:space="0" w:color="auto"/>
            </w:tcBorders>
          </w:tcPr>
          <w:p w14:paraId="2FFCF7C5" w14:textId="77777777" w:rsidR="00103E91" w:rsidRPr="00103E91" w:rsidRDefault="00103E91" w:rsidP="00CC41DF">
            <w:pPr>
              <w:rPr>
                <w:rFonts w:ascii="Arial" w:hAnsi="Arial" w:cs="Arial"/>
              </w:rPr>
            </w:pPr>
            <w:r w:rsidRPr="00103E91">
              <w:rPr>
                <w:rFonts w:ascii="Arial" w:hAnsi="Arial" w:cs="Arial"/>
              </w:rPr>
              <w:t>Price-to-Book Alignment 2 (09)</w:t>
            </w:r>
          </w:p>
        </w:tc>
        <w:tc>
          <w:tcPr>
            <w:tcW w:w="591" w:type="dxa"/>
            <w:tcBorders>
              <w:top w:val="single" w:sz="4" w:space="0" w:color="auto"/>
            </w:tcBorders>
          </w:tcPr>
          <w:p w14:paraId="16BA0AE6" w14:textId="77777777" w:rsidR="00103E91" w:rsidRPr="00103E91" w:rsidRDefault="00103E91" w:rsidP="00CC41DF">
            <w:pPr>
              <w:rPr>
                <w:rFonts w:ascii="Arial" w:hAnsi="Arial" w:cs="Arial"/>
              </w:rPr>
            </w:pPr>
            <w:r w:rsidRPr="00103E91">
              <w:rPr>
                <w:rFonts w:ascii="Arial" w:hAnsi="Arial" w:cs="Arial"/>
              </w:rPr>
              <w:t>13</w:t>
            </w:r>
          </w:p>
        </w:tc>
        <w:tc>
          <w:tcPr>
            <w:tcW w:w="1071" w:type="dxa"/>
            <w:tcBorders>
              <w:top w:val="single" w:sz="4" w:space="0" w:color="auto"/>
            </w:tcBorders>
          </w:tcPr>
          <w:p w14:paraId="7A40D438" w14:textId="77777777" w:rsidR="00103E91" w:rsidRPr="00103E91" w:rsidRDefault="00103E91" w:rsidP="00CC41DF">
            <w:pPr>
              <w:rPr>
                <w:rFonts w:ascii="Arial" w:hAnsi="Arial" w:cs="Arial"/>
              </w:rPr>
            </w:pPr>
            <w:r w:rsidRPr="00103E91">
              <w:rPr>
                <w:rFonts w:ascii="Arial" w:hAnsi="Arial" w:cs="Arial"/>
              </w:rPr>
              <w:t>0</w:t>
            </w:r>
          </w:p>
        </w:tc>
        <w:tc>
          <w:tcPr>
            <w:tcW w:w="1102" w:type="dxa"/>
            <w:tcBorders>
              <w:top w:val="single" w:sz="4" w:space="0" w:color="auto"/>
            </w:tcBorders>
          </w:tcPr>
          <w:p w14:paraId="241A712A" w14:textId="77777777" w:rsidR="00103E91" w:rsidRPr="00103E91" w:rsidRDefault="00103E91" w:rsidP="00CC41DF">
            <w:pPr>
              <w:rPr>
                <w:rFonts w:ascii="Arial" w:hAnsi="Arial" w:cs="Arial"/>
              </w:rPr>
            </w:pPr>
            <w:r w:rsidRPr="00103E91">
              <w:rPr>
                <w:rFonts w:ascii="Arial" w:hAnsi="Arial" w:cs="Arial"/>
              </w:rPr>
              <w:t>1</w:t>
            </w:r>
          </w:p>
        </w:tc>
        <w:tc>
          <w:tcPr>
            <w:tcW w:w="1025" w:type="dxa"/>
            <w:tcBorders>
              <w:top w:val="single" w:sz="4" w:space="0" w:color="auto"/>
            </w:tcBorders>
          </w:tcPr>
          <w:p w14:paraId="257425CF" w14:textId="77777777" w:rsidR="00103E91" w:rsidRPr="00103E91" w:rsidRDefault="00103E91" w:rsidP="00CC41DF">
            <w:pPr>
              <w:rPr>
                <w:rFonts w:ascii="Arial" w:hAnsi="Arial" w:cs="Arial"/>
              </w:rPr>
            </w:pPr>
            <w:r w:rsidRPr="00103E91">
              <w:rPr>
                <w:rFonts w:ascii="Arial" w:hAnsi="Arial" w:cs="Arial"/>
              </w:rPr>
              <w:t>.85</w:t>
            </w:r>
          </w:p>
        </w:tc>
        <w:tc>
          <w:tcPr>
            <w:tcW w:w="1438" w:type="dxa"/>
            <w:tcBorders>
              <w:top w:val="single" w:sz="4" w:space="0" w:color="auto"/>
            </w:tcBorders>
          </w:tcPr>
          <w:p w14:paraId="73DB4FF6" w14:textId="77777777" w:rsidR="00103E91" w:rsidRPr="00103E91" w:rsidRDefault="00103E91" w:rsidP="00CC41DF">
            <w:pPr>
              <w:rPr>
                <w:rFonts w:ascii="Arial" w:hAnsi="Arial" w:cs="Arial"/>
              </w:rPr>
            </w:pPr>
            <w:r w:rsidRPr="00103E91">
              <w:rPr>
                <w:rFonts w:ascii="Arial" w:hAnsi="Arial" w:cs="Arial"/>
              </w:rPr>
              <w:t>.376</w:t>
            </w:r>
          </w:p>
        </w:tc>
      </w:tr>
      <w:tr w:rsidR="00103E91" w:rsidRPr="00103E91" w14:paraId="42B26512" w14:textId="77777777" w:rsidTr="00CC41DF">
        <w:trPr>
          <w:cantSplit/>
        </w:trPr>
        <w:tc>
          <w:tcPr>
            <w:tcW w:w="3330" w:type="dxa"/>
          </w:tcPr>
          <w:p w14:paraId="324D5CE9" w14:textId="77777777" w:rsidR="00103E91" w:rsidRPr="00103E91" w:rsidRDefault="00103E91" w:rsidP="00CC41DF">
            <w:pPr>
              <w:rPr>
                <w:rFonts w:ascii="Arial" w:hAnsi="Arial" w:cs="Arial"/>
              </w:rPr>
            </w:pPr>
            <w:r w:rsidRPr="00103E91">
              <w:rPr>
                <w:rFonts w:ascii="Arial" w:hAnsi="Arial" w:cs="Arial"/>
              </w:rPr>
              <w:t>Price-to-Book Alignment 2 (10)</w:t>
            </w:r>
          </w:p>
        </w:tc>
        <w:tc>
          <w:tcPr>
            <w:tcW w:w="591" w:type="dxa"/>
          </w:tcPr>
          <w:p w14:paraId="5CF22B76"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517A3F62"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59DE738F"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46041070" w14:textId="77777777" w:rsidR="00103E91" w:rsidRPr="00103E91" w:rsidRDefault="00103E91" w:rsidP="00CC41DF">
            <w:pPr>
              <w:rPr>
                <w:rFonts w:ascii="Arial" w:hAnsi="Arial" w:cs="Arial"/>
              </w:rPr>
            </w:pPr>
            <w:r w:rsidRPr="00103E91">
              <w:rPr>
                <w:rFonts w:ascii="Arial" w:hAnsi="Arial" w:cs="Arial"/>
              </w:rPr>
              <w:t>.69</w:t>
            </w:r>
          </w:p>
        </w:tc>
        <w:tc>
          <w:tcPr>
            <w:tcW w:w="1438" w:type="dxa"/>
          </w:tcPr>
          <w:p w14:paraId="24F76A36" w14:textId="77777777" w:rsidR="00103E91" w:rsidRPr="00103E91" w:rsidRDefault="00103E91" w:rsidP="00CC41DF">
            <w:pPr>
              <w:rPr>
                <w:rFonts w:ascii="Arial" w:hAnsi="Arial" w:cs="Arial"/>
              </w:rPr>
            </w:pPr>
            <w:r w:rsidRPr="00103E91">
              <w:rPr>
                <w:rFonts w:ascii="Arial" w:hAnsi="Arial" w:cs="Arial"/>
              </w:rPr>
              <w:t>.480</w:t>
            </w:r>
          </w:p>
        </w:tc>
      </w:tr>
      <w:tr w:rsidR="00103E91" w:rsidRPr="00103E91" w14:paraId="0FF30FC5" w14:textId="77777777" w:rsidTr="00CC41DF">
        <w:trPr>
          <w:cantSplit/>
        </w:trPr>
        <w:tc>
          <w:tcPr>
            <w:tcW w:w="3330" w:type="dxa"/>
          </w:tcPr>
          <w:p w14:paraId="50DC3A01" w14:textId="77777777" w:rsidR="00103E91" w:rsidRPr="00103E91" w:rsidRDefault="00103E91" w:rsidP="00CC41DF">
            <w:pPr>
              <w:rPr>
                <w:rFonts w:ascii="Arial" w:hAnsi="Arial" w:cs="Arial"/>
              </w:rPr>
            </w:pPr>
            <w:r w:rsidRPr="00103E91">
              <w:rPr>
                <w:rFonts w:ascii="Arial" w:hAnsi="Arial" w:cs="Arial"/>
              </w:rPr>
              <w:t>Price-to-Book Alignment 2 (11)</w:t>
            </w:r>
          </w:p>
        </w:tc>
        <w:tc>
          <w:tcPr>
            <w:tcW w:w="591" w:type="dxa"/>
          </w:tcPr>
          <w:p w14:paraId="2BAA29BB"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3A0FBDF4"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08F71D60"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0B2E964A" w14:textId="77777777" w:rsidR="00103E91" w:rsidRPr="00103E91" w:rsidRDefault="00103E91" w:rsidP="00CC41DF">
            <w:pPr>
              <w:rPr>
                <w:rFonts w:ascii="Arial" w:hAnsi="Arial" w:cs="Arial"/>
              </w:rPr>
            </w:pPr>
            <w:r w:rsidRPr="00103E91">
              <w:rPr>
                <w:rFonts w:ascii="Arial" w:hAnsi="Arial" w:cs="Arial"/>
              </w:rPr>
              <w:t>.46</w:t>
            </w:r>
          </w:p>
        </w:tc>
        <w:tc>
          <w:tcPr>
            <w:tcW w:w="1438" w:type="dxa"/>
          </w:tcPr>
          <w:p w14:paraId="15484105"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533E7CB4" w14:textId="77777777" w:rsidTr="00CC41DF">
        <w:trPr>
          <w:cantSplit/>
        </w:trPr>
        <w:tc>
          <w:tcPr>
            <w:tcW w:w="3330" w:type="dxa"/>
          </w:tcPr>
          <w:p w14:paraId="7AB0BFD2" w14:textId="77777777" w:rsidR="00103E91" w:rsidRPr="00103E91" w:rsidRDefault="00103E91" w:rsidP="00CC41DF">
            <w:pPr>
              <w:rPr>
                <w:rFonts w:ascii="Arial" w:hAnsi="Arial" w:cs="Arial"/>
              </w:rPr>
            </w:pPr>
            <w:r w:rsidRPr="00103E91">
              <w:rPr>
                <w:rFonts w:ascii="Arial" w:hAnsi="Arial" w:cs="Arial"/>
              </w:rPr>
              <w:t>Price-to-Book Alignment 2 (12)</w:t>
            </w:r>
          </w:p>
        </w:tc>
        <w:tc>
          <w:tcPr>
            <w:tcW w:w="591" w:type="dxa"/>
          </w:tcPr>
          <w:p w14:paraId="69BBD186"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6561F3C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9D2A515"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21141DE0" w14:textId="77777777" w:rsidR="00103E91" w:rsidRPr="00103E91" w:rsidRDefault="00103E91" w:rsidP="00CC41DF">
            <w:pPr>
              <w:rPr>
                <w:rFonts w:ascii="Arial" w:hAnsi="Arial" w:cs="Arial"/>
              </w:rPr>
            </w:pPr>
            <w:r w:rsidRPr="00103E91">
              <w:rPr>
                <w:rFonts w:ascii="Arial" w:hAnsi="Arial" w:cs="Arial"/>
              </w:rPr>
              <w:t>.54</w:t>
            </w:r>
          </w:p>
        </w:tc>
        <w:tc>
          <w:tcPr>
            <w:tcW w:w="1438" w:type="dxa"/>
          </w:tcPr>
          <w:p w14:paraId="1BCAEEF9"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0D74ED2B" w14:textId="77777777" w:rsidTr="00CC41DF">
        <w:trPr>
          <w:cantSplit/>
        </w:trPr>
        <w:tc>
          <w:tcPr>
            <w:tcW w:w="3330" w:type="dxa"/>
          </w:tcPr>
          <w:p w14:paraId="1F42F2B7" w14:textId="77777777" w:rsidR="00103E91" w:rsidRPr="00103E91" w:rsidRDefault="00103E91" w:rsidP="00CC41DF">
            <w:pPr>
              <w:rPr>
                <w:rFonts w:ascii="Arial" w:hAnsi="Arial" w:cs="Arial"/>
              </w:rPr>
            </w:pPr>
            <w:r w:rsidRPr="00103E91">
              <w:rPr>
                <w:rFonts w:ascii="Arial" w:hAnsi="Arial" w:cs="Arial"/>
              </w:rPr>
              <w:t>Price-to-Book Alignment 2 (13)</w:t>
            </w:r>
          </w:p>
        </w:tc>
        <w:tc>
          <w:tcPr>
            <w:tcW w:w="591" w:type="dxa"/>
          </w:tcPr>
          <w:p w14:paraId="66660A7B"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3ACECC5"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4C042479"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5F806CE" w14:textId="77777777" w:rsidR="00103E91" w:rsidRPr="00103E91" w:rsidRDefault="00103E91" w:rsidP="00CC41DF">
            <w:pPr>
              <w:rPr>
                <w:rFonts w:ascii="Arial" w:hAnsi="Arial" w:cs="Arial"/>
              </w:rPr>
            </w:pPr>
            <w:r w:rsidRPr="00103E91">
              <w:rPr>
                <w:rFonts w:ascii="Arial" w:hAnsi="Arial" w:cs="Arial"/>
              </w:rPr>
              <w:t>.23</w:t>
            </w:r>
          </w:p>
        </w:tc>
        <w:tc>
          <w:tcPr>
            <w:tcW w:w="1438" w:type="dxa"/>
          </w:tcPr>
          <w:p w14:paraId="2729E64D" w14:textId="77777777" w:rsidR="00103E91" w:rsidRPr="00103E91" w:rsidRDefault="00103E91" w:rsidP="00CC41DF">
            <w:pPr>
              <w:rPr>
                <w:rFonts w:ascii="Arial" w:hAnsi="Arial" w:cs="Arial"/>
              </w:rPr>
            </w:pPr>
            <w:r w:rsidRPr="00103E91">
              <w:rPr>
                <w:rFonts w:ascii="Arial" w:hAnsi="Arial" w:cs="Arial"/>
              </w:rPr>
              <w:t>.439</w:t>
            </w:r>
          </w:p>
        </w:tc>
      </w:tr>
      <w:tr w:rsidR="00103E91" w:rsidRPr="00103E91" w14:paraId="53CC4EAB" w14:textId="77777777" w:rsidTr="00CC41DF">
        <w:trPr>
          <w:cantSplit/>
        </w:trPr>
        <w:tc>
          <w:tcPr>
            <w:tcW w:w="3330" w:type="dxa"/>
          </w:tcPr>
          <w:p w14:paraId="59BB5240" w14:textId="77777777" w:rsidR="00103E91" w:rsidRPr="00103E91" w:rsidRDefault="00103E91" w:rsidP="00CC41DF">
            <w:pPr>
              <w:rPr>
                <w:rFonts w:ascii="Arial" w:hAnsi="Arial" w:cs="Arial"/>
              </w:rPr>
            </w:pPr>
            <w:r w:rsidRPr="00103E91">
              <w:rPr>
                <w:rFonts w:ascii="Arial" w:hAnsi="Arial" w:cs="Arial"/>
              </w:rPr>
              <w:t>Price-to-Book Alignment 2 (14)</w:t>
            </w:r>
          </w:p>
        </w:tc>
        <w:tc>
          <w:tcPr>
            <w:tcW w:w="591" w:type="dxa"/>
          </w:tcPr>
          <w:p w14:paraId="024F53F8"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38550818"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312440A3"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6D0755F" w14:textId="77777777" w:rsidR="00103E91" w:rsidRPr="00103E91" w:rsidRDefault="00103E91" w:rsidP="00CC41DF">
            <w:pPr>
              <w:rPr>
                <w:rFonts w:ascii="Arial" w:hAnsi="Arial" w:cs="Arial"/>
              </w:rPr>
            </w:pPr>
            <w:r w:rsidRPr="00103E91">
              <w:rPr>
                <w:rFonts w:ascii="Arial" w:hAnsi="Arial" w:cs="Arial"/>
              </w:rPr>
              <w:t>.62</w:t>
            </w:r>
          </w:p>
        </w:tc>
        <w:tc>
          <w:tcPr>
            <w:tcW w:w="1438" w:type="dxa"/>
          </w:tcPr>
          <w:p w14:paraId="16339448" w14:textId="77777777" w:rsidR="00103E91" w:rsidRPr="00103E91" w:rsidRDefault="00103E91" w:rsidP="00CC41DF">
            <w:pPr>
              <w:rPr>
                <w:rFonts w:ascii="Arial" w:hAnsi="Arial" w:cs="Arial"/>
              </w:rPr>
            </w:pPr>
            <w:r w:rsidRPr="00103E91">
              <w:rPr>
                <w:rFonts w:ascii="Arial" w:hAnsi="Arial" w:cs="Arial"/>
              </w:rPr>
              <w:t>.506</w:t>
            </w:r>
          </w:p>
        </w:tc>
      </w:tr>
      <w:tr w:rsidR="00103E91" w:rsidRPr="00103E91" w14:paraId="77E36013" w14:textId="77777777" w:rsidTr="00CC41DF">
        <w:trPr>
          <w:cantSplit/>
        </w:trPr>
        <w:tc>
          <w:tcPr>
            <w:tcW w:w="3330" w:type="dxa"/>
          </w:tcPr>
          <w:p w14:paraId="5FF2DF05" w14:textId="77777777" w:rsidR="00103E91" w:rsidRPr="00103E91" w:rsidRDefault="00103E91" w:rsidP="00CC41DF">
            <w:pPr>
              <w:rPr>
                <w:rFonts w:ascii="Arial" w:hAnsi="Arial" w:cs="Arial"/>
              </w:rPr>
            </w:pPr>
            <w:r w:rsidRPr="00103E91">
              <w:rPr>
                <w:rFonts w:ascii="Arial" w:hAnsi="Arial" w:cs="Arial"/>
              </w:rPr>
              <w:t>Price-to-Book Alignment 2 (15)</w:t>
            </w:r>
          </w:p>
        </w:tc>
        <w:tc>
          <w:tcPr>
            <w:tcW w:w="591" w:type="dxa"/>
          </w:tcPr>
          <w:p w14:paraId="0362A80C"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AD5970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6F107429"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654529C6" w14:textId="77777777" w:rsidR="00103E91" w:rsidRPr="00103E91" w:rsidRDefault="00103E91" w:rsidP="00CC41DF">
            <w:pPr>
              <w:rPr>
                <w:rFonts w:ascii="Arial" w:hAnsi="Arial" w:cs="Arial"/>
              </w:rPr>
            </w:pPr>
            <w:r w:rsidRPr="00103E91">
              <w:rPr>
                <w:rFonts w:ascii="Arial" w:hAnsi="Arial" w:cs="Arial"/>
              </w:rPr>
              <w:t>.69</w:t>
            </w:r>
          </w:p>
        </w:tc>
        <w:tc>
          <w:tcPr>
            <w:tcW w:w="1438" w:type="dxa"/>
          </w:tcPr>
          <w:p w14:paraId="29608BE4" w14:textId="77777777" w:rsidR="00103E91" w:rsidRPr="00103E91" w:rsidRDefault="00103E91" w:rsidP="00CC41DF">
            <w:pPr>
              <w:rPr>
                <w:rFonts w:ascii="Arial" w:hAnsi="Arial" w:cs="Arial"/>
              </w:rPr>
            </w:pPr>
            <w:r w:rsidRPr="00103E91">
              <w:rPr>
                <w:rFonts w:ascii="Arial" w:hAnsi="Arial" w:cs="Arial"/>
              </w:rPr>
              <w:t>.480</w:t>
            </w:r>
          </w:p>
        </w:tc>
      </w:tr>
      <w:tr w:rsidR="00103E91" w:rsidRPr="00103E91" w14:paraId="200C27DE" w14:textId="77777777" w:rsidTr="00CC41DF">
        <w:trPr>
          <w:cantSplit/>
        </w:trPr>
        <w:tc>
          <w:tcPr>
            <w:tcW w:w="3330" w:type="dxa"/>
          </w:tcPr>
          <w:p w14:paraId="68E9A638" w14:textId="77777777" w:rsidR="00103E91" w:rsidRPr="00103E91" w:rsidRDefault="00103E91" w:rsidP="00CC41DF">
            <w:pPr>
              <w:rPr>
                <w:rFonts w:ascii="Arial" w:hAnsi="Arial" w:cs="Arial"/>
              </w:rPr>
            </w:pPr>
            <w:r w:rsidRPr="00103E91">
              <w:rPr>
                <w:rFonts w:ascii="Arial" w:hAnsi="Arial" w:cs="Arial"/>
              </w:rPr>
              <w:t>Price-to-Book Alignment 2 (16)</w:t>
            </w:r>
          </w:p>
        </w:tc>
        <w:tc>
          <w:tcPr>
            <w:tcW w:w="591" w:type="dxa"/>
          </w:tcPr>
          <w:p w14:paraId="669AB325"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57D7757F"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FC367EB"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067699F6" w14:textId="77777777" w:rsidR="00103E91" w:rsidRPr="00103E91" w:rsidRDefault="00103E91" w:rsidP="00CC41DF">
            <w:pPr>
              <w:rPr>
                <w:rFonts w:ascii="Arial" w:hAnsi="Arial" w:cs="Arial"/>
              </w:rPr>
            </w:pPr>
            <w:r w:rsidRPr="00103E91">
              <w:rPr>
                <w:rFonts w:ascii="Arial" w:hAnsi="Arial" w:cs="Arial"/>
              </w:rPr>
              <w:t>.85</w:t>
            </w:r>
          </w:p>
        </w:tc>
        <w:tc>
          <w:tcPr>
            <w:tcW w:w="1438" w:type="dxa"/>
          </w:tcPr>
          <w:p w14:paraId="0EFD21F3" w14:textId="77777777" w:rsidR="00103E91" w:rsidRPr="00103E91" w:rsidRDefault="00103E91" w:rsidP="00CC41DF">
            <w:pPr>
              <w:rPr>
                <w:rFonts w:ascii="Arial" w:hAnsi="Arial" w:cs="Arial"/>
              </w:rPr>
            </w:pPr>
            <w:r w:rsidRPr="00103E91">
              <w:rPr>
                <w:rFonts w:ascii="Arial" w:hAnsi="Arial" w:cs="Arial"/>
              </w:rPr>
              <w:t>.376</w:t>
            </w:r>
          </w:p>
        </w:tc>
      </w:tr>
      <w:tr w:rsidR="00103E91" w:rsidRPr="00103E91" w14:paraId="50672F48" w14:textId="77777777" w:rsidTr="00CC41DF">
        <w:trPr>
          <w:cantSplit/>
        </w:trPr>
        <w:tc>
          <w:tcPr>
            <w:tcW w:w="3330" w:type="dxa"/>
          </w:tcPr>
          <w:p w14:paraId="0D623928" w14:textId="77777777" w:rsidR="00103E91" w:rsidRPr="00103E91" w:rsidRDefault="00103E91" w:rsidP="00CC41DF">
            <w:pPr>
              <w:rPr>
                <w:rFonts w:ascii="Arial" w:hAnsi="Arial" w:cs="Arial"/>
              </w:rPr>
            </w:pPr>
            <w:r w:rsidRPr="00103E91">
              <w:rPr>
                <w:rFonts w:ascii="Arial" w:hAnsi="Arial" w:cs="Arial"/>
              </w:rPr>
              <w:t>Price-to-Book Alignment 2 (17)</w:t>
            </w:r>
          </w:p>
        </w:tc>
        <w:tc>
          <w:tcPr>
            <w:tcW w:w="591" w:type="dxa"/>
          </w:tcPr>
          <w:p w14:paraId="0C376E47"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458E5CD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018D06D8"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1A4C324F" w14:textId="77777777" w:rsidR="00103E91" w:rsidRPr="00103E91" w:rsidRDefault="00103E91" w:rsidP="00CC41DF">
            <w:pPr>
              <w:rPr>
                <w:rFonts w:ascii="Arial" w:hAnsi="Arial" w:cs="Arial"/>
              </w:rPr>
            </w:pPr>
            <w:r w:rsidRPr="00103E91">
              <w:rPr>
                <w:rFonts w:ascii="Arial" w:hAnsi="Arial" w:cs="Arial"/>
              </w:rPr>
              <w:t>.77</w:t>
            </w:r>
          </w:p>
        </w:tc>
        <w:tc>
          <w:tcPr>
            <w:tcW w:w="1438" w:type="dxa"/>
          </w:tcPr>
          <w:p w14:paraId="7832D01F" w14:textId="77777777" w:rsidR="00103E91" w:rsidRPr="00103E91" w:rsidRDefault="00103E91" w:rsidP="00CC41DF">
            <w:pPr>
              <w:rPr>
                <w:rFonts w:ascii="Arial" w:hAnsi="Arial" w:cs="Arial"/>
              </w:rPr>
            </w:pPr>
            <w:r w:rsidRPr="00103E91">
              <w:rPr>
                <w:rFonts w:ascii="Arial" w:hAnsi="Arial" w:cs="Arial"/>
              </w:rPr>
              <w:t>.439</w:t>
            </w:r>
          </w:p>
        </w:tc>
      </w:tr>
      <w:tr w:rsidR="00103E91" w:rsidRPr="00103E91" w14:paraId="5E7C0F1D" w14:textId="77777777" w:rsidTr="00CC41DF">
        <w:trPr>
          <w:cantSplit/>
        </w:trPr>
        <w:tc>
          <w:tcPr>
            <w:tcW w:w="3330" w:type="dxa"/>
          </w:tcPr>
          <w:p w14:paraId="218DC2B0" w14:textId="77777777" w:rsidR="00103E91" w:rsidRPr="00103E91" w:rsidRDefault="00103E91" w:rsidP="00CC41DF">
            <w:pPr>
              <w:rPr>
                <w:rFonts w:ascii="Arial" w:hAnsi="Arial" w:cs="Arial"/>
              </w:rPr>
            </w:pPr>
            <w:r w:rsidRPr="00103E91">
              <w:rPr>
                <w:rFonts w:ascii="Arial" w:hAnsi="Arial" w:cs="Arial"/>
              </w:rPr>
              <w:lastRenderedPageBreak/>
              <w:t>Price-to-Book Alignment 2 (18)</w:t>
            </w:r>
          </w:p>
        </w:tc>
        <w:tc>
          <w:tcPr>
            <w:tcW w:w="591" w:type="dxa"/>
          </w:tcPr>
          <w:p w14:paraId="56729222"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045D0509"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F96E635"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B0A8B72" w14:textId="77777777" w:rsidR="00103E91" w:rsidRPr="00103E91" w:rsidRDefault="00103E91" w:rsidP="00CC41DF">
            <w:pPr>
              <w:rPr>
                <w:rFonts w:ascii="Arial" w:hAnsi="Arial" w:cs="Arial"/>
              </w:rPr>
            </w:pPr>
            <w:r w:rsidRPr="00103E91">
              <w:rPr>
                <w:rFonts w:ascii="Arial" w:hAnsi="Arial" w:cs="Arial"/>
              </w:rPr>
              <w:t>.62</w:t>
            </w:r>
          </w:p>
        </w:tc>
        <w:tc>
          <w:tcPr>
            <w:tcW w:w="1438" w:type="dxa"/>
          </w:tcPr>
          <w:p w14:paraId="3E94688F" w14:textId="77777777" w:rsidR="00103E91" w:rsidRPr="00103E91" w:rsidRDefault="00103E91" w:rsidP="00CC41DF">
            <w:pPr>
              <w:rPr>
                <w:rFonts w:ascii="Arial" w:hAnsi="Arial" w:cs="Arial"/>
              </w:rPr>
            </w:pPr>
            <w:r w:rsidRPr="00103E91">
              <w:rPr>
                <w:rFonts w:ascii="Arial" w:hAnsi="Arial" w:cs="Arial"/>
              </w:rPr>
              <w:t>.506</w:t>
            </w:r>
          </w:p>
        </w:tc>
      </w:tr>
      <w:tr w:rsidR="00103E91" w:rsidRPr="00103E91" w14:paraId="700274E9" w14:textId="77777777" w:rsidTr="00CC41DF">
        <w:trPr>
          <w:cantSplit/>
        </w:trPr>
        <w:tc>
          <w:tcPr>
            <w:tcW w:w="3330" w:type="dxa"/>
          </w:tcPr>
          <w:p w14:paraId="585CAB38" w14:textId="77777777" w:rsidR="00103E91" w:rsidRPr="00103E91" w:rsidRDefault="00103E91" w:rsidP="00CC41DF">
            <w:pPr>
              <w:rPr>
                <w:rFonts w:ascii="Arial" w:hAnsi="Arial" w:cs="Arial"/>
              </w:rPr>
            </w:pPr>
            <w:r w:rsidRPr="00103E91">
              <w:rPr>
                <w:rFonts w:ascii="Arial" w:hAnsi="Arial" w:cs="Arial"/>
              </w:rPr>
              <w:t>Price-to-Book Alignment 2 (19)</w:t>
            </w:r>
          </w:p>
        </w:tc>
        <w:tc>
          <w:tcPr>
            <w:tcW w:w="591" w:type="dxa"/>
          </w:tcPr>
          <w:p w14:paraId="76215B75"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8BE88B8"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408FE65E"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6B8570CC" w14:textId="77777777" w:rsidR="00103E91" w:rsidRPr="00103E91" w:rsidRDefault="00103E91" w:rsidP="00CC41DF">
            <w:pPr>
              <w:rPr>
                <w:rFonts w:ascii="Arial" w:hAnsi="Arial" w:cs="Arial"/>
              </w:rPr>
            </w:pPr>
            <w:r w:rsidRPr="00103E91">
              <w:rPr>
                <w:rFonts w:ascii="Arial" w:hAnsi="Arial" w:cs="Arial"/>
              </w:rPr>
              <w:t>.46</w:t>
            </w:r>
          </w:p>
        </w:tc>
        <w:tc>
          <w:tcPr>
            <w:tcW w:w="1438" w:type="dxa"/>
          </w:tcPr>
          <w:p w14:paraId="79453B57"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4E7E4456" w14:textId="77777777" w:rsidTr="00CC41DF">
        <w:trPr>
          <w:cantSplit/>
        </w:trPr>
        <w:tc>
          <w:tcPr>
            <w:tcW w:w="3330" w:type="dxa"/>
          </w:tcPr>
          <w:p w14:paraId="294BF5AC" w14:textId="77777777" w:rsidR="00103E91" w:rsidRPr="00103E91" w:rsidRDefault="00103E91" w:rsidP="00CC41DF">
            <w:pPr>
              <w:rPr>
                <w:rFonts w:ascii="Arial" w:hAnsi="Arial" w:cs="Arial"/>
              </w:rPr>
            </w:pPr>
            <w:r w:rsidRPr="00103E91">
              <w:rPr>
                <w:rFonts w:ascii="Arial" w:hAnsi="Arial" w:cs="Arial"/>
              </w:rPr>
              <w:t>Valid N (listwise)</w:t>
            </w:r>
          </w:p>
        </w:tc>
        <w:tc>
          <w:tcPr>
            <w:tcW w:w="591" w:type="dxa"/>
          </w:tcPr>
          <w:p w14:paraId="621C9808" w14:textId="77777777" w:rsidR="00103E91" w:rsidRPr="00103E91" w:rsidRDefault="00103E91" w:rsidP="00CC41DF">
            <w:pPr>
              <w:rPr>
                <w:rFonts w:ascii="Arial" w:hAnsi="Arial" w:cs="Arial"/>
              </w:rPr>
            </w:pPr>
            <w:r w:rsidRPr="00103E91">
              <w:rPr>
                <w:rFonts w:ascii="Arial" w:hAnsi="Arial" w:cs="Arial"/>
              </w:rPr>
              <w:t>13</w:t>
            </w:r>
          </w:p>
        </w:tc>
        <w:tc>
          <w:tcPr>
            <w:tcW w:w="1071" w:type="dxa"/>
            <w:vAlign w:val="center"/>
          </w:tcPr>
          <w:p w14:paraId="7E014EDB" w14:textId="77777777" w:rsidR="00103E91" w:rsidRPr="00103E91" w:rsidRDefault="00103E91" w:rsidP="00CC41DF">
            <w:pPr>
              <w:rPr>
                <w:rFonts w:ascii="Arial" w:hAnsi="Arial" w:cs="Arial"/>
              </w:rPr>
            </w:pPr>
          </w:p>
        </w:tc>
        <w:tc>
          <w:tcPr>
            <w:tcW w:w="1102" w:type="dxa"/>
            <w:vAlign w:val="center"/>
          </w:tcPr>
          <w:p w14:paraId="133B339A" w14:textId="77777777" w:rsidR="00103E91" w:rsidRPr="00103E91" w:rsidRDefault="00103E91" w:rsidP="00CC41DF">
            <w:pPr>
              <w:rPr>
                <w:rFonts w:ascii="Arial" w:hAnsi="Arial" w:cs="Arial"/>
              </w:rPr>
            </w:pPr>
          </w:p>
        </w:tc>
        <w:tc>
          <w:tcPr>
            <w:tcW w:w="1025" w:type="dxa"/>
            <w:vAlign w:val="center"/>
          </w:tcPr>
          <w:p w14:paraId="61376127" w14:textId="77777777" w:rsidR="00103E91" w:rsidRPr="00103E91" w:rsidRDefault="00103E91" w:rsidP="00CC41DF">
            <w:pPr>
              <w:rPr>
                <w:rFonts w:ascii="Arial" w:hAnsi="Arial" w:cs="Arial"/>
              </w:rPr>
            </w:pPr>
          </w:p>
        </w:tc>
        <w:tc>
          <w:tcPr>
            <w:tcW w:w="1438" w:type="dxa"/>
            <w:vAlign w:val="center"/>
          </w:tcPr>
          <w:p w14:paraId="2496F694" w14:textId="77777777" w:rsidR="00103E91" w:rsidRPr="00103E91" w:rsidRDefault="00103E91" w:rsidP="00CC41DF">
            <w:pPr>
              <w:rPr>
                <w:rFonts w:ascii="Arial" w:hAnsi="Arial" w:cs="Arial"/>
              </w:rPr>
            </w:pPr>
          </w:p>
        </w:tc>
      </w:tr>
    </w:tbl>
    <w:p w14:paraId="6B292E34" w14:textId="77777777" w:rsidR="00F715BF" w:rsidRDefault="00F715BF" w:rsidP="00441B6F">
      <w:pPr>
        <w:pStyle w:val="Body"/>
        <w:spacing w:after="0"/>
        <w:rPr>
          <w:rFonts w:ascii="Arial" w:hAnsi="Arial" w:cs="Arial"/>
        </w:rPr>
      </w:pPr>
    </w:p>
    <w:p w14:paraId="586586EF" w14:textId="3662C108" w:rsidR="00736091" w:rsidRPr="00865625" w:rsidRDefault="00736091" w:rsidP="00736091">
      <w:pPr>
        <w:rPr>
          <w:rFonts w:ascii="Times New Roman" w:hAnsi="Times New Roman"/>
          <w:b/>
          <w:bCs/>
          <w:i/>
          <w:sz w:val="24"/>
          <w:szCs w:val="24"/>
        </w:rPr>
      </w:pPr>
      <w:r w:rsidRPr="00865625">
        <w:rPr>
          <w:rFonts w:ascii="Times New Roman" w:hAnsi="Times New Roman"/>
          <w:b/>
          <w:bCs/>
          <w:iCs/>
          <w:sz w:val="24"/>
          <w:szCs w:val="24"/>
        </w:rPr>
        <w:t xml:space="preserve">Figure 1: </w:t>
      </w:r>
      <w:bookmarkStart w:id="2" w:name="_Toc185323631"/>
      <w:r w:rsidRPr="00865625">
        <w:rPr>
          <w:rFonts w:ascii="Times New Roman" w:hAnsi="Times New Roman"/>
          <w:b/>
          <w:bCs/>
          <w:i/>
          <w:sz w:val="24"/>
          <w:szCs w:val="24"/>
        </w:rPr>
        <w:t xml:space="preserve">Proportion of Companies </w:t>
      </w:r>
      <w:r w:rsidR="00865625" w:rsidRPr="00865625">
        <w:rPr>
          <w:rFonts w:ascii="Times New Roman" w:hAnsi="Times New Roman"/>
          <w:b/>
          <w:bCs/>
          <w:i/>
          <w:sz w:val="24"/>
          <w:szCs w:val="24"/>
        </w:rPr>
        <w:t>with</w:t>
      </w:r>
      <w:r w:rsidRPr="00865625">
        <w:rPr>
          <w:rFonts w:ascii="Times New Roman" w:hAnsi="Times New Roman"/>
          <w:b/>
          <w:bCs/>
          <w:i/>
          <w:sz w:val="24"/>
          <w:szCs w:val="24"/>
        </w:rPr>
        <w:t xml:space="preserve"> Movement Towards One </w:t>
      </w:r>
      <w:r w:rsidR="000E07D8" w:rsidRPr="00865625">
        <w:rPr>
          <w:rFonts w:ascii="Times New Roman" w:hAnsi="Times New Roman"/>
          <w:b/>
          <w:bCs/>
          <w:i/>
          <w:sz w:val="24"/>
          <w:szCs w:val="24"/>
        </w:rPr>
        <w:t>(</w:t>
      </w:r>
      <w:r w:rsidRPr="00865625">
        <w:rPr>
          <w:rFonts w:ascii="Times New Roman" w:hAnsi="Times New Roman"/>
          <w:b/>
          <w:bCs/>
          <w:i/>
          <w:sz w:val="24"/>
          <w:szCs w:val="24"/>
        </w:rPr>
        <w:t>2009 to 2019</w:t>
      </w:r>
      <w:bookmarkEnd w:id="2"/>
      <w:r w:rsidR="000E07D8" w:rsidRPr="00865625">
        <w:rPr>
          <w:rFonts w:ascii="Times New Roman" w:hAnsi="Times New Roman"/>
          <w:b/>
          <w:bCs/>
          <w:i/>
          <w:sz w:val="24"/>
          <w:szCs w:val="24"/>
        </w:rPr>
        <w:t>)</w:t>
      </w:r>
    </w:p>
    <w:p w14:paraId="37D3B8F4" w14:textId="77777777" w:rsidR="00736091" w:rsidRDefault="00736091" w:rsidP="00441B6F">
      <w:pPr>
        <w:pStyle w:val="Body"/>
        <w:spacing w:after="0"/>
        <w:rPr>
          <w:rFonts w:ascii="Arial" w:hAnsi="Arial" w:cs="Arial"/>
        </w:rPr>
      </w:pPr>
    </w:p>
    <w:p w14:paraId="572E385C" w14:textId="2B7D5710" w:rsidR="00736091" w:rsidRDefault="002910DA" w:rsidP="00441B6F">
      <w:pPr>
        <w:pStyle w:val="Body"/>
        <w:spacing w:after="0"/>
        <w:rPr>
          <w:rFonts w:ascii="Arial" w:hAnsi="Arial" w:cs="Arial"/>
        </w:rPr>
      </w:pPr>
      <w:r w:rsidRPr="00436279">
        <w:rPr>
          <w:rFonts w:ascii="Times New Roman" w:hAnsi="Times New Roman"/>
          <w:noProof/>
          <w:sz w:val="24"/>
          <w:szCs w:val="24"/>
        </w:rPr>
        <w:drawing>
          <wp:inline distT="0" distB="0" distL="0" distR="0" wp14:anchorId="0281D51C" wp14:editId="6162845F">
            <wp:extent cx="5387340" cy="2392680"/>
            <wp:effectExtent l="0" t="0" r="3810" b="7620"/>
            <wp:docPr id="147376156" name="Picture 1"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6156" name="Picture 1" descr="A graph with a line and numb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3052" cy="2395217"/>
                    </a:xfrm>
                    <a:prstGeom prst="rect">
                      <a:avLst/>
                    </a:prstGeom>
                    <a:noFill/>
                  </pic:spPr>
                </pic:pic>
              </a:graphicData>
            </a:graphic>
          </wp:inline>
        </w:drawing>
      </w:r>
    </w:p>
    <w:p w14:paraId="6619B78A" w14:textId="77777777" w:rsidR="00736091" w:rsidRDefault="00736091" w:rsidP="00441B6F">
      <w:pPr>
        <w:pStyle w:val="Body"/>
        <w:spacing w:after="0"/>
        <w:rPr>
          <w:rFonts w:ascii="Arial" w:hAnsi="Arial" w:cs="Arial"/>
        </w:rPr>
      </w:pPr>
    </w:p>
    <w:p w14:paraId="56D910FE" w14:textId="4D939825" w:rsidR="00BE3977" w:rsidRDefault="00DB1917" w:rsidP="00441B6F">
      <w:pPr>
        <w:pStyle w:val="Body"/>
        <w:spacing w:after="0"/>
        <w:rPr>
          <w:rFonts w:ascii="Arial" w:hAnsi="Arial" w:cs="Arial"/>
        </w:rPr>
      </w:pPr>
      <w:r w:rsidRPr="00DB1917">
        <w:rPr>
          <w:rFonts w:ascii="Arial" w:hAnsi="Arial" w:cs="Arial"/>
        </w:rPr>
        <w:t>In general, the line trend shows a reduction in companies moving towards good financial reports by the end of the study period compared to the beginning. Furthermore, repeated measures tests for price-to-book alignment were done, and the results are discussed below</w:t>
      </w:r>
      <w:r w:rsidR="00C82DB4">
        <w:rPr>
          <w:rFonts w:ascii="Arial" w:hAnsi="Arial" w:cs="Arial"/>
        </w:rPr>
        <w:t xml:space="preserve">. </w:t>
      </w:r>
    </w:p>
    <w:p w14:paraId="66097FE9" w14:textId="77777777" w:rsidR="00BE3977" w:rsidRDefault="00BE3977" w:rsidP="00441B6F">
      <w:pPr>
        <w:pStyle w:val="Body"/>
        <w:spacing w:after="0"/>
        <w:rPr>
          <w:rFonts w:ascii="Arial" w:hAnsi="Arial" w:cs="Arial"/>
        </w:rPr>
      </w:pPr>
    </w:p>
    <w:p w14:paraId="76C58E5B" w14:textId="29C20C6A" w:rsidR="00361965" w:rsidRPr="00361965" w:rsidRDefault="00361965" w:rsidP="00361965">
      <w:pPr>
        <w:pStyle w:val="Body"/>
        <w:rPr>
          <w:rFonts w:ascii="Arial" w:hAnsi="Arial" w:cs="Arial"/>
          <w:b/>
          <w:bCs/>
          <w:iCs/>
        </w:rPr>
      </w:pPr>
      <w:bookmarkStart w:id="3" w:name="_Toc181799423"/>
      <w:r w:rsidRPr="00361965">
        <w:rPr>
          <w:rFonts w:ascii="Arial" w:hAnsi="Arial" w:cs="Arial"/>
          <w:b/>
          <w:bCs/>
          <w:iCs/>
        </w:rPr>
        <w:t>Table 2</w:t>
      </w:r>
      <w:r w:rsidRPr="00A12AA1">
        <w:rPr>
          <w:rFonts w:ascii="Arial" w:hAnsi="Arial" w:cs="Arial"/>
          <w:b/>
          <w:bCs/>
          <w:iCs/>
        </w:rPr>
        <w:t xml:space="preserve">: </w:t>
      </w:r>
      <w:bookmarkStart w:id="4" w:name="_Toc185323564"/>
      <w:r w:rsidRPr="00361965">
        <w:rPr>
          <w:rFonts w:ascii="Arial" w:hAnsi="Arial" w:cs="Arial"/>
          <w:b/>
          <w:bCs/>
          <w:i/>
        </w:rPr>
        <w:t>Mauchly’s Test of Sphericity</w:t>
      </w:r>
      <w:bookmarkEnd w:id="3"/>
      <w:bookmarkEnd w:id="4"/>
    </w:p>
    <w:tbl>
      <w:tblPr>
        <w:tblW w:w="8460" w:type="dxa"/>
        <w:tblLayout w:type="fixed"/>
        <w:tblCellMar>
          <w:left w:w="0" w:type="dxa"/>
          <w:right w:w="0" w:type="dxa"/>
        </w:tblCellMar>
        <w:tblLook w:val="0000" w:firstRow="0" w:lastRow="0" w:firstColumn="0" w:lastColumn="0" w:noHBand="0" w:noVBand="0"/>
      </w:tblPr>
      <w:tblGrid>
        <w:gridCol w:w="1440"/>
        <w:gridCol w:w="1260"/>
        <w:gridCol w:w="1170"/>
        <w:gridCol w:w="630"/>
        <w:gridCol w:w="720"/>
        <w:gridCol w:w="1170"/>
        <w:gridCol w:w="900"/>
        <w:gridCol w:w="1170"/>
      </w:tblGrid>
      <w:tr w:rsidR="00061760" w:rsidRPr="00061760" w14:paraId="2EF97985" w14:textId="77777777" w:rsidTr="00CC41DF">
        <w:trPr>
          <w:cantSplit/>
        </w:trPr>
        <w:tc>
          <w:tcPr>
            <w:tcW w:w="1440" w:type="dxa"/>
            <w:vMerge w:val="restart"/>
            <w:tcBorders>
              <w:top w:val="single" w:sz="4" w:space="0" w:color="auto"/>
              <w:left w:val="nil"/>
              <w:bottom w:val="nil"/>
            </w:tcBorders>
            <w:vAlign w:val="bottom"/>
          </w:tcPr>
          <w:p w14:paraId="39EC33B1" w14:textId="77777777" w:rsidR="00061760" w:rsidRPr="00061760" w:rsidRDefault="00061760" w:rsidP="00061760">
            <w:pPr>
              <w:pStyle w:val="Body"/>
              <w:spacing w:after="0"/>
              <w:rPr>
                <w:rFonts w:ascii="Arial" w:hAnsi="Arial" w:cs="Arial"/>
              </w:rPr>
            </w:pPr>
            <w:r w:rsidRPr="00061760">
              <w:rPr>
                <w:rFonts w:ascii="Arial" w:hAnsi="Arial" w:cs="Arial"/>
              </w:rPr>
              <w:t>Within Subjects Effect</w:t>
            </w:r>
          </w:p>
        </w:tc>
        <w:tc>
          <w:tcPr>
            <w:tcW w:w="1260" w:type="dxa"/>
            <w:vMerge w:val="restart"/>
            <w:tcBorders>
              <w:top w:val="single" w:sz="4" w:space="0" w:color="auto"/>
              <w:bottom w:val="nil"/>
            </w:tcBorders>
            <w:vAlign w:val="bottom"/>
          </w:tcPr>
          <w:p w14:paraId="3587CD5E" w14:textId="77777777" w:rsidR="00061760" w:rsidRPr="00061760" w:rsidRDefault="00061760" w:rsidP="00061760">
            <w:pPr>
              <w:pStyle w:val="Body"/>
              <w:spacing w:after="0"/>
              <w:rPr>
                <w:rFonts w:ascii="Arial" w:hAnsi="Arial" w:cs="Arial"/>
              </w:rPr>
            </w:pPr>
            <w:r w:rsidRPr="00061760">
              <w:rPr>
                <w:rFonts w:ascii="Arial" w:hAnsi="Arial" w:cs="Arial"/>
              </w:rPr>
              <w:t>Mauchly’s W</w:t>
            </w:r>
          </w:p>
        </w:tc>
        <w:tc>
          <w:tcPr>
            <w:tcW w:w="1170" w:type="dxa"/>
            <w:vMerge w:val="restart"/>
            <w:tcBorders>
              <w:top w:val="single" w:sz="4" w:space="0" w:color="auto"/>
              <w:bottom w:val="nil"/>
            </w:tcBorders>
            <w:vAlign w:val="bottom"/>
          </w:tcPr>
          <w:p w14:paraId="35DE4E3D" w14:textId="77777777" w:rsidR="00061760" w:rsidRPr="00061760" w:rsidRDefault="00061760" w:rsidP="00061760">
            <w:pPr>
              <w:pStyle w:val="Body"/>
              <w:spacing w:after="0"/>
              <w:rPr>
                <w:rFonts w:ascii="Arial" w:hAnsi="Arial" w:cs="Arial"/>
              </w:rPr>
            </w:pPr>
            <w:r w:rsidRPr="00061760">
              <w:rPr>
                <w:rFonts w:ascii="Arial" w:hAnsi="Arial" w:cs="Arial"/>
              </w:rPr>
              <w:t>Approx. Chi-Square</w:t>
            </w:r>
          </w:p>
        </w:tc>
        <w:tc>
          <w:tcPr>
            <w:tcW w:w="630" w:type="dxa"/>
            <w:vMerge w:val="restart"/>
            <w:tcBorders>
              <w:top w:val="single" w:sz="4" w:space="0" w:color="auto"/>
              <w:bottom w:val="nil"/>
            </w:tcBorders>
            <w:vAlign w:val="bottom"/>
          </w:tcPr>
          <w:p w14:paraId="2C6C51C1" w14:textId="77777777" w:rsidR="00061760" w:rsidRPr="00061760" w:rsidRDefault="00061760" w:rsidP="00061760">
            <w:pPr>
              <w:pStyle w:val="Body"/>
              <w:spacing w:after="0"/>
              <w:rPr>
                <w:rFonts w:ascii="Arial" w:hAnsi="Arial" w:cs="Arial"/>
              </w:rPr>
            </w:pPr>
            <w:r w:rsidRPr="00061760">
              <w:rPr>
                <w:rFonts w:ascii="Arial" w:hAnsi="Arial" w:cs="Arial"/>
              </w:rPr>
              <w:t>df</w:t>
            </w:r>
          </w:p>
        </w:tc>
        <w:tc>
          <w:tcPr>
            <w:tcW w:w="720" w:type="dxa"/>
            <w:vMerge w:val="restart"/>
            <w:tcBorders>
              <w:top w:val="single" w:sz="4" w:space="0" w:color="auto"/>
              <w:bottom w:val="nil"/>
            </w:tcBorders>
            <w:vAlign w:val="bottom"/>
          </w:tcPr>
          <w:p w14:paraId="5289198D" w14:textId="77777777" w:rsidR="00061760" w:rsidRPr="00061760" w:rsidRDefault="00061760" w:rsidP="00061760">
            <w:pPr>
              <w:pStyle w:val="Body"/>
              <w:spacing w:after="0"/>
              <w:rPr>
                <w:rFonts w:ascii="Arial" w:hAnsi="Arial" w:cs="Arial"/>
              </w:rPr>
            </w:pPr>
            <w:r w:rsidRPr="00061760">
              <w:rPr>
                <w:rFonts w:ascii="Arial" w:hAnsi="Arial" w:cs="Arial"/>
              </w:rPr>
              <w:t>Sig.</w:t>
            </w:r>
          </w:p>
        </w:tc>
        <w:tc>
          <w:tcPr>
            <w:tcW w:w="3240" w:type="dxa"/>
            <w:gridSpan w:val="3"/>
            <w:tcBorders>
              <w:top w:val="single" w:sz="4" w:space="0" w:color="auto"/>
              <w:bottom w:val="nil"/>
              <w:right w:val="nil"/>
            </w:tcBorders>
            <w:vAlign w:val="bottom"/>
          </w:tcPr>
          <w:p w14:paraId="70A61827" w14:textId="77777777" w:rsidR="00061760" w:rsidRPr="00061760" w:rsidRDefault="00061760" w:rsidP="00061760">
            <w:pPr>
              <w:pStyle w:val="Body"/>
              <w:spacing w:after="0"/>
              <w:rPr>
                <w:rFonts w:ascii="Arial" w:hAnsi="Arial" w:cs="Arial"/>
              </w:rPr>
            </w:pPr>
            <w:r w:rsidRPr="00061760">
              <w:rPr>
                <w:rFonts w:ascii="Arial" w:hAnsi="Arial" w:cs="Arial"/>
              </w:rPr>
              <w:t>Epsilon</w:t>
            </w:r>
          </w:p>
        </w:tc>
      </w:tr>
      <w:tr w:rsidR="00061760" w:rsidRPr="00061760" w14:paraId="65E269A8" w14:textId="77777777" w:rsidTr="00CC41DF">
        <w:trPr>
          <w:cantSplit/>
        </w:trPr>
        <w:tc>
          <w:tcPr>
            <w:tcW w:w="1440" w:type="dxa"/>
            <w:vMerge/>
            <w:tcBorders>
              <w:top w:val="nil"/>
              <w:left w:val="nil"/>
              <w:bottom w:val="single" w:sz="4" w:space="0" w:color="auto"/>
            </w:tcBorders>
            <w:vAlign w:val="bottom"/>
          </w:tcPr>
          <w:p w14:paraId="33B7A5C7" w14:textId="77777777" w:rsidR="00061760" w:rsidRPr="00061760" w:rsidRDefault="00061760" w:rsidP="00061760">
            <w:pPr>
              <w:pStyle w:val="Body"/>
              <w:spacing w:after="0"/>
              <w:rPr>
                <w:rFonts w:ascii="Arial" w:hAnsi="Arial" w:cs="Arial"/>
              </w:rPr>
            </w:pPr>
          </w:p>
        </w:tc>
        <w:tc>
          <w:tcPr>
            <w:tcW w:w="1260" w:type="dxa"/>
            <w:vMerge/>
            <w:tcBorders>
              <w:top w:val="nil"/>
              <w:bottom w:val="single" w:sz="4" w:space="0" w:color="auto"/>
            </w:tcBorders>
            <w:vAlign w:val="bottom"/>
          </w:tcPr>
          <w:p w14:paraId="275FA18E" w14:textId="77777777" w:rsidR="00061760" w:rsidRPr="00061760" w:rsidRDefault="00061760" w:rsidP="00061760">
            <w:pPr>
              <w:pStyle w:val="Body"/>
              <w:spacing w:after="0"/>
              <w:rPr>
                <w:rFonts w:ascii="Arial" w:hAnsi="Arial" w:cs="Arial"/>
              </w:rPr>
            </w:pPr>
          </w:p>
        </w:tc>
        <w:tc>
          <w:tcPr>
            <w:tcW w:w="1170" w:type="dxa"/>
            <w:vMerge/>
            <w:tcBorders>
              <w:top w:val="nil"/>
              <w:bottom w:val="single" w:sz="4" w:space="0" w:color="auto"/>
            </w:tcBorders>
            <w:vAlign w:val="bottom"/>
          </w:tcPr>
          <w:p w14:paraId="1AC58B65" w14:textId="77777777" w:rsidR="00061760" w:rsidRPr="00061760" w:rsidRDefault="00061760" w:rsidP="00061760">
            <w:pPr>
              <w:pStyle w:val="Body"/>
              <w:spacing w:after="0"/>
              <w:rPr>
                <w:rFonts w:ascii="Arial" w:hAnsi="Arial" w:cs="Arial"/>
              </w:rPr>
            </w:pPr>
          </w:p>
        </w:tc>
        <w:tc>
          <w:tcPr>
            <w:tcW w:w="630" w:type="dxa"/>
            <w:vMerge/>
            <w:tcBorders>
              <w:top w:val="nil"/>
              <w:bottom w:val="single" w:sz="4" w:space="0" w:color="auto"/>
            </w:tcBorders>
            <w:vAlign w:val="bottom"/>
          </w:tcPr>
          <w:p w14:paraId="27816E1F" w14:textId="77777777" w:rsidR="00061760" w:rsidRPr="00061760" w:rsidRDefault="00061760" w:rsidP="00061760">
            <w:pPr>
              <w:pStyle w:val="Body"/>
              <w:spacing w:after="0"/>
              <w:rPr>
                <w:rFonts w:ascii="Arial" w:hAnsi="Arial" w:cs="Arial"/>
              </w:rPr>
            </w:pPr>
          </w:p>
        </w:tc>
        <w:tc>
          <w:tcPr>
            <w:tcW w:w="720" w:type="dxa"/>
            <w:vMerge/>
            <w:tcBorders>
              <w:top w:val="nil"/>
              <w:bottom w:val="single" w:sz="4" w:space="0" w:color="auto"/>
            </w:tcBorders>
            <w:vAlign w:val="bottom"/>
          </w:tcPr>
          <w:p w14:paraId="2B6A593B" w14:textId="77777777" w:rsidR="00061760" w:rsidRPr="00061760" w:rsidRDefault="00061760" w:rsidP="00061760">
            <w:pPr>
              <w:pStyle w:val="Body"/>
              <w:spacing w:after="0"/>
              <w:rPr>
                <w:rFonts w:ascii="Arial" w:hAnsi="Arial" w:cs="Arial"/>
              </w:rPr>
            </w:pPr>
          </w:p>
        </w:tc>
        <w:tc>
          <w:tcPr>
            <w:tcW w:w="1170" w:type="dxa"/>
            <w:tcBorders>
              <w:top w:val="nil"/>
              <w:bottom w:val="single" w:sz="4" w:space="0" w:color="auto"/>
            </w:tcBorders>
            <w:vAlign w:val="bottom"/>
          </w:tcPr>
          <w:p w14:paraId="29EDE83A" w14:textId="77777777" w:rsidR="00061760" w:rsidRPr="00061760" w:rsidRDefault="00061760" w:rsidP="00061760">
            <w:pPr>
              <w:pStyle w:val="Body"/>
              <w:spacing w:after="0"/>
              <w:rPr>
                <w:rFonts w:ascii="Arial" w:hAnsi="Arial" w:cs="Arial"/>
              </w:rPr>
            </w:pPr>
            <w:r w:rsidRPr="00061760">
              <w:rPr>
                <w:rFonts w:ascii="Arial" w:hAnsi="Arial" w:cs="Arial"/>
              </w:rPr>
              <w:t>Greenhouse-Geisser</w:t>
            </w:r>
          </w:p>
        </w:tc>
        <w:tc>
          <w:tcPr>
            <w:tcW w:w="900" w:type="dxa"/>
            <w:tcBorders>
              <w:top w:val="nil"/>
              <w:bottom w:val="single" w:sz="4" w:space="0" w:color="auto"/>
            </w:tcBorders>
            <w:vAlign w:val="bottom"/>
          </w:tcPr>
          <w:p w14:paraId="26F2D0F7" w14:textId="77777777" w:rsidR="00061760" w:rsidRPr="00061760" w:rsidRDefault="00061760" w:rsidP="00061760">
            <w:pPr>
              <w:pStyle w:val="Body"/>
              <w:spacing w:after="0"/>
              <w:rPr>
                <w:rFonts w:ascii="Arial" w:hAnsi="Arial" w:cs="Arial"/>
              </w:rPr>
            </w:pPr>
            <w:r w:rsidRPr="00061760">
              <w:rPr>
                <w:rFonts w:ascii="Arial" w:hAnsi="Arial" w:cs="Arial"/>
              </w:rPr>
              <w:t>Huynh-Feldt</w:t>
            </w:r>
          </w:p>
        </w:tc>
        <w:tc>
          <w:tcPr>
            <w:tcW w:w="1170" w:type="dxa"/>
            <w:tcBorders>
              <w:top w:val="nil"/>
              <w:bottom w:val="single" w:sz="4" w:space="0" w:color="auto"/>
              <w:right w:val="nil"/>
            </w:tcBorders>
            <w:vAlign w:val="bottom"/>
          </w:tcPr>
          <w:p w14:paraId="4C4749AE" w14:textId="77777777" w:rsidR="00061760" w:rsidRPr="00061760" w:rsidRDefault="00061760" w:rsidP="00061760">
            <w:pPr>
              <w:pStyle w:val="Body"/>
              <w:spacing w:after="0"/>
              <w:rPr>
                <w:rFonts w:ascii="Arial" w:hAnsi="Arial" w:cs="Arial"/>
              </w:rPr>
            </w:pPr>
            <w:r w:rsidRPr="00061760">
              <w:rPr>
                <w:rFonts w:ascii="Arial" w:hAnsi="Arial" w:cs="Arial"/>
              </w:rPr>
              <w:t>Lower-bound</w:t>
            </w:r>
          </w:p>
        </w:tc>
      </w:tr>
      <w:tr w:rsidR="00061760" w:rsidRPr="00061760" w14:paraId="068D47C8" w14:textId="77777777" w:rsidTr="00CC41DF">
        <w:trPr>
          <w:cantSplit/>
        </w:trPr>
        <w:tc>
          <w:tcPr>
            <w:tcW w:w="1440" w:type="dxa"/>
            <w:tcBorders>
              <w:top w:val="single" w:sz="4" w:space="0" w:color="auto"/>
              <w:left w:val="nil"/>
              <w:bottom w:val="single" w:sz="4" w:space="0" w:color="auto"/>
            </w:tcBorders>
          </w:tcPr>
          <w:p w14:paraId="39FC3CE1" w14:textId="77777777" w:rsidR="00061760" w:rsidRPr="00061760" w:rsidRDefault="00061760" w:rsidP="00061760">
            <w:pPr>
              <w:pStyle w:val="Body"/>
              <w:spacing w:after="0"/>
              <w:rPr>
                <w:rFonts w:ascii="Arial" w:hAnsi="Arial" w:cs="Arial"/>
              </w:rPr>
            </w:pPr>
            <w:r w:rsidRPr="00061760">
              <w:rPr>
                <w:rFonts w:ascii="Arial" w:hAnsi="Arial" w:cs="Arial"/>
              </w:rPr>
              <w:t>Time</w:t>
            </w:r>
          </w:p>
        </w:tc>
        <w:tc>
          <w:tcPr>
            <w:tcW w:w="1260" w:type="dxa"/>
            <w:tcBorders>
              <w:top w:val="single" w:sz="4" w:space="0" w:color="auto"/>
              <w:bottom w:val="single" w:sz="4" w:space="0" w:color="auto"/>
            </w:tcBorders>
          </w:tcPr>
          <w:p w14:paraId="1CB85E54" w14:textId="77777777" w:rsidR="00061760" w:rsidRPr="00061760" w:rsidRDefault="00061760" w:rsidP="00061760">
            <w:pPr>
              <w:pStyle w:val="Body"/>
              <w:spacing w:after="0"/>
              <w:rPr>
                <w:rFonts w:ascii="Arial" w:hAnsi="Arial" w:cs="Arial"/>
              </w:rPr>
            </w:pPr>
            <w:r w:rsidRPr="00061760">
              <w:rPr>
                <w:rFonts w:ascii="Arial" w:hAnsi="Arial" w:cs="Arial"/>
              </w:rPr>
              <w:t>.004</w:t>
            </w:r>
          </w:p>
        </w:tc>
        <w:tc>
          <w:tcPr>
            <w:tcW w:w="1170" w:type="dxa"/>
            <w:tcBorders>
              <w:top w:val="single" w:sz="4" w:space="0" w:color="auto"/>
              <w:bottom w:val="single" w:sz="4" w:space="0" w:color="auto"/>
            </w:tcBorders>
          </w:tcPr>
          <w:p w14:paraId="68078724" w14:textId="77777777" w:rsidR="00061760" w:rsidRPr="00061760" w:rsidRDefault="00061760" w:rsidP="00061760">
            <w:pPr>
              <w:pStyle w:val="Body"/>
              <w:spacing w:after="0"/>
              <w:rPr>
                <w:rFonts w:ascii="Arial" w:hAnsi="Arial" w:cs="Arial"/>
              </w:rPr>
            </w:pPr>
            <w:r w:rsidRPr="00061760">
              <w:rPr>
                <w:rFonts w:ascii="Arial" w:hAnsi="Arial" w:cs="Arial"/>
              </w:rPr>
              <w:t>46.036</w:t>
            </w:r>
          </w:p>
        </w:tc>
        <w:tc>
          <w:tcPr>
            <w:tcW w:w="630" w:type="dxa"/>
            <w:tcBorders>
              <w:top w:val="single" w:sz="4" w:space="0" w:color="auto"/>
              <w:bottom w:val="single" w:sz="4" w:space="0" w:color="auto"/>
            </w:tcBorders>
          </w:tcPr>
          <w:p w14:paraId="03D86CFD" w14:textId="77777777" w:rsidR="00061760" w:rsidRPr="00061760" w:rsidRDefault="00061760" w:rsidP="00061760">
            <w:pPr>
              <w:pStyle w:val="Body"/>
              <w:spacing w:after="0"/>
              <w:rPr>
                <w:rFonts w:ascii="Arial" w:hAnsi="Arial" w:cs="Arial"/>
              </w:rPr>
            </w:pPr>
            <w:r w:rsidRPr="00061760">
              <w:rPr>
                <w:rFonts w:ascii="Arial" w:hAnsi="Arial" w:cs="Arial"/>
              </w:rPr>
              <w:t>54</w:t>
            </w:r>
          </w:p>
        </w:tc>
        <w:tc>
          <w:tcPr>
            <w:tcW w:w="720" w:type="dxa"/>
            <w:tcBorders>
              <w:top w:val="single" w:sz="4" w:space="0" w:color="auto"/>
              <w:bottom w:val="single" w:sz="4" w:space="0" w:color="auto"/>
            </w:tcBorders>
          </w:tcPr>
          <w:p w14:paraId="20D9D185" w14:textId="77777777" w:rsidR="00061760" w:rsidRPr="00061760" w:rsidRDefault="00061760" w:rsidP="00061760">
            <w:pPr>
              <w:pStyle w:val="Body"/>
              <w:spacing w:after="0"/>
              <w:rPr>
                <w:rFonts w:ascii="Arial" w:hAnsi="Arial" w:cs="Arial"/>
              </w:rPr>
            </w:pPr>
            <w:r w:rsidRPr="00061760">
              <w:rPr>
                <w:rFonts w:ascii="Arial" w:hAnsi="Arial" w:cs="Arial"/>
              </w:rPr>
              <w:t>.882</w:t>
            </w:r>
          </w:p>
        </w:tc>
        <w:tc>
          <w:tcPr>
            <w:tcW w:w="1170" w:type="dxa"/>
            <w:tcBorders>
              <w:top w:val="single" w:sz="4" w:space="0" w:color="auto"/>
              <w:bottom w:val="single" w:sz="4" w:space="0" w:color="auto"/>
            </w:tcBorders>
          </w:tcPr>
          <w:p w14:paraId="5F47AA37" w14:textId="77777777" w:rsidR="00061760" w:rsidRPr="00061760" w:rsidRDefault="00061760" w:rsidP="00061760">
            <w:pPr>
              <w:pStyle w:val="Body"/>
              <w:spacing w:after="0"/>
              <w:rPr>
                <w:rFonts w:ascii="Arial" w:hAnsi="Arial" w:cs="Arial"/>
              </w:rPr>
            </w:pPr>
            <w:r w:rsidRPr="00061760">
              <w:rPr>
                <w:rFonts w:ascii="Arial" w:hAnsi="Arial" w:cs="Arial"/>
              </w:rPr>
              <w:t>.606</w:t>
            </w:r>
          </w:p>
        </w:tc>
        <w:tc>
          <w:tcPr>
            <w:tcW w:w="900" w:type="dxa"/>
            <w:tcBorders>
              <w:top w:val="single" w:sz="4" w:space="0" w:color="auto"/>
              <w:bottom w:val="single" w:sz="4" w:space="0" w:color="auto"/>
            </w:tcBorders>
          </w:tcPr>
          <w:p w14:paraId="5B59E415" w14:textId="77777777" w:rsidR="00061760" w:rsidRPr="00061760" w:rsidRDefault="00061760" w:rsidP="00061760">
            <w:pPr>
              <w:pStyle w:val="Body"/>
              <w:spacing w:after="0"/>
              <w:rPr>
                <w:rFonts w:ascii="Arial" w:hAnsi="Arial" w:cs="Arial"/>
              </w:rPr>
            </w:pPr>
            <w:r w:rsidRPr="00061760">
              <w:rPr>
                <w:rFonts w:ascii="Arial" w:hAnsi="Arial" w:cs="Arial"/>
              </w:rPr>
              <w:t>1.000</w:t>
            </w:r>
          </w:p>
        </w:tc>
        <w:tc>
          <w:tcPr>
            <w:tcW w:w="1170" w:type="dxa"/>
            <w:tcBorders>
              <w:top w:val="single" w:sz="4" w:space="0" w:color="auto"/>
              <w:bottom w:val="single" w:sz="4" w:space="0" w:color="auto"/>
              <w:right w:val="nil"/>
            </w:tcBorders>
          </w:tcPr>
          <w:p w14:paraId="228FED3F" w14:textId="77777777" w:rsidR="00061760" w:rsidRPr="00061760" w:rsidRDefault="00061760" w:rsidP="00061760">
            <w:pPr>
              <w:pStyle w:val="Body"/>
              <w:spacing w:after="0"/>
              <w:rPr>
                <w:rFonts w:ascii="Arial" w:hAnsi="Arial" w:cs="Arial"/>
              </w:rPr>
            </w:pPr>
            <w:r w:rsidRPr="00061760">
              <w:rPr>
                <w:rFonts w:ascii="Arial" w:hAnsi="Arial" w:cs="Arial"/>
              </w:rPr>
              <w:t>.100</w:t>
            </w:r>
          </w:p>
        </w:tc>
      </w:tr>
    </w:tbl>
    <w:p w14:paraId="1A1F8B0D" w14:textId="77777777" w:rsidR="00361965" w:rsidRDefault="00361965" w:rsidP="00441B6F">
      <w:pPr>
        <w:pStyle w:val="Body"/>
        <w:spacing w:after="0"/>
        <w:rPr>
          <w:rFonts w:ascii="Arial" w:hAnsi="Arial" w:cs="Arial"/>
        </w:rPr>
      </w:pPr>
    </w:p>
    <w:p w14:paraId="5C5BAD83" w14:textId="1AF9485D" w:rsidR="009B6AAF" w:rsidRPr="009B6AAF" w:rsidRDefault="009B6AAF" w:rsidP="009B6AAF">
      <w:pPr>
        <w:pStyle w:val="Body"/>
        <w:rPr>
          <w:rFonts w:ascii="Arial" w:hAnsi="Arial" w:cs="Arial"/>
          <w:b/>
          <w:bCs/>
        </w:rPr>
      </w:pPr>
      <w:bookmarkStart w:id="5" w:name="_Toc181799424"/>
      <w:r w:rsidRPr="009B6AAF">
        <w:rPr>
          <w:rFonts w:ascii="Arial" w:hAnsi="Arial" w:cs="Arial"/>
          <w:b/>
          <w:bCs/>
          <w:iCs/>
        </w:rPr>
        <w:t>Table 3</w:t>
      </w:r>
      <w:r w:rsidRPr="00AE3AFF">
        <w:rPr>
          <w:rFonts w:ascii="Arial" w:hAnsi="Arial" w:cs="Arial"/>
          <w:b/>
          <w:bCs/>
          <w:iCs/>
        </w:rPr>
        <w:t xml:space="preserve">: </w:t>
      </w:r>
      <w:bookmarkStart w:id="6" w:name="_Toc185323565"/>
      <w:r w:rsidRPr="009B6AAF">
        <w:rPr>
          <w:rFonts w:ascii="Arial" w:hAnsi="Arial" w:cs="Arial"/>
          <w:b/>
          <w:bCs/>
          <w:i/>
        </w:rPr>
        <w:t>Price-to-Book Alignment Tests of Within-Subjects Effects</w:t>
      </w:r>
      <w:bookmarkEnd w:id="5"/>
      <w:bookmarkEnd w:id="6"/>
    </w:p>
    <w:tbl>
      <w:tblPr>
        <w:tblW w:w="8460" w:type="dxa"/>
        <w:tblLayout w:type="fixed"/>
        <w:tblCellMar>
          <w:left w:w="0" w:type="dxa"/>
          <w:right w:w="0" w:type="dxa"/>
        </w:tblCellMar>
        <w:tblLook w:val="0000" w:firstRow="0" w:lastRow="0" w:firstColumn="0" w:lastColumn="0" w:noHBand="0" w:noVBand="0"/>
      </w:tblPr>
      <w:tblGrid>
        <w:gridCol w:w="1620"/>
        <w:gridCol w:w="1800"/>
        <w:gridCol w:w="990"/>
        <w:gridCol w:w="810"/>
        <w:gridCol w:w="810"/>
        <w:gridCol w:w="720"/>
        <w:gridCol w:w="720"/>
        <w:gridCol w:w="990"/>
      </w:tblGrid>
      <w:tr w:rsidR="00DB318F" w:rsidRPr="00DB318F" w14:paraId="1C8DDF00" w14:textId="77777777" w:rsidTr="00CC41DF">
        <w:trPr>
          <w:cantSplit/>
        </w:trPr>
        <w:tc>
          <w:tcPr>
            <w:tcW w:w="3420" w:type="dxa"/>
            <w:gridSpan w:val="2"/>
            <w:tcBorders>
              <w:top w:val="single" w:sz="4" w:space="0" w:color="auto"/>
              <w:left w:val="nil"/>
              <w:bottom w:val="single" w:sz="4" w:space="0" w:color="auto"/>
            </w:tcBorders>
            <w:vAlign w:val="bottom"/>
          </w:tcPr>
          <w:p w14:paraId="16F4421C" w14:textId="77777777" w:rsidR="00DB318F" w:rsidRPr="00DB318F" w:rsidRDefault="00DB318F" w:rsidP="00DB318F">
            <w:pPr>
              <w:pStyle w:val="Body"/>
              <w:rPr>
                <w:rFonts w:ascii="Arial" w:hAnsi="Arial" w:cs="Arial"/>
              </w:rPr>
            </w:pPr>
          </w:p>
        </w:tc>
        <w:tc>
          <w:tcPr>
            <w:tcW w:w="990" w:type="dxa"/>
            <w:tcBorders>
              <w:top w:val="single" w:sz="4" w:space="0" w:color="auto"/>
              <w:bottom w:val="single" w:sz="4" w:space="0" w:color="auto"/>
            </w:tcBorders>
            <w:vAlign w:val="bottom"/>
          </w:tcPr>
          <w:p w14:paraId="3398DAA1" w14:textId="77777777" w:rsidR="00DB318F" w:rsidRPr="00DB318F" w:rsidRDefault="00DB318F" w:rsidP="00DB318F">
            <w:pPr>
              <w:pStyle w:val="Body"/>
              <w:rPr>
                <w:rFonts w:ascii="Arial" w:hAnsi="Arial" w:cs="Arial"/>
              </w:rPr>
            </w:pPr>
            <w:r w:rsidRPr="00DB318F">
              <w:rPr>
                <w:rFonts w:ascii="Arial" w:hAnsi="Arial" w:cs="Arial"/>
              </w:rPr>
              <w:t>Type III Sum of Squares</w:t>
            </w:r>
          </w:p>
        </w:tc>
        <w:tc>
          <w:tcPr>
            <w:tcW w:w="810" w:type="dxa"/>
            <w:tcBorders>
              <w:top w:val="single" w:sz="4" w:space="0" w:color="auto"/>
              <w:bottom w:val="single" w:sz="4" w:space="0" w:color="auto"/>
            </w:tcBorders>
            <w:vAlign w:val="bottom"/>
          </w:tcPr>
          <w:p w14:paraId="0A081DA5" w14:textId="77777777" w:rsidR="00DB318F" w:rsidRPr="00DB318F" w:rsidRDefault="00DB318F" w:rsidP="00DB318F">
            <w:pPr>
              <w:pStyle w:val="Body"/>
              <w:rPr>
                <w:rFonts w:ascii="Arial" w:hAnsi="Arial" w:cs="Arial"/>
              </w:rPr>
            </w:pPr>
            <w:r w:rsidRPr="00DB318F">
              <w:rPr>
                <w:rFonts w:ascii="Arial" w:hAnsi="Arial" w:cs="Arial"/>
              </w:rPr>
              <w:t>Df</w:t>
            </w:r>
          </w:p>
        </w:tc>
        <w:tc>
          <w:tcPr>
            <w:tcW w:w="810" w:type="dxa"/>
            <w:tcBorders>
              <w:top w:val="single" w:sz="4" w:space="0" w:color="auto"/>
              <w:bottom w:val="single" w:sz="4" w:space="0" w:color="auto"/>
            </w:tcBorders>
            <w:vAlign w:val="bottom"/>
          </w:tcPr>
          <w:p w14:paraId="7465FD88" w14:textId="77777777" w:rsidR="00DB318F" w:rsidRPr="00DB318F" w:rsidRDefault="00DB318F" w:rsidP="00DB318F">
            <w:pPr>
              <w:pStyle w:val="Body"/>
              <w:rPr>
                <w:rFonts w:ascii="Arial" w:hAnsi="Arial" w:cs="Arial"/>
              </w:rPr>
            </w:pPr>
            <w:r w:rsidRPr="00DB318F">
              <w:rPr>
                <w:rFonts w:ascii="Arial" w:hAnsi="Arial" w:cs="Arial"/>
              </w:rPr>
              <w:t>Mean Square</w:t>
            </w:r>
          </w:p>
        </w:tc>
        <w:tc>
          <w:tcPr>
            <w:tcW w:w="720" w:type="dxa"/>
            <w:tcBorders>
              <w:top w:val="single" w:sz="4" w:space="0" w:color="auto"/>
              <w:bottom w:val="single" w:sz="4" w:space="0" w:color="auto"/>
            </w:tcBorders>
            <w:vAlign w:val="bottom"/>
          </w:tcPr>
          <w:p w14:paraId="07BC4C43" w14:textId="77777777" w:rsidR="00DB318F" w:rsidRPr="00DB318F" w:rsidRDefault="00DB318F" w:rsidP="00DB318F">
            <w:pPr>
              <w:pStyle w:val="Body"/>
              <w:rPr>
                <w:rFonts w:ascii="Arial" w:hAnsi="Arial" w:cs="Arial"/>
              </w:rPr>
            </w:pPr>
            <w:r w:rsidRPr="00DB318F">
              <w:rPr>
                <w:rFonts w:ascii="Arial" w:hAnsi="Arial" w:cs="Arial"/>
              </w:rPr>
              <w:t>F</w:t>
            </w:r>
          </w:p>
        </w:tc>
        <w:tc>
          <w:tcPr>
            <w:tcW w:w="720" w:type="dxa"/>
            <w:tcBorders>
              <w:top w:val="single" w:sz="4" w:space="0" w:color="auto"/>
              <w:bottom w:val="single" w:sz="4" w:space="0" w:color="auto"/>
            </w:tcBorders>
            <w:vAlign w:val="bottom"/>
          </w:tcPr>
          <w:p w14:paraId="5DC65192" w14:textId="77777777" w:rsidR="00DB318F" w:rsidRPr="00DB318F" w:rsidRDefault="00DB318F" w:rsidP="00DB318F">
            <w:pPr>
              <w:pStyle w:val="Body"/>
              <w:rPr>
                <w:rFonts w:ascii="Arial" w:hAnsi="Arial" w:cs="Arial"/>
              </w:rPr>
            </w:pPr>
            <w:r w:rsidRPr="00DB318F">
              <w:rPr>
                <w:rFonts w:ascii="Arial" w:hAnsi="Arial" w:cs="Arial"/>
              </w:rPr>
              <w:t>Sig.</w:t>
            </w:r>
          </w:p>
        </w:tc>
        <w:tc>
          <w:tcPr>
            <w:tcW w:w="990" w:type="dxa"/>
            <w:tcBorders>
              <w:top w:val="single" w:sz="4" w:space="0" w:color="auto"/>
              <w:bottom w:val="single" w:sz="4" w:space="0" w:color="auto"/>
              <w:right w:val="nil"/>
            </w:tcBorders>
            <w:vAlign w:val="bottom"/>
          </w:tcPr>
          <w:p w14:paraId="1C3446D3" w14:textId="77777777" w:rsidR="00DB318F" w:rsidRPr="00DB318F" w:rsidRDefault="00DB318F" w:rsidP="00DB318F">
            <w:pPr>
              <w:pStyle w:val="Body"/>
              <w:rPr>
                <w:rFonts w:ascii="Arial" w:hAnsi="Arial" w:cs="Arial"/>
              </w:rPr>
            </w:pPr>
            <w:r w:rsidRPr="00DB318F">
              <w:rPr>
                <w:rFonts w:ascii="Arial" w:hAnsi="Arial" w:cs="Arial"/>
              </w:rPr>
              <w:t>Partial Eta Squared</w:t>
            </w:r>
          </w:p>
        </w:tc>
      </w:tr>
      <w:tr w:rsidR="00DB318F" w:rsidRPr="00DB318F" w14:paraId="3250D0A9" w14:textId="77777777" w:rsidTr="00CC41DF">
        <w:trPr>
          <w:cantSplit/>
        </w:trPr>
        <w:tc>
          <w:tcPr>
            <w:tcW w:w="1620" w:type="dxa"/>
            <w:tcBorders>
              <w:top w:val="single" w:sz="4" w:space="0" w:color="auto"/>
              <w:left w:val="nil"/>
            </w:tcBorders>
          </w:tcPr>
          <w:p w14:paraId="09B0CE62" w14:textId="77777777" w:rsidR="00DB318F" w:rsidRPr="00DB318F" w:rsidRDefault="00DB318F" w:rsidP="00DB318F">
            <w:pPr>
              <w:pStyle w:val="Body"/>
              <w:rPr>
                <w:rFonts w:ascii="Arial" w:hAnsi="Arial" w:cs="Arial"/>
              </w:rPr>
            </w:pPr>
            <w:proofErr w:type="spellStart"/>
            <w:r w:rsidRPr="00DB318F">
              <w:rPr>
                <w:rFonts w:ascii="Arial" w:hAnsi="Arial" w:cs="Arial"/>
              </w:rPr>
              <w:t>PBTime</w:t>
            </w:r>
            <w:proofErr w:type="spellEnd"/>
          </w:p>
        </w:tc>
        <w:tc>
          <w:tcPr>
            <w:tcW w:w="1800" w:type="dxa"/>
            <w:tcBorders>
              <w:top w:val="single" w:sz="4" w:space="0" w:color="auto"/>
            </w:tcBorders>
          </w:tcPr>
          <w:p w14:paraId="5EEA2EBC" w14:textId="77777777" w:rsidR="00DB318F" w:rsidRPr="00DB318F" w:rsidRDefault="00DB318F" w:rsidP="00DB318F">
            <w:pPr>
              <w:pStyle w:val="Body"/>
              <w:rPr>
                <w:rFonts w:ascii="Arial" w:hAnsi="Arial" w:cs="Arial"/>
              </w:rPr>
            </w:pPr>
            <w:r w:rsidRPr="00DB318F">
              <w:rPr>
                <w:rFonts w:ascii="Arial" w:hAnsi="Arial" w:cs="Arial"/>
              </w:rPr>
              <w:t>Sphericity Assumed</w:t>
            </w:r>
          </w:p>
        </w:tc>
        <w:tc>
          <w:tcPr>
            <w:tcW w:w="990" w:type="dxa"/>
            <w:tcBorders>
              <w:top w:val="single" w:sz="4" w:space="0" w:color="auto"/>
            </w:tcBorders>
          </w:tcPr>
          <w:p w14:paraId="590FD7C9" w14:textId="77777777" w:rsidR="00DB318F" w:rsidRPr="00DB318F" w:rsidRDefault="00DB318F" w:rsidP="00DB318F">
            <w:pPr>
              <w:pStyle w:val="Body"/>
              <w:rPr>
                <w:rFonts w:ascii="Arial" w:hAnsi="Arial" w:cs="Arial"/>
              </w:rPr>
            </w:pPr>
            <w:r w:rsidRPr="00DB318F">
              <w:rPr>
                <w:rFonts w:ascii="Arial" w:hAnsi="Arial" w:cs="Arial"/>
              </w:rPr>
              <w:t>4.462</w:t>
            </w:r>
          </w:p>
        </w:tc>
        <w:tc>
          <w:tcPr>
            <w:tcW w:w="810" w:type="dxa"/>
            <w:tcBorders>
              <w:top w:val="single" w:sz="4" w:space="0" w:color="auto"/>
            </w:tcBorders>
          </w:tcPr>
          <w:p w14:paraId="4FD60CAA" w14:textId="77777777" w:rsidR="00DB318F" w:rsidRPr="00DB318F" w:rsidRDefault="00DB318F" w:rsidP="00DB318F">
            <w:pPr>
              <w:pStyle w:val="Body"/>
              <w:rPr>
                <w:rFonts w:ascii="Arial" w:hAnsi="Arial" w:cs="Arial"/>
              </w:rPr>
            </w:pPr>
            <w:r w:rsidRPr="00DB318F">
              <w:rPr>
                <w:rFonts w:ascii="Arial" w:hAnsi="Arial" w:cs="Arial"/>
              </w:rPr>
              <w:t>10</w:t>
            </w:r>
          </w:p>
        </w:tc>
        <w:tc>
          <w:tcPr>
            <w:tcW w:w="810" w:type="dxa"/>
            <w:tcBorders>
              <w:top w:val="single" w:sz="4" w:space="0" w:color="auto"/>
            </w:tcBorders>
          </w:tcPr>
          <w:p w14:paraId="61B0BD02" w14:textId="77777777" w:rsidR="00DB318F" w:rsidRPr="00DB318F" w:rsidRDefault="00DB318F" w:rsidP="00DB318F">
            <w:pPr>
              <w:pStyle w:val="Body"/>
              <w:rPr>
                <w:rFonts w:ascii="Arial" w:hAnsi="Arial" w:cs="Arial"/>
              </w:rPr>
            </w:pPr>
            <w:r w:rsidRPr="00DB318F">
              <w:rPr>
                <w:rFonts w:ascii="Arial" w:hAnsi="Arial" w:cs="Arial"/>
              </w:rPr>
              <w:t>.446</w:t>
            </w:r>
          </w:p>
        </w:tc>
        <w:tc>
          <w:tcPr>
            <w:tcW w:w="720" w:type="dxa"/>
            <w:tcBorders>
              <w:top w:val="single" w:sz="4" w:space="0" w:color="auto"/>
            </w:tcBorders>
          </w:tcPr>
          <w:p w14:paraId="544FDB1B" w14:textId="77777777" w:rsidR="00DB318F" w:rsidRPr="00DB318F" w:rsidRDefault="00DB318F" w:rsidP="00DB318F">
            <w:pPr>
              <w:pStyle w:val="Body"/>
              <w:rPr>
                <w:rFonts w:ascii="Arial" w:hAnsi="Arial" w:cs="Arial"/>
              </w:rPr>
            </w:pPr>
            <w:r w:rsidRPr="00DB318F">
              <w:rPr>
                <w:rFonts w:ascii="Arial" w:hAnsi="Arial" w:cs="Arial"/>
              </w:rPr>
              <w:t>2.053</w:t>
            </w:r>
          </w:p>
        </w:tc>
        <w:tc>
          <w:tcPr>
            <w:tcW w:w="720" w:type="dxa"/>
            <w:tcBorders>
              <w:top w:val="single" w:sz="4" w:space="0" w:color="auto"/>
            </w:tcBorders>
          </w:tcPr>
          <w:p w14:paraId="16956B6F" w14:textId="77777777" w:rsidR="00DB318F" w:rsidRPr="00DB318F" w:rsidRDefault="00DB318F" w:rsidP="00DB318F">
            <w:pPr>
              <w:pStyle w:val="Body"/>
              <w:rPr>
                <w:rFonts w:ascii="Arial" w:hAnsi="Arial" w:cs="Arial"/>
              </w:rPr>
            </w:pPr>
            <w:r w:rsidRPr="00DB318F">
              <w:rPr>
                <w:rFonts w:ascii="Arial" w:hAnsi="Arial" w:cs="Arial"/>
              </w:rPr>
              <w:t>.034</w:t>
            </w:r>
          </w:p>
        </w:tc>
        <w:tc>
          <w:tcPr>
            <w:tcW w:w="990" w:type="dxa"/>
            <w:tcBorders>
              <w:top w:val="single" w:sz="4" w:space="0" w:color="auto"/>
              <w:right w:val="nil"/>
            </w:tcBorders>
          </w:tcPr>
          <w:p w14:paraId="7D4745E1" w14:textId="77777777" w:rsidR="00DB318F" w:rsidRPr="00DB318F" w:rsidRDefault="00DB318F" w:rsidP="00DB318F">
            <w:pPr>
              <w:pStyle w:val="Body"/>
              <w:rPr>
                <w:rFonts w:ascii="Arial" w:hAnsi="Arial" w:cs="Arial"/>
              </w:rPr>
            </w:pPr>
            <w:r w:rsidRPr="00DB318F">
              <w:rPr>
                <w:rFonts w:ascii="Arial" w:hAnsi="Arial" w:cs="Arial"/>
              </w:rPr>
              <w:t>.146</w:t>
            </w:r>
          </w:p>
        </w:tc>
      </w:tr>
      <w:tr w:rsidR="00DB318F" w:rsidRPr="00DB318F" w14:paraId="1D89DDD3" w14:textId="77777777" w:rsidTr="00CC41DF">
        <w:trPr>
          <w:cantSplit/>
        </w:trPr>
        <w:tc>
          <w:tcPr>
            <w:tcW w:w="1620" w:type="dxa"/>
            <w:tcBorders>
              <w:left w:val="nil"/>
              <w:bottom w:val="single" w:sz="4" w:space="0" w:color="auto"/>
            </w:tcBorders>
          </w:tcPr>
          <w:p w14:paraId="6161AA0D" w14:textId="77777777" w:rsidR="00DB318F" w:rsidRPr="00DB318F" w:rsidRDefault="00DB318F" w:rsidP="00DB318F">
            <w:pPr>
              <w:pStyle w:val="Body"/>
              <w:rPr>
                <w:rFonts w:ascii="Arial" w:hAnsi="Arial" w:cs="Arial"/>
              </w:rPr>
            </w:pPr>
            <w:r w:rsidRPr="00DB318F">
              <w:rPr>
                <w:rFonts w:ascii="Arial" w:hAnsi="Arial" w:cs="Arial"/>
              </w:rPr>
              <w:t>Error(</w:t>
            </w:r>
            <w:proofErr w:type="spellStart"/>
            <w:r w:rsidRPr="00DB318F">
              <w:rPr>
                <w:rFonts w:ascii="Arial" w:hAnsi="Arial" w:cs="Arial"/>
              </w:rPr>
              <w:t>PBTime</w:t>
            </w:r>
            <w:proofErr w:type="spellEnd"/>
            <w:r w:rsidRPr="00DB318F">
              <w:rPr>
                <w:rFonts w:ascii="Arial" w:hAnsi="Arial" w:cs="Arial"/>
              </w:rPr>
              <w:t>)</w:t>
            </w:r>
          </w:p>
        </w:tc>
        <w:tc>
          <w:tcPr>
            <w:tcW w:w="1800" w:type="dxa"/>
            <w:tcBorders>
              <w:bottom w:val="single" w:sz="4" w:space="0" w:color="auto"/>
            </w:tcBorders>
          </w:tcPr>
          <w:p w14:paraId="7AC59993" w14:textId="77777777" w:rsidR="00DB318F" w:rsidRPr="00DB318F" w:rsidRDefault="00DB318F" w:rsidP="00DB318F">
            <w:pPr>
              <w:pStyle w:val="Body"/>
              <w:rPr>
                <w:rFonts w:ascii="Arial" w:hAnsi="Arial" w:cs="Arial"/>
              </w:rPr>
            </w:pPr>
            <w:r w:rsidRPr="00DB318F">
              <w:rPr>
                <w:rFonts w:ascii="Arial" w:hAnsi="Arial" w:cs="Arial"/>
              </w:rPr>
              <w:t>Sphericity Assumed</w:t>
            </w:r>
          </w:p>
        </w:tc>
        <w:tc>
          <w:tcPr>
            <w:tcW w:w="990" w:type="dxa"/>
            <w:tcBorders>
              <w:bottom w:val="single" w:sz="4" w:space="0" w:color="auto"/>
            </w:tcBorders>
          </w:tcPr>
          <w:p w14:paraId="09A188FA" w14:textId="77777777" w:rsidR="00DB318F" w:rsidRPr="00DB318F" w:rsidRDefault="00DB318F" w:rsidP="00DB318F">
            <w:pPr>
              <w:pStyle w:val="Body"/>
              <w:rPr>
                <w:rFonts w:ascii="Arial" w:hAnsi="Arial" w:cs="Arial"/>
              </w:rPr>
            </w:pPr>
            <w:r w:rsidRPr="00DB318F">
              <w:rPr>
                <w:rFonts w:ascii="Arial" w:hAnsi="Arial" w:cs="Arial"/>
              </w:rPr>
              <w:t>26.084</w:t>
            </w:r>
          </w:p>
        </w:tc>
        <w:tc>
          <w:tcPr>
            <w:tcW w:w="810" w:type="dxa"/>
            <w:tcBorders>
              <w:bottom w:val="single" w:sz="4" w:space="0" w:color="auto"/>
            </w:tcBorders>
          </w:tcPr>
          <w:p w14:paraId="151099F1" w14:textId="77777777" w:rsidR="00DB318F" w:rsidRPr="00DB318F" w:rsidRDefault="00DB318F" w:rsidP="00DB318F">
            <w:pPr>
              <w:pStyle w:val="Body"/>
              <w:rPr>
                <w:rFonts w:ascii="Arial" w:hAnsi="Arial" w:cs="Arial"/>
              </w:rPr>
            </w:pPr>
            <w:r w:rsidRPr="00DB318F">
              <w:rPr>
                <w:rFonts w:ascii="Arial" w:hAnsi="Arial" w:cs="Arial"/>
              </w:rPr>
              <w:t>120</w:t>
            </w:r>
          </w:p>
        </w:tc>
        <w:tc>
          <w:tcPr>
            <w:tcW w:w="810" w:type="dxa"/>
            <w:tcBorders>
              <w:bottom w:val="single" w:sz="4" w:space="0" w:color="auto"/>
            </w:tcBorders>
          </w:tcPr>
          <w:p w14:paraId="38EE7217" w14:textId="77777777" w:rsidR="00DB318F" w:rsidRPr="00DB318F" w:rsidRDefault="00DB318F" w:rsidP="00DB318F">
            <w:pPr>
              <w:pStyle w:val="Body"/>
              <w:rPr>
                <w:rFonts w:ascii="Arial" w:hAnsi="Arial" w:cs="Arial"/>
              </w:rPr>
            </w:pPr>
            <w:r w:rsidRPr="00DB318F">
              <w:rPr>
                <w:rFonts w:ascii="Arial" w:hAnsi="Arial" w:cs="Arial"/>
              </w:rPr>
              <w:t>.217</w:t>
            </w:r>
          </w:p>
        </w:tc>
        <w:tc>
          <w:tcPr>
            <w:tcW w:w="720" w:type="dxa"/>
            <w:tcBorders>
              <w:bottom w:val="single" w:sz="4" w:space="0" w:color="auto"/>
            </w:tcBorders>
            <w:vAlign w:val="center"/>
          </w:tcPr>
          <w:p w14:paraId="2E9BB765" w14:textId="77777777" w:rsidR="00DB318F" w:rsidRPr="00DB318F" w:rsidRDefault="00DB318F" w:rsidP="00DB318F">
            <w:pPr>
              <w:pStyle w:val="Body"/>
              <w:rPr>
                <w:rFonts w:ascii="Arial" w:hAnsi="Arial" w:cs="Arial"/>
              </w:rPr>
            </w:pPr>
          </w:p>
        </w:tc>
        <w:tc>
          <w:tcPr>
            <w:tcW w:w="720" w:type="dxa"/>
            <w:tcBorders>
              <w:bottom w:val="single" w:sz="4" w:space="0" w:color="auto"/>
            </w:tcBorders>
            <w:vAlign w:val="center"/>
          </w:tcPr>
          <w:p w14:paraId="26D76BC5" w14:textId="77777777" w:rsidR="00DB318F" w:rsidRPr="00DB318F" w:rsidRDefault="00DB318F" w:rsidP="00DB318F">
            <w:pPr>
              <w:pStyle w:val="Body"/>
              <w:rPr>
                <w:rFonts w:ascii="Arial" w:hAnsi="Arial" w:cs="Arial"/>
              </w:rPr>
            </w:pPr>
          </w:p>
        </w:tc>
        <w:tc>
          <w:tcPr>
            <w:tcW w:w="990" w:type="dxa"/>
            <w:tcBorders>
              <w:bottom w:val="single" w:sz="4" w:space="0" w:color="auto"/>
              <w:right w:val="nil"/>
            </w:tcBorders>
            <w:vAlign w:val="center"/>
          </w:tcPr>
          <w:p w14:paraId="314E2262" w14:textId="77777777" w:rsidR="00DB318F" w:rsidRPr="00DB318F" w:rsidRDefault="00DB318F" w:rsidP="00DB318F">
            <w:pPr>
              <w:pStyle w:val="Body"/>
              <w:rPr>
                <w:rFonts w:ascii="Arial" w:hAnsi="Arial" w:cs="Arial"/>
              </w:rPr>
            </w:pPr>
          </w:p>
        </w:tc>
      </w:tr>
    </w:tbl>
    <w:p w14:paraId="688D3289" w14:textId="77777777" w:rsidR="00183863" w:rsidRDefault="00183863" w:rsidP="00014092">
      <w:pPr>
        <w:pStyle w:val="Body"/>
        <w:spacing w:after="0"/>
        <w:rPr>
          <w:rFonts w:ascii="Arial" w:hAnsi="Arial" w:cs="Arial"/>
        </w:rPr>
      </w:pPr>
    </w:p>
    <w:p w14:paraId="47D53B20" w14:textId="3156211B" w:rsidR="00014092" w:rsidRDefault="00014092" w:rsidP="00014092">
      <w:pPr>
        <w:pStyle w:val="Body"/>
        <w:spacing w:after="0"/>
        <w:rPr>
          <w:rFonts w:ascii="Arial" w:hAnsi="Arial" w:cs="Arial"/>
        </w:rPr>
      </w:pPr>
      <w:r w:rsidRPr="00014092">
        <w:rPr>
          <w:rFonts w:ascii="Arial" w:hAnsi="Arial" w:cs="Arial"/>
        </w:rPr>
        <w:t>According to Mauchly’s test of Sphericity (Table 2), the study’s results show that it was insignificant (</w:t>
      </w:r>
      <w:r w:rsidRPr="00014092">
        <w:rPr>
          <w:rFonts w:ascii="Arial" w:hAnsi="Arial" w:cs="Arial"/>
          <w:i/>
          <w:iCs/>
        </w:rPr>
        <w:t xml:space="preserve">p </w:t>
      </w:r>
      <w:r w:rsidRPr="00014092">
        <w:rPr>
          <w:rFonts w:ascii="Arial" w:hAnsi="Arial" w:cs="Arial"/>
        </w:rPr>
        <w:t xml:space="preserve">=.882), indicating that the assumption of differences was not violated. Thus, the condition for equal variances among the differences was met. The sphericity assumed results (Table 3) show an </w:t>
      </w:r>
      <w:r w:rsidRPr="00014092">
        <w:rPr>
          <w:rFonts w:ascii="Arial" w:hAnsi="Arial" w:cs="Arial"/>
          <w:i/>
          <w:iCs/>
        </w:rPr>
        <w:t>f-</w:t>
      </w:r>
      <w:r w:rsidRPr="00014092">
        <w:rPr>
          <w:rFonts w:ascii="Arial" w:hAnsi="Arial" w:cs="Arial"/>
        </w:rPr>
        <w:t>value of 2.053 and a significance level of .34, indicating significant differences in the means between 2009 and 2019. Using pairwise comparison, the results only show that the significant difference was only between the year 2009 and year 2013 (</w:t>
      </w:r>
      <w:r w:rsidRPr="00014092">
        <w:rPr>
          <w:rFonts w:ascii="Arial" w:hAnsi="Arial" w:cs="Arial"/>
          <w:i/>
          <w:iCs/>
        </w:rPr>
        <w:t>p = .</w:t>
      </w:r>
      <w:r w:rsidRPr="00014092">
        <w:rPr>
          <w:rFonts w:ascii="Arial" w:hAnsi="Arial" w:cs="Arial"/>
        </w:rPr>
        <w:t>049), while the rest of the years had insignificant p-values. Thus, the null hypothesis that H</w:t>
      </w:r>
      <w:r w:rsidRPr="00014092">
        <w:rPr>
          <w:rFonts w:ascii="Arial" w:hAnsi="Arial" w:cs="Arial"/>
          <w:vertAlign w:val="subscript"/>
        </w:rPr>
        <w:t>0</w:t>
      </w:r>
      <w:r w:rsidR="009D7E67">
        <w:rPr>
          <w:rFonts w:ascii="Arial" w:hAnsi="Arial" w:cs="Arial"/>
          <w:vertAlign w:val="subscript"/>
        </w:rPr>
        <w:t>1</w:t>
      </w:r>
      <w:r w:rsidRPr="00014092">
        <w:rPr>
          <w:rFonts w:ascii="Arial" w:hAnsi="Arial" w:cs="Arial"/>
        </w:rPr>
        <w:t xml:space="preserve"> </w:t>
      </w:r>
      <w:r w:rsidRPr="00014092">
        <w:rPr>
          <w:rFonts w:ascii="Arial" w:hAnsi="Arial" w:cs="Arial"/>
        </w:rPr>
        <w:lastRenderedPageBreak/>
        <w:t xml:space="preserve">Financial reports do not show better quality after adopting IFRS must be accepted, as evidenced by the insignificant result of </w:t>
      </w:r>
      <w:r w:rsidRPr="00014092">
        <w:rPr>
          <w:rFonts w:ascii="Arial" w:hAnsi="Arial" w:cs="Arial"/>
          <w:i/>
          <w:iCs/>
        </w:rPr>
        <w:t xml:space="preserve">p </w:t>
      </w:r>
      <w:r w:rsidRPr="00014092">
        <w:rPr>
          <w:rFonts w:ascii="Arial" w:hAnsi="Arial" w:cs="Arial"/>
        </w:rPr>
        <w:t xml:space="preserve">= .287. This is supported by Figure 2, which shows a downward trend at the end of the study period compared to the beginning. </w:t>
      </w:r>
    </w:p>
    <w:p w14:paraId="624AA80E" w14:textId="77777777" w:rsidR="008D5A62" w:rsidRDefault="008D5A62" w:rsidP="00014092">
      <w:pPr>
        <w:pStyle w:val="Body"/>
        <w:spacing w:after="0"/>
        <w:rPr>
          <w:rFonts w:ascii="Arial" w:hAnsi="Arial" w:cs="Arial"/>
        </w:rPr>
      </w:pPr>
    </w:p>
    <w:p w14:paraId="3E61CF41" w14:textId="019DE74D" w:rsidR="002463DF" w:rsidRPr="002463DF" w:rsidRDefault="002463DF" w:rsidP="002463DF">
      <w:pPr>
        <w:pStyle w:val="Body"/>
        <w:spacing w:after="0"/>
        <w:rPr>
          <w:rFonts w:ascii="Arial" w:hAnsi="Arial" w:cs="Arial"/>
          <w:b/>
          <w:bCs/>
        </w:rPr>
      </w:pPr>
      <w:r w:rsidRPr="002463DF">
        <w:rPr>
          <w:rFonts w:ascii="Arial" w:hAnsi="Arial" w:cs="Arial"/>
          <w:b/>
          <w:bCs/>
          <w:iCs/>
        </w:rPr>
        <w:t>Figure 2</w:t>
      </w:r>
      <w:r w:rsidRPr="00492857">
        <w:rPr>
          <w:rFonts w:ascii="Arial" w:hAnsi="Arial" w:cs="Arial"/>
          <w:b/>
          <w:bCs/>
          <w:iCs/>
        </w:rPr>
        <w:t xml:space="preserve">: </w:t>
      </w:r>
      <w:bookmarkStart w:id="7" w:name="_Toc185323632"/>
      <w:r w:rsidRPr="002463DF">
        <w:rPr>
          <w:rFonts w:ascii="Arial" w:hAnsi="Arial" w:cs="Arial"/>
          <w:b/>
          <w:bCs/>
          <w:i/>
        </w:rPr>
        <w:t>Financial Reporting Quality and IFRS Stages Relationship</w:t>
      </w:r>
      <w:bookmarkEnd w:id="7"/>
    </w:p>
    <w:p w14:paraId="61056F04" w14:textId="77777777" w:rsidR="008D5A62" w:rsidRDefault="008D5A62" w:rsidP="00014092">
      <w:pPr>
        <w:pStyle w:val="Body"/>
        <w:spacing w:after="0"/>
        <w:rPr>
          <w:rFonts w:ascii="Arial" w:hAnsi="Arial" w:cs="Arial"/>
        </w:rPr>
      </w:pPr>
    </w:p>
    <w:p w14:paraId="5BA14D63" w14:textId="60015294" w:rsidR="002463DF" w:rsidRPr="00014092" w:rsidRDefault="00492857" w:rsidP="00014092">
      <w:pPr>
        <w:pStyle w:val="Body"/>
        <w:spacing w:after="0"/>
        <w:rPr>
          <w:rFonts w:ascii="Arial" w:hAnsi="Arial" w:cs="Arial"/>
        </w:rPr>
      </w:pPr>
      <w:r w:rsidRPr="00436279">
        <w:rPr>
          <w:rFonts w:ascii="Times New Roman" w:hAnsi="Times New Roman"/>
          <w:iCs/>
          <w:noProof/>
          <w:sz w:val="24"/>
          <w:szCs w:val="24"/>
        </w:rPr>
        <w:drawing>
          <wp:inline distT="0" distB="0" distL="0" distR="0" wp14:anchorId="2DC9E071" wp14:editId="2E6372E8">
            <wp:extent cx="5212080" cy="1891481"/>
            <wp:effectExtent l="0" t="0" r="7620" b="0"/>
            <wp:docPr id="1197036520" name="Picture 3" descr="A graph with a line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36520" name="Picture 3" descr="A graph with a line and a blue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891481"/>
                    </a:xfrm>
                    <a:prstGeom prst="rect">
                      <a:avLst/>
                    </a:prstGeom>
                    <a:noFill/>
                  </pic:spPr>
                </pic:pic>
              </a:graphicData>
            </a:graphic>
          </wp:inline>
        </w:drawing>
      </w:r>
    </w:p>
    <w:p w14:paraId="088072F2" w14:textId="77777777" w:rsidR="00A12AA1" w:rsidRDefault="00A12AA1" w:rsidP="00441B6F">
      <w:pPr>
        <w:pStyle w:val="Body"/>
        <w:spacing w:after="0"/>
        <w:rPr>
          <w:rFonts w:ascii="Arial" w:hAnsi="Arial" w:cs="Arial"/>
        </w:rPr>
      </w:pPr>
    </w:p>
    <w:p w14:paraId="291C4C39" w14:textId="77777777" w:rsidR="00BE3977" w:rsidRDefault="00BE3977" w:rsidP="00441B6F">
      <w:pPr>
        <w:pStyle w:val="Body"/>
        <w:spacing w:after="0"/>
        <w:rPr>
          <w:rFonts w:ascii="Arial" w:hAnsi="Arial" w:cs="Arial"/>
        </w:rPr>
      </w:pPr>
    </w:p>
    <w:p w14:paraId="7845C74C" w14:textId="25AD851E" w:rsidR="0031341B" w:rsidRPr="0031341B" w:rsidRDefault="0031341B" w:rsidP="0031341B">
      <w:pPr>
        <w:pStyle w:val="Body"/>
        <w:rPr>
          <w:rFonts w:ascii="Arial" w:hAnsi="Arial" w:cs="Arial"/>
          <w:b/>
          <w:bCs/>
          <w:iCs/>
        </w:rPr>
      </w:pPr>
      <w:r w:rsidRPr="0031341B">
        <w:rPr>
          <w:rFonts w:ascii="Arial" w:hAnsi="Arial" w:cs="Arial"/>
          <w:b/>
          <w:bCs/>
          <w:iCs/>
        </w:rPr>
        <w:t>Table 4</w:t>
      </w:r>
      <w:r w:rsidRPr="00C224BE">
        <w:rPr>
          <w:rFonts w:ascii="Arial" w:hAnsi="Arial" w:cs="Arial"/>
          <w:b/>
          <w:bCs/>
          <w:iCs/>
        </w:rPr>
        <w:t xml:space="preserve">: </w:t>
      </w:r>
      <w:bookmarkStart w:id="8" w:name="_Toc185323566"/>
      <w:r w:rsidRPr="0031341B">
        <w:rPr>
          <w:rFonts w:ascii="Arial" w:hAnsi="Arial" w:cs="Arial"/>
          <w:b/>
          <w:bCs/>
          <w:i/>
        </w:rPr>
        <w:t>Transition Periods Descriptive Statistics</w:t>
      </w:r>
      <w:bookmarkEnd w:id="8"/>
    </w:p>
    <w:tbl>
      <w:tblPr>
        <w:tblW w:w="84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590"/>
        <w:gridCol w:w="1530"/>
        <w:gridCol w:w="1530"/>
        <w:gridCol w:w="810"/>
      </w:tblGrid>
      <w:tr w:rsidR="00D0275C" w:rsidRPr="00D0275C" w14:paraId="0849773C" w14:textId="77777777" w:rsidTr="00CC41DF">
        <w:trPr>
          <w:cantSplit/>
        </w:trPr>
        <w:tc>
          <w:tcPr>
            <w:tcW w:w="4590" w:type="dxa"/>
            <w:tcBorders>
              <w:top w:val="single" w:sz="4" w:space="0" w:color="auto"/>
              <w:bottom w:val="single" w:sz="4" w:space="0" w:color="auto"/>
            </w:tcBorders>
            <w:vAlign w:val="bottom"/>
          </w:tcPr>
          <w:p w14:paraId="23928A6D" w14:textId="77777777" w:rsidR="00D0275C" w:rsidRPr="00D0275C" w:rsidRDefault="00D0275C" w:rsidP="00CC41DF">
            <w:pPr>
              <w:rPr>
                <w:rFonts w:ascii="Arial" w:hAnsi="Arial" w:cs="Arial"/>
              </w:rPr>
            </w:pPr>
          </w:p>
        </w:tc>
        <w:tc>
          <w:tcPr>
            <w:tcW w:w="1530" w:type="dxa"/>
            <w:tcBorders>
              <w:top w:val="single" w:sz="4" w:space="0" w:color="auto"/>
              <w:bottom w:val="single" w:sz="4" w:space="0" w:color="auto"/>
            </w:tcBorders>
            <w:vAlign w:val="bottom"/>
          </w:tcPr>
          <w:p w14:paraId="47D54D2A" w14:textId="77777777" w:rsidR="00D0275C" w:rsidRPr="00D0275C" w:rsidRDefault="00D0275C" w:rsidP="00CC41DF">
            <w:pPr>
              <w:rPr>
                <w:rFonts w:ascii="Arial" w:hAnsi="Arial" w:cs="Arial"/>
              </w:rPr>
            </w:pPr>
            <w:r w:rsidRPr="00D0275C">
              <w:rPr>
                <w:rFonts w:ascii="Arial" w:hAnsi="Arial" w:cs="Arial"/>
              </w:rPr>
              <w:t>M</w:t>
            </w:r>
          </w:p>
        </w:tc>
        <w:tc>
          <w:tcPr>
            <w:tcW w:w="1530" w:type="dxa"/>
            <w:tcBorders>
              <w:top w:val="single" w:sz="4" w:space="0" w:color="auto"/>
              <w:bottom w:val="single" w:sz="4" w:space="0" w:color="auto"/>
            </w:tcBorders>
            <w:vAlign w:val="bottom"/>
          </w:tcPr>
          <w:p w14:paraId="5CFE2EBB" w14:textId="77777777" w:rsidR="00D0275C" w:rsidRPr="00D0275C" w:rsidRDefault="00D0275C" w:rsidP="00CC41DF">
            <w:pPr>
              <w:rPr>
                <w:rFonts w:ascii="Arial" w:hAnsi="Arial" w:cs="Arial"/>
              </w:rPr>
            </w:pPr>
            <w:r w:rsidRPr="00D0275C">
              <w:rPr>
                <w:rFonts w:ascii="Arial" w:hAnsi="Arial" w:cs="Arial"/>
              </w:rPr>
              <w:t>SD</w:t>
            </w:r>
          </w:p>
        </w:tc>
        <w:tc>
          <w:tcPr>
            <w:tcW w:w="810" w:type="dxa"/>
            <w:tcBorders>
              <w:top w:val="single" w:sz="4" w:space="0" w:color="auto"/>
              <w:bottom w:val="single" w:sz="4" w:space="0" w:color="auto"/>
            </w:tcBorders>
            <w:vAlign w:val="bottom"/>
          </w:tcPr>
          <w:p w14:paraId="1E539A0C" w14:textId="77777777" w:rsidR="00D0275C" w:rsidRPr="00D0275C" w:rsidRDefault="00D0275C" w:rsidP="00CC41DF">
            <w:pPr>
              <w:rPr>
                <w:rFonts w:ascii="Arial" w:hAnsi="Arial" w:cs="Arial"/>
              </w:rPr>
            </w:pPr>
            <w:r w:rsidRPr="00D0275C">
              <w:rPr>
                <w:rFonts w:ascii="Arial" w:hAnsi="Arial" w:cs="Arial"/>
              </w:rPr>
              <w:t>N</w:t>
            </w:r>
          </w:p>
        </w:tc>
      </w:tr>
      <w:tr w:rsidR="00D0275C" w:rsidRPr="00D0275C" w14:paraId="0B2A5164" w14:textId="77777777" w:rsidTr="00CC41DF">
        <w:trPr>
          <w:cantSplit/>
        </w:trPr>
        <w:tc>
          <w:tcPr>
            <w:tcW w:w="4590" w:type="dxa"/>
            <w:tcBorders>
              <w:top w:val="single" w:sz="4" w:space="0" w:color="auto"/>
            </w:tcBorders>
          </w:tcPr>
          <w:p w14:paraId="056FE71B" w14:textId="77777777" w:rsidR="00D0275C" w:rsidRPr="00D0275C" w:rsidRDefault="00D0275C" w:rsidP="00CC41DF">
            <w:pPr>
              <w:rPr>
                <w:rFonts w:ascii="Arial" w:hAnsi="Arial" w:cs="Arial"/>
              </w:rPr>
            </w:pPr>
            <w:r w:rsidRPr="00D0275C">
              <w:rPr>
                <w:rFonts w:ascii="Arial" w:hAnsi="Arial" w:cs="Arial"/>
              </w:rPr>
              <w:t>Preparation Period (2009-2013)</w:t>
            </w:r>
          </w:p>
        </w:tc>
        <w:tc>
          <w:tcPr>
            <w:tcW w:w="1530" w:type="dxa"/>
            <w:tcBorders>
              <w:top w:val="single" w:sz="4" w:space="0" w:color="auto"/>
            </w:tcBorders>
          </w:tcPr>
          <w:p w14:paraId="3101B407" w14:textId="77777777" w:rsidR="00D0275C" w:rsidRPr="00D0275C" w:rsidRDefault="00D0275C" w:rsidP="00CC41DF">
            <w:pPr>
              <w:rPr>
                <w:rFonts w:ascii="Arial" w:hAnsi="Arial" w:cs="Arial"/>
              </w:rPr>
            </w:pPr>
            <w:r w:rsidRPr="00D0275C">
              <w:rPr>
                <w:rFonts w:ascii="Arial" w:hAnsi="Arial" w:cs="Arial"/>
              </w:rPr>
              <w:t>.5538</w:t>
            </w:r>
          </w:p>
        </w:tc>
        <w:tc>
          <w:tcPr>
            <w:tcW w:w="1530" w:type="dxa"/>
            <w:tcBorders>
              <w:top w:val="single" w:sz="4" w:space="0" w:color="auto"/>
            </w:tcBorders>
          </w:tcPr>
          <w:p w14:paraId="29643361" w14:textId="77777777" w:rsidR="00D0275C" w:rsidRPr="00D0275C" w:rsidRDefault="00D0275C" w:rsidP="00CC41DF">
            <w:pPr>
              <w:rPr>
                <w:rFonts w:ascii="Arial" w:hAnsi="Arial" w:cs="Arial"/>
              </w:rPr>
            </w:pPr>
            <w:r w:rsidRPr="00D0275C">
              <w:rPr>
                <w:rFonts w:ascii="Arial" w:hAnsi="Arial" w:cs="Arial"/>
              </w:rPr>
              <w:t>.26018</w:t>
            </w:r>
          </w:p>
        </w:tc>
        <w:tc>
          <w:tcPr>
            <w:tcW w:w="810" w:type="dxa"/>
            <w:tcBorders>
              <w:top w:val="single" w:sz="4" w:space="0" w:color="auto"/>
            </w:tcBorders>
          </w:tcPr>
          <w:p w14:paraId="0413EAFB" w14:textId="77777777" w:rsidR="00D0275C" w:rsidRPr="00D0275C" w:rsidRDefault="00D0275C" w:rsidP="00CC41DF">
            <w:pPr>
              <w:rPr>
                <w:rFonts w:ascii="Arial" w:hAnsi="Arial" w:cs="Arial"/>
              </w:rPr>
            </w:pPr>
            <w:r w:rsidRPr="00D0275C">
              <w:rPr>
                <w:rFonts w:ascii="Arial" w:hAnsi="Arial" w:cs="Arial"/>
              </w:rPr>
              <w:t>13</w:t>
            </w:r>
          </w:p>
        </w:tc>
      </w:tr>
      <w:tr w:rsidR="00D0275C" w:rsidRPr="00D0275C" w14:paraId="11550600" w14:textId="77777777" w:rsidTr="00CC41DF">
        <w:trPr>
          <w:cantSplit/>
        </w:trPr>
        <w:tc>
          <w:tcPr>
            <w:tcW w:w="4590" w:type="dxa"/>
          </w:tcPr>
          <w:p w14:paraId="71811143" w14:textId="77777777" w:rsidR="00D0275C" w:rsidRPr="00D0275C" w:rsidRDefault="00D0275C" w:rsidP="00CC41DF">
            <w:pPr>
              <w:rPr>
                <w:rFonts w:ascii="Arial" w:hAnsi="Arial" w:cs="Arial"/>
              </w:rPr>
            </w:pPr>
            <w:r w:rsidRPr="00D0275C">
              <w:rPr>
                <w:rFonts w:ascii="Arial" w:hAnsi="Arial" w:cs="Arial"/>
              </w:rPr>
              <w:t>Implementation Period (2014-2016)</w:t>
            </w:r>
          </w:p>
        </w:tc>
        <w:tc>
          <w:tcPr>
            <w:tcW w:w="1530" w:type="dxa"/>
          </w:tcPr>
          <w:p w14:paraId="7F80306C" w14:textId="77777777" w:rsidR="00D0275C" w:rsidRPr="00D0275C" w:rsidRDefault="00D0275C" w:rsidP="00CC41DF">
            <w:pPr>
              <w:rPr>
                <w:rFonts w:ascii="Arial" w:hAnsi="Arial" w:cs="Arial"/>
              </w:rPr>
            </w:pPr>
            <w:r w:rsidRPr="00D0275C">
              <w:rPr>
                <w:rFonts w:ascii="Arial" w:hAnsi="Arial" w:cs="Arial"/>
              </w:rPr>
              <w:t>.7179</w:t>
            </w:r>
          </w:p>
        </w:tc>
        <w:tc>
          <w:tcPr>
            <w:tcW w:w="1530" w:type="dxa"/>
          </w:tcPr>
          <w:p w14:paraId="73CE8D73" w14:textId="77777777" w:rsidR="00D0275C" w:rsidRPr="00D0275C" w:rsidRDefault="00D0275C" w:rsidP="00CC41DF">
            <w:pPr>
              <w:rPr>
                <w:rFonts w:ascii="Arial" w:hAnsi="Arial" w:cs="Arial"/>
              </w:rPr>
            </w:pPr>
            <w:r w:rsidRPr="00D0275C">
              <w:rPr>
                <w:rFonts w:ascii="Arial" w:hAnsi="Arial" w:cs="Arial"/>
              </w:rPr>
              <w:t>.29957</w:t>
            </w:r>
          </w:p>
        </w:tc>
        <w:tc>
          <w:tcPr>
            <w:tcW w:w="810" w:type="dxa"/>
          </w:tcPr>
          <w:p w14:paraId="56157C79" w14:textId="77777777" w:rsidR="00D0275C" w:rsidRPr="00D0275C" w:rsidRDefault="00D0275C" w:rsidP="00CC41DF">
            <w:pPr>
              <w:rPr>
                <w:rFonts w:ascii="Arial" w:hAnsi="Arial" w:cs="Arial"/>
              </w:rPr>
            </w:pPr>
            <w:r w:rsidRPr="00D0275C">
              <w:rPr>
                <w:rFonts w:ascii="Arial" w:hAnsi="Arial" w:cs="Arial"/>
              </w:rPr>
              <w:t>13</w:t>
            </w:r>
          </w:p>
        </w:tc>
      </w:tr>
      <w:tr w:rsidR="00D0275C" w:rsidRPr="00D0275C" w14:paraId="29DFB71C" w14:textId="77777777" w:rsidTr="00CC41DF">
        <w:trPr>
          <w:cantSplit/>
        </w:trPr>
        <w:tc>
          <w:tcPr>
            <w:tcW w:w="4590" w:type="dxa"/>
          </w:tcPr>
          <w:p w14:paraId="05D3F1E4" w14:textId="77777777" w:rsidR="00D0275C" w:rsidRPr="00D0275C" w:rsidRDefault="00D0275C" w:rsidP="00CC41DF">
            <w:pPr>
              <w:rPr>
                <w:rFonts w:ascii="Arial" w:hAnsi="Arial" w:cs="Arial"/>
              </w:rPr>
            </w:pPr>
            <w:r w:rsidRPr="00D0275C">
              <w:rPr>
                <w:rFonts w:ascii="Arial" w:hAnsi="Arial" w:cs="Arial"/>
              </w:rPr>
              <w:t>Adoption Period (2017-2019)</w:t>
            </w:r>
          </w:p>
        </w:tc>
        <w:tc>
          <w:tcPr>
            <w:tcW w:w="1530" w:type="dxa"/>
          </w:tcPr>
          <w:p w14:paraId="2EF35AAC" w14:textId="77777777" w:rsidR="00D0275C" w:rsidRPr="00D0275C" w:rsidRDefault="00D0275C" w:rsidP="00CC41DF">
            <w:pPr>
              <w:rPr>
                <w:rFonts w:ascii="Arial" w:hAnsi="Arial" w:cs="Arial"/>
              </w:rPr>
            </w:pPr>
            <w:r w:rsidRPr="00D0275C">
              <w:rPr>
                <w:rFonts w:ascii="Arial" w:hAnsi="Arial" w:cs="Arial"/>
              </w:rPr>
              <w:t>.6154</w:t>
            </w:r>
          </w:p>
        </w:tc>
        <w:tc>
          <w:tcPr>
            <w:tcW w:w="1530" w:type="dxa"/>
          </w:tcPr>
          <w:p w14:paraId="48EA3DB8" w14:textId="77777777" w:rsidR="00D0275C" w:rsidRPr="00D0275C" w:rsidRDefault="00D0275C" w:rsidP="00CC41DF">
            <w:pPr>
              <w:rPr>
                <w:rFonts w:ascii="Arial" w:hAnsi="Arial" w:cs="Arial"/>
              </w:rPr>
            </w:pPr>
            <w:r w:rsidRPr="00D0275C">
              <w:rPr>
                <w:rFonts w:ascii="Arial" w:hAnsi="Arial" w:cs="Arial"/>
              </w:rPr>
              <w:t>.22958</w:t>
            </w:r>
          </w:p>
        </w:tc>
        <w:tc>
          <w:tcPr>
            <w:tcW w:w="810" w:type="dxa"/>
          </w:tcPr>
          <w:p w14:paraId="5D4E8F63" w14:textId="77777777" w:rsidR="00D0275C" w:rsidRPr="00D0275C" w:rsidRDefault="00D0275C" w:rsidP="00CC41DF">
            <w:pPr>
              <w:rPr>
                <w:rFonts w:ascii="Arial" w:hAnsi="Arial" w:cs="Arial"/>
              </w:rPr>
            </w:pPr>
            <w:r w:rsidRPr="00D0275C">
              <w:rPr>
                <w:rFonts w:ascii="Arial" w:hAnsi="Arial" w:cs="Arial"/>
              </w:rPr>
              <w:t>13</w:t>
            </w:r>
          </w:p>
        </w:tc>
      </w:tr>
    </w:tbl>
    <w:p w14:paraId="78CB14BF" w14:textId="03E70F30" w:rsidR="0031341B" w:rsidRDefault="00E53910" w:rsidP="00441B6F">
      <w:pPr>
        <w:pStyle w:val="Body"/>
        <w:spacing w:after="0"/>
        <w:rPr>
          <w:rFonts w:ascii="Arial" w:hAnsi="Arial" w:cs="Arial"/>
        </w:rPr>
      </w:pPr>
      <w:r w:rsidRPr="00E53910">
        <w:rPr>
          <w:rFonts w:ascii="Arial" w:hAnsi="Arial" w:cs="Arial"/>
          <w:iCs/>
        </w:rPr>
        <w:t xml:space="preserve">Note: </w:t>
      </w:r>
      <w:proofErr w:type="gramStart"/>
      <w:r w:rsidRPr="00E53910">
        <w:rPr>
          <w:rFonts w:ascii="Arial" w:hAnsi="Arial" w:cs="Arial"/>
          <w:iCs/>
        </w:rPr>
        <w:t>f(</w:t>
      </w:r>
      <w:proofErr w:type="gramEnd"/>
      <w:r w:rsidRPr="00E53910">
        <w:rPr>
          <w:rFonts w:ascii="Arial" w:hAnsi="Arial" w:cs="Arial"/>
          <w:iCs/>
        </w:rPr>
        <w:t xml:space="preserve">2,24) = 1.317, </w:t>
      </w:r>
      <w:r w:rsidRPr="00E53910">
        <w:rPr>
          <w:rFonts w:ascii="Arial" w:hAnsi="Arial" w:cs="Arial"/>
          <w:i/>
          <w:iCs/>
        </w:rPr>
        <w:t>p = .</w:t>
      </w:r>
      <w:r w:rsidRPr="00E53910">
        <w:rPr>
          <w:rFonts w:ascii="Arial" w:hAnsi="Arial" w:cs="Arial"/>
          <w:iCs/>
        </w:rPr>
        <w:t>287, ƞ2=.099</w:t>
      </w:r>
    </w:p>
    <w:p w14:paraId="14F29AEA" w14:textId="77777777" w:rsidR="0031341B" w:rsidRDefault="0031341B" w:rsidP="00441B6F">
      <w:pPr>
        <w:pStyle w:val="Body"/>
        <w:spacing w:after="0"/>
        <w:rPr>
          <w:rFonts w:ascii="Arial" w:hAnsi="Arial" w:cs="Arial"/>
        </w:rPr>
      </w:pPr>
    </w:p>
    <w:p w14:paraId="3EB0BC13" w14:textId="77777777" w:rsidR="00306549" w:rsidRPr="00306549" w:rsidRDefault="00306549" w:rsidP="00306549">
      <w:pPr>
        <w:pStyle w:val="Body"/>
        <w:spacing w:after="0"/>
        <w:rPr>
          <w:rFonts w:ascii="Arial" w:hAnsi="Arial" w:cs="Arial"/>
        </w:rPr>
      </w:pPr>
      <w:r w:rsidRPr="00306549">
        <w:rPr>
          <w:rFonts w:ascii="Arial" w:hAnsi="Arial" w:cs="Arial"/>
        </w:rPr>
        <w:t xml:space="preserve">This study found that the financial reports did not significantly change after adopting IFRS. However, the study showed changes between the IFRS transition periods, starting with an increase in the percentage of movement toward financial reporting quality from the preparation period of 55.38% to 71.79% in the implementation period. However, the percentage towards good financial reporting quality dropped in the adoption period after implementation to 61.54%. Furthermore, using repeated measures, the ANOVA study found that the percentages for companies moving towards one started at 85% in 2009 but declined to 46% in 2019. In addition, repeated measures results showed </w:t>
      </w:r>
      <w:proofErr w:type="gramStart"/>
      <w:r w:rsidRPr="00306549">
        <w:rPr>
          <w:rFonts w:ascii="Arial" w:hAnsi="Arial" w:cs="Arial"/>
        </w:rPr>
        <w:t>f(</w:t>
      </w:r>
      <w:proofErr w:type="gramEnd"/>
      <w:r w:rsidRPr="00306549">
        <w:rPr>
          <w:rFonts w:ascii="Arial" w:hAnsi="Arial" w:cs="Arial"/>
        </w:rPr>
        <w:t>2,24) = 1.317, ƞ</w:t>
      </w:r>
      <w:r w:rsidRPr="00306549">
        <w:rPr>
          <w:rFonts w:ascii="Arial" w:hAnsi="Arial" w:cs="Arial"/>
          <w:vertAlign w:val="subscript"/>
        </w:rPr>
        <w:t>2</w:t>
      </w:r>
      <w:r w:rsidRPr="00306549">
        <w:rPr>
          <w:rFonts w:ascii="Arial" w:hAnsi="Arial" w:cs="Arial"/>
        </w:rPr>
        <w:t xml:space="preserve"> = .009, </w:t>
      </w:r>
      <w:r w:rsidRPr="00306549">
        <w:rPr>
          <w:rFonts w:ascii="Arial" w:hAnsi="Arial" w:cs="Arial"/>
          <w:i/>
          <w:iCs/>
        </w:rPr>
        <w:t>p-</w:t>
      </w:r>
      <w:r w:rsidRPr="00306549">
        <w:rPr>
          <w:rFonts w:ascii="Arial" w:hAnsi="Arial" w:cs="Arial"/>
        </w:rPr>
        <w:t xml:space="preserve">value = .287. This indicates that financial reports did not significantly change after adopting IFRS. </w:t>
      </w:r>
    </w:p>
    <w:p w14:paraId="31EC966B" w14:textId="77777777" w:rsidR="00E53910" w:rsidRDefault="00E53910" w:rsidP="00441B6F">
      <w:pPr>
        <w:pStyle w:val="Body"/>
        <w:spacing w:after="0"/>
        <w:rPr>
          <w:rFonts w:ascii="Arial" w:hAnsi="Arial" w:cs="Arial"/>
        </w:rPr>
      </w:pPr>
    </w:p>
    <w:p w14:paraId="2093B9C8" w14:textId="656C7980" w:rsidR="00306549" w:rsidRDefault="00B20F87"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Discussion </w:t>
      </w:r>
      <w:r w:rsidRPr="00C30A0F">
        <w:rPr>
          <w:rFonts w:ascii="Arial" w:hAnsi="Arial" w:cs="Arial"/>
          <w:b/>
          <w:sz w:val="22"/>
        </w:rPr>
        <w:t xml:space="preserve"> </w:t>
      </w:r>
    </w:p>
    <w:p w14:paraId="31DC832F" w14:textId="77777777" w:rsidR="00A1556D" w:rsidRPr="00A1556D" w:rsidRDefault="00A1556D" w:rsidP="00A1556D">
      <w:pPr>
        <w:pStyle w:val="Body"/>
        <w:rPr>
          <w:rFonts w:ascii="Arial" w:hAnsi="Arial" w:cs="Arial"/>
        </w:rPr>
      </w:pPr>
      <w:r w:rsidRPr="00A1556D">
        <w:rPr>
          <w:rFonts w:ascii="Arial" w:hAnsi="Arial" w:cs="Arial"/>
        </w:rPr>
        <w:t xml:space="preserve">The results suggest a relationship between IFRS adoption and financial reporting, although the study did not find a statistically significant relationship towards improving financial reports. This outcome can be linked to the fact that, before 2013, Malawi allowed companies to adopt any accounting standards they preferred voluntarily. However, the Malawi Accountancy Board promoted using US GAAP as a baseline. Because of this law, companies listed on the MSE voluntarily adopted IAS/IFRS before it became mandatory in Malawi. Palea (2013) notes that organizations often choose to adopt IAS/IFRS voluntarily after considering the associated costs and benefits, with information transparency being just one factor among many. This early adoption may have led to changes before the study period. This may explain why the study did not find a statistically significant change in financial reports after IFRS adoption became mandatory. The data showed an increase in the mean in the implementation period; this suggests that companies improved in areas where they were lagging after mandatory adoption was passed. This indicates that more companies were experiencing a movement </w:t>
      </w:r>
      <w:r w:rsidRPr="00A1556D">
        <w:rPr>
          <w:rFonts w:ascii="Arial" w:hAnsi="Arial" w:cs="Arial"/>
        </w:rPr>
        <w:lastRenderedPageBreak/>
        <w:t>towards one, suggesting improved financial reporting quality in most of the companies. This improvement can be attributed to companies fully adopting IFRS standards without selectively choosing which ones to follow. Additionally, companies restated their financial records, leading to better alignment between the accounting-based book value of equity and market value. However, in the post</w:t>
      </w:r>
      <w:r w:rsidRPr="00A1556D">
        <w:rPr>
          <w:rFonts w:ascii="Arial" w:hAnsi="Arial" w:cs="Arial"/>
          <w:i/>
          <w:iCs/>
        </w:rPr>
        <w:t>-</w:t>
      </w:r>
      <w:r w:rsidRPr="00A1556D">
        <w:rPr>
          <w:rFonts w:ascii="Arial" w:hAnsi="Arial" w:cs="Arial"/>
        </w:rPr>
        <w:t xml:space="preserve">implementation period (adoption stage), financial reports lapsed showed a mean that dropped from 71.79% to 61.54%. This can be attributed to the companies relaxing after the implementation period, thus reducing the percentage of financial reporting quality. </w:t>
      </w:r>
    </w:p>
    <w:p w14:paraId="73A17E29" w14:textId="77777777" w:rsidR="00A1556D" w:rsidRPr="00A1556D" w:rsidRDefault="00A1556D" w:rsidP="00A1556D">
      <w:pPr>
        <w:pStyle w:val="Body"/>
        <w:rPr>
          <w:rFonts w:ascii="Arial" w:hAnsi="Arial" w:cs="Arial"/>
        </w:rPr>
      </w:pPr>
      <w:r w:rsidRPr="00A1556D">
        <w:rPr>
          <w:rFonts w:ascii="Arial" w:hAnsi="Arial" w:cs="Arial"/>
        </w:rPr>
        <w:t xml:space="preserve">The relationship in the three stages of IFRS adoption can be attributed to different exercises during IFRS transition periods. The relationship between financial reporting quality and the transition periods of IFRS adoption suggests that the improvements or adjustments in financial reporting follow a non-linear trajectory, with varying effects observed during different phases of the transition. In the preparation stage, Malawi-listed companies had a mean of 55.38%, barely above half. This can be attributed to companies still being in the learning phase, thus a lower percentage. Ball et al. (2003) state that, in the preparation stage (pre-adoption period), companies prepare to transition to IFRS by updating their accounting systems, training personnel, and revising their financial reporting practices; thus, the quality of financial reporting may not significantly improve during this phase. They further state that, in some cases, it may temporarily decline due to the complexities and uncertainties associated with the upcoming changes. For the Malawi-listed companies, the descriptive statistics according to the repeated measures ANOVA shows that Malawi-listed companies experienced a decline in financial reporting quality during the preparation period. This is shown by a starting mean of .85 in 2009, which declined to .69 in 2010, also declined to .46 in 2011, then improved a bit in 2012 to .54, but further declined to .23 in 2013. </w:t>
      </w:r>
    </w:p>
    <w:p w14:paraId="1571CDCE" w14:textId="77777777" w:rsidR="00A1556D" w:rsidRPr="00A1556D" w:rsidRDefault="00A1556D" w:rsidP="00A1556D">
      <w:pPr>
        <w:pStyle w:val="Body"/>
        <w:rPr>
          <w:rFonts w:ascii="Arial" w:hAnsi="Arial" w:cs="Arial"/>
        </w:rPr>
      </w:pPr>
      <w:r w:rsidRPr="00A1556D">
        <w:rPr>
          <w:rFonts w:ascii="Arial" w:hAnsi="Arial" w:cs="Arial"/>
        </w:rPr>
        <w:t xml:space="preserve">For the implementation stage (early adoption period), there was an increase in the mean to .7179 for companies that were achieving financial reporting quality through movement towards one. The implementation period is when most companies begin to implement IFRS fully. During this phase, the expectation was to see the most significant improvements in the quality of financial reporting as companies adapt to the new standards. The relationship between IFRS adoption and financial reporting quality in this stage exhibits an upward curve, reflecting improvements in financial reporting quality. This is also supported by the results of the repeated measures, which showed an increase in percentage in each year of the implementation period: 2014 had .62, 2015 had .69, and 2016 had .85. </w:t>
      </w:r>
    </w:p>
    <w:p w14:paraId="49F10252" w14:textId="77777777" w:rsidR="00A1556D" w:rsidRPr="00A1556D" w:rsidRDefault="00A1556D" w:rsidP="00A1556D">
      <w:pPr>
        <w:pStyle w:val="Body"/>
        <w:rPr>
          <w:rFonts w:ascii="Arial" w:hAnsi="Arial" w:cs="Arial"/>
        </w:rPr>
      </w:pPr>
      <w:r w:rsidRPr="00A1556D">
        <w:rPr>
          <w:rFonts w:ascii="Arial" w:hAnsi="Arial" w:cs="Arial"/>
        </w:rPr>
        <w:t>In the adoption stage (post</w:t>
      </w:r>
      <w:r w:rsidRPr="00A1556D">
        <w:rPr>
          <w:rFonts w:ascii="Arial" w:hAnsi="Arial" w:cs="Arial"/>
          <w:i/>
          <w:iCs/>
        </w:rPr>
        <w:t>-</w:t>
      </w:r>
      <w:r w:rsidRPr="00A1556D">
        <w:rPr>
          <w:rFonts w:ascii="Arial" w:hAnsi="Arial" w:cs="Arial"/>
        </w:rPr>
        <w:t>implementation period), the initial benefits of IFRS adoption stabilize. However, this period may also witness a slowdown or even a decline in the rate of improvement in financial reporting quality (</w:t>
      </w:r>
      <w:proofErr w:type="spellStart"/>
      <w:r w:rsidRPr="00A1556D">
        <w:rPr>
          <w:rFonts w:ascii="Arial" w:hAnsi="Arial" w:cs="Arial"/>
        </w:rPr>
        <w:t>Daske</w:t>
      </w:r>
      <w:proofErr w:type="spellEnd"/>
      <w:r w:rsidRPr="00A1556D">
        <w:rPr>
          <w:rFonts w:ascii="Arial" w:hAnsi="Arial" w:cs="Arial"/>
        </w:rPr>
        <w:t xml:space="preserve"> et al., 2008). The Malawi-listed companies also noticed a decline in the rate of improvement as the mean decreased to .6154. In addition, the yearly results showed a continued decline in each year’s mean, with .77 in 2017, .62 in 2018, and .46 in 219. This can be attributed to the fact that the initial enthusiasm and rigorous application of IFRS might wane, leading to a normalization of financial reporting practices (Ball et al., 2003). Companies might begin to exploit the flexibility within IFRS, leading to potential variations in reporting quality. In some cases, the quality of financial reporting might even decline if companies begin to take advantage of the judgment</w:t>
      </w:r>
      <w:r w:rsidRPr="00A1556D">
        <w:rPr>
          <w:rFonts w:ascii="Arial" w:hAnsi="Arial" w:cs="Arial"/>
          <w:i/>
          <w:iCs/>
        </w:rPr>
        <w:t>-</w:t>
      </w:r>
      <w:r w:rsidRPr="00A1556D">
        <w:rPr>
          <w:rFonts w:ascii="Arial" w:hAnsi="Arial" w:cs="Arial"/>
        </w:rPr>
        <w:t>based aspects of IFRS to manage earnings or manipulate financial results (</w:t>
      </w:r>
      <w:proofErr w:type="spellStart"/>
      <w:r w:rsidRPr="00A1556D">
        <w:rPr>
          <w:rFonts w:ascii="Arial" w:hAnsi="Arial" w:cs="Arial"/>
        </w:rPr>
        <w:t>Daske</w:t>
      </w:r>
      <w:proofErr w:type="spellEnd"/>
      <w:r w:rsidRPr="00A1556D">
        <w:rPr>
          <w:rFonts w:ascii="Arial" w:hAnsi="Arial" w:cs="Arial"/>
        </w:rPr>
        <w:t xml:space="preserve"> et al., 2008). They further mention that, as companies and auditors become more comfortable with IFRS, there may be less focus on strict compliance, leading to a potential erosion of the improvements seen during the early adoption phase.</w:t>
      </w:r>
    </w:p>
    <w:p w14:paraId="3DF2DD41" w14:textId="77777777" w:rsidR="00A1556D" w:rsidRPr="00A1556D" w:rsidRDefault="00A1556D" w:rsidP="00A1556D">
      <w:pPr>
        <w:pStyle w:val="Body"/>
        <w:spacing w:after="0"/>
        <w:rPr>
          <w:rFonts w:ascii="Arial" w:hAnsi="Arial" w:cs="Arial"/>
        </w:rPr>
      </w:pPr>
      <w:r w:rsidRPr="00A1556D">
        <w:rPr>
          <w:rFonts w:ascii="Arial" w:hAnsi="Arial" w:cs="Arial"/>
        </w:rPr>
        <w:t xml:space="preserve">The relationship between the three stages of IFRS adoption is causal in that these periods are interconnected in a cause-and-effect sequence that ensures successful IFRS integration. The sequence of events inherently supports the notion of causality. The preparation phase must </w:t>
      </w:r>
      <w:r w:rsidRPr="00A1556D">
        <w:rPr>
          <w:rFonts w:ascii="Arial" w:hAnsi="Arial" w:cs="Arial"/>
        </w:rPr>
        <w:lastRenderedPageBreak/>
        <w:t>occur before adoption because it involves the necessary groundwork (e.g., training, system upgrades, policy alignment). Similarly, the adoption phase (formal approval of IFRS) is a prerequisite for implementation, as it establishes the framework for actual application. Therefore, the preparation phase causes the adoption phase because, without adequate preparation (e.g., stakeholder engagement, capacity building), organizations cannot meet the requirements for IFRS adoption. The adoption phase, in turn, enables implementation by providing legal and procedural approval, making the framework actionable in practice. Without adoption, there is no basis for implementation. The preparation phase mediates the relationship between pre-IFRS financial practices and the adoption phase by addressing potential obstacles (e.g., knowledge gaps and system incompatibility). The adoption phase acts as a mediator between preparation and implementation, formalizing the use of IFRS and setting enforcement mechanisms.</w:t>
      </w:r>
    </w:p>
    <w:p w14:paraId="4745F3B9" w14:textId="77777777" w:rsidR="00311E4F" w:rsidRDefault="00311E4F" w:rsidP="00441B6F">
      <w:pPr>
        <w:pStyle w:val="Body"/>
        <w:spacing w:after="0"/>
        <w:rPr>
          <w:rFonts w:ascii="Arial" w:hAnsi="Arial" w:cs="Arial"/>
        </w:rPr>
      </w:pPr>
    </w:p>
    <w:p w14:paraId="60FFFC94" w14:textId="2D163926" w:rsidR="009F5C63" w:rsidRDefault="009F5C63" w:rsidP="009F5C63">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094E0C">
        <w:rPr>
          <w:rFonts w:ascii="Arial" w:hAnsi="Arial" w:cs="Arial"/>
          <w:b/>
          <w:caps/>
          <w:sz w:val="22"/>
        </w:rPr>
        <w:t>3</w:t>
      </w:r>
      <w:r w:rsidRPr="00C30A0F">
        <w:rPr>
          <w:rFonts w:ascii="Arial" w:hAnsi="Arial" w:cs="Arial"/>
          <w:b/>
          <w:caps/>
          <w:sz w:val="22"/>
        </w:rPr>
        <w:t xml:space="preserve"> </w:t>
      </w:r>
      <w:r w:rsidR="00094E0C">
        <w:rPr>
          <w:rFonts w:ascii="Arial" w:hAnsi="Arial" w:cs="Arial"/>
          <w:b/>
          <w:sz w:val="22"/>
        </w:rPr>
        <w:t>Relationship to Previous Research</w:t>
      </w:r>
      <w:r w:rsidRPr="00C30A0F">
        <w:rPr>
          <w:rFonts w:ascii="Arial" w:hAnsi="Arial" w:cs="Arial"/>
          <w:b/>
          <w:sz w:val="22"/>
        </w:rPr>
        <w:t xml:space="preserve"> </w:t>
      </w:r>
    </w:p>
    <w:p w14:paraId="5D1C95A5" w14:textId="584BA02B" w:rsidR="009F5C63" w:rsidRPr="009F5C63" w:rsidRDefault="009F5C63" w:rsidP="009F5C63">
      <w:pPr>
        <w:pStyle w:val="Body"/>
        <w:rPr>
          <w:rFonts w:ascii="Arial" w:hAnsi="Arial" w:cs="Arial"/>
        </w:rPr>
      </w:pPr>
      <w:r w:rsidRPr="009F5C63">
        <w:rPr>
          <w:rFonts w:ascii="Arial" w:hAnsi="Arial" w:cs="Arial"/>
        </w:rPr>
        <w:t xml:space="preserve">Previous studies on the relationship between IFRS adoption and financial reporting quality have shown mixed results, with most studies finding a significant relationship between IFRS adoption and financial reporting quality. However, this study found an insignificant relationship between IFRS adoption and changes in financial reporting quality. Previous studies also found an insignificant relationship </w:t>
      </w:r>
      <w:r w:rsidR="0003046F" w:rsidRPr="009F5C63">
        <w:rPr>
          <w:rFonts w:ascii="Arial" w:hAnsi="Arial" w:cs="Arial"/>
        </w:rPr>
        <w:t>agreeing</w:t>
      </w:r>
      <w:r w:rsidRPr="009F5C63">
        <w:rPr>
          <w:rFonts w:ascii="Arial" w:hAnsi="Arial" w:cs="Arial"/>
        </w:rPr>
        <w:t xml:space="preserve"> with the findings of this study. </w:t>
      </w:r>
      <w:proofErr w:type="spellStart"/>
      <w:r w:rsidRPr="009F5C63">
        <w:rPr>
          <w:rFonts w:ascii="Arial" w:hAnsi="Arial" w:cs="Arial"/>
        </w:rPr>
        <w:t>Mbir</w:t>
      </w:r>
      <w:proofErr w:type="spellEnd"/>
      <w:r w:rsidRPr="009F5C63">
        <w:rPr>
          <w:rFonts w:ascii="Arial" w:hAnsi="Arial" w:cs="Arial"/>
        </w:rPr>
        <w:t xml:space="preserve"> et al. (2020) found that IFRS adoption did not attain the desired results in improving financial reporting quality in Ghana. Their study used Ghana-listed companies on the Ghana Stock Exchange, and the result was insignificant. They attribute improvement to financial reporting quality not solely tied to IFRS adoption but to proper enforcement of IFRS and corporate governance mechanisms. </w:t>
      </w:r>
      <w:proofErr w:type="spellStart"/>
      <w:r w:rsidRPr="009F5C63">
        <w:rPr>
          <w:rFonts w:ascii="Arial" w:hAnsi="Arial" w:cs="Arial"/>
        </w:rPr>
        <w:t>Alshetwi</w:t>
      </w:r>
      <w:proofErr w:type="spellEnd"/>
      <w:r w:rsidRPr="009F5C63">
        <w:rPr>
          <w:rFonts w:ascii="Arial" w:hAnsi="Arial" w:cs="Arial"/>
        </w:rPr>
        <w:t xml:space="preserve"> (2020), in a study of non-financial listed firms in Saudi, found that IFRS adoption does not significantly enhance financial reporting quality. Firmansyah and Irawan’s (2019) study of Indonesian manufacturing companies found that IFRS adoption is not significantly related to financial reporting quality. Furthermore, the study by Coffie et al. (2020) of financial firms in Ghana showed that adopting IFRS does not significantly automatically lead to financial reporting quality. In addition, </w:t>
      </w:r>
      <w:proofErr w:type="spellStart"/>
      <w:r w:rsidRPr="009F5C63">
        <w:rPr>
          <w:rFonts w:ascii="Arial" w:hAnsi="Arial" w:cs="Arial"/>
        </w:rPr>
        <w:t>Indrawati</w:t>
      </w:r>
      <w:proofErr w:type="spellEnd"/>
      <w:r w:rsidRPr="009F5C63">
        <w:rPr>
          <w:rFonts w:ascii="Arial" w:hAnsi="Arial" w:cs="Arial"/>
        </w:rPr>
        <w:t xml:space="preserve"> (2015) found that adopting IFRS does not improve accounting quality.</w:t>
      </w:r>
    </w:p>
    <w:p w14:paraId="2CA5C4E4" w14:textId="77777777" w:rsidR="009F5C63" w:rsidRPr="009F5C63" w:rsidRDefault="009F5C63" w:rsidP="009F5C63">
      <w:pPr>
        <w:pStyle w:val="Body"/>
        <w:rPr>
          <w:rFonts w:ascii="Arial" w:hAnsi="Arial" w:cs="Arial"/>
        </w:rPr>
      </w:pPr>
      <w:r w:rsidRPr="009F5C63">
        <w:rPr>
          <w:rFonts w:ascii="Arial" w:hAnsi="Arial" w:cs="Arial"/>
        </w:rPr>
        <w:t xml:space="preserve">However, previous research also found contradicting results to this study and found a significant relationship between IFRS adoption and financial reporting quality. In their study conducted in Nigeria, </w:t>
      </w:r>
      <w:proofErr w:type="spellStart"/>
      <w:r w:rsidRPr="009F5C63">
        <w:rPr>
          <w:rFonts w:ascii="Arial" w:hAnsi="Arial" w:cs="Arial"/>
        </w:rPr>
        <w:t>Agienohuwa</w:t>
      </w:r>
      <w:proofErr w:type="spellEnd"/>
      <w:r w:rsidRPr="009F5C63">
        <w:rPr>
          <w:rFonts w:ascii="Arial" w:hAnsi="Arial" w:cs="Arial"/>
        </w:rPr>
        <w:t xml:space="preserve"> and </w:t>
      </w:r>
      <w:proofErr w:type="spellStart"/>
      <w:r w:rsidRPr="009F5C63">
        <w:rPr>
          <w:rFonts w:ascii="Arial" w:hAnsi="Arial" w:cs="Arial"/>
        </w:rPr>
        <w:t>Ilaboya</w:t>
      </w:r>
      <w:proofErr w:type="spellEnd"/>
      <w:r w:rsidRPr="009F5C63">
        <w:rPr>
          <w:rFonts w:ascii="Arial" w:hAnsi="Arial" w:cs="Arial"/>
        </w:rPr>
        <w:t xml:space="preserve"> (2018) found a statistically significant difference in financial reporting quality between the pre and post</w:t>
      </w:r>
      <w:r w:rsidRPr="009F5C63">
        <w:rPr>
          <w:rFonts w:ascii="Arial" w:hAnsi="Arial" w:cs="Arial"/>
          <w:i/>
          <w:iCs/>
        </w:rPr>
        <w:t>-</w:t>
      </w:r>
      <w:r w:rsidRPr="009F5C63">
        <w:rPr>
          <w:rFonts w:ascii="Arial" w:hAnsi="Arial" w:cs="Arial"/>
        </w:rPr>
        <w:t xml:space="preserve">IFRS adoption. In addition, Al Mazroui et al. (2023), in their study conducted in Oman, found that there is a significant positive relationship between IFRS adoption and financial reporting quality. Furthermore, Mensah’s (2021) study in Ghana showed that IFRS adoption improved the quality of financial reporting. </w:t>
      </w:r>
    </w:p>
    <w:p w14:paraId="7D901CC0" w14:textId="12EB97AC" w:rsidR="00A807E7" w:rsidRDefault="00A807E7" w:rsidP="00A807E7">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Pr>
          <w:rFonts w:ascii="Arial" w:hAnsi="Arial" w:cs="Arial"/>
          <w:b/>
          <w:sz w:val="22"/>
        </w:rPr>
        <w:t>Recommendations</w:t>
      </w:r>
      <w:r w:rsidRPr="00C30A0F">
        <w:rPr>
          <w:rFonts w:ascii="Arial" w:hAnsi="Arial" w:cs="Arial"/>
          <w:b/>
          <w:sz w:val="22"/>
        </w:rPr>
        <w:t xml:space="preserve"> </w:t>
      </w:r>
    </w:p>
    <w:p w14:paraId="74682466" w14:textId="77777777" w:rsidR="003E510A" w:rsidRDefault="003E510A" w:rsidP="003E510A">
      <w:pPr>
        <w:pStyle w:val="Body"/>
        <w:rPr>
          <w:rFonts w:ascii="Arial" w:hAnsi="Arial" w:cs="Arial"/>
          <w:b/>
          <w:u w:val="single"/>
        </w:rPr>
      </w:pP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 xml:space="preserve">.1 </w:t>
      </w:r>
      <w:r>
        <w:rPr>
          <w:rFonts w:ascii="Arial" w:hAnsi="Arial" w:cs="Arial"/>
          <w:b/>
          <w:u w:val="single"/>
        </w:rPr>
        <w:t>Recommendations for Companies</w:t>
      </w:r>
    </w:p>
    <w:p w14:paraId="362166D9" w14:textId="752C2805" w:rsidR="003E510A" w:rsidRDefault="003E510A" w:rsidP="003E510A">
      <w:pPr>
        <w:pStyle w:val="Body"/>
        <w:rPr>
          <w:rFonts w:ascii="Arial" w:hAnsi="Arial" w:cs="Arial"/>
        </w:rPr>
      </w:pPr>
      <w:r w:rsidRPr="003E510A">
        <w:rPr>
          <w:rFonts w:ascii="Arial" w:hAnsi="Arial" w:cs="Arial"/>
        </w:rPr>
        <w:t>Companies need continuous training and development as ongoing employee education. They should prioritize continuous training for their accounting and finance teams to ensure they remain current with the latest IFRS updates, interpretations, and best practices. This is crucial as IFRS evolves and new standards or amendments are introduced</w:t>
      </w:r>
      <w:r w:rsidR="0021197F">
        <w:rPr>
          <w:rFonts w:ascii="Arial" w:hAnsi="Arial" w:cs="Arial"/>
        </w:rPr>
        <w:t>.</w:t>
      </w:r>
      <w:r w:rsidRPr="003E510A">
        <w:rPr>
          <w:rFonts w:ascii="Arial" w:hAnsi="Arial" w:cs="Arial"/>
        </w:rPr>
        <w:t xml:space="preserve"> In addition, companies should encourage finance and accounting professionals to pursue certifications and attend seminars or workshops focused on IFRS to deepen their understanding and application skills. Furthermore, there is a need to implement and maintain strong internal control systems to ensure compliance with IFRS and to prevent errors or fraudulent reporting. Regular audits and reviews of these controls are essential to ensure they remain effective. Thus, companies need to invest in advanced financial reporting software that automates the application of IFRS </w:t>
      </w:r>
      <w:r w:rsidRPr="003E510A">
        <w:rPr>
          <w:rFonts w:ascii="Arial" w:hAnsi="Arial" w:cs="Arial"/>
        </w:rPr>
        <w:lastRenderedPageBreak/>
        <w:t>standards. Automation can reduce human error and ensure consistency in financial reporting. This will assist companies to aim for transparency in their financial statements, avoiding any practices that might obscure the company’s true financial position or performance. The clear and consistent application of IFRS will enhance investor and regulator credibility. Lastly, companies may need to establish a team or committee dedicated to monitoring changes in IFRS and assessing their potential impact on the company’s financial reporting. This team should also be responsible for implementing any necessary adjustments in a timely manner.</w:t>
      </w:r>
    </w:p>
    <w:p w14:paraId="3A7365C7" w14:textId="0C478DD0" w:rsidR="003E510A" w:rsidRPr="003E510A" w:rsidRDefault="008C188A" w:rsidP="003E510A">
      <w:pPr>
        <w:pStyle w:val="Body"/>
        <w:rPr>
          <w:rFonts w:ascii="Arial" w:hAnsi="Arial" w:cs="Arial"/>
          <w:i/>
          <w:iCs/>
        </w:rPr>
      </w:pPr>
      <w:r>
        <w:rPr>
          <w:rFonts w:ascii="Arial" w:hAnsi="Arial" w:cs="Arial"/>
          <w:b/>
          <w:u w:val="single"/>
        </w:rPr>
        <w:t>3</w:t>
      </w:r>
      <w:r w:rsidRPr="00902823">
        <w:rPr>
          <w:rFonts w:ascii="Arial" w:hAnsi="Arial" w:cs="Arial"/>
          <w:b/>
          <w:u w:val="single"/>
        </w:rPr>
        <w:t>.</w:t>
      </w:r>
      <w:r>
        <w:rPr>
          <w:rFonts w:ascii="Arial" w:hAnsi="Arial" w:cs="Arial"/>
          <w:b/>
          <w:u w:val="single"/>
        </w:rPr>
        <w:t>4</w:t>
      </w:r>
      <w:r w:rsidRPr="00902823">
        <w:rPr>
          <w:rFonts w:ascii="Arial" w:hAnsi="Arial" w:cs="Arial"/>
          <w:b/>
          <w:u w:val="single"/>
        </w:rPr>
        <w:t>.</w:t>
      </w:r>
      <w:r>
        <w:rPr>
          <w:rFonts w:ascii="Arial" w:hAnsi="Arial" w:cs="Arial"/>
          <w:b/>
          <w:u w:val="single"/>
        </w:rPr>
        <w:t>2</w:t>
      </w:r>
      <w:r w:rsidRPr="00902823">
        <w:rPr>
          <w:rFonts w:ascii="Arial" w:hAnsi="Arial" w:cs="Arial"/>
          <w:b/>
          <w:u w:val="single"/>
        </w:rPr>
        <w:t xml:space="preserve"> </w:t>
      </w:r>
      <w:r w:rsidR="00FA690F">
        <w:rPr>
          <w:rFonts w:ascii="Arial" w:hAnsi="Arial" w:cs="Arial"/>
          <w:b/>
          <w:u w:val="single"/>
        </w:rPr>
        <w:t>Recommendations for Regulators</w:t>
      </w:r>
    </w:p>
    <w:p w14:paraId="7814600D" w14:textId="77777777" w:rsidR="003E510A" w:rsidRPr="003E510A" w:rsidRDefault="003E510A" w:rsidP="003E510A">
      <w:pPr>
        <w:pStyle w:val="Body"/>
        <w:spacing w:after="0"/>
        <w:rPr>
          <w:rFonts w:ascii="Arial" w:hAnsi="Arial" w:cs="Arial"/>
        </w:rPr>
      </w:pPr>
      <w:r w:rsidRPr="003E510A">
        <w:rPr>
          <w:rFonts w:ascii="Arial" w:hAnsi="Arial" w:cs="Arial"/>
        </w:rPr>
        <w:t>Regulators will need to strengthen oversight and enforcement. They should strictly enforce IFRS compliance by conducting regular reviews and audits of financial statements. Companies that do not comply should face appropriate penalties to maintain the integrity of financial reporting (</w:t>
      </w:r>
      <w:proofErr w:type="spellStart"/>
      <w:r w:rsidRPr="003E510A">
        <w:rPr>
          <w:rFonts w:ascii="Arial" w:hAnsi="Arial" w:cs="Arial"/>
        </w:rPr>
        <w:t>Leuz</w:t>
      </w:r>
      <w:proofErr w:type="spellEnd"/>
      <w:r w:rsidRPr="003E510A">
        <w:rPr>
          <w:rFonts w:ascii="Arial" w:hAnsi="Arial" w:cs="Arial"/>
        </w:rPr>
        <w:t xml:space="preserve"> &amp; Wysocki, 2016). Furthermore, there is a need for enhanced audit standards. Collaborate with audit companies to enhance audit standards and practices, ensuring that auditors are adequately equipped to assess compliance with IFRS and identify any deviations or irregularities. In addition, regulators must provide continuous support and guidance, as this will provide clear guidance on the interpretation and application of IFRS, especially for complex or judgment</w:t>
      </w:r>
      <w:r w:rsidRPr="003E510A">
        <w:rPr>
          <w:rFonts w:ascii="Arial" w:hAnsi="Arial" w:cs="Arial"/>
          <w:i/>
          <w:iCs/>
        </w:rPr>
        <w:t>-</w:t>
      </w:r>
      <w:r w:rsidRPr="003E510A">
        <w:rPr>
          <w:rFonts w:ascii="Arial" w:hAnsi="Arial" w:cs="Arial"/>
        </w:rPr>
        <w:t>based areas. Regular updates and FAQs can help companies navigate challenging aspects of IFRS. It is also essential for regulators to update and refine IFRS standards to address any issues that emerge during the post</w:t>
      </w:r>
      <w:r w:rsidRPr="003E510A">
        <w:rPr>
          <w:rFonts w:ascii="Arial" w:hAnsi="Arial" w:cs="Arial"/>
          <w:i/>
          <w:iCs/>
        </w:rPr>
        <w:t>-</w:t>
      </w:r>
      <w:r w:rsidRPr="003E510A">
        <w:rPr>
          <w:rFonts w:ascii="Arial" w:hAnsi="Arial" w:cs="Arial"/>
        </w:rPr>
        <w:t xml:space="preserve">adoption phase. </w:t>
      </w:r>
    </w:p>
    <w:p w14:paraId="2EFC3360" w14:textId="77777777" w:rsidR="00A807E7" w:rsidRDefault="00A807E7" w:rsidP="00441B6F">
      <w:pPr>
        <w:pStyle w:val="Body"/>
        <w:spacing w:after="0"/>
        <w:rPr>
          <w:rFonts w:ascii="Arial" w:hAnsi="Arial" w:cs="Arial"/>
        </w:rPr>
      </w:pPr>
    </w:p>
    <w:p w14:paraId="008026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44457D" w14:textId="77777777" w:rsidR="00790ADA" w:rsidRPr="00FB3A86" w:rsidRDefault="00790ADA" w:rsidP="00441B6F">
      <w:pPr>
        <w:pStyle w:val="ConcHead"/>
        <w:spacing w:after="0"/>
        <w:jc w:val="both"/>
        <w:rPr>
          <w:rFonts w:ascii="Arial" w:hAnsi="Arial" w:cs="Arial"/>
        </w:rPr>
      </w:pPr>
    </w:p>
    <w:p w14:paraId="6CC94A73" w14:textId="77777777" w:rsidR="00CB00FB" w:rsidRPr="00CB00FB" w:rsidRDefault="00CB00FB" w:rsidP="00CB00FB">
      <w:pPr>
        <w:pStyle w:val="Body"/>
        <w:spacing w:after="0"/>
        <w:rPr>
          <w:rFonts w:ascii="Arial" w:hAnsi="Arial" w:cs="Arial"/>
        </w:rPr>
      </w:pPr>
      <w:r w:rsidRPr="00CB00FB">
        <w:rPr>
          <w:rFonts w:ascii="Arial" w:hAnsi="Arial" w:cs="Arial"/>
        </w:rPr>
        <w:t>Adopting IFRS is generally viewed as a step towards enhanced financial transparency, consistency, and comparability across international markets. However, the impact of IFRS adoption on financial reporting quality suggests that the quality of financial reporting evolves through different stages of IFRS adoption, with varying degrees of impact at each stage. Thus, there is a need to understand each degree and its impact on financial reporting quality, enabling a proper response.</w:t>
      </w:r>
    </w:p>
    <w:p w14:paraId="43CB874D" w14:textId="77777777" w:rsidR="00790ADA" w:rsidRPr="00FB3A86" w:rsidRDefault="00790ADA" w:rsidP="00441B6F">
      <w:pPr>
        <w:pStyle w:val="Body"/>
        <w:spacing w:after="0"/>
        <w:rPr>
          <w:rFonts w:ascii="Arial" w:hAnsi="Arial" w:cs="Arial"/>
        </w:rPr>
      </w:pPr>
    </w:p>
    <w:p w14:paraId="7F9866F5" w14:textId="77777777" w:rsidR="00315186" w:rsidRPr="00315186" w:rsidRDefault="00315186" w:rsidP="00441B6F"/>
    <w:p w14:paraId="368E384B" w14:textId="05897AC4" w:rsidR="00371FB6" w:rsidRDefault="00371FB6" w:rsidP="00441B6F">
      <w:pPr>
        <w:pStyle w:val="ReferHead"/>
        <w:spacing w:after="0"/>
        <w:jc w:val="both"/>
        <w:rPr>
          <w:rFonts w:ascii="Arial" w:hAnsi="Arial" w:cs="Arial"/>
          <w:b w:val="0"/>
          <w:caps w:val="0"/>
          <w:sz w:val="20"/>
        </w:rPr>
      </w:pPr>
    </w:p>
    <w:p w14:paraId="161B5904" w14:textId="77777777" w:rsidR="00C260E8" w:rsidRPr="00682F5C" w:rsidRDefault="00C260E8" w:rsidP="00C260E8">
      <w:pPr>
        <w:rPr>
          <w:b/>
          <w:bCs/>
        </w:rPr>
      </w:pPr>
      <w:r w:rsidRPr="00682F5C">
        <w:rPr>
          <w:b/>
          <w:bCs/>
        </w:rPr>
        <w:t>Disclaimer (Artificial intelligence)</w:t>
      </w:r>
    </w:p>
    <w:p w14:paraId="3232A59A" w14:textId="77777777" w:rsidR="00C260E8" w:rsidRPr="00682F5C" w:rsidRDefault="00C260E8" w:rsidP="00C260E8"/>
    <w:p w14:paraId="2071AF30" w14:textId="3133225C" w:rsidR="00C260E8" w:rsidRPr="00682F5C" w:rsidRDefault="00682F5C" w:rsidP="00C260E8">
      <w:r>
        <w:t>The author hereby declares that NO generative AI technologies, such as Large Language Models (ChatGPT, COPILOT, etc.) and text-to-image generators,</w:t>
      </w:r>
      <w:r w:rsidR="00C260E8" w:rsidRPr="00682F5C">
        <w:t xml:space="preserve"> have been used during the writing or editing of this manuscript. </w:t>
      </w:r>
    </w:p>
    <w:p w14:paraId="445A7D15" w14:textId="77777777" w:rsidR="00C260E8" w:rsidRPr="00270720" w:rsidRDefault="00C260E8" w:rsidP="00C260E8">
      <w:pPr>
        <w:rPr>
          <w:highlight w:val="yellow"/>
        </w:rPr>
      </w:pPr>
    </w:p>
    <w:p w14:paraId="598D6F0D" w14:textId="0CC9DE8A" w:rsidR="00C260E8" w:rsidRPr="00270720" w:rsidRDefault="00C260E8" w:rsidP="00C260E8"/>
    <w:p w14:paraId="0637649C" w14:textId="77777777" w:rsidR="00C260E8" w:rsidRDefault="00C260E8" w:rsidP="00441B6F">
      <w:pPr>
        <w:pStyle w:val="ReferHead"/>
        <w:spacing w:after="0"/>
        <w:jc w:val="both"/>
        <w:rPr>
          <w:rFonts w:ascii="Arial" w:hAnsi="Arial" w:cs="Arial"/>
          <w:b w:val="0"/>
          <w:caps w:val="0"/>
          <w:sz w:val="20"/>
        </w:rPr>
      </w:pPr>
    </w:p>
    <w:p w14:paraId="135DD087" w14:textId="77777777" w:rsidR="002B685A" w:rsidRDefault="002B685A" w:rsidP="00441B6F">
      <w:pPr>
        <w:pStyle w:val="ReferHead"/>
        <w:spacing w:after="0"/>
        <w:jc w:val="both"/>
        <w:rPr>
          <w:rFonts w:ascii="Arial" w:hAnsi="Arial" w:cs="Arial"/>
          <w:b w:val="0"/>
          <w:caps w:val="0"/>
          <w:sz w:val="20"/>
        </w:rPr>
      </w:pPr>
    </w:p>
    <w:p w14:paraId="03C936F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4F8ABC" w14:textId="77777777" w:rsidR="00790ADA" w:rsidRPr="00FB3A86" w:rsidRDefault="00790ADA" w:rsidP="00441B6F">
      <w:pPr>
        <w:pStyle w:val="ReferHead"/>
        <w:spacing w:after="0"/>
        <w:jc w:val="both"/>
        <w:rPr>
          <w:rFonts w:ascii="Arial" w:hAnsi="Arial" w:cs="Arial"/>
        </w:rPr>
      </w:pPr>
    </w:p>
    <w:p w14:paraId="2234B5BC" w14:textId="77777777" w:rsidR="002D377C" w:rsidRDefault="00D31097" w:rsidP="00D31097">
      <w:pPr>
        <w:pStyle w:val="Body"/>
      </w:pPr>
      <w:r w:rsidRPr="00D31097">
        <w:t xml:space="preserve">Adnan, A. T. M., &amp; Khan, M. M. (2021). </w:t>
      </w:r>
      <w:r w:rsidRPr="00700ECA">
        <w:rPr>
          <w:i/>
          <w:iCs/>
        </w:rPr>
        <w:t>Adoption of international financial reporting standard (IFRS) and its consequences on financial reporting quality: A review. BUFT Journal of Business &amp; Economics, 2,</w:t>
      </w:r>
      <w:r w:rsidRPr="00D31097">
        <w:t>175-186.</w:t>
      </w:r>
    </w:p>
    <w:p w14:paraId="50DD8C45" w14:textId="54B44129" w:rsidR="00D31097" w:rsidRPr="00D31097" w:rsidRDefault="00D31097" w:rsidP="00D31097">
      <w:pPr>
        <w:pStyle w:val="Body"/>
      </w:pPr>
      <w:proofErr w:type="spellStart"/>
      <w:r w:rsidRPr="00D31097">
        <w:t>Agienohuwa</w:t>
      </w:r>
      <w:proofErr w:type="spellEnd"/>
      <w:r w:rsidRPr="00D31097">
        <w:t xml:space="preserve">, O. O., &amp; </w:t>
      </w:r>
      <w:proofErr w:type="spellStart"/>
      <w:r w:rsidRPr="00D31097">
        <w:t>Ilaboya</w:t>
      </w:r>
      <w:proofErr w:type="spellEnd"/>
      <w:r w:rsidRPr="00D31097">
        <w:t xml:space="preserve">, O. J. (2018). </w:t>
      </w:r>
      <w:r w:rsidRPr="00700ECA">
        <w:rPr>
          <w:i/>
          <w:iCs/>
        </w:rPr>
        <w:t>IFRS adoption and financial reporting quality: IASB qualitative characteristics approach. Accounting and Taxation Review, 2(3)</w:t>
      </w:r>
      <w:r w:rsidRPr="00D31097">
        <w:t>, 30-47.</w:t>
      </w:r>
    </w:p>
    <w:p w14:paraId="5E5B1BE4" w14:textId="77777777" w:rsidR="00D31097" w:rsidRDefault="00D31097" w:rsidP="00D31097">
      <w:pPr>
        <w:pStyle w:val="Body"/>
      </w:pPr>
      <w:r w:rsidRPr="00D31097">
        <w:t xml:space="preserve">Ahmed, K., Chalmers, K., &amp; </w:t>
      </w:r>
      <w:proofErr w:type="spellStart"/>
      <w:r w:rsidRPr="00D31097">
        <w:t>Khlif</w:t>
      </w:r>
      <w:proofErr w:type="spellEnd"/>
      <w:r w:rsidRPr="00D31097">
        <w:t xml:space="preserve">, H. (2013). </w:t>
      </w:r>
      <w:r w:rsidRPr="00700ECA">
        <w:rPr>
          <w:i/>
          <w:iCs/>
        </w:rPr>
        <w:t>A meta-analysis of IFRS adoption effects. The International Journal of Accounting, 48(2),</w:t>
      </w:r>
      <w:r w:rsidRPr="00D31097">
        <w:t xml:space="preserve"> 173-217.</w:t>
      </w:r>
    </w:p>
    <w:p w14:paraId="41C8D54F" w14:textId="6BC83C8C" w:rsidR="00CB4279" w:rsidRPr="00CB4279" w:rsidRDefault="00CB4279" w:rsidP="00CB4279">
      <w:pPr>
        <w:pStyle w:val="Body"/>
      </w:pPr>
      <w:proofErr w:type="spellStart"/>
      <w:r w:rsidRPr="00CB4279">
        <w:lastRenderedPageBreak/>
        <w:t>Alasbahi</w:t>
      </w:r>
      <w:proofErr w:type="spellEnd"/>
      <w:r w:rsidRPr="00CB4279">
        <w:t xml:space="preserve">, A., &amp; Ishwara, P. (2021). </w:t>
      </w:r>
      <w:r w:rsidRPr="00700ECA">
        <w:rPr>
          <w:i/>
          <w:iCs/>
        </w:rPr>
        <w:t xml:space="preserve">Obstacles and possible enablers to corporate governance practices in Yemen. International Journal of </w:t>
      </w:r>
      <w:r w:rsidR="006B1B3E" w:rsidRPr="00700ECA">
        <w:rPr>
          <w:i/>
          <w:iCs/>
        </w:rPr>
        <w:t>Advanced</w:t>
      </w:r>
      <w:r w:rsidRPr="00700ECA">
        <w:rPr>
          <w:i/>
          <w:iCs/>
        </w:rPr>
        <w:t xml:space="preserve"> Research, Ideas and Innovations in Technology, 7(3),</w:t>
      </w:r>
      <w:r w:rsidRPr="00CB4279">
        <w:t xml:space="preserve"> 1903-1912.</w:t>
      </w:r>
    </w:p>
    <w:p w14:paraId="6849D816" w14:textId="77777777" w:rsidR="00D31097" w:rsidRPr="00D31097" w:rsidRDefault="00D31097" w:rsidP="00D31097">
      <w:pPr>
        <w:pStyle w:val="Body"/>
        <w:rPr>
          <w:i/>
          <w:iCs/>
        </w:rPr>
      </w:pPr>
      <w:r w:rsidRPr="00D31097">
        <w:t xml:space="preserve">Al Mazroui, T. S. S., Al Sulaimi, M. S., &amp; Ahmed, E. R. (2023). </w:t>
      </w:r>
      <w:r w:rsidRPr="00700ECA">
        <w:rPr>
          <w:i/>
          <w:iCs/>
        </w:rPr>
        <w:t>Adoption of international financial reporting standards (IFRS) to enhance financial reporting in Oman. Journal of Governance and Integrity, 6(2)</w:t>
      </w:r>
      <w:r w:rsidRPr="00D31097">
        <w:t>, 552-563.</w:t>
      </w:r>
      <w:r w:rsidRPr="00D31097">
        <w:rPr>
          <w:i/>
          <w:iCs/>
        </w:rPr>
        <w:t xml:space="preserve"> </w:t>
      </w:r>
    </w:p>
    <w:p w14:paraId="73F3B129" w14:textId="77777777" w:rsidR="00D31097" w:rsidRPr="00D31097" w:rsidRDefault="00D31097" w:rsidP="00D31097">
      <w:pPr>
        <w:pStyle w:val="Body"/>
      </w:pPr>
      <w:proofErr w:type="spellStart"/>
      <w:r w:rsidRPr="00D31097">
        <w:t>Alshetwi</w:t>
      </w:r>
      <w:proofErr w:type="spellEnd"/>
      <w:r w:rsidRPr="00D31097">
        <w:t xml:space="preserve">, M. (2020). </w:t>
      </w:r>
      <w:r w:rsidRPr="00700ECA">
        <w:rPr>
          <w:i/>
          <w:iCs/>
        </w:rPr>
        <w:t>The effect of adoption of IFRS in financial reporting quality in Saudi nonfinancial listed firms. Academy of Accounting and Financial Studies Journal, 24(3),</w:t>
      </w:r>
      <w:r w:rsidRPr="00D31097">
        <w:t xml:space="preserve"> 1–13.</w:t>
      </w:r>
    </w:p>
    <w:p w14:paraId="66E064AF" w14:textId="77777777" w:rsidR="00D31097" w:rsidRDefault="00D31097" w:rsidP="00D31097">
      <w:pPr>
        <w:pStyle w:val="Body"/>
      </w:pPr>
      <w:r w:rsidRPr="00D31097">
        <w:t xml:space="preserve">Ames, D. (2013). </w:t>
      </w:r>
      <w:r w:rsidRPr="00700ECA">
        <w:rPr>
          <w:i/>
          <w:iCs/>
        </w:rPr>
        <w:t>IFRS adoption and accounting quality. The case of South Africa. Journal of Applied Economics and Business Research, 3(3),</w:t>
      </w:r>
      <w:r w:rsidRPr="00D31097">
        <w:t xml:space="preserve"> 154–165.</w:t>
      </w:r>
    </w:p>
    <w:p w14:paraId="4D479713" w14:textId="4E8E0368" w:rsidR="00AF1CF2" w:rsidRDefault="00AF1CF2" w:rsidP="00AF1CF2">
      <w:pPr>
        <w:pStyle w:val="Body"/>
      </w:pPr>
      <w:r w:rsidRPr="00682F5C">
        <w:t xml:space="preserve">Amiri, A. M., Bijay, P. K., &amp; Amitabh, M. (2024). </w:t>
      </w:r>
      <w:r w:rsidRPr="00700ECA">
        <w:rPr>
          <w:i/>
          <w:iCs/>
        </w:rPr>
        <w:t xml:space="preserve">Extending the reach of small-medium enterprises through new-age marketing technologies: Drivers of adoption and their impact on business performance. International Journal of </w:t>
      </w:r>
      <w:r w:rsidR="00EA3E74" w:rsidRPr="00700ECA">
        <w:rPr>
          <w:i/>
          <w:iCs/>
        </w:rPr>
        <w:t>Techno entrepreneurship</w:t>
      </w:r>
      <w:r w:rsidRPr="00700ECA">
        <w:rPr>
          <w:i/>
          <w:iCs/>
        </w:rPr>
        <w:t xml:space="preserve"> 5</w:t>
      </w:r>
      <w:r w:rsidRPr="00AF1CF2">
        <w:t>, 26–48.</w:t>
      </w:r>
    </w:p>
    <w:p w14:paraId="71656C1B" w14:textId="03519B8D" w:rsidR="00AE6F18" w:rsidRPr="00AF1CF2" w:rsidRDefault="00AE6F18" w:rsidP="00AF1CF2">
      <w:pPr>
        <w:pStyle w:val="Body"/>
      </w:pPr>
      <w:r w:rsidRPr="00AE6F18">
        <w:t xml:space="preserve">Ball, R., Robin, A., &amp; Wu, J. (2003). </w:t>
      </w:r>
      <w:r w:rsidRPr="00700ECA">
        <w:rPr>
          <w:i/>
          <w:iCs/>
        </w:rPr>
        <w:t>Incentives versus Standards: Properties of Accounting Income in Four East Asian Countries. Journal of Accounting and Economics, 36(1-3</w:t>
      </w:r>
      <w:r w:rsidRPr="00AE6F18">
        <w:t>), 235-270.</w:t>
      </w:r>
    </w:p>
    <w:p w14:paraId="19F1E9CC" w14:textId="77777777" w:rsidR="00D31097" w:rsidRPr="00D31097" w:rsidRDefault="00D31097" w:rsidP="00D31097">
      <w:pPr>
        <w:pStyle w:val="Body"/>
      </w:pPr>
      <w:r w:rsidRPr="00AF1CF2">
        <w:t xml:space="preserve">Barth, M. E., Landsman, W. R., &amp; Lang, M. H. (2008). </w:t>
      </w:r>
      <w:r w:rsidRPr="00700ECA">
        <w:rPr>
          <w:i/>
          <w:iCs/>
        </w:rPr>
        <w:t>International accounting standards and accounting quality. Journal of Accounting Research, 46(3).</w:t>
      </w:r>
      <w:r w:rsidRPr="00D31097">
        <w:t xml:space="preserve"> 467–498.</w:t>
      </w:r>
    </w:p>
    <w:p w14:paraId="70A2ED0E" w14:textId="77777777" w:rsidR="00D31097" w:rsidRPr="00D31097" w:rsidRDefault="00D31097" w:rsidP="00D31097">
      <w:pPr>
        <w:pStyle w:val="Body"/>
      </w:pPr>
      <w:r w:rsidRPr="00D31097">
        <w:t xml:space="preserve">Bowrin, A. R. (2008). </w:t>
      </w:r>
      <w:r w:rsidRPr="00700ECA">
        <w:rPr>
          <w:i/>
          <w:iCs/>
        </w:rPr>
        <w:t>International accounting standards and financial reporting quality in Trinidad and Tobago. Business, Finance &amp; Economics in Emerging Economies, 3(1)</w:t>
      </w:r>
      <w:r w:rsidRPr="00D31097">
        <w:t>, 118–150.</w:t>
      </w:r>
    </w:p>
    <w:p w14:paraId="356D29E6" w14:textId="77777777" w:rsidR="00D31097" w:rsidRPr="00D31097" w:rsidRDefault="00D31097" w:rsidP="00D31097">
      <w:pPr>
        <w:pStyle w:val="Body"/>
      </w:pPr>
      <w:r w:rsidRPr="00D31097">
        <w:t xml:space="preserve">Cai, F., &amp; Wong, H. (2010). </w:t>
      </w:r>
      <w:r w:rsidRPr="00700ECA">
        <w:rPr>
          <w:i/>
          <w:iCs/>
        </w:rPr>
        <w:t>The effect of IFRS adoption on global market integration. International Business &amp; Economics Research Journal, 9(10),</w:t>
      </w:r>
      <w:r w:rsidRPr="00D31097">
        <w:t xml:space="preserve"> 25-34.</w:t>
      </w:r>
    </w:p>
    <w:p w14:paraId="37ED211D" w14:textId="77777777" w:rsidR="00D31097" w:rsidRPr="00D31097" w:rsidRDefault="00D31097" w:rsidP="00D31097">
      <w:pPr>
        <w:pStyle w:val="Body"/>
      </w:pPr>
      <w:r w:rsidRPr="00D31097">
        <w:t xml:space="preserve">Chen, H., Tanq, Q., Jiang, Y., &amp; Lin, Z. (2010). </w:t>
      </w:r>
      <w:r w:rsidRPr="00700ECA">
        <w:rPr>
          <w:i/>
          <w:iCs/>
        </w:rPr>
        <w:t xml:space="preserve">The role of international financial reporting standards in accounting quality: Evidence from European Union. Journal of International Financial Management and Accounting, 21(3), </w:t>
      </w:r>
      <w:r w:rsidRPr="00D31097">
        <w:t>220–278.</w:t>
      </w:r>
    </w:p>
    <w:p w14:paraId="187A5A3B" w14:textId="77777777" w:rsidR="00D31097" w:rsidRPr="00D31097" w:rsidRDefault="00D31097" w:rsidP="00D31097">
      <w:pPr>
        <w:pStyle w:val="Body"/>
      </w:pPr>
      <w:r w:rsidRPr="00682F5C">
        <w:t xml:space="preserve">Coffie, W., Bedi, I., Amidu, M., &amp; Duah, B. B. (2020). </w:t>
      </w:r>
      <w:r w:rsidRPr="00700ECA">
        <w:rPr>
          <w:i/>
          <w:iCs/>
        </w:rPr>
        <w:t>The effects of IFRS compliance on earnings reporting quality of financial firms in Ghana. Journal of Accountancy and Finance, 20(7),</w:t>
      </w:r>
      <w:r w:rsidRPr="00D31097">
        <w:t xml:space="preserve"> 19–36.</w:t>
      </w:r>
    </w:p>
    <w:p w14:paraId="28E439FD" w14:textId="77777777" w:rsidR="00D31097" w:rsidRPr="00D31097" w:rsidRDefault="00D31097" w:rsidP="00D31097">
      <w:pPr>
        <w:pStyle w:val="Body"/>
      </w:pPr>
      <w:proofErr w:type="spellStart"/>
      <w:r w:rsidRPr="00D31097">
        <w:t>Daske</w:t>
      </w:r>
      <w:proofErr w:type="spellEnd"/>
      <w:r w:rsidRPr="00D31097">
        <w:t xml:space="preserve">, H., Hail, L., </w:t>
      </w:r>
      <w:proofErr w:type="spellStart"/>
      <w:r w:rsidRPr="00D31097">
        <w:t>Leuz</w:t>
      </w:r>
      <w:proofErr w:type="spellEnd"/>
      <w:r w:rsidRPr="00D31097">
        <w:t xml:space="preserve">, C., &amp; Verdi, R. (2008). </w:t>
      </w:r>
      <w:r w:rsidRPr="00700ECA">
        <w:rPr>
          <w:i/>
          <w:iCs/>
        </w:rPr>
        <w:t>Mandatory IFRS reporting around the world: Early evidence on the economic consequences. Journal of Accounting Research, 46(5),</w:t>
      </w:r>
      <w:r w:rsidRPr="00D31097">
        <w:t xml:space="preserve"> 1085-1142.</w:t>
      </w:r>
    </w:p>
    <w:p w14:paraId="3E4AF888" w14:textId="77777777" w:rsidR="00D31097" w:rsidRPr="00D31097" w:rsidRDefault="00D31097" w:rsidP="00D31097">
      <w:pPr>
        <w:pStyle w:val="Body"/>
      </w:pPr>
      <w:r w:rsidRPr="00D31097">
        <w:t xml:space="preserve">Etemadi, H., </w:t>
      </w:r>
      <w:proofErr w:type="spellStart"/>
      <w:r w:rsidRPr="00D31097">
        <w:t>Sepasi</w:t>
      </w:r>
      <w:proofErr w:type="spellEnd"/>
      <w:r w:rsidRPr="00D31097">
        <w:t xml:space="preserve">, S., &amp; </w:t>
      </w:r>
      <w:proofErr w:type="spellStart"/>
      <w:r w:rsidRPr="00D31097">
        <w:t>ahmadian</w:t>
      </w:r>
      <w:proofErr w:type="spellEnd"/>
      <w:r w:rsidRPr="00D31097">
        <w:t xml:space="preserve">, V. (2017). </w:t>
      </w:r>
      <w:r w:rsidRPr="00700ECA">
        <w:rPr>
          <w:i/>
          <w:iCs/>
        </w:rPr>
        <w:t>Meta-analysis of IFRS adoption effects on financial reporting quality. Empirical Research in Accounting, 7(2),</w:t>
      </w:r>
      <w:r w:rsidRPr="00D31097">
        <w:t xml:space="preserve"> 47-88. https://doi.org/ 10.22051/jera.2017.14714.1631</w:t>
      </w:r>
    </w:p>
    <w:p w14:paraId="5D2D435C" w14:textId="77777777" w:rsidR="00D31097" w:rsidRPr="00D31097" w:rsidRDefault="00D31097" w:rsidP="00D31097">
      <w:pPr>
        <w:pStyle w:val="Body"/>
      </w:pPr>
      <w:r w:rsidRPr="00D31097">
        <w:t xml:space="preserve">Firmansyah A. &amp; Irawan F. (2019). </w:t>
      </w:r>
      <w:r w:rsidRPr="00296C14">
        <w:rPr>
          <w:i/>
          <w:iCs/>
        </w:rPr>
        <w:t>Do IFRS adoption and corporate governance increase accounting information quality in Indonesia? Accounting Analysis Journal, 8(1),</w:t>
      </w:r>
      <w:r w:rsidRPr="00D31097">
        <w:t xml:space="preserve"> 59-65.</w:t>
      </w:r>
    </w:p>
    <w:p w14:paraId="2C7E04FA" w14:textId="77777777" w:rsidR="00D31097" w:rsidRPr="00D31097" w:rsidRDefault="00D31097" w:rsidP="00D31097">
      <w:pPr>
        <w:pStyle w:val="Body"/>
      </w:pPr>
      <w:r w:rsidRPr="00D31097">
        <w:t xml:space="preserve">Georgescu, I. E., Toma, L. H., &amp; Afrăsinei, M. B. (2015). </w:t>
      </w:r>
      <w:r w:rsidRPr="00296C14">
        <w:rPr>
          <w:i/>
          <w:iCs/>
        </w:rPr>
        <w:t>Analysis of the impact of adopting the IFRS by the listed companies on BVB. Procedia Economics and Finance, 20</w:t>
      </w:r>
      <w:r w:rsidRPr="00D31097">
        <w:rPr>
          <w:i/>
          <w:iCs/>
        </w:rPr>
        <w:t xml:space="preserve">, </w:t>
      </w:r>
      <w:r w:rsidRPr="00D31097">
        <w:t>259-267.</w:t>
      </w:r>
    </w:p>
    <w:p w14:paraId="7991BB84" w14:textId="77777777" w:rsidR="00D31097" w:rsidRPr="00D31097" w:rsidRDefault="00D31097" w:rsidP="00D31097">
      <w:pPr>
        <w:pStyle w:val="Body"/>
      </w:pPr>
      <w:proofErr w:type="spellStart"/>
      <w:r w:rsidRPr="00D31097">
        <w:lastRenderedPageBreak/>
        <w:t>Houque</w:t>
      </w:r>
      <w:proofErr w:type="spellEnd"/>
      <w:r w:rsidRPr="00D31097">
        <w:t xml:space="preserve">, M., Dunstan, K., Karim, W., &amp; Zijl, T. (2010). </w:t>
      </w:r>
      <w:r w:rsidRPr="00544605">
        <w:rPr>
          <w:i/>
          <w:iCs/>
        </w:rPr>
        <w:t>The effect of IFRS adoption and investor protection on earnings quality around the world. Paper presented at the Finance and Corporate Governance Conference 2010</w:t>
      </w:r>
      <w:r w:rsidRPr="00D31097">
        <w:t>, La Trobe University, Australia.</w:t>
      </w:r>
    </w:p>
    <w:p w14:paraId="66D3A8D8" w14:textId="77777777" w:rsidR="00D31097" w:rsidRPr="00D31097" w:rsidRDefault="00D31097" w:rsidP="00D31097">
      <w:pPr>
        <w:pStyle w:val="Body"/>
      </w:pPr>
      <w:r w:rsidRPr="00D31097">
        <w:t xml:space="preserve">Iatridis, G. (2010). </w:t>
      </w:r>
      <w:r w:rsidRPr="00544605">
        <w:rPr>
          <w:i/>
          <w:iCs/>
        </w:rPr>
        <w:t>International financial reporting standards and the quality of financial statement information. International Review of Financial Analysis, 19(3)</w:t>
      </w:r>
      <w:r w:rsidRPr="00D31097">
        <w:t>, 193-204</w:t>
      </w:r>
    </w:p>
    <w:p w14:paraId="610143E7" w14:textId="77777777" w:rsidR="00D31097" w:rsidRPr="00D31097" w:rsidRDefault="00D31097" w:rsidP="00D31097">
      <w:pPr>
        <w:pStyle w:val="Body"/>
      </w:pPr>
      <w:proofErr w:type="spellStart"/>
      <w:r w:rsidRPr="00D31097">
        <w:t>Indrawati</w:t>
      </w:r>
      <w:proofErr w:type="spellEnd"/>
      <w:r w:rsidRPr="00D31097">
        <w:t xml:space="preserve"> N. (2015). </w:t>
      </w:r>
      <w:r w:rsidRPr="00544605">
        <w:rPr>
          <w:i/>
          <w:iCs/>
        </w:rPr>
        <w:t>The impact of convergence with International Financial Reporting Standards (IFRS) on accounting quality in Indonesia. Research Journal of Finance and Accounting, 6(4),</w:t>
      </w:r>
      <w:r w:rsidRPr="00D31097">
        <w:t xml:space="preserve"> 162-170</w:t>
      </w:r>
    </w:p>
    <w:p w14:paraId="0896E22B" w14:textId="77777777" w:rsidR="00D31097" w:rsidRDefault="00D31097" w:rsidP="00D31097">
      <w:pPr>
        <w:pStyle w:val="Body"/>
        <w:rPr>
          <w:i/>
          <w:iCs/>
        </w:rPr>
      </w:pPr>
      <w:r w:rsidRPr="00D31097">
        <w:t xml:space="preserve">Johri, A. (2024). </w:t>
      </w:r>
      <w:r w:rsidRPr="00544605">
        <w:rPr>
          <w:i/>
          <w:iCs/>
        </w:rPr>
        <w:t>Examining the impact of international financial reporting standards adoption on financial reporting quality of multinational companies. International Journal of Financial Studies, 12(96),</w:t>
      </w:r>
      <w:r w:rsidRPr="00D31097">
        <w:t xml:space="preserve"> 1-23</w:t>
      </w:r>
      <w:r w:rsidRPr="00D31097">
        <w:rPr>
          <w:i/>
          <w:iCs/>
        </w:rPr>
        <w:t xml:space="preserve">. </w:t>
      </w:r>
    </w:p>
    <w:p w14:paraId="79554FCD" w14:textId="77777777" w:rsidR="002E2F6F" w:rsidRPr="002E2F6F" w:rsidRDefault="002E2F6F" w:rsidP="002E2F6F">
      <w:pPr>
        <w:pStyle w:val="Body"/>
      </w:pPr>
      <w:proofErr w:type="spellStart"/>
      <w:r w:rsidRPr="00682F5C">
        <w:t>Leuz</w:t>
      </w:r>
      <w:proofErr w:type="spellEnd"/>
      <w:r w:rsidRPr="00682F5C">
        <w:t xml:space="preserve">, C., &amp; Wysocki, P. D. (2016). </w:t>
      </w:r>
      <w:r w:rsidRPr="00544605">
        <w:rPr>
          <w:i/>
          <w:iCs/>
        </w:rPr>
        <w:t xml:space="preserve">The economics of disclosure and financial reporting regulation: Evidence and suggestions for future research. Journal of Accounting Research, 54(2), </w:t>
      </w:r>
      <w:r w:rsidRPr="002E2F6F">
        <w:t>525-622.</w:t>
      </w:r>
    </w:p>
    <w:p w14:paraId="08DD3EE1" w14:textId="77777777" w:rsidR="00D31097" w:rsidRPr="00D31097" w:rsidRDefault="00D31097" w:rsidP="00D31097">
      <w:pPr>
        <w:pStyle w:val="Body"/>
      </w:pPr>
      <w:r w:rsidRPr="00447A14">
        <w:t xml:space="preserve">Liu, C., Yao, L. J., Hu, N., &amp; Liu, L. (2011). </w:t>
      </w:r>
      <w:r w:rsidRPr="00544605">
        <w:rPr>
          <w:i/>
          <w:iCs/>
        </w:rPr>
        <w:t>The impact of IFRS on accounting quality in a regulated market: An empirical study from China. Journal of Accounting, Auditing &amp; Finance, 26(4),</w:t>
      </w:r>
      <w:r w:rsidRPr="00D31097">
        <w:t xml:space="preserve"> 659-676.</w:t>
      </w:r>
    </w:p>
    <w:p w14:paraId="2AC1F9E8" w14:textId="77777777" w:rsidR="00D31097" w:rsidRDefault="00D31097" w:rsidP="00D31097">
      <w:pPr>
        <w:pStyle w:val="Body"/>
      </w:pPr>
      <w:proofErr w:type="spellStart"/>
      <w:r w:rsidRPr="00D31097">
        <w:t>Madawaki</w:t>
      </w:r>
      <w:proofErr w:type="spellEnd"/>
      <w:r w:rsidRPr="00D31097">
        <w:t xml:space="preserve">, A. (2012). </w:t>
      </w:r>
      <w:r w:rsidRPr="00544605">
        <w:rPr>
          <w:i/>
          <w:iCs/>
        </w:rPr>
        <w:t>Adoption of international financial reporting standards in developing countries: The case of Nigeria. International Journal of Business and Management, 7(3)</w:t>
      </w:r>
      <w:r w:rsidRPr="00D31097">
        <w:t>, 152–161.</w:t>
      </w:r>
    </w:p>
    <w:p w14:paraId="11184E13" w14:textId="72A32125" w:rsidR="00F60377" w:rsidRPr="00814FB4" w:rsidRDefault="00F60377" w:rsidP="00D31097">
      <w:pPr>
        <w:pStyle w:val="Body"/>
      </w:pPr>
      <w:proofErr w:type="spellStart"/>
      <w:r w:rsidRPr="00682F5C">
        <w:t>Mbir</w:t>
      </w:r>
      <w:proofErr w:type="spellEnd"/>
      <w:r w:rsidRPr="00682F5C">
        <w:t xml:space="preserve">, </w:t>
      </w:r>
      <w:r w:rsidR="00CF0C35" w:rsidRPr="00682F5C">
        <w:t xml:space="preserve">D. E. G., Agyemang, O. S., </w:t>
      </w:r>
      <w:r w:rsidR="00706468" w:rsidRPr="00682F5C">
        <w:t>Tackie, G., &amp; Abeka, M. J. (</w:t>
      </w:r>
      <w:r w:rsidR="00343ADB" w:rsidRPr="00682F5C">
        <w:t xml:space="preserve">2020). </w:t>
      </w:r>
      <w:r w:rsidR="00343ADB" w:rsidRPr="00544605">
        <w:rPr>
          <w:i/>
          <w:iCs/>
        </w:rPr>
        <w:t xml:space="preserve">IFRS </w:t>
      </w:r>
      <w:r w:rsidR="00814FB4" w:rsidRPr="00544605">
        <w:rPr>
          <w:i/>
          <w:iCs/>
        </w:rPr>
        <w:t>c</w:t>
      </w:r>
      <w:r w:rsidR="00343ADB" w:rsidRPr="00544605">
        <w:rPr>
          <w:i/>
          <w:iCs/>
        </w:rPr>
        <w:t xml:space="preserve">ompliance, </w:t>
      </w:r>
      <w:r w:rsidR="00814FB4" w:rsidRPr="00544605">
        <w:rPr>
          <w:i/>
          <w:iCs/>
        </w:rPr>
        <w:t>c</w:t>
      </w:r>
      <w:r w:rsidR="00343ADB" w:rsidRPr="00544605">
        <w:rPr>
          <w:i/>
          <w:iCs/>
        </w:rPr>
        <w:t xml:space="preserve">orporate </w:t>
      </w:r>
      <w:r w:rsidR="00814FB4" w:rsidRPr="00544605">
        <w:rPr>
          <w:i/>
          <w:iCs/>
        </w:rPr>
        <w:t>g</w:t>
      </w:r>
      <w:r w:rsidR="00343ADB" w:rsidRPr="00544605">
        <w:rPr>
          <w:i/>
          <w:iCs/>
        </w:rPr>
        <w:t>overnance,</w:t>
      </w:r>
      <w:r w:rsidR="00814FB4" w:rsidRPr="00544605">
        <w:rPr>
          <w:i/>
          <w:iCs/>
        </w:rPr>
        <w:t xml:space="preserve"> and financial reporting quality of GSE listed </w:t>
      </w:r>
      <w:r w:rsidR="00484D5C" w:rsidRPr="00544605">
        <w:rPr>
          <w:i/>
          <w:iCs/>
        </w:rPr>
        <w:t>non-financial firms. Cogent Business &amp; Management</w:t>
      </w:r>
      <w:r w:rsidR="0028410F" w:rsidRPr="00544605">
        <w:rPr>
          <w:i/>
          <w:iCs/>
        </w:rPr>
        <w:t>, 7(1),</w:t>
      </w:r>
      <w:r w:rsidR="0028410F">
        <w:t xml:space="preserve"> </w:t>
      </w:r>
      <w:r w:rsidR="00A07386" w:rsidRPr="00A07386">
        <w:t>DOI:10.1080/23311975.2020.1759856</w:t>
      </w:r>
      <w:r w:rsidR="00343ADB" w:rsidRPr="00814FB4">
        <w:t xml:space="preserve"> </w:t>
      </w:r>
    </w:p>
    <w:p w14:paraId="6E9D0DA6" w14:textId="77777777" w:rsidR="00D31097" w:rsidRPr="00D31097" w:rsidRDefault="00D31097" w:rsidP="00D31097">
      <w:pPr>
        <w:pStyle w:val="Body"/>
      </w:pPr>
      <w:r w:rsidRPr="00D31097">
        <w:t xml:space="preserve">Melis, A., &amp; Carta, S. (2009). </w:t>
      </w:r>
      <w:r w:rsidRPr="00544605">
        <w:rPr>
          <w:i/>
          <w:iCs/>
        </w:rPr>
        <w:t>Does accounting regulation enhance corporate governance? Evidence from the disclosure of share-based remuneration. Journal of Management and Governance–Springer, 14,</w:t>
      </w:r>
      <w:r w:rsidRPr="00D31097">
        <w:t xml:space="preserve"> 435-466. https://doi.org/10.1007/s10997-009-9107-8</w:t>
      </w:r>
    </w:p>
    <w:p w14:paraId="13534146" w14:textId="77777777" w:rsidR="00D31097" w:rsidRPr="00D31097" w:rsidRDefault="00D31097" w:rsidP="00D31097">
      <w:pPr>
        <w:pStyle w:val="Body"/>
      </w:pPr>
      <w:r w:rsidRPr="00D31097">
        <w:t xml:space="preserve">Mensah, E. (2021). </w:t>
      </w:r>
      <w:r w:rsidRPr="00544605">
        <w:rPr>
          <w:i/>
          <w:iCs/>
        </w:rPr>
        <w:t>The effects of IFRS adoption on financial reporting quality: Evidence from listed manufacturing firms in Ghana. Economic Research–</w:t>
      </w:r>
      <w:proofErr w:type="spellStart"/>
      <w:r w:rsidRPr="00544605">
        <w:rPr>
          <w:i/>
          <w:iCs/>
        </w:rPr>
        <w:t>Ekonomska</w:t>
      </w:r>
      <w:proofErr w:type="spellEnd"/>
      <w:r w:rsidRPr="00544605">
        <w:rPr>
          <w:i/>
          <w:iCs/>
        </w:rPr>
        <w:t xml:space="preserve"> </w:t>
      </w:r>
      <w:proofErr w:type="spellStart"/>
      <w:r w:rsidRPr="00544605">
        <w:rPr>
          <w:i/>
          <w:iCs/>
        </w:rPr>
        <w:t>Istraživanja</w:t>
      </w:r>
      <w:proofErr w:type="spellEnd"/>
      <w:r w:rsidRPr="00544605">
        <w:rPr>
          <w:i/>
          <w:iCs/>
        </w:rPr>
        <w:t>, 34(1),</w:t>
      </w:r>
      <w:r w:rsidRPr="00D31097">
        <w:t xml:space="preserve"> 2890-2905. https://doi.org/10.1080/1331677X.2020.1890109</w:t>
      </w:r>
    </w:p>
    <w:p w14:paraId="5B06A8CF" w14:textId="77777777" w:rsidR="00D31097" w:rsidRPr="00D31097" w:rsidRDefault="00D31097" w:rsidP="00D31097">
      <w:pPr>
        <w:pStyle w:val="Body"/>
      </w:pPr>
      <w:r w:rsidRPr="00D31097">
        <w:t xml:space="preserve">Musa, A. (2019). </w:t>
      </w:r>
      <w:r w:rsidRPr="00544605">
        <w:rPr>
          <w:i/>
          <w:iCs/>
        </w:rPr>
        <w:t>The role of IFRS on financial reporting quality and global convergence: A conceptual review. International Business and Accounting Research Journal, 3(1),</w:t>
      </w:r>
      <w:r w:rsidRPr="00D31097">
        <w:t xml:space="preserve"> 67–76.</w:t>
      </w:r>
    </w:p>
    <w:p w14:paraId="3B6DAD5C" w14:textId="77777777" w:rsidR="00D31097" w:rsidRPr="00D31097" w:rsidRDefault="00D31097" w:rsidP="00D31097">
      <w:pPr>
        <w:pStyle w:val="Body"/>
      </w:pPr>
      <w:r w:rsidRPr="00D31097">
        <w:t xml:space="preserve">Musa, A. (2015). </w:t>
      </w:r>
      <w:r w:rsidRPr="00544605">
        <w:rPr>
          <w:i/>
          <w:iCs/>
        </w:rPr>
        <w:t>The impact of IFRS on financial reporting quality in Nigeria-listed companies. The International Journal of Business and Management, 3(5)</w:t>
      </w:r>
      <w:r w:rsidRPr="00D31097">
        <w:t>, 275–282.</w:t>
      </w:r>
    </w:p>
    <w:p w14:paraId="79A07C08" w14:textId="578CA87D" w:rsidR="00D31097" w:rsidRPr="00D31097" w:rsidRDefault="00D31097" w:rsidP="00D31097">
      <w:pPr>
        <w:pStyle w:val="Body"/>
      </w:pPr>
      <w:proofErr w:type="spellStart"/>
      <w:r w:rsidRPr="00682F5C">
        <w:t>Nijam</w:t>
      </w:r>
      <w:proofErr w:type="spellEnd"/>
      <w:r w:rsidRPr="00682F5C">
        <w:t xml:space="preserve">, H. M., &amp; Jahfer, A. (2016). </w:t>
      </w:r>
      <w:r w:rsidRPr="00544605">
        <w:rPr>
          <w:i/>
          <w:iCs/>
        </w:rPr>
        <w:t xml:space="preserve">IFRS adoption and financial reporting quality: A review of </w:t>
      </w:r>
      <w:r w:rsidR="00966EEC" w:rsidRPr="00544605">
        <w:rPr>
          <w:i/>
          <w:iCs/>
        </w:rPr>
        <w:t>evidence</w:t>
      </w:r>
      <w:r w:rsidRPr="00544605">
        <w:rPr>
          <w:i/>
          <w:iCs/>
        </w:rPr>
        <w:t xml:space="preserve"> in different jurisdictions. International Letters of Social and Humanistic Sciences, 69,</w:t>
      </w:r>
      <w:r w:rsidRPr="00D31097">
        <w:t xml:space="preserve"> 93-106.</w:t>
      </w:r>
    </w:p>
    <w:p w14:paraId="1CC34867" w14:textId="77777777" w:rsidR="00D31097" w:rsidRPr="00D31097" w:rsidRDefault="00D31097" w:rsidP="00D31097">
      <w:pPr>
        <w:pStyle w:val="Body"/>
      </w:pPr>
      <w:proofErr w:type="spellStart"/>
      <w:r w:rsidRPr="00D31097">
        <w:t>Olowabi</w:t>
      </w:r>
      <w:proofErr w:type="spellEnd"/>
      <w:r w:rsidRPr="00D31097">
        <w:t xml:space="preserve">, A., &amp; </w:t>
      </w:r>
      <w:proofErr w:type="spellStart"/>
      <w:r w:rsidRPr="00D31097">
        <w:t>Iyoha</w:t>
      </w:r>
      <w:proofErr w:type="spellEnd"/>
      <w:r w:rsidRPr="00D31097">
        <w:t xml:space="preserve">, F. O. (2012). </w:t>
      </w:r>
      <w:r w:rsidRPr="00544605">
        <w:rPr>
          <w:i/>
          <w:iCs/>
        </w:rPr>
        <w:t>Adopting international financial reporting standards (IFRS) in Africa: Benefits, prospects and challenges. Africa Journal of Accountancy, Auditing and Finance, 1(1)</w:t>
      </w:r>
      <w:r w:rsidRPr="00D31097">
        <w:t>, 77–86.</w:t>
      </w:r>
    </w:p>
    <w:p w14:paraId="0ABD56E3" w14:textId="77777777" w:rsidR="00D31097" w:rsidRPr="00D31097" w:rsidRDefault="00D31097" w:rsidP="00D31097">
      <w:pPr>
        <w:pStyle w:val="Body"/>
      </w:pPr>
      <w:r w:rsidRPr="00D31097">
        <w:lastRenderedPageBreak/>
        <w:t xml:space="preserve">Opare, S., Houge, M. N., &amp; Zijl, T. V. (2021). </w:t>
      </w:r>
      <w:r w:rsidRPr="00544605">
        <w:rPr>
          <w:i/>
          <w:iCs/>
        </w:rPr>
        <w:t>Meta-analysis of the impact of the adoption of IFRS on financial reporting comparability, market liquidity, and cost of capital. A Journal of Accounting, Finance, and Business Studies, 57(3),</w:t>
      </w:r>
      <w:r w:rsidRPr="00D31097">
        <w:t xml:space="preserve"> 502-556.</w:t>
      </w:r>
    </w:p>
    <w:p w14:paraId="4A9C9A2E" w14:textId="77777777" w:rsidR="00D31097" w:rsidRPr="00D31097" w:rsidRDefault="00D31097" w:rsidP="00D31097">
      <w:pPr>
        <w:pStyle w:val="Body"/>
      </w:pPr>
      <w:r w:rsidRPr="00D31097">
        <w:t xml:space="preserve">Osasere, A., &amp; </w:t>
      </w:r>
      <w:proofErr w:type="spellStart"/>
      <w:r w:rsidRPr="00D31097">
        <w:t>Ilaboya</w:t>
      </w:r>
      <w:proofErr w:type="spellEnd"/>
      <w:r w:rsidRPr="00D31097">
        <w:t xml:space="preserve">, O. J. (2018). </w:t>
      </w:r>
      <w:r w:rsidRPr="00544605">
        <w:rPr>
          <w:i/>
          <w:iCs/>
        </w:rPr>
        <w:t>IFRS adoption and financial reporting quality: IASB qualitative characteristics approach. Accounting and Taxation Review, 2(3),</w:t>
      </w:r>
      <w:r w:rsidRPr="00D31097">
        <w:t xml:space="preserve"> 30-47.</w:t>
      </w:r>
    </w:p>
    <w:p w14:paraId="74D3BA83" w14:textId="77777777" w:rsidR="00D31097" w:rsidRPr="00D31097" w:rsidRDefault="00D31097" w:rsidP="00D31097">
      <w:pPr>
        <w:pStyle w:val="Body"/>
      </w:pPr>
      <w:r w:rsidRPr="00D31097">
        <w:t xml:space="preserve">Outa, E. R. (2011). </w:t>
      </w:r>
      <w:r w:rsidRPr="00544605">
        <w:rPr>
          <w:i/>
          <w:iCs/>
        </w:rPr>
        <w:t>The impact of international financial reporting standards (IFRS). Journal of Accounting and Financial Reporting, 1(1),</w:t>
      </w:r>
      <w:r w:rsidRPr="00D31097">
        <w:t xml:space="preserve"> 212–241.</w:t>
      </w:r>
    </w:p>
    <w:p w14:paraId="1E2A481E" w14:textId="77777777" w:rsidR="00D31097" w:rsidRPr="00D31097" w:rsidRDefault="00D31097" w:rsidP="00D31097">
      <w:pPr>
        <w:pStyle w:val="Body"/>
      </w:pPr>
      <w:r w:rsidRPr="00D31097">
        <w:t xml:space="preserve">Palea, V. (2013). </w:t>
      </w:r>
      <w:r w:rsidRPr="00456CC9">
        <w:rPr>
          <w:i/>
          <w:iCs/>
        </w:rPr>
        <w:t>IAS/IFRS and financial reporting quality: Lessons from the European experience. China Journal of Accounting Research, 6,</w:t>
      </w:r>
      <w:r w:rsidRPr="00D31097">
        <w:t xml:space="preserve"> 247-263</w:t>
      </w:r>
    </w:p>
    <w:p w14:paraId="571D6144" w14:textId="77777777" w:rsidR="00D31097" w:rsidRDefault="00D31097" w:rsidP="00D31097">
      <w:pPr>
        <w:pStyle w:val="Body"/>
      </w:pPr>
      <w:proofErr w:type="spellStart"/>
      <w:r w:rsidRPr="00D31097">
        <w:t>Păşcan</w:t>
      </w:r>
      <w:proofErr w:type="spellEnd"/>
      <w:r w:rsidRPr="00D31097">
        <w:t xml:space="preserve"> I. (2015). </w:t>
      </w:r>
      <w:r w:rsidRPr="00456CC9">
        <w:rPr>
          <w:i/>
          <w:iCs/>
        </w:rPr>
        <w:t>Measuring the effects of IFRS adoption on accounting quality: A review. Procedia Economics and Finance, 32,</w:t>
      </w:r>
      <w:r w:rsidRPr="00D31097">
        <w:t xml:space="preserve"> 580–587.</w:t>
      </w:r>
    </w:p>
    <w:p w14:paraId="482CC162" w14:textId="5DBC3105" w:rsidR="00447A14" w:rsidRPr="00D31097" w:rsidRDefault="00447A14" w:rsidP="00D31097">
      <w:pPr>
        <w:pStyle w:val="Body"/>
      </w:pPr>
      <w:r w:rsidRPr="00447A14">
        <w:t xml:space="preserve">Penman, S.H., 2007. </w:t>
      </w:r>
      <w:r w:rsidRPr="00456CC9">
        <w:rPr>
          <w:i/>
          <w:iCs/>
        </w:rPr>
        <w:t>Financial reporting quality: Is fair value a plus or minus? Accounting and Business Research 37 (Special Issue),</w:t>
      </w:r>
      <w:r w:rsidRPr="00447A14">
        <w:t xml:space="preserve"> 33–44.</w:t>
      </w:r>
    </w:p>
    <w:p w14:paraId="1D295AA7" w14:textId="77777777" w:rsidR="00D31097" w:rsidRPr="00D31097" w:rsidRDefault="00D31097" w:rsidP="00D31097">
      <w:pPr>
        <w:pStyle w:val="Body"/>
      </w:pPr>
      <w:proofErr w:type="spellStart"/>
      <w:r w:rsidRPr="00D31097">
        <w:t>Platikanova</w:t>
      </w:r>
      <w:proofErr w:type="spellEnd"/>
      <w:r w:rsidRPr="00D31097">
        <w:t xml:space="preserve">, P., &amp; </w:t>
      </w:r>
      <w:proofErr w:type="spellStart"/>
      <w:r w:rsidRPr="00D31097">
        <w:t>Perramon</w:t>
      </w:r>
      <w:proofErr w:type="spellEnd"/>
      <w:r w:rsidRPr="00D31097">
        <w:t xml:space="preserve">, J. (2012). </w:t>
      </w:r>
      <w:r w:rsidRPr="00456CC9">
        <w:rPr>
          <w:i/>
          <w:iCs/>
        </w:rPr>
        <w:t xml:space="preserve">Economic consequences of the first-time IFRS introduction in Europe. Spanish Journal of Finance and Accounting, </w:t>
      </w:r>
      <w:proofErr w:type="gramStart"/>
      <w:r w:rsidRPr="00456CC9">
        <w:rPr>
          <w:i/>
          <w:iCs/>
        </w:rPr>
        <w:t>XLI(</w:t>
      </w:r>
      <w:proofErr w:type="gramEnd"/>
      <w:r w:rsidRPr="00456CC9">
        <w:rPr>
          <w:i/>
          <w:iCs/>
        </w:rPr>
        <w:t>156),</w:t>
      </w:r>
      <w:r w:rsidRPr="00D31097">
        <w:t xml:space="preserve"> 497-519.</w:t>
      </w:r>
    </w:p>
    <w:p w14:paraId="3673E9FB" w14:textId="77777777" w:rsidR="00D31097" w:rsidRPr="00D31097" w:rsidRDefault="00D31097" w:rsidP="00D31097">
      <w:pPr>
        <w:pStyle w:val="Body"/>
      </w:pPr>
      <w:r w:rsidRPr="00D31097">
        <w:t xml:space="preserve">Wahyuni, E., </w:t>
      </w:r>
      <w:proofErr w:type="spellStart"/>
      <w:r w:rsidRPr="00D31097">
        <w:t>Puspitasari</w:t>
      </w:r>
      <w:proofErr w:type="spellEnd"/>
      <w:r w:rsidRPr="00D31097">
        <w:t xml:space="preserve">, G., &amp; </w:t>
      </w:r>
      <w:proofErr w:type="spellStart"/>
      <w:r w:rsidRPr="00D31097">
        <w:t>Puspitasari</w:t>
      </w:r>
      <w:proofErr w:type="spellEnd"/>
      <w:r w:rsidRPr="00D31097">
        <w:t xml:space="preserve">, E. (2020). </w:t>
      </w:r>
      <w:r w:rsidRPr="00456CC9">
        <w:rPr>
          <w:i/>
          <w:iCs/>
        </w:rPr>
        <w:t>Has IFRS Improved Accounting Quality in Indonesia? A Systematic Literature Review of 2010-2016. Journal of Accounting and Investment, 21(1),</w:t>
      </w:r>
      <w:r w:rsidRPr="00D31097">
        <w:t xml:space="preserve"> 1-15.</w:t>
      </w:r>
    </w:p>
    <w:p w14:paraId="17E41BF3" w14:textId="77777777" w:rsidR="00D31097" w:rsidRPr="00D31097" w:rsidRDefault="00D31097" w:rsidP="00D31097">
      <w:pPr>
        <w:pStyle w:val="Body"/>
      </w:pPr>
      <w:r w:rsidRPr="00D31097">
        <w:t xml:space="preserve">Yeboah, B., &amp; Pais, C. (2021). </w:t>
      </w:r>
      <w:r w:rsidRPr="00456CC9">
        <w:rPr>
          <w:i/>
          <w:iCs/>
        </w:rPr>
        <w:t>International financial reporting standards adoption and accounting quality: Evidence from Ghanaian listed firms. Afro-Asian Journal of Finance and Accounting, 11(4),</w:t>
      </w:r>
      <w:r w:rsidRPr="00D31097">
        <w:t xml:space="preserve"> 490-517.</w:t>
      </w:r>
    </w:p>
    <w:p w14:paraId="251103FC" w14:textId="77777777" w:rsidR="00D31097" w:rsidRDefault="00D31097" w:rsidP="00D31097">
      <w:pPr>
        <w:pStyle w:val="Body"/>
      </w:pPr>
      <w:proofErr w:type="spellStart"/>
      <w:r w:rsidRPr="00D31097">
        <w:t>Yurisandi</w:t>
      </w:r>
      <w:proofErr w:type="spellEnd"/>
      <w:r w:rsidRPr="00D31097">
        <w:t xml:space="preserve">, T., &amp; </w:t>
      </w:r>
      <w:proofErr w:type="spellStart"/>
      <w:r w:rsidRPr="00D31097">
        <w:t>Puspitasari</w:t>
      </w:r>
      <w:proofErr w:type="spellEnd"/>
      <w:r w:rsidRPr="00D31097">
        <w:t xml:space="preserve">, E. (2015). </w:t>
      </w:r>
      <w:r w:rsidRPr="00456CC9">
        <w:rPr>
          <w:i/>
          <w:iCs/>
        </w:rPr>
        <w:t>Financial reporting quality: Before and after IFRS adoption using NICE qualitative characteristics measurement. Procedia–Social and Behavioral Sciences, 211,</w:t>
      </w:r>
      <w:r w:rsidRPr="00D31097">
        <w:t xml:space="preserve"> 644-652.</w:t>
      </w:r>
    </w:p>
    <w:p w14:paraId="2AE290EA" w14:textId="77777777" w:rsidR="00D81FF6" w:rsidRPr="00D81FF6" w:rsidRDefault="00D81FF6" w:rsidP="00D81FF6">
      <w:pPr>
        <w:pStyle w:val="Body"/>
      </w:pPr>
      <w:r w:rsidRPr="00D81FF6">
        <w:t xml:space="preserve">Yusran, I. N., &amp; Anto, L. O. (2023). </w:t>
      </w:r>
      <w:r w:rsidRPr="00456CC9">
        <w:rPr>
          <w:i/>
          <w:iCs/>
        </w:rPr>
        <w:t>Determinants of the quality of financial reports. International Journal of Professional Business Review, 8(11),</w:t>
      </w:r>
      <w:r w:rsidRPr="00D81FF6">
        <w:t xml:space="preserve"> 1-40.</w:t>
      </w:r>
    </w:p>
    <w:p w14:paraId="18D291B2" w14:textId="77777777" w:rsidR="00D31097" w:rsidRPr="00D31097" w:rsidRDefault="00D31097" w:rsidP="00D31097">
      <w:pPr>
        <w:pStyle w:val="Body"/>
      </w:pPr>
      <w:r w:rsidRPr="00D31097">
        <w:t xml:space="preserve">Zakari, M. A. (2014). </w:t>
      </w:r>
      <w:r w:rsidRPr="00456CC9">
        <w:rPr>
          <w:i/>
          <w:iCs/>
        </w:rPr>
        <w:t>Challenges of international financial reporting standards (IFRS) adoption in Libya. International Journal of Accounting and Financial Reporting, 4(2),</w:t>
      </w:r>
      <w:r w:rsidRPr="00D31097">
        <w:t xml:space="preserve"> 390-412.</w:t>
      </w:r>
    </w:p>
    <w:p w14:paraId="612C2783" w14:textId="77777777" w:rsidR="00D31097" w:rsidRPr="00D31097" w:rsidRDefault="00D31097" w:rsidP="00D31097">
      <w:pPr>
        <w:pStyle w:val="Body"/>
      </w:pPr>
      <w:proofErr w:type="spellStart"/>
      <w:r w:rsidRPr="00D31097">
        <w:t>Zeghal</w:t>
      </w:r>
      <w:proofErr w:type="spellEnd"/>
      <w:r w:rsidRPr="00D31097">
        <w:t xml:space="preserve">, D., </w:t>
      </w:r>
      <w:proofErr w:type="spellStart"/>
      <w:r w:rsidRPr="00D31097">
        <w:t>Chtourou</w:t>
      </w:r>
      <w:proofErr w:type="spellEnd"/>
      <w:r w:rsidRPr="00D31097">
        <w:t xml:space="preserve">, S. M., &amp; Fourati, Y. M. (2012). </w:t>
      </w:r>
      <w:r w:rsidRPr="00456CC9">
        <w:rPr>
          <w:i/>
          <w:iCs/>
        </w:rPr>
        <w:t>The effect of mandatory adoption of IFRS on earnings quality: Evidence from the European Union. Journal of International Accounting Research, 11(2),</w:t>
      </w:r>
      <w:r w:rsidRPr="00D31097">
        <w:t xml:space="preserve"> 1-25.</w:t>
      </w:r>
    </w:p>
    <w:sectPr w:rsidR="00D31097" w:rsidRPr="00D31097" w:rsidSect="00EC450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1BD30" w14:textId="77777777" w:rsidR="00F644F8" w:rsidRDefault="00F644F8" w:rsidP="00C37E61">
      <w:r>
        <w:separator/>
      </w:r>
    </w:p>
  </w:endnote>
  <w:endnote w:type="continuationSeparator" w:id="0">
    <w:p w14:paraId="52DA0D32" w14:textId="77777777" w:rsidR="00F644F8" w:rsidRDefault="00F644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09A4" w14:textId="77777777" w:rsidR="00EC450D" w:rsidRDefault="00EC4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0A4A" w14:textId="77777777" w:rsidR="00EC450D" w:rsidRDefault="00EC4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6419" w14:textId="3E171CF2" w:rsidR="00754C9A" w:rsidRPr="00EC450D" w:rsidRDefault="00754C9A" w:rsidP="00EC4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CE55" w14:textId="77777777" w:rsidR="00F644F8" w:rsidRDefault="00F644F8" w:rsidP="00C37E61">
      <w:r>
        <w:separator/>
      </w:r>
    </w:p>
  </w:footnote>
  <w:footnote w:type="continuationSeparator" w:id="0">
    <w:p w14:paraId="4D2F33A8" w14:textId="77777777" w:rsidR="00F644F8" w:rsidRDefault="00F644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8CA8" w14:textId="5D707162" w:rsidR="00EC450D" w:rsidRDefault="00000000">
    <w:pPr>
      <w:pStyle w:val="Header"/>
    </w:pPr>
    <w:r>
      <w:rPr>
        <w:noProof/>
      </w:rPr>
      <w:pict w14:anchorId="0339D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7BFC" w14:textId="0DEE56BD" w:rsidR="00EC450D" w:rsidRDefault="00000000">
    <w:pPr>
      <w:pStyle w:val="Header"/>
    </w:pPr>
    <w:r>
      <w:rPr>
        <w:noProof/>
      </w:rPr>
      <w:pict w14:anchorId="6508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2A6C" w14:textId="1095AC1A" w:rsidR="00296529" w:rsidRPr="00296529" w:rsidRDefault="00000000" w:rsidP="00296529">
    <w:pPr>
      <w:ind w:left="2160"/>
      <w:jc w:val="center"/>
      <w:rPr>
        <w:rFonts w:ascii="Times New Roman" w:eastAsia="Calibri" w:hAnsi="Times New Roman"/>
        <w:i/>
        <w:sz w:val="18"/>
        <w:szCs w:val="22"/>
      </w:rPr>
    </w:pPr>
    <w:r>
      <w:rPr>
        <w:noProof/>
      </w:rPr>
      <w:pict w14:anchorId="4F873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2F497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238C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C9D6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29D6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19FD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193C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556031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41780085">
    <w:abstractNumId w:val="15"/>
  </w:num>
  <w:num w:numId="3" w16cid:durableId="1134715993">
    <w:abstractNumId w:val="23"/>
  </w:num>
  <w:num w:numId="4" w16cid:durableId="102348058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72185568">
    <w:abstractNumId w:val="7"/>
  </w:num>
  <w:num w:numId="6" w16cid:durableId="18900949">
    <w:abstractNumId w:val="6"/>
  </w:num>
  <w:num w:numId="7" w16cid:durableId="1633319913">
    <w:abstractNumId w:val="1"/>
  </w:num>
  <w:num w:numId="8" w16cid:durableId="95683190">
    <w:abstractNumId w:val="12"/>
  </w:num>
  <w:num w:numId="9" w16cid:durableId="423772474">
    <w:abstractNumId w:val="25"/>
  </w:num>
  <w:num w:numId="10" w16cid:durableId="751463533">
    <w:abstractNumId w:val="2"/>
  </w:num>
  <w:num w:numId="11" w16cid:durableId="1269268040">
    <w:abstractNumId w:val="18"/>
  </w:num>
  <w:num w:numId="12" w16cid:durableId="1957371504">
    <w:abstractNumId w:val="3"/>
  </w:num>
  <w:num w:numId="13" w16cid:durableId="1640836714">
    <w:abstractNumId w:val="17"/>
  </w:num>
  <w:num w:numId="14" w16cid:durableId="968628070">
    <w:abstractNumId w:val="8"/>
  </w:num>
  <w:num w:numId="15" w16cid:durableId="47725938">
    <w:abstractNumId w:val="21"/>
  </w:num>
  <w:num w:numId="16" w16cid:durableId="810825631">
    <w:abstractNumId w:val="5"/>
  </w:num>
  <w:num w:numId="17" w16cid:durableId="1967154902">
    <w:abstractNumId w:val="22"/>
  </w:num>
  <w:num w:numId="18" w16cid:durableId="271136413">
    <w:abstractNumId w:val="14"/>
  </w:num>
  <w:num w:numId="19" w16cid:durableId="2052656478">
    <w:abstractNumId w:val="28"/>
  </w:num>
  <w:num w:numId="20" w16cid:durableId="1578511668">
    <w:abstractNumId w:val="11"/>
  </w:num>
  <w:num w:numId="21" w16cid:durableId="54816359">
    <w:abstractNumId w:val="9"/>
  </w:num>
  <w:num w:numId="22" w16cid:durableId="1953852200">
    <w:abstractNumId w:val="13"/>
  </w:num>
  <w:num w:numId="23" w16cid:durableId="1627736636">
    <w:abstractNumId w:val="19"/>
  </w:num>
  <w:num w:numId="24" w16cid:durableId="681052758">
    <w:abstractNumId w:val="26"/>
  </w:num>
  <w:num w:numId="25" w16cid:durableId="842864374">
    <w:abstractNumId w:val="4"/>
  </w:num>
  <w:num w:numId="26" w16cid:durableId="533539664">
    <w:abstractNumId w:val="16"/>
  </w:num>
  <w:num w:numId="27" w16cid:durableId="1355421901">
    <w:abstractNumId w:val="20"/>
  </w:num>
  <w:num w:numId="28" w16cid:durableId="1461723960">
    <w:abstractNumId w:val="27"/>
  </w:num>
  <w:num w:numId="29" w16cid:durableId="269051148">
    <w:abstractNumId w:val="24"/>
  </w:num>
  <w:num w:numId="30" w16cid:durableId="393167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092"/>
    <w:rsid w:val="00025279"/>
    <w:rsid w:val="00030174"/>
    <w:rsid w:val="0003046F"/>
    <w:rsid w:val="0004579C"/>
    <w:rsid w:val="00045C79"/>
    <w:rsid w:val="00053D03"/>
    <w:rsid w:val="00061760"/>
    <w:rsid w:val="00085678"/>
    <w:rsid w:val="00092B75"/>
    <w:rsid w:val="00094E0C"/>
    <w:rsid w:val="000A023C"/>
    <w:rsid w:val="000A47FA"/>
    <w:rsid w:val="000A65D3"/>
    <w:rsid w:val="000B1E33"/>
    <w:rsid w:val="000B3B65"/>
    <w:rsid w:val="000D08CC"/>
    <w:rsid w:val="000D689F"/>
    <w:rsid w:val="000E07D8"/>
    <w:rsid w:val="000E7B7B"/>
    <w:rsid w:val="000E7D62"/>
    <w:rsid w:val="001004D8"/>
    <w:rsid w:val="00103357"/>
    <w:rsid w:val="00103E91"/>
    <w:rsid w:val="00111D73"/>
    <w:rsid w:val="00123C9F"/>
    <w:rsid w:val="00126190"/>
    <w:rsid w:val="00130F17"/>
    <w:rsid w:val="001320BF"/>
    <w:rsid w:val="00163BC4"/>
    <w:rsid w:val="00183863"/>
    <w:rsid w:val="00191062"/>
    <w:rsid w:val="00192B72"/>
    <w:rsid w:val="001A29D8"/>
    <w:rsid w:val="001A5CAA"/>
    <w:rsid w:val="001B0427"/>
    <w:rsid w:val="001D3A51"/>
    <w:rsid w:val="001E10D2"/>
    <w:rsid w:val="001E25B4"/>
    <w:rsid w:val="001E44FE"/>
    <w:rsid w:val="001E6FB0"/>
    <w:rsid w:val="001F1B56"/>
    <w:rsid w:val="001F5221"/>
    <w:rsid w:val="00200595"/>
    <w:rsid w:val="00204835"/>
    <w:rsid w:val="0021197F"/>
    <w:rsid w:val="00211B86"/>
    <w:rsid w:val="002175E3"/>
    <w:rsid w:val="00231920"/>
    <w:rsid w:val="0023195C"/>
    <w:rsid w:val="00237597"/>
    <w:rsid w:val="0024282C"/>
    <w:rsid w:val="002460DC"/>
    <w:rsid w:val="002463DF"/>
    <w:rsid w:val="00250985"/>
    <w:rsid w:val="002556F6"/>
    <w:rsid w:val="00270096"/>
    <w:rsid w:val="002724DD"/>
    <w:rsid w:val="00283105"/>
    <w:rsid w:val="0028410F"/>
    <w:rsid w:val="00284C4C"/>
    <w:rsid w:val="00287E68"/>
    <w:rsid w:val="002910DA"/>
    <w:rsid w:val="002922F7"/>
    <w:rsid w:val="00296529"/>
    <w:rsid w:val="00296C14"/>
    <w:rsid w:val="002B27FB"/>
    <w:rsid w:val="002B685A"/>
    <w:rsid w:val="002C57D2"/>
    <w:rsid w:val="002C609E"/>
    <w:rsid w:val="002D377C"/>
    <w:rsid w:val="002D51BE"/>
    <w:rsid w:val="002E0D56"/>
    <w:rsid w:val="002E2F6F"/>
    <w:rsid w:val="00305A10"/>
    <w:rsid w:val="00306549"/>
    <w:rsid w:val="00311E4F"/>
    <w:rsid w:val="0031341B"/>
    <w:rsid w:val="00315186"/>
    <w:rsid w:val="0033343E"/>
    <w:rsid w:val="00343ADB"/>
    <w:rsid w:val="003512C2"/>
    <w:rsid w:val="00361965"/>
    <w:rsid w:val="00371FB6"/>
    <w:rsid w:val="003763C1"/>
    <w:rsid w:val="00376BBE"/>
    <w:rsid w:val="0039224F"/>
    <w:rsid w:val="003A43A4"/>
    <w:rsid w:val="003A5F35"/>
    <w:rsid w:val="003A7E18"/>
    <w:rsid w:val="003C4C86"/>
    <w:rsid w:val="003C6258"/>
    <w:rsid w:val="003D1CB0"/>
    <w:rsid w:val="003D7C66"/>
    <w:rsid w:val="003E2904"/>
    <w:rsid w:val="003E510A"/>
    <w:rsid w:val="003E60AB"/>
    <w:rsid w:val="003F16E2"/>
    <w:rsid w:val="00401927"/>
    <w:rsid w:val="00405E3C"/>
    <w:rsid w:val="0041027F"/>
    <w:rsid w:val="00412144"/>
    <w:rsid w:val="00412475"/>
    <w:rsid w:val="0041480E"/>
    <w:rsid w:val="00423789"/>
    <w:rsid w:val="00440F43"/>
    <w:rsid w:val="00441B6F"/>
    <w:rsid w:val="00446221"/>
    <w:rsid w:val="00447A14"/>
    <w:rsid w:val="00450E62"/>
    <w:rsid w:val="004539DB"/>
    <w:rsid w:val="00454AE3"/>
    <w:rsid w:val="00456CC9"/>
    <w:rsid w:val="00471A80"/>
    <w:rsid w:val="00484D5C"/>
    <w:rsid w:val="0048530A"/>
    <w:rsid w:val="00491130"/>
    <w:rsid w:val="00492857"/>
    <w:rsid w:val="004C23C7"/>
    <w:rsid w:val="004C75AB"/>
    <w:rsid w:val="004D305E"/>
    <w:rsid w:val="004D4277"/>
    <w:rsid w:val="004E53AD"/>
    <w:rsid w:val="004F7F4A"/>
    <w:rsid w:val="00502516"/>
    <w:rsid w:val="00505F06"/>
    <w:rsid w:val="00506828"/>
    <w:rsid w:val="0052011D"/>
    <w:rsid w:val="0053056E"/>
    <w:rsid w:val="00544605"/>
    <w:rsid w:val="00550AE9"/>
    <w:rsid w:val="00554FDA"/>
    <w:rsid w:val="00564427"/>
    <w:rsid w:val="005644B7"/>
    <w:rsid w:val="00583CD7"/>
    <w:rsid w:val="005C784C"/>
    <w:rsid w:val="005D17F6"/>
    <w:rsid w:val="005D2460"/>
    <w:rsid w:val="005D4B6F"/>
    <w:rsid w:val="005D527C"/>
    <w:rsid w:val="005E5539"/>
    <w:rsid w:val="00602BF5"/>
    <w:rsid w:val="00611AD4"/>
    <w:rsid w:val="00612895"/>
    <w:rsid w:val="00617FDD"/>
    <w:rsid w:val="00633614"/>
    <w:rsid w:val="00633F68"/>
    <w:rsid w:val="00636EB2"/>
    <w:rsid w:val="006375B8"/>
    <w:rsid w:val="00643756"/>
    <w:rsid w:val="0066510A"/>
    <w:rsid w:val="00673F9F"/>
    <w:rsid w:val="006747E1"/>
    <w:rsid w:val="00682AA0"/>
    <w:rsid w:val="00682F5C"/>
    <w:rsid w:val="00686953"/>
    <w:rsid w:val="00687DEA"/>
    <w:rsid w:val="00687E67"/>
    <w:rsid w:val="00695152"/>
    <w:rsid w:val="006967F7"/>
    <w:rsid w:val="0069684A"/>
    <w:rsid w:val="006969D1"/>
    <w:rsid w:val="006A250C"/>
    <w:rsid w:val="006B1B3E"/>
    <w:rsid w:val="006B20B6"/>
    <w:rsid w:val="006B21D3"/>
    <w:rsid w:val="006B57D0"/>
    <w:rsid w:val="006C0639"/>
    <w:rsid w:val="006C5564"/>
    <w:rsid w:val="006D30FF"/>
    <w:rsid w:val="006D6940"/>
    <w:rsid w:val="006E5E33"/>
    <w:rsid w:val="006F11EC"/>
    <w:rsid w:val="0070082C"/>
    <w:rsid w:val="00700ECA"/>
    <w:rsid w:val="00704087"/>
    <w:rsid w:val="00706468"/>
    <w:rsid w:val="00736091"/>
    <w:rsid w:val="007369E6"/>
    <w:rsid w:val="00746E59"/>
    <w:rsid w:val="0075380A"/>
    <w:rsid w:val="00753A70"/>
    <w:rsid w:val="00754C9A"/>
    <w:rsid w:val="0075599A"/>
    <w:rsid w:val="00761D52"/>
    <w:rsid w:val="007719AD"/>
    <w:rsid w:val="0077749E"/>
    <w:rsid w:val="00777E78"/>
    <w:rsid w:val="00790ADA"/>
    <w:rsid w:val="00793032"/>
    <w:rsid w:val="007951B2"/>
    <w:rsid w:val="0079626B"/>
    <w:rsid w:val="0079764D"/>
    <w:rsid w:val="007C0B55"/>
    <w:rsid w:val="007C3A38"/>
    <w:rsid w:val="007D2288"/>
    <w:rsid w:val="007E088F"/>
    <w:rsid w:val="007E5CD1"/>
    <w:rsid w:val="007F55B4"/>
    <w:rsid w:val="007F68F1"/>
    <w:rsid w:val="007F7B32"/>
    <w:rsid w:val="00804BC2"/>
    <w:rsid w:val="00813B41"/>
    <w:rsid w:val="0081431A"/>
    <w:rsid w:val="00814FB4"/>
    <w:rsid w:val="00831769"/>
    <w:rsid w:val="0083216F"/>
    <w:rsid w:val="00840BE4"/>
    <w:rsid w:val="008531ED"/>
    <w:rsid w:val="00860000"/>
    <w:rsid w:val="00862306"/>
    <w:rsid w:val="00863BD3"/>
    <w:rsid w:val="008641ED"/>
    <w:rsid w:val="00865625"/>
    <w:rsid w:val="0086680D"/>
    <w:rsid w:val="00866D66"/>
    <w:rsid w:val="008671C6"/>
    <w:rsid w:val="00875803"/>
    <w:rsid w:val="008B459E"/>
    <w:rsid w:val="008C188A"/>
    <w:rsid w:val="008D5A62"/>
    <w:rsid w:val="008E13AE"/>
    <w:rsid w:val="008E1506"/>
    <w:rsid w:val="008E710C"/>
    <w:rsid w:val="008F69D6"/>
    <w:rsid w:val="00902823"/>
    <w:rsid w:val="00915CA6"/>
    <w:rsid w:val="0091664B"/>
    <w:rsid w:val="00927834"/>
    <w:rsid w:val="00943EDD"/>
    <w:rsid w:val="009500A6"/>
    <w:rsid w:val="009547D2"/>
    <w:rsid w:val="00957C18"/>
    <w:rsid w:val="00961D99"/>
    <w:rsid w:val="009631A9"/>
    <w:rsid w:val="009659BA"/>
    <w:rsid w:val="00966EEC"/>
    <w:rsid w:val="00983040"/>
    <w:rsid w:val="0098402C"/>
    <w:rsid w:val="009B31E5"/>
    <w:rsid w:val="009B3FB9"/>
    <w:rsid w:val="009B6AAF"/>
    <w:rsid w:val="009C2465"/>
    <w:rsid w:val="009C7867"/>
    <w:rsid w:val="009D35A0"/>
    <w:rsid w:val="009D7E67"/>
    <w:rsid w:val="009D7EB7"/>
    <w:rsid w:val="009E048A"/>
    <w:rsid w:val="009E08E9"/>
    <w:rsid w:val="009E3DB9"/>
    <w:rsid w:val="009E6E35"/>
    <w:rsid w:val="009F0EDA"/>
    <w:rsid w:val="009F5C63"/>
    <w:rsid w:val="00A03B96"/>
    <w:rsid w:val="00A05B19"/>
    <w:rsid w:val="00A07386"/>
    <w:rsid w:val="00A1134E"/>
    <w:rsid w:val="00A12AA1"/>
    <w:rsid w:val="00A1556D"/>
    <w:rsid w:val="00A24E7E"/>
    <w:rsid w:val="00A258C3"/>
    <w:rsid w:val="00A264ED"/>
    <w:rsid w:val="00A347C0"/>
    <w:rsid w:val="00A50549"/>
    <w:rsid w:val="00A51431"/>
    <w:rsid w:val="00A53294"/>
    <w:rsid w:val="00A536CE"/>
    <w:rsid w:val="00A539AD"/>
    <w:rsid w:val="00A539BE"/>
    <w:rsid w:val="00A63297"/>
    <w:rsid w:val="00A6481B"/>
    <w:rsid w:val="00A807E7"/>
    <w:rsid w:val="00A94063"/>
    <w:rsid w:val="00AA6219"/>
    <w:rsid w:val="00AA74E0"/>
    <w:rsid w:val="00AB703F"/>
    <w:rsid w:val="00AC6BB8"/>
    <w:rsid w:val="00AD1CA0"/>
    <w:rsid w:val="00AE008F"/>
    <w:rsid w:val="00AE36A2"/>
    <w:rsid w:val="00AE3AFF"/>
    <w:rsid w:val="00AE6F18"/>
    <w:rsid w:val="00AE7444"/>
    <w:rsid w:val="00AF1CF2"/>
    <w:rsid w:val="00B01FCD"/>
    <w:rsid w:val="00B15C5D"/>
    <w:rsid w:val="00B1776C"/>
    <w:rsid w:val="00B20F87"/>
    <w:rsid w:val="00B41BD1"/>
    <w:rsid w:val="00B52583"/>
    <w:rsid w:val="00B52896"/>
    <w:rsid w:val="00B72110"/>
    <w:rsid w:val="00B75B2D"/>
    <w:rsid w:val="00B8186B"/>
    <w:rsid w:val="00B95236"/>
    <w:rsid w:val="00B96BD9"/>
    <w:rsid w:val="00BA1B01"/>
    <w:rsid w:val="00BA2641"/>
    <w:rsid w:val="00BB37AA"/>
    <w:rsid w:val="00BC53A0"/>
    <w:rsid w:val="00BE3703"/>
    <w:rsid w:val="00BE3977"/>
    <w:rsid w:val="00BE62AD"/>
    <w:rsid w:val="00BF121F"/>
    <w:rsid w:val="00BF1F80"/>
    <w:rsid w:val="00C166EF"/>
    <w:rsid w:val="00C16ADE"/>
    <w:rsid w:val="00C17EB0"/>
    <w:rsid w:val="00C224BE"/>
    <w:rsid w:val="00C260E8"/>
    <w:rsid w:val="00C27F5F"/>
    <w:rsid w:val="00C30A0F"/>
    <w:rsid w:val="00C35EA2"/>
    <w:rsid w:val="00C37E61"/>
    <w:rsid w:val="00C54420"/>
    <w:rsid w:val="00C56EAB"/>
    <w:rsid w:val="00C6681C"/>
    <w:rsid w:val="00C70F1B"/>
    <w:rsid w:val="00C71A47"/>
    <w:rsid w:val="00C7464C"/>
    <w:rsid w:val="00C82DB4"/>
    <w:rsid w:val="00C83920"/>
    <w:rsid w:val="00C85588"/>
    <w:rsid w:val="00C85BBF"/>
    <w:rsid w:val="00C86D9C"/>
    <w:rsid w:val="00C91B6F"/>
    <w:rsid w:val="00CA477E"/>
    <w:rsid w:val="00CA5304"/>
    <w:rsid w:val="00CB00FB"/>
    <w:rsid w:val="00CB4279"/>
    <w:rsid w:val="00CD6755"/>
    <w:rsid w:val="00CD6856"/>
    <w:rsid w:val="00CD6A7E"/>
    <w:rsid w:val="00CE0089"/>
    <w:rsid w:val="00CE273C"/>
    <w:rsid w:val="00CE793C"/>
    <w:rsid w:val="00CF0C35"/>
    <w:rsid w:val="00CF193C"/>
    <w:rsid w:val="00D01DCE"/>
    <w:rsid w:val="00D0275C"/>
    <w:rsid w:val="00D02C79"/>
    <w:rsid w:val="00D173F1"/>
    <w:rsid w:val="00D265FD"/>
    <w:rsid w:val="00D31097"/>
    <w:rsid w:val="00D51BDD"/>
    <w:rsid w:val="00D74CB0"/>
    <w:rsid w:val="00D81FF6"/>
    <w:rsid w:val="00D8295D"/>
    <w:rsid w:val="00DB07CC"/>
    <w:rsid w:val="00DB1917"/>
    <w:rsid w:val="00DB318F"/>
    <w:rsid w:val="00DB7D2E"/>
    <w:rsid w:val="00DC2A65"/>
    <w:rsid w:val="00DE15F0"/>
    <w:rsid w:val="00DE5663"/>
    <w:rsid w:val="00DE78AA"/>
    <w:rsid w:val="00E00A80"/>
    <w:rsid w:val="00E053D0"/>
    <w:rsid w:val="00E15994"/>
    <w:rsid w:val="00E163BF"/>
    <w:rsid w:val="00E22D7F"/>
    <w:rsid w:val="00E2626E"/>
    <w:rsid w:val="00E26C47"/>
    <w:rsid w:val="00E3114E"/>
    <w:rsid w:val="00E315DA"/>
    <w:rsid w:val="00E31A70"/>
    <w:rsid w:val="00E35B02"/>
    <w:rsid w:val="00E43E2B"/>
    <w:rsid w:val="00E53910"/>
    <w:rsid w:val="00E57CCC"/>
    <w:rsid w:val="00E6257A"/>
    <w:rsid w:val="00E66496"/>
    <w:rsid w:val="00E66B35"/>
    <w:rsid w:val="00E66E10"/>
    <w:rsid w:val="00E67603"/>
    <w:rsid w:val="00E769F6"/>
    <w:rsid w:val="00E8407C"/>
    <w:rsid w:val="00E84F3C"/>
    <w:rsid w:val="00E9045E"/>
    <w:rsid w:val="00EA012C"/>
    <w:rsid w:val="00EA3E74"/>
    <w:rsid w:val="00EB5717"/>
    <w:rsid w:val="00EB6ECC"/>
    <w:rsid w:val="00EC450D"/>
    <w:rsid w:val="00EC6A55"/>
    <w:rsid w:val="00ED0031"/>
    <w:rsid w:val="00ED0288"/>
    <w:rsid w:val="00ED4151"/>
    <w:rsid w:val="00ED49D5"/>
    <w:rsid w:val="00EE52CB"/>
    <w:rsid w:val="00EF0F60"/>
    <w:rsid w:val="00EF581D"/>
    <w:rsid w:val="00EF7FD8"/>
    <w:rsid w:val="00F04AB9"/>
    <w:rsid w:val="00F06F59"/>
    <w:rsid w:val="00F17448"/>
    <w:rsid w:val="00F17988"/>
    <w:rsid w:val="00F222CE"/>
    <w:rsid w:val="00F35A2E"/>
    <w:rsid w:val="00F469F0"/>
    <w:rsid w:val="00F5149D"/>
    <w:rsid w:val="00F53273"/>
    <w:rsid w:val="00F60377"/>
    <w:rsid w:val="00F644F8"/>
    <w:rsid w:val="00F715BF"/>
    <w:rsid w:val="00F755E4"/>
    <w:rsid w:val="00F77D02"/>
    <w:rsid w:val="00F85C52"/>
    <w:rsid w:val="00FA152D"/>
    <w:rsid w:val="00FA690F"/>
    <w:rsid w:val="00FB3A86"/>
    <w:rsid w:val="00FC3A80"/>
    <w:rsid w:val="00FC48E2"/>
    <w:rsid w:val="00FD36C8"/>
    <w:rsid w:val="00FE0D07"/>
    <w:rsid w:val="00FE40D6"/>
    <w:rsid w:val="00FF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613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0F6B-F400-4D8F-8B22-05A84314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13</Pages>
  <Words>6125</Words>
  <Characters>36509</Characters>
  <Application>Microsoft Office Word</Application>
  <DocSecurity>0</DocSecurity>
  <Lines>702</Lines>
  <Paragraphs>269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Sheron Ndhlovu</cp:lastModifiedBy>
  <cp:revision>13</cp:revision>
  <cp:lastPrinted>1999-07-06T11:00:00Z</cp:lastPrinted>
  <dcterms:created xsi:type="dcterms:W3CDTF">2025-10-05T08:34:00Z</dcterms:created>
  <dcterms:modified xsi:type="dcterms:W3CDTF">2025-10-05T10:02:00Z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bed72ede-16db-47b8-8d2e-66e4c7f1e3fd</vt:lpwstr>
  </property>
</Properties>
</file>