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E00" w:rsidRDefault="00BF250B">
      <w:pPr>
        <w:spacing w:after="15" w:line="250" w:lineRule="auto"/>
        <w:ind w:right="61"/>
        <w:jc w:val="center"/>
        <w:rPr>
          <w:rFonts w:ascii="Calibri" w:eastAsia="Calibri" w:hAnsi="Calibri" w:cs="Calibri"/>
          <w:b/>
          <w:bCs/>
          <w:sz w:val="36"/>
          <w:u w:val="single"/>
          <w:lang w:val="en-US"/>
        </w:rPr>
      </w:pPr>
      <w:r>
        <w:rPr>
          <w:rFonts w:ascii="Calibri" w:eastAsia="Calibri" w:hAnsi="Calibri" w:cs="Calibri"/>
          <w:b/>
          <w:bCs/>
          <w:sz w:val="36"/>
          <w:u w:val="single"/>
          <w:lang w:val="en-US"/>
        </w:rPr>
        <w:t>Review Article</w:t>
      </w:r>
    </w:p>
    <w:p w:rsidR="00A80E00" w:rsidRDefault="00BF250B">
      <w:pPr>
        <w:spacing w:after="15" w:line="250" w:lineRule="auto"/>
        <w:ind w:right="61"/>
        <w:jc w:val="center"/>
        <w:rPr>
          <w:lang w:val="en-US"/>
        </w:rPr>
      </w:pPr>
      <w:r>
        <w:rPr>
          <w:rFonts w:ascii="Calibri" w:eastAsia="Calibri" w:hAnsi="Calibri" w:cs="Calibri"/>
          <w:b/>
          <w:sz w:val="36"/>
        </w:rPr>
        <w:t>Oral Submucous Fibrosis -C</w:t>
      </w:r>
      <w:proofErr w:type="spellStart"/>
      <w:r>
        <w:rPr>
          <w:rFonts w:ascii="Calibri" w:eastAsia="Calibri" w:hAnsi="Calibri" w:cs="Calibri"/>
          <w:b/>
          <w:sz w:val="36"/>
          <w:lang w:val="en-US"/>
        </w:rPr>
        <w:t>urrent</w:t>
      </w:r>
      <w:proofErr w:type="spellEnd"/>
      <w:r>
        <w:rPr>
          <w:rFonts w:ascii="Calibri" w:eastAsia="Calibri" w:hAnsi="Calibri" w:cs="Calibri"/>
          <w:b/>
          <w:sz w:val="36"/>
          <w:lang w:val="en-US"/>
        </w:rPr>
        <w:t xml:space="preserve"> concept</w:t>
      </w:r>
      <w:r>
        <w:rPr>
          <w:rFonts w:ascii="Calibri" w:eastAsia="Calibri" w:hAnsi="Calibri" w:cs="Calibri"/>
          <w:b/>
          <w:sz w:val="36"/>
        </w:rPr>
        <w:t xml:space="preserve"> </w:t>
      </w:r>
      <w:r>
        <w:rPr>
          <w:rFonts w:ascii="Calibri" w:eastAsia="Calibri" w:hAnsi="Calibri" w:cs="Calibri"/>
          <w:b/>
          <w:sz w:val="36"/>
          <w:lang w:val="en-US"/>
        </w:rPr>
        <w:t>of</w:t>
      </w:r>
    </w:p>
    <w:p w:rsidR="00A80E00" w:rsidRDefault="00BF250B">
      <w:pPr>
        <w:spacing w:after="478" w:line="250" w:lineRule="auto"/>
        <w:ind w:right="0"/>
        <w:jc w:val="center"/>
        <w:rPr>
          <w:rFonts w:ascii="Calibri" w:eastAsia="Calibri" w:hAnsi="Calibri" w:cs="Calibri"/>
          <w:b/>
          <w:sz w:val="36"/>
          <w:lang w:val="en-US"/>
        </w:rPr>
      </w:pPr>
      <w:proofErr w:type="gramStart"/>
      <w:r>
        <w:rPr>
          <w:rFonts w:ascii="Calibri" w:eastAsia="Calibri" w:hAnsi="Calibri" w:cs="Calibri"/>
          <w:b/>
          <w:sz w:val="36"/>
        </w:rPr>
        <w:t>E</w:t>
      </w:r>
      <w:proofErr w:type="spellStart"/>
      <w:r>
        <w:rPr>
          <w:rFonts w:ascii="Calibri" w:eastAsia="Calibri" w:hAnsi="Calibri" w:cs="Calibri"/>
          <w:b/>
          <w:sz w:val="36"/>
          <w:lang w:val="en-US"/>
        </w:rPr>
        <w:t>tiology</w:t>
      </w:r>
      <w:proofErr w:type="spellEnd"/>
      <w:r>
        <w:rPr>
          <w:rFonts w:ascii="Calibri" w:eastAsia="Calibri" w:hAnsi="Calibri" w:cs="Calibri"/>
          <w:b/>
          <w:sz w:val="36"/>
        </w:rPr>
        <w:t>,P</w:t>
      </w:r>
      <w:proofErr w:type="spellStart"/>
      <w:r>
        <w:rPr>
          <w:rFonts w:ascii="Calibri" w:eastAsia="Calibri" w:hAnsi="Calibri" w:cs="Calibri"/>
          <w:b/>
          <w:sz w:val="36"/>
          <w:lang w:val="en-US"/>
        </w:rPr>
        <w:t>athogenesis</w:t>
      </w:r>
      <w:proofErr w:type="spellEnd"/>
      <w:proofErr w:type="gramEnd"/>
      <w:r>
        <w:rPr>
          <w:rFonts w:ascii="Calibri" w:eastAsia="Calibri" w:hAnsi="Calibri" w:cs="Calibri"/>
          <w:b/>
          <w:sz w:val="36"/>
        </w:rPr>
        <w:t>,C</w:t>
      </w:r>
      <w:proofErr w:type="spellStart"/>
      <w:r>
        <w:rPr>
          <w:rFonts w:ascii="Calibri" w:eastAsia="Calibri" w:hAnsi="Calibri" w:cs="Calibri"/>
          <w:b/>
          <w:sz w:val="36"/>
          <w:lang w:val="en-US"/>
        </w:rPr>
        <w:t>lassification</w:t>
      </w:r>
      <w:proofErr w:type="spellEnd"/>
      <w:r>
        <w:rPr>
          <w:rFonts w:ascii="Calibri" w:eastAsia="Calibri" w:hAnsi="Calibri" w:cs="Calibri"/>
          <w:b/>
          <w:sz w:val="36"/>
          <w:lang w:val="en-US"/>
        </w:rPr>
        <w:t xml:space="preserve"> and Management</w:t>
      </w:r>
    </w:p>
    <w:p w:rsidR="00A80E00" w:rsidRDefault="00A80E00">
      <w:pPr>
        <w:ind w:left="0" w:firstLine="0"/>
      </w:pPr>
    </w:p>
    <w:p w:rsidR="00A80E00" w:rsidRDefault="00BF250B">
      <w:pPr>
        <w:ind w:left="0" w:firstLine="0"/>
        <w:rPr>
          <w:shd w:val="clear" w:color="auto" w:fill="FFFFFF"/>
        </w:rPr>
      </w:pPr>
      <w:r>
        <w:rPr>
          <w:b/>
          <w:bCs/>
        </w:rPr>
        <w:t>Abstract</w:t>
      </w:r>
      <w:r>
        <w:t>:</w:t>
      </w:r>
    </w:p>
    <w:p w:rsidR="00A80E00" w:rsidRDefault="00BF250B">
      <w:r>
        <w:t xml:space="preserve">Introduction: Oral submucous fibrosis (OSMF) is a chronic, </w:t>
      </w:r>
      <w:r>
        <w:t>progressive, oral potentially malignant disorder with malignant transformation rates between 7% and 13</w:t>
      </w:r>
      <w:proofErr w:type="gramStart"/>
      <w:r>
        <w:t>%.Etiology</w:t>
      </w:r>
      <w:proofErr w:type="gramEnd"/>
      <w:r>
        <w:t xml:space="preserve"> &amp; Pathogenesis: The disease is primarily associated with areca nut and betel quid chewing, compounded by nutritional deficiencies, immunologica</w:t>
      </w:r>
      <w:r>
        <w:t xml:space="preserve">l changes, genetic susceptibility, and epigenetic factors. Fibrosis develops due to an imbalance between collagen synthesis and degradation, fibroblast-to-myofibroblast transition, and cytokine dysregulation such as TGFβ </w:t>
      </w:r>
      <w:proofErr w:type="spellStart"/>
      <w:proofErr w:type="gramStart"/>
      <w:r>
        <w:t>overexpression.Clinical</w:t>
      </w:r>
      <w:proofErr w:type="spellEnd"/>
      <w:proofErr w:type="gramEnd"/>
      <w:r>
        <w:t xml:space="preserve"> Features: O</w:t>
      </w:r>
      <w:r>
        <w:t>SMF typically manifests with mucosal rigidity, burning sensation, blanching, fibrotic bands, reduced mouth opening, and impaired oral function. Histological changes range from inflammation and fibrosis to epithelial atrophy, with a significant risk of mali</w:t>
      </w:r>
      <w:r>
        <w:t xml:space="preserve">gnant </w:t>
      </w:r>
      <w:proofErr w:type="spellStart"/>
      <w:proofErr w:type="gramStart"/>
      <w:r>
        <w:t>transformation.Management</w:t>
      </w:r>
      <w:proofErr w:type="spellEnd"/>
      <w:proofErr w:type="gramEnd"/>
      <w:r>
        <w:t>: Current strategies emphasize habit cessation, dietary supplementation, and medical therapy including corticosteroids, antioxidants, enzymes, immunomodulators, vasodilators, and herbal products. Physiotherapy is essential to</w:t>
      </w:r>
      <w:r>
        <w:t xml:space="preserve"> preserve oral function, while surgical options such as fibrotic band release, flap reconstruction, </w:t>
      </w:r>
      <w:proofErr w:type="spellStart"/>
      <w:r>
        <w:t>coronoidectomy</w:t>
      </w:r>
      <w:proofErr w:type="spellEnd"/>
      <w:r>
        <w:t>, myotomy, and laser therapy are reserved for advanced cases. Novel approaches like stem cell therapy and mucoadhesive drug delivery systems s</w:t>
      </w:r>
      <w:r>
        <w:t xml:space="preserve">how encouraging </w:t>
      </w:r>
      <w:proofErr w:type="spellStart"/>
      <w:proofErr w:type="gramStart"/>
      <w:r>
        <w:t>results.Conclusion</w:t>
      </w:r>
      <w:proofErr w:type="spellEnd"/>
      <w:proofErr w:type="gramEnd"/>
      <w:r>
        <w:t xml:space="preserve">: Although no single therapy provides complete reversal, a multimodal approach combining </w:t>
      </w:r>
      <w:proofErr w:type="spellStart"/>
      <w:r>
        <w:t>behavioral</w:t>
      </w:r>
      <w:proofErr w:type="spellEnd"/>
      <w:r>
        <w:t xml:space="preserve">, medical, physiotherapeutic, and surgical interventions remains the cornerstone of OSMF management. Continued research on </w:t>
      </w:r>
      <w:r>
        <w:t>molecular mechanisms and innovative therapies is critical to improve patient outcomes and reduce malignant progression</w:t>
      </w:r>
    </w:p>
    <w:p w:rsidR="00A80E00" w:rsidRDefault="00BF250B">
      <w:r>
        <w:rPr>
          <w:b/>
        </w:rPr>
        <w:t xml:space="preserve">Key </w:t>
      </w:r>
      <w:proofErr w:type="spellStart"/>
      <w:proofErr w:type="gramStart"/>
      <w:r>
        <w:rPr>
          <w:b/>
        </w:rPr>
        <w:t>words:</w:t>
      </w:r>
      <w:r>
        <w:t>Oral</w:t>
      </w:r>
      <w:proofErr w:type="spellEnd"/>
      <w:proofErr w:type="gramEnd"/>
      <w:r>
        <w:t xml:space="preserve"> submucous </w:t>
      </w:r>
      <w:proofErr w:type="spellStart"/>
      <w:r>
        <w:t>fibrosis,fibroblast,trismus,molecular</w:t>
      </w:r>
      <w:proofErr w:type="spellEnd"/>
      <w:r>
        <w:t xml:space="preserve"> gene</w:t>
      </w:r>
    </w:p>
    <w:p w:rsidR="00A80E00" w:rsidRDefault="00A80E00"/>
    <w:p w:rsidR="00A80E00" w:rsidRDefault="00BF250B">
      <w:pPr>
        <w:rPr>
          <w:szCs w:val="24"/>
        </w:rPr>
      </w:pPr>
      <w:r>
        <w:rPr>
          <w:rFonts w:eastAsia="Calibri"/>
          <w:b/>
          <w:szCs w:val="24"/>
        </w:rPr>
        <w:t>Introduction</w:t>
      </w:r>
      <w:r>
        <w:rPr>
          <w:rFonts w:ascii="Calibri" w:eastAsia="Calibri" w:hAnsi="Calibri" w:cs="Calibri"/>
          <w:b/>
          <w:szCs w:val="24"/>
        </w:rPr>
        <w:t>:</w:t>
      </w:r>
    </w:p>
    <w:p w:rsidR="00A80E00" w:rsidRDefault="00BF250B">
      <w:r>
        <w:t>Oral submucous fibrosis (OSMF) is a chronic, progressi</w:t>
      </w:r>
      <w:r>
        <w:t>ve disease affecting the oral mucosa, characterized by fibroelastic changes in the lamina propria and underlying connective tissues. It was first described by Schwartz in 1952, and the condition has since been recognized as one of the most significant oral</w:t>
      </w:r>
      <w:r>
        <w:t xml:space="preserve"> potentially malignant disorders (OPMDs) due to its irreversible nature and high risk of malignant transformation</w:t>
      </w:r>
      <w:r>
        <w:rPr>
          <w:vertAlign w:val="superscript"/>
        </w:rPr>
        <w:t>[</w:t>
      </w:r>
      <w:proofErr w:type="gramStart"/>
      <w:r>
        <w:t>¹</w:t>
      </w:r>
      <w:r>
        <w:rPr>
          <w:vertAlign w:val="superscript"/>
        </w:rPr>
        <w:t>,</w:t>
      </w:r>
      <w:r>
        <w:t>²</w:t>
      </w:r>
      <w:proofErr w:type="gramEnd"/>
      <w:r>
        <w:rPr>
          <w:vertAlign w:val="superscript"/>
        </w:rPr>
        <w:t>]</w:t>
      </w:r>
      <w:r>
        <w:t>.According to the World Health Organization, OSMF is a potentially malignant disorder with an estimated malignant transformation rate rang</w:t>
      </w:r>
      <w:r>
        <w:t>ing between 7% and 13%, highlighting its significance for oral healthcare professionals</w:t>
      </w:r>
      <w:r>
        <w:rPr>
          <w:vertAlign w:val="superscript"/>
        </w:rPr>
        <w:t>[</w:t>
      </w:r>
      <w:r>
        <w:t>²</w:t>
      </w:r>
      <w:r>
        <w:rPr>
          <w:vertAlign w:val="superscript"/>
        </w:rPr>
        <w:t>,</w:t>
      </w:r>
      <w:r>
        <w:t>³</w:t>
      </w:r>
      <w:r>
        <w:rPr>
          <w:vertAlign w:val="superscript"/>
        </w:rPr>
        <w:t>]</w:t>
      </w:r>
      <w:r>
        <w:t>.</w:t>
      </w:r>
    </w:p>
    <w:p w:rsidR="00A80E00" w:rsidRDefault="00BF250B">
      <w:pPr>
        <w:spacing w:after="314"/>
        <w:ind w:left="-5" w:right="45"/>
      </w:pPr>
      <w:r>
        <w:t xml:space="preserve">Although the disease has been reported globally, its prevalence is disproportionately higher in Southeast Asia, particularly in India, Taiwan, and other regions </w:t>
      </w:r>
      <w:r>
        <w:t>where the use of areca nut, betel quid, and associated products is widespread</w:t>
      </w:r>
      <w:r>
        <w:rPr>
          <w:vertAlign w:val="superscript"/>
        </w:rPr>
        <w:t>[</w:t>
      </w:r>
      <w:r>
        <w:t>³</w:t>
      </w:r>
      <w:r>
        <w:rPr>
          <w:vertAlign w:val="superscript"/>
        </w:rPr>
        <w:t>,</w:t>
      </w:r>
      <w:r>
        <w:t>⁴</w:t>
      </w:r>
      <w:r>
        <w:rPr>
          <w:vertAlign w:val="superscript"/>
        </w:rPr>
        <w:t>]</w:t>
      </w:r>
      <w:r>
        <w:t>.Additional contributory factors include chronic consumption of chilies, nutritional deficiencies(particularly iron and vitamins), low socioeconomic status, and immunological</w:t>
      </w:r>
      <w:r>
        <w:t xml:space="preserve"> alterations, all of which significantly influence disease susceptibility</w:t>
      </w:r>
      <w:r>
        <w:rPr>
          <w:vertAlign w:val="superscript"/>
        </w:rPr>
        <w:t>[</w:t>
      </w:r>
      <w:r>
        <w:t>⁴</w:t>
      </w:r>
      <w:r>
        <w:rPr>
          <w:vertAlign w:val="superscript"/>
        </w:rPr>
        <w:t>,</w:t>
      </w:r>
      <w:r>
        <w:t>⁵</w:t>
      </w:r>
      <w:r>
        <w:rPr>
          <w:vertAlign w:val="superscript"/>
        </w:rPr>
        <w:t>]</w:t>
      </w:r>
      <w:r>
        <w:t>.Genetic predisposition has also been implicated, with studies demonstrating associations between specific genetic polymorphisms,</w:t>
      </w:r>
      <w:r>
        <w:rPr>
          <w:lang w:val="en-US"/>
        </w:rPr>
        <w:t>human leukocyte antigen (</w:t>
      </w:r>
      <w:r>
        <w:t>HLA</w:t>
      </w:r>
      <w:r>
        <w:rPr>
          <w:lang w:val="en-US"/>
        </w:rPr>
        <w:t>)</w:t>
      </w:r>
      <w:r>
        <w:t>markers, and disease</w:t>
      </w:r>
      <w:r>
        <w:t xml:space="preserve"> severity. More recently, molecular and genomic studies have provided deeper insights into the pathogenesis, revealing the role of cytokine imbalance, </w:t>
      </w:r>
      <w:r>
        <w:lastRenderedPageBreak/>
        <w:t>growth factor dysregulation, matrix metalloproteinase (MMP) inhibition, and epigenetic modifications in d</w:t>
      </w:r>
      <w:r>
        <w:t>riving the persistent fibrotic response</w:t>
      </w:r>
      <w:r>
        <w:rPr>
          <w:vertAlign w:val="superscript"/>
        </w:rPr>
        <w:t>[</w:t>
      </w:r>
      <w:proofErr w:type="gramStart"/>
      <w:r>
        <w:t>⁵</w:t>
      </w:r>
      <w:r>
        <w:rPr>
          <w:vertAlign w:val="superscript"/>
        </w:rPr>
        <w:t>,</w:t>
      </w:r>
      <w:r>
        <w:t>⁶</w:t>
      </w:r>
      <w:proofErr w:type="gramEnd"/>
      <w:r>
        <w:rPr>
          <w:vertAlign w:val="superscript"/>
        </w:rPr>
        <w:t>]</w:t>
      </w:r>
      <w:r>
        <w:t>.</w:t>
      </w:r>
    </w:p>
    <w:p w:rsidR="00A80E00" w:rsidRDefault="00BF250B">
      <w:pPr>
        <w:spacing w:after="290"/>
        <w:ind w:left="-5" w:right="45"/>
      </w:pPr>
      <w:r>
        <w:t>In advanced stages, patients develop</w:t>
      </w:r>
      <w:r>
        <w:rPr>
          <w:lang w:val="en-US"/>
        </w:rPr>
        <w:t xml:space="preserve"> </w:t>
      </w:r>
      <w:r>
        <w:t xml:space="preserve">rigidity of the buccal </w:t>
      </w:r>
      <w:proofErr w:type="gramStart"/>
      <w:r>
        <w:t>mucosa</w:t>
      </w:r>
      <w:r>
        <w:rPr>
          <w:lang w:val="en-US"/>
        </w:rPr>
        <w:t>,</w:t>
      </w:r>
      <w:r>
        <w:t>progressive</w:t>
      </w:r>
      <w:proofErr w:type="gramEnd"/>
      <w:r>
        <w:t xml:space="preserve"> restriction in mouth opening</w:t>
      </w:r>
      <w:r>
        <w:rPr>
          <w:lang w:val="en-US"/>
        </w:rPr>
        <w:t>,</w:t>
      </w:r>
      <w:r>
        <w:t xml:space="preserve"> difficulty in tongue protrusion</w:t>
      </w:r>
      <w:r>
        <w:rPr>
          <w:lang w:val="en-US"/>
        </w:rPr>
        <w:t xml:space="preserve"> and </w:t>
      </w:r>
      <w:r>
        <w:t xml:space="preserve">severely </w:t>
      </w:r>
      <w:proofErr w:type="spellStart"/>
      <w:r>
        <w:t>compromi</w:t>
      </w:r>
      <w:proofErr w:type="spellEnd"/>
      <w:r>
        <w:rPr>
          <w:lang w:val="en-US"/>
        </w:rPr>
        <w:t>sed</w:t>
      </w:r>
      <w:r>
        <w:t xml:space="preserve"> mastication, speech, and oral hygiene. OSMF </w:t>
      </w:r>
      <w:r>
        <w:t>at these stages results in profound functional disability, impacting nutritional status, psychological health, and overall quality of life. The potential for malignant transformation into oral squamous cell carcinoma further exacerbates the clinical burden</w:t>
      </w:r>
      <w:r>
        <w:t>, making early diagnosis and effective management critical</w:t>
      </w:r>
      <w:r>
        <w:rPr>
          <w:vertAlign w:val="superscript"/>
        </w:rPr>
        <w:t>[</w:t>
      </w:r>
      <w:proofErr w:type="gramStart"/>
      <w:r>
        <w:t>⁶</w:t>
      </w:r>
      <w:r>
        <w:rPr>
          <w:vertAlign w:val="superscript"/>
        </w:rPr>
        <w:t>,</w:t>
      </w:r>
      <w:r>
        <w:t>⁷</w:t>
      </w:r>
      <w:proofErr w:type="gramEnd"/>
      <w:r>
        <w:rPr>
          <w:vertAlign w:val="superscript"/>
        </w:rPr>
        <w:t>]</w:t>
      </w:r>
      <w:r>
        <w:t>.</w:t>
      </w:r>
    </w:p>
    <w:p w:rsidR="00A80E00" w:rsidRDefault="00BF250B">
      <w:pPr>
        <w:spacing w:after="327"/>
        <w:ind w:left="-5" w:right="45"/>
      </w:pPr>
      <w:r>
        <w:t xml:space="preserve">Management of OSMF remains challenging, with conventional approaches focusing on habit cessation, nutritional supplementation, and pharmacological agents such as corticosteroids, </w:t>
      </w:r>
      <w:r>
        <w:t>antioxidants, immunomodulators, and antifibrotics. Advanced cases may require surgical release of fibrous bands and physiotherapy; however, outcomes are often unsatisfactory due to the disease’s progressiveness and recurrent nature</w:t>
      </w:r>
      <w:r>
        <w:rPr>
          <w:vertAlign w:val="superscript"/>
        </w:rPr>
        <w:t>[</w:t>
      </w:r>
      <w:proofErr w:type="gramStart"/>
      <w:r>
        <w:t>⁷</w:t>
      </w:r>
      <w:r>
        <w:rPr>
          <w:vertAlign w:val="superscript"/>
        </w:rPr>
        <w:t>,</w:t>
      </w:r>
      <w:r>
        <w:t>⁸</w:t>
      </w:r>
      <w:proofErr w:type="gramEnd"/>
      <w:r>
        <w:rPr>
          <w:vertAlign w:val="superscript"/>
        </w:rPr>
        <w:t>]</w:t>
      </w:r>
      <w:r>
        <w:t>.</w:t>
      </w:r>
    </w:p>
    <w:p w:rsidR="00A80E00" w:rsidRDefault="00BF250B">
      <w:pPr>
        <w:rPr>
          <w:b/>
          <w:bCs/>
        </w:rPr>
      </w:pPr>
      <w:r>
        <w:rPr>
          <w:b/>
          <w:bCs/>
        </w:rPr>
        <w:t>Epidemiology:</w:t>
      </w:r>
    </w:p>
    <w:p w:rsidR="00A80E00" w:rsidRDefault="00BF250B">
      <w:r>
        <w:t>This</w:t>
      </w:r>
      <w:r>
        <w:t xml:space="preserve"> disease is strongly associated with habitual areca nut consumption, either alone or combined</w:t>
      </w:r>
      <w:r>
        <w:rPr>
          <w:lang w:val="en-US"/>
        </w:rPr>
        <w:t xml:space="preserve"> with </w:t>
      </w:r>
      <w:r>
        <w:t xml:space="preserve">slaked </w:t>
      </w:r>
      <w:proofErr w:type="gramStart"/>
      <w:r>
        <w:t>lime</w:t>
      </w:r>
      <w:r>
        <w:rPr>
          <w:vertAlign w:val="superscript"/>
        </w:rPr>
        <w:t>[</w:t>
      </w:r>
      <w:proofErr w:type="gramEnd"/>
      <w:r>
        <w:rPr>
          <w:vertAlign w:val="superscript"/>
        </w:rPr>
        <w:t>6,9]</w:t>
      </w:r>
      <w:r>
        <w:t>. OSMF prevalence varies across different regions, with reported rates ranging from 0.2% to 2.3% in the general</w:t>
      </w:r>
      <w:r>
        <w:rPr>
          <w:lang w:val="en-US"/>
        </w:rPr>
        <w:t xml:space="preserve"> p</w:t>
      </w:r>
      <w:proofErr w:type="spellStart"/>
      <w:r>
        <w:t>opulation</w:t>
      </w:r>
      <w:proofErr w:type="spellEnd"/>
      <w:r>
        <w:rPr>
          <w:lang w:val="en-US"/>
        </w:rPr>
        <w:t xml:space="preserve"> </w:t>
      </w:r>
      <w:r>
        <w:rPr>
          <w:vertAlign w:val="superscript"/>
        </w:rPr>
        <w:t>[9,1</w:t>
      </w:r>
      <w:r>
        <w:rPr>
          <w:vertAlign w:val="superscript"/>
          <w:lang w:val="en-US"/>
        </w:rPr>
        <w:t>0</w:t>
      </w:r>
      <w:r>
        <w:rPr>
          <w:vertAlign w:val="superscript"/>
        </w:rPr>
        <w:t>]</w:t>
      </w:r>
      <w:r>
        <w:t>. It is most</w:t>
      </w:r>
      <w:r>
        <w:t xml:space="preserve"> frequently diagnosed in young adults between 20 and 40 years, likely due</w:t>
      </w:r>
      <w:r>
        <w:rPr>
          <w:lang w:val="en-US"/>
        </w:rPr>
        <w:t xml:space="preserve"> to</w:t>
      </w:r>
      <w:r>
        <w:t xml:space="preserve"> increased exposure to</w:t>
      </w:r>
      <w:r>
        <w:rPr>
          <w:lang w:val="en-US"/>
        </w:rPr>
        <w:t xml:space="preserve"> the</w:t>
      </w:r>
      <w:r>
        <w:t xml:space="preserve"> risk </w:t>
      </w:r>
      <w:proofErr w:type="gramStart"/>
      <w:r>
        <w:t>factors</w:t>
      </w:r>
      <w:r>
        <w:rPr>
          <w:vertAlign w:val="superscript"/>
        </w:rPr>
        <w:t>[</w:t>
      </w:r>
      <w:proofErr w:type="gramEnd"/>
      <w:r>
        <w:rPr>
          <w:vertAlign w:val="superscript"/>
        </w:rPr>
        <w:t>9,12]</w:t>
      </w:r>
      <w:r>
        <w:t xml:space="preserve">. Males are affected more commonly than females, likely due to differences in the frequency and intensity of areca nut </w:t>
      </w:r>
      <w:proofErr w:type="spellStart"/>
      <w:r>
        <w:t>chewin</w:t>
      </w:r>
      <w:proofErr w:type="spellEnd"/>
      <w:r>
        <w:rPr>
          <w:lang w:val="en-US"/>
        </w:rPr>
        <w:t xml:space="preserve">g </w:t>
      </w:r>
      <w:r>
        <w:rPr>
          <w:vertAlign w:val="superscript"/>
        </w:rPr>
        <w:t>[6,11]</w:t>
      </w:r>
      <w:r>
        <w:t>.</w:t>
      </w:r>
    </w:p>
    <w:p w:rsidR="00A80E00" w:rsidRDefault="00BF250B">
      <w:pPr>
        <w:spacing w:after="284"/>
        <w:ind w:left="-5" w:right="45"/>
      </w:pPr>
      <w:r>
        <w:t xml:space="preserve">Epidemiological studies indicate that the prevalence in India alone varies from 0.2% to 2.3%, highlighting the impact of cultural, social, lifestyle and </w:t>
      </w:r>
      <w:proofErr w:type="spellStart"/>
      <w:r>
        <w:t>enviorinmental</w:t>
      </w:r>
      <w:proofErr w:type="spellEnd"/>
      <w:r>
        <w:t xml:space="preserve"> factors on disease distribution</w:t>
      </w:r>
      <w:r>
        <w:rPr>
          <w:lang w:val="en-US"/>
        </w:rPr>
        <w:t xml:space="preserve"> </w:t>
      </w:r>
      <w:r>
        <w:rPr>
          <w:vertAlign w:val="superscript"/>
        </w:rPr>
        <w:t>[3,9]</w:t>
      </w:r>
      <w:r>
        <w:t>. Socioeconomic factors play a crucial role in OSMF</w:t>
      </w:r>
      <w:r>
        <w:t xml:space="preserve"> epidemiology, as the condition is more prevalent among individuals from lower-income groups who often have limited access to nutritional foods and healthcare</w:t>
      </w:r>
      <w:r>
        <w:rPr>
          <w:lang w:val="en-US"/>
        </w:rPr>
        <w:t xml:space="preserve"> </w:t>
      </w:r>
      <w:r>
        <w:t>services</w:t>
      </w:r>
      <w:r>
        <w:rPr>
          <w:lang w:val="en-US"/>
        </w:rPr>
        <w:t xml:space="preserve"> </w:t>
      </w:r>
      <w:r>
        <w:rPr>
          <w:vertAlign w:val="superscript"/>
        </w:rPr>
        <w:t>[3,11]</w:t>
      </w:r>
      <w:r>
        <w:t>. Nutritional deficiencies, particularly</w:t>
      </w:r>
      <w:r>
        <w:rPr>
          <w:lang w:val="en-US"/>
        </w:rPr>
        <w:t xml:space="preserve"> those</w:t>
      </w:r>
      <w:r>
        <w:t xml:space="preserve"> of iron, folate, and vitamins such as</w:t>
      </w:r>
      <w:r>
        <w:rPr>
          <w:lang w:val="en-US"/>
        </w:rPr>
        <w:t xml:space="preserve"> Vitamin</w:t>
      </w:r>
      <w:r>
        <w:t xml:space="preserve"> B-complex and vitamin C, are common in these populations and contribute to epithelial atrophy, reduced collagen turnover, and increased susceptibility to fibrosis</w:t>
      </w:r>
      <w:r>
        <w:rPr>
          <w:lang w:val="en-US"/>
        </w:rPr>
        <w:t xml:space="preserve"> </w:t>
      </w:r>
      <w:r>
        <w:rPr>
          <w:vertAlign w:val="superscript"/>
        </w:rPr>
        <w:t>[6,9]</w:t>
      </w:r>
      <w:r>
        <w:t xml:space="preserve">. Environmental and </w:t>
      </w:r>
      <w:proofErr w:type="spellStart"/>
      <w:r>
        <w:t>behavioral</w:t>
      </w:r>
      <w:proofErr w:type="spellEnd"/>
      <w:r>
        <w:t xml:space="preserve"> factors, i</w:t>
      </w:r>
      <w:r>
        <w:t>ncluding the use of tobacco, spicy foods, and processed areca nut products, further exacerbate the risk and severity of OSMF</w:t>
      </w:r>
      <w:r>
        <w:rPr>
          <w:lang w:val="en-US"/>
        </w:rPr>
        <w:t xml:space="preserve"> </w:t>
      </w:r>
      <w:r>
        <w:rPr>
          <w:vertAlign w:val="superscript"/>
        </w:rPr>
        <w:t>[9,11]</w:t>
      </w:r>
      <w:r>
        <w:t>.</w:t>
      </w:r>
    </w:p>
    <w:p w:rsidR="00A80E00" w:rsidRDefault="00BF250B">
      <w:pPr>
        <w:spacing w:after="299"/>
        <w:ind w:left="-5" w:right="45"/>
      </w:pPr>
      <w:r>
        <w:t>The disease has also been reported in immigrant populations from South Asia, highlighting the influence of cultural practic</w:t>
      </w:r>
      <w:r>
        <w:t>es and lifestyle choices on its prevalence</w:t>
      </w:r>
      <w:r>
        <w:rPr>
          <w:lang w:val="en-US"/>
        </w:rPr>
        <w:t xml:space="preserve"> </w:t>
      </w:r>
      <w:r>
        <w:rPr>
          <w:vertAlign w:val="superscript"/>
        </w:rPr>
        <w:t>[6,11]</w:t>
      </w:r>
      <w:r>
        <w:t>. Genetic susceptibility is another important determinant, with certain</w:t>
      </w:r>
      <w:r>
        <w:rPr>
          <w:lang w:val="en-US"/>
        </w:rPr>
        <w:t xml:space="preserve"> </w:t>
      </w:r>
      <w:r>
        <w:t>HLA types and polymorphisms in genes regulating collagen synthesis and degradation influencing individual risk and disease progression</w:t>
      </w:r>
      <w:r>
        <w:rPr>
          <w:lang w:val="en-US"/>
        </w:rPr>
        <w:t xml:space="preserve"> </w:t>
      </w:r>
      <w:r>
        <w:rPr>
          <w:vertAlign w:val="superscript"/>
        </w:rPr>
        <w:t>[3,11]</w:t>
      </w:r>
      <w:r>
        <w:t>. Studies have suggested familial clustering in some regions, indicating that inherited factors may modulate the response to environmental triggers such as areca nut chewing</w:t>
      </w:r>
      <w:r>
        <w:rPr>
          <w:lang w:val="en-US"/>
        </w:rPr>
        <w:t xml:space="preserve"> </w:t>
      </w:r>
      <w:r>
        <w:rPr>
          <w:vertAlign w:val="superscript"/>
        </w:rPr>
        <w:t>[6,8]</w:t>
      </w:r>
      <w:r>
        <w:t>.</w:t>
      </w:r>
    </w:p>
    <w:p w:rsidR="00A80E00" w:rsidRDefault="00BF250B">
      <w:pPr>
        <w:ind w:left="-5" w:right="45"/>
      </w:pPr>
      <w:r>
        <w:t>The malignant potential of OSMF adds to its epidemiological significa</w:t>
      </w:r>
      <w:r>
        <w:t>nce, with reported malignant transformation rates ranging from 3% to 19%, depending on the duration and intensity of areca nut use as well as concurrent exposure to other tobacco substances</w:t>
      </w:r>
      <w:r>
        <w:rPr>
          <w:lang w:val="en-US"/>
        </w:rPr>
        <w:t xml:space="preserve"> </w:t>
      </w:r>
      <w:r>
        <w:rPr>
          <w:vertAlign w:val="superscript"/>
        </w:rPr>
        <w:t>[3,9]</w:t>
      </w:r>
      <w:r>
        <w:t>.</w:t>
      </w:r>
    </w:p>
    <w:p w:rsidR="00A80E00" w:rsidRDefault="00BF250B">
      <w:pPr>
        <w:spacing w:after="321"/>
        <w:ind w:left="-5" w:right="45"/>
      </w:pPr>
      <w:r>
        <w:t>Regional epidemiological surveys have highlighted higher pr</w:t>
      </w:r>
      <w:r>
        <w:t>evalence in specific communities, reflecting the combined effects of genetics, lifestyle, and socio-cultural habits</w:t>
      </w:r>
      <w:r>
        <w:rPr>
          <w:lang w:val="en-US"/>
        </w:rPr>
        <w:t xml:space="preserve"> </w:t>
      </w:r>
      <w:r>
        <w:rPr>
          <w:vertAlign w:val="superscript"/>
        </w:rPr>
        <w:t>[6,3]</w:t>
      </w:r>
      <w:r>
        <w:t xml:space="preserve">. OSMF represents a major challenge for oral healthcare systems due to its insidious onset, slow </w:t>
      </w:r>
      <w:r>
        <w:lastRenderedPageBreak/>
        <w:t>progression, and the difficulty of ear</w:t>
      </w:r>
      <w:r>
        <w:t>ly detection in at-risk populations</w:t>
      </w:r>
      <w:r>
        <w:rPr>
          <w:lang w:val="en-US"/>
        </w:rPr>
        <w:t xml:space="preserve"> </w:t>
      </w:r>
      <w:r>
        <w:rPr>
          <w:vertAlign w:val="superscript"/>
        </w:rPr>
        <w:t>[9,11]</w:t>
      </w:r>
      <w:r>
        <w:t xml:space="preserve">. Public health initiatives focusing on awareness campaigns, early screening, and </w:t>
      </w:r>
      <w:proofErr w:type="spellStart"/>
      <w:r>
        <w:t>behavior</w:t>
      </w:r>
      <w:proofErr w:type="spellEnd"/>
      <w:r>
        <w:t xml:space="preserve"> modification have been recommended to control the prevalence and lower the possibility of malignant transformation</w:t>
      </w:r>
      <w:r>
        <w:rPr>
          <w:lang w:val="en-US"/>
        </w:rPr>
        <w:t xml:space="preserve"> </w:t>
      </w:r>
      <w:r>
        <w:rPr>
          <w:vertAlign w:val="superscript"/>
        </w:rPr>
        <w:t>[6,8]</w:t>
      </w:r>
      <w:r>
        <w:t>.</w:t>
      </w:r>
    </w:p>
    <w:p w:rsidR="00A80E00" w:rsidRDefault="00BF250B">
      <w:pPr>
        <w:spacing w:after="321"/>
        <w:ind w:left="-5" w:right="45"/>
      </w:pPr>
      <w:r>
        <w:t>O</w:t>
      </w:r>
      <w:r>
        <w:t>verall, the epidemiology of OSMF demonstrates a complex interaction of environmental, nutritional, genetic, and cultural factors that drive its prevalence, distribution, and progression, emphasizing the need for comprehensive preventive and management stra</w:t>
      </w:r>
      <w:r>
        <w:t>tegies</w:t>
      </w:r>
      <w:r>
        <w:rPr>
          <w:lang w:val="en-US"/>
        </w:rPr>
        <w:t xml:space="preserve"> </w:t>
      </w:r>
      <w:r>
        <w:rPr>
          <w:vertAlign w:val="superscript"/>
        </w:rPr>
        <w:t>[3,11]</w:t>
      </w:r>
      <w:r>
        <w:t>.</w:t>
      </w:r>
    </w:p>
    <w:p w:rsidR="00A80E00" w:rsidRDefault="00BF250B">
      <w:pPr>
        <w:rPr>
          <w:b/>
          <w:bCs/>
        </w:rPr>
      </w:pPr>
      <w:proofErr w:type="spellStart"/>
      <w:r>
        <w:rPr>
          <w:b/>
          <w:bCs/>
        </w:rPr>
        <w:t>Etiology</w:t>
      </w:r>
      <w:proofErr w:type="spellEnd"/>
      <w:r>
        <w:rPr>
          <w:b/>
          <w:bCs/>
        </w:rPr>
        <w:t>:</w:t>
      </w:r>
    </w:p>
    <w:p w:rsidR="00A80E00" w:rsidRDefault="00BF250B">
      <w:r>
        <w:t>OS</w:t>
      </w:r>
      <w:r>
        <w:rPr>
          <w:lang w:val="en-US"/>
        </w:rPr>
        <w:t>M</w:t>
      </w:r>
      <w:r>
        <w:t>F</w:t>
      </w:r>
      <w:r>
        <w:rPr>
          <w:lang w:val="en-US"/>
        </w:rPr>
        <w:t xml:space="preserve"> </w:t>
      </w:r>
      <w:r>
        <w:t>develops due to a complex interplay between genetic susceptibility, habitual exposures, nutritional deficiencies, and environmental influences, leading to progressive fibrosis of the oral mucosa</w:t>
      </w:r>
      <w:r>
        <w:rPr>
          <w:vertAlign w:val="superscript"/>
        </w:rPr>
        <w:t>[</w:t>
      </w:r>
      <w:proofErr w:type="gramStart"/>
      <w:r>
        <w:t>¹</w:t>
      </w:r>
      <w:r>
        <w:rPr>
          <w:vertAlign w:val="superscript"/>
        </w:rPr>
        <w:t>,</w:t>
      </w:r>
      <w:r>
        <w:t>¹</w:t>
      </w:r>
      <w:proofErr w:type="gramEnd"/>
      <w:r>
        <w:t>⁰</w:t>
      </w:r>
      <w:r>
        <w:rPr>
          <w:vertAlign w:val="superscript"/>
        </w:rPr>
        <w:t>]</w:t>
      </w:r>
      <w:r>
        <w:t xml:space="preserve">. The </w:t>
      </w:r>
      <w:proofErr w:type="spellStart"/>
      <w:r>
        <w:t>etiology</w:t>
      </w:r>
      <w:proofErr w:type="spellEnd"/>
      <w:r>
        <w:t xml:space="preserve"> of OS</w:t>
      </w:r>
      <w:r>
        <w:rPr>
          <w:lang w:val="en-US"/>
        </w:rPr>
        <w:t>M</w:t>
      </w:r>
      <w:r>
        <w:t xml:space="preserve">F is </w:t>
      </w:r>
      <w:r>
        <w:t xml:space="preserve">multifactorial, with </w:t>
      </w:r>
      <w:proofErr w:type="spellStart"/>
      <w:r>
        <w:t>behavioral</w:t>
      </w:r>
      <w:proofErr w:type="spellEnd"/>
      <w:r>
        <w:t>, dietary, environmental, and molecular factors interacting to determine disease onset and severity</w:t>
      </w:r>
      <w:r>
        <w:rPr>
          <w:vertAlign w:val="superscript"/>
        </w:rPr>
        <w:t>[</w:t>
      </w:r>
      <w:proofErr w:type="gramStart"/>
      <w:r>
        <w:t>¹</w:t>
      </w:r>
      <w:r>
        <w:rPr>
          <w:vertAlign w:val="superscript"/>
        </w:rPr>
        <w:t>,</w:t>
      </w:r>
      <w:r>
        <w:t>³</w:t>
      </w:r>
      <w:proofErr w:type="gramEnd"/>
      <w:r>
        <w:rPr>
          <w:vertAlign w:val="superscript"/>
        </w:rPr>
        <w:t>]</w:t>
      </w:r>
      <w:r>
        <w:t xml:space="preserve">. Areca nut consumption remains the most significant risk factor, </w:t>
      </w:r>
      <w:r>
        <w:rPr>
          <w:lang w:val="en-US"/>
        </w:rPr>
        <w:t>A</w:t>
      </w:r>
      <w:proofErr w:type="spellStart"/>
      <w:r>
        <w:t>lkaloids</w:t>
      </w:r>
      <w:proofErr w:type="spellEnd"/>
      <w:r>
        <w:t xml:space="preserve"> </w:t>
      </w:r>
      <w:r>
        <w:rPr>
          <w:lang w:val="en-US"/>
        </w:rPr>
        <w:t>in the areca nut namely</w:t>
      </w:r>
      <w:r>
        <w:t xml:space="preserve"> </w:t>
      </w:r>
      <w:proofErr w:type="gramStart"/>
      <w:r>
        <w:t>arecoline</w:t>
      </w:r>
      <w:r>
        <w:rPr>
          <w:lang w:val="en-US"/>
        </w:rPr>
        <w:t>,</w:t>
      </w:r>
      <w:proofErr w:type="spellStart"/>
      <w:r>
        <w:rPr>
          <w:lang w:val="en-US"/>
        </w:rPr>
        <w:t>arecaidine</w:t>
      </w:r>
      <w:proofErr w:type="spellEnd"/>
      <w:proofErr w:type="gramEnd"/>
      <w:r>
        <w:t xml:space="preserve"> </w:t>
      </w:r>
      <w:r>
        <w:t xml:space="preserve">and </w:t>
      </w:r>
      <w:proofErr w:type="spellStart"/>
      <w:r>
        <w:t>guvacine</w:t>
      </w:r>
      <w:proofErr w:type="spellEnd"/>
      <w:r>
        <w:t xml:space="preserve"> stimulate fibroblast proliferation and enhance collagen synthesis while simultaneously inhibiting collagen degradation</w:t>
      </w:r>
      <w:r>
        <w:rPr>
          <w:vertAlign w:val="superscript"/>
        </w:rPr>
        <w:t>[</w:t>
      </w:r>
      <w:r>
        <w:t>³</w:t>
      </w:r>
      <w:r>
        <w:rPr>
          <w:vertAlign w:val="superscript"/>
        </w:rPr>
        <w:t>,</w:t>
      </w:r>
      <w:r>
        <w:t>¹²</w:t>
      </w:r>
      <w:r>
        <w:rPr>
          <w:vertAlign w:val="superscript"/>
        </w:rPr>
        <w:t>]</w:t>
      </w:r>
      <w:r>
        <w:t>. The inclusion of slaked lime and betel quid further increases mucosal irritation and oxidative stress, accelerating f</w:t>
      </w:r>
      <w:r>
        <w:t>ibrotic changes</w:t>
      </w:r>
      <w:r>
        <w:rPr>
          <w:vertAlign w:val="superscript"/>
        </w:rPr>
        <w:t>[</w:t>
      </w:r>
      <w:r>
        <w:t>¹</w:t>
      </w:r>
      <w:proofErr w:type="gramStart"/>
      <w:r>
        <w:t>⁰</w:t>
      </w:r>
      <w:r>
        <w:rPr>
          <w:vertAlign w:val="superscript"/>
        </w:rPr>
        <w:t>,</w:t>
      </w:r>
      <w:r>
        <w:t>¹</w:t>
      </w:r>
      <w:proofErr w:type="gramEnd"/>
      <w:r>
        <w:t>³</w:t>
      </w:r>
      <w:r>
        <w:rPr>
          <w:vertAlign w:val="superscript"/>
        </w:rPr>
        <w:t>]</w:t>
      </w:r>
      <w:r>
        <w:t>. Other additives, such as catechu and spices, may contribute to chronic irritation and persistent inflammation</w:t>
      </w:r>
      <w:r>
        <w:rPr>
          <w:vertAlign w:val="superscript"/>
        </w:rPr>
        <w:t>[</w:t>
      </w:r>
      <w:proofErr w:type="gramStart"/>
      <w:r>
        <w:t>⁹</w:t>
      </w:r>
      <w:r>
        <w:rPr>
          <w:vertAlign w:val="superscript"/>
        </w:rPr>
        <w:t>,</w:t>
      </w:r>
      <w:r>
        <w:t>¹</w:t>
      </w:r>
      <w:proofErr w:type="gramEnd"/>
      <w:r>
        <w:t>¹</w:t>
      </w:r>
      <w:r>
        <w:rPr>
          <w:vertAlign w:val="superscript"/>
        </w:rPr>
        <w:t>]</w:t>
      </w:r>
      <w:r>
        <w:t>.</w:t>
      </w:r>
    </w:p>
    <w:p w:rsidR="00A80E00" w:rsidRDefault="00BF250B">
      <w:pPr>
        <w:spacing w:after="891"/>
        <w:ind w:left="-5" w:right="45"/>
      </w:pPr>
      <w:r>
        <w:t xml:space="preserve">Trace elements, particularly copper, act as cofactors for </w:t>
      </w:r>
      <w:proofErr w:type="spellStart"/>
      <w:r>
        <w:t>lysyl</w:t>
      </w:r>
      <w:proofErr w:type="spellEnd"/>
      <w:r>
        <w:t xml:space="preserve"> oxidase, promoting cross</w:t>
      </w:r>
      <w:r>
        <w:rPr>
          <w:lang w:val="en-US"/>
        </w:rPr>
        <w:t>-</w:t>
      </w:r>
      <w:r>
        <w:t xml:space="preserve">linking of elastin </w:t>
      </w:r>
      <w:proofErr w:type="spellStart"/>
      <w:r>
        <w:t>fibers</w:t>
      </w:r>
      <w:proofErr w:type="spellEnd"/>
      <w:r>
        <w:t xml:space="preserve"> </w:t>
      </w:r>
      <w:r>
        <w:t>and collagen, resulting in dense, insoluble extracellular matrix accumulation</w:t>
      </w:r>
      <w:r>
        <w:rPr>
          <w:vertAlign w:val="superscript"/>
        </w:rPr>
        <w:t>[</w:t>
      </w:r>
      <w:proofErr w:type="gramStart"/>
      <w:r>
        <w:t>¹</w:t>
      </w:r>
      <w:r>
        <w:rPr>
          <w:vertAlign w:val="superscript"/>
        </w:rPr>
        <w:t>,</w:t>
      </w:r>
      <w:r>
        <w:t>¹</w:t>
      </w:r>
      <w:proofErr w:type="gramEnd"/>
      <w:r>
        <w:t>²</w:t>
      </w:r>
      <w:r>
        <w:rPr>
          <w:vertAlign w:val="superscript"/>
        </w:rPr>
        <w:t>]</w:t>
      </w:r>
      <w:r>
        <w:t xml:space="preserve">. Nutritional deficiencies, especially iron, folate, and </w:t>
      </w:r>
      <w:r>
        <w:rPr>
          <w:lang w:val="en-US"/>
        </w:rPr>
        <w:t>V</w:t>
      </w:r>
      <w:proofErr w:type="spellStart"/>
      <w:r>
        <w:t>itamin</w:t>
      </w:r>
      <w:proofErr w:type="spellEnd"/>
      <w:r>
        <w:t xml:space="preserve"> B</w:t>
      </w:r>
      <w:r>
        <w:rPr>
          <w:lang w:val="en-US"/>
        </w:rPr>
        <w:t>-complex</w:t>
      </w:r>
      <w:r>
        <w:t xml:space="preserve"> and </w:t>
      </w:r>
      <w:r>
        <w:rPr>
          <w:lang w:val="en-US"/>
        </w:rPr>
        <w:t>V</w:t>
      </w:r>
      <w:proofErr w:type="spellStart"/>
      <w:r>
        <w:t>itamin</w:t>
      </w:r>
      <w:proofErr w:type="spellEnd"/>
      <w:r>
        <w:t xml:space="preserve"> C, impair epithelial integrity, reduce antioxidant </w:t>
      </w:r>
      <w:proofErr w:type="spellStart"/>
      <w:r>
        <w:t>defenses</w:t>
      </w:r>
      <w:proofErr w:type="spellEnd"/>
      <w:r>
        <w:t>, and compromise collagen t</w:t>
      </w:r>
      <w:r>
        <w:t>urnover, making the oral mucosa more susceptible to fibrosis</w:t>
      </w:r>
      <w:r>
        <w:rPr>
          <w:vertAlign w:val="superscript"/>
        </w:rPr>
        <w:t>[</w:t>
      </w:r>
      <w:proofErr w:type="gramStart"/>
      <w:r>
        <w:t>³</w:t>
      </w:r>
      <w:r>
        <w:rPr>
          <w:vertAlign w:val="superscript"/>
        </w:rPr>
        <w:t>,</w:t>
      </w:r>
      <w:r>
        <w:t>¹</w:t>
      </w:r>
      <w:proofErr w:type="gramEnd"/>
      <w:r>
        <w:t>¹</w:t>
      </w:r>
      <w:r>
        <w:rPr>
          <w:vertAlign w:val="superscript"/>
        </w:rPr>
        <w:t>]</w:t>
      </w:r>
      <w:r>
        <w:t>. Protein-energy malnutrition and deficiencies in micronutrients further weakens the oral health</w:t>
      </w:r>
      <w:r>
        <w:rPr>
          <w:vertAlign w:val="superscript"/>
        </w:rPr>
        <w:t>[</w:t>
      </w:r>
      <w:proofErr w:type="gramStart"/>
      <w:r>
        <w:t>⁹</w:t>
      </w:r>
      <w:r>
        <w:rPr>
          <w:vertAlign w:val="superscript"/>
        </w:rPr>
        <w:t>,</w:t>
      </w:r>
      <w:r>
        <w:t>¹</w:t>
      </w:r>
      <w:proofErr w:type="gramEnd"/>
      <w:r>
        <w:t>²</w:t>
      </w:r>
      <w:r>
        <w:rPr>
          <w:vertAlign w:val="superscript"/>
        </w:rPr>
        <w:t>]</w:t>
      </w:r>
      <w:r>
        <w:t>. Genetic predisposition significantly influences susceptibility and severity, as specif</w:t>
      </w:r>
      <w:r>
        <w:t>ic</w:t>
      </w:r>
      <w:r>
        <w:rPr>
          <w:lang w:val="en-US"/>
        </w:rPr>
        <w:t xml:space="preserve"> </w:t>
      </w:r>
      <w:r>
        <w:t>HLA alleles and polymorphisms in collagen-regulating genes affect fibroblast activity and extracellular matrix deposition</w:t>
      </w:r>
      <w:r>
        <w:rPr>
          <w:vertAlign w:val="superscript"/>
        </w:rPr>
        <w:t>[</w:t>
      </w:r>
      <w:r>
        <w:t>¹</w:t>
      </w:r>
      <w:proofErr w:type="gramStart"/>
      <w:r>
        <w:t>⁰</w:t>
      </w:r>
      <w:r>
        <w:rPr>
          <w:vertAlign w:val="superscript"/>
        </w:rPr>
        <w:t>,</w:t>
      </w:r>
      <w:r>
        <w:t>¹</w:t>
      </w:r>
      <w:proofErr w:type="gramEnd"/>
      <w:r>
        <w:t>³</w:t>
      </w:r>
      <w:r>
        <w:rPr>
          <w:vertAlign w:val="superscript"/>
        </w:rPr>
        <w:t>]</w:t>
      </w:r>
      <w:r>
        <w:t xml:space="preserve">. Familial clustering of </w:t>
      </w:r>
      <w:r>
        <w:rPr>
          <w:lang w:val="en-US"/>
        </w:rPr>
        <w:t>OSMF</w:t>
      </w:r>
      <w:r>
        <w:t xml:space="preserve"> cases in certain populations suggests a hereditary component</w:t>
      </w:r>
      <w:r>
        <w:rPr>
          <w:lang w:val="en-US"/>
        </w:rPr>
        <w:t xml:space="preserve"> </w:t>
      </w:r>
      <w:r>
        <w:rPr>
          <w:vertAlign w:val="superscript"/>
        </w:rPr>
        <w:t>[</w:t>
      </w:r>
      <w:r>
        <w:t>¹</w:t>
      </w:r>
      <w:r>
        <w:rPr>
          <w:vertAlign w:val="superscript"/>
        </w:rPr>
        <w:t>.</w:t>
      </w:r>
      <w:r>
        <w:t>⁹</w:t>
      </w:r>
      <w:r>
        <w:rPr>
          <w:vertAlign w:val="superscript"/>
        </w:rPr>
        <w:t>]</w:t>
      </w:r>
      <w:r>
        <w:t>.</w:t>
      </w:r>
    </w:p>
    <w:p w:rsidR="00A80E00" w:rsidRDefault="00A80E00">
      <w:pPr>
        <w:spacing w:after="210" w:line="265" w:lineRule="auto"/>
        <w:ind w:left="0" w:right="0" w:firstLine="0"/>
        <w:jc w:val="left"/>
        <w:rPr>
          <w:b/>
          <w:sz w:val="28"/>
        </w:rPr>
      </w:pPr>
    </w:p>
    <w:p w:rsidR="00A80E00" w:rsidRDefault="00A80E00">
      <w:pPr>
        <w:rPr>
          <w:b/>
          <w:bCs/>
        </w:rPr>
      </w:pPr>
    </w:p>
    <w:p w:rsidR="00A80E00" w:rsidRDefault="00A80E00">
      <w:pPr>
        <w:rPr>
          <w:b/>
          <w:bCs/>
        </w:rPr>
      </w:pPr>
    </w:p>
    <w:p w:rsidR="00A80E00" w:rsidRDefault="00A80E00">
      <w:pPr>
        <w:rPr>
          <w:b/>
          <w:bCs/>
        </w:rPr>
      </w:pPr>
    </w:p>
    <w:p w:rsidR="00A80E00" w:rsidRDefault="00A80E00">
      <w:pPr>
        <w:rPr>
          <w:b/>
          <w:bCs/>
        </w:rPr>
      </w:pPr>
    </w:p>
    <w:p w:rsidR="00A80E00" w:rsidRDefault="00A80E00">
      <w:pPr>
        <w:rPr>
          <w:b/>
          <w:bCs/>
        </w:rPr>
      </w:pPr>
    </w:p>
    <w:p w:rsidR="00A80E00" w:rsidRDefault="00A80E00">
      <w:pPr>
        <w:rPr>
          <w:b/>
          <w:bCs/>
        </w:rPr>
      </w:pPr>
    </w:p>
    <w:p w:rsidR="00A80E00" w:rsidRDefault="00A80E00">
      <w:pPr>
        <w:rPr>
          <w:b/>
          <w:bCs/>
        </w:rPr>
      </w:pPr>
    </w:p>
    <w:p w:rsidR="00A80E00" w:rsidRDefault="00A80E00">
      <w:pPr>
        <w:rPr>
          <w:b/>
          <w:bCs/>
        </w:rPr>
      </w:pPr>
    </w:p>
    <w:p w:rsidR="00A80E00" w:rsidRDefault="00A80E00">
      <w:pPr>
        <w:rPr>
          <w:b/>
          <w:bCs/>
        </w:rPr>
      </w:pPr>
    </w:p>
    <w:p w:rsidR="00A80E00" w:rsidRDefault="00A80E00">
      <w:pPr>
        <w:rPr>
          <w:b/>
          <w:bCs/>
        </w:rPr>
      </w:pPr>
    </w:p>
    <w:p w:rsidR="00A80E00" w:rsidRDefault="00A80E00">
      <w:pPr>
        <w:rPr>
          <w:b/>
          <w:bCs/>
        </w:rPr>
      </w:pPr>
    </w:p>
    <w:p w:rsidR="00A80E00" w:rsidRDefault="00A80E00">
      <w:pPr>
        <w:rPr>
          <w:b/>
          <w:bCs/>
        </w:rPr>
      </w:pPr>
    </w:p>
    <w:p w:rsidR="00A80E00" w:rsidRDefault="00A80E00">
      <w:pPr>
        <w:rPr>
          <w:b/>
          <w:bCs/>
        </w:rPr>
      </w:pPr>
    </w:p>
    <w:p w:rsidR="00A80E00" w:rsidRDefault="00BF250B">
      <w:pPr>
        <w:rPr>
          <w:b/>
          <w:bCs/>
        </w:rPr>
      </w:pPr>
      <w:r>
        <w:rPr>
          <w:b/>
          <w:bCs/>
        </w:rPr>
        <w:t>Pathogenesis:</w:t>
      </w:r>
    </w:p>
    <w:p w:rsidR="00A80E00" w:rsidRDefault="00BF250B">
      <w:r>
        <w:lastRenderedPageBreak/>
        <w:t>The pathogenesis of OSMF is a complex, multifactorial process integrating biochemical, cellular, and molecular mechanisms, with areca nut chewing established as the primary causative factor</w:t>
      </w:r>
      <w:r>
        <w:rPr>
          <w:lang w:val="en-US"/>
        </w:rPr>
        <w:t xml:space="preserve"> </w:t>
      </w:r>
      <w:r>
        <w:rPr>
          <w:vertAlign w:val="superscript"/>
        </w:rPr>
        <w:t>[5,11]</w:t>
      </w:r>
      <w:r>
        <w:t>. The alkaloid arecoline, together with increased copper le</w:t>
      </w:r>
      <w:r>
        <w:t>vels from areca nuts, significantly stimulates fibroblasts, leading to enhanced collagen production</w:t>
      </w:r>
      <w:r>
        <w:rPr>
          <w:lang w:val="en-US"/>
        </w:rPr>
        <w:t xml:space="preserve"> </w:t>
      </w:r>
      <w:r>
        <w:rPr>
          <w:vertAlign w:val="superscript"/>
        </w:rPr>
        <w:t>[5,12]</w:t>
      </w:r>
      <w:r>
        <w:t xml:space="preserve">. Copper acts as a cofactor for </w:t>
      </w:r>
      <w:proofErr w:type="spellStart"/>
      <w:r>
        <w:t>lysyl</w:t>
      </w:r>
      <w:proofErr w:type="spellEnd"/>
      <w:r>
        <w:t xml:space="preserve"> oxidase, </w:t>
      </w:r>
      <w:proofErr w:type="spellStart"/>
      <w:r>
        <w:t>catalyzing</w:t>
      </w:r>
      <w:proofErr w:type="spellEnd"/>
      <w:r>
        <w:t xml:space="preserve"> collagen cross-linking, thereby stabilizing collagen </w:t>
      </w:r>
      <w:proofErr w:type="spellStart"/>
      <w:r>
        <w:t>fibers</w:t>
      </w:r>
      <w:proofErr w:type="spellEnd"/>
      <w:r>
        <w:t xml:space="preserve"> and making them resistant to deg</w:t>
      </w:r>
      <w:r>
        <w:t>radation</w:t>
      </w:r>
      <w:r>
        <w:rPr>
          <w:lang w:val="en-US"/>
        </w:rPr>
        <w:t xml:space="preserve"> </w:t>
      </w:r>
      <w:r>
        <w:rPr>
          <w:vertAlign w:val="superscript"/>
        </w:rPr>
        <w:t>[5,12]</w:t>
      </w:r>
      <w:r>
        <w:t xml:space="preserve">. Simultaneously, areca nut constituents and slaked lime produce Reactive Oxygen Species (ROS), resulting in oxidative damage to </w:t>
      </w:r>
      <w:proofErr w:type="spellStart"/>
      <w:r>
        <w:rPr>
          <w:lang w:val="en-US"/>
        </w:rPr>
        <w:t>Deoxyribo</w:t>
      </w:r>
      <w:proofErr w:type="spellEnd"/>
      <w:r>
        <w:rPr>
          <w:lang w:val="en-US"/>
        </w:rPr>
        <w:t xml:space="preserve"> Nucleic </w:t>
      </w:r>
      <w:proofErr w:type="gramStart"/>
      <w:r>
        <w:rPr>
          <w:lang w:val="en-US"/>
        </w:rPr>
        <w:t>Acid(</w:t>
      </w:r>
      <w:proofErr w:type="gramEnd"/>
      <w:r>
        <w:t>DNA</w:t>
      </w:r>
      <w:r>
        <w:rPr>
          <w:lang w:val="en-US"/>
        </w:rPr>
        <w:t>)</w:t>
      </w:r>
      <w:r>
        <w:t>, lipid peroxidation, and genomic instability, creating a pro-fibrotic and pre-malign</w:t>
      </w:r>
      <w:r>
        <w:t>ant tissue environment</w:t>
      </w:r>
      <w:r>
        <w:rPr>
          <w:lang w:val="en-US"/>
        </w:rPr>
        <w:t xml:space="preserve"> </w:t>
      </w:r>
      <w:r>
        <w:rPr>
          <w:vertAlign w:val="superscript"/>
        </w:rPr>
        <w:t>[5,14]</w:t>
      </w:r>
      <w:r>
        <w:t>.</w:t>
      </w:r>
    </w:p>
    <w:p w:rsidR="00A80E00" w:rsidRDefault="00BF250B">
      <w:pPr>
        <w:ind w:left="-5" w:right="45"/>
      </w:pPr>
      <w:r>
        <w:t>At the molecular level, upregulation of key cytokines such as Vascular Endothelial Growth</w:t>
      </w:r>
    </w:p>
    <w:p w:rsidR="00A80E00" w:rsidRDefault="00BF250B">
      <w:pPr>
        <w:spacing w:after="292"/>
        <w:ind w:left="-5" w:right="45"/>
      </w:pPr>
      <w:r>
        <w:t>Factor (VEGF), Transforming Growth Factor-beta (TGF-β), and Connective Tissue Growth Factor (CTGF) is central to disease progression</w:t>
      </w:r>
      <w:r>
        <w:rPr>
          <w:lang w:val="en-US"/>
        </w:rPr>
        <w:t xml:space="preserve"> </w:t>
      </w:r>
      <w:r>
        <w:rPr>
          <w:vertAlign w:val="superscript"/>
        </w:rPr>
        <w:t>[5</w:t>
      </w:r>
      <w:r>
        <w:rPr>
          <w:vertAlign w:val="superscript"/>
        </w:rPr>
        <w:t>,11]</w:t>
      </w:r>
      <w:r>
        <w:t>. TGF-β functions as a “master regulator” by stimulating fibroblast proliferation, promoting differentiation into myofibroblasts, and enhancing collagen synthesis, while downregulating matrix metalloproteinases (MMPs), thereby suppressing collagen degr</w:t>
      </w:r>
      <w:r>
        <w:t>adation</w:t>
      </w:r>
      <w:r>
        <w:rPr>
          <w:lang w:val="en-US"/>
        </w:rPr>
        <w:t xml:space="preserve"> </w:t>
      </w:r>
      <w:r>
        <w:rPr>
          <w:vertAlign w:val="superscript"/>
        </w:rPr>
        <w:t>[5,12]</w:t>
      </w:r>
      <w:r>
        <w:t>. This imbalance between synthesis and degradation contributes directly to fibrosis</w:t>
      </w:r>
      <w:r>
        <w:rPr>
          <w:lang w:val="en-US"/>
        </w:rPr>
        <w:t xml:space="preserve"> </w:t>
      </w:r>
      <w:r>
        <w:rPr>
          <w:vertAlign w:val="superscript"/>
        </w:rPr>
        <w:t>[5,14]</w:t>
      </w:r>
      <w:r>
        <w:t>.</w:t>
      </w:r>
    </w:p>
    <w:p w:rsidR="00A80E00" w:rsidRDefault="00BF250B">
      <w:pPr>
        <w:spacing w:after="289"/>
        <w:ind w:left="-5" w:right="45"/>
      </w:pPr>
      <w:r>
        <w:t xml:space="preserve">Recent studies have emphasized the importance of epigenetic mechanisms, including altered DNA methylation and dysregulated microRNA expression, which </w:t>
      </w:r>
      <w:r>
        <w:t xml:space="preserve">modulate </w:t>
      </w:r>
      <w:proofErr w:type="spellStart"/>
      <w:r>
        <w:t>fibrogenic</w:t>
      </w:r>
      <w:proofErr w:type="spellEnd"/>
      <w:r>
        <w:t xml:space="preserve"> pathways and sustain a chronic pro-fibrotic state even in the absence of continuous areca nut exposure</w:t>
      </w:r>
      <w:r>
        <w:rPr>
          <w:lang w:val="en-US"/>
        </w:rPr>
        <w:t xml:space="preserve"> </w:t>
      </w:r>
      <w:r>
        <w:rPr>
          <w:vertAlign w:val="superscript"/>
        </w:rPr>
        <w:t>[5,11]</w:t>
      </w:r>
      <w:r>
        <w:t>. Hypoxia, resulting from progressive fibrosis and reduced vascularity, adds another critical dimension to pathogenesis</w:t>
      </w:r>
      <w:r>
        <w:rPr>
          <w:lang w:val="en-US"/>
        </w:rPr>
        <w:t xml:space="preserve"> </w:t>
      </w:r>
      <w:r>
        <w:rPr>
          <w:vertAlign w:val="superscript"/>
        </w:rPr>
        <w:t>[5,12]</w:t>
      </w:r>
      <w:r>
        <w:t>.</w:t>
      </w:r>
      <w:r>
        <w:t xml:space="preserve"> Hypoxia-inducible factors (HIFs) further upregulate </w:t>
      </w:r>
      <w:proofErr w:type="spellStart"/>
      <w:r>
        <w:t>fibrogenic</w:t>
      </w:r>
      <w:proofErr w:type="spellEnd"/>
      <w:r>
        <w:t xml:space="preserve"> cytokines and promote epithelial atrophy, weakening the mucosal barrier and increasing susceptibility to carcinogens</w:t>
      </w:r>
      <w:r>
        <w:rPr>
          <w:lang w:val="en-US"/>
        </w:rPr>
        <w:t xml:space="preserve"> </w:t>
      </w:r>
      <w:r>
        <w:rPr>
          <w:vertAlign w:val="superscript"/>
        </w:rPr>
        <w:t>[5,14]</w:t>
      </w:r>
      <w:r>
        <w:t>.</w:t>
      </w:r>
    </w:p>
    <w:p w:rsidR="00A80E00" w:rsidRDefault="00BF250B">
      <w:pPr>
        <w:spacing w:after="291"/>
        <w:ind w:left="-5" w:right="45"/>
      </w:pPr>
      <w:r>
        <w:t>The fibroblast-to-myofibroblast transition contributes significantl</w:t>
      </w:r>
      <w:r>
        <w:t>y to tissue rigidity and progressive trismus, as myofibroblasts produce contractile proteins that worsen mucosal stiffness</w:t>
      </w:r>
      <w:r>
        <w:rPr>
          <w:lang w:val="en-US"/>
        </w:rPr>
        <w:t xml:space="preserve"> </w:t>
      </w:r>
      <w:r>
        <w:rPr>
          <w:vertAlign w:val="superscript"/>
        </w:rPr>
        <w:t>[5,11]</w:t>
      </w:r>
      <w:r>
        <w:t>. Chronic inflammation within the submucosal tissue sustains cytokine release, maintaining the fibrotic cascade</w:t>
      </w:r>
      <w:r>
        <w:rPr>
          <w:lang w:val="en-US"/>
        </w:rPr>
        <w:t xml:space="preserve"> </w:t>
      </w:r>
      <w:r>
        <w:rPr>
          <w:vertAlign w:val="superscript"/>
        </w:rPr>
        <w:t>[5,12]</w:t>
      </w:r>
      <w:r>
        <w:t xml:space="preserve">. </w:t>
      </w:r>
      <w:r>
        <w:t>Overall, the interplay of excessive collagen synthesis, abnormal cross-linking, reduced degradation, oxidative stress, epigenetic alterations, fibroblast transformation, and tissue hypoxia leads to progressive submucosal fibrosis, loss of tissue elasticity</w:t>
      </w:r>
      <w:r>
        <w:t>, and epithelial atrophy</w:t>
      </w:r>
      <w:r>
        <w:rPr>
          <w:lang w:val="en-US"/>
        </w:rPr>
        <w:t xml:space="preserve"> </w:t>
      </w:r>
      <w:r>
        <w:rPr>
          <w:vertAlign w:val="superscript"/>
        </w:rPr>
        <w:t>[5,14]</w:t>
      </w:r>
      <w:r>
        <w:t>.</w:t>
      </w:r>
    </w:p>
    <w:p w:rsidR="00A80E00" w:rsidRDefault="00BF250B">
      <w:pPr>
        <w:ind w:left="-5" w:right="45"/>
      </w:pPr>
      <w:r>
        <w:t>Clinically, this manifests as mucosal rigidity, burning sensation, blanching, palpable fibrous bands, and progressive limitation in mouth opening</w:t>
      </w:r>
      <w:r>
        <w:rPr>
          <w:lang w:val="en-US"/>
        </w:rPr>
        <w:t xml:space="preserve"> </w:t>
      </w:r>
      <w:r>
        <w:rPr>
          <w:vertAlign w:val="superscript"/>
        </w:rPr>
        <w:t>[5,11]</w:t>
      </w:r>
      <w:r>
        <w:t>. Importantly, the persistent oxidative and hypoxic microenvironment pr</w:t>
      </w:r>
      <w:r>
        <w:t>edisposes to genetic instability and malignant transformation, explaining the elevated risk of oral squamous cell carcinoma in OSMF patients</w:t>
      </w:r>
      <w:r>
        <w:rPr>
          <w:lang w:val="en-US"/>
        </w:rPr>
        <w:t xml:space="preserve"> </w:t>
      </w:r>
      <w:r>
        <w:rPr>
          <w:vertAlign w:val="superscript"/>
        </w:rPr>
        <w:t>[5,12]</w:t>
      </w:r>
      <w:r>
        <w:t>. The current understanding of pathogenesis has evolved beyond a purely collagen-centric model to a multiface</w:t>
      </w:r>
      <w:r>
        <w:t>ted framework that integrates molecular signal</w:t>
      </w:r>
      <w:r>
        <w:rPr>
          <w:lang w:val="en-US"/>
        </w:rPr>
        <w:t>l</w:t>
      </w:r>
      <w:proofErr w:type="spellStart"/>
      <w:r>
        <w:t>ing</w:t>
      </w:r>
      <w:proofErr w:type="spellEnd"/>
      <w:r>
        <w:t>, cellular reprogramming, and epigenetic modifications, providing a more comprehensive explanation of disease progression and malignant potential</w:t>
      </w:r>
      <w:r>
        <w:rPr>
          <w:lang w:val="en-US"/>
        </w:rPr>
        <w:t xml:space="preserve"> </w:t>
      </w:r>
      <w:r>
        <w:rPr>
          <w:vertAlign w:val="superscript"/>
        </w:rPr>
        <w:t>[5,14]</w:t>
      </w:r>
      <w:r>
        <w:t>.</w:t>
      </w:r>
    </w:p>
    <w:p w:rsidR="00A80E00" w:rsidRDefault="00A80E00">
      <w:pPr>
        <w:spacing w:after="736"/>
        <w:ind w:left="-5" w:right="45"/>
      </w:pPr>
    </w:p>
    <w:p w:rsidR="00A80E00" w:rsidRDefault="00A80E00">
      <w:pPr>
        <w:spacing w:after="736"/>
        <w:ind w:left="-5" w:right="45"/>
      </w:pPr>
    </w:p>
    <w:p w:rsidR="00A80E00" w:rsidRDefault="00BF250B">
      <w:pPr>
        <w:spacing w:after="736"/>
        <w:ind w:left="0" w:right="45" w:firstLine="0"/>
        <w:rPr>
          <w:vertAlign w:val="superscript"/>
          <w:lang w:val="en-US"/>
        </w:rPr>
      </w:pPr>
      <w:r>
        <w:lastRenderedPageBreak/>
        <w:t xml:space="preserve">Flowchart </w:t>
      </w:r>
      <w:proofErr w:type="gramStart"/>
      <w:r>
        <w:t>1 :</w:t>
      </w:r>
      <w:proofErr w:type="gramEnd"/>
      <w:r>
        <w:t xml:space="preserve"> </w:t>
      </w:r>
      <w:r>
        <w:rPr>
          <w:lang w:val="en-US"/>
        </w:rPr>
        <w:t>A step by step presentation of</w:t>
      </w:r>
      <w:r>
        <w:t xml:space="preserve"> the p</w:t>
      </w:r>
      <w:r>
        <w:t>athogenesis of OSMF from the initial etiological factor to clinical outcomes</w:t>
      </w:r>
      <w:r>
        <w:rPr>
          <w:vertAlign w:val="superscript"/>
          <w:lang w:val="en-US"/>
        </w:rPr>
        <w:t>[5]</w:t>
      </w:r>
    </w:p>
    <w:p w:rsidR="00A80E00" w:rsidRDefault="00BF250B">
      <w:pPr>
        <w:spacing w:after="736"/>
        <w:ind w:left="-5" w:right="45"/>
      </w:pPr>
      <w:r>
        <w:rPr>
          <w:noProof/>
        </w:rPr>
        <mc:AlternateContent>
          <mc:Choice Requires="wps">
            <w:drawing>
              <wp:anchor distT="0" distB="0" distL="114300" distR="114300" simplePos="0" relativeHeight="251661312" behindDoc="0" locked="0" layoutInCell="1" allowOverlap="1">
                <wp:simplePos x="0" y="0"/>
                <wp:positionH relativeFrom="column">
                  <wp:posOffset>282575</wp:posOffset>
                </wp:positionH>
                <wp:positionV relativeFrom="paragraph">
                  <wp:posOffset>62230</wp:posOffset>
                </wp:positionV>
                <wp:extent cx="4663440" cy="478155"/>
                <wp:effectExtent l="4445" t="4445" r="10795" b="5080"/>
                <wp:wrapNone/>
                <wp:docPr id="13" name="Text Box 13"/>
                <wp:cNvGraphicFramePr/>
                <a:graphic xmlns:a="http://schemas.openxmlformats.org/drawingml/2006/main">
                  <a:graphicData uri="http://schemas.microsoft.com/office/word/2010/wordprocessingShape">
                    <wps:wsp>
                      <wps:cNvSpPr txBox="1"/>
                      <wps:spPr>
                        <a:xfrm>
                          <a:off x="1673860" y="687070"/>
                          <a:ext cx="4663440" cy="4781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80E00" w:rsidRDefault="00BF250B">
                            <w:pPr>
                              <w:jc w:val="center"/>
                              <w:rPr>
                                <w:b/>
                                <w:bCs/>
                              </w:rPr>
                            </w:pPr>
                            <w:r>
                              <w:rPr>
                                <w:b/>
                                <w:bCs/>
                              </w:rPr>
                              <w:t>Areca nut chewing</w:t>
                            </w:r>
                          </w:p>
                          <w:p w:rsidR="00A80E00" w:rsidRDefault="00BF250B">
                            <w:pPr>
                              <w:jc w:val="center"/>
                            </w:pPr>
                            <w:r>
                              <w:t>(</w:t>
                            </w:r>
                            <w:proofErr w:type="gramStart"/>
                            <w:r>
                              <w:t>a</w:t>
                            </w:r>
                            <w:proofErr w:type="spellStart"/>
                            <w:r>
                              <w:rPr>
                                <w:lang w:val="en-US"/>
                              </w:rPr>
                              <w:t>lkaloids</w:t>
                            </w:r>
                            <w:proofErr w:type="spellEnd"/>
                            <w:r>
                              <w:t>,copper</w:t>
                            </w:r>
                            <w:proofErr w:type="gramEnd"/>
                            <w:r>
                              <w:t>,</w:t>
                            </w:r>
                            <w:r>
                              <w:rPr>
                                <w:lang w:val="en-US"/>
                              </w:rPr>
                              <w:t xml:space="preserve"> </w:t>
                            </w:r>
                            <w:r>
                              <w:t>flavonoids, tannins)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25pt;margin-top:4.9pt;height:37.65pt;width:367.2pt;z-index:251661312;mso-width-relative:page;mso-height-relative:page;" fillcolor="#FFFFFF [3201]" filled="t" stroked="t" coordsize="21600,21600" o:gfxdata="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1jppGNUAAAAHAQAADwAAAAAA&#10;AAABACAAAAAiAAAAZHJzL2Rvd25yZXYueG1sUEsBAhQAFAAAAAgAh07iQJl15eBPAgAAwwQAAA4A&#10;AAAAAAAAAQAgAAAAJAEAAGRycy9lMm9Eb2MueG1sUEsFBgAAAAAGAAYAWQEAAOUFAAAAAA==&#10;">
                <v:fill on="t" focussize="0,0"/>
                <v:stroke weight="0.5pt" color="#000000 [3204]" joinstyle="round"/>
                <v:imagedata o:title=""/>
                <o:lock v:ext="edit" aspectratio="f"/>
                <v:textbox>
                  <w:txbxContent>
                    <w:p w14:paraId="09E4F4D2">
                      <w:pPr>
                        <w:jc w:val="center"/>
                        <w:rPr>
                          <w:b/>
                          <w:bCs/>
                        </w:rPr>
                      </w:pPr>
                      <w:r>
                        <w:rPr>
                          <w:b/>
                          <w:bCs/>
                        </w:rPr>
                        <w:t>Areca nut chewing</w:t>
                      </w:r>
                    </w:p>
                    <w:p w14:paraId="2BA2DD5E">
                      <w:pPr>
                        <w:jc w:val="center"/>
                      </w:pPr>
                      <w:r>
                        <w:t>(a</w:t>
                      </w:r>
                      <w:r>
                        <w:rPr>
                          <w:rFonts w:hint="default"/>
                          <w:lang w:val="en-US"/>
                        </w:rPr>
                        <w:t>lkaloids</w:t>
                      </w:r>
                      <w:r>
                        <w:t>,copper,</w:t>
                      </w:r>
                      <w:r>
                        <w:rPr>
                          <w:rFonts w:hint="default"/>
                          <w:lang w:val="en-US"/>
                        </w:rPr>
                        <w:t xml:space="preserve"> </w:t>
                      </w:r>
                      <w:r>
                        <w:t>flavonoids, tannins)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2614295</wp:posOffset>
                </wp:positionH>
                <wp:positionV relativeFrom="paragraph">
                  <wp:posOffset>540385</wp:posOffset>
                </wp:positionV>
                <wp:extent cx="2540" cy="551180"/>
                <wp:effectExtent l="48895" t="0" r="55245" b="12700"/>
                <wp:wrapNone/>
                <wp:docPr id="19" name="Straight Arrow Connector 19"/>
                <wp:cNvGraphicFramePr/>
                <a:graphic xmlns:a="http://schemas.openxmlformats.org/drawingml/2006/main">
                  <a:graphicData uri="http://schemas.microsoft.com/office/word/2010/wordprocessingShape">
                    <wps:wsp>
                      <wps:cNvCnPr/>
                      <wps:spPr>
                        <a:xfrm>
                          <a:off x="3526155" y="2383155"/>
                          <a:ext cx="2540" cy="5511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05.85pt;margin-top:42.55pt;height:43.4pt;width:0.2pt;z-index:251666432;mso-width-relative:page;mso-height-relative:page;" filled="f" stroked="t" coordsize="21600,21600" o:gfxdata="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NeiBb1wAAAAoBAAAPAAAA&#10;AAAAAAEAIAAAACIAAABkcnMvZG93bnJldi54bWxQSwECFAAUAAAACACHTuJASFTPiRYCAAA0BAAA&#10;DgAAAAAAAAABACAAAAAmAQAAZHJzL2Uyb0RvYy54bWxQSwUGAAAAAAYABgBZAQAArgUAAAAA&#10;">
                <v:fill on="f" focussize="0,0"/>
                <v:stroke weight="1pt" color="#4472C4 [3204]" miterlimit="8" joinstyle="miter" endarrow="open"/>
                <v:imagedata o:title=""/>
                <o:lock v:ext="edit" aspectratio="f"/>
              </v:shape>
            </w:pict>
          </mc:Fallback>
        </mc:AlternateContent>
      </w:r>
    </w:p>
    <w:p w:rsidR="00A80E00" w:rsidRDefault="00A80E00">
      <w:pPr>
        <w:spacing w:after="376" w:line="259" w:lineRule="auto"/>
        <w:ind w:left="4143" w:right="0" w:firstLine="0"/>
        <w:jc w:val="left"/>
      </w:pPr>
    </w:p>
    <w:p w:rsidR="00A80E00" w:rsidRDefault="00BF250B">
      <w:pPr>
        <w:spacing w:after="314" w:line="259" w:lineRule="auto"/>
        <w:ind w:left="4125" w:right="0" w:firstLine="0"/>
        <w:jc w:val="left"/>
      </w:pPr>
      <w:r>
        <w:rPr>
          <w:noProof/>
        </w:rPr>
        <mc:AlternateContent>
          <mc:Choice Requires="wps">
            <w:drawing>
              <wp:anchor distT="0" distB="0" distL="114300" distR="114300" simplePos="0" relativeHeight="251662336" behindDoc="0" locked="0" layoutInCell="1" allowOverlap="1">
                <wp:simplePos x="0" y="0"/>
                <wp:positionH relativeFrom="column">
                  <wp:posOffset>239395</wp:posOffset>
                </wp:positionH>
                <wp:positionV relativeFrom="paragraph">
                  <wp:posOffset>15240</wp:posOffset>
                </wp:positionV>
                <wp:extent cx="4754880" cy="714375"/>
                <wp:effectExtent l="5080" t="4445" r="10160" b="12700"/>
                <wp:wrapNone/>
                <wp:docPr id="14" name="Text Box 14"/>
                <wp:cNvGraphicFramePr/>
                <a:graphic xmlns:a="http://schemas.openxmlformats.org/drawingml/2006/main">
                  <a:graphicData uri="http://schemas.microsoft.com/office/word/2010/wordprocessingShape">
                    <wps:wsp>
                      <wps:cNvSpPr txBox="1"/>
                      <wps:spPr>
                        <a:xfrm>
                          <a:off x="1239520" y="1144270"/>
                          <a:ext cx="4754880" cy="714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80E00" w:rsidRDefault="00BF250B">
                            <w:pPr>
                              <w:jc w:val="center"/>
                              <w:rPr>
                                <w:b/>
                                <w:bCs/>
                              </w:rPr>
                            </w:pPr>
                            <w:r>
                              <w:rPr>
                                <w:b/>
                                <w:bCs/>
                              </w:rPr>
                              <w:t>Molecular trig</w:t>
                            </w:r>
                            <w:r>
                              <w:rPr>
                                <w:b/>
                                <w:bCs/>
                                <w:lang w:val="en-US"/>
                              </w:rPr>
                              <w:t>g</w:t>
                            </w:r>
                            <w:proofErr w:type="spellStart"/>
                            <w:r>
                              <w:rPr>
                                <w:b/>
                                <w:bCs/>
                              </w:rPr>
                              <w:t>ers</w:t>
                            </w:r>
                            <w:proofErr w:type="spellEnd"/>
                          </w:p>
                          <w:p w:rsidR="00A80E00" w:rsidRDefault="00BF250B">
                            <w:pPr>
                              <w:jc w:val="center"/>
                            </w:pPr>
                            <w:r>
                              <w:t>↑TGF-</w:t>
                            </w:r>
                            <w:proofErr w:type="gramStart"/>
                            <w:r>
                              <w:t>β ,</w:t>
                            </w:r>
                            <w:proofErr w:type="gramEnd"/>
                            <w:r>
                              <w:t xml:space="preserve"> CTGF,VEGF</w:t>
                            </w:r>
                          </w:p>
                          <w:p w:rsidR="00A80E00" w:rsidRDefault="00BF250B">
                            <w:pPr>
                              <w:jc w:val="center"/>
                            </w:pPr>
                            <w:r>
                              <w:t>ROS generation</w:t>
                            </w:r>
                            <w:r>
                              <w:rPr>
                                <w:lang w:val="en-US"/>
                              </w:rPr>
                              <w:t>,</w:t>
                            </w:r>
                            <w:r>
                              <w:t xml:space="preserve"> </w:t>
                            </w:r>
                            <w:r>
                              <w:rPr>
                                <w:lang w:val="en-US"/>
                              </w:rPr>
                              <w:t>e</w:t>
                            </w:r>
                            <w:proofErr w:type="spellStart"/>
                            <w:r>
                              <w:t>pigenetic</w:t>
                            </w:r>
                            <w:proofErr w:type="spellEnd"/>
                            <w:r>
                              <w:t xml:space="preserve"> changes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8.85pt;margin-top:1.2pt;height:56.25pt;width:374.4pt;z-index:251662336;mso-width-relative:page;mso-height-relative:page;" fillcolor="#FFFFFF [3201]" filled="t" stroked="t" coordsize="21600,21600" o:gfxdata="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5LXANYAAAAIAQAADwAA&#10;AAAAAAABACAAAAAiAAAAZHJzL2Rvd25yZXYueG1sUEsBAhQAFAAAAAgAh07iQBs1Ac1RAgAAxAQA&#10;AA4AAAAAAAAAAQAgAAAAJQEAAGRycy9lMm9Eb2MueG1sUEsFBgAAAAAGAAYAWQEAAOgFAAAAAA==&#10;">
                <v:fill on="t" focussize="0,0"/>
                <v:stroke weight="0.5pt" color="#000000 [3204]" joinstyle="round"/>
                <v:imagedata o:title=""/>
                <o:lock v:ext="edit" aspectratio="f"/>
                <v:textbox>
                  <w:txbxContent>
                    <w:p w14:paraId="4CA879FE">
                      <w:pPr>
                        <w:jc w:val="center"/>
                        <w:rPr>
                          <w:b/>
                          <w:bCs/>
                        </w:rPr>
                      </w:pPr>
                      <w:r>
                        <w:rPr>
                          <w:b/>
                          <w:bCs/>
                        </w:rPr>
                        <w:t>Molecular trig</w:t>
                      </w:r>
                      <w:r>
                        <w:rPr>
                          <w:rFonts w:hint="default"/>
                          <w:b/>
                          <w:bCs/>
                          <w:lang w:val="en-US"/>
                        </w:rPr>
                        <w:t>g</w:t>
                      </w:r>
                      <w:r>
                        <w:rPr>
                          <w:b/>
                          <w:bCs/>
                        </w:rPr>
                        <w:t>ers</w:t>
                      </w:r>
                    </w:p>
                    <w:p w14:paraId="405803CA">
                      <w:pPr>
                        <w:jc w:val="center"/>
                      </w:pPr>
                      <w:r>
                        <w:t>↑TGF-β , CTGF,VEGF</w:t>
                      </w:r>
                    </w:p>
                    <w:p w14:paraId="1A5E73BC">
                      <w:pPr>
                        <w:jc w:val="center"/>
                      </w:pPr>
                      <w:r>
                        <w:t>ROS generation</w:t>
                      </w:r>
                      <w:r>
                        <w:rPr>
                          <w:rFonts w:hint="default"/>
                          <w:lang w:val="en-US"/>
                        </w:rPr>
                        <w:t>,</w:t>
                      </w:r>
                      <w:r>
                        <w:t xml:space="preserve"> </w:t>
                      </w:r>
                      <w:r>
                        <w:rPr>
                          <w:rFonts w:hint="default"/>
                          <w:lang w:val="en-US"/>
                        </w:rPr>
                        <w:t>e</w:t>
                      </w:r>
                      <w:r>
                        <w:t>pigenetic changes</w:t>
                      </w:r>
                    </w:p>
                  </w:txbxContent>
                </v:textbox>
              </v:shape>
            </w:pict>
          </mc:Fallback>
        </mc:AlternateContent>
      </w:r>
    </w:p>
    <w:p w:rsidR="00A80E00" w:rsidRDefault="00A80E00">
      <w:pPr>
        <w:spacing w:after="210" w:line="265" w:lineRule="auto"/>
        <w:ind w:left="-5" w:right="0"/>
        <w:jc w:val="left"/>
        <w:rPr>
          <w:b/>
          <w:sz w:val="28"/>
        </w:rPr>
      </w:pPr>
    </w:p>
    <w:p w:rsidR="00A80E00" w:rsidRDefault="00BF250B">
      <w:pPr>
        <w:spacing w:after="210" w:line="265" w:lineRule="auto"/>
        <w:ind w:left="-5" w:right="0"/>
        <w:jc w:val="left"/>
        <w:rPr>
          <w:b/>
          <w:sz w:val="28"/>
        </w:rPr>
      </w:pPr>
      <w:r>
        <w:rPr>
          <w:noProof/>
          <w:sz w:val="28"/>
        </w:rPr>
        <mc:AlternateContent>
          <mc:Choice Requires="wps">
            <w:drawing>
              <wp:anchor distT="0" distB="0" distL="114300" distR="114300" simplePos="0" relativeHeight="251667456" behindDoc="0" locked="0" layoutInCell="1" allowOverlap="1">
                <wp:simplePos x="0" y="0"/>
                <wp:positionH relativeFrom="column">
                  <wp:posOffset>2611755</wp:posOffset>
                </wp:positionH>
                <wp:positionV relativeFrom="paragraph">
                  <wp:posOffset>-17780</wp:posOffset>
                </wp:positionV>
                <wp:extent cx="5080" cy="439420"/>
                <wp:effectExtent l="49530" t="0" r="52070" b="2540"/>
                <wp:wrapNone/>
                <wp:docPr id="20" name="Straight Arrow Connector 20"/>
                <wp:cNvGraphicFramePr/>
                <a:graphic xmlns:a="http://schemas.openxmlformats.org/drawingml/2006/main">
                  <a:graphicData uri="http://schemas.microsoft.com/office/word/2010/wordprocessingShape">
                    <wps:wsp>
                      <wps:cNvCnPr/>
                      <wps:spPr>
                        <a:xfrm flipH="1">
                          <a:off x="3512185" y="3766185"/>
                          <a:ext cx="5080" cy="4394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205.65pt;margin-top:-1.4pt;height:34.6pt;width:0.4pt;z-index:251667456;mso-width-relative:page;mso-height-relative:page;" filled="f" stroked="t" coordsize="21600,21600" o:gfxdata="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WhM1wAAAAkB&#10;AAAPAAAAAAAAAAEAIAAAACIAAABkcnMvZG93bnJldi54bWxQSwECFAAUAAAACACHTuJAZ9xYghwC&#10;AAA+BAAADgAAAAAAAAABACAAAAAmAQAAZHJzL2Uyb0RvYy54bWxQSwUGAAAAAAYABgBZAQAAtAUA&#10;AAAA&#10;">
                <v:fill on="f" focussize="0,0"/>
                <v:stroke weight="1pt" color="#4472C4 [3204]" miterlimit="8" joinstyle="miter" endarrow="open"/>
                <v:imagedata o:title=""/>
                <o:lock v:ext="edit" aspectratio="f"/>
              </v:shape>
            </w:pict>
          </mc:Fallback>
        </mc:AlternateContent>
      </w:r>
    </w:p>
    <w:p w:rsidR="00A80E00" w:rsidRDefault="00BF250B">
      <w:pPr>
        <w:spacing w:after="210" w:line="265" w:lineRule="auto"/>
        <w:ind w:left="-5" w:right="0"/>
        <w:jc w:val="left"/>
        <w:rPr>
          <w:b/>
          <w:sz w:val="28"/>
        </w:rPr>
      </w:pPr>
      <w:r>
        <w:rPr>
          <w:noProof/>
        </w:rPr>
        <mc:AlternateContent>
          <mc:Choice Requires="wps">
            <w:drawing>
              <wp:anchor distT="0" distB="0" distL="114300" distR="114300" simplePos="0" relativeHeight="251663360" behindDoc="0" locked="0" layoutInCell="1" allowOverlap="1">
                <wp:simplePos x="0" y="0"/>
                <wp:positionH relativeFrom="column">
                  <wp:posOffset>283210</wp:posOffset>
                </wp:positionH>
                <wp:positionV relativeFrom="paragraph">
                  <wp:posOffset>62230</wp:posOffset>
                </wp:positionV>
                <wp:extent cx="4657090" cy="735965"/>
                <wp:effectExtent l="4445" t="4445" r="17145" b="6350"/>
                <wp:wrapNone/>
                <wp:docPr id="15" name="Text Box 15"/>
                <wp:cNvGraphicFramePr/>
                <a:graphic xmlns:a="http://schemas.openxmlformats.org/drawingml/2006/main">
                  <a:graphicData uri="http://schemas.microsoft.com/office/word/2010/wordprocessingShape">
                    <wps:wsp>
                      <wps:cNvSpPr txBox="1"/>
                      <wps:spPr>
                        <a:xfrm>
                          <a:off x="2098040" y="2670175"/>
                          <a:ext cx="4657090" cy="7359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80E00" w:rsidRDefault="00BF250B">
                            <w:pPr>
                              <w:jc w:val="center"/>
                              <w:rPr>
                                <w:b/>
                                <w:bCs/>
                              </w:rPr>
                            </w:pPr>
                            <w:r>
                              <w:rPr>
                                <w:b/>
                                <w:bCs/>
                              </w:rPr>
                              <w:t>Cellular responses</w:t>
                            </w:r>
                          </w:p>
                          <w:p w:rsidR="00A80E00" w:rsidRDefault="00BF250B">
                            <w:pPr>
                              <w:jc w:val="center"/>
                            </w:pPr>
                            <w:r>
                              <w:t>Fibroblast</w:t>
                            </w:r>
                            <w:r>
                              <w:t xml:space="preserve"> </w:t>
                            </w:r>
                            <w:proofErr w:type="spellStart"/>
                            <w:r>
                              <w:t>proliferation→myofibroblast</w:t>
                            </w:r>
                            <w:proofErr w:type="spellEnd"/>
                          </w:p>
                          <w:p w:rsidR="00A80E00" w:rsidRDefault="00BF250B">
                            <w:pPr>
                              <w:jc w:val="center"/>
                            </w:pPr>
                            <w:r>
                              <w:t>↑Collagen synthesis and cross linking ↓MMP activity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3pt;margin-top:4.9pt;height:57.95pt;width:366.7pt;z-index:251663360;mso-width-relative:page;mso-height-relative:page;" fillcolor="#FFFFFF [3201]" filled="t" stroked="t" coordsize="21600,21600" o:gfxdata="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BXKxtUAAAAIAQAA&#10;DwAAAAAAAAABACAAAAAiAAAAZHJzL2Rvd25yZXYueG1sUEsBAhQAFAAAAAgAh07iQCAOlRpVAgAA&#10;xAQAAA4AAAAAAAAAAQAgAAAAJAEAAGRycy9lMm9Eb2MueG1sUEsFBgAAAAAGAAYAWQEAAOsFAAAA&#10;AA==&#10;">
                <v:fill on="t" focussize="0,0"/>
                <v:stroke weight="0.5pt" color="#000000 [3204]" joinstyle="round"/>
                <v:imagedata o:title=""/>
                <o:lock v:ext="edit" aspectratio="f"/>
                <v:textbox>
                  <w:txbxContent>
                    <w:p w14:paraId="6A34D2AA">
                      <w:pPr>
                        <w:jc w:val="center"/>
                        <w:rPr>
                          <w:b/>
                          <w:bCs/>
                        </w:rPr>
                      </w:pPr>
                      <w:r>
                        <w:rPr>
                          <w:b/>
                          <w:bCs/>
                        </w:rPr>
                        <w:t>Cellular responses</w:t>
                      </w:r>
                    </w:p>
                    <w:p w14:paraId="2301166E">
                      <w:pPr>
                        <w:jc w:val="center"/>
                      </w:pPr>
                      <w:r>
                        <w:t>Fibroblast proliferation→myofibroblast</w:t>
                      </w:r>
                    </w:p>
                    <w:p w14:paraId="390D1D52">
                      <w:pPr>
                        <w:jc w:val="center"/>
                      </w:pPr>
                      <w:r>
                        <w:t>↑Collagen synthesis and cross linking ↓MMP activity</w:t>
                      </w:r>
                    </w:p>
                  </w:txbxContent>
                </v:textbox>
              </v:shape>
            </w:pict>
          </mc:Fallback>
        </mc:AlternateContent>
      </w:r>
    </w:p>
    <w:p w:rsidR="00A80E00" w:rsidRDefault="00A80E00">
      <w:pPr>
        <w:spacing w:after="210" w:line="265" w:lineRule="auto"/>
        <w:ind w:left="-5" w:right="0"/>
        <w:jc w:val="left"/>
        <w:rPr>
          <w:b/>
          <w:sz w:val="28"/>
        </w:rPr>
      </w:pPr>
    </w:p>
    <w:p w:rsidR="00A80E00" w:rsidRDefault="00A80E00">
      <w:pPr>
        <w:spacing w:after="210" w:line="265" w:lineRule="auto"/>
        <w:ind w:left="-5" w:right="0"/>
        <w:jc w:val="left"/>
        <w:rPr>
          <w:b/>
          <w:sz w:val="28"/>
        </w:rPr>
      </w:pPr>
    </w:p>
    <w:p w:rsidR="00A80E00" w:rsidRDefault="00BF250B">
      <w:pPr>
        <w:spacing w:after="210" w:line="265" w:lineRule="auto"/>
        <w:ind w:left="-5" w:right="0"/>
        <w:jc w:val="left"/>
        <w:rPr>
          <w:b/>
          <w:sz w:val="28"/>
        </w:rPr>
      </w:pPr>
      <w:r>
        <w:rPr>
          <w:noProof/>
        </w:rPr>
        <mc:AlternateContent>
          <mc:Choice Requires="wps">
            <w:drawing>
              <wp:anchor distT="0" distB="0" distL="114300" distR="114300" simplePos="0" relativeHeight="251664384" behindDoc="0" locked="0" layoutInCell="1" allowOverlap="1">
                <wp:simplePos x="0" y="0"/>
                <wp:positionH relativeFrom="column">
                  <wp:posOffset>320040</wp:posOffset>
                </wp:positionH>
                <wp:positionV relativeFrom="paragraph">
                  <wp:posOffset>198120</wp:posOffset>
                </wp:positionV>
                <wp:extent cx="4576445" cy="717550"/>
                <wp:effectExtent l="4445" t="5080" r="6350" b="8890"/>
                <wp:wrapNone/>
                <wp:docPr id="16" name="Text Box 16"/>
                <wp:cNvGraphicFramePr/>
                <a:graphic xmlns:a="http://schemas.openxmlformats.org/drawingml/2006/main">
                  <a:graphicData uri="http://schemas.microsoft.com/office/word/2010/wordprocessingShape">
                    <wps:wsp>
                      <wps:cNvSpPr txBox="1"/>
                      <wps:spPr>
                        <a:xfrm>
                          <a:off x="2339340" y="2793365"/>
                          <a:ext cx="4576445" cy="7175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80E00" w:rsidRDefault="00BF250B">
                            <w:pPr>
                              <w:jc w:val="center"/>
                              <w:rPr>
                                <w:b/>
                                <w:bCs/>
                              </w:rPr>
                            </w:pPr>
                            <w:r>
                              <w:rPr>
                                <w:b/>
                                <w:bCs/>
                              </w:rPr>
                              <w:t>Tissue - level changes</w:t>
                            </w:r>
                          </w:p>
                          <w:p w:rsidR="00A80E00" w:rsidRDefault="00BF250B">
                            <w:pPr>
                              <w:jc w:val="center"/>
                              <w:rPr>
                                <w:lang w:val="en-US"/>
                              </w:rPr>
                            </w:pPr>
                            <w:r>
                              <w:t xml:space="preserve">Progressive </w:t>
                            </w:r>
                            <w:proofErr w:type="spellStart"/>
                            <w:r>
                              <w:t>fibrosi</w:t>
                            </w:r>
                            <w:proofErr w:type="spellEnd"/>
                            <w:r>
                              <w:rPr>
                                <w:lang w:val="en-US"/>
                              </w:rPr>
                              <w:t>s</w:t>
                            </w:r>
                          </w:p>
                          <w:p w:rsidR="00A80E00" w:rsidRDefault="00BF250B">
                            <w:pPr>
                              <w:jc w:val="center"/>
                              <w:rPr>
                                <w:lang w:val="en-US"/>
                              </w:rPr>
                            </w:pPr>
                            <w:r>
                              <w:t>↓Vascularity →Hypoxia Epithelial atrophy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5.2pt;margin-top:15.6pt;height:56.5pt;width:360.35pt;z-index:251664384;mso-width-relative:page;mso-height-relative:page;" fillcolor="#FFFFFF [3201]" filled="t" stroked="t" coordsize="21600,21600" o:gfxdata="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LAUrTWAAAACQEAAA8A&#10;AAAAAAAAAQAgAAAAIgAAAGRycy9kb3ducmV2LnhtbFBLAQIUABQAAAAIAIdO4kDMFtzEUgIAAMQE&#10;AAAOAAAAAAAAAAEAIAAAACUBAABkcnMvZTJvRG9jLnhtbFBLBQYAAAAABgAGAFkBAADpBQAAAAA=&#10;">
                <v:fill on="t" focussize="0,0"/>
                <v:stroke weight="0.5pt" color="#000000 [3204]" joinstyle="round"/>
                <v:imagedata o:title=""/>
                <o:lock v:ext="edit" aspectratio="f"/>
                <v:textbox>
                  <w:txbxContent>
                    <w:p w14:paraId="71BE75FF">
                      <w:pPr>
                        <w:jc w:val="center"/>
                        <w:rPr>
                          <w:b/>
                          <w:bCs/>
                        </w:rPr>
                      </w:pPr>
                      <w:r>
                        <w:rPr>
                          <w:b/>
                          <w:bCs/>
                        </w:rPr>
                        <w:t>Tissue - level changes</w:t>
                      </w:r>
                    </w:p>
                    <w:p w14:paraId="478F7CE4">
                      <w:pPr>
                        <w:jc w:val="center"/>
                        <w:rPr>
                          <w:rFonts w:hint="default"/>
                          <w:lang w:val="en-US"/>
                        </w:rPr>
                      </w:pPr>
                      <w:r>
                        <w:t>Progressive fibrosi</w:t>
                      </w:r>
                      <w:r>
                        <w:rPr>
                          <w:rFonts w:hint="default"/>
                          <w:lang w:val="en-US"/>
                        </w:rPr>
                        <w:t>s</w:t>
                      </w:r>
                    </w:p>
                    <w:p w14:paraId="147B2F0F">
                      <w:pPr>
                        <w:jc w:val="center"/>
                        <w:rPr>
                          <w:rFonts w:hint="default"/>
                          <w:lang w:val="en-US"/>
                        </w:rPr>
                      </w:pPr>
                      <w:r>
                        <w:t>↓Vascularity →Hypoxia Epithelial atrophy</w:t>
                      </w:r>
                    </w:p>
                  </w:txbxContent>
                </v:textbox>
              </v:shape>
            </w:pict>
          </mc:Fallback>
        </mc:AlternateContent>
      </w:r>
      <w:r>
        <w:rPr>
          <w:noProof/>
          <w:sz w:val="28"/>
        </w:rPr>
        <mc:AlternateContent>
          <mc:Choice Requires="wps">
            <w:drawing>
              <wp:anchor distT="0" distB="0" distL="114300" distR="114300" simplePos="0" relativeHeight="251668480" behindDoc="0" locked="0" layoutInCell="1" allowOverlap="1">
                <wp:simplePos x="0" y="0"/>
                <wp:positionH relativeFrom="column">
                  <wp:posOffset>2608580</wp:posOffset>
                </wp:positionH>
                <wp:positionV relativeFrom="paragraph">
                  <wp:posOffset>-278765</wp:posOffset>
                </wp:positionV>
                <wp:extent cx="3175" cy="476885"/>
                <wp:effectExtent l="50165" t="0" r="53340" b="10795"/>
                <wp:wrapNone/>
                <wp:docPr id="21" name="Straight Arrow Connector 21"/>
                <wp:cNvGraphicFramePr/>
                <a:graphic xmlns:a="http://schemas.openxmlformats.org/drawingml/2006/main">
                  <a:graphicData uri="http://schemas.microsoft.com/office/word/2010/wordprocessingShape">
                    <wps:wsp>
                      <wps:cNvCnPr/>
                      <wps:spPr>
                        <a:xfrm flipH="1">
                          <a:off x="3522980" y="5102860"/>
                          <a:ext cx="3175" cy="4768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205.4pt;margin-top:-21.95pt;height:37.55pt;width:0.25pt;z-index:251668480;mso-width-relative:page;mso-height-relative:page;" filled="f" stroked="t" coordsize="21600,21600" o:gfxdata="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qcjPtkA&#10;AAAKAQAADwAAAAAAAAABACAAAAAiAAAAZHJzL2Rvd25yZXYueG1sUEsBAhQAFAAAAAgAh07iQMzW&#10;j5ceAgAAPgQAAA4AAAAAAAAAAQAgAAAAKAEAAGRycy9lMm9Eb2MueG1sUEsFBgAAAAAGAAYAWQEA&#10;ALgFAAAAAA==&#10;">
                <v:fill on="f" focussize="0,0"/>
                <v:stroke weight="1pt" color="#4472C4 [3204]" miterlimit="8" joinstyle="miter" endarrow="open"/>
                <v:imagedata o:title=""/>
                <o:lock v:ext="edit" aspectratio="f"/>
              </v:shape>
            </w:pict>
          </mc:Fallback>
        </mc:AlternateContent>
      </w:r>
    </w:p>
    <w:p w:rsidR="00A80E00" w:rsidRDefault="00A80E00">
      <w:pPr>
        <w:spacing w:after="210" w:line="265" w:lineRule="auto"/>
        <w:ind w:left="-5" w:right="0"/>
        <w:jc w:val="left"/>
        <w:rPr>
          <w:b/>
          <w:sz w:val="28"/>
        </w:rPr>
      </w:pPr>
    </w:p>
    <w:p w:rsidR="00A80E00" w:rsidRDefault="00A80E00">
      <w:pPr>
        <w:spacing w:after="210" w:line="265" w:lineRule="auto"/>
        <w:ind w:left="-5" w:right="0"/>
        <w:jc w:val="left"/>
        <w:rPr>
          <w:b/>
          <w:sz w:val="28"/>
        </w:rPr>
      </w:pPr>
    </w:p>
    <w:p w:rsidR="00A80E00" w:rsidRDefault="00BF250B">
      <w:pPr>
        <w:spacing w:after="210" w:line="265" w:lineRule="auto"/>
        <w:ind w:left="-5" w:right="0"/>
        <w:jc w:val="left"/>
        <w:rPr>
          <w:b/>
          <w:sz w:val="28"/>
        </w:rPr>
      </w:pPr>
      <w:r>
        <w:rPr>
          <w:noProof/>
          <w:sz w:val="28"/>
        </w:rPr>
        <mc:AlternateContent>
          <mc:Choice Requires="wps">
            <w:drawing>
              <wp:anchor distT="0" distB="0" distL="114300" distR="114300" simplePos="0" relativeHeight="251669504" behindDoc="0" locked="0" layoutInCell="1" allowOverlap="1">
                <wp:simplePos x="0" y="0"/>
                <wp:positionH relativeFrom="column">
                  <wp:posOffset>2605405</wp:posOffset>
                </wp:positionH>
                <wp:positionV relativeFrom="paragraph">
                  <wp:posOffset>-161925</wp:posOffset>
                </wp:positionV>
                <wp:extent cx="3175" cy="629285"/>
                <wp:effectExtent l="50165" t="0" r="53340" b="10795"/>
                <wp:wrapNone/>
                <wp:docPr id="22" name="Straight Arrow Connector 22"/>
                <wp:cNvGraphicFramePr/>
                <a:graphic xmlns:a="http://schemas.openxmlformats.org/drawingml/2006/main">
                  <a:graphicData uri="http://schemas.microsoft.com/office/word/2010/wordprocessingShape">
                    <wps:wsp>
                      <wps:cNvCnPr/>
                      <wps:spPr>
                        <a:xfrm flipH="1">
                          <a:off x="3514090" y="6287770"/>
                          <a:ext cx="3175" cy="6292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205.15pt;margin-top:-12.75pt;height:49.55pt;width:0.25pt;z-index:251669504;mso-width-relative:page;mso-height-relative:page;" filled="f" stroked="t" coordsize="21600,21600" o:gfxdata="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5mEDvYAAAA&#10;CgEAAA8AAAAAAAAAAQAgAAAAIgAAAGRycy9kb3ducmV2LnhtbFBLAQIUABQAAAAIAIdO4kCyY+OQ&#10;HQIAAD4EAAAOAAAAAAAAAAEAIAAAACcBAABkcnMvZTJvRG9jLnhtbFBLBQYAAAAABgAGAFkBAAC2&#10;BQAAAAA=&#10;">
                <v:fill on="f" focussize="0,0"/>
                <v:stroke weight="1pt" color="#4472C4 [3204]" miterlimit="8" joinstyle="miter" endarrow="open"/>
                <v:imagedata o:title=""/>
                <o:lock v:ext="edit" aspectratio="f"/>
              </v:shape>
            </w:pict>
          </mc:Fallback>
        </mc:AlternateContent>
      </w:r>
    </w:p>
    <w:p w:rsidR="00A80E00" w:rsidRDefault="00BF250B">
      <w:pPr>
        <w:spacing w:after="210" w:line="265" w:lineRule="auto"/>
        <w:ind w:left="-5" w:right="0"/>
        <w:jc w:val="left"/>
        <w:rPr>
          <w:b/>
          <w:sz w:val="28"/>
        </w:rPr>
      </w:pPr>
      <w:r>
        <w:rPr>
          <w:noProof/>
          <w:sz w:val="28"/>
        </w:rPr>
        <mc:AlternateContent>
          <mc:Choice Requires="wps">
            <w:drawing>
              <wp:anchor distT="0" distB="0" distL="114300" distR="114300" simplePos="0" relativeHeight="251665408" behindDoc="0" locked="0" layoutInCell="1" allowOverlap="1">
                <wp:simplePos x="0" y="0"/>
                <wp:positionH relativeFrom="column">
                  <wp:posOffset>346710</wp:posOffset>
                </wp:positionH>
                <wp:positionV relativeFrom="paragraph">
                  <wp:posOffset>108585</wp:posOffset>
                </wp:positionV>
                <wp:extent cx="4516755" cy="612140"/>
                <wp:effectExtent l="4445" t="4445" r="5080" b="8255"/>
                <wp:wrapNone/>
                <wp:docPr id="17" name="Text Box 17"/>
                <wp:cNvGraphicFramePr/>
                <a:graphic xmlns:a="http://schemas.openxmlformats.org/drawingml/2006/main">
                  <a:graphicData uri="http://schemas.microsoft.com/office/word/2010/wordprocessingShape">
                    <wps:wsp>
                      <wps:cNvSpPr txBox="1"/>
                      <wps:spPr>
                        <a:xfrm>
                          <a:off x="2763520" y="3194050"/>
                          <a:ext cx="4516755" cy="612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80E00" w:rsidRDefault="00BF250B">
                            <w:pPr>
                              <w:jc w:val="center"/>
                              <w:rPr>
                                <w:b/>
                                <w:bCs/>
                                <w:lang w:val="en-US"/>
                              </w:rPr>
                            </w:pPr>
                            <w:r>
                              <w:rPr>
                                <w:b/>
                                <w:bCs/>
                              </w:rPr>
                              <w:t xml:space="preserve">Clinical and </w:t>
                            </w:r>
                            <w:proofErr w:type="spellStart"/>
                            <w:r>
                              <w:rPr>
                                <w:b/>
                                <w:bCs/>
                              </w:rPr>
                              <w:t>patholoical</w:t>
                            </w:r>
                            <w:proofErr w:type="spellEnd"/>
                            <w:r>
                              <w:rPr>
                                <w:b/>
                                <w:bCs/>
                              </w:rPr>
                              <w:t xml:space="preserve"> outcome</w:t>
                            </w:r>
                            <w:r>
                              <w:rPr>
                                <w:b/>
                                <w:bCs/>
                                <w:lang w:val="en-US"/>
                              </w:rPr>
                              <w:t xml:space="preserve">s - </w:t>
                            </w:r>
                          </w:p>
                          <w:p w:rsidR="00A80E00" w:rsidRDefault="00BF250B">
                            <w:pPr>
                              <w:jc w:val="center"/>
                              <w:rPr>
                                <w:lang w:val="en-US"/>
                              </w:rPr>
                            </w:pPr>
                            <w:proofErr w:type="spellStart"/>
                            <w:proofErr w:type="gramStart"/>
                            <w:r>
                              <w:rPr>
                                <w:lang w:val="en-US"/>
                              </w:rPr>
                              <w:t>Trismus,mucosal</w:t>
                            </w:r>
                            <w:proofErr w:type="spellEnd"/>
                            <w:proofErr w:type="gramEnd"/>
                            <w:r>
                              <w:rPr>
                                <w:lang w:val="en-US"/>
                              </w:rPr>
                              <w:t xml:space="preserve"> rigidity , burning </w:t>
                            </w:r>
                            <w:r>
                              <w:rPr>
                                <w:lang w:val="en-US"/>
                              </w:rPr>
                              <w:t>sensation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7.3pt;margin-top:8.55pt;height:48.2pt;width:355.65pt;z-index:251665408;mso-width-relative:page;mso-height-relative:page;" fillcolor="#FFFFFF [3201]" filled="t" stroked="t" coordsize="21600,21600" o:gfxdata="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hUDENYAAAAJAQAA&#10;DwAAAAAAAAABACAAAAAiAAAAZHJzL2Rvd25yZXYueG1sUEsBAhQAFAAAAAgAh07iQExAonlUAgAA&#10;xAQAAA4AAAAAAAAAAQAgAAAAJQEAAGRycy9lMm9Eb2MueG1sUEsFBgAAAAAGAAYAWQEAAOsFAAAA&#10;AA==&#10;">
                <v:fill on="t" focussize="0,0"/>
                <v:stroke weight="0.5pt" color="#000000 [3204]" joinstyle="round"/>
                <v:imagedata o:title=""/>
                <o:lock v:ext="edit" aspectratio="f"/>
                <v:textbox>
                  <w:txbxContent>
                    <w:p w14:paraId="486E9338">
                      <w:pPr>
                        <w:jc w:val="center"/>
                        <w:rPr>
                          <w:rFonts w:hint="default"/>
                          <w:b/>
                          <w:bCs/>
                          <w:lang w:val="en-US"/>
                        </w:rPr>
                      </w:pPr>
                      <w:r>
                        <w:rPr>
                          <w:b/>
                          <w:bCs/>
                        </w:rPr>
                        <w:t>Clinical and patholoical outcome</w:t>
                      </w:r>
                      <w:r>
                        <w:rPr>
                          <w:rFonts w:hint="default"/>
                          <w:b/>
                          <w:bCs/>
                          <w:lang w:val="en-US"/>
                        </w:rPr>
                        <w:t xml:space="preserve">s - </w:t>
                      </w:r>
                    </w:p>
                    <w:p w14:paraId="28EEB8BE">
                      <w:pPr>
                        <w:jc w:val="center"/>
                        <w:rPr>
                          <w:rFonts w:hint="default"/>
                          <w:b w:val="0"/>
                          <w:bCs w:val="0"/>
                          <w:lang w:val="en-US"/>
                        </w:rPr>
                      </w:pPr>
                      <w:r>
                        <w:rPr>
                          <w:rFonts w:hint="default"/>
                          <w:b w:val="0"/>
                          <w:bCs w:val="0"/>
                          <w:lang w:val="en-US"/>
                        </w:rPr>
                        <w:t>Trismus,mucosal rigidity , burning sensation</w:t>
                      </w:r>
                    </w:p>
                  </w:txbxContent>
                </v:textbox>
              </v:shape>
            </w:pict>
          </mc:Fallback>
        </mc:AlternateContent>
      </w:r>
    </w:p>
    <w:p w:rsidR="00A80E00" w:rsidRDefault="00A80E00">
      <w:pPr>
        <w:spacing w:after="210" w:line="265" w:lineRule="auto"/>
        <w:ind w:left="-5" w:right="0"/>
        <w:jc w:val="left"/>
        <w:rPr>
          <w:b/>
          <w:sz w:val="28"/>
        </w:rPr>
      </w:pPr>
    </w:p>
    <w:p w:rsidR="00A80E00" w:rsidRDefault="00A80E00">
      <w:pPr>
        <w:spacing w:after="210" w:line="265" w:lineRule="auto"/>
        <w:ind w:left="-5" w:right="0"/>
        <w:jc w:val="left"/>
        <w:rPr>
          <w:b/>
          <w:sz w:val="28"/>
        </w:rPr>
      </w:pPr>
    </w:p>
    <w:p w:rsidR="00A80E00" w:rsidRDefault="00A80E00">
      <w:pPr>
        <w:spacing w:after="210" w:line="265" w:lineRule="auto"/>
        <w:ind w:left="-5" w:right="0"/>
        <w:jc w:val="left"/>
        <w:rPr>
          <w:b/>
          <w:sz w:val="28"/>
        </w:rPr>
      </w:pPr>
    </w:p>
    <w:p w:rsidR="00A80E00" w:rsidRDefault="00A80E00">
      <w:pPr>
        <w:spacing w:after="210" w:line="265" w:lineRule="auto"/>
        <w:ind w:left="-5" w:right="0"/>
        <w:jc w:val="left"/>
        <w:rPr>
          <w:b/>
          <w:sz w:val="28"/>
        </w:rPr>
      </w:pPr>
    </w:p>
    <w:p w:rsidR="00A80E00" w:rsidRDefault="00A80E00">
      <w:pPr>
        <w:spacing w:after="210" w:line="265" w:lineRule="auto"/>
        <w:ind w:left="-5" w:right="0"/>
        <w:jc w:val="left"/>
        <w:rPr>
          <w:b/>
          <w:sz w:val="28"/>
        </w:rPr>
      </w:pPr>
    </w:p>
    <w:p w:rsidR="00A80E00" w:rsidRDefault="00A80E00">
      <w:pPr>
        <w:spacing w:after="210" w:line="265" w:lineRule="auto"/>
        <w:ind w:left="-5" w:right="0"/>
        <w:jc w:val="left"/>
        <w:rPr>
          <w:b/>
          <w:sz w:val="28"/>
        </w:rPr>
      </w:pPr>
    </w:p>
    <w:p w:rsidR="00A80E00" w:rsidRDefault="00A80E00">
      <w:pPr>
        <w:spacing w:after="210" w:line="265" w:lineRule="auto"/>
        <w:ind w:left="-5" w:right="0"/>
        <w:jc w:val="left"/>
        <w:rPr>
          <w:b/>
          <w:sz w:val="28"/>
        </w:rPr>
      </w:pPr>
    </w:p>
    <w:p w:rsidR="00A80E00" w:rsidRDefault="00A80E00">
      <w:pPr>
        <w:spacing w:after="210" w:line="265" w:lineRule="auto"/>
        <w:ind w:left="-5" w:right="0"/>
        <w:jc w:val="left"/>
        <w:rPr>
          <w:b/>
          <w:sz w:val="28"/>
        </w:rPr>
      </w:pPr>
    </w:p>
    <w:p w:rsidR="00A80E00" w:rsidRDefault="00BF250B">
      <w:pPr>
        <w:rPr>
          <w:b/>
          <w:bCs/>
        </w:rPr>
      </w:pPr>
      <w:r>
        <w:rPr>
          <w:b/>
          <w:bCs/>
        </w:rPr>
        <w:lastRenderedPageBreak/>
        <w:t>C</w:t>
      </w:r>
      <w:proofErr w:type="spellStart"/>
      <w:r>
        <w:rPr>
          <w:b/>
          <w:bCs/>
          <w:lang w:val="en-US"/>
        </w:rPr>
        <w:t>lassification</w:t>
      </w:r>
      <w:proofErr w:type="spellEnd"/>
      <w:r>
        <w:rPr>
          <w:b/>
          <w:bCs/>
        </w:rPr>
        <w:t>:</w:t>
      </w:r>
    </w:p>
    <w:p w:rsidR="00A80E00" w:rsidRDefault="00BF250B">
      <w:r>
        <w:t xml:space="preserve">Table 1, represents the newer proposed classification given by </w:t>
      </w:r>
      <w:r>
        <w:rPr>
          <w:lang w:val="en-US"/>
        </w:rPr>
        <w:t>G</w:t>
      </w:r>
      <w:proofErr w:type="spellStart"/>
      <w:r>
        <w:t>upta</w:t>
      </w:r>
      <w:proofErr w:type="spellEnd"/>
      <w:r>
        <w:t xml:space="preserve"> et al in 2023 which comprises of histological, clinical, and functional characteristics and assigns separate grades. The disease's severity was then ind</w:t>
      </w:r>
      <w:r>
        <w:t xml:space="preserve">icated by the final five cumulative </w:t>
      </w:r>
      <w:proofErr w:type="gramStart"/>
      <w:r>
        <w:t>grades.</w:t>
      </w:r>
      <w:r>
        <w:rPr>
          <w:lang w:val="en-US"/>
        </w:rPr>
        <w:t>T</w:t>
      </w:r>
      <w:r>
        <w:t>o</w:t>
      </w:r>
      <w:proofErr w:type="gramEnd"/>
      <w:r>
        <w:t xml:space="preserve"> execute appropriate treatment regimens and prevent further difficulties, pathologists and clinicians can grade OSMF accurately with this current </w:t>
      </w:r>
      <w:proofErr w:type="spellStart"/>
      <w:r>
        <w:t>categori</w:t>
      </w:r>
      <w:proofErr w:type="spellEnd"/>
      <w:r>
        <w:rPr>
          <w:lang w:val="en-US"/>
        </w:rPr>
        <w:t>z</w:t>
      </w:r>
      <w:proofErr w:type="spellStart"/>
      <w:r>
        <w:t>ation</w:t>
      </w:r>
      <w:proofErr w:type="spellEnd"/>
      <w:r>
        <w:t>, which appears to be straightforward and easy to r</w:t>
      </w:r>
      <w:r>
        <w:t>emember</w:t>
      </w:r>
      <w:r>
        <w:rPr>
          <w:lang w:val="en-US"/>
        </w:rPr>
        <w:t xml:space="preserve"> </w:t>
      </w:r>
      <w:r>
        <w:rPr>
          <w:vertAlign w:val="superscript"/>
        </w:rPr>
        <w:t>[8]</w:t>
      </w:r>
      <w:r>
        <w:t>.</w:t>
      </w:r>
    </w:p>
    <w:p w:rsidR="00A80E00" w:rsidRDefault="00A80E00">
      <w:pPr>
        <w:ind w:left="-5" w:right="45"/>
      </w:pPr>
    </w:p>
    <w:p w:rsidR="00A80E00" w:rsidRDefault="00BF250B">
      <w:pPr>
        <w:ind w:left="-5" w:right="45"/>
      </w:pPr>
      <w:r>
        <w:t>TABLE 1: Classification of Oral Submucous Fibrosis based on literature research</w:t>
      </w:r>
    </w:p>
    <w:tbl>
      <w:tblPr>
        <w:tblStyle w:val="TableGrid"/>
        <w:tblW w:w="9242" w:type="dxa"/>
        <w:tblInd w:w="-108" w:type="dxa"/>
        <w:tblCellMar>
          <w:top w:w="14" w:type="dxa"/>
          <w:left w:w="107" w:type="dxa"/>
          <w:right w:w="107" w:type="dxa"/>
        </w:tblCellMar>
        <w:tblLook w:val="04A0" w:firstRow="1" w:lastRow="0" w:firstColumn="1" w:lastColumn="0" w:noHBand="0" w:noVBand="1"/>
      </w:tblPr>
      <w:tblGrid>
        <w:gridCol w:w="4621"/>
        <w:gridCol w:w="4621"/>
      </w:tblGrid>
      <w:tr w:rsidR="00A80E00">
        <w:trPr>
          <w:trHeight w:val="286"/>
        </w:trPr>
        <w:tc>
          <w:tcPr>
            <w:tcW w:w="4621" w:type="dxa"/>
            <w:tcBorders>
              <w:top w:val="single" w:sz="4" w:space="0" w:color="000000"/>
              <w:left w:val="single" w:sz="4" w:space="0" w:color="000000"/>
              <w:bottom w:val="single" w:sz="4" w:space="0" w:color="000000"/>
              <w:right w:val="single" w:sz="4" w:space="0" w:color="000000"/>
            </w:tcBorders>
          </w:tcPr>
          <w:p w:rsidR="00A80E00" w:rsidRDefault="00BF250B">
            <w:pPr>
              <w:spacing w:after="0" w:line="259" w:lineRule="auto"/>
              <w:ind w:left="1" w:right="0" w:firstLine="0"/>
              <w:jc w:val="left"/>
            </w:pPr>
            <w:r>
              <w:rPr>
                <w:b/>
              </w:rPr>
              <w:t>Parameter</w:t>
            </w:r>
          </w:p>
        </w:tc>
        <w:tc>
          <w:tcPr>
            <w:tcW w:w="4621" w:type="dxa"/>
            <w:tcBorders>
              <w:top w:val="single" w:sz="4" w:space="0" w:color="000000"/>
              <w:left w:val="single" w:sz="4" w:space="0" w:color="000000"/>
              <w:bottom w:val="single" w:sz="4" w:space="0" w:color="000000"/>
              <w:right w:val="single" w:sz="4" w:space="0" w:color="000000"/>
            </w:tcBorders>
          </w:tcPr>
          <w:p w:rsidR="00A80E00" w:rsidRDefault="00BF250B">
            <w:pPr>
              <w:spacing w:after="0" w:line="259" w:lineRule="auto"/>
              <w:ind w:left="0" w:right="0" w:firstLine="0"/>
              <w:jc w:val="left"/>
            </w:pPr>
            <w:r>
              <w:rPr>
                <w:b/>
              </w:rPr>
              <w:t>Grading</w:t>
            </w:r>
          </w:p>
        </w:tc>
      </w:tr>
      <w:tr w:rsidR="00A80E00">
        <w:trPr>
          <w:trHeight w:val="5805"/>
        </w:trPr>
        <w:tc>
          <w:tcPr>
            <w:tcW w:w="4621" w:type="dxa"/>
            <w:tcBorders>
              <w:top w:val="single" w:sz="4" w:space="0" w:color="000000"/>
              <w:left w:val="single" w:sz="4" w:space="0" w:color="000000"/>
              <w:bottom w:val="single" w:sz="4" w:space="0" w:color="000000"/>
              <w:right w:val="single" w:sz="4" w:space="0" w:color="000000"/>
            </w:tcBorders>
          </w:tcPr>
          <w:p w:rsidR="00A80E00" w:rsidRDefault="00BF250B">
            <w:pPr>
              <w:spacing w:after="0" w:line="259" w:lineRule="auto"/>
              <w:ind w:left="1" w:right="0" w:firstLine="0"/>
              <w:jc w:val="left"/>
            </w:pPr>
            <w:r>
              <w:t>Clinical</w:t>
            </w:r>
          </w:p>
        </w:tc>
        <w:tc>
          <w:tcPr>
            <w:tcW w:w="4621" w:type="dxa"/>
            <w:tcBorders>
              <w:top w:val="single" w:sz="4" w:space="0" w:color="000000"/>
              <w:left w:val="single" w:sz="4" w:space="0" w:color="000000"/>
              <w:bottom w:val="single" w:sz="4" w:space="0" w:color="000000"/>
              <w:right w:val="single" w:sz="4" w:space="0" w:color="000000"/>
            </w:tcBorders>
          </w:tcPr>
          <w:p w:rsidR="00A80E00" w:rsidRDefault="00BF250B">
            <w:pPr>
              <w:spacing w:after="9" w:line="243" w:lineRule="auto"/>
              <w:ind w:left="0" w:right="3" w:firstLine="0"/>
            </w:pPr>
            <w:r>
              <w:t xml:space="preserve">S1: Mild stage: Mild clinical features such as </w:t>
            </w:r>
            <w:r>
              <w:rPr>
                <w:lang w:val="en-US"/>
              </w:rPr>
              <w:t>b</w:t>
            </w:r>
            <w:proofErr w:type="spellStart"/>
            <w:r>
              <w:t>urning</w:t>
            </w:r>
            <w:proofErr w:type="spellEnd"/>
            <w:r>
              <w:t xml:space="preserve"> </w:t>
            </w:r>
            <w:r>
              <w:rPr>
                <w:lang w:val="en-US"/>
              </w:rPr>
              <w:t>s</w:t>
            </w:r>
            <w:proofErr w:type="spellStart"/>
            <w:r>
              <w:t>ensation</w:t>
            </w:r>
            <w:proofErr w:type="spellEnd"/>
            <w:r>
              <w:t xml:space="preserve">, </w:t>
            </w:r>
            <w:r>
              <w:rPr>
                <w:lang w:val="en-US"/>
              </w:rPr>
              <w:t>v</w:t>
            </w:r>
            <w:proofErr w:type="spellStart"/>
            <w:r>
              <w:t>esicle</w:t>
            </w:r>
            <w:proofErr w:type="spellEnd"/>
            <w:r>
              <w:t xml:space="preserve"> formation, ulceration, </w:t>
            </w:r>
            <w:r>
              <w:rPr>
                <w:lang w:val="en-US"/>
              </w:rPr>
              <w:t>n</w:t>
            </w:r>
            <w:proofErr w:type="spellStart"/>
            <w:r>
              <w:t>ormal</w:t>
            </w:r>
            <w:proofErr w:type="spellEnd"/>
            <w:r>
              <w:t xml:space="preserve"> tongue movement, no </w:t>
            </w:r>
            <w:r>
              <w:rPr>
                <w:lang w:val="en-US"/>
              </w:rPr>
              <w:t>f</w:t>
            </w:r>
            <w:proofErr w:type="spellStart"/>
            <w:r>
              <w:t>ibrous</w:t>
            </w:r>
            <w:proofErr w:type="spellEnd"/>
            <w:r>
              <w:t xml:space="preserve"> </w:t>
            </w:r>
            <w:r>
              <w:rPr>
                <w:lang w:val="en-US"/>
              </w:rPr>
              <w:t>b</w:t>
            </w:r>
            <w:r>
              <w:t xml:space="preserve">ands. Involving </w:t>
            </w:r>
            <w:r>
              <w:rPr>
                <w:lang w:val="en-US"/>
              </w:rPr>
              <w:t xml:space="preserve">one-third </w:t>
            </w:r>
            <w:r>
              <w:t>of</w:t>
            </w:r>
            <w:r>
              <w:rPr>
                <w:lang w:val="en-US"/>
              </w:rPr>
              <w:t xml:space="preserve"> the</w:t>
            </w:r>
            <w:r>
              <w:t xml:space="preserve"> oral cavity.</w:t>
            </w:r>
          </w:p>
          <w:p w:rsidR="00A80E00" w:rsidRDefault="00BF250B">
            <w:pPr>
              <w:spacing w:after="0" w:line="244" w:lineRule="auto"/>
              <w:ind w:left="0" w:right="0" w:firstLine="0"/>
              <w:rPr>
                <w:lang w:val="en-US"/>
              </w:rPr>
            </w:pPr>
            <w:r>
              <w:t>S2: Moderate stage: Clinical features such as blanching, mottled and marble</w:t>
            </w:r>
            <w:r>
              <w:rPr>
                <w:lang w:val="en-US"/>
              </w:rPr>
              <w:t>-</w:t>
            </w:r>
            <w:r>
              <w:t xml:space="preserve">like appearance, </w:t>
            </w:r>
            <w:r>
              <w:rPr>
                <w:lang w:val="en-US"/>
              </w:rPr>
              <w:t>p</w:t>
            </w:r>
            <w:proofErr w:type="spellStart"/>
            <w:r>
              <w:t>alpable</w:t>
            </w:r>
            <w:proofErr w:type="spellEnd"/>
            <w:r>
              <w:t xml:space="preserve"> </w:t>
            </w:r>
            <w:r>
              <w:rPr>
                <w:lang w:val="en-US"/>
              </w:rPr>
              <w:t>f</w:t>
            </w:r>
            <w:proofErr w:type="spellStart"/>
            <w:r>
              <w:t>ibrous</w:t>
            </w:r>
            <w:proofErr w:type="spellEnd"/>
            <w:r>
              <w:t xml:space="preserve"> </w:t>
            </w:r>
            <w:proofErr w:type="gramStart"/>
            <w:r>
              <w:rPr>
                <w:lang w:val="en-US"/>
              </w:rPr>
              <w:t>b</w:t>
            </w:r>
            <w:proofErr w:type="spellStart"/>
            <w:r>
              <w:t>ands.Involvement</w:t>
            </w:r>
            <w:proofErr w:type="spellEnd"/>
            <w:proofErr w:type="gramEnd"/>
            <w:r>
              <w:t xml:space="preserve"> of</w:t>
            </w:r>
            <w:r>
              <w:rPr>
                <w:lang w:val="en-US"/>
              </w:rPr>
              <w:t xml:space="preserve"> one-third to two-thirds </w:t>
            </w:r>
            <w:r>
              <w:t xml:space="preserve">of the oral cavity, S3: Moderately advanced stage: </w:t>
            </w:r>
            <w:r>
              <w:t xml:space="preserve">Clinical features such as severe blanching, thick palpable Fibrous Bands occupying multiple sites, </w:t>
            </w:r>
            <w:proofErr w:type="spellStart"/>
            <w:r>
              <w:t>depapillated</w:t>
            </w:r>
            <w:proofErr w:type="spellEnd"/>
            <w:r>
              <w:t xml:space="preserve"> tongue and restricted tongue movement, shrunken bud like uvula, Floor of the Mouth involvement and lymphadenopathy. Involvement of &gt;2/3</w:t>
            </w:r>
            <w:r>
              <w:rPr>
                <w:sz w:val="16"/>
                <w:vertAlign w:val="superscript"/>
              </w:rPr>
              <w:t xml:space="preserve">rd </w:t>
            </w:r>
            <w:r>
              <w:t>of the</w:t>
            </w:r>
            <w:r>
              <w:t xml:space="preserve"> oral </w:t>
            </w:r>
            <w:proofErr w:type="spellStart"/>
            <w:r>
              <w:t>cavit</w:t>
            </w:r>
            <w:proofErr w:type="spellEnd"/>
            <w:r>
              <w:rPr>
                <w:lang w:val="en-US"/>
              </w:rPr>
              <w:t>y.</w:t>
            </w:r>
          </w:p>
          <w:p w:rsidR="00A80E00" w:rsidRDefault="00BF250B">
            <w:pPr>
              <w:spacing w:after="0" w:line="244" w:lineRule="auto"/>
              <w:ind w:left="0" w:right="1" w:firstLine="0"/>
            </w:pPr>
            <w:r>
              <w:t xml:space="preserve">S4 A: Any of the above features along with dysplastic changes like </w:t>
            </w:r>
            <w:proofErr w:type="spellStart"/>
            <w:r>
              <w:t>leukoplakia</w:t>
            </w:r>
            <w:proofErr w:type="spellEnd"/>
            <w:r>
              <w:t xml:space="preserve">, </w:t>
            </w:r>
            <w:proofErr w:type="spellStart"/>
            <w:r>
              <w:t>erythroplakia</w:t>
            </w:r>
            <w:proofErr w:type="spellEnd"/>
            <w:r>
              <w:t xml:space="preserve"> etc.</w:t>
            </w:r>
          </w:p>
          <w:p w:rsidR="00A80E00" w:rsidRDefault="00BF250B">
            <w:pPr>
              <w:tabs>
                <w:tab w:val="center" w:pos="501"/>
                <w:tab w:val="center" w:pos="1161"/>
                <w:tab w:val="center" w:pos="2116"/>
                <w:tab w:val="center" w:pos="3082"/>
                <w:tab w:val="center" w:pos="3746"/>
                <w:tab w:val="right" w:pos="4407"/>
              </w:tabs>
              <w:spacing w:after="0" w:line="259" w:lineRule="auto"/>
              <w:ind w:left="0" w:right="0" w:firstLine="0"/>
              <w:jc w:val="left"/>
            </w:pPr>
            <w:r>
              <w:t>S4</w:t>
            </w:r>
            <w:r>
              <w:tab/>
              <w:t>B:</w:t>
            </w:r>
            <w:r>
              <w:tab/>
              <w:t>Changes</w:t>
            </w:r>
            <w:r>
              <w:tab/>
              <w:t>showing</w:t>
            </w:r>
            <w:r>
              <w:tab/>
              <w:t>evidence</w:t>
            </w:r>
            <w:r>
              <w:tab/>
              <w:t>of</w:t>
            </w:r>
            <w:r>
              <w:tab/>
              <w:t>Oral</w:t>
            </w:r>
          </w:p>
          <w:p w:rsidR="00A80E00" w:rsidRDefault="00BF250B">
            <w:pPr>
              <w:spacing w:after="0" w:line="259" w:lineRule="auto"/>
              <w:ind w:left="0" w:right="0" w:firstLine="0"/>
              <w:jc w:val="left"/>
            </w:pPr>
            <w:r>
              <w:t>Squamous Cell Carcinoma</w:t>
            </w:r>
          </w:p>
        </w:tc>
      </w:tr>
      <w:tr w:rsidR="00A80E00">
        <w:trPr>
          <w:trHeight w:val="1390"/>
        </w:trPr>
        <w:tc>
          <w:tcPr>
            <w:tcW w:w="4621" w:type="dxa"/>
            <w:tcBorders>
              <w:top w:val="single" w:sz="4" w:space="0" w:color="000000"/>
              <w:left w:val="single" w:sz="4" w:space="0" w:color="000000"/>
              <w:bottom w:val="single" w:sz="4" w:space="0" w:color="000000"/>
              <w:right w:val="single" w:sz="4" w:space="0" w:color="000000"/>
            </w:tcBorders>
          </w:tcPr>
          <w:p w:rsidR="00A80E00" w:rsidRDefault="00BF250B">
            <w:pPr>
              <w:spacing w:after="0" w:line="259" w:lineRule="auto"/>
              <w:ind w:left="1" w:right="0" w:firstLine="0"/>
              <w:jc w:val="left"/>
            </w:pPr>
            <w:r>
              <w:t>Functional</w:t>
            </w:r>
          </w:p>
        </w:tc>
        <w:tc>
          <w:tcPr>
            <w:tcW w:w="4621" w:type="dxa"/>
            <w:tcBorders>
              <w:top w:val="single" w:sz="4" w:space="0" w:color="000000"/>
              <w:left w:val="single" w:sz="4" w:space="0" w:color="000000"/>
              <w:bottom w:val="single" w:sz="4" w:space="0" w:color="000000"/>
              <w:right w:val="single" w:sz="4" w:space="0" w:color="000000"/>
            </w:tcBorders>
          </w:tcPr>
          <w:p w:rsidR="00A80E00" w:rsidRDefault="00BF250B">
            <w:pPr>
              <w:spacing w:after="0" w:line="259" w:lineRule="auto"/>
              <w:ind w:left="0" w:right="0" w:firstLine="0"/>
              <w:jc w:val="left"/>
            </w:pPr>
            <w:r>
              <w:t>M1: Mouth Opening 35-40 mm</w:t>
            </w:r>
          </w:p>
          <w:p w:rsidR="00A80E00" w:rsidRDefault="00BF250B">
            <w:pPr>
              <w:spacing w:after="0" w:line="259" w:lineRule="auto"/>
              <w:ind w:left="0" w:right="0" w:firstLine="0"/>
              <w:jc w:val="left"/>
            </w:pPr>
            <w:r>
              <w:t>M2: Mouth Opening 25-35 mm</w:t>
            </w:r>
          </w:p>
          <w:p w:rsidR="00A80E00" w:rsidRDefault="00BF250B">
            <w:pPr>
              <w:spacing w:after="0" w:line="259" w:lineRule="auto"/>
              <w:ind w:left="0" w:right="0" w:firstLine="0"/>
              <w:jc w:val="left"/>
            </w:pPr>
            <w:r>
              <w:t xml:space="preserve">M3: Mouth </w:t>
            </w:r>
            <w:r>
              <w:t>Opening15-25 mm</w:t>
            </w:r>
          </w:p>
          <w:p w:rsidR="00A80E00" w:rsidRDefault="00BF250B">
            <w:pPr>
              <w:spacing w:after="0" w:line="259" w:lineRule="auto"/>
              <w:ind w:left="0" w:right="0" w:firstLine="0"/>
              <w:jc w:val="left"/>
            </w:pPr>
            <w:r>
              <w:t>M4A: Mouth Opening10-15 mm</w:t>
            </w:r>
          </w:p>
          <w:p w:rsidR="00A80E00" w:rsidRDefault="00BF250B">
            <w:pPr>
              <w:spacing w:after="0" w:line="259" w:lineRule="auto"/>
              <w:ind w:left="0" w:right="0" w:firstLine="0"/>
              <w:jc w:val="left"/>
            </w:pPr>
            <w:r>
              <w:t>M4B: Mouth Opening &lt;10 mm</w:t>
            </w:r>
          </w:p>
        </w:tc>
      </w:tr>
      <w:tr w:rsidR="00A80E00">
        <w:trPr>
          <w:trHeight w:val="9722"/>
        </w:trPr>
        <w:tc>
          <w:tcPr>
            <w:tcW w:w="4621" w:type="dxa"/>
            <w:tcBorders>
              <w:top w:val="single" w:sz="4" w:space="0" w:color="000000"/>
              <w:left w:val="single" w:sz="4" w:space="0" w:color="000000"/>
              <w:right w:val="single" w:sz="4" w:space="0" w:color="000000"/>
            </w:tcBorders>
          </w:tcPr>
          <w:p w:rsidR="00A80E00" w:rsidRDefault="00BF250B">
            <w:pPr>
              <w:spacing w:after="0" w:line="259" w:lineRule="auto"/>
              <w:ind w:left="1" w:right="0" w:firstLine="0"/>
              <w:jc w:val="left"/>
            </w:pPr>
            <w:r>
              <w:lastRenderedPageBreak/>
              <w:t>Histopathological</w:t>
            </w:r>
          </w:p>
        </w:tc>
        <w:tc>
          <w:tcPr>
            <w:tcW w:w="4621" w:type="dxa"/>
            <w:tcBorders>
              <w:top w:val="single" w:sz="4" w:space="0" w:color="000000"/>
              <w:left w:val="single" w:sz="4" w:space="0" w:color="000000"/>
              <w:bottom w:val="single" w:sz="4" w:space="0" w:color="000000"/>
              <w:right w:val="single" w:sz="4" w:space="0" w:color="000000"/>
            </w:tcBorders>
          </w:tcPr>
          <w:p w:rsidR="00A80E00" w:rsidRDefault="00BF250B">
            <w:pPr>
              <w:spacing w:after="0" w:line="244" w:lineRule="auto"/>
              <w:ind w:left="0" w:right="1" w:firstLine="0"/>
            </w:pPr>
            <w:r>
              <w:t xml:space="preserve">H1: Hyperkeratosis, lack of rete ridges, Fine collagen, intracellular oedema, plump young fibroblasts, congested Blood Vessels, inflammatory infiltrate mainly </w:t>
            </w:r>
            <w:r>
              <w:t>neutrophils along with lymphocytes, myxomatous changes in subepithelial Connective Tissue.</w:t>
            </w:r>
          </w:p>
          <w:p w:rsidR="00A80E00" w:rsidRDefault="00BF250B">
            <w:pPr>
              <w:spacing w:after="0" w:line="259" w:lineRule="auto"/>
              <w:ind w:left="0" w:right="1" w:firstLine="0"/>
            </w:pPr>
            <w:r>
              <w:t>H2: Atrophied epithelium with less prominent rete ridges, variable keratinization Juxta Epithelial Hyalinization, moderate number of plump young fibroblasts, dilated</w:t>
            </w:r>
            <w:r>
              <w:t xml:space="preserve"> and congested Blood Vessels, lymphocytes, eosinophils.</w:t>
            </w:r>
          </w:p>
          <w:p w:rsidR="00A80E00" w:rsidRDefault="00BF250B">
            <w:pPr>
              <w:spacing w:after="0" w:line="244" w:lineRule="auto"/>
              <w:ind w:left="0" w:right="1" w:firstLine="0"/>
            </w:pPr>
            <w:r>
              <w:t xml:space="preserve">H3: Marked atrophy of epithelium with lack of rete ridges, moderately hyalinized Collagen </w:t>
            </w:r>
            <w:proofErr w:type="spellStart"/>
            <w:r>
              <w:t>Fibers</w:t>
            </w:r>
            <w:proofErr w:type="spellEnd"/>
            <w:r>
              <w:t xml:space="preserve">, Juxta Epithelial Hyalinization, thickened Collagen </w:t>
            </w:r>
            <w:proofErr w:type="spellStart"/>
            <w:r>
              <w:t>Fibers</w:t>
            </w:r>
            <w:proofErr w:type="spellEnd"/>
            <w:r>
              <w:t xml:space="preserve"> separated by oedema, less marked fibroblasti</w:t>
            </w:r>
            <w:r>
              <w:t>c response, abundant</w:t>
            </w:r>
            <w:r>
              <w:rPr>
                <w:lang w:val="en-US"/>
              </w:rPr>
              <w:t xml:space="preserve"> </w:t>
            </w:r>
            <w:r>
              <w:t>mature fibrocytes, normal or constricted Blood Vessels, inflammatory infiltrate mainly lymphocytes and plasma cells and occasional eosinophils, extensive fibrosis with muscle degenerative changes.</w:t>
            </w:r>
          </w:p>
          <w:p w:rsidR="00A80E00" w:rsidRDefault="00BF250B">
            <w:pPr>
              <w:spacing w:after="0" w:line="244" w:lineRule="auto"/>
              <w:ind w:left="0" w:right="0" w:firstLine="0"/>
            </w:pPr>
            <w:r>
              <w:t xml:space="preserve">H4A: Atrophic epithelium, absence of </w:t>
            </w:r>
            <w:r>
              <w:t xml:space="preserve">rete ridges, completely hyalinized collagen with absence of oedema, absence of fibroblasts, completely obliterated or narrowed Blood </w:t>
            </w:r>
            <w:proofErr w:type="spellStart"/>
            <w:r>
              <w:t>Vessles</w:t>
            </w:r>
            <w:proofErr w:type="spellEnd"/>
            <w:r>
              <w:t xml:space="preserve">, inflammatory cells mainly lymphocytes and plasma cells, extensive degeneration of muscle </w:t>
            </w:r>
            <w:proofErr w:type="spellStart"/>
            <w:r>
              <w:t>fibers</w:t>
            </w:r>
            <w:proofErr w:type="spellEnd"/>
            <w:r>
              <w:t>. Dysplastic change</w:t>
            </w:r>
            <w:r>
              <w:t>s into epithelium.</w:t>
            </w:r>
          </w:p>
          <w:p w:rsidR="00A80E00" w:rsidRDefault="00BF250B">
            <w:pPr>
              <w:spacing w:after="0" w:line="259" w:lineRule="auto"/>
              <w:ind w:left="0" w:right="3" w:firstLine="0"/>
            </w:pPr>
            <w:r>
              <w:t>H4B: Evidence of dysplastic changes progressing into Oral Squamous Cell Carcinoma</w:t>
            </w:r>
          </w:p>
        </w:tc>
      </w:tr>
      <w:tr w:rsidR="00A80E00">
        <w:trPr>
          <w:trHeight w:val="1666"/>
        </w:trPr>
        <w:tc>
          <w:tcPr>
            <w:tcW w:w="9242" w:type="dxa"/>
            <w:gridSpan w:val="2"/>
            <w:tcBorders>
              <w:top w:val="single" w:sz="4" w:space="0" w:color="000000"/>
              <w:left w:val="single" w:sz="4" w:space="0" w:color="000000"/>
              <w:bottom w:val="single" w:sz="4" w:space="0" w:color="000000"/>
              <w:right w:val="single" w:sz="4" w:space="0" w:color="000000"/>
            </w:tcBorders>
          </w:tcPr>
          <w:p w:rsidR="00A80E00" w:rsidRDefault="00BF250B">
            <w:pPr>
              <w:spacing w:after="0" w:line="259" w:lineRule="auto"/>
              <w:ind w:left="1" w:right="0" w:firstLine="0"/>
              <w:jc w:val="left"/>
            </w:pPr>
            <w:r>
              <w:t>Cumulative grade:</w:t>
            </w:r>
          </w:p>
          <w:p w:rsidR="00A80E00" w:rsidRDefault="00BF250B">
            <w:pPr>
              <w:spacing w:after="0" w:line="259" w:lineRule="auto"/>
              <w:ind w:left="1" w:right="0" w:firstLine="0"/>
              <w:jc w:val="left"/>
            </w:pPr>
            <w:r>
              <w:t>Grade</w:t>
            </w:r>
            <w:r>
              <w:rPr>
                <w:lang w:val="en-US"/>
              </w:rPr>
              <w:t xml:space="preserve"> </w:t>
            </w:r>
            <w:r>
              <w:t>I: MILD: S1M1H1, S1M2H1 (good prognosis)</w:t>
            </w:r>
          </w:p>
          <w:p w:rsidR="00A80E00" w:rsidRDefault="00BF250B">
            <w:pPr>
              <w:spacing w:after="0" w:line="259" w:lineRule="auto"/>
              <w:ind w:left="1" w:right="0" w:firstLine="0"/>
              <w:jc w:val="left"/>
            </w:pPr>
            <w:r>
              <w:t>Grade II: MODERATE: S1M2H2, S2M1H1, S2M2H2 (</w:t>
            </w:r>
            <w:proofErr w:type="spellStart"/>
            <w:r>
              <w:t>favorable</w:t>
            </w:r>
            <w:proofErr w:type="spellEnd"/>
            <w:r>
              <w:t xml:space="preserve"> prognosis)</w:t>
            </w:r>
          </w:p>
          <w:p w:rsidR="00A80E00" w:rsidRDefault="00BF250B">
            <w:pPr>
              <w:spacing w:after="0" w:line="259" w:lineRule="auto"/>
              <w:ind w:left="1" w:right="0" w:firstLine="0"/>
              <w:jc w:val="left"/>
            </w:pPr>
            <w:r>
              <w:t>Grade III: MODERATELY AD</w:t>
            </w:r>
            <w:r>
              <w:t>VANCED: S2M3H3, S3M3H3 (fair prognosis)</w:t>
            </w:r>
          </w:p>
          <w:p w:rsidR="00A80E00" w:rsidRDefault="00BF250B">
            <w:pPr>
              <w:spacing w:after="0" w:line="259" w:lineRule="auto"/>
              <w:ind w:left="1" w:right="0" w:firstLine="0"/>
              <w:jc w:val="left"/>
            </w:pPr>
            <w:r>
              <w:t>Grade IV: ADVANCED: S4AM4AH4A, S4AM4BH4A (poor prognosis)</w:t>
            </w:r>
          </w:p>
          <w:p w:rsidR="00A80E00" w:rsidRDefault="00BF250B">
            <w:pPr>
              <w:spacing w:after="0" w:line="259" w:lineRule="auto"/>
              <w:ind w:left="1" w:right="0" w:firstLine="0"/>
              <w:jc w:val="left"/>
            </w:pPr>
            <w:r>
              <w:t>GRADE V: MALIGNANT: S4BM4BH4B, S4BM4AH4B (worst prognosis)</w:t>
            </w:r>
          </w:p>
        </w:tc>
      </w:tr>
    </w:tbl>
    <w:p w:rsidR="00A80E00" w:rsidRDefault="00A80E00">
      <w:pPr>
        <w:spacing w:after="210" w:line="265" w:lineRule="auto"/>
        <w:ind w:left="-5" w:right="0"/>
        <w:jc w:val="left"/>
        <w:rPr>
          <w:b/>
          <w:szCs w:val="24"/>
        </w:rPr>
      </w:pPr>
    </w:p>
    <w:p w:rsidR="00A80E00" w:rsidRDefault="00BF250B">
      <w:pPr>
        <w:spacing w:after="210" w:line="265" w:lineRule="auto"/>
        <w:ind w:left="-5" w:right="0"/>
        <w:jc w:val="left"/>
        <w:rPr>
          <w:szCs w:val="24"/>
          <w:lang w:val="en-US"/>
        </w:rPr>
      </w:pPr>
      <w:r>
        <w:rPr>
          <w:b/>
          <w:szCs w:val="24"/>
        </w:rPr>
        <w:t>Genomics</w:t>
      </w:r>
      <w:r>
        <w:rPr>
          <w:b/>
          <w:szCs w:val="24"/>
          <w:lang w:val="en-US"/>
        </w:rPr>
        <w:t>:</w:t>
      </w:r>
    </w:p>
    <w:p w:rsidR="00A80E00" w:rsidRDefault="00BF250B">
      <w:pPr>
        <w:spacing w:after="562"/>
        <w:ind w:left="-5" w:right="45"/>
      </w:pPr>
      <w:r>
        <w:t xml:space="preserve">The molecular genomics of OSMF is a rapidly evolving field, aiming to unravel the </w:t>
      </w:r>
      <w:r>
        <w:t>complex interaction of epigenetic, gen</w:t>
      </w:r>
      <w:r>
        <w:rPr>
          <w:lang w:val="en-US"/>
        </w:rPr>
        <w:t>e</w:t>
      </w:r>
      <w:r>
        <w:t xml:space="preserve">tic as well as proteomic changes that drive the fibrotic alteration of the oral mucosa that may be malignant </w:t>
      </w:r>
      <w:r>
        <w:rPr>
          <w:vertAlign w:val="superscript"/>
        </w:rPr>
        <w:t>[</w:t>
      </w:r>
      <w:proofErr w:type="gramStart"/>
      <w:r>
        <w:t>⁴</w:t>
      </w:r>
      <w:r>
        <w:rPr>
          <w:vertAlign w:val="superscript"/>
        </w:rPr>
        <w:t>,</w:t>
      </w:r>
      <w:r>
        <w:t>¹</w:t>
      </w:r>
      <w:proofErr w:type="gramEnd"/>
      <w:r>
        <w:t>¹</w:t>
      </w:r>
      <w:r>
        <w:rPr>
          <w:vertAlign w:val="superscript"/>
        </w:rPr>
        <w:t>]</w:t>
      </w:r>
      <w:r>
        <w:t>. Several studies have identified key molecular markers involved in OSMF pathogenesis, including TGF-β</w:t>
      </w:r>
      <w:r>
        <w:t xml:space="preserve">, which promotes fibroblast </w:t>
      </w:r>
      <w:r>
        <w:lastRenderedPageBreak/>
        <w:t>proliferation and extracellular matrix deposition</w:t>
      </w:r>
      <w:r>
        <w:rPr>
          <w:lang w:val="en-US"/>
        </w:rPr>
        <w:t xml:space="preserve"> </w:t>
      </w:r>
      <w:r>
        <w:rPr>
          <w:vertAlign w:val="superscript"/>
        </w:rPr>
        <w:t>[</w:t>
      </w:r>
      <w:proofErr w:type="gramStart"/>
      <w:r>
        <w:t>⁴</w:t>
      </w:r>
      <w:r>
        <w:rPr>
          <w:vertAlign w:val="superscript"/>
        </w:rPr>
        <w:t>,</w:t>
      </w:r>
      <w:r>
        <w:t>¹</w:t>
      </w:r>
      <w:proofErr w:type="gramEnd"/>
      <w:r>
        <w:t>²</w:t>
      </w:r>
      <w:r>
        <w:rPr>
          <w:vertAlign w:val="superscript"/>
        </w:rPr>
        <w:t>]</w:t>
      </w:r>
      <w:r>
        <w:t xml:space="preserve">. The </w:t>
      </w:r>
      <w:proofErr w:type="spellStart"/>
      <w:r>
        <w:t>Wnt</w:t>
      </w:r>
      <w:proofErr w:type="spellEnd"/>
      <w:r>
        <w:t xml:space="preserve"> inhibitory factor-1(WIF-1) is implicated in the regulation of fibroblast differentiation</w:t>
      </w:r>
      <w:r>
        <w:rPr>
          <w:lang w:val="en-US"/>
        </w:rPr>
        <w:t xml:space="preserve"> </w:t>
      </w:r>
      <w:r>
        <w:rPr>
          <w:vertAlign w:val="superscript"/>
        </w:rPr>
        <w:t>[</w:t>
      </w:r>
      <w:proofErr w:type="gramStart"/>
      <w:r>
        <w:t>⁴</w:t>
      </w:r>
      <w:r>
        <w:rPr>
          <w:vertAlign w:val="superscript"/>
        </w:rPr>
        <w:t>,</w:t>
      </w:r>
      <w:r>
        <w:t>¹</w:t>
      </w:r>
      <w:proofErr w:type="gramEnd"/>
      <w:r>
        <w:t>¹</w:t>
      </w:r>
      <w:r>
        <w:rPr>
          <w:vertAlign w:val="superscript"/>
        </w:rPr>
        <w:t>]</w:t>
      </w:r>
      <w:r>
        <w:t xml:space="preserve">. </w:t>
      </w:r>
    </w:p>
    <w:p w:rsidR="00A80E00" w:rsidRDefault="00BF250B">
      <w:proofErr w:type="gramStart"/>
      <w:r>
        <w:t>C</w:t>
      </w:r>
      <w:proofErr w:type="spellStart"/>
      <w:r>
        <w:rPr>
          <w:lang w:val="en-US"/>
        </w:rPr>
        <w:t>yclophilinA</w:t>
      </w:r>
      <w:proofErr w:type="spellEnd"/>
      <w:r>
        <w:t>(</w:t>
      </w:r>
      <w:proofErr w:type="spellStart"/>
      <w:proofErr w:type="gramEnd"/>
      <w:r>
        <w:t>CypA</w:t>
      </w:r>
      <w:proofErr w:type="spellEnd"/>
      <w:r>
        <w:t>) and H</w:t>
      </w:r>
      <w:r>
        <w:rPr>
          <w:lang w:val="en-US"/>
        </w:rPr>
        <w:t>eat shock protein</w:t>
      </w:r>
      <w:r>
        <w:t>70 1B,</w:t>
      </w:r>
      <w:r>
        <w:rPr>
          <w:lang w:val="en-US"/>
        </w:rPr>
        <w:t xml:space="preserve">are </w:t>
      </w:r>
      <w:r>
        <w:t xml:space="preserve">involved in </w:t>
      </w:r>
      <w:r>
        <w:t>cellular stress response</w:t>
      </w:r>
      <w:r>
        <w:rPr>
          <w:vertAlign w:val="superscript"/>
        </w:rPr>
        <w:t>[</w:t>
      </w:r>
      <w:r>
        <w:t>⁴</w:t>
      </w:r>
      <w:r>
        <w:rPr>
          <w:vertAlign w:val="superscript"/>
        </w:rPr>
        <w:t>,</w:t>
      </w:r>
      <w:r>
        <w:t>¹²</w:t>
      </w:r>
      <w:r>
        <w:rPr>
          <w:vertAlign w:val="superscript"/>
        </w:rPr>
        <w:t>]</w:t>
      </w:r>
      <w:r>
        <w:rPr>
          <w:lang w:val="en-US"/>
        </w:rPr>
        <w:t>,while c</w:t>
      </w:r>
      <w:proofErr w:type="spellStart"/>
      <w:r>
        <w:t>alreticulin</w:t>
      </w:r>
      <w:proofErr w:type="spellEnd"/>
      <w:r>
        <w:t xml:space="preserve">, </w:t>
      </w:r>
      <w:r>
        <w:rPr>
          <w:lang w:val="en-US"/>
        </w:rPr>
        <w:t>l</w:t>
      </w:r>
      <w:proofErr w:type="spellStart"/>
      <w:r>
        <w:t>umican</w:t>
      </w:r>
      <w:proofErr w:type="spellEnd"/>
      <w:r>
        <w:t xml:space="preserve">, and </w:t>
      </w:r>
      <w:r>
        <w:rPr>
          <w:lang w:val="en-US"/>
        </w:rPr>
        <w:t>e</w:t>
      </w:r>
      <w:proofErr w:type="spellStart"/>
      <w:r>
        <w:t>nolase</w:t>
      </w:r>
      <w:proofErr w:type="spellEnd"/>
      <w:r>
        <w:t xml:space="preserve"> 1</w:t>
      </w:r>
      <w:r>
        <w:rPr>
          <w:lang w:val="en-US"/>
        </w:rPr>
        <w:t>,</w:t>
      </w:r>
      <w:r>
        <w:t xml:space="preserve"> modulate collagen </w:t>
      </w:r>
      <w:proofErr w:type="spellStart"/>
      <w:r>
        <w:t>fibrillogenesis</w:t>
      </w:r>
      <w:proofErr w:type="spellEnd"/>
      <w:r>
        <w:t xml:space="preserve"> and tissue </w:t>
      </w:r>
      <w:proofErr w:type="spellStart"/>
      <w:r>
        <w:t>remode</w:t>
      </w:r>
      <w:proofErr w:type="spellEnd"/>
      <w:r>
        <w:rPr>
          <w:lang w:val="en-US"/>
        </w:rPr>
        <w:t>l</w:t>
      </w:r>
      <w:r>
        <w:t>ling</w:t>
      </w:r>
      <w:r>
        <w:rPr>
          <w:vertAlign w:val="superscript"/>
        </w:rPr>
        <w:t>[</w:t>
      </w:r>
      <w:r>
        <w:t>⁴</w:t>
      </w:r>
      <w:r>
        <w:rPr>
          <w:vertAlign w:val="superscript"/>
        </w:rPr>
        <w:t>,</w:t>
      </w:r>
      <w:r>
        <w:t>¹¹</w:t>
      </w:r>
      <w:r>
        <w:rPr>
          <w:vertAlign w:val="superscript"/>
        </w:rPr>
        <w:t>]</w:t>
      </w:r>
      <w:r>
        <w:t>. Additionally, MMP-2</w:t>
      </w:r>
      <w:r>
        <w:rPr>
          <w:lang w:val="en-US"/>
        </w:rPr>
        <w:t xml:space="preserve"> </w:t>
      </w:r>
      <w:r>
        <w:t>and insulin-like growth factor receptor-1 (IGF-1R) play critical roles in collagen degradation an</w:t>
      </w:r>
      <w:r>
        <w:t>d cellular proliferation, respectively</w:t>
      </w:r>
      <w:r>
        <w:rPr>
          <w:vertAlign w:val="superscript"/>
        </w:rPr>
        <w:t>[</w:t>
      </w:r>
      <w:proofErr w:type="gramStart"/>
      <w:r>
        <w:t>⁴</w:t>
      </w:r>
      <w:r>
        <w:rPr>
          <w:vertAlign w:val="superscript"/>
        </w:rPr>
        <w:t>,</w:t>
      </w:r>
      <w:r>
        <w:t>¹</w:t>
      </w:r>
      <w:proofErr w:type="gramEnd"/>
      <w:r>
        <w:t>²</w:t>
      </w:r>
      <w:r>
        <w:rPr>
          <w:vertAlign w:val="superscript"/>
        </w:rPr>
        <w:t>]</w:t>
      </w:r>
      <w:r>
        <w:t>. Non-coding RNAs such as X</w:t>
      </w:r>
      <w:r>
        <w:rPr>
          <w:lang w:val="en-US"/>
        </w:rPr>
        <w:t>-inactive specific transcript</w:t>
      </w:r>
      <w:r>
        <w:t xml:space="preserve"> have also been identified as regulatory elements influencing gene expression in OSMF</w:t>
      </w:r>
      <w:r>
        <w:rPr>
          <w:vertAlign w:val="superscript"/>
        </w:rPr>
        <w:t>[</w:t>
      </w:r>
      <w:proofErr w:type="gramStart"/>
      <w:r>
        <w:t>⁴</w:t>
      </w:r>
      <w:r>
        <w:rPr>
          <w:vertAlign w:val="superscript"/>
        </w:rPr>
        <w:t>,</w:t>
      </w:r>
      <w:r>
        <w:t>¹</w:t>
      </w:r>
      <w:proofErr w:type="gramEnd"/>
      <w:r>
        <w:t>¹</w:t>
      </w:r>
      <w:r>
        <w:rPr>
          <w:vertAlign w:val="superscript"/>
        </w:rPr>
        <w:t>]</w:t>
      </w:r>
      <w:r>
        <w:t xml:space="preserve">. </w:t>
      </w:r>
    </w:p>
    <w:p w:rsidR="00A80E00" w:rsidRDefault="00A80E00"/>
    <w:p w:rsidR="00A80E00" w:rsidRDefault="00BF250B">
      <w:r>
        <w:t>Advanced genomic technologies, including next-generation sequ</w:t>
      </w:r>
      <w:r>
        <w:t>encing and microarray analyses, have facilitated the identification of these molecular alterations and provided insights into their functional consequences</w:t>
      </w:r>
      <w:r>
        <w:rPr>
          <w:vertAlign w:val="superscript"/>
        </w:rPr>
        <w:t>[</w:t>
      </w:r>
      <w:proofErr w:type="gramStart"/>
      <w:r>
        <w:t>⁴</w:t>
      </w:r>
      <w:r>
        <w:rPr>
          <w:vertAlign w:val="superscript"/>
        </w:rPr>
        <w:t>,</w:t>
      </w:r>
      <w:r>
        <w:t>¹</w:t>
      </w:r>
      <w:proofErr w:type="gramEnd"/>
      <w:r>
        <w:t>²</w:t>
      </w:r>
      <w:r>
        <w:rPr>
          <w:vertAlign w:val="superscript"/>
        </w:rPr>
        <w:t>]</w:t>
      </w:r>
      <w:r>
        <w:t>. Understanding these pathways enables the development of targeted therapeutic strategies, such</w:t>
      </w:r>
      <w:r>
        <w:t xml:space="preserve"> as modulation of TGF-β signa</w:t>
      </w:r>
      <w:r>
        <w:rPr>
          <w:lang w:val="en-US"/>
        </w:rPr>
        <w:t>l</w:t>
      </w:r>
      <w:r>
        <w:t xml:space="preserve">ling or inhibition of </w:t>
      </w:r>
      <w:proofErr w:type="spellStart"/>
      <w:r>
        <w:t>fibrogenic</w:t>
      </w:r>
      <w:proofErr w:type="spellEnd"/>
      <w:r>
        <w:t xml:space="preserve"> pathways, which hold potential for improving clinical outcomes</w:t>
      </w:r>
      <w:r>
        <w:rPr>
          <w:vertAlign w:val="superscript"/>
        </w:rPr>
        <w:t>[</w:t>
      </w:r>
      <w:proofErr w:type="gramStart"/>
      <w:r>
        <w:t>⁴</w:t>
      </w:r>
      <w:r>
        <w:rPr>
          <w:vertAlign w:val="superscript"/>
        </w:rPr>
        <w:t>,</w:t>
      </w:r>
      <w:r>
        <w:t>¹</w:t>
      </w:r>
      <w:proofErr w:type="gramEnd"/>
      <w:r>
        <w:t>¹</w:t>
      </w:r>
      <w:r>
        <w:rPr>
          <w:vertAlign w:val="superscript"/>
        </w:rPr>
        <w:t>]</w:t>
      </w:r>
      <w:r>
        <w:t>.</w:t>
      </w:r>
    </w:p>
    <w:p w:rsidR="00A80E00" w:rsidRDefault="00A80E00"/>
    <w:p w:rsidR="00A80E00" w:rsidRDefault="00BF250B">
      <w:r>
        <w:t>The integration of molecular data with clinical and histopathological findings represents a promising approach to personal</w:t>
      </w:r>
      <w:r>
        <w:t>ize treatment and assess malignant transformation risk in patients with OSMF</w:t>
      </w:r>
      <w:r>
        <w:rPr>
          <w:vertAlign w:val="superscript"/>
        </w:rPr>
        <w:t>[</w:t>
      </w:r>
      <w:proofErr w:type="gramStart"/>
      <w:r>
        <w:t>⁴</w:t>
      </w:r>
      <w:r>
        <w:rPr>
          <w:vertAlign w:val="superscript"/>
        </w:rPr>
        <w:t>,</w:t>
      </w:r>
      <w:r>
        <w:t>¹</w:t>
      </w:r>
      <w:proofErr w:type="gramEnd"/>
      <w:r>
        <w:t>²</w:t>
      </w:r>
      <w:r>
        <w:rPr>
          <w:vertAlign w:val="superscript"/>
        </w:rPr>
        <w:t>]</w:t>
      </w:r>
      <w:r>
        <w:t>.</w:t>
      </w:r>
    </w:p>
    <w:p w:rsidR="00A80E00" w:rsidRDefault="00BF250B">
      <w:r>
        <w:t>Table2</w:t>
      </w:r>
      <w:r>
        <w:rPr>
          <w:lang w:val="en-US"/>
        </w:rPr>
        <w:t xml:space="preserve"> below </w:t>
      </w:r>
      <w:r>
        <w:t xml:space="preserve">represents the Key Molecular Markers and its role in </w:t>
      </w:r>
      <w:proofErr w:type="spellStart"/>
      <w:r>
        <w:t>OSMF:by</w:t>
      </w:r>
      <w:proofErr w:type="spellEnd"/>
      <w:r>
        <w:t xml:space="preserve"> </w:t>
      </w:r>
      <w:proofErr w:type="spellStart"/>
      <w:r>
        <w:t>Zisis</w:t>
      </w:r>
      <w:proofErr w:type="spellEnd"/>
      <w:r>
        <w:t xml:space="preserve"> et al., 2021</w:t>
      </w:r>
    </w:p>
    <w:p w:rsidR="00A80E00" w:rsidRDefault="00BF250B">
      <w:pPr>
        <w:rPr>
          <w:vertAlign w:val="superscript"/>
          <w:lang w:val="en-US"/>
        </w:rPr>
      </w:pPr>
      <w:r>
        <w:rPr>
          <w:lang w:val="en-US"/>
        </w:rPr>
        <w:t xml:space="preserve">     TABLE </w:t>
      </w:r>
      <w:proofErr w:type="gramStart"/>
      <w:r>
        <w:rPr>
          <w:lang w:val="en-US"/>
        </w:rPr>
        <w:t>2:Key</w:t>
      </w:r>
      <w:proofErr w:type="gramEnd"/>
      <w:r>
        <w:rPr>
          <w:lang w:val="en-US"/>
        </w:rPr>
        <w:t xml:space="preserve"> Molecula</w:t>
      </w:r>
      <w:r>
        <w:rPr>
          <w:lang w:val="en-US"/>
        </w:rPr>
        <w:t>r</w:t>
      </w:r>
      <w:r>
        <w:rPr>
          <w:lang w:val="en-US"/>
        </w:rPr>
        <w:t xml:space="preserve"> Markers and its role in OSMF</w:t>
      </w:r>
      <w:r>
        <w:rPr>
          <w:vertAlign w:val="superscript"/>
          <w:lang w:val="en-US"/>
        </w:rPr>
        <w:t>[4]</w:t>
      </w:r>
    </w:p>
    <w:tbl>
      <w:tblPr>
        <w:tblStyle w:val="TableGrid"/>
        <w:tblW w:w="7323" w:type="dxa"/>
        <w:tblInd w:w="749" w:type="dxa"/>
        <w:tblCellMar>
          <w:top w:w="45" w:type="dxa"/>
          <w:left w:w="107" w:type="dxa"/>
          <w:right w:w="110" w:type="dxa"/>
        </w:tblCellMar>
        <w:tblLook w:val="04A0" w:firstRow="1" w:lastRow="0" w:firstColumn="1" w:lastColumn="0" w:noHBand="0" w:noVBand="1"/>
      </w:tblPr>
      <w:tblGrid>
        <w:gridCol w:w="3279"/>
        <w:gridCol w:w="4044"/>
      </w:tblGrid>
      <w:tr w:rsidR="00A80E00">
        <w:trPr>
          <w:trHeight w:val="419"/>
        </w:trPr>
        <w:tc>
          <w:tcPr>
            <w:tcW w:w="3279" w:type="dxa"/>
            <w:tcBorders>
              <w:top w:val="single" w:sz="4" w:space="0" w:color="000000"/>
              <w:left w:val="single" w:sz="4" w:space="0" w:color="000000"/>
              <w:bottom w:val="single" w:sz="4" w:space="0" w:color="000000"/>
              <w:right w:val="single" w:sz="4" w:space="0" w:color="000000"/>
            </w:tcBorders>
          </w:tcPr>
          <w:p w:rsidR="00A80E00" w:rsidRDefault="00BF250B">
            <w:r>
              <w:t>Molecular Marker</w:t>
            </w:r>
          </w:p>
        </w:tc>
        <w:tc>
          <w:tcPr>
            <w:tcW w:w="4044" w:type="dxa"/>
            <w:tcBorders>
              <w:top w:val="single" w:sz="4" w:space="0" w:color="000000"/>
              <w:left w:val="single" w:sz="4" w:space="0" w:color="000000"/>
              <w:bottom w:val="single" w:sz="4" w:space="0" w:color="000000"/>
              <w:right w:val="single" w:sz="4" w:space="0" w:color="000000"/>
            </w:tcBorders>
          </w:tcPr>
          <w:p w:rsidR="00A80E00" w:rsidRDefault="00BF250B">
            <w:r>
              <w:t>Role in OSMF</w:t>
            </w:r>
          </w:p>
        </w:tc>
      </w:tr>
      <w:tr w:rsidR="00A80E00">
        <w:trPr>
          <w:trHeight w:val="1183"/>
        </w:trPr>
        <w:tc>
          <w:tcPr>
            <w:tcW w:w="3279" w:type="dxa"/>
            <w:tcBorders>
              <w:top w:val="single" w:sz="4" w:space="0" w:color="000000"/>
              <w:left w:val="single" w:sz="4" w:space="0" w:color="000000"/>
              <w:bottom w:val="single" w:sz="4" w:space="0" w:color="000000"/>
              <w:right w:val="single" w:sz="4" w:space="0" w:color="000000"/>
            </w:tcBorders>
          </w:tcPr>
          <w:p w:rsidR="00A80E00" w:rsidRDefault="00BF250B">
            <w:r>
              <w:t>TGF-β</w:t>
            </w:r>
          </w:p>
        </w:tc>
        <w:tc>
          <w:tcPr>
            <w:tcW w:w="4044" w:type="dxa"/>
            <w:tcBorders>
              <w:top w:val="single" w:sz="4" w:space="0" w:color="000000"/>
              <w:left w:val="single" w:sz="4" w:space="0" w:color="000000"/>
              <w:bottom w:val="single" w:sz="4" w:space="0" w:color="000000"/>
              <w:right w:val="single" w:sz="4" w:space="0" w:color="000000"/>
            </w:tcBorders>
          </w:tcPr>
          <w:p w:rsidR="00A80E00" w:rsidRDefault="00BF250B">
            <w:r>
              <w:t>Promotes fibroblast proliferation and collagen deposition</w:t>
            </w:r>
          </w:p>
        </w:tc>
      </w:tr>
      <w:tr w:rsidR="00A80E00">
        <w:trPr>
          <w:trHeight w:val="802"/>
        </w:trPr>
        <w:tc>
          <w:tcPr>
            <w:tcW w:w="3279"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WIF-1</w:t>
            </w:r>
          </w:p>
        </w:tc>
        <w:tc>
          <w:tcPr>
            <w:tcW w:w="4044"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Regulates fibroblast differentiation</w:t>
            </w:r>
          </w:p>
        </w:tc>
      </w:tr>
      <w:tr w:rsidR="00A80E00">
        <w:trPr>
          <w:trHeight w:val="419"/>
        </w:trPr>
        <w:tc>
          <w:tcPr>
            <w:tcW w:w="3279" w:type="dxa"/>
            <w:tcBorders>
              <w:top w:val="single" w:sz="4" w:space="0" w:color="000000"/>
              <w:left w:val="single" w:sz="4" w:space="0" w:color="000000"/>
              <w:bottom w:val="single" w:sz="4" w:space="0" w:color="000000"/>
              <w:right w:val="single" w:sz="4" w:space="0" w:color="000000"/>
            </w:tcBorders>
          </w:tcPr>
          <w:p w:rsidR="00A80E00" w:rsidRDefault="00BF250B">
            <w:proofErr w:type="spellStart"/>
            <w:r>
              <w:rPr>
                <w:rFonts w:eastAsia="Calibri"/>
                <w:sz w:val="20"/>
              </w:rPr>
              <w:t>CypA</w:t>
            </w:r>
            <w:proofErr w:type="spellEnd"/>
          </w:p>
        </w:tc>
        <w:tc>
          <w:tcPr>
            <w:tcW w:w="4044"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Cellular stress response</w:t>
            </w:r>
          </w:p>
        </w:tc>
      </w:tr>
      <w:tr w:rsidR="00A80E00">
        <w:trPr>
          <w:trHeight w:val="802"/>
        </w:trPr>
        <w:tc>
          <w:tcPr>
            <w:tcW w:w="3279"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Hsp-70 1B</w:t>
            </w:r>
          </w:p>
        </w:tc>
        <w:tc>
          <w:tcPr>
            <w:tcW w:w="4044"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Protects cells from oxidative stress</w:t>
            </w:r>
          </w:p>
        </w:tc>
      </w:tr>
      <w:tr w:rsidR="00A80E00">
        <w:trPr>
          <w:trHeight w:val="802"/>
        </w:trPr>
        <w:tc>
          <w:tcPr>
            <w:tcW w:w="3279"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Calreticulin</w:t>
            </w:r>
          </w:p>
        </w:tc>
        <w:tc>
          <w:tcPr>
            <w:tcW w:w="4044"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 xml:space="preserve">Modulates collagen </w:t>
            </w:r>
            <w:proofErr w:type="spellStart"/>
            <w:r>
              <w:rPr>
                <w:rFonts w:eastAsia="Calibri"/>
                <w:sz w:val="20"/>
              </w:rPr>
              <w:t>fibrillogenesis</w:t>
            </w:r>
            <w:proofErr w:type="spellEnd"/>
          </w:p>
        </w:tc>
      </w:tr>
      <w:tr w:rsidR="00A80E00">
        <w:trPr>
          <w:trHeight w:val="802"/>
        </w:trPr>
        <w:tc>
          <w:tcPr>
            <w:tcW w:w="3279" w:type="dxa"/>
            <w:tcBorders>
              <w:top w:val="single" w:sz="4" w:space="0" w:color="000000"/>
              <w:left w:val="single" w:sz="4" w:space="0" w:color="000000"/>
              <w:bottom w:val="single" w:sz="4" w:space="0" w:color="000000"/>
              <w:right w:val="single" w:sz="4" w:space="0" w:color="000000"/>
            </w:tcBorders>
          </w:tcPr>
          <w:p w:rsidR="00A80E00" w:rsidRDefault="00BF250B">
            <w:proofErr w:type="spellStart"/>
            <w:r>
              <w:rPr>
                <w:rFonts w:eastAsia="Calibri"/>
                <w:sz w:val="20"/>
              </w:rPr>
              <w:t>Lumican</w:t>
            </w:r>
            <w:proofErr w:type="spellEnd"/>
          </w:p>
        </w:tc>
        <w:tc>
          <w:tcPr>
            <w:tcW w:w="4044"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 xml:space="preserve">Influences </w:t>
            </w:r>
            <w:r>
              <w:rPr>
                <w:rFonts w:eastAsia="Calibri"/>
                <w:sz w:val="20"/>
                <w:lang w:val="en-US"/>
              </w:rPr>
              <w:t>extracellular matrix</w:t>
            </w:r>
            <w:r>
              <w:rPr>
                <w:rFonts w:eastAsia="Calibri"/>
                <w:sz w:val="20"/>
              </w:rPr>
              <w:t xml:space="preserve"> structure and </w:t>
            </w:r>
            <w:proofErr w:type="spellStart"/>
            <w:r>
              <w:rPr>
                <w:rFonts w:eastAsia="Calibri"/>
                <w:sz w:val="20"/>
              </w:rPr>
              <w:t>remodeling</w:t>
            </w:r>
            <w:proofErr w:type="spellEnd"/>
          </w:p>
        </w:tc>
      </w:tr>
      <w:tr w:rsidR="00A80E00">
        <w:trPr>
          <w:trHeight w:val="802"/>
        </w:trPr>
        <w:tc>
          <w:tcPr>
            <w:tcW w:w="3279"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Enolase 1</w:t>
            </w:r>
          </w:p>
        </w:tc>
        <w:tc>
          <w:tcPr>
            <w:tcW w:w="4044"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Involved in tissue metabolism and remodel</w:t>
            </w:r>
            <w:r>
              <w:rPr>
                <w:rFonts w:eastAsia="Calibri"/>
                <w:sz w:val="20"/>
                <w:lang w:val="en-US"/>
              </w:rPr>
              <w:t>l</w:t>
            </w:r>
            <w:proofErr w:type="spellStart"/>
            <w:r>
              <w:rPr>
                <w:rFonts w:eastAsia="Calibri"/>
                <w:sz w:val="20"/>
              </w:rPr>
              <w:t>ing</w:t>
            </w:r>
            <w:proofErr w:type="spellEnd"/>
          </w:p>
        </w:tc>
      </w:tr>
      <w:tr w:rsidR="00A80E00">
        <w:trPr>
          <w:trHeight w:val="419"/>
        </w:trPr>
        <w:tc>
          <w:tcPr>
            <w:tcW w:w="3279"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MMP-2</w:t>
            </w:r>
          </w:p>
        </w:tc>
        <w:tc>
          <w:tcPr>
            <w:tcW w:w="4044"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Collagen degradation</w:t>
            </w:r>
          </w:p>
        </w:tc>
      </w:tr>
      <w:tr w:rsidR="00A80E00">
        <w:trPr>
          <w:trHeight w:val="419"/>
        </w:trPr>
        <w:tc>
          <w:tcPr>
            <w:tcW w:w="3279"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IGF-1R</w:t>
            </w:r>
          </w:p>
        </w:tc>
        <w:tc>
          <w:tcPr>
            <w:tcW w:w="4044"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Cell proliferation and survival</w:t>
            </w:r>
          </w:p>
        </w:tc>
      </w:tr>
      <w:tr w:rsidR="00A80E00">
        <w:trPr>
          <w:trHeight w:val="449"/>
        </w:trPr>
        <w:tc>
          <w:tcPr>
            <w:tcW w:w="3279"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lastRenderedPageBreak/>
              <w:t>XIST</w:t>
            </w:r>
          </w:p>
        </w:tc>
        <w:tc>
          <w:tcPr>
            <w:tcW w:w="4044" w:type="dxa"/>
            <w:tcBorders>
              <w:top w:val="single" w:sz="4" w:space="0" w:color="000000"/>
              <w:left w:val="single" w:sz="4" w:space="0" w:color="000000"/>
              <w:bottom w:val="single" w:sz="4" w:space="0" w:color="000000"/>
              <w:right w:val="single" w:sz="4" w:space="0" w:color="000000"/>
            </w:tcBorders>
          </w:tcPr>
          <w:p w:rsidR="00A80E00" w:rsidRDefault="00BF250B">
            <w:r>
              <w:rPr>
                <w:rFonts w:eastAsia="Calibri"/>
                <w:sz w:val="20"/>
              </w:rPr>
              <w:t>Regulates gene expression</w:t>
            </w:r>
          </w:p>
        </w:tc>
      </w:tr>
    </w:tbl>
    <w:p w:rsidR="00A80E00" w:rsidRDefault="00A80E00">
      <w:pPr>
        <w:spacing w:after="219" w:line="259" w:lineRule="auto"/>
        <w:ind w:left="0" w:right="0" w:firstLine="0"/>
        <w:jc w:val="left"/>
        <w:rPr>
          <w:rFonts w:ascii="SimSun" w:eastAsia="SimSun" w:hAnsi="SimSun" w:cs="SimSun"/>
          <w:sz w:val="28"/>
        </w:rPr>
      </w:pPr>
    </w:p>
    <w:p w:rsidR="00A80E00" w:rsidRDefault="00BF250B">
      <w:pPr>
        <w:spacing w:after="219" w:line="259" w:lineRule="auto"/>
        <w:ind w:left="0" w:right="0" w:firstLine="0"/>
        <w:jc w:val="left"/>
        <w:rPr>
          <w:b/>
          <w:bCs/>
        </w:rPr>
      </w:pPr>
      <w:r>
        <w:rPr>
          <w:rFonts w:eastAsia="SimSun"/>
          <w:b/>
          <w:bCs/>
          <w:szCs w:val="24"/>
        </w:rPr>
        <w:t>C</w:t>
      </w:r>
      <w:proofErr w:type="spellStart"/>
      <w:r>
        <w:rPr>
          <w:rFonts w:eastAsia="SimSun"/>
          <w:b/>
          <w:bCs/>
          <w:szCs w:val="24"/>
          <w:lang w:val="en-US"/>
        </w:rPr>
        <w:t>linical</w:t>
      </w:r>
      <w:proofErr w:type="spellEnd"/>
      <w:r>
        <w:rPr>
          <w:rFonts w:eastAsia="SimSun"/>
          <w:b/>
          <w:bCs/>
          <w:szCs w:val="24"/>
          <w:lang w:val="en-US"/>
        </w:rPr>
        <w:t xml:space="preserve"> features</w:t>
      </w:r>
      <w:r>
        <w:rPr>
          <w:rFonts w:eastAsia="SimSun"/>
          <w:b/>
          <w:bCs/>
          <w:szCs w:val="24"/>
        </w:rPr>
        <w:t>:</w:t>
      </w:r>
    </w:p>
    <w:p w:rsidR="00A80E00" w:rsidRDefault="00BF250B">
      <w:pPr>
        <w:spacing w:after="271"/>
        <w:ind w:left="-5" w:right="45"/>
      </w:pPr>
      <w:r>
        <w:t>OSMF</w:t>
      </w:r>
      <w:r>
        <w:rPr>
          <w:lang w:val="en-US"/>
        </w:rPr>
        <w:t xml:space="preserve"> </w:t>
      </w:r>
      <w:r>
        <w:t>presents</w:t>
      </w:r>
      <w:r>
        <w:t xml:space="preserve"> with a spectrum of characteristic clinical features:</w:t>
      </w:r>
    </w:p>
    <w:p w:rsidR="00A80E00" w:rsidRDefault="00BF250B">
      <w:pPr>
        <w:spacing w:after="702"/>
        <w:ind w:right="45"/>
      </w:pPr>
      <w:r>
        <w:t xml:space="preserve">Patients often develop a </w:t>
      </w:r>
      <w:r>
        <w:rPr>
          <w:b/>
        </w:rPr>
        <w:t xml:space="preserve">leathery texture of the oral mucosa </w:t>
      </w:r>
      <w:r>
        <w:t xml:space="preserve">with the presence of </w:t>
      </w:r>
      <w:r>
        <w:rPr>
          <w:b/>
        </w:rPr>
        <w:t xml:space="preserve">palpable fibrotic bands </w:t>
      </w:r>
      <w:r>
        <w:t xml:space="preserve">that contribute to </w:t>
      </w:r>
      <w:r>
        <w:rPr>
          <w:b/>
        </w:rPr>
        <w:t xml:space="preserve">blanching and stiffness of </w:t>
      </w:r>
      <w:proofErr w:type="gramStart"/>
      <w:r>
        <w:rPr>
          <w:b/>
        </w:rPr>
        <w:t>tissues</w:t>
      </w:r>
      <w:r>
        <w:rPr>
          <w:b/>
          <w:vertAlign w:val="superscript"/>
        </w:rPr>
        <w:t>[</w:t>
      </w:r>
      <w:proofErr w:type="gramEnd"/>
      <w:r>
        <w:rPr>
          <w:b/>
          <w:vertAlign w:val="superscript"/>
        </w:rPr>
        <w:t>6,11]</w:t>
      </w:r>
      <w:r>
        <w:t xml:space="preserve">. </w:t>
      </w:r>
      <w:r>
        <w:rPr>
          <w:b/>
        </w:rPr>
        <w:t xml:space="preserve">Recurrent ulceration </w:t>
      </w:r>
      <w:r>
        <w:t xml:space="preserve">and </w:t>
      </w:r>
      <w:r>
        <w:rPr>
          <w:b/>
        </w:rPr>
        <w:t xml:space="preserve">pigmentation changes </w:t>
      </w:r>
      <w:r>
        <w:t xml:space="preserve">may also be observed, along with symptoms such as </w:t>
      </w:r>
      <w:r>
        <w:rPr>
          <w:b/>
        </w:rPr>
        <w:t xml:space="preserve">dryness of the mouth </w:t>
      </w:r>
      <w:r>
        <w:t xml:space="preserve">and a persistent </w:t>
      </w:r>
      <w:r>
        <w:rPr>
          <w:b/>
        </w:rPr>
        <w:t xml:space="preserve">burning </w:t>
      </w:r>
      <w:proofErr w:type="gramStart"/>
      <w:r>
        <w:rPr>
          <w:b/>
        </w:rPr>
        <w:t>sensation</w:t>
      </w:r>
      <w:r>
        <w:rPr>
          <w:b/>
          <w:vertAlign w:val="superscript"/>
        </w:rPr>
        <w:t>[</w:t>
      </w:r>
      <w:proofErr w:type="gramEnd"/>
      <w:r>
        <w:rPr>
          <w:b/>
          <w:vertAlign w:val="superscript"/>
        </w:rPr>
        <w:t>6,12]</w:t>
      </w:r>
      <w:r>
        <w:t xml:space="preserve">. As the disease progresses, functional limitations arise, most notably a </w:t>
      </w:r>
      <w:r>
        <w:rPr>
          <w:b/>
        </w:rPr>
        <w:t xml:space="preserve">gradual reduction in mouth opening (trismus) </w:t>
      </w:r>
      <w:r>
        <w:t xml:space="preserve">and </w:t>
      </w:r>
      <w:r>
        <w:rPr>
          <w:b/>
        </w:rPr>
        <w:t>d</w:t>
      </w:r>
      <w:r>
        <w:rPr>
          <w:b/>
        </w:rPr>
        <w:t>ifficulty in tongue protrusion</w:t>
      </w:r>
      <w:r>
        <w:t xml:space="preserve">, which significantly impair oral functions and quality of </w:t>
      </w:r>
      <w:proofErr w:type="gramStart"/>
      <w:r>
        <w:t>life</w:t>
      </w:r>
      <w:r>
        <w:rPr>
          <w:vertAlign w:val="superscript"/>
          <w:lang w:val="en-US"/>
        </w:rPr>
        <w:t>[</w:t>
      </w:r>
      <w:proofErr w:type="gramEnd"/>
      <w:r>
        <w:rPr>
          <w:vertAlign w:val="superscript"/>
          <w:lang w:val="en-US"/>
        </w:rPr>
        <w:t>6,11]</w:t>
      </w:r>
      <w:r>
        <w:t>.</w:t>
      </w:r>
    </w:p>
    <w:p w:rsidR="00A80E00" w:rsidRDefault="00BF250B">
      <w:r>
        <w:t>OSMF can be classified into four clinical grades based on the extent of involvement and functional limitations:</w:t>
      </w:r>
    </w:p>
    <w:p w:rsidR="00A80E00" w:rsidRDefault="00BF250B">
      <w:r>
        <w:rPr>
          <w:b/>
          <w:bCs/>
        </w:rPr>
        <w:t xml:space="preserve">Grade </w:t>
      </w:r>
      <w:proofErr w:type="gramStart"/>
      <w:r>
        <w:rPr>
          <w:b/>
          <w:bCs/>
        </w:rPr>
        <w:t>1</w:t>
      </w:r>
      <w:r>
        <w:rPr>
          <w:b/>
          <w:bCs/>
          <w:lang w:val="en-US"/>
        </w:rPr>
        <w:t>:</w:t>
      </w:r>
      <w:r>
        <w:t>With</w:t>
      </w:r>
      <w:proofErr w:type="gramEnd"/>
      <w:r>
        <w:t xml:space="preserve"> a mouth opening of up to 35 mm</w:t>
      </w:r>
      <w:r>
        <w:t>, the disease affects over one-third of the oral cavity and manifests as mild blanching, burning, recurrent ulceration, stomatitis, and dry mouth</w:t>
      </w:r>
      <w:r>
        <w:rPr>
          <w:vertAlign w:val="superscript"/>
        </w:rPr>
        <w:t>[1,15]</w:t>
      </w:r>
      <w:r>
        <w:t>.</w:t>
      </w:r>
    </w:p>
    <w:p w:rsidR="00A80E00" w:rsidRDefault="00BF250B">
      <w:r>
        <w:rPr>
          <w:b/>
          <w:bCs/>
        </w:rPr>
        <w:t xml:space="preserve">Grade </w:t>
      </w:r>
      <w:proofErr w:type="gramStart"/>
      <w:r>
        <w:rPr>
          <w:b/>
          <w:bCs/>
        </w:rPr>
        <w:t>2</w:t>
      </w:r>
      <w:r>
        <w:rPr>
          <w:b/>
          <w:bCs/>
          <w:lang w:val="en-US"/>
        </w:rPr>
        <w:t>:</w:t>
      </w:r>
      <w:r>
        <w:rPr>
          <w:lang w:val="en-US"/>
        </w:rPr>
        <w:t>I</w:t>
      </w:r>
      <w:proofErr w:type="spellStart"/>
      <w:r>
        <w:t>nvolvement</w:t>
      </w:r>
      <w:proofErr w:type="spellEnd"/>
      <w:proofErr w:type="gramEnd"/>
      <w:r>
        <w:t xml:space="preserve"> of one-third to two-thirds of the oral cavity, along with palpable fibrotic bands</w:t>
      </w:r>
      <w:r>
        <w:rPr>
          <w:lang w:val="en-US"/>
        </w:rPr>
        <w:t xml:space="preserve"> a</w:t>
      </w:r>
      <w:r>
        <w:rPr>
          <w:lang w:val="en-US"/>
        </w:rPr>
        <w:t xml:space="preserve">nd </w:t>
      </w:r>
      <w:r>
        <w:t xml:space="preserve">blanching that </w:t>
      </w:r>
      <w:r>
        <w:rPr>
          <w:lang w:val="en-US"/>
        </w:rPr>
        <w:t xml:space="preserve">gives a </w:t>
      </w:r>
      <w:r>
        <w:t>mottled and marble-like</w:t>
      </w:r>
      <w:r>
        <w:rPr>
          <w:lang w:val="en-US"/>
        </w:rPr>
        <w:t xml:space="preserve"> appearance</w:t>
      </w:r>
      <w:r>
        <w:t xml:space="preserve"> and extending to the premolar and soft palate regions. At this point, the mouth opening is between 25 and 35 mm, and cheek flexibility has decrease</w:t>
      </w:r>
      <w:r>
        <w:rPr>
          <w:lang w:val="en-US"/>
        </w:rPr>
        <w:t>s</w:t>
      </w:r>
      <w:r>
        <w:t xml:space="preserve"> by 33%</w:t>
      </w:r>
      <w:r>
        <w:rPr>
          <w:lang w:val="en-US"/>
        </w:rPr>
        <w:t xml:space="preserve"> </w:t>
      </w:r>
      <w:r>
        <w:rPr>
          <w:vertAlign w:val="superscript"/>
          <w:lang w:val="en-US"/>
        </w:rPr>
        <w:t>[1,15]</w:t>
      </w:r>
      <w:r>
        <w:t>.</w:t>
      </w:r>
    </w:p>
    <w:p w:rsidR="00A80E00" w:rsidRDefault="00BF250B">
      <w:r>
        <w:rPr>
          <w:b/>
        </w:rPr>
        <w:t xml:space="preserve">Grade </w:t>
      </w:r>
      <w:proofErr w:type="gramStart"/>
      <w:r>
        <w:rPr>
          <w:b/>
        </w:rPr>
        <w:t>3</w:t>
      </w:r>
      <w:r>
        <w:rPr>
          <w:b/>
          <w:lang w:val="en-US"/>
        </w:rPr>
        <w:t>:</w:t>
      </w:r>
      <w:r>
        <w:t>With</w:t>
      </w:r>
      <w:proofErr w:type="gramEnd"/>
      <w:r>
        <w:t xml:space="preserve"> severe blanching, </w:t>
      </w:r>
      <w:r>
        <w:t xml:space="preserve">wide, thick bands of fibrous tissue affecting the cheek and lips, stiff mucosa, </w:t>
      </w:r>
      <w:proofErr w:type="spellStart"/>
      <w:r>
        <w:t>depapillated</w:t>
      </w:r>
      <w:proofErr w:type="spellEnd"/>
      <w:r>
        <w:t xml:space="preserve"> tongue, limited tongue mobility, shrunken uvula, and involvement of the floor of the mouth, the disease covers more than two-thirds of the oral cavity. It is occas</w:t>
      </w:r>
      <w:r>
        <w:t>ionally linked to lymphadenopathy. There is a 66% reduction in cheek flexibility and a</w:t>
      </w:r>
      <w:r>
        <w:rPr>
          <w:lang w:val="en-US"/>
        </w:rPr>
        <w:t xml:space="preserve"> limited mouth opening of</w:t>
      </w:r>
      <w:r>
        <w:t xml:space="preserve"> 15–25 mm</w:t>
      </w:r>
      <w:r>
        <w:rPr>
          <w:lang w:val="en-US"/>
        </w:rPr>
        <w:t xml:space="preserve"> </w:t>
      </w:r>
      <w:r>
        <w:rPr>
          <w:vertAlign w:val="superscript"/>
        </w:rPr>
        <w:t>[1,15]</w:t>
      </w:r>
      <w:r>
        <w:t>.</w:t>
      </w:r>
    </w:p>
    <w:p w:rsidR="00A80E00" w:rsidRDefault="00BF250B">
      <w:r>
        <w:rPr>
          <w:b/>
          <w:bCs/>
        </w:rPr>
        <w:t xml:space="preserve">Grade </w:t>
      </w:r>
      <w:proofErr w:type="gramStart"/>
      <w:r>
        <w:rPr>
          <w:b/>
          <w:bCs/>
        </w:rPr>
        <w:t>4</w:t>
      </w:r>
      <w:r>
        <w:rPr>
          <w:b/>
          <w:bCs/>
          <w:lang w:val="en-US"/>
        </w:rPr>
        <w:t>:</w:t>
      </w:r>
      <w:r>
        <w:rPr>
          <w:lang w:val="en-US"/>
        </w:rPr>
        <w:t>I</w:t>
      </w:r>
      <w:proofErr w:type="spellStart"/>
      <w:r>
        <w:t>ndicates</w:t>
      </w:r>
      <w:proofErr w:type="spellEnd"/>
      <w:proofErr w:type="gramEnd"/>
      <w:r>
        <w:t xml:space="preserve"> an advanced stage where mouth opening is severely limited to less than 15 mm and includes premalignant and ma</w:t>
      </w:r>
      <w:r>
        <w:t xml:space="preserve">lignant alterations such </w:t>
      </w:r>
      <w:proofErr w:type="spellStart"/>
      <w:r>
        <w:t>leukoplakia</w:t>
      </w:r>
      <w:proofErr w:type="spellEnd"/>
      <w:r>
        <w:t xml:space="preserve">, </w:t>
      </w:r>
      <w:proofErr w:type="spellStart"/>
      <w:r>
        <w:t>erythroplakia</w:t>
      </w:r>
      <w:proofErr w:type="spellEnd"/>
      <w:r>
        <w:t>, non-healing ulcerations, or suspicious lesions</w:t>
      </w:r>
      <w:r>
        <w:rPr>
          <w:lang w:val="en-US"/>
        </w:rPr>
        <w:t xml:space="preserve"> </w:t>
      </w:r>
      <w:r>
        <w:rPr>
          <w:vertAlign w:val="superscript"/>
        </w:rPr>
        <w:t>[1,15]</w:t>
      </w:r>
      <w:r>
        <w:t>.</w:t>
      </w:r>
    </w:p>
    <w:p w:rsidR="00A80E00" w:rsidRDefault="00A80E00">
      <w:pPr>
        <w:rPr>
          <w:rFonts w:ascii="SimSun" w:eastAsia="SimSun" w:hAnsi="SimSun" w:cs="SimSun"/>
        </w:rPr>
      </w:pPr>
    </w:p>
    <w:p w:rsidR="00A80E00" w:rsidRDefault="00BF250B">
      <w:pPr>
        <w:rPr>
          <w:rFonts w:eastAsia="SimSun"/>
          <w:b/>
          <w:bCs/>
          <w:szCs w:val="24"/>
        </w:rPr>
      </w:pPr>
      <w:r>
        <w:rPr>
          <w:rFonts w:eastAsia="SimSun"/>
          <w:b/>
          <w:bCs/>
          <w:szCs w:val="24"/>
        </w:rPr>
        <w:t>H</w:t>
      </w:r>
      <w:proofErr w:type="spellStart"/>
      <w:r>
        <w:rPr>
          <w:rFonts w:eastAsia="SimSun"/>
          <w:b/>
          <w:bCs/>
          <w:szCs w:val="24"/>
          <w:lang w:val="en-US"/>
        </w:rPr>
        <w:t>istopathological</w:t>
      </w:r>
      <w:proofErr w:type="spellEnd"/>
      <w:r>
        <w:rPr>
          <w:rFonts w:eastAsia="SimSun"/>
          <w:b/>
          <w:bCs/>
          <w:szCs w:val="24"/>
          <w:lang w:val="en-US"/>
        </w:rPr>
        <w:t xml:space="preserve"> features</w:t>
      </w:r>
      <w:r>
        <w:rPr>
          <w:rFonts w:eastAsia="SimSun"/>
          <w:b/>
          <w:bCs/>
          <w:szCs w:val="24"/>
        </w:rPr>
        <w:t>:</w:t>
      </w:r>
    </w:p>
    <w:p w:rsidR="00A80E00" w:rsidRDefault="00A80E00">
      <w:pPr>
        <w:rPr>
          <w:b/>
          <w:bCs/>
          <w:szCs w:val="24"/>
        </w:rPr>
      </w:pPr>
    </w:p>
    <w:p w:rsidR="00A80E00" w:rsidRDefault="00BF250B">
      <w:pPr>
        <w:rPr>
          <w:szCs w:val="24"/>
        </w:rPr>
      </w:pPr>
      <w:proofErr w:type="spellStart"/>
      <w:r>
        <w:rPr>
          <w:szCs w:val="24"/>
        </w:rPr>
        <w:t>Histopathologically</w:t>
      </w:r>
      <w:proofErr w:type="spellEnd"/>
      <w:r>
        <w:rPr>
          <w:szCs w:val="24"/>
        </w:rPr>
        <w:t xml:space="preserve">, oral submucous </w:t>
      </w:r>
      <w:proofErr w:type="gramStart"/>
      <w:r>
        <w:rPr>
          <w:szCs w:val="24"/>
        </w:rPr>
        <w:t>fibrosis  progresses</w:t>
      </w:r>
      <w:proofErr w:type="gramEnd"/>
      <w:r>
        <w:rPr>
          <w:szCs w:val="24"/>
        </w:rPr>
        <w:t xml:space="preserve"> through four grades:</w:t>
      </w:r>
    </w:p>
    <w:p w:rsidR="00A80E00" w:rsidRDefault="00BF250B">
      <w:r>
        <w:rPr>
          <w:b/>
        </w:rPr>
        <w:t xml:space="preserve">Grade </w:t>
      </w:r>
      <w:proofErr w:type="gramStart"/>
      <w:r>
        <w:rPr>
          <w:b/>
        </w:rPr>
        <w:t>1</w:t>
      </w:r>
      <w:r>
        <w:rPr>
          <w:b/>
          <w:lang w:val="en-US"/>
        </w:rPr>
        <w:t>:</w:t>
      </w:r>
      <w:r>
        <w:rPr>
          <w:bCs/>
          <w:lang w:val="en-US"/>
        </w:rPr>
        <w:t>T</w:t>
      </w:r>
      <w:r>
        <w:t>he</w:t>
      </w:r>
      <w:proofErr w:type="gramEnd"/>
      <w:r>
        <w:t xml:space="preserve"> </w:t>
      </w:r>
      <w:r>
        <w:rPr>
          <w:i/>
        </w:rPr>
        <w:t>inflammatory stage</w:t>
      </w:r>
      <w:r>
        <w:t xml:space="preserve">, is </w:t>
      </w:r>
      <w:r>
        <w:t xml:space="preserve">characterized by coarse </w:t>
      </w:r>
      <w:proofErr w:type="spellStart"/>
      <w:r>
        <w:t>edematous</w:t>
      </w:r>
      <w:proofErr w:type="spellEnd"/>
      <w:r>
        <w:t xml:space="preserve"> collagen, clogged blood vessels, and a high concentration of neutrophils and lymphocytes, with myxomatous changes in the subepithelial connective tissue layer of the epithelium</w:t>
      </w:r>
      <w:r>
        <w:rPr>
          <w:vertAlign w:val="superscript"/>
        </w:rPr>
        <w:t>[1,16]</w:t>
      </w:r>
      <w:r>
        <w:t>.</w:t>
      </w:r>
    </w:p>
    <w:p w:rsidR="00A80E00" w:rsidRDefault="00BF250B">
      <w:pPr>
        <w:ind w:right="45"/>
      </w:pPr>
      <w:r>
        <w:rPr>
          <w:b/>
        </w:rPr>
        <w:t xml:space="preserve">Grade </w:t>
      </w:r>
      <w:proofErr w:type="gramStart"/>
      <w:r>
        <w:rPr>
          <w:b/>
        </w:rPr>
        <w:t>2</w:t>
      </w:r>
      <w:r>
        <w:rPr>
          <w:b/>
          <w:lang w:val="en-US"/>
        </w:rPr>
        <w:t>:</w:t>
      </w:r>
      <w:r>
        <w:rPr>
          <w:bCs/>
          <w:lang w:val="en-US"/>
        </w:rPr>
        <w:t>T</w:t>
      </w:r>
      <w:r>
        <w:t>he</w:t>
      </w:r>
      <w:proofErr w:type="gramEnd"/>
      <w:r>
        <w:t xml:space="preserve"> </w:t>
      </w:r>
      <w:r>
        <w:rPr>
          <w:i/>
        </w:rPr>
        <w:t>hyalinization stage</w:t>
      </w:r>
      <w:r>
        <w:t>, shows</w:t>
      </w:r>
      <w:r>
        <w:t xml:space="preserve"> reduced fibroblastic activity, hyalinization of epithelial collagen near lymphocytes and eosinophils, dilated and congested blood vessels, changes in granulation tissue within the muscle layer, and a marked reduction in inflammatory cells in the subepithe</w:t>
      </w:r>
      <w:r>
        <w:t>lial layer</w:t>
      </w:r>
      <w:r>
        <w:rPr>
          <w:vertAlign w:val="superscript"/>
        </w:rPr>
        <w:t>[1,16]</w:t>
      </w:r>
      <w:r>
        <w:t>.</w:t>
      </w:r>
    </w:p>
    <w:p w:rsidR="00A80E00" w:rsidRDefault="00BF250B">
      <w:pPr>
        <w:spacing w:after="280"/>
        <w:ind w:right="45"/>
      </w:pPr>
      <w:r>
        <w:rPr>
          <w:b/>
        </w:rPr>
        <w:t xml:space="preserve">Grade </w:t>
      </w:r>
      <w:proofErr w:type="gramStart"/>
      <w:r>
        <w:rPr>
          <w:b/>
        </w:rPr>
        <w:t>3</w:t>
      </w:r>
      <w:r>
        <w:rPr>
          <w:b/>
          <w:lang w:val="en-US"/>
        </w:rPr>
        <w:t>:</w:t>
      </w:r>
      <w:r>
        <w:rPr>
          <w:bCs/>
          <w:lang w:val="en-US"/>
        </w:rPr>
        <w:t>T</w:t>
      </w:r>
      <w:r>
        <w:t>he</w:t>
      </w:r>
      <w:proofErr w:type="gramEnd"/>
      <w:r>
        <w:t xml:space="preserve"> </w:t>
      </w:r>
      <w:r>
        <w:rPr>
          <w:i/>
        </w:rPr>
        <w:t>fibrosis stage</w:t>
      </w:r>
      <w:r>
        <w:t xml:space="preserve">, demonstrates extensive fibrosis with hyalinization of collagen extending from the subepithelial region to superficial muscle layers, along with atrophic and </w:t>
      </w:r>
      <w:r>
        <w:lastRenderedPageBreak/>
        <w:t xml:space="preserve">degenerative changes, obliterated blood vessels, </w:t>
      </w:r>
      <w:r>
        <w:t xml:space="preserve">plasma cell and lymphocyte infiltration, and total collagen hyalinization devoid of fibroblasts and </w:t>
      </w:r>
      <w:proofErr w:type="spellStart"/>
      <w:r>
        <w:t>edema</w:t>
      </w:r>
      <w:proofErr w:type="spellEnd"/>
      <w:r>
        <w:rPr>
          <w:vertAlign w:val="superscript"/>
        </w:rPr>
        <w:t>[1,16]</w:t>
      </w:r>
      <w:r>
        <w:t>.</w:t>
      </w:r>
    </w:p>
    <w:p w:rsidR="00A80E00" w:rsidRDefault="00BF250B">
      <w:pPr>
        <w:spacing w:after="699"/>
        <w:ind w:right="45"/>
      </w:pPr>
      <w:r>
        <w:rPr>
          <w:b/>
        </w:rPr>
        <w:t xml:space="preserve">Grade </w:t>
      </w:r>
      <w:proofErr w:type="gramStart"/>
      <w:r>
        <w:rPr>
          <w:b/>
        </w:rPr>
        <w:t>4</w:t>
      </w:r>
      <w:r>
        <w:rPr>
          <w:b/>
          <w:lang w:val="en-US"/>
        </w:rPr>
        <w:t>:</w:t>
      </w:r>
      <w:r>
        <w:rPr>
          <w:bCs/>
          <w:lang w:val="en-US"/>
        </w:rPr>
        <w:t>T</w:t>
      </w:r>
      <w:r>
        <w:t>he</w:t>
      </w:r>
      <w:proofErr w:type="gramEnd"/>
      <w:r>
        <w:t xml:space="preserve"> </w:t>
      </w:r>
      <w:r>
        <w:rPr>
          <w:i/>
        </w:rPr>
        <w:t>malignant transformation stage</w:t>
      </w:r>
      <w:r>
        <w:t xml:space="preserve">, where </w:t>
      </w:r>
      <w:proofErr w:type="spellStart"/>
      <w:r>
        <w:t>erythroplakia</w:t>
      </w:r>
      <w:proofErr w:type="spellEnd"/>
      <w:r>
        <w:t xml:space="preserve"> undergoes progression to squamous cell carcinoma</w:t>
      </w:r>
      <w:r>
        <w:rPr>
          <w:vertAlign w:val="superscript"/>
        </w:rPr>
        <w:t>[1,16]</w:t>
      </w:r>
      <w:r>
        <w:t>.</w:t>
      </w:r>
    </w:p>
    <w:p w:rsidR="00A80E00" w:rsidRDefault="00BF250B">
      <w:pPr>
        <w:rPr>
          <w:b/>
          <w:bCs/>
        </w:rPr>
      </w:pPr>
      <w:r>
        <w:rPr>
          <w:b/>
          <w:bCs/>
        </w:rPr>
        <w:t>M</w:t>
      </w:r>
      <w:proofErr w:type="spellStart"/>
      <w:r>
        <w:rPr>
          <w:b/>
          <w:bCs/>
          <w:lang w:val="en-US"/>
        </w:rPr>
        <w:t>anagement</w:t>
      </w:r>
      <w:proofErr w:type="spellEnd"/>
      <w:r>
        <w:rPr>
          <w:b/>
          <w:bCs/>
        </w:rPr>
        <w:t>:</w:t>
      </w:r>
    </w:p>
    <w:p w:rsidR="00A80E00" w:rsidRDefault="00A80E00">
      <w:pPr>
        <w:rPr>
          <w:b/>
          <w:bCs/>
        </w:rPr>
      </w:pPr>
    </w:p>
    <w:p w:rsidR="00A80E00" w:rsidRDefault="00BF250B">
      <w:pPr>
        <w:rPr>
          <w:b/>
          <w:bCs/>
        </w:rPr>
      </w:pPr>
      <w:r>
        <w:rPr>
          <w:b/>
          <w:bCs/>
        </w:rPr>
        <w:t xml:space="preserve">Areca Nut </w:t>
      </w:r>
      <w:r>
        <w:rPr>
          <w:b/>
          <w:bCs/>
        </w:rPr>
        <w:t>Cessation:</w:t>
      </w:r>
    </w:p>
    <w:p w:rsidR="00A80E00" w:rsidRDefault="00BF250B">
      <w:pPr>
        <w:rPr>
          <w:lang w:val="en-US"/>
        </w:rPr>
      </w:pPr>
      <w:r>
        <w:t>Effective management of OSMF</w:t>
      </w:r>
      <w:r>
        <w:rPr>
          <w:lang w:val="en-US"/>
        </w:rPr>
        <w:t xml:space="preserve"> </w:t>
      </w:r>
      <w:r>
        <w:t>begins with complete cessation of habits such as chewing betel quid, areca nut, other tobacco substances</w:t>
      </w:r>
      <w:r>
        <w:rPr>
          <w:lang w:val="en-US"/>
        </w:rPr>
        <w:t>,</w:t>
      </w:r>
      <w:r>
        <w:t xml:space="preserve"> and avoiding excessive alcohol and very spicy foods. Patient education, </w:t>
      </w:r>
      <w:proofErr w:type="spellStart"/>
      <w:r>
        <w:t>behavioral</w:t>
      </w:r>
      <w:proofErr w:type="spellEnd"/>
      <w:r>
        <w:t xml:space="preserve"> changing programs, and publ</w:t>
      </w:r>
      <w:r>
        <w:t>ic awareness campaigns are essential to motivate cessation and reduce recurrence. Maintaining good oral hygiene and adopting dietary changes support</w:t>
      </w:r>
      <w:r>
        <w:rPr>
          <w:lang w:val="en-US"/>
        </w:rPr>
        <w:t xml:space="preserve"> </w:t>
      </w:r>
      <w:r>
        <w:t>mucosal healing</w:t>
      </w:r>
      <w:r>
        <w:rPr>
          <w:lang w:val="en-US"/>
        </w:rPr>
        <w:t xml:space="preserve"> and</w:t>
      </w:r>
      <w:r>
        <w:t xml:space="preserve"> further enhance</w:t>
      </w:r>
      <w:r>
        <w:rPr>
          <w:lang w:val="en-US"/>
        </w:rPr>
        <w:t xml:space="preserve"> </w:t>
      </w:r>
      <w:proofErr w:type="gramStart"/>
      <w:r>
        <w:t>outcomes</w:t>
      </w:r>
      <w:r>
        <w:rPr>
          <w:vertAlign w:val="superscript"/>
          <w:lang w:val="en-US"/>
        </w:rPr>
        <w:t>[</w:t>
      </w:r>
      <w:proofErr w:type="gramEnd"/>
      <w:r>
        <w:rPr>
          <w:vertAlign w:val="superscript"/>
          <w:lang w:val="en-US"/>
        </w:rPr>
        <w:t>1,2]</w:t>
      </w:r>
      <w:r>
        <w:rPr>
          <w:lang w:val="en-US"/>
        </w:rPr>
        <w:t>.</w:t>
      </w:r>
    </w:p>
    <w:p w:rsidR="00A80E00" w:rsidRDefault="00A80E00">
      <w:pPr>
        <w:rPr>
          <w:b/>
          <w:bCs/>
        </w:rPr>
      </w:pPr>
    </w:p>
    <w:p w:rsidR="00A80E00" w:rsidRDefault="00BF250B">
      <w:pPr>
        <w:rPr>
          <w:b/>
          <w:bCs/>
        </w:rPr>
      </w:pPr>
      <w:r>
        <w:rPr>
          <w:b/>
          <w:bCs/>
        </w:rPr>
        <w:t>Nutritional Deficiencies:</w:t>
      </w:r>
    </w:p>
    <w:p w:rsidR="00A80E00" w:rsidRDefault="00BF250B">
      <w:r>
        <w:t xml:space="preserve">Correction of nutritional deficiencies is a key component of care, since deficiencies </w:t>
      </w:r>
      <w:r>
        <w:rPr>
          <w:lang w:val="en-US"/>
        </w:rPr>
        <w:t xml:space="preserve">of </w:t>
      </w:r>
      <w:r>
        <w:t xml:space="preserve">iron, zinc, and various vitamins can worsen mucosal health and predispose to further progression. A balanced diet rich in Vitamins A, </w:t>
      </w:r>
      <w:r>
        <w:rPr>
          <w:lang w:val="en-US"/>
        </w:rPr>
        <w:t xml:space="preserve">Vitamin </w:t>
      </w:r>
      <w:r>
        <w:t>B-complex, Vitamin C, and</w:t>
      </w:r>
      <w:r>
        <w:t xml:space="preserve"> minerals such as iron and zinc support antioxidant</w:t>
      </w:r>
      <w:r>
        <w:rPr>
          <w:lang w:val="en-US"/>
        </w:rPr>
        <w:t>s</w:t>
      </w:r>
      <w:r>
        <w:t xml:space="preserve"> which neutralize</w:t>
      </w:r>
      <w:r>
        <w:rPr>
          <w:lang w:val="en-US"/>
        </w:rPr>
        <w:t xml:space="preserve"> </w:t>
      </w:r>
      <w:r>
        <w:t>reactive oxygen</w:t>
      </w:r>
      <w:r>
        <w:rPr>
          <w:lang w:val="en-US"/>
        </w:rPr>
        <w:t xml:space="preserve"> species</w:t>
      </w:r>
      <w:r>
        <w:t xml:space="preserve"> and </w:t>
      </w:r>
      <w:r>
        <w:rPr>
          <w:lang w:val="en-US"/>
        </w:rPr>
        <w:t xml:space="preserve">promote </w:t>
      </w:r>
      <w:r>
        <w:t xml:space="preserve">tissue </w:t>
      </w:r>
      <w:proofErr w:type="spellStart"/>
      <w:proofErr w:type="gramStart"/>
      <w:r>
        <w:t>repai</w:t>
      </w:r>
      <w:r>
        <w:rPr>
          <w:lang w:val="en-US"/>
        </w:rPr>
        <w:t>r.T</w:t>
      </w:r>
      <w:r>
        <w:t>argeted</w:t>
      </w:r>
      <w:proofErr w:type="spellEnd"/>
      <w:proofErr w:type="gramEnd"/>
      <w:r>
        <w:t xml:space="preserve"> supplementation and regular monitoring of hematologic parameters help address</w:t>
      </w:r>
      <w:r>
        <w:rPr>
          <w:lang w:val="en-US"/>
        </w:rPr>
        <w:t xml:space="preserve"> </w:t>
      </w:r>
      <w:r>
        <w:t xml:space="preserve">both </w:t>
      </w:r>
      <w:r>
        <w:rPr>
          <w:lang w:val="en-US"/>
        </w:rPr>
        <w:t>ROS and promotion of tissue repair</w:t>
      </w:r>
      <w:r>
        <w:rPr>
          <w:vertAlign w:val="superscript"/>
        </w:rPr>
        <w:t>[3,6</w:t>
      </w:r>
      <w:r>
        <w:rPr>
          <w:b/>
          <w:vertAlign w:val="superscript"/>
        </w:rPr>
        <w:t>]</w:t>
      </w:r>
      <w:r>
        <w:t>. Ove</w:t>
      </w:r>
      <w:r>
        <w:t>rall, proper nutritional supplementation, especially with iron, zinc, and vitamins, plays a crucial role in slowing fibrosis progression, while elevated copper levels can exacerbate the disease progression</w:t>
      </w:r>
      <w:r>
        <w:rPr>
          <w:lang w:val="en-US"/>
        </w:rPr>
        <w:t xml:space="preserve"> </w:t>
      </w:r>
      <w:r>
        <w:rPr>
          <w:vertAlign w:val="superscript"/>
        </w:rPr>
        <w:t>[3,16</w:t>
      </w:r>
      <w:proofErr w:type="gramStart"/>
      <w:r>
        <w:rPr>
          <w:vertAlign w:val="superscript"/>
        </w:rPr>
        <w:t>]</w:t>
      </w:r>
      <w:r>
        <w:t>.</w:t>
      </w:r>
      <w:r>
        <w:rPr>
          <w:lang w:val="en-US"/>
        </w:rPr>
        <w:t>As</w:t>
      </w:r>
      <w:proofErr w:type="gramEnd"/>
      <w:r>
        <w:rPr>
          <w:lang w:val="en-US"/>
        </w:rPr>
        <w:t xml:space="preserve"> </w:t>
      </w:r>
      <w:r>
        <w:t xml:space="preserve">Vitamin B deficiency has been linked to </w:t>
      </w:r>
      <w:r>
        <w:t>degenerative changes in the oral mucosa and worsened tissue response in O</w:t>
      </w:r>
      <w:r>
        <w:rPr>
          <w:lang w:val="en-US"/>
        </w:rPr>
        <w:t>SMF</w:t>
      </w:r>
      <w:r>
        <w:t>,</w:t>
      </w:r>
      <w:r>
        <w:rPr>
          <w:lang w:val="en-US"/>
        </w:rPr>
        <w:t>V</w:t>
      </w:r>
      <w:proofErr w:type="spellStart"/>
      <w:r>
        <w:t>itaminB</w:t>
      </w:r>
      <w:proofErr w:type="spellEnd"/>
      <w:r>
        <w:t xml:space="preserve"> complex supplementation</w:t>
      </w:r>
      <w:r>
        <w:rPr>
          <w:lang w:val="en-US"/>
        </w:rPr>
        <w:t xml:space="preserve"> may be</w:t>
      </w:r>
      <w:r>
        <w:t xml:space="preserve"> beneficial for relieving glossitis and cheilosis</w:t>
      </w:r>
      <w:r>
        <w:rPr>
          <w:vertAlign w:val="superscript"/>
        </w:rPr>
        <w:t>[1]</w:t>
      </w:r>
      <w:r>
        <w:t>.</w:t>
      </w:r>
    </w:p>
    <w:p w:rsidR="00A80E00" w:rsidRDefault="00A80E00">
      <w:pPr>
        <w:ind w:left="0" w:firstLine="0"/>
        <w:rPr>
          <w:b/>
          <w:bCs/>
        </w:rPr>
      </w:pPr>
    </w:p>
    <w:p w:rsidR="00A80E00" w:rsidRDefault="00BF250B">
      <w:pPr>
        <w:ind w:left="0" w:firstLine="0"/>
        <w:rPr>
          <w:b/>
          <w:bCs/>
        </w:rPr>
      </w:pPr>
      <w:r>
        <w:rPr>
          <w:b/>
          <w:bCs/>
        </w:rPr>
        <w:t>Antioxidants and Lycopene:</w:t>
      </w:r>
    </w:p>
    <w:p w:rsidR="00A80E00" w:rsidRDefault="00BF250B">
      <w:r>
        <w:t>Antioxidant therapy plays an important role in counteracti</w:t>
      </w:r>
      <w:r>
        <w:t>ng oxidative stress in OS</w:t>
      </w:r>
      <w:r>
        <w:rPr>
          <w:lang w:val="en-US"/>
        </w:rPr>
        <w:t>M</w:t>
      </w:r>
      <w:r>
        <w:t>F. Lycopene, a carotenoid found in tomatoes, is particularly noted for its potent free-radical scavenging and chemo</w:t>
      </w:r>
      <w:r>
        <w:rPr>
          <w:lang w:val="en-US"/>
        </w:rPr>
        <w:t xml:space="preserve"> </w:t>
      </w:r>
      <w:r>
        <w:t>preventive properties. Lycopene reduces fibroblast proliferation, modulates inflammatory responses and has been us</w:t>
      </w:r>
      <w:r>
        <w:t xml:space="preserve">ed as part of combined medical regimens to improve symptoms and mouth opening, contributing to mucosal protection and potentially lowering malignant transformation </w:t>
      </w:r>
      <w:proofErr w:type="gramStart"/>
      <w:r>
        <w:t>risk</w:t>
      </w:r>
      <w:r>
        <w:rPr>
          <w:vertAlign w:val="superscript"/>
        </w:rPr>
        <w:t>[</w:t>
      </w:r>
      <w:proofErr w:type="gramEnd"/>
      <w:r>
        <w:rPr>
          <w:vertAlign w:val="superscript"/>
        </w:rPr>
        <w:t>1,7]</w:t>
      </w:r>
      <w:r>
        <w:t>.</w:t>
      </w:r>
    </w:p>
    <w:p w:rsidR="00A80E00" w:rsidRDefault="00A80E00">
      <w:pPr>
        <w:ind w:left="0" w:firstLine="0"/>
        <w:rPr>
          <w:b/>
          <w:bCs/>
        </w:rPr>
      </w:pPr>
    </w:p>
    <w:p w:rsidR="00A80E00" w:rsidRDefault="00BF250B">
      <w:pPr>
        <w:ind w:left="0" w:firstLine="0"/>
        <w:rPr>
          <w:b/>
          <w:bCs/>
        </w:rPr>
      </w:pPr>
      <w:r>
        <w:rPr>
          <w:b/>
          <w:bCs/>
        </w:rPr>
        <w:t>Enzymes and Herbal Therapy:</w:t>
      </w:r>
    </w:p>
    <w:p w:rsidR="00A80E00" w:rsidRDefault="00BF250B">
      <w:r>
        <w:t>Proteolytic enzymes such as chymotrypsin exhibit ant</w:t>
      </w:r>
      <w:r>
        <w:t xml:space="preserve">i-inflammatory and proteolytic effects that can aid symptom relief, while several herbal and complementary agents including turmeric (curcumin), garlic extracts, aloe </w:t>
      </w:r>
      <w:proofErr w:type="spellStart"/>
      <w:r>
        <w:t>vera</w:t>
      </w:r>
      <w:proofErr w:type="spellEnd"/>
      <w:r>
        <w:t xml:space="preserve"> and other botanical preparations have demonstrated anti-inflammatory and antioxidant</w:t>
      </w:r>
      <w:r>
        <w:t xml:space="preserve"> properties. Curcumin, often combined with bioavailability enhancers like </w:t>
      </w:r>
      <w:proofErr w:type="spellStart"/>
      <w:r>
        <w:t>piperine</w:t>
      </w:r>
      <w:proofErr w:type="spellEnd"/>
      <w:r>
        <w:t xml:space="preserve">, is used for its anti-fibrotic and cytoprotective effects and is commonly incorporated into </w:t>
      </w:r>
      <w:proofErr w:type="spellStart"/>
      <w:r>
        <w:t>noninvasive</w:t>
      </w:r>
      <w:proofErr w:type="spellEnd"/>
      <w:r>
        <w:t xml:space="preserve"> therapeutic </w:t>
      </w:r>
      <w:proofErr w:type="gramStart"/>
      <w:r>
        <w:t>approaches</w:t>
      </w:r>
      <w:r>
        <w:rPr>
          <w:vertAlign w:val="superscript"/>
        </w:rPr>
        <w:t>[</w:t>
      </w:r>
      <w:proofErr w:type="gramEnd"/>
      <w:r>
        <w:rPr>
          <w:vertAlign w:val="superscript"/>
        </w:rPr>
        <w:t>2,7]</w:t>
      </w:r>
      <w:r>
        <w:t>.</w:t>
      </w:r>
    </w:p>
    <w:p w:rsidR="00A80E00" w:rsidRDefault="00A80E00">
      <w:pPr>
        <w:rPr>
          <w:b/>
          <w:bCs/>
        </w:rPr>
      </w:pPr>
    </w:p>
    <w:p w:rsidR="00A80E00" w:rsidRDefault="00BF250B">
      <w:pPr>
        <w:rPr>
          <w:b/>
          <w:bCs/>
        </w:rPr>
      </w:pPr>
      <w:r>
        <w:rPr>
          <w:b/>
          <w:bCs/>
        </w:rPr>
        <w:t>Spirulina:</w:t>
      </w:r>
    </w:p>
    <w:p w:rsidR="00A80E00" w:rsidRDefault="00BF250B">
      <w:r>
        <w:lastRenderedPageBreak/>
        <w:t>Spirulina supplementation ha</w:t>
      </w:r>
      <w:r>
        <w:t xml:space="preserve">s been employed as an adjuvant therapy to improve antioxidant status, reduce oral ulceration, burning sensation and contribute to modest improvements in mouth opening, thereby supporting mucosal healing when combined with other </w:t>
      </w:r>
      <w:proofErr w:type="gramStart"/>
      <w:r>
        <w:t>treatments</w:t>
      </w:r>
      <w:r>
        <w:rPr>
          <w:vertAlign w:val="superscript"/>
        </w:rPr>
        <w:t>[</w:t>
      </w:r>
      <w:proofErr w:type="gramEnd"/>
      <w:r>
        <w:rPr>
          <w:vertAlign w:val="superscript"/>
        </w:rPr>
        <w:t>3,6]</w:t>
      </w:r>
      <w:r>
        <w:t>.</w:t>
      </w:r>
    </w:p>
    <w:p w:rsidR="00A80E00" w:rsidRDefault="00A80E00">
      <w:pPr>
        <w:spacing w:after="252" w:line="265" w:lineRule="auto"/>
        <w:ind w:left="-5" w:right="0"/>
        <w:jc w:val="left"/>
        <w:rPr>
          <w:b/>
        </w:rPr>
      </w:pPr>
    </w:p>
    <w:p w:rsidR="00A80E00" w:rsidRDefault="00BF250B">
      <w:pPr>
        <w:rPr>
          <w:b/>
          <w:bCs/>
        </w:rPr>
      </w:pPr>
      <w:r>
        <w:rPr>
          <w:b/>
          <w:bCs/>
        </w:rPr>
        <w:t>Steroids:</w:t>
      </w:r>
    </w:p>
    <w:p w:rsidR="00A80E00" w:rsidRDefault="00BF250B">
      <w:pPr>
        <w:rPr>
          <w:lang w:val="en-US"/>
        </w:rPr>
      </w:pPr>
      <w:r>
        <w:t>Intralesional corticosteroid injections are frequently used to suppress inflammation, inhibit fibroblast proliferation, and promote collagen breakdown, leading to symptomatic relief and improvement in mouth opening in many patients. Various glucocorticoids</w:t>
      </w:r>
      <w:r>
        <w:t xml:space="preserve"> are used in different regimens and are often combined with enzymes or other agents to enhance diffusion and clinical effect, with attention to minimizing local trauma and adverse effects</w:t>
      </w:r>
      <w:r>
        <w:rPr>
          <w:lang w:val="en-US"/>
        </w:rPr>
        <w:t xml:space="preserve"> </w:t>
      </w:r>
      <w:r>
        <w:rPr>
          <w:vertAlign w:val="superscript"/>
        </w:rPr>
        <w:t>[1,2]</w:t>
      </w:r>
      <w:r>
        <w:rPr>
          <w:lang w:val="en-US"/>
        </w:rPr>
        <w:t>.</w:t>
      </w:r>
    </w:p>
    <w:p w:rsidR="00A80E00" w:rsidRDefault="00A80E00">
      <w:pPr>
        <w:spacing w:after="252" w:line="265" w:lineRule="auto"/>
        <w:ind w:left="-5" w:right="0"/>
        <w:jc w:val="left"/>
        <w:rPr>
          <w:b/>
        </w:rPr>
      </w:pPr>
    </w:p>
    <w:p w:rsidR="00A80E00" w:rsidRDefault="00BF250B">
      <w:pPr>
        <w:rPr>
          <w:b/>
          <w:bCs/>
        </w:rPr>
      </w:pPr>
      <w:r>
        <w:rPr>
          <w:b/>
          <w:bCs/>
        </w:rPr>
        <w:t>Interferon-Gamma:</w:t>
      </w:r>
    </w:p>
    <w:p w:rsidR="00A80E00" w:rsidRDefault="00BF250B">
      <w:r>
        <w:t>Interferon-gamma administered intra-</w:t>
      </w:r>
      <w:proofErr w:type="spellStart"/>
      <w:r>
        <w:t>lesion</w:t>
      </w:r>
      <w:r>
        <w:t>ally</w:t>
      </w:r>
      <w:proofErr w:type="spellEnd"/>
      <w:r>
        <w:t>, acts as an immunomodulatory and antifibrotic cytokine</w:t>
      </w:r>
      <w:r>
        <w:rPr>
          <w:lang w:val="en-US"/>
        </w:rPr>
        <w:t>s</w:t>
      </w:r>
      <w:r>
        <w:t xml:space="preserve"> that can reduce collagen synthesis and improve mucosal flexibility and mouth opening, making it a useful option in selected cases where modulation of fibroblast activity is </w:t>
      </w:r>
      <w:proofErr w:type="gramStart"/>
      <w:r>
        <w:t>desired</w:t>
      </w:r>
      <w:r>
        <w:rPr>
          <w:vertAlign w:val="superscript"/>
        </w:rPr>
        <w:t>[</w:t>
      </w:r>
      <w:proofErr w:type="gramEnd"/>
      <w:r>
        <w:rPr>
          <w:vertAlign w:val="superscript"/>
        </w:rPr>
        <w:t>3,7]</w:t>
      </w:r>
      <w:r>
        <w:t>.</w:t>
      </w:r>
    </w:p>
    <w:p w:rsidR="00A80E00" w:rsidRDefault="00A80E00">
      <w:pPr>
        <w:spacing w:after="252" w:line="265" w:lineRule="auto"/>
        <w:ind w:left="-5" w:right="0"/>
        <w:jc w:val="left"/>
        <w:rPr>
          <w:b/>
        </w:rPr>
      </w:pPr>
    </w:p>
    <w:p w:rsidR="00A80E00" w:rsidRDefault="00BF250B">
      <w:pPr>
        <w:rPr>
          <w:b/>
          <w:bCs/>
        </w:rPr>
      </w:pPr>
      <w:r>
        <w:rPr>
          <w:b/>
          <w:bCs/>
        </w:rPr>
        <w:t xml:space="preserve">Other </w:t>
      </w:r>
      <w:r>
        <w:rPr>
          <w:b/>
          <w:bCs/>
        </w:rPr>
        <w:t>Antioxidants:</w:t>
      </w:r>
    </w:p>
    <w:p w:rsidR="00A80E00" w:rsidRDefault="00BF250B">
      <w:r>
        <w:t xml:space="preserve">Adjunctive antioxidants such as beta-carotene, alpha-lipoic acid, </w:t>
      </w:r>
      <w:r>
        <w:rPr>
          <w:lang w:val="en-US"/>
        </w:rPr>
        <w:t>V</w:t>
      </w:r>
      <w:proofErr w:type="spellStart"/>
      <w:r>
        <w:t>itamin</w:t>
      </w:r>
      <w:proofErr w:type="spellEnd"/>
      <w:r>
        <w:t xml:space="preserve"> E, selenium, and zinc support endogenous antioxidant systems which reduce oxidative damage and may help slow </w:t>
      </w:r>
      <w:r>
        <w:rPr>
          <w:lang w:val="en-US"/>
        </w:rPr>
        <w:t xml:space="preserve">down </w:t>
      </w:r>
      <w:r>
        <w:t>fibrotic progression while improving symptoms. These a</w:t>
      </w:r>
      <w:r>
        <w:t xml:space="preserve">gents are frequently used along with the other medical therapies to bolster overall mucosal </w:t>
      </w:r>
      <w:proofErr w:type="spellStart"/>
      <w:proofErr w:type="gramStart"/>
      <w:r>
        <w:t>defense</w:t>
      </w:r>
      <w:proofErr w:type="spellEnd"/>
      <w:r>
        <w:rPr>
          <w:vertAlign w:val="superscript"/>
        </w:rPr>
        <w:t>[</w:t>
      </w:r>
      <w:proofErr w:type="gramEnd"/>
      <w:r>
        <w:rPr>
          <w:vertAlign w:val="superscript"/>
        </w:rPr>
        <w:t>1,7]</w:t>
      </w:r>
      <w:r>
        <w:t>.</w:t>
      </w:r>
    </w:p>
    <w:p w:rsidR="00A80E00" w:rsidRDefault="00A80E00">
      <w:pPr>
        <w:spacing w:after="252" w:line="265" w:lineRule="auto"/>
        <w:ind w:left="-5" w:right="0"/>
        <w:jc w:val="left"/>
        <w:rPr>
          <w:b/>
        </w:rPr>
      </w:pPr>
    </w:p>
    <w:p w:rsidR="00A80E00" w:rsidRDefault="00BF250B">
      <w:pPr>
        <w:rPr>
          <w:b/>
          <w:bCs/>
        </w:rPr>
      </w:pPr>
      <w:r>
        <w:rPr>
          <w:b/>
          <w:bCs/>
        </w:rPr>
        <w:t>Oral Mucoadhesive Therapy:</w:t>
      </w:r>
    </w:p>
    <w:p w:rsidR="00A80E00" w:rsidRDefault="00BF250B">
      <w:r>
        <w:t xml:space="preserve">Topical mucoadhesive formulations </w:t>
      </w:r>
      <w:r>
        <w:rPr>
          <w:lang w:val="en-US"/>
        </w:rPr>
        <w:t>like</w:t>
      </w:r>
      <w:r>
        <w:t xml:space="preserve"> gels, films and patches offer prolonged local delivery of therapeutic </w:t>
      </w:r>
      <w:proofErr w:type="gramStart"/>
      <w:r>
        <w:t>agents</w:t>
      </w:r>
      <w:r>
        <w:rPr>
          <w:lang w:val="en-US"/>
        </w:rPr>
        <w:t>.</w:t>
      </w:r>
      <w:proofErr w:type="spellStart"/>
      <w:r>
        <w:rPr>
          <w:lang w:val="en-US"/>
        </w:rPr>
        <w:t>Mucoad</w:t>
      </w:r>
      <w:r>
        <w:rPr>
          <w:lang w:val="en-US"/>
        </w:rPr>
        <w:t>hesives</w:t>
      </w:r>
      <w:proofErr w:type="spellEnd"/>
      <w:proofErr w:type="gramEnd"/>
      <w:r>
        <w:rPr>
          <w:lang w:val="en-US"/>
        </w:rPr>
        <w:t xml:space="preserve"> such as </w:t>
      </w:r>
      <w:r>
        <w:t xml:space="preserve">curcumin gels, valdecoxib buccal films, and aloe </w:t>
      </w:r>
      <w:proofErr w:type="spellStart"/>
      <w:r>
        <w:t>vera</w:t>
      </w:r>
      <w:proofErr w:type="spellEnd"/>
      <w:r>
        <w:t xml:space="preserve"> preparations have been used to provide targeted anti-inflammatory and antioxidant effects with the advantage of localized action and reduced systemic exposure</w:t>
      </w:r>
      <w:r>
        <w:rPr>
          <w:vertAlign w:val="superscript"/>
        </w:rPr>
        <w:t>[2,6]</w:t>
      </w:r>
      <w:r>
        <w:t>.</w:t>
      </w:r>
    </w:p>
    <w:p w:rsidR="00A80E00" w:rsidRDefault="00A80E00">
      <w:pPr>
        <w:spacing w:after="252" w:line="265" w:lineRule="auto"/>
        <w:ind w:left="-5" w:right="0"/>
        <w:jc w:val="left"/>
        <w:rPr>
          <w:b/>
        </w:rPr>
      </w:pPr>
    </w:p>
    <w:p w:rsidR="00A80E00" w:rsidRDefault="00BF250B">
      <w:r>
        <w:rPr>
          <w:b/>
          <w:bCs/>
        </w:rPr>
        <w:t xml:space="preserve">Fibrinolytic Theory </w:t>
      </w:r>
      <w:r>
        <w:rPr>
          <w:b/>
          <w:bCs/>
        </w:rPr>
        <w:t>and Collagenase Therapy:</w:t>
      </w:r>
    </w:p>
    <w:p w:rsidR="00A80E00" w:rsidRDefault="00BF250B">
      <w:r>
        <w:t>Excessive collagen accumulation due to reduced collagenase activity underlines the fibrotic changes in OSMF</w:t>
      </w:r>
      <w:r>
        <w:rPr>
          <w:lang w:val="en-US"/>
        </w:rPr>
        <w:t>.D</w:t>
      </w:r>
      <w:proofErr w:type="spellStart"/>
      <w:r>
        <w:t>irect</w:t>
      </w:r>
      <w:proofErr w:type="spellEnd"/>
      <w:r>
        <w:t xml:space="preserve"> enzymatic approaches such as collagenase injections aim to degrade excess collagen, restore tissue pliability and im</w:t>
      </w:r>
      <w:r>
        <w:t xml:space="preserve">prove mouth opening by addressing this core biochemical </w:t>
      </w:r>
      <w:proofErr w:type="gramStart"/>
      <w:r>
        <w:t>imbalance</w:t>
      </w:r>
      <w:r>
        <w:rPr>
          <w:vertAlign w:val="superscript"/>
        </w:rPr>
        <w:t>[</w:t>
      </w:r>
      <w:proofErr w:type="gramEnd"/>
      <w:r>
        <w:rPr>
          <w:vertAlign w:val="superscript"/>
        </w:rPr>
        <w:t>1,2]</w:t>
      </w:r>
      <w:r>
        <w:t>.</w:t>
      </w:r>
    </w:p>
    <w:p w:rsidR="00A80E00" w:rsidRDefault="00A80E00">
      <w:pPr>
        <w:spacing w:after="252" w:line="265" w:lineRule="auto"/>
        <w:ind w:left="-5" w:right="0"/>
        <w:jc w:val="left"/>
        <w:rPr>
          <w:b/>
        </w:rPr>
      </w:pPr>
    </w:p>
    <w:p w:rsidR="00A80E00" w:rsidRDefault="00BF250B">
      <w:pPr>
        <w:rPr>
          <w:b/>
          <w:bCs/>
        </w:rPr>
      </w:pPr>
      <w:r>
        <w:rPr>
          <w:b/>
          <w:bCs/>
        </w:rPr>
        <w:t>Hyaluronidase and Combined Regimens:</w:t>
      </w:r>
    </w:p>
    <w:p w:rsidR="00A80E00" w:rsidRDefault="00BF250B">
      <w:r>
        <w:t>Hyaluronidase used alone or in combination with corticosteroids and local anaesthetics reduces intercellular matrix viscosity and facilitates bett</w:t>
      </w:r>
      <w:r>
        <w:t xml:space="preserve">er drug diffusion, resulting in improved mouth opening and symptomatic relief. Combining hyaluronidase with agents like colchicine has been reported to enhance clinical </w:t>
      </w:r>
      <w:proofErr w:type="gramStart"/>
      <w:r>
        <w:t>outcomes</w:t>
      </w:r>
      <w:r>
        <w:rPr>
          <w:vertAlign w:val="superscript"/>
        </w:rPr>
        <w:t>[</w:t>
      </w:r>
      <w:proofErr w:type="gramEnd"/>
      <w:r>
        <w:rPr>
          <w:vertAlign w:val="superscript"/>
        </w:rPr>
        <w:t>3,7]</w:t>
      </w:r>
      <w:r>
        <w:t>.</w:t>
      </w:r>
    </w:p>
    <w:p w:rsidR="00A80E00" w:rsidRDefault="00A80E00">
      <w:pPr>
        <w:spacing w:after="252" w:line="265" w:lineRule="auto"/>
        <w:ind w:left="-5" w:right="0"/>
        <w:jc w:val="left"/>
        <w:rPr>
          <w:b/>
        </w:rPr>
      </w:pPr>
    </w:p>
    <w:p w:rsidR="00A80E00" w:rsidRDefault="00BF250B">
      <w:pPr>
        <w:rPr>
          <w:b/>
          <w:bCs/>
        </w:rPr>
      </w:pPr>
      <w:r>
        <w:rPr>
          <w:b/>
          <w:bCs/>
        </w:rPr>
        <w:t>Aloe Vera:</w:t>
      </w:r>
    </w:p>
    <w:p w:rsidR="00A80E00" w:rsidRDefault="00BF250B">
      <w:r>
        <w:lastRenderedPageBreak/>
        <w:t xml:space="preserve">Aloe </w:t>
      </w:r>
      <w:proofErr w:type="spellStart"/>
      <w:r>
        <w:t>vera</w:t>
      </w:r>
      <w:proofErr w:type="spellEnd"/>
      <w:r>
        <w:t xml:space="preserve"> topically applied in gel </w:t>
      </w:r>
      <w:proofErr w:type="gramStart"/>
      <w:r>
        <w:t>form[</w:t>
      </w:r>
      <w:proofErr w:type="gramEnd"/>
      <w:r>
        <w:t>5 mg gel, three time</w:t>
      </w:r>
      <w:r>
        <w:t xml:space="preserve">s daily for 3 months] is valued for its natural wound-healing, anti-inflammatory and antimicrobial properties. Regular application of aloe </w:t>
      </w:r>
      <w:proofErr w:type="spellStart"/>
      <w:r>
        <w:t>vera</w:t>
      </w:r>
      <w:proofErr w:type="spellEnd"/>
      <w:r>
        <w:t xml:space="preserve"> gel to affected mucosa can reduce burning sensation, promote healing and improve mouth opening in mild to modera</w:t>
      </w:r>
      <w:r>
        <w:t xml:space="preserve">te </w:t>
      </w:r>
      <w:proofErr w:type="gramStart"/>
      <w:r>
        <w:t>cases</w:t>
      </w:r>
      <w:r>
        <w:rPr>
          <w:vertAlign w:val="superscript"/>
        </w:rPr>
        <w:t>[</w:t>
      </w:r>
      <w:proofErr w:type="gramEnd"/>
      <w:r>
        <w:rPr>
          <w:vertAlign w:val="superscript"/>
        </w:rPr>
        <w:t>1,7]</w:t>
      </w:r>
    </w:p>
    <w:p w:rsidR="00A80E00" w:rsidRDefault="00A80E00">
      <w:pPr>
        <w:spacing w:after="252" w:line="265" w:lineRule="auto"/>
        <w:ind w:left="-5" w:right="0"/>
        <w:jc w:val="left"/>
        <w:rPr>
          <w:b/>
        </w:rPr>
      </w:pPr>
    </w:p>
    <w:p w:rsidR="00A80E00" w:rsidRDefault="00BF250B">
      <w:pPr>
        <w:rPr>
          <w:b/>
          <w:bCs/>
        </w:rPr>
      </w:pPr>
      <w:r>
        <w:rPr>
          <w:b/>
          <w:bCs/>
        </w:rPr>
        <w:t>Placental Extracts (</w:t>
      </w:r>
      <w:proofErr w:type="spellStart"/>
      <w:r>
        <w:rPr>
          <w:b/>
          <w:bCs/>
        </w:rPr>
        <w:t>Placentrex</w:t>
      </w:r>
      <w:proofErr w:type="spellEnd"/>
      <w:r>
        <w:rPr>
          <w:b/>
          <w:bCs/>
        </w:rPr>
        <w:t>):</w:t>
      </w:r>
    </w:p>
    <w:p w:rsidR="00A80E00" w:rsidRDefault="00BF250B">
      <w:r>
        <w:t xml:space="preserve">Placental extracts </w:t>
      </w:r>
      <w:r>
        <w:rPr>
          <w:lang w:val="en-US"/>
        </w:rPr>
        <w:t xml:space="preserve">are </w:t>
      </w:r>
      <w:r>
        <w:t>administered intra</w:t>
      </w:r>
      <w:r>
        <w:rPr>
          <w:lang w:val="en-US"/>
        </w:rPr>
        <w:t>-</w:t>
      </w:r>
      <w:proofErr w:type="spellStart"/>
      <w:r>
        <w:t>lesionally</w:t>
      </w:r>
      <w:proofErr w:type="spellEnd"/>
      <w:r>
        <w:t xml:space="preserve"> or peri</w:t>
      </w:r>
      <w:r>
        <w:rPr>
          <w:lang w:val="en-US"/>
        </w:rPr>
        <w:t>-</w:t>
      </w:r>
      <w:proofErr w:type="spellStart"/>
      <w:r>
        <w:t>lesionally</w:t>
      </w:r>
      <w:proofErr w:type="spellEnd"/>
      <w:r>
        <w:t>. It contains multiple bioactive factors that stimulate cellular metabolism and regeneration, and have been used to improve local circula</w:t>
      </w:r>
      <w:r>
        <w:t xml:space="preserve">tion, reduce fibrosis and enhance mucosal healing when incorporated into therapeutic </w:t>
      </w:r>
      <w:proofErr w:type="gramStart"/>
      <w:r>
        <w:t>protocols</w:t>
      </w:r>
      <w:r>
        <w:rPr>
          <w:vertAlign w:val="superscript"/>
        </w:rPr>
        <w:t>[</w:t>
      </w:r>
      <w:proofErr w:type="gramEnd"/>
      <w:r>
        <w:rPr>
          <w:vertAlign w:val="superscript"/>
        </w:rPr>
        <w:t>2,6]</w:t>
      </w:r>
      <w:r>
        <w:t>.</w:t>
      </w:r>
    </w:p>
    <w:p w:rsidR="00A80E00" w:rsidRDefault="00A80E00">
      <w:pPr>
        <w:spacing w:after="252" w:line="265" w:lineRule="auto"/>
        <w:ind w:left="-5" w:right="0"/>
        <w:jc w:val="left"/>
        <w:rPr>
          <w:b/>
        </w:rPr>
      </w:pPr>
    </w:p>
    <w:p w:rsidR="00A80E00" w:rsidRDefault="00BF250B">
      <w:r>
        <w:rPr>
          <w:b/>
          <w:bCs/>
        </w:rPr>
        <w:t>Pentoxifylline and Vasoactive Agents:</w:t>
      </w:r>
    </w:p>
    <w:p w:rsidR="00A80E00" w:rsidRDefault="00BF250B">
      <w:r>
        <w:t>Agents that improve microcirculation and rheology, such as pentoxifylline and other vasoactive drugs, help enhance t</w:t>
      </w:r>
      <w:r>
        <w:t>issue oxygenation</w:t>
      </w:r>
      <w:r>
        <w:rPr>
          <w:lang w:val="en-US"/>
        </w:rPr>
        <w:t xml:space="preserve"> and </w:t>
      </w:r>
      <w:r>
        <w:t xml:space="preserve">reduce platelet </w:t>
      </w:r>
      <w:proofErr w:type="gramStart"/>
      <w:r>
        <w:t>aggregation</w:t>
      </w:r>
      <w:r>
        <w:rPr>
          <w:lang w:val="en-US"/>
        </w:rPr>
        <w:t>.These</w:t>
      </w:r>
      <w:proofErr w:type="gramEnd"/>
      <w:r>
        <w:rPr>
          <w:lang w:val="en-US"/>
        </w:rPr>
        <w:t xml:space="preserve"> </w:t>
      </w:r>
      <w:r>
        <w:t>may reduce fibrotic stiffness by improving vascular formation and modulating fibroblast activity. These are considered useful adjuncts in medical management</w:t>
      </w:r>
      <w:r>
        <w:rPr>
          <w:lang w:val="en-US"/>
        </w:rPr>
        <w:t xml:space="preserve"> </w:t>
      </w:r>
      <w:r>
        <w:rPr>
          <w:vertAlign w:val="superscript"/>
        </w:rPr>
        <w:t>[1,2</w:t>
      </w:r>
      <w:proofErr w:type="gramStart"/>
      <w:r>
        <w:rPr>
          <w:vertAlign w:val="superscript"/>
        </w:rPr>
        <w:t xml:space="preserve">] </w:t>
      </w:r>
      <w:r>
        <w:t>.</w:t>
      </w:r>
      <w:proofErr w:type="gramEnd"/>
    </w:p>
    <w:p w:rsidR="00A80E00" w:rsidRDefault="00A80E00">
      <w:pPr>
        <w:spacing w:after="252" w:line="265" w:lineRule="auto"/>
        <w:ind w:left="-5" w:right="0"/>
        <w:jc w:val="left"/>
        <w:rPr>
          <w:b/>
        </w:rPr>
      </w:pPr>
    </w:p>
    <w:p w:rsidR="00A80E00" w:rsidRDefault="00BF250B">
      <w:pPr>
        <w:rPr>
          <w:b/>
          <w:bCs/>
        </w:rPr>
      </w:pPr>
      <w:r>
        <w:rPr>
          <w:b/>
          <w:bCs/>
        </w:rPr>
        <w:t>Tea Pigments and Polyphenols:</w:t>
      </w:r>
    </w:p>
    <w:p w:rsidR="00A80E00" w:rsidRDefault="00BF250B">
      <w:r>
        <w:t xml:space="preserve">Tea </w:t>
      </w:r>
      <w:r>
        <w:t xml:space="preserve">pigments and polyphenols derived from Camellia </w:t>
      </w:r>
      <w:proofErr w:type="spellStart"/>
      <w:r>
        <w:t>sinensis</w:t>
      </w:r>
      <w:proofErr w:type="spellEnd"/>
      <w:r>
        <w:t xml:space="preserve"> have antioxidant and </w:t>
      </w:r>
      <w:proofErr w:type="spellStart"/>
      <w:r>
        <w:t>antiinflammatory</w:t>
      </w:r>
      <w:proofErr w:type="spellEnd"/>
      <w:r>
        <w:t xml:space="preserve"> effects that can modulate cytokine production, protect against oxidative damage and improve </w:t>
      </w:r>
      <w:proofErr w:type="spellStart"/>
      <w:r>
        <w:t>hemorheology</w:t>
      </w:r>
      <w:proofErr w:type="spellEnd"/>
      <w:r>
        <w:t>, thereby contributing to better tissue health and slowing</w:t>
      </w:r>
    </w:p>
    <w:p w:rsidR="00A80E00" w:rsidRDefault="00BF250B">
      <w:pPr>
        <w:spacing w:after="883"/>
        <w:ind w:left="-5" w:right="45"/>
      </w:pPr>
      <w:r>
        <w:t>fibrotic progression</w:t>
      </w:r>
      <w:r>
        <w:rPr>
          <w:lang w:val="en-US"/>
        </w:rPr>
        <w:t xml:space="preserve"> </w:t>
      </w:r>
      <w:r>
        <w:rPr>
          <w:vertAlign w:val="superscript"/>
        </w:rPr>
        <w:t>[3,7]</w:t>
      </w:r>
      <w:r>
        <w:t>.</w:t>
      </w:r>
    </w:p>
    <w:p w:rsidR="00A80E00" w:rsidRDefault="00BF250B">
      <w:r>
        <w:rPr>
          <w:b/>
          <w:bCs/>
        </w:rPr>
        <w:t>Colchicine and Immune Milk:</w:t>
      </w:r>
    </w:p>
    <w:p w:rsidR="00A80E00" w:rsidRDefault="00BF250B">
      <w:r>
        <w:t xml:space="preserve">Colchicine has anti-inflammatory and potential antifibrotic effects that can be beneficial in certain regimens, while experimental adjuncts such as immune milk have been explored for their </w:t>
      </w:r>
      <w:r>
        <w:t>anti-inflammatory nutrient content and modulatory effects on cytokine profiles</w:t>
      </w:r>
      <w:r>
        <w:rPr>
          <w:lang w:val="en-US"/>
        </w:rPr>
        <w:t xml:space="preserve"> </w:t>
      </w:r>
      <w:r>
        <w:rPr>
          <w:vertAlign w:val="superscript"/>
        </w:rPr>
        <w:t>[1,7]</w:t>
      </w:r>
      <w:r>
        <w:t>.</w:t>
      </w:r>
    </w:p>
    <w:p w:rsidR="00A80E00" w:rsidRDefault="00A80E00">
      <w:pPr>
        <w:spacing w:after="489" w:line="265" w:lineRule="auto"/>
        <w:ind w:left="0" w:right="0" w:firstLine="0"/>
        <w:jc w:val="left"/>
        <w:rPr>
          <w:b/>
          <w:sz w:val="28"/>
        </w:rPr>
      </w:pPr>
    </w:p>
    <w:p w:rsidR="00A80E00" w:rsidRDefault="00BF250B">
      <w:pPr>
        <w:rPr>
          <w:b/>
          <w:bCs/>
        </w:rPr>
      </w:pPr>
      <w:r>
        <w:rPr>
          <w:b/>
          <w:bCs/>
        </w:rPr>
        <w:t>Surgical Management:</w:t>
      </w:r>
    </w:p>
    <w:p w:rsidR="00A80E00" w:rsidRDefault="00BF250B">
      <w:r>
        <w:t xml:space="preserve">Surgical management is crucial in advanced OSMF to release fibrotic bands and restore mouth opening for proper mastication, speech, and </w:t>
      </w:r>
      <w:proofErr w:type="gramStart"/>
      <w:r>
        <w:t>hygiene</w:t>
      </w:r>
      <w:r>
        <w:rPr>
          <w:vertAlign w:val="superscript"/>
          <w:lang w:val="en-US"/>
        </w:rPr>
        <w:t>[</w:t>
      </w:r>
      <w:proofErr w:type="gramEnd"/>
      <w:r>
        <w:rPr>
          <w:vertAlign w:val="superscript"/>
          <w:lang w:val="en-US"/>
        </w:rPr>
        <w:t>1,3]</w:t>
      </w:r>
      <w:r>
        <w:t xml:space="preserve">. It is typically indicated when interincisal mouth opening is less than 25 </w:t>
      </w:r>
      <w:proofErr w:type="gramStart"/>
      <w:r>
        <w:t>mm</w:t>
      </w:r>
      <w:r>
        <w:rPr>
          <w:vertAlign w:val="superscript"/>
          <w:lang w:val="en-US"/>
        </w:rPr>
        <w:t>[</w:t>
      </w:r>
      <w:proofErr w:type="gramEnd"/>
      <w:r>
        <w:rPr>
          <w:vertAlign w:val="superscript"/>
          <w:lang w:val="en-US"/>
        </w:rPr>
        <w:t>5,7]</w:t>
      </w:r>
      <w:r>
        <w:t xml:space="preserve">. The main objective is to divide </w:t>
      </w:r>
      <w:proofErr w:type="spellStart"/>
      <w:r>
        <w:t>fibrosed</w:t>
      </w:r>
      <w:proofErr w:type="spellEnd"/>
      <w:r>
        <w:t xml:space="preserve"> tissue and maintain the surgically created space to prevent relapse</w:t>
      </w:r>
      <w:r>
        <w:rPr>
          <w:vertAlign w:val="superscript"/>
        </w:rPr>
        <w:t>[</w:t>
      </w:r>
      <w:r>
        <w:t>²˒⁶</w:t>
      </w:r>
      <w:r>
        <w:rPr>
          <w:vertAlign w:val="superscript"/>
        </w:rPr>
        <w:t>]</w:t>
      </w:r>
      <w:r>
        <w:rPr>
          <w:lang w:val="en-US"/>
        </w:rPr>
        <w:t>.</w:t>
      </w:r>
      <w:r>
        <w:rPr>
          <w:vertAlign w:val="superscript"/>
        </w:rPr>
        <w:t xml:space="preserve"> </w:t>
      </w:r>
      <w:r>
        <w:t>Preoperative evaluation, including MRI and histopatholog</w:t>
      </w:r>
      <w:r>
        <w:t>ical screening, is essential to rule out dysplasia or malignancy</w:t>
      </w:r>
      <w:r>
        <w:rPr>
          <w:vertAlign w:val="superscript"/>
        </w:rPr>
        <w:t>[</w:t>
      </w:r>
      <w:proofErr w:type="gramStart"/>
      <w:r>
        <w:t>⁴</w:t>
      </w:r>
      <w:r>
        <w:rPr>
          <w:vertAlign w:val="superscript"/>
        </w:rPr>
        <w:t>,</w:t>
      </w:r>
      <w:r>
        <w:t>¹</w:t>
      </w:r>
      <w:proofErr w:type="gramEnd"/>
      <w:r>
        <w:t>³</w:t>
      </w:r>
      <w:r>
        <w:rPr>
          <w:vertAlign w:val="superscript"/>
        </w:rPr>
        <w:t>]</w:t>
      </w:r>
      <w:r>
        <w:t>.</w:t>
      </w:r>
    </w:p>
    <w:p w:rsidR="00A80E00" w:rsidRDefault="00BF250B">
      <w:pPr>
        <w:spacing w:after="289"/>
        <w:ind w:left="-5" w:right="45"/>
      </w:pPr>
      <w:r>
        <w:t>The surgical procedure involves horizontal incisions on the buccal mucosa, typically forming a Y-shaped pattern near the commissure to preserve the modiolus</w:t>
      </w:r>
      <w:r>
        <w:rPr>
          <w:vertAlign w:val="superscript"/>
        </w:rPr>
        <w:t>[</w:t>
      </w:r>
      <w:proofErr w:type="gramStart"/>
      <w:r>
        <w:t>⁷</w:t>
      </w:r>
      <w:r>
        <w:rPr>
          <w:vertAlign w:val="superscript"/>
        </w:rPr>
        <w:t>,</w:t>
      </w:r>
      <w:r>
        <w:t>¹</w:t>
      </w:r>
      <w:proofErr w:type="gramEnd"/>
      <w:r>
        <w:t>⁰</w:t>
      </w:r>
      <w:r>
        <w:rPr>
          <w:vertAlign w:val="superscript"/>
        </w:rPr>
        <w:t>]</w:t>
      </w:r>
      <w:r>
        <w:rPr>
          <w:lang w:val="en-US"/>
        </w:rPr>
        <w:t>.</w:t>
      </w:r>
      <w:r>
        <w:rPr>
          <w:vertAlign w:val="superscript"/>
        </w:rPr>
        <w:t xml:space="preserve"> </w:t>
      </w:r>
      <w:r>
        <w:t>Myotomy of the bucci</w:t>
      </w:r>
      <w:r>
        <w:t>nator, masseter, medial pterygoid, and temporalis muscles is performed to ensure adequate muscle release</w:t>
      </w:r>
      <w:r>
        <w:rPr>
          <w:vertAlign w:val="superscript"/>
        </w:rPr>
        <w:t>[</w:t>
      </w:r>
      <w:proofErr w:type="gramStart"/>
      <w:r>
        <w:t>⁹</w:t>
      </w:r>
      <w:r>
        <w:rPr>
          <w:vertAlign w:val="superscript"/>
        </w:rPr>
        <w:t>,</w:t>
      </w:r>
      <w:r>
        <w:t>¹</w:t>
      </w:r>
      <w:proofErr w:type="gramEnd"/>
      <w:r>
        <w:t>¹</w:t>
      </w:r>
      <w:r>
        <w:rPr>
          <w:vertAlign w:val="superscript"/>
        </w:rPr>
        <w:t>]</w:t>
      </w:r>
      <w:r>
        <w:rPr>
          <w:lang w:val="en-US"/>
        </w:rPr>
        <w:t>.</w:t>
      </w:r>
      <w:r>
        <w:t xml:space="preserve">If mouth opening remains below 35 mm, </w:t>
      </w:r>
      <w:proofErr w:type="spellStart"/>
      <w:r>
        <w:t>coronoidectomy</w:t>
      </w:r>
      <w:proofErr w:type="spellEnd"/>
      <w:r>
        <w:t xml:space="preserve"> is recommended</w:t>
      </w:r>
      <w:r>
        <w:rPr>
          <w:vertAlign w:val="superscript"/>
        </w:rPr>
        <w:t>[</w:t>
      </w:r>
      <w:r>
        <w:t>⁷</w:t>
      </w:r>
      <w:r>
        <w:rPr>
          <w:vertAlign w:val="superscript"/>
        </w:rPr>
        <w:t>,</w:t>
      </w:r>
      <w:r>
        <w:t>¹⁵</w:t>
      </w:r>
      <w:r>
        <w:rPr>
          <w:vertAlign w:val="superscript"/>
        </w:rPr>
        <w:t>]</w:t>
      </w:r>
      <w:r>
        <w:rPr>
          <w:lang w:val="en-US"/>
        </w:rPr>
        <w:t>.</w:t>
      </w:r>
      <w:r>
        <w:t>Following fibrotic release, the resulting mucosal defect must be resurf</w:t>
      </w:r>
      <w:r>
        <w:t>aced to avoid contraction and secondary fibrosis</w:t>
      </w:r>
      <w:r>
        <w:rPr>
          <w:vertAlign w:val="superscript"/>
        </w:rPr>
        <w:t>[</w:t>
      </w:r>
      <w:r>
        <w:t>⁵</w:t>
      </w:r>
      <w:r>
        <w:rPr>
          <w:vertAlign w:val="superscript"/>
        </w:rPr>
        <w:t>,</w:t>
      </w:r>
      <w:r>
        <w:t>¹⁶</w:t>
      </w:r>
      <w:r>
        <w:rPr>
          <w:vertAlign w:val="superscript"/>
        </w:rPr>
        <w:t>]</w:t>
      </w:r>
      <w:r>
        <w:t>.</w:t>
      </w:r>
    </w:p>
    <w:p w:rsidR="00A80E00" w:rsidRDefault="00BF250B">
      <w:pPr>
        <w:spacing w:after="322"/>
        <w:ind w:left="-5" w:right="45"/>
        <w:rPr>
          <w:lang w:val="en-US"/>
        </w:rPr>
      </w:pPr>
      <w:r>
        <w:lastRenderedPageBreak/>
        <w:t>Reconstruction options include biological or synthetic grafts, and flaps such as buccal fat pad, nasolabial, platysma, temporalis fascia and split-thickness skin grafts</w:t>
      </w:r>
      <w:r>
        <w:rPr>
          <w:vertAlign w:val="superscript"/>
        </w:rPr>
        <w:t>[</w:t>
      </w:r>
      <w:r>
        <w:t>⁷</w:t>
      </w:r>
      <w:r>
        <w:rPr>
          <w:vertAlign w:val="superscript"/>
        </w:rPr>
        <w:t>,</w:t>
      </w:r>
      <w:r>
        <w:t>¹⁵</w:t>
      </w:r>
      <w:r>
        <w:rPr>
          <w:vertAlign w:val="superscript"/>
        </w:rPr>
        <w:t>]</w:t>
      </w:r>
      <w:r>
        <w:t>.The buccal fat pad is pre</w:t>
      </w:r>
      <w:r>
        <w:t>ferred for its proximity and low morbidity, though limited fat volume can restrict use</w:t>
      </w:r>
      <w:r>
        <w:rPr>
          <w:vertAlign w:val="superscript"/>
        </w:rPr>
        <w:t>[</w:t>
      </w:r>
      <w:r>
        <w:t>⁹</w:t>
      </w:r>
      <w:r>
        <w:rPr>
          <w:vertAlign w:val="superscript"/>
        </w:rPr>
        <w:t>,</w:t>
      </w:r>
      <w:r>
        <w:t>¹⁵</w:t>
      </w:r>
      <w:r>
        <w:rPr>
          <w:vertAlign w:val="superscript"/>
        </w:rPr>
        <w:t>]</w:t>
      </w:r>
      <w:r>
        <w:rPr>
          <w:lang w:val="en-US"/>
        </w:rPr>
        <w:t>.</w:t>
      </w:r>
      <w:r>
        <w:t>The nasolabial flap is common for its simplicity and reliability, despite minor facial scarring</w:t>
      </w:r>
      <w:r>
        <w:rPr>
          <w:vertAlign w:val="superscript"/>
        </w:rPr>
        <w:t>[</w:t>
      </w:r>
      <w:r>
        <w:t>⁶</w:t>
      </w:r>
      <w:r>
        <w:rPr>
          <w:vertAlign w:val="superscript"/>
        </w:rPr>
        <w:t>,</w:t>
      </w:r>
      <w:r>
        <w:t>¹⁷</w:t>
      </w:r>
      <w:r>
        <w:rPr>
          <w:vertAlign w:val="superscript"/>
        </w:rPr>
        <w:t>]</w:t>
      </w:r>
      <w:r>
        <w:t>.The radial forearm free flap remains the gold standard for ex</w:t>
      </w:r>
      <w:r>
        <w:t>tensive OSMF due to its thin, pliable, hairless tissue and long pedicle, offering excellent outcomes</w:t>
      </w:r>
      <w:r>
        <w:rPr>
          <w:vertAlign w:val="superscript"/>
        </w:rPr>
        <w:t>[</w:t>
      </w:r>
      <w:r>
        <w:t>¹⁵</w:t>
      </w:r>
      <w:r>
        <w:rPr>
          <w:vertAlign w:val="superscript"/>
        </w:rPr>
        <w:t>,</w:t>
      </w:r>
      <w:r>
        <w:t>¹⁸</w:t>
      </w:r>
      <w:r>
        <w:rPr>
          <w:vertAlign w:val="superscript"/>
        </w:rPr>
        <w:t>]</w:t>
      </w:r>
      <w:r>
        <w:rPr>
          <w:lang w:val="en-US"/>
        </w:rPr>
        <w:t>.</w:t>
      </w:r>
    </w:p>
    <w:p w:rsidR="00A80E00" w:rsidRDefault="00BF250B">
      <w:pPr>
        <w:spacing w:after="361"/>
        <w:ind w:left="-5" w:right="45"/>
        <w:rPr>
          <w:lang w:val="en-US"/>
        </w:rPr>
      </w:pPr>
      <w:r>
        <w:t xml:space="preserve">Laser-assisted surgery using the </w:t>
      </w:r>
      <w:proofErr w:type="spellStart"/>
      <w:proofErr w:type="gramStart"/>
      <w:r>
        <w:t>Er,Cr</w:t>
      </w:r>
      <w:proofErr w:type="gramEnd"/>
      <w:r>
        <w:t>:YSGG</w:t>
      </w:r>
      <w:proofErr w:type="spellEnd"/>
      <w:r>
        <w:t xml:space="preserve"> laser provides a bloodless field, minimal scarring and faster healing, ideal for mild cases</w:t>
      </w:r>
      <w:r>
        <w:rPr>
          <w:lang w:val="en-US"/>
        </w:rPr>
        <w:t xml:space="preserve"> </w:t>
      </w:r>
      <w:r>
        <w:rPr>
          <w:vertAlign w:val="superscript"/>
        </w:rPr>
        <w:t>[</w:t>
      </w:r>
      <w:r>
        <w:t>¹⁰</w:t>
      </w:r>
      <w:r>
        <w:rPr>
          <w:vertAlign w:val="superscript"/>
        </w:rPr>
        <w:t>,</w:t>
      </w:r>
      <w:r>
        <w:t xml:space="preserve">¹⁹ </w:t>
      </w:r>
      <w:r>
        <w:rPr>
          <w:vertAlign w:val="superscript"/>
        </w:rPr>
        <w:t>]</w:t>
      </w:r>
      <w:r>
        <w:t>.</w:t>
      </w:r>
      <w:r>
        <w:rPr>
          <w:vertAlign w:val="superscript"/>
        </w:rPr>
        <w:t xml:space="preserve"> </w:t>
      </w:r>
      <w:r>
        <w:t>M</w:t>
      </w:r>
      <w:r>
        <w:t xml:space="preserve">icrowave diathermy assists by breaking down fibrotic bands through controlled </w:t>
      </w:r>
      <w:proofErr w:type="gramStart"/>
      <w:r>
        <w:t>heat</w:t>
      </w:r>
      <w:r>
        <w:rPr>
          <w:vertAlign w:val="superscript"/>
        </w:rPr>
        <w:t>[</w:t>
      </w:r>
      <w:proofErr w:type="gramEnd"/>
      <w:r>
        <w:t>²</w:t>
      </w:r>
      <w:r>
        <w:rPr>
          <w:vertAlign w:val="superscript"/>
        </w:rPr>
        <w:t>,</w:t>
      </w:r>
      <w:r>
        <w:t xml:space="preserve">²⁰ </w:t>
      </w:r>
      <w:r>
        <w:rPr>
          <w:vertAlign w:val="superscript"/>
        </w:rPr>
        <w:t>]</w:t>
      </w:r>
      <w:r>
        <w:t>. Stem cell therapy further improves mucosal flexibility and reduces burning sensations post-</w:t>
      </w:r>
      <w:proofErr w:type="gramStart"/>
      <w:r>
        <w:t>surgery.</w:t>
      </w:r>
      <w:r>
        <w:rPr>
          <w:vertAlign w:val="superscript"/>
        </w:rPr>
        <w:t>[</w:t>
      </w:r>
      <w:proofErr w:type="gramEnd"/>
      <w:r>
        <w:t>¹⁶</w:t>
      </w:r>
      <w:r>
        <w:rPr>
          <w:vertAlign w:val="superscript"/>
        </w:rPr>
        <w:t>,</w:t>
      </w:r>
      <w:r>
        <w:t>²¹</w:t>
      </w:r>
      <w:r>
        <w:rPr>
          <w:vertAlign w:val="superscript"/>
        </w:rPr>
        <w:t>]</w:t>
      </w:r>
      <w:r>
        <w:t xml:space="preserve">. Postoperative physiotherapy and psychological </w:t>
      </w:r>
      <w:r>
        <w:t>rehabilitation are critical to maintain mouth opening and prevent re-fibrosis</w:t>
      </w:r>
      <w:r>
        <w:rPr>
          <w:vertAlign w:val="superscript"/>
        </w:rPr>
        <w:t>[</w:t>
      </w:r>
      <w:r>
        <w:t>¹</w:t>
      </w:r>
      <w:proofErr w:type="gramStart"/>
      <w:r>
        <w:t>¹</w:t>
      </w:r>
      <w:r>
        <w:rPr>
          <w:vertAlign w:val="superscript"/>
        </w:rPr>
        <w:t>,</w:t>
      </w:r>
      <w:r>
        <w:t>¹</w:t>
      </w:r>
      <w:proofErr w:type="gramEnd"/>
      <w:r>
        <w:t>⁷</w:t>
      </w:r>
      <w:r>
        <w:rPr>
          <w:vertAlign w:val="superscript"/>
        </w:rPr>
        <w:t>]</w:t>
      </w:r>
      <w:r>
        <w:rPr>
          <w:lang w:val="en-US"/>
        </w:rPr>
        <w:t>.</w:t>
      </w:r>
      <w:r>
        <w:rPr>
          <w:vertAlign w:val="superscript"/>
        </w:rPr>
        <w:t xml:space="preserve"> </w:t>
      </w:r>
      <w:r>
        <w:t>Overall, combining surgical release, flap reconstruction, and regenerative therapies offers effective and long-lasting functional recovery in OSMF patients</w:t>
      </w:r>
      <w:r>
        <w:rPr>
          <w:vertAlign w:val="superscript"/>
        </w:rPr>
        <w:t>[</w:t>
      </w:r>
      <w:proofErr w:type="gramStart"/>
      <w:r>
        <w:t>¹</w:t>
      </w:r>
      <w:r>
        <w:rPr>
          <w:vertAlign w:val="superscript"/>
        </w:rPr>
        <w:t>,</w:t>
      </w:r>
      <w:r>
        <w:t>⁷</w:t>
      </w:r>
      <w:proofErr w:type="gramEnd"/>
      <w:r>
        <w:rPr>
          <w:vertAlign w:val="superscript"/>
        </w:rPr>
        <w:t>]</w:t>
      </w:r>
      <w:r>
        <w:rPr>
          <w:lang w:val="en-US"/>
        </w:rPr>
        <w:t>.</w:t>
      </w:r>
    </w:p>
    <w:p w:rsidR="00A80E00" w:rsidRDefault="00BF250B">
      <w:pPr>
        <w:rPr>
          <w:b/>
          <w:bCs/>
        </w:rPr>
      </w:pPr>
      <w:r>
        <w:rPr>
          <w:b/>
          <w:bCs/>
        </w:rPr>
        <w:t>Stem Cel</w:t>
      </w:r>
      <w:r>
        <w:rPr>
          <w:b/>
          <w:bCs/>
        </w:rPr>
        <w:t>l Therapy:</w:t>
      </w:r>
    </w:p>
    <w:p w:rsidR="00A80E00" w:rsidRDefault="00BF250B">
      <w:r>
        <w:t>Autologous bone marrow stem cell injections have shown promising results in improving mucosal health, reducing fibrotic bands, and enhancing mouth opening. This approach remains experimental but represents a potential future direction in OSMF ma</w:t>
      </w:r>
      <w:r>
        <w:t>nagement</w:t>
      </w:r>
      <w:r>
        <w:rPr>
          <w:lang w:val="en-US"/>
        </w:rPr>
        <w:t xml:space="preserve"> </w:t>
      </w:r>
      <w:r>
        <w:rPr>
          <w:vertAlign w:val="superscript"/>
        </w:rPr>
        <w:t>[2,17]</w:t>
      </w:r>
      <w:r>
        <w:t>.</w:t>
      </w:r>
    </w:p>
    <w:p w:rsidR="00A80E00" w:rsidRDefault="00A80E00">
      <w:pPr>
        <w:spacing w:after="210" w:line="265" w:lineRule="auto"/>
        <w:ind w:left="-5" w:right="0"/>
        <w:jc w:val="left"/>
        <w:rPr>
          <w:b/>
          <w:sz w:val="28"/>
        </w:rPr>
      </w:pPr>
    </w:p>
    <w:p w:rsidR="00A80E00" w:rsidRDefault="00BF250B">
      <w:pPr>
        <w:rPr>
          <w:b/>
          <w:bCs/>
        </w:rPr>
      </w:pPr>
      <w:r>
        <w:rPr>
          <w:b/>
          <w:bCs/>
        </w:rPr>
        <w:t>Postoperative Physiotherapy:</w:t>
      </w:r>
    </w:p>
    <w:p w:rsidR="00A80E00" w:rsidRDefault="00BF250B">
      <w:r>
        <w:t>Postoperative physiotherapy is essential to maintain surgical gains and prevent relapse. Usually, oral physiotherapy begins around the third postoperative day, once initial healing has started</w:t>
      </w:r>
      <w:r>
        <w:rPr>
          <w:lang w:val="en-US"/>
        </w:rPr>
        <w:t>.</w:t>
      </w:r>
      <w:r>
        <w:rPr>
          <w:vertAlign w:val="superscript"/>
          <w:lang w:val="en-US"/>
        </w:rPr>
        <w:t>[7]</w:t>
      </w:r>
      <w:r>
        <w:t xml:space="preserve"> Using wooden</w:t>
      </w:r>
      <w:r>
        <w:t xml:space="preserve"> tongue depressors placed between the molar teeth and gradually increasing the sticks day by day promote optimal mouth opening</w:t>
      </w:r>
      <w:r>
        <w:rPr>
          <w:lang w:val="en-US"/>
        </w:rPr>
        <w:t>.</w:t>
      </w:r>
      <w:r>
        <w:rPr>
          <w:vertAlign w:val="superscript"/>
        </w:rPr>
        <w:t>[7]</w:t>
      </w:r>
      <w:r>
        <w:t xml:space="preserve"> For effective outcomes, patients are advised to perform these exercises for at least 3 minutes, three times daily, over a min</w:t>
      </w:r>
      <w:r>
        <w:t>imum period of three months</w:t>
      </w:r>
      <w:r>
        <w:rPr>
          <w:lang w:val="en-US"/>
        </w:rPr>
        <w:t>.</w:t>
      </w:r>
      <w:r>
        <w:rPr>
          <w:vertAlign w:val="superscript"/>
        </w:rPr>
        <w:t>[7,22]</w:t>
      </w:r>
      <w:r>
        <w:t>The regular use of mouth-opening aids and a sustained program of daily exercises for several months combined with cessation of causative habits and psychological support are essential in long-term success and early detecti</w:t>
      </w:r>
      <w:r>
        <w:t>on of malignant transformation</w:t>
      </w:r>
      <w:r>
        <w:rPr>
          <w:lang w:val="en-US"/>
        </w:rPr>
        <w:t>.</w:t>
      </w:r>
      <w:r>
        <w:rPr>
          <w:vertAlign w:val="superscript"/>
        </w:rPr>
        <w:t>[7]</w:t>
      </w:r>
      <w:r>
        <w:t xml:space="preserve"> Consistent patient cooperation is vital not only for sustaining this regimen but also for discontinuing areca nut use, which is key to reducing the risk of fibrosis recurrence</w:t>
      </w:r>
      <w:r>
        <w:rPr>
          <w:lang w:val="en-US"/>
        </w:rPr>
        <w:t>.</w:t>
      </w:r>
      <w:r>
        <w:rPr>
          <w:vertAlign w:val="superscript"/>
        </w:rPr>
        <w:t>[7]</w:t>
      </w:r>
      <w:r>
        <w:t xml:space="preserve"> Additionally, regular follow-up is necess</w:t>
      </w:r>
      <w:r>
        <w:t>ary to monitor for potential malignant transformation.</w:t>
      </w:r>
    </w:p>
    <w:p w:rsidR="00A80E00" w:rsidRDefault="00A80E00">
      <w:pPr>
        <w:ind w:left="-5" w:right="45"/>
      </w:pPr>
    </w:p>
    <w:p w:rsidR="00A80E00" w:rsidRDefault="00BF250B">
      <w:pPr>
        <w:spacing w:after="210" w:line="265" w:lineRule="auto"/>
        <w:ind w:left="-5" w:right="0"/>
        <w:jc w:val="left"/>
        <w:rPr>
          <w:lang w:val="en-US"/>
        </w:rPr>
      </w:pPr>
      <w:r>
        <w:rPr>
          <w:b/>
          <w:sz w:val="28"/>
        </w:rPr>
        <w:t>C</w:t>
      </w:r>
      <w:proofErr w:type="spellStart"/>
      <w:r>
        <w:rPr>
          <w:b/>
          <w:sz w:val="28"/>
          <w:lang w:val="en-US"/>
        </w:rPr>
        <w:t>onclusion</w:t>
      </w:r>
      <w:proofErr w:type="spellEnd"/>
      <w:r>
        <w:rPr>
          <w:b/>
          <w:sz w:val="28"/>
          <w:lang w:val="en-US"/>
        </w:rPr>
        <w:t>:</w:t>
      </w:r>
    </w:p>
    <w:p w:rsidR="00A80E00" w:rsidRDefault="00BF250B">
      <w:pPr>
        <w:spacing w:after="249" w:line="265" w:lineRule="auto"/>
        <w:ind w:left="-5" w:right="0"/>
      </w:pPr>
      <w:r>
        <w:t>OSMF remains a significant global public health concern, particularly in populations that consume areca nut and its derivatives. Its multifactorial pathogenesis results in chronic morbidit</w:t>
      </w:r>
      <w:r>
        <w:t xml:space="preserve">y, with local and systemic copper playing a potentially important role, although further research is needed to clarify the mechanisms. Management of OSMF relies primarily on habit cessation, supported by nutritional supplementation, patient education, and </w:t>
      </w:r>
      <w:r>
        <w:t>pharmacological therapies to relieve symptoms. Advanced cases may require surgical intervention and physiotherapy to restore function. Emerging treatments, including stem cell therapy, tissue engineering, and novel drug delivery systems, offer promising av</w:t>
      </w:r>
      <w:r>
        <w:t xml:space="preserve">enues to improve outcomes and reduce the risk of malignant transformation. A comprehensive, multidisciplinary approach </w:t>
      </w:r>
      <w:r>
        <w:lastRenderedPageBreak/>
        <w:t>is essential to address the challenges posed by OSMF and mitigate its impact on global oral health.</w:t>
      </w:r>
    </w:p>
    <w:p w:rsidR="00A80E00" w:rsidRDefault="00A80E00">
      <w:pPr>
        <w:spacing w:after="249" w:line="265" w:lineRule="auto"/>
        <w:ind w:left="-5" w:right="0"/>
        <w:jc w:val="left"/>
      </w:pPr>
    </w:p>
    <w:p w:rsidR="00A80E00" w:rsidRDefault="00BF250B">
      <w:pPr>
        <w:rPr>
          <w:highlight w:val="yellow"/>
        </w:rPr>
      </w:pPr>
      <w:r>
        <w:rPr>
          <w:highlight w:val="yellow"/>
        </w:rPr>
        <w:t>Disclaimer (Artificial intelligence)</w:t>
      </w:r>
    </w:p>
    <w:p w:rsidR="00A80E00" w:rsidRDefault="00A80E00">
      <w:pPr>
        <w:rPr>
          <w:highlight w:val="yellow"/>
        </w:rPr>
      </w:pPr>
    </w:p>
    <w:p w:rsidR="00A80E00" w:rsidRDefault="00BF250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A80E00" w:rsidRDefault="00A80E00">
      <w:pPr>
        <w:rPr>
          <w:highlight w:val="yellow"/>
        </w:rPr>
      </w:pPr>
    </w:p>
    <w:p w:rsidR="00A80E00" w:rsidRDefault="00BF250B">
      <w:pPr>
        <w:spacing w:after="249" w:line="265" w:lineRule="auto"/>
        <w:ind w:left="-5" w:right="0"/>
        <w:jc w:val="left"/>
        <w:rPr>
          <w:szCs w:val="24"/>
          <w:lang w:val="en-US"/>
        </w:rPr>
      </w:pPr>
      <w:r>
        <w:rPr>
          <w:b/>
          <w:szCs w:val="24"/>
        </w:rPr>
        <w:t>R</w:t>
      </w:r>
      <w:proofErr w:type="spellStart"/>
      <w:r>
        <w:rPr>
          <w:b/>
          <w:szCs w:val="24"/>
          <w:lang w:val="en-US"/>
        </w:rPr>
        <w:t>eferrences</w:t>
      </w:r>
      <w:proofErr w:type="spellEnd"/>
      <w:r>
        <w:rPr>
          <w:b/>
          <w:szCs w:val="24"/>
          <w:lang w:val="en-US"/>
        </w:rPr>
        <w:t>:</w:t>
      </w:r>
    </w:p>
    <w:p w:rsidR="00A80E00" w:rsidRDefault="00BF250B">
      <w:pPr>
        <w:numPr>
          <w:ilvl w:val="0"/>
          <w:numId w:val="1"/>
        </w:numPr>
        <w:ind w:right="45"/>
      </w:pPr>
      <w:proofErr w:type="spellStart"/>
      <w:r>
        <w:t>Elamparithi</w:t>
      </w:r>
      <w:proofErr w:type="spellEnd"/>
      <w:r>
        <w:t xml:space="preserve"> B, </w:t>
      </w:r>
      <w:proofErr w:type="spellStart"/>
      <w:r>
        <w:t>Deivanayagi</w:t>
      </w:r>
      <w:proofErr w:type="spellEnd"/>
      <w:r>
        <w:t xml:space="preserve"> M, </w:t>
      </w:r>
      <w:proofErr w:type="spellStart"/>
      <w:r>
        <w:t>Narmadha</w:t>
      </w:r>
      <w:proofErr w:type="spellEnd"/>
      <w:r>
        <w:t xml:space="preserve"> C, </w:t>
      </w:r>
      <w:proofErr w:type="spellStart"/>
      <w:r>
        <w:t>Monisha</w:t>
      </w:r>
      <w:proofErr w:type="spellEnd"/>
      <w:r>
        <w:t xml:space="preserve"> R, </w:t>
      </w:r>
      <w:proofErr w:type="spellStart"/>
      <w:r>
        <w:t>Sindhuja</w:t>
      </w:r>
      <w:proofErr w:type="spellEnd"/>
      <w:r>
        <w:t xml:space="preserve"> T. An Overview on Oral Submucous Fibrosis: Aetiology, Diagnosis, and Advances in Management. Asian J </w:t>
      </w:r>
      <w:proofErr w:type="spellStart"/>
      <w:r>
        <w:t>DentSci</w:t>
      </w:r>
      <w:proofErr w:type="spellEnd"/>
      <w:r>
        <w:t xml:space="preserve">. </w:t>
      </w:r>
      <w:r>
        <w:t>2025;8(1):130–138</w:t>
      </w:r>
      <w:r>
        <w:rPr>
          <w:lang w:val="en-US"/>
        </w:rPr>
        <w:t>.</w:t>
      </w:r>
    </w:p>
    <w:p w:rsidR="00A80E00" w:rsidRDefault="00BF250B">
      <w:pPr>
        <w:numPr>
          <w:ilvl w:val="0"/>
          <w:numId w:val="1"/>
        </w:numPr>
        <w:ind w:right="45"/>
      </w:pPr>
      <w:r>
        <w:t xml:space="preserve">Chhabra AK, </w:t>
      </w:r>
      <w:proofErr w:type="spellStart"/>
      <w:r>
        <w:t>Sune</w:t>
      </w:r>
      <w:proofErr w:type="spellEnd"/>
      <w:r>
        <w:t xml:space="preserve"> R, </w:t>
      </w:r>
      <w:proofErr w:type="spellStart"/>
      <w:r>
        <w:t>Reche</w:t>
      </w:r>
      <w:proofErr w:type="spellEnd"/>
      <w:r>
        <w:t xml:space="preserve"> A. Oral Submucous Fibrosis: A Review of the Current Concepts in Management. </w:t>
      </w:r>
      <w:proofErr w:type="spellStart"/>
      <w:r>
        <w:t>Cureus</w:t>
      </w:r>
      <w:proofErr w:type="spellEnd"/>
      <w:r>
        <w:t>. 2023;15(10</w:t>
      </w:r>
      <w:proofErr w:type="gramStart"/>
      <w:r>
        <w:t>):e</w:t>
      </w:r>
      <w:proofErr w:type="gramEnd"/>
      <w:r>
        <w:t>38973.</w:t>
      </w:r>
    </w:p>
    <w:p w:rsidR="00A80E00" w:rsidRDefault="00BF250B">
      <w:pPr>
        <w:numPr>
          <w:ilvl w:val="0"/>
          <w:numId w:val="1"/>
        </w:numPr>
        <w:ind w:right="45"/>
      </w:pPr>
      <w:r>
        <w:t xml:space="preserve">Khan S, Sinha A, Kumar S, Iqbal H. Oral Submucous Fibrosis: Current Concepts on Aetiology and Management – </w:t>
      </w:r>
      <w:r>
        <w:t xml:space="preserve">A Review. J Indian </w:t>
      </w:r>
      <w:proofErr w:type="spellStart"/>
      <w:r>
        <w:t>Acad</w:t>
      </w:r>
      <w:proofErr w:type="spellEnd"/>
      <w:r>
        <w:t xml:space="preserve"> Oral Med </w:t>
      </w:r>
      <w:proofErr w:type="spellStart"/>
      <w:r>
        <w:t>Radiol</w:t>
      </w:r>
      <w:proofErr w:type="spellEnd"/>
      <w:r>
        <w:t>. 2018;30(4):407– 411.</w:t>
      </w:r>
    </w:p>
    <w:p w:rsidR="00A80E00" w:rsidRDefault="00BF250B">
      <w:pPr>
        <w:numPr>
          <w:ilvl w:val="0"/>
          <w:numId w:val="1"/>
        </w:numPr>
        <w:ind w:right="45"/>
      </w:pPr>
      <w:proofErr w:type="spellStart"/>
      <w:r>
        <w:t>Zisis</w:t>
      </w:r>
      <w:proofErr w:type="spellEnd"/>
      <w:r>
        <w:t xml:space="preserve"> V, </w:t>
      </w:r>
      <w:proofErr w:type="spellStart"/>
      <w:r>
        <w:t>Zisis</w:t>
      </w:r>
      <w:proofErr w:type="spellEnd"/>
      <w:r>
        <w:t xml:space="preserve"> S, </w:t>
      </w:r>
      <w:proofErr w:type="spellStart"/>
      <w:r>
        <w:t>Charisi</w:t>
      </w:r>
      <w:proofErr w:type="spellEnd"/>
      <w:r>
        <w:t xml:space="preserve"> C, </w:t>
      </w:r>
      <w:proofErr w:type="spellStart"/>
      <w:r>
        <w:t>Poulopoulos</w:t>
      </w:r>
      <w:proofErr w:type="spellEnd"/>
      <w:r>
        <w:t xml:space="preserve"> K, Sarkisian A, </w:t>
      </w:r>
      <w:proofErr w:type="spellStart"/>
      <w:r>
        <w:t>Poulopoulos</w:t>
      </w:r>
      <w:proofErr w:type="spellEnd"/>
      <w:r>
        <w:t xml:space="preserve"> A. Molecular Genomics of Oral Submucous Fibrosis: A Narrative Review. Genes. 2025;16(6):612.</w:t>
      </w:r>
    </w:p>
    <w:p w:rsidR="00A80E00" w:rsidRDefault="00BF250B">
      <w:pPr>
        <w:numPr>
          <w:ilvl w:val="0"/>
          <w:numId w:val="1"/>
        </w:numPr>
        <w:ind w:right="45"/>
      </w:pPr>
      <w:proofErr w:type="spellStart"/>
      <w:r>
        <w:t>Arakeri</w:t>
      </w:r>
      <w:proofErr w:type="spellEnd"/>
      <w:r>
        <w:t xml:space="preserve"> G, Rai KK, </w:t>
      </w:r>
      <w:proofErr w:type="spellStart"/>
      <w:r>
        <w:t>Hunasgi</w:t>
      </w:r>
      <w:proofErr w:type="spellEnd"/>
      <w:r>
        <w:t xml:space="preserve"> S, </w:t>
      </w:r>
      <w:proofErr w:type="spellStart"/>
      <w:r>
        <w:t>Me</w:t>
      </w:r>
      <w:r>
        <w:t>rkx</w:t>
      </w:r>
      <w:proofErr w:type="spellEnd"/>
      <w:r>
        <w:t xml:space="preserve"> MAW, Gao S, Brennan PA. Oral Submucous Fibrosis: An Update on Current Theories of Pathogenesis. J Oral </w:t>
      </w:r>
      <w:proofErr w:type="spellStart"/>
      <w:r>
        <w:t>Pathol</w:t>
      </w:r>
      <w:proofErr w:type="spellEnd"/>
      <w:r>
        <w:t xml:space="preserve"> Med.</w:t>
      </w:r>
    </w:p>
    <w:p w:rsidR="00A80E00" w:rsidRDefault="00BF250B">
      <w:pPr>
        <w:ind w:left="-5" w:right="45"/>
      </w:pPr>
      <w:r>
        <w:t>2017;46(6):406–412.</w:t>
      </w:r>
    </w:p>
    <w:p w:rsidR="00A80E00" w:rsidRDefault="00BF250B">
      <w:pPr>
        <w:numPr>
          <w:ilvl w:val="0"/>
          <w:numId w:val="1"/>
        </w:numPr>
        <w:ind w:right="45"/>
      </w:pPr>
      <w:r>
        <w:t xml:space="preserve">Singh P. Recent Concepts of Etiopathogenesis and Management of Oral Submucous Fibrosis: A Review of Literature. J </w:t>
      </w:r>
      <w:proofErr w:type="spellStart"/>
      <w:r>
        <w:t>Evo</w:t>
      </w:r>
      <w:r>
        <w:t>l</w:t>
      </w:r>
      <w:proofErr w:type="spellEnd"/>
      <w:r>
        <w:t xml:space="preserve"> Med Dent Sci. 2015;4(78):13728–13741.</w:t>
      </w:r>
    </w:p>
    <w:p w:rsidR="00A80E00" w:rsidRDefault="00BF250B">
      <w:pPr>
        <w:numPr>
          <w:ilvl w:val="0"/>
          <w:numId w:val="1"/>
        </w:numPr>
        <w:ind w:right="45"/>
      </w:pPr>
      <w:proofErr w:type="spellStart"/>
      <w:r>
        <w:t>Arakeri</w:t>
      </w:r>
      <w:proofErr w:type="spellEnd"/>
      <w:r>
        <w:t xml:space="preserve"> G, Rai KK, </w:t>
      </w:r>
      <w:proofErr w:type="spellStart"/>
      <w:r>
        <w:t>Boraks</w:t>
      </w:r>
      <w:proofErr w:type="spellEnd"/>
      <w:r>
        <w:t xml:space="preserve"> G, Patil SG, </w:t>
      </w:r>
      <w:proofErr w:type="spellStart"/>
      <w:r>
        <w:t>Aljabab</w:t>
      </w:r>
      <w:proofErr w:type="spellEnd"/>
      <w:r>
        <w:t xml:space="preserve"> AS, </w:t>
      </w:r>
      <w:proofErr w:type="spellStart"/>
      <w:r>
        <w:t>Merkx</w:t>
      </w:r>
      <w:proofErr w:type="spellEnd"/>
      <w:r>
        <w:t xml:space="preserve"> MAW, </w:t>
      </w:r>
      <w:proofErr w:type="spellStart"/>
      <w:r>
        <w:t>Carrozzo</w:t>
      </w:r>
      <w:proofErr w:type="spellEnd"/>
      <w:r>
        <w:t xml:space="preserve"> M, Brennan PA. Current Protocols in the Management of Oral Submucous Fibrosis: An Update. J Oral </w:t>
      </w:r>
      <w:proofErr w:type="spellStart"/>
      <w:r>
        <w:t>Pathol</w:t>
      </w:r>
      <w:proofErr w:type="spellEnd"/>
      <w:r>
        <w:t xml:space="preserve"> Med. 2017;46(6):418–423.</w:t>
      </w:r>
    </w:p>
    <w:p w:rsidR="00A80E00" w:rsidRDefault="00BF250B">
      <w:pPr>
        <w:numPr>
          <w:ilvl w:val="0"/>
          <w:numId w:val="1"/>
        </w:numPr>
        <w:ind w:right="45"/>
      </w:pPr>
      <w:r>
        <w:t xml:space="preserve">Gupta S, </w:t>
      </w:r>
      <w:proofErr w:type="spellStart"/>
      <w:r>
        <w:t>Subbappa</w:t>
      </w:r>
      <w:proofErr w:type="spellEnd"/>
      <w:r>
        <w:t xml:space="preserve"> A, Singh S, Sharma P, Singh A, Kumar A, Sandhu H, Nadar KT. Challenges in the Classification of Oral Submucous Fibrosis and Proposing a New Classification Based on Systematic Review of Literature. J Int Soc </w:t>
      </w:r>
      <w:proofErr w:type="spellStart"/>
      <w:r>
        <w:t>Prev</w:t>
      </w:r>
      <w:proofErr w:type="spellEnd"/>
      <w:r>
        <w:t xml:space="preserve"> Community Dent. 2023;13(1):17–31.</w:t>
      </w:r>
    </w:p>
    <w:p w:rsidR="00A80E00" w:rsidRDefault="00BF250B">
      <w:pPr>
        <w:numPr>
          <w:ilvl w:val="0"/>
          <w:numId w:val="1"/>
        </w:numPr>
        <w:ind w:right="45"/>
      </w:pPr>
      <w:proofErr w:type="spellStart"/>
      <w:r>
        <w:t>K</w:t>
      </w:r>
      <w:r>
        <w:t>alra</w:t>
      </w:r>
      <w:proofErr w:type="spellEnd"/>
      <w:r>
        <w:t xml:space="preserve"> SK, Lathi AA, Lathi SA. A Comprehensive Review of Etiopathogenesis of Oral Submucous Fibrosis. Int J Head Neck Surg. 2015;6(2):76–79.</w:t>
      </w:r>
    </w:p>
    <w:p w:rsidR="00A80E00" w:rsidRDefault="00BF250B">
      <w:pPr>
        <w:numPr>
          <w:ilvl w:val="0"/>
          <w:numId w:val="1"/>
        </w:numPr>
        <w:ind w:right="45"/>
      </w:pPr>
      <w:r>
        <w:t xml:space="preserve">Radhakrishna M, </w:t>
      </w:r>
      <w:proofErr w:type="spellStart"/>
      <w:r>
        <w:t>Aiswarya</w:t>
      </w:r>
      <w:proofErr w:type="spellEnd"/>
      <w:r>
        <w:t xml:space="preserve"> CJ, </w:t>
      </w:r>
      <w:proofErr w:type="spellStart"/>
      <w:r>
        <w:t>Jassim</w:t>
      </w:r>
      <w:proofErr w:type="spellEnd"/>
      <w:r>
        <w:t xml:space="preserve"> KA. Oral Submucous Fibrosis: Past and Recent Concepts in Etiopathogenesis. J </w:t>
      </w:r>
      <w:proofErr w:type="spellStart"/>
      <w:r>
        <w:t>Odon</w:t>
      </w:r>
      <w:r>
        <w:t>tol</w:t>
      </w:r>
      <w:proofErr w:type="spellEnd"/>
      <w:r>
        <w:t xml:space="preserve"> Res. 2014;2(1):23–30.</w:t>
      </w:r>
    </w:p>
    <w:p w:rsidR="00A80E00" w:rsidRDefault="00BF250B">
      <w:pPr>
        <w:numPr>
          <w:ilvl w:val="0"/>
          <w:numId w:val="1"/>
        </w:numPr>
        <w:ind w:right="45"/>
      </w:pPr>
      <w:proofErr w:type="spellStart"/>
      <w:r>
        <w:t>Tilakaratne</w:t>
      </w:r>
      <w:proofErr w:type="spellEnd"/>
      <w:r>
        <w:t xml:space="preserve"> WM, et al. Molecular mechanisms of oral submucous fibrosis: a review. Oral Dis. 2016;22(7):548–561.</w:t>
      </w:r>
    </w:p>
    <w:p w:rsidR="00A80E00" w:rsidRDefault="00BF250B">
      <w:pPr>
        <w:numPr>
          <w:ilvl w:val="0"/>
          <w:numId w:val="1"/>
        </w:numPr>
        <w:ind w:right="45"/>
      </w:pPr>
      <w:r>
        <w:rPr>
          <w:rFonts w:eastAsia="SimSun"/>
          <w:szCs w:val="24"/>
        </w:rPr>
        <w:t xml:space="preserve">Tang J, Wang Y, Zhang Z, et al. Oral submucous fibrosis: pathogenesis and therapeutic approaches. </w:t>
      </w:r>
      <w:r>
        <w:rPr>
          <w:rStyle w:val="Emphasis"/>
          <w:rFonts w:eastAsia="SimSun"/>
          <w:i w:val="0"/>
          <w:iCs w:val="0"/>
          <w:szCs w:val="24"/>
        </w:rPr>
        <w:t>Int J Oral Sci.</w:t>
      </w:r>
      <w:r>
        <w:rPr>
          <w:rFonts w:eastAsia="SimSun"/>
          <w:szCs w:val="24"/>
        </w:rPr>
        <w:t xml:space="preserve"> </w:t>
      </w:r>
      <w:proofErr w:type="gramStart"/>
      <w:r>
        <w:rPr>
          <w:rFonts w:eastAsia="SimSun"/>
          <w:szCs w:val="24"/>
        </w:rPr>
        <w:t>2025</w:t>
      </w:r>
      <w:r>
        <w:rPr>
          <w:rFonts w:eastAsia="SimSun"/>
          <w:szCs w:val="24"/>
        </w:rPr>
        <w:t>;17:8</w:t>
      </w:r>
      <w:proofErr w:type="gramEnd"/>
      <w:r>
        <w:rPr>
          <w:rFonts w:eastAsia="SimSun"/>
          <w:szCs w:val="24"/>
        </w:rPr>
        <w:t>.</w:t>
      </w:r>
    </w:p>
    <w:p w:rsidR="00A80E00" w:rsidRDefault="00BF250B">
      <w:pPr>
        <w:numPr>
          <w:ilvl w:val="0"/>
          <w:numId w:val="1"/>
        </w:numPr>
        <w:ind w:right="45"/>
      </w:pPr>
      <w:proofErr w:type="spellStart"/>
      <w:r>
        <w:t>Warnakulasuriya</w:t>
      </w:r>
      <w:proofErr w:type="spellEnd"/>
      <w:r>
        <w:t xml:space="preserve"> S. Global epidemiology of oral and oropharyngeal cancer and its relation to OSMF. Oral Oncol. 2009;45(4–5):309–316.</w:t>
      </w:r>
    </w:p>
    <w:p w:rsidR="00A80E00" w:rsidRDefault="00BF250B">
      <w:pPr>
        <w:numPr>
          <w:ilvl w:val="0"/>
          <w:numId w:val="1"/>
        </w:numPr>
        <w:ind w:right="45"/>
      </w:pPr>
      <w:proofErr w:type="spellStart"/>
      <w:r>
        <w:rPr>
          <w:rFonts w:eastAsia="SimSun"/>
          <w:szCs w:val="24"/>
        </w:rPr>
        <w:t>Tilakaratne</w:t>
      </w:r>
      <w:proofErr w:type="spellEnd"/>
      <w:r>
        <w:rPr>
          <w:rFonts w:eastAsia="SimSun"/>
          <w:szCs w:val="24"/>
        </w:rPr>
        <w:t xml:space="preserve"> WM, </w:t>
      </w:r>
      <w:proofErr w:type="spellStart"/>
      <w:r>
        <w:rPr>
          <w:rFonts w:eastAsia="SimSun"/>
          <w:szCs w:val="24"/>
        </w:rPr>
        <w:t>Klinikowski</w:t>
      </w:r>
      <w:proofErr w:type="spellEnd"/>
      <w:r>
        <w:rPr>
          <w:rFonts w:eastAsia="SimSun"/>
          <w:szCs w:val="24"/>
        </w:rPr>
        <w:t xml:space="preserve"> MF, </w:t>
      </w:r>
      <w:proofErr w:type="spellStart"/>
      <w:r>
        <w:rPr>
          <w:rFonts w:eastAsia="SimSun"/>
          <w:szCs w:val="24"/>
        </w:rPr>
        <w:t>Saku</w:t>
      </w:r>
      <w:proofErr w:type="spellEnd"/>
      <w:r>
        <w:rPr>
          <w:rFonts w:eastAsia="SimSun"/>
          <w:szCs w:val="24"/>
        </w:rPr>
        <w:t xml:space="preserve"> T, Peters TJ, </w:t>
      </w:r>
      <w:proofErr w:type="spellStart"/>
      <w:r>
        <w:rPr>
          <w:rFonts w:eastAsia="SimSun"/>
          <w:szCs w:val="24"/>
        </w:rPr>
        <w:t>Warnakulasuriya</w:t>
      </w:r>
      <w:proofErr w:type="spellEnd"/>
      <w:r>
        <w:rPr>
          <w:rFonts w:eastAsia="SimSun"/>
          <w:szCs w:val="24"/>
        </w:rPr>
        <w:t xml:space="preserve"> S. Oral submucous fibrosis: Review on aetiology an</w:t>
      </w:r>
      <w:r>
        <w:rPr>
          <w:rFonts w:eastAsia="SimSun"/>
          <w:szCs w:val="24"/>
        </w:rPr>
        <w:t xml:space="preserve">d pathogenesis. </w:t>
      </w:r>
      <w:r>
        <w:rPr>
          <w:rStyle w:val="Emphasis"/>
          <w:rFonts w:eastAsia="SimSun"/>
          <w:i w:val="0"/>
          <w:iCs w:val="0"/>
          <w:szCs w:val="24"/>
        </w:rPr>
        <w:t>Oral Oncol.</w:t>
      </w:r>
      <w:r>
        <w:rPr>
          <w:rFonts w:eastAsia="SimSun"/>
          <w:szCs w:val="24"/>
        </w:rPr>
        <w:t xml:space="preserve"> 2006;42(6):561-568</w:t>
      </w:r>
      <w:r>
        <w:rPr>
          <w:rFonts w:ascii="SimSun" w:eastAsia="SimSun" w:hAnsi="SimSun" w:cs="SimSun"/>
          <w:szCs w:val="24"/>
        </w:rPr>
        <w:t>.</w:t>
      </w:r>
    </w:p>
    <w:p w:rsidR="00A80E00" w:rsidRDefault="00BF250B">
      <w:pPr>
        <w:numPr>
          <w:ilvl w:val="0"/>
          <w:numId w:val="1"/>
        </w:numPr>
        <w:ind w:right="45"/>
      </w:pPr>
      <w:proofErr w:type="spellStart"/>
      <w:r>
        <w:lastRenderedPageBreak/>
        <w:t>Passi</w:t>
      </w:r>
      <w:proofErr w:type="spellEnd"/>
      <w:r>
        <w:t xml:space="preserve">, D., </w:t>
      </w:r>
      <w:proofErr w:type="spellStart"/>
      <w:r>
        <w:t>Bhanot</w:t>
      </w:r>
      <w:proofErr w:type="spellEnd"/>
      <w:r>
        <w:t xml:space="preserve">, P., </w:t>
      </w:r>
      <w:proofErr w:type="spellStart"/>
      <w:r>
        <w:t>Kacker</w:t>
      </w:r>
      <w:proofErr w:type="spellEnd"/>
      <w:r>
        <w:t xml:space="preserve">, D., Chahal, D., </w:t>
      </w:r>
      <w:proofErr w:type="spellStart"/>
      <w:r>
        <w:t>Atri</w:t>
      </w:r>
      <w:proofErr w:type="spellEnd"/>
      <w:r>
        <w:t>, M., &amp; Panwar, Y. (2017). Oral submucous fibrosis: Newer proposed classification with critical updates in pathogenesis and management strategies. National J</w:t>
      </w:r>
      <w:r>
        <w:t>ournal of Maxillofacial Surgery, 8(2), 89–94</w:t>
      </w:r>
      <w:r>
        <w:rPr>
          <w:lang w:val="en-US"/>
        </w:rPr>
        <w:t>.</w:t>
      </w:r>
    </w:p>
    <w:p w:rsidR="00A80E00" w:rsidRDefault="00BF250B">
      <w:pPr>
        <w:numPr>
          <w:ilvl w:val="0"/>
          <w:numId w:val="1"/>
        </w:numPr>
        <w:ind w:right="45"/>
      </w:pPr>
      <w:proofErr w:type="spellStart"/>
      <w:r>
        <w:rPr>
          <w:rStyle w:val="Strong"/>
          <w:rFonts w:eastAsia="SimSun"/>
          <w:b w:val="0"/>
          <w:bCs w:val="0"/>
          <w:szCs w:val="24"/>
        </w:rPr>
        <w:t>Murti</w:t>
      </w:r>
      <w:proofErr w:type="spellEnd"/>
      <w:r>
        <w:rPr>
          <w:rStyle w:val="Strong"/>
          <w:rFonts w:eastAsia="SimSun"/>
          <w:b w:val="0"/>
          <w:bCs w:val="0"/>
          <w:szCs w:val="24"/>
        </w:rPr>
        <w:t xml:space="preserve">, P. R., </w:t>
      </w:r>
      <w:proofErr w:type="spellStart"/>
      <w:r>
        <w:rPr>
          <w:rStyle w:val="Strong"/>
          <w:rFonts w:eastAsia="SimSun"/>
          <w:b w:val="0"/>
          <w:bCs w:val="0"/>
          <w:szCs w:val="24"/>
        </w:rPr>
        <w:t>Bhonsle</w:t>
      </w:r>
      <w:proofErr w:type="spellEnd"/>
      <w:r>
        <w:rPr>
          <w:rStyle w:val="Strong"/>
          <w:rFonts w:eastAsia="SimSun"/>
          <w:b w:val="0"/>
          <w:bCs w:val="0"/>
          <w:szCs w:val="24"/>
        </w:rPr>
        <w:t xml:space="preserve">, R. B., Gupta, P. C., </w:t>
      </w:r>
      <w:proofErr w:type="spellStart"/>
      <w:r>
        <w:rPr>
          <w:rStyle w:val="Strong"/>
          <w:rFonts w:eastAsia="SimSun"/>
          <w:b w:val="0"/>
          <w:bCs w:val="0"/>
          <w:szCs w:val="24"/>
        </w:rPr>
        <w:t>Daftary</w:t>
      </w:r>
      <w:proofErr w:type="spellEnd"/>
      <w:r>
        <w:rPr>
          <w:rStyle w:val="Strong"/>
          <w:rFonts w:eastAsia="SimSun"/>
          <w:b w:val="0"/>
          <w:bCs w:val="0"/>
          <w:szCs w:val="24"/>
        </w:rPr>
        <w:t xml:space="preserve">, D. K., </w:t>
      </w:r>
      <w:proofErr w:type="spellStart"/>
      <w:r>
        <w:rPr>
          <w:rStyle w:val="Strong"/>
          <w:rFonts w:eastAsia="SimSun"/>
          <w:b w:val="0"/>
          <w:bCs w:val="0"/>
          <w:szCs w:val="24"/>
        </w:rPr>
        <w:t>Pindborg</w:t>
      </w:r>
      <w:proofErr w:type="spellEnd"/>
      <w:r>
        <w:rPr>
          <w:rStyle w:val="Strong"/>
          <w:rFonts w:eastAsia="SimSun"/>
          <w:b w:val="0"/>
          <w:bCs w:val="0"/>
          <w:szCs w:val="24"/>
        </w:rPr>
        <w:t>, J. J., &amp; Mehta, F. S. (1995).</w:t>
      </w:r>
      <w:r>
        <w:rPr>
          <w:rFonts w:eastAsia="SimSun"/>
          <w:szCs w:val="24"/>
        </w:rPr>
        <w:t xml:space="preserve"> </w:t>
      </w:r>
      <w:proofErr w:type="spellStart"/>
      <w:r>
        <w:rPr>
          <w:rFonts w:eastAsia="SimSun"/>
          <w:szCs w:val="24"/>
        </w:rPr>
        <w:t>Etiology</w:t>
      </w:r>
      <w:proofErr w:type="spellEnd"/>
      <w:r>
        <w:rPr>
          <w:rFonts w:eastAsia="SimSun"/>
          <w:szCs w:val="24"/>
        </w:rPr>
        <w:t xml:space="preserve"> of oral submucous fibrosis with special reference to the role of areca nut chewing. </w:t>
      </w:r>
      <w:r>
        <w:rPr>
          <w:rStyle w:val="Emphasis"/>
          <w:rFonts w:eastAsia="SimSun"/>
          <w:i w:val="0"/>
          <w:iCs w:val="0"/>
          <w:szCs w:val="24"/>
        </w:rPr>
        <w:t xml:space="preserve">Journal of Oral </w:t>
      </w:r>
      <w:r>
        <w:rPr>
          <w:rStyle w:val="Emphasis"/>
          <w:rFonts w:eastAsia="SimSun"/>
          <w:i w:val="0"/>
          <w:iCs w:val="0"/>
          <w:szCs w:val="24"/>
        </w:rPr>
        <w:t>Pathology &amp; Medicine, 24</w:t>
      </w:r>
      <w:r>
        <w:rPr>
          <w:rFonts w:eastAsia="SimSun"/>
          <w:szCs w:val="24"/>
        </w:rPr>
        <w:t>(4), 145–152</w:t>
      </w:r>
      <w:r>
        <w:rPr>
          <w:rFonts w:eastAsia="SimSun"/>
          <w:szCs w:val="24"/>
          <w:lang w:val="en-US"/>
        </w:rPr>
        <w:t>.</w:t>
      </w:r>
    </w:p>
    <w:p w:rsidR="00A80E00" w:rsidRDefault="00BF250B">
      <w:pPr>
        <w:numPr>
          <w:ilvl w:val="0"/>
          <w:numId w:val="1"/>
        </w:numPr>
        <w:ind w:right="45"/>
      </w:pPr>
      <w:r>
        <w:t xml:space="preserve">Seshadri S, </w:t>
      </w:r>
      <w:proofErr w:type="spellStart"/>
      <w:r>
        <w:t>Kailasam</w:t>
      </w:r>
      <w:proofErr w:type="spellEnd"/>
      <w:r>
        <w:t xml:space="preserve"> S, </w:t>
      </w:r>
      <w:proofErr w:type="spellStart"/>
      <w:r>
        <w:t>Elangovan</w:t>
      </w:r>
      <w:proofErr w:type="spellEnd"/>
      <w:r>
        <w:t xml:space="preserve"> S, Ravi VR, Sarkar S. Autologous Bone Marrow Concentrate (Mononuclear Stem Cell) Therapy in the Treatment of Oral Submucous Fibrosis. J Indian </w:t>
      </w:r>
      <w:proofErr w:type="spellStart"/>
      <w:r>
        <w:t>Acad</w:t>
      </w:r>
      <w:proofErr w:type="spellEnd"/>
      <w:r>
        <w:t xml:space="preserve"> Oral Med </w:t>
      </w:r>
      <w:proofErr w:type="spellStart"/>
      <w:r>
        <w:t>Radiol</w:t>
      </w:r>
      <w:proofErr w:type="spellEnd"/>
      <w:r>
        <w:t>. 2013;25(1):1–4.</w:t>
      </w:r>
    </w:p>
    <w:p w:rsidR="00A80E00" w:rsidRDefault="00BF250B">
      <w:pPr>
        <w:numPr>
          <w:ilvl w:val="0"/>
          <w:numId w:val="1"/>
        </w:numPr>
        <w:ind w:right="45"/>
      </w:pPr>
      <w:r>
        <w:t>Kha</w:t>
      </w:r>
      <w:r>
        <w:t xml:space="preserve">nna JN, Andrade NN. Oral Submucous Fibrosis: A New Concept in Surgical Management. Int J Oral </w:t>
      </w:r>
      <w:proofErr w:type="spellStart"/>
      <w:r>
        <w:t>Maxillofac</w:t>
      </w:r>
      <w:proofErr w:type="spellEnd"/>
      <w:r>
        <w:t xml:space="preserve"> Surg. 1995;24(6):433–439.</w:t>
      </w:r>
    </w:p>
    <w:p w:rsidR="00A80E00" w:rsidRDefault="00BF250B">
      <w:pPr>
        <w:numPr>
          <w:ilvl w:val="0"/>
          <w:numId w:val="1"/>
        </w:numPr>
        <w:ind w:right="45"/>
      </w:pPr>
      <w:r>
        <w:t xml:space="preserve">Wadhwani P, Yadav A, Patil S. </w:t>
      </w:r>
      <w:proofErr w:type="spellStart"/>
      <w:proofErr w:type="gramStart"/>
      <w:r>
        <w:t>Er,Cr</w:t>
      </w:r>
      <w:proofErr w:type="gramEnd"/>
      <w:r>
        <w:t>:YSGG</w:t>
      </w:r>
      <w:proofErr w:type="spellEnd"/>
      <w:r>
        <w:t xml:space="preserve"> laser in the management of oral submucous fibrosis. J Lasers Med Sci. 2017;8(2):72–7</w:t>
      </w:r>
      <w:r>
        <w:t>7.</w:t>
      </w:r>
    </w:p>
    <w:p w:rsidR="00A80E00" w:rsidRDefault="00BF250B">
      <w:pPr>
        <w:numPr>
          <w:ilvl w:val="0"/>
          <w:numId w:val="1"/>
        </w:numPr>
        <w:ind w:right="45"/>
      </w:pPr>
      <w:r>
        <w:rPr>
          <w:rFonts w:eastAsia="SimSun"/>
          <w:szCs w:val="24"/>
          <w:lang w:val="en-US"/>
        </w:rPr>
        <w:t>A</w:t>
      </w:r>
      <w:proofErr w:type="spellStart"/>
      <w:r>
        <w:rPr>
          <w:rFonts w:eastAsia="SimSun"/>
          <w:szCs w:val="24"/>
        </w:rPr>
        <w:t>rora</w:t>
      </w:r>
      <w:proofErr w:type="spellEnd"/>
      <w:r>
        <w:rPr>
          <w:rFonts w:eastAsia="SimSun"/>
          <w:szCs w:val="24"/>
        </w:rPr>
        <w:t xml:space="preserve"> A. Treatment modalities in oral submucous fibrosis. </w:t>
      </w:r>
      <w:r>
        <w:rPr>
          <w:rStyle w:val="Emphasis"/>
          <w:rFonts w:eastAsia="SimSun"/>
          <w:szCs w:val="24"/>
        </w:rPr>
        <w:t>J Adv Med Dent Sci Res.</w:t>
      </w:r>
      <w:r>
        <w:rPr>
          <w:rFonts w:eastAsia="SimSun"/>
          <w:szCs w:val="24"/>
        </w:rPr>
        <w:t xml:space="preserve"> 2019;7(9):11-15</w:t>
      </w:r>
    </w:p>
    <w:p w:rsidR="00A80E00" w:rsidRDefault="00BF250B">
      <w:pPr>
        <w:numPr>
          <w:ilvl w:val="0"/>
          <w:numId w:val="1"/>
        </w:numPr>
        <w:ind w:right="45"/>
      </w:pPr>
      <w:r>
        <w:rPr>
          <w:rFonts w:eastAsia="SimSun"/>
          <w:szCs w:val="24"/>
        </w:rPr>
        <w:t xml:space="preserve">Suma GN, Arora M, </w:t>
      </w:r>
      <w:proofErr w:type="spellStart"/>
      <w:r>
        <w:rPr>
          <w:rFonts w:eastAsia="SimSun"/>
          <w:szCs w:val="24"/>
        </w:rPr>
        <w:t>Lakhanpal</w:t>
      </w:r>
      <w:proofErr w:type="spellEnd"/>
      <w:r>
        <w:rPr>
          <w:rFonts w:eastAsia="SimSun"/>
          <w:szCs w:val="24"/>
        </w:rPr>
        <w:t xml:space="preserve"> M. Stem cell therapy: A novel treatment approach for oral mucosal lesions. </w:t>
      </w:r>
      <w:r>
        <w:rPr>
          <w:rStyle w:val="Emphasis"/>
          <w:rFonts w:eastAsia="SimSun"/>
          <w:i w:val="0"/>
          <w:iCs w:val="0"/>
          <w:szCs w:val="24"/>
        </w:rPr>
        <w:t xml:space="preserve">J Pharm </w:t>
      </w:r>
      <w:proofErr w:type="spellStart"/>
      <w:r>
        <w:rPr>
          <w:rStyle w:val="Emphasis"/>
          <w:rFonts w:eastAsia="SimSun"/>
          <w:i w:val="0"/>
          <w:iCs w:val="0"/>
          <w:szCs w:val="24"/>
        </w:rPr>
        <w:t>Bioallied</w:t>
      </w:r>
      <w:proofErr w:type="spellEnd"/>
      <w:r>
        <w:rPr>
          <w:rStyle w:val="Emphasis"/>
          <w:rFonts w:eastAsia="SimSun"/>
          <w:i w:val="0"/>
          <w:iCs w:val="0"/>
          <w:szCs w:val="24"/>
        </w:rPr>
        <w:t xml:space="preserve"> Sci.</w:t>
      </w:r>
      <w:r>
        <w:rPr>
          <w:rFonts w:eastAsia="SimSun"/>
          <w:szCs w:val="24"/>
        </w:rPr>
        <w:t xml:space="preserve"> 2015;7(1):2–6</w:t>
      </w:r>
      <w:r>
        <w:t>.</w:t>
      </w:r>
    </w:p>
    <w:p w:rsidR="00A80E00" w:rsidRDefault="00BF250B">
      <w:pPr>
        <w:numPr>
          <w:ilvl w:val="0"/>
          <w:numId w:val="1"/>
        </w:numPr>
        <w:ind w:right="45"/>
      </w:pPr>
      <w:r>
        <w:t>Chang YM, Tsai</w:t>
      </w:r>
      <w:r>
        <w:t xml:space="preserve"> CY, </w:t>
      </w:r>
      <w:proofErr w:type="spellStart"/>
      <w:r>
        <w:t>Kildal</w:t>
      </w:r>
      <w:proofErr w:type="spellEnd"/>
      <w:r>
        <w:t xml:space="preserve"> M, Wei FC. Importance of </w:t>
      </w:r>
      <w:proofErr w:type="spellStart"/>
      <w:r>
        <w:t>coronoidotomy</w:t>
      </w:r>
      <w:proofErr w:type="spellEnd"/>
      <w:r>
        <w:t xml:space="preserve"> and masticatory muscle myotomy in surgical release of trismus caused by submucous fibrosis. </w:t>
      </w:r>
      <w:proofErr w:type="spellStart"/>
      <w:r>
        <w:t>Plast</w:t>
      </w:r>
      <w:proofErr w:type="spellEnd"/>
      <w:r>
        <w:t xml:space="preserve"> </w:t>
      </w:r>
      <w:proofErr w:type="spellStart"/>
      <w:r>
        <w:t>Reconstr</w:t>
      </w:r>
      <w:proofErr w:type="spellEnd"/>
      <w:r>
        <w:t xml:space="preserve"> Surg. </w:t>
      </w:r>
      <w:proofErr w:type="gramStart"/>
      <w:r>
        <w:t>2004;113:1949</w:t>
      </w:r>
      <w:proofErr w:type="gramEnd"/>
      <w:r>
        <w:t>-1954.</w:t>
      </w:r>
      <w:bookmarkStart w:id="0" w:name="_GoBack"/>
      <w:bookmarkEnd w:id="0"/>
    </w:p>
    <w:sectPr w:rsidR="00A80E00">
      <w:headerReference w:type="even" r:id="rId9"/>
      <w:headerReference w:type="default" r:id="rId10"/>
      <w:footerReference w:type="even" r:id="rId11"/>
      <w:footerReference w:type="default" r:id="rId12"/>
      <w:headerReference w:type="first" r:id="rId13"/>
      <w:footerReference w:type="first" r:id="rId14"/>
      <w:pgSz w:w="11906" w:h="16838"/>
      <w:pgMar w:top="1445" w:right="1382" w:bottom="14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50B" w:rsidRDefault="00BF250B">
      <w:pPr>
        <w:spacing w:line="240" w:lineRule="auto"/>
      </w:pPr>
      <w:r>
        <w:separator/>
      </w:r>
    </w:p>
  </w:endnote>
  <w:endnote w:type="continuationSeparator" w:id="0">
    <w:p w:rsidR="00BF250B" w:rsidRDefault="00BF2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E00" w:rsidRDefault="00A80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E00" w:rsidRDefault="00A80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E00" w:rsidRDefault="00A80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50B" w:rsidRDefault="00BF250B">
      <w:pPr>
        <w:spacing w:after="0"/>
      </w:pPr>
      <w:r>
        <w:separator/>
      </w:r>
    </w:p>
  </w:footnote>
  <w:footnote w:type="continuationSeparator" w:id="0">
    <w:p w:rsidR="00BF250B" w:rsidRDefault="00BF25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E00" w:rsidRDefault="00BF250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9485" o:spid="_x0000_s2050" type="#_x0000_t136" style="position:absolute;left:0;text-align:left;margin-left:0;margin-top:0;width:576.3pt;height:64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E00" w:rsidRDefault="00BF250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9486" o:spid="_x0000_s2051" type="#_x0000_t136" style="position:absolute;left:0;text-align:left;margin-left:0;margin-top:0;width:576.3pt;height:64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E00" w:rsidRDefault="00BF250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09484" o:spid="_x0000_s2049" type="#_x0000_t136" style="position:absolute;left:0;text-align:left;margin-left:0;margin-top:0;width:576.3pt;height:64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242B0"/>
    <w:multiLevelType w:val="multilevel"/>
    <w:tmpl w:val="79D242B0"/>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DAE"/>
    <w:rsid w:val="0006386C"/>
    <w:rsid w:val="00075F84"/>
    <w:rsid w:val="000B4DAE"/>
    <w:rsid w:val="00113C91"/>
    <w:rsid w:val="002B6224"/>
    <w:rsid w:val="002F3C63"/>
    <w:rsid w:val="0054305C"/>
    <w:rsid w:val="005E3A50"/>
    <w:rsid w:val="006172BD"/>
    <w:rsid w:val="00690D3B"/>
    <w:rsid w:val="006A4126"/>
    <w:rsid w:val="006A4E41"/>
    <w:rsid w:val="007E1B72"/>
    <w:rsid w:val="007F5988"/>
    <w:rsid w:val="0087231D"/>
    <w:rsid w:val="00903BAE"/>
    <w:rsid w:val="009804E0"/>
    <w:rsid w:val="009C7B40"/>
    <w:rsid w:val="00A80E00"/>
    <w:rsid w:val="00B026C9"/>
    <w:rsid w:val="00BA2775"/>
    <w:rsid w:val="00BA5789"/>
    <w:rsid w:val="00BC4156"/>
    <w:rsid w:val="00BF250B"/>
    <w:rsid w:val="00C174EF"/>
    <w:rsid w:val="00C47A83"/>
    <w:rsid w:val="00C622C7"/>
    <w:rsid w:val="00CE6DC3"/>
    <w:rsid w:val="00DC22B7"/>
    <w:rsid w:val="00EA0791"/>
    <w:rsid w:val="00F81B33"/>
    <w:rsid w:val="00FE08D0"/>
    <w:rsid w:val="078C55F0"/>
    <w:rsid w:val="0E6C598F"/>
    <w:rsid w:val="2035613C"/>
    <w:rsid w:val="2B226752"/>
    <w:rsid w:val="2F0C4ABE"/>
    <w:rsid w:val="3C0F2A02"/>
    <w:rsid w:val="464B42E2"/>
    <w:rsid w:val="4C31118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EEEDDCC"/>
  <w15:docId w15:val="{18DDD615-FF55-4AB2-9EDA-92033D10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0" w:right="58" w:hanging="10"/>
      <w:jc w:val="both"/>
    </w:pPr>
    <w:rPr>
      <w:rFonts w:eastAsia="Times New Roman"/>
      <w:color w:val="000000"/>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customStyle="1" w:styleId="TableGrid">
    <w:name w:val="TableGrid"/>
    <w:qFormat/>
    <w:tblPr>
      <w:tblCellMar>
        <w:top w:w="0" w:type="dxa"/>
        <w:left w:w="0" w:type="dxa"/>
        <w:bottom w:w="0" w:type="dxa"/>
        <w:right w:w="0" w:type="dxa"/>
      </w:tblCellMar>
    </w:tblPr>
  </w:style>
  <w:style w:type="paragraph" w:styleId="NoSpacing">
    <w:name w:val="No Spacing"/>
    <w:uiPriority w:val="1"/>
    <w:qFormat/>
    <w:pPr>
      <w:ind w:left="10" w:right="58" w:hanging="10"/>
      <w:jc w:val="both"/>
    </w:pPr>
    <w:rPr>
      <w:rFonts w:eastAsia="Times New Roman"/>
      <w:color w:val="000000"/>
      <w:kern w:val="2"/>
      <w:sz w:val="24"/>
      <w:szCs w:val="22"/>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kern w:val="2"/>
      <w:sz w:val="24"/>
      <w:szCs w:val="22"/>
      <w:lang w:val="en-IN" w:eastAsia="en-IN"/>
      <w14:ligatures w14:val="standardContextual"/>
    </w:r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2"/>
      <w:sz w:val="24"/>
      <w:szCs w:val="22"/>
      <w:lang w:val="en-IN"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50512-69C6-40FC-B2C4-B7736AE2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5451</Words>
  <Characters>31076</Characters>
  <Application>Microsoft Office Word</Application>
  <DocSecurity>0</DocSecurity>
  <Lines>258</Lines>
  <Paragraphs>72</Paragraphs>
  <ScaleCrop>false</ScaleCrop>
  <Company/>
  <LinksUpToDate>false</LinksUpToDate>
  <CharactersWithSpaces>36455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 Sha</dc:creator>
  <cp:lastModifiedBy>SDI 1186</cp:lastModifiedBy>
  <cp:revision>17</cp:revision>
  <dcterms:created xsi:type="dcterms:W3CDTF">2025-10-13T11:14:00Z</dcterms:created>
  <dcterms:modified xsi:type="dcterms:W3CDTF">2025-10-24T12:07:00Z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6674DB8501D94CB18D917DFF3385BC86_13</vt:lpwstr>
  </property>
</Properties>
</file>