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4E7F1CC" w14:textId="77777777" w:rsidR="008A0C15" w:rsidRPr="008A0C15" w:rsidRDefault="008A0C15" w:rsidP="008A0C15">
      <w:pPr>
        <w:spacing w:line="360" w:lineRule="auto"/>
        <w:rPr>
          <w:rFonts w:ascii="Arial" w:hAnsi="Arial" w:cs="Arial"/>
          <w:b/>
          <w:bCs/>
          <w:i/>
          <w:iCs/>
          <w:u w:val="single"/>
        </w:rPr>
      </w:pPr>
      <w:r w:rsidRPr="008A0C15">
        <w:rPr>
          <w:rFonts w:ascii="Arial" w:hAnsi="Arial" w:cs="Arial"/>
          <w:b/>
          <w:bCs/>
          <w:i/>
          <w:iCs/>
          <w:u w:val="single"/>
        </w:rPr>
        <w:t xml:space="preserve">Case report </w:t>
      </w:r>
    </w:p>
    <w:p w14:paraId="29FAABE1" w14:textId="50100D94" w:rsidR="006C08CC" w:rsidRPr="002A52F0" w:rsidRDefault="006C08CC" w:rsidP="00D41F54">
      <w:pPr>
        <w:spacing w:line="360" w:lineRule="auto"/>
        <w:rPr>
          <w:rFonts w:ascii="Arial" w:hAnsi="Arial" w:cs="Arial"/>
          <w:b/>
          <w:bCs/>
        </w:rPr>
      </w:pPr>
      <w:bookmarkStart w:id="0" w:name="_Hlk214013563"/>
      <w:r w:rsidRPr="002A52F0">
        <w:rPr>
          <w:rFonts w:ascii="Arial" w:hAnsi="Arial" w:cs="Arial"/>
          <w:b/>
          <w:bCs/>
        </w:rPr>
        <w:t xml:space="preserve">PRIMARY SMALL BOWEL STONE (PRIMARY ENTEROLITH) IN A PATIENT WITH STRICTURING ILEAL </w:t>
      </w:r>
      <w:r w:rsidRPr="002A52F0">
        <w:rPr>
          <w:rFonts w:ascii="Arial" w:hAnsi="Arial" w:cs="Arial"/>
          <w:b/>
          <w:bCs/>
          <w:color w:val="0F1115"/>
          <w:shd w:val="clear" w:color="auto" w:fill="FFFFFF"/>
        </w:rPr>
        <w:t>CROHN’S DISEASE</w:t>
      </w:r>
      <w:r w:rsidR="003732D2">
        <w:rPr>
          <w:rFonts w:ascii="Arial" w:hAnsi="Arial" w:cs="Arial"/>
          <w:b/>
          <w:bCs/>
        </w:rPr>
        <w:t xml:space="preserve">: </w:t>
      </w:r>
      <w:r w:rsidRPr="002A52F0">
        <w:rPr>
          <w:rFonts w:ascii="Arial" w:hAnsi="Arial" w:cs="Arial"/>
          <w:b/>
          <w:bCs/>
        </w:rPr>
        <w:t xml:space="preserve">A CASE REPORT </w:t>
      </w:r>
    </w:p>
    <w:bookmarkEnd w:id="0"/>
    <w:p w14:paraId="3968D64D" w14:textId="7790FEEB" w:rsidR="00C014D3" w:rsidRDefault="00C014D3" w:rsidP="00D41F54">
      <w:pPr>
        <w:spacing w:line="360" w:lineRule="auto"/>
        <w:jc w:val="both"/>
        <w:rPr>
          <w:rFonts w:ascii="Arial" w:hAnsi="Arial" w:cs="Arial"/>
          <w:sz w:val="20"/>
          <w:szCs w:val="20"/>
        </w:rPr>
      </w:pPr>
    </w:p>
    <w:p w14:paraId="10906AEB" w14:textId="77777777" w:rsidR="00A9009F" w:rsidRPr="002A52F0" w:rsidRDefault="00A9009F" w:rsidP="00D41F54">
      <w:pPr>
        <w:spacing w:line="360" w:lineRule="auto"/>
        <w:jc w:val="both"/>
        <w:rPr>
          <w:rFonts w:ascii="Arial" w:hAnsi="Arial" w:cs="Arial"/>
          <w:sz w:val="20"/>
          <w:szCs w:val="20"/>
        </w:rPr>
      </w:pPr>
    </w:p>
    <w:p w14:paraId="4EDB0EA8" w14:textId="77777777" w:rsidR="006C08CC" w:rsidRPr="002A52F0" w:rsidRDefault="006C08CC" w:rsidP="00D41F54">
      <w:pPr>
        <w:autoSpaceDE w:val="0"/>
        <w:autoSpaceDN w:val="0"/>
        <w:adjustRightInd w:val="0"/>
        <w:spacing w:after="0" w:line="360" w:lineRule="auto"/>
        <w:jc w:val="both"/>
        <w:rPr>
          <w:rFonts w:ascii="Arial" w:hAnsi="Arial" w:cs="Arial"/>
          <w:b/>
          <w:bCs/>
          <w:color w:val="0F1115"/>
          <w:shd w:val="clear" w:color="auto" w:fill="FFFFFF"/>
        </w:rPr>
      </w:pPr>
      <w:r w:rsidRPr="002A52F0">
        <w:rPr>
          <w:rFonts w:ascii="Arial" w:hAnsi="Arial" w:cs="Arial"/>
          <w:b/>
          <w:bCs/>
          <w:color w:val="0F1115"/>
          <w:shd w:val="clear" w:color="auto" w:fill="FFFFFF"/>
        </w:rPr>
        <w:t>ABSTRACT</w:t>
      </w:r>
    </w:p>
    <w:p w14:paraId="44CE20D7" w14:textId="1AC0D77F" w:rsidR="009657F2" w:rsidRPr="00F675F6" w:rsidRDefault="009657F2" w:rsidP="009657F2">
      <w:pPr>
        <w:autoSpaceDE w:val="0"/>
        <w:autoSpaceDN w:val="0"/>
        <w:adjustRightInd w:val="0"/>
        <w:spacing w:after="0" w:line="360" w:lineRule="auto"/>
        <w:jc w:val="both"/>
        <w:rPr>
          <w:rFonts w:ascii="Arial" w:hAnsi="Arial" w:cs="Arial"/>
          <w:b/>
          <w:i/>
          <w:iCs/>
          <w:color w:val="0F1115"/>
          <w:sz w:val="20"/>
          <w:szCs w:val="20"/>
          <w:shd w:val="clear" w:color="auto" w:fill="FFFFFF"/>
        </w:rPr>
      </w:pPr>
      <w:r w:rsidRPr="00F675F6">
        <w:rPr>
          <w:rFonts w:ascii="Arial" w:hAnsi="Arial" w:cs="Arial"/>
          <w:b/>
          <w:i/>
          <w:iCs/>
          <w:color w:val="0F1115"/>
          <w:sz w:val="20"/>
          <w:szCs w:val="20"/>
          <w:shd w:val="clear" w:color="auto" w:fill="FFFFFF"/>
        </w:rPr>
        <w:t>Introduction</w:t>
      </w:r>
    </w:p>
    <w:p w14:paraId="32CEC1D5" w14:textId="77777777" w:rsidR="009657F2" w:rsidRPr="00D57D43" w:rsidRDefault="006C08CC" w:rsidP="00D57D43">
      <w:pPr>
        <w:autoSpaceDE w:val="0"/>
        <w:autoSpaceDN w:val="0"/>
        <w:adjustRightInd w:val="0"/>
        <w:spacing w:after="0" w:line="360" w:lineRule="auto"/>
        <w:ind w:firstLine="720"/>
        <w:jc w:val="both"/>
        <w:rPr>
          <w:rFonts w:ascii="Arial" w:hAnsi="Arial" w:cs="Arial"/>
          <w:i/>
          <w:iCs/>
          <w:color w:val="0F1115"/>
          <w:sz w:val="20"/>
          <w:szCs w:val="20"/>
          <w:shd w:val="clear" w:color="auto" w:fill="FFFFFF"/>
        </w:rPr>
      </w:pPr>
      <w:r w:rsidRPr="002A52F0">
        <w:rPr>
          <w:rFonts w:ascii="Arial" w:hAnsi="Arial" w:cs="Arial"/>
          <w:color w:val="0F1115"/>
          <w:sz w:val="20"/>
          <w:szCs w:val="20"/>
          <w:shd w:val="clear" w:color="auto" w:fill="FFFFFF"/>
        </w:rPr>
        <w:t xml:space="preserve">Intestinal stricture is a common complication of Crohn's disease, occurring in up to 50% of patients. It typically presents with manifestations of intestinal obstruction. A rare complication of such strictures is the formation of primary enteroliths (stones formed within the gastrointestinal tract), due to intestinal stasis. This </w:t>
      </w:r>
      <w:r w:rsidR="009657F2">
        <w:rPr>
          <w:rFonts w:ascii="Arial" w:hAnsi="Arial" w:cs="Arial"/>
          <w:color w:val="0F1115"/>
          <w:sz w:val="20"/>
          <w:szCs w:val="20"/>
          <w:shd w:val="clear" w:color="auto" w:fill="FFFFFF"/>
        </w:rPr>
        <w:t xml:space="preserve">aim of this </w:t>
      </w:r>
      <w:r w:rsidRPr="002A52F0">
        <w:rPr>
          <w:rFonts w:ascii="Arial" w:hAnsi="Arial" w:cs="Arial"/>
          <w:color w:val="0F1115"/>
          <w:sz w:val="20"/>
          <w:szCs w:val="20"/>
          <w:shd w:val="clear" w:color="auto" w:fill="FFFFFF"/>
        </w:rPr>
        <w:t xml:space="preserve">report </w:t>
      </w:r>
      <w:r w:rsidR="009657F2">
        <w:rPr>
          <w:rFonts w:ascii="Arial" w:hAnsi="Arial" w:cs="Arial"/>
          <w:color w:val="0F1115"/>
          <w:sz w:val="20"/>
          <w:szCs w:val="20"/>
          <w:shd w:val="clear" w:color="auto" w:fill="FFFFFF"/>
        </w:rPr>
        <w:t>is to describe</w:t>
      </w:r>
      <w:r w:rsidRPr="002A52F0">
        <w:rPr>
          <w:rFonts w:ascii="Arial" w:hAnsi="Arial" w:cs="Arial"/>
          <w:color w:val="0F1115"/>
          <w:sz w:val="20"/>
          <w:szCs w:val="20"/>
          <w:shd w:val="clear" w:color="auto" w:fill="FFFFFF"/>
        </w:rPr>
        <w:t xml:space="preserve"> a case of a primary enterolith in a patient with stricturing ileal Crohn's </w:t>
      </w:r>
      <w:r w:rsidRPr="00D57D43">
        <w:rPr>
          <w:rFonts w:ascii="Arial" w:hAnsi="Arial" w:cs="Arial"/>
          <w:color w:val="0F1115"/>
          <w:sz w:val="20"/>
          <w:szCs w:val="20"/>
          <w:shd w:val="clear" w:color="auto" w:fill="FFFFFF"/>
        </w:rPr>
        <w:t>disease.</w:t>
      </w:r>
      <w:r w:rsidRPr="00D57D43">
        <w:rPr>
          <w:rFonts w:ascii="Arial" w:hAnsi="Arial" w:cs="Arial"/>
          <w:i/>
          <w:iCs/>
          <w:color w:val="0F1115"/>
          <w:sz w:val="20"/>
          <w:szCs w:val="20"/>
          <w:shd w:val="clear" w:color="auto" w:fill="FFFFFF"/>
        </w:rPr>
        <w:t xml:space="preserve"> </w:t>
      </w:r>
    </w:p>
    <w:p w14:paraId="40EEC72B" w14:textId="77777777" w:rsidR="009657F2" w:rsidRPr="00D57D43" w:rsidRDefault="009657F2" w:rsidP="009657F2">
      <w:pPr>
        <w:autoSpaceDE w:val="0"/>
        <w:autoSpaceDN w:val="0"/>
        <w:adjustRightInd w:val="0"/>
        <w:spacing w:after="0" w:line="360" w:lineRule="auto"/>
        <w:jc w:val="both"/>
        <w:rPr>
          <w:rFonts w:ascii="Arial" w:hAnsi="Arial" w:cs="Arial"/>
          <w:i/>
          <w:iCs/>
          <w:color w:val="0F1115"/>
          <w:sz w:val="20"/>
          <w:szCs w:val="20"/>
          <w:shd w:val="clear" w:color="auto" w:fill="FFFFFF"/>
        </w:rPr>
      </w:pPr>
      <w:r w:rsidRPr="00D57D43">
        <w:rPr>
          <w:rFonts w:ascii="Arial" w:hAnsi="Arial" w:cs="Arial"/>
          <w:i/>
          <w:iCs/>
          <w:color w:val="0F1115"/>
          <w:sz w:val="20"/>
          <w:szCs w:val="20"/>
          <w:shd w:val="clear" w:color="auto" w:fill="FFFFFF"/>
        </w:rPr>
        <w:t>Case presentation:</w:t>
      </w:r>
    </w:p>
    <w:p w14:paraId="235B9EB4" w14:textId="77777777" w:rsidR="009657F2" w:rsidRDefault="009657F2" w:rsidP="00D57D43">
      <w:pPr>
        <w:autoSpaceDE w:val="0"/>
        <w:autoSpaceDN w:val="0"/>
        <w:adjustRightInd w:val="0"/>
        <w:spacing w:after="0" w:line="360" w:lineRule="auto"/>
        <w:ind w:firstLine="720"/>
        <w:jc w:val="both"/>
        <w:rPr>
          <w:rFonts w:ascii="Arial" w:hAnsi="Arial" w:cs="Arial"/>
          <w:color w:val="0F1115"/>
          <w:sz w:val="20"/>
          <w:szCs w:val="20"/>
          <w:shd w:val="clear" w:color="auto" w:fill="FFFFFF"/>
        </w:rPr>
      </w:pPr>
      <w:r>
        <w:rPr>
          <w:rFonts w:ascii="Arial" w:hAnsi="Arial" w:cs="Arial"/>
          <w:color w:val="0E101A"/>
          <w:sz w:val="20"/>
          <w:szCs w:val="20"/>
        </w:rPr>
        <w:t>A 35-year-old male presented with symptoms of chronic intestinal obstruction</w:t>
      </w:r>
      <w:r w:rsidR="00D57D43">
        <w:rPr>
          <w:rFonts w:ascii="Arial" w:hAnsi="Arial" w:cs="Arial"/>
          <w:color w:val="0E101A"/>
          <w:sz w:val="20"/>
          <w:szCs w:val="20"/>
        </w:rPr>
        <w:t xml:space="preserve"> (IO)</w:t>
      </w:r>
      <w:r>
        <w:rPr>
          <w:rFonts w:ascii="Arial" w:hAnsi="Arial" w:cs="Arial"/>
          <w:color w:val="0E101A"/>
          <w:sz w:val="20"/>
          <w:szCs w:val="20"/>
        </w:rPr>
        <w:t xml:space="preserve">. </w:t>
      </w:r>
      <w:r w:rsidRPr="002A52F0">
        <w:rPr>
          <w:rFonts w:ascii="Arial" w:hAnsi="Arial" w:cs="Arial"/>
          <w:color w:val="0E101A"/>
          <w:sz w:val="20"/>
          <w:szCs w:val="20"/>
        </w:rPr>
        <w:t>His surgical history was significant for an exploratory laparotomy with small</w:t>
      </w:r>
      <w:r w:rsidR="00D57D43">
        <w:rPr>
          <w:rFonts w:ascii="Arial" w:hAnsi="Arial" w:cs="Arial"/>
          <w:color w:val="0E101A"/>
          <w:sz w:val="20"/>
          <w:szCs w:val="20"/>
        </w:rPr>
        <w:t xml:space="preserve"> bowel resection for IO in 2004.</w:t>
      </w:r>
      <w:r w:rsidRPr="002A52F0">
        <w:rPr>
          <w:rFonts w:ascii="Arial" w:hAnsi="Arial" w:cs="Arial"/>
          <w:color w:val="0E101A"/>
          <w:sz w:val="20"/>
          <w:szCs w:val="20"/>
        </w:rPr>
        <w:t xml:space="preserve"> </w:t>
      </w:r>
      <w:r w:rsidR="006C08CC" w:rsidRPr="002A52F0">
        <w:rPr>
          <w:rFonts w:ascii="Arial" w:hAnsi="Arial" w:cs="Arial"/>
          <w:color w:val="0F1115"/>
          <w:sz w:val="20"/>
          <w:szCs w:val="20"/>
          <w:shd w:val="clear" w:color="auto" w:fill="FFFFFF"/>
        </w:rPr>
        <w:t>The clinical diagnosis of an ileal stricture with an associated enterolith was radiologically confirmed by computed tomography</w:t>
      </w:r>
      <w:r w:rsidR="00D57D43">
        <w:rPr>
          <w:rFonts w:ascii="Arial" w:hAnsi="Arial" w:cs="Arial"/>
          <w:color w:val="0F1115"/>
          <w:sz w:val="20"/>
          <w:szCs w:val="20"/>
          <w:shd w:val="clear" w:color="auto" w:fill="FFFFFF"/>
        </w:rPr>
        <w:t xml:space="preserve"> (CT)</w:t>
      </w:r>
      <w:r w:rsidR="006C08CC" w:rsidRPr="002A52F0">
        <w:rPr>
          <w:rFonts w:ascii="Arial" w:hAnsi="Arial" w:cs="Arial"/>
          <w:color w:val="0F1115"/>
          <w:sz w:val="20"/>
          <w:szCs w:val="20"/>
          <w:shd w:val="clear" w:color="auto" w:fill="FFFFFF"/>
        </w:rPr>
        <w:t xml:space="preserve"> and later verified by pathological and chemical analysis of the surgical specimen. Following nutritional optimization, the patient underwent successful abdominal exploration which included both stricturoplasty and resection with primary anastomosis of the affecte</w:t>
      </w:r>
      <w:r>
        <w:rPr>
          <w:rFonts w:ascii="Arial" w:hAnsi="Arial" w:cs="Arial"/>
          <w:color w:val="0F1115"/>
          <w:sz w:val="20"/>
          <w:szCs w:val="20"/>
          <w:shd w:val="clear" w:color="auto" w:fill="FFFFFF"/>
        </w:rPr>
        <w:t xml:space="preserve">d bowel segment. </w:t>
      </w:r>
    </w:p>
    <w:p w14:paraId="0CE43051" w14:textId="77777777" w:rsidR="009657F2" w:rsidRPr="00D57D43" w:rsidRDefault="009657F2" w:rsidP="009657F2">
      <w:pPr>
        <w:autoSpaceDE w:val="0"/>
        <w:autoSpaceDN w:val="0"/>
        <w:adjustRightInd w:val="0"/>
        <w:spacing w:after="0" w:line="360" w:lineRule="auto"/>
        <w:jc w:val="both"/>
        <w:rPr>
          <w:rFonts w:ascii="Arial" w:hAnsi="Arial" w:cs="Arial"/>
          <w:i/>
          <w:iCs/>
          <w:color w:val="0F1115"/>
          <w:sz w:val="20"/>
          <w:szCs w:val="20"/>
          <w:shd w:val="clear" w:color="auto" w:fill="FFFFFF"/>
        </w:rPr>
      </w:pPr>
      <w:r w:rsidRPr="00D57D43">
        <w:rPr>
          <w:rFonts w:ascii="Arial" w:hAnsi="Arial" w:cs="Arial"/>
          <w:i/>
          <w:iCs/>
          <w:color w:val="0F1115"/>
          <w:sz w:val="20"/>
          <w:szCs w:val="20"/>
          <w:shd w:val="clear" w:color="auto" w:fill="FFFFFF"/>
        </w:rPr>
        <w:t>Conclusion:</w:t>
      </w:r>
    </w:p>
    <w:p w14:paraId="291E4D7F" w14:textId="77777777" w:rsidR="006C08CC" w:rsidRPr="002A52F0" w:rsidRDefault="009657F2" w:rsidP="00D57D43">
      <w:pPr>
        <w:autoSpaceDE w:val="0"/>
        <w:autoSpaceDN w:val="0"/>
        <w:adjustRightInd w:val="0"/>
        <w:spacing w:after="0" w:line="360" w:lineRule="auto"/>
        <w:ind w:firstLine="720"/>
        <w:jc w:val="both"/>
        <w:rPr>
          <w:rFonts w:ascii="Arial" w:hAnsi="Arial" w:cs="Arial"/>
          <w:color w:val="0F1115"/>
          <w:sz w:val="20"/>
          <w:szCs w:val="20"/>
          <w:shd w:val="clear" w:color="auto" w:fill="FFFFFF"/>
        </w:rPr>
      </w:pPr>
      <w:r>
        <w:rPr>
          <w:rFonts w:ascii="Arial" w:hAnsi="Arial" w:cs="Arial"/>
          <w:color w:val="0F1115"/>
          <w:sz w:val="20"/>
          <w:szCs w:val="20"/>
          <w:shd w:val="clear" w:color="auto" w:fill="FFFFFF"/>
        </w:rPr>
        <w:t xml:space="preserve">This case report </w:t>
      </w:r>
      <w:r w:rsidR="006C08CC" w:rsidRPr="002A52F0">
        <w:rPr>
          <w:rFonts w:ascii="Arial" w:hAnsi="Arial" w:cs="Arial"/>
          <w:color w:val="0F1115"/>
          <w:sz w:val="20"/>
          <w:szCs w:val="20"/>
          <w:shd w:val="clear" w:color="auto" w:fill="FFFFFF"/>
        </w:rPr>
        <w:t>present</w:t>
      </w:r>
      <w:r w:rsidR="00D57D43">
        <w:rPr>
          <w:rFonts w:ascii="Arial" w:hAnsi="Arial" w:cs="Arial"/>
          <w:color w:val="0F1115"/>
          <w:sz w:val="20"/>
          <w:szCs w:val="20"/>
          <w:shd w:val="clear" w:color="auto" w:fill="FFFFFF"/>
        </w:rPr>
        <w:t>s</w:t>
      </w:r>
      <w:r w:rsidR="006C08CC" w:rsidRPr="002A52F0">
        <w:rPr>
          <w:rFonts w:ascii="Arial" w:hAnsi="Arial" w:cs="Arial"/>
          <w:color w:val="0F1115"/>
          <w:sz w:val="20"/>
          <w:szCs w:val="20"/>
          <w:shd w:val="clear" w:color="auto" w:fill="FFFFFF"/>
        </w:rPr>
        <w:t xml:space="preserve"> a rare complication of a common condition, underscores the utility of </w:t>
      </w:r>
      <w:r w:rsidR="00D57D43">
        <w:rPr>
          <w:rFonts w:ascii="Arial" w:hAnsi="Arial" w:cs="Arial"/>
          <w:color w:val="0F1115"/>
          <w:sz w:val="20"/>
          <w:szCs w:val="20"/>
          <w:shd w:val="clear" w:color="auto" w:fill="FFFFFF"/>
        </w:rPr>
        <w:t>CT</w:t>
      </w:r>
      <w:r w:rsidR="006C08CC" w:rsidRPr="002A52F0">
        <w:rPr>
          <w:rFonts w:ascii="Arial" w:hAnsi="Arial" w:cs="Arial"/>
          <w:color w:val="0F1115"/>
          <w:sz w:val="20"/>
          <w:szCs w:val="20"/>
          <w:shd w:val="clear" w:color="auto" w:fill="FFFFFF"/>
        </w:rPr>
        <w:t xml:space="preserve"> in its diagnosis, highlight</w:t>
      </w:r>
      <w:r w:rsidR="00D57D43">
        <w:rPr>
          <w:rFonts w:ascii="Arial" w:hAnsi="Arial" w:cs="Arial"/>
          <w:color w:val="0F1115"/>
          <w:sz w:val="20"/>
          <w:szCs w:val="20"/>
          <w:shd w:val="clear" w:color="auto" w:fill="FFFFFF"/>
        </w:rPr>
        <w:t>s</w:t>
      </w:r>
      <w:r w:rsidR="006C08CC" w:rsidRPr="002A52F0">
        <w:rPr>
          <w:rFonts w:ascii="Arial" w:hAnsi="Arial" w:cs="Arial"/>
          <w:color w:val="0F1115"/>
          <w:sz w:val="20"/>
          <w:szCs w:val="20"/>
          <w:shd w:val="clear" w:color="auto" w:fill="FFFFFF"/>
        </w:rPr>
        <w:t xml:space="preserve"> the importance of nutrit</w:t>
      </w:r>
      <w:r>
        <w:rPr>
          <w:rFonts w:ascii="Arial" w:hAnsi="Arial" w:cs="Arial"/>
          <w:color w:val="0F1115"/>
          <w:sz w:val="20"/>
          <w:szCs w:val="20"/>
          <w:shd w:val="clear" w:color="auto" w:fill="FFFFFF"/>
        </w:rPr>
        <w:t xml:space="preserve">ional management and </w:t>
      </w:r>
      <w:r w:rsidR="006C08CC" w:rsidRPr="002A52F0">
        <w:rPr>
          <w:rFonts w:ascii="Arial" w:hAnsi="Arial" w:cs="Arial"/>
          <w:color w:val="0F1115"/>
          <w:sz w:val="20"/>
          <w:szCs w:val="20"/>
          <w:shd w:val="clear" w:color="auto" w:fill="FFFFFF"/>
        </w:rPr>
        <w:t>provides the details of surgical intervention and its outcomes.</w:t>
      </w:r>
    </w:p>
    <w:p w14:paraId="0A8FD236" w14:textId="77777777" w:rsidR="006C08CC" w:rsidRPr="002A52F0" w:rsidRDefault="006C08CC" w:rsidP="00D41F54">
      <w:pPr>
        <w:autoSpaceDE w:val="0"/>
        <w:autoSpaceDN w:val="0"/>
        <w:adjustRightInd w:val="0"/>
        <w:spacing w:after="0" w:line="360" w:lineRule="auto"/>
        <w:jc w:val="both"/>
        <w:rPr>
          <w:rFonts w:ascii="Arial" w:hAnsi="Arial" w:cs="Arial"/>
          <w:i/>
          <w:iCs/>
          <w:color w:val="0F1115"/>
          <w:sz w:val="20"/>
          <w:szCs w:val="20"/>
          <w:shd w:val="clear" w:color="auto" w:fill="FFFFFF"/>
        </w:rPr>
      </w:pPr>
      <w:r w:rsidRPr="002A52F0">
        <w:rPr>
          <w:rFonts w:ascii="Arial" w:hAnsi="Arial" w:cs="Arial"/>
          <w:i/>
          <w:iCs/>
          <w:color w:val="0F1115"/>
          <w:sz w:val="20"/>
          <w:szCs w:val="20"/>
          <w:shd w:val="clear" w:color="auto" w:fill="FFFFFF"/>
        </w:rPr>
        <w:t xml:space="preserve">Keywords </w:t>
      </w:r>
    </w:p>
    <w:p w14:paraId="4A80299F" w14:textId="77777777" w:rsidR="006C08CC" w:rsidRPr="002A52F0" w:rsidRDefault="006C08CC" w:rsidP="00D41F54">
      <w:pPr>
        <w:autoSpaceDE w:val="0"/>
        <w:autoSpaceDN w:val="0"/>
        <w:adjustRightInd w:val="0"/>
        <w:spacing w:after="0" w:line="360" w:lineRule="auto"/>
        <w:jc w:val="both"/>
        <w:rPr>
          <w:rFonts w:ascii="Arial" w:hAnsi="Arial" w:cs="Arial"/>
          <w:i/>
          <w:iCs/>
          <w:color w:val="0F1115"/>
          <w:sz w:val="20"/>
          <w:szCs w:val="20"/>
          <w:shd w:val="clear" w:color="auto" w:fill="FFFFFF"/>
        </w:rPr>
      </w:pPr>
      <w:r w:rsidRPr="002A52F0">
        <w:rPr>
          <w:rFonts w:ascii="Arial" w:hAnsi="Arial" w:cs="Arial"/>
          <w:i/>
          <w:iCs/>
          <w:color w:val="0F1115"/>
          <w:sz w:val="20"/>
          <w:szCs w:val="20"/>
          <w:shd w:val="clear" w:color="auto" w:fill="FFFFFF"/>
        </w:rPr>
        <w:t>Crohn’s disease, Small bowel stricture, Chronic intestinal obstruction, Primary enterolith</w:t>
      </w:r>
    </w:p>
    <w:p w14:paraId="31C9A7F5" w14:textId="77777777" w:rsidR="002A52F0" w:rsidRPr="002A52F0" w:rsidRDefault="002A52F0" w:rsidP="00D41F54">
      <w:pPr>
        <w:pStyle w:val="NormalWeb"/>
        <w:spacing w:before="0" w:beforeAutospacing="0" w:after="0" w:afterAutospacing="0" w:line="360" w:lineRule="auto"/>
        <w:jc w:val="both"/>
        <w:rPr>
          <w:rFonts w:ascii="Arial" w:hAnsi="Arial" w:cs="Arial"/>
          <w:color w:val="0E101A"/>
          <w:sz w:val="22"/>
          <w:szCs w:val="22"/>
        </w:rPr>
      </w:pPr>
      <w:r w:rsidRPr="002A52F0">
        <w:rPr>
          <w:rStyle w:val="Strong"/>
          <w:rFonts w:ascii="Arial" w:hAnsi="Arial" w:cs="Arial"/>
          <w:color w:val="0E101A"/>
          <w:sz w:val="22"/>
          <w:szCs w:val="22"/>
        </w:rPr>
        <w:t>INTRODUCTION</w:t>
      </w:r>
    </w:p>
    <w:p w14:paraId="203D2AC3" w14:textId="4AA4C4C0" w:rsidR="002A52F0" w:rsidRPr="002A52F0" w:rsidRDefault="002A52F0" w:rsidP="006750D1">
      <w:pPr>
        <w:pStyle w:val="NormalWeb"/>
        <w:spacing w:before="0" w:beforeAutospacing="0" w:after="0" w:afterAutospacing="0" w:line="360" w:lineRule="auto"/>
        <w:ind w:firstLine="720"/>
        <w:jc w:val="both"/>
        <w:rPr>
          <w:rFonts w:ascii="Arial" w:hAnsi="Arial" w:cs="Arial"/>
          <w:color w:val="0E101A"/>
          <w:sz w:val="20"/>
          <w:szCs w:val="20"/>
        </w:rPr>
      </w:pPr>
      <w:r w:rsidRPr="002A52F0">
        <w:rPr>
          <w:rFonts w:ascii="Arial" w:hAnsi="Arial" w:cs="Arial"/>
          <w:color w:val="0E101A"/>
          <w:sz w:val="20"/>
          <w:szCs w:val="20"/>
        </w:rPr>
        <w:t xml:space="preserve">Crohn’s disease (CD) is a chronic, relapsing inflammatory bowel disease (IBD) categorized into inflammatory, </w:t>
      </w:r>
      <w:r w:rsidR="00057C5D">
        <w:rPr>
          <w:rFonts w:ascii="Arial" w:hAnsi="Arial" w:cs="Arial"/>
          <w:color w:val="0E101A"/>
          <w:sz w:val="20"/>
          <w:szCs w:val="20"/>
        </w:rPr>
        <w:t xml:space="preserve">structuring, and penetrating </w:t>
      </w:r>
      <w:r w:rsidR="00057C5D" w:rsidRPr="006750D1">
        <w:rPr>
          <w:rFonts w:ascii="Arial" w:hAnsi="Arial" w:cs="Arial"/>
          <w:color w:val="0E101A"/>
          <w:sz w:val="20"/>
          <w:szCs w:val="20"/>
          <w:highlight w:val="cyan"/>
        </w:rPr>
        <w:t>(</w:t>
      </w:r>
      <w:proofErr w:type="spellStart"/>
      <w:r w:rsidR="00057C5D" w:rsidRPr="006750D1">
        <w:rPr>
          <w:rFonts w:ascii="Arial" w:hAnsi="Arial" w:cs="Arial"/>
          <w:color w:val="0E101A"/>
          <w:sz w:val="20"/>
          <w:szCs w:val="20"/>
          <w:highlight w:val="cyan"/>
        </w:rPr>
        <w:t>Gasche</w:t>
      </w:r>
      <w:proofErr w:type="spellEnd"/>
      <w:r w:rsidR="00057C5D" w:rsidRPr="006750D1">
        <w:rPr>
          <w:rFonts w:ascii="Arial" w:hAnsi="Arial" w:cs="Arial"/>
          <w:color w:val="0E101A"/>
          <w:sz w:val="20"/>
          <w:szCs w:val="20"/>
          <w:highlight w:val="cyan"/>
        </w:rPr>
        <w:t xml:space="preserve"> et al., 2000)</w:t>
      </w:r>
      <w:r w:rsidRPr="006750D1">
        <w:rPr>
          <w:rFonts w:ascii="Arial" w:hAnsi="Arial" w:cs="Arial"/>
          <w:color w:val="0E101A"/>
          <w:sz w:val="20"/>
          <w:szCs w:val="20"/>
          <w:highlight w:val="cyan"/>
        </w:rPr>
        <w:t>.</w:t>
      </w:r>
      <w:r w:rsidRPr="002A52F0">
        <w:rPr>
          <w:rFonts w:ascii="Arial" w:hAnsi="Arial" w:cs="Arial"/>
          <w:color w:val="0E101A"/>
          <w:sz w:val="20"/>
          <w:szCs w:val="20"/>
        </w:rPr>
        <w:t xml:space="preserve"> While up to 80% of patients initially present with inflammatory behavior, 5%–28% present with </w:t>
      </w:r>
      <w:proofErr w:type="spellStart"/>
      <w:r w:rsidRPr="002A52F0">
        <w:rPr>
          <w:rFonts w:ascii="Arial" w:hAnsi="Arial" w:cs="Arial"/>
          <w:color w:val="0E101A"/>
          <w:sz w:val="20"/>
          <w:szCs w:val="20"/>
        </w:rPr>
        <w:t>stricturing</w:t>
      </w:r>
      <w:proofErr w:type="spellEnd"/>
      <w:r w:rsidRPr="002A52F0">
        <w:rPr>
          <w:rFonts w:ascii="Arial" w:hAnsi="Arial" w:cs="Arial"/>
          <w:color w:val="0E101A"/>
          <w:sz w:val="20"/>
          <w:szCs w:val="20"/>
        </w:rPr>
        <w:t xml:space="preserve"> disease</w:t>
      </w:r>
      <w:r w:rsidR="00057C5D">
        <w:rPr>
          <w:rFonts w:ascii="Arial" w:hAnsi="Arial" w:cs="Arial"/>
          <w:color w:val="0E101A"/>
          <w:sz w:val="20"/>
          <w:szCs w:val="20"/>
        </w:rPr>
        <w:t xml:space="preserve"> </w:t>
      </w:r>
      <w:r w:rsidR="00057C5D" w:rsidRPr="006750D1">
        <w:rPr>
          <w:rFonts w:ascii="Arial" w:hAnsi="Arial" w:cs="Arial"/>
          <w:color w:val="0E101A"/>
          <w:sz w:val="20"/>
          <w:szCs w:val="20"/>
          <w:highlight w:val="cyan"/>
        </w:rPr>
        <w:t>(Henriksen et al., 2007; Ramadas et al., 2010; Gower-Rousseau et al., 2013)</w:t>
      </w:r>
      <w:r w:rsidRPr="002A52F0">
        <w:rPr>
          <w:rFonts w:ascii="Arial" w:hAnsi="Arial" w:cs="Arial"/>
          <w:color w:val="0E101A"/>
          <w:sz w:val="20"/>
          <w:szCs w:val="20"/>
        </w:rPr>
        <w:t>. Over a lifetime, nearly 50% of CD patie</w:t>
      </w:r>
      <w:r w:rsidR="00057C5D">
        <w:rPr>
          <w:rFonts w:ascii="Arial" w:hAnsi="Arial" w:cs="Arial"/>
          <w:color w:val="0E101A"/>
          <w:sz w:val="20"/>
          <w:szCs w:val="20"/>
        </w:rPr>
        <w:t xml:space="preserve">nts will develop a stricture </w:t>
      </w:r>
      <w:r w:rsidR="00057C5D" w:rsidRPr="006750D1">
        <w:rPr>
          <w:rFonts w:ascii="Arial" w:hAnsi="Arial" w:cs="Arial"/>
          <w:color w:val="0E101A"/>
          <w:sz w:val="20"/>
          <w:szCs w:val="20"/>
          <w:highlight w:val="cyan"/>
        </w:rPr>
        <w:t>(</w:t>
      </w:r>
      <w:proofErr w:type="spellStart"/>
      <w:r w:rsidR="00057C5D" w:rsidRPr="006750D1">
        <w:rPr>
          <w:rFonts w:ascii="Arial" w:hAnsi="Arial" w:cs="Arial"/>
          <w:color w:val="0E101A"/>
          <w:sz w:val="20"/>
          <w:szCs w:val="20"/>
          <w:highlight w:val="cyan"/>
        </w:rPr>
        <w:t>Thia</w:t>
      </w:r>
      <w:proofErr w:type="spellEnd"/>
      <w:r w:rsidR="00057C5D" w:rsidRPr="006750D1">
        <w:rPr>
          <w:rFonts w:ascii="Arial" w:hAnsi="Arial" w:cs="Arial"/>
          <w:color w:val="0E101A"/>
          <w:sz w:val="20"/>
          <w:szCs w:val="20"/>
          <w:highlight w:val="cyan"/>
        </w:rPr>
        <w:t xml:space="preserve"> et al</w:t>
      </w:r>
      <w:r w:rsidRPr="006750D1">
        <w:rPr>
          <w:rFonts w:ascii="Arial" w:hAnsi="Arial" w:cs="Arial"/>
          <w:color w:val="0E101A"/>
          <w:sz w:val="20"/>
          <w:szCs w:val="20"/>
          <w:highlight w:val="cyan"/>
        </w:rPr>
        <w:t>.</w:t>
      </w:r>
      <w:r w:rsidR="00057C5D" w:rsidRPr="006750D1">
        <w:rPr>
          <w:rFonts w:ascii="Arial" w:hAnsi="Arial" w:cs="Arial"/>
          <w:color w:val="0E101A"/>
          <w:sz w:val="20"/>
          <w:szCs w:val="20"/>
          <w:highlight w:val="cyan"/>
        </w:rPr>
        <w:t>, 2010)</w:t>
      </w:r>
      <w:r w:rsidR="006750D1">
        <w:rPr>
          <w:rFonts w:ascii="Arial" w:hAnsi="Arial" w:cs="Arial"/>
          <w:color w:val="0E101A"/>
          <w:sz w:val="20"/>
          <w:szCs w:val="20"/>
          <w:highlight w:val="cyan"/>
        </w:rPr>
        <w:t>.</w:t>
      </w:r>
      <w:r w:rsidRPr="006750D1">
        <w:rPr>
          <w:rFonts w:ascii="Arial" w:hAnsi="Arial" w:cs="Arial"/>
          <w:color w:val="0E101A"/>
          <w:sz w:val="20"/>
          <w:szCs w:val="20"/>
          <w:highlight w:val="cyan"/>
        </w:rPr>
        <w:t xml:space="preserve"> </w:t>
      </w:r>
    </w:p>
    <w:p w14:paraId="659E3CA0" w14:textId="7E08C9BF" w:rsidR="002A52F0" w:rsidRPr="002A52F0" w:rsidRDefault="00347826" w:rsidP="00AE148F">
      <w:pPr>
        <w:pStyle w:val="NormalWeb"/>
        <w:spacing w:before="0" w:beforeAutospacing="0" w:after="0" w:afterAutospacing="0" w:line="360" w:lineRule="auto"/>
        <w:ind w:firstLine="720"/>
        <w:jc w:val="both"/>
        <w:rPr>
          <w:rFonts w:ascii="Arial" w:hAnsi="Arial" w:cs="Arial"/>
          <w:color w:val="0E101A"/>
          <w:sz w:val="20"/>
          <w:szCs w:val="20"/>
        </w:rPr>
      </w:pPr>
      <w:r w:rsidRPr="001960A7">
        <w:rPr>
          <w:rFonts w:ascii="Arial" w:hAnsi="Arial" w:cs="Arial"/>
          <w:color w:val="0E101A"/>
          <w:sz w:val="20"/>
          <w:szCs w:val="20"/>
          <w:highlight w:val="cyan"/>
        </w:rPr>
        <w:t xml:space="preserve">The pathogenesis of CD stricture involves the accumulation of extracellular matrix </w:t>
      </w:r>
      <w:r w:rsidR="00AE148F">
        <w:rPr>
          <w:rFonts w:ascii="Arial" w:hAnsi="Arial" w:cs="Arial"/>
          <w:color w:val="0E101A"/>
          <w:sz w:val="20"/>
          <w:szCs w:val="20"/>
          <w:highlight w:val="cyan"/>
        </w:rPr>
        <w:t>leading to</w:t>
      </w:r>
      <w:r w:rsidRPr="001960A7">
        <w:rPr>
          <w:rFonts w:ascii="Arial" w:hAnsi="Arial" w:cs="Arial"/>
          <w:color w:val="0E101A"/>
          <w:sz w:val="20"/>
          <w:szCs w:val="20"/>
          <w:highlight w:val="cyan"/>
        </w:rPr>
        <w:t xml:space="preserve"> transmu</w:t>
      </w:r>
      <w:r w:rsidR="00AE148F">
        <w:rPr>
          <w:rFonts w:ascii="Arial" w:hAnsi="Arial" w:cs="Arial"/>
          <w:color w:val="0E101A"/>
          <w:sz w:val="20"/>
          <w:szCs w:val="20"/>
          <w:highlight w:val="cyan"/>
        </w:rPr>
        <w:t>ral fibrosis with subsequent intestinal stri</w:t>
      </w:r>
      <w:r w:rsidRPr="001960A7">
        <w:rPr>
          <w:rFonts w:ascii="Arial" w:hAnsi="Arial" w:cs="Arial"/>
          <w:color w:val="0E101A"/>
          <w:sz w:val="20"/>
          <w:szCs w:val="20"/>
          <w:highlight w:val="cyan"/>
        </w:rPr>
        <w:t>cturing/obstruction</w:t>
      </w:r>
      <w:r w:rsidR="00057C5D" w:rsidRPr="001960A7">
        <w:rPr>
          <w:rFonts w:ascii="Arial" w:hAnsi="Arial" w:cs="Arial"/>
          <w:color w:val="0E101A"/>
          <w:sz w:val="20"/>
          <w:szCs w:val="20"/>
          <w:highlight w:val="cyan"/>
        </w:rPr>
        <w:t xml:space="preserve"> (Ford 2021)</w:t>
      </w:r>
      <w:r w:rsidR="002A52F0" w:rsidRPr="001960A7">
        <w:rPr>
          <w:rFonts w:ascii="Arial" w:hAnsi="Arial" w:cs="Arial"/>
          <w:color w:val="0E101A"/>
          <w:sz w:val="20"/>
          <w:szCs w:val="20"/>
          <w:highlight w:val="cyan"/>
        </w:rPr>
        <w:t>.</w:t>
      </w:r>
      <w:r w:rsidR="002A52F0" w:rsidRPr="002A52F0">
        <w:rPr>
          <w:rFonts w:ascii="Arial" w:hAnsi="Arial" w:cs="Arial"/>
          <w:color w:val="0E101A"/>
          <w:sz w:val="20"/>
          <w:szCs w:val="20"/>
        </w:rPr>
        <w:t xml:space="preserve"> These pathological changes are primarily mediated by the cytokine tr</w:t>
      </w:r>
      <w:r w:rsidR="00057C5D">
        <w:rPr>
          <w:rFonts w:ascii="Arial" w:hAnsi="Arial" w:cs="Arial"/>
          <w:color w:val="0E101A"/>
          <w:sz w:val="20"/>
          <w:szCs w:val="20"/>
        </w:rPr>
        <w:t xml:space="preserve">ansforming growth factor-β1 </w:t>
      </w:r>
      <w:r w:rsidR="00057C5D" w:rsidRPr="006750D1">
        <w:rPr>
          <w:rFonts w:ascii="Arial" w:hAnsi="Arial" w:cs="Arial"/>
          <w:color w:val="0E101A"/>
          <w:sz w:val="20"/>
          <w:szCs w:val="20"/>
          <w:highlight w:val="cyan"/>
        </w:rPr>
        <w:t>(</w:t>
      </w:r>
      <w:proofErr w:type="spellStart"/>
      <w:r w:rsidR="00057C5D" w:rsidRPr="006750D1">
        <w:rPr>
          <w:rFonts w:ascii="Arial" w:hAnsi="Arial" w:cs="Arial"/>
          <w:color w:val="0E101A"/>
          <w:sz w:val="20"/>
          <w:szCs w:val="20"/>
          <w:highlight w:val="cyan"/>
        </w:rPr>
        <w:t>Bettenworth</w:t>
      </w:r>
      <w:proofErr w:type="spellEnd"/>
      <w:r w:rsidR="00057C5D" w:rsidRPr="006750D1">
        <w:rPr>
          <w:rFonts w:ascii="Arial" w:hAnsi="Arial" w:cs="Arial"/>
          <w:color w:val="0E101A"/>
          <w:sz w:val="20"/>
          <w:szCs w:val="20"/>
          <w:highlight w:val="cyan"/>
        </w:rPr>
        <w:t xml:space="preserve"> et al., 2014)</w:t>
      </w:r>
      <w:r w:rsidR="006750D1">
        <w:rPr>
          <w:rFonts w:ascii="Arial" w:hAnsi="Arial" w:cs="Arial"/>
          <w:color w:val="0E101A"/>
          <w:sz w:val="20"/>
          <w:szCs w:val="20"/>
        </w:rPr>
        <w:t>.</w:t>
      </w:r>
    </w:p>
    <w:p w14:paraId="0288B267" w14:textId="7B413135" w:rsidR="002A52F0" w:rsidRPr="002A52F0" w:rsidRDefault="002A52F0" w:rsidP="00D41F54">
      <w:pPr>
        <w:pStyle w:val="NormalWeb"/>
        <w:spacing w:before="0" w:beforeAutospacing="0" w:after="0" w:afterAutospacing="0" w:line="360" w:lineRule="auto"/>
        <w:ind w:firstLine="720"/>
        <w:jc w:val="both"/>
        <w:rPr>
          <w:rFonts w:ascii="Arial" w:hAnsi="Arial" w:cs="Arial"/>
          <w:color w:val="0E101A"/>
          <w:sz w:val="20"/>
          <w:szCs w:val="20"/>
        </w:rPr>
      </w:pPr>
      <w:r w:rsidRPr="002A52F0">
        <w:rPr>
          <w:rFonts w:ascii="Arial" w:hAnsi="Arial" w:cs="Arial"/>
          <w:color w:val="0E101A"/>
          <w:sz w:val="20"/>
          <w:szCs w:val="20"/>
        </w:rPr>
        <w:lastRenderedPageBreak/>
        <w:t xml:space="preserve">Strictures are distinguished as </w:t>
      </w:r>
      <w:r w:rsidRPr="002A52F0">
        <w:rPr>
          <w:rStyle w:val="Emphasis"/>
          <w:rFonts w:ascii="Arial" w:hAnsi="Arial" w:cs="Arial"/>
          <w:color w:val="0E101A"/>
          <w:sz w:val="20"/>
          <w:szCs w:val="20"/>
        </w:rPr>
        <w:t>de novo</w:t>
      </w:r>
      <w:r w:rsidRPr="002A52F0">
        <w:rPr>
          <w:rFonts w:ascii="Arial" w:hAnsi="Arial" w:cs="Arial"/>
          <w:color w:val="0E101A"/>
          <w:sz w:val="20"/>
          <w:szCs w:val="20"/>
        </w:rPr>
        <w:t xml:space="preserve"> or anastomotic. </w:t>
      </w:r>
      <w:r w:rsidRPr="00057C5D">
        <w:rPr>
          <w:rStyle w:val="Emphasis"/>
          <w:rFonts w:ascii="Arial" w:hAnsi="Arial" w:cs="Arial"/>
          <w:i w:val="0"/>
          <w:iCs w:val="0"/>
          <w:color w:val="0E101A"/>
          <w:sz w:val="20"/>
          <w:szCs w:val="20"/>
        </w:rPr>
        <w:t>While</w:t>
      </w:r>
      <w:r w:rsidRPr="002A52F0">
        <w:rPr>
          <w:rStyle w:val="Emphasis"/>
          <w:rFonts w:ascii="Arial" w:hAnsi="Arial" w:cs="Arial"/>
          <w:color w:val="0E101A"/>
          <w:sz w:val="20"/>
          <w:szCs w:val="20"/>
        </w:rPr>
        <w:t xml:space="preserve"> de novo</w:t>
      </w:r>
      <w:r w:rsidRPr="002A52F0">
        <w:rPr>
          <w:rFonts w:ascii="Arial" w:hAnsi="Arial" w:cs="Arial"/>
          <w:color w:val="0E101A"/>
          <w:sz w:val="20"/>
          <w:szCs w:val="20"/>
        </w:rPr>
        <w:t xml:space="preserve"> strictures involve the terminal ileum mainly, anastomotic strictures typically form at</w:t>
      </w:r>
      <w:r w:rsidR="00057C5D">
        <w:rPr>
          <w:rFonts w:ascii="Arial" w:hAnsi="Arial" w:cs="Arial"/>
          <w:color w:val="0E101A"/>
          <w:sz w:val="20"/>
          <w:szCs w:val="20"/>
        </w:rPr>
        <w:t xml:space="preserve"> the ileocolonic anastomosis </w:t>
      </w:r>
      <w:r w:rsidR="00057C5D" w:rsidRPr="006750D1">
        <w:rPr>
          <w:rFonts w:ascii="Arial" w:hAnsi="Arial" w:cs="Arial"/>
          <w:color w:val="0E101A"/>
          <w:sz w:val="20"/>
          <w:szCs w:val="20"/>
          <w:highlight w:val="cyan"/>
        </w:rPr>
        <w:t>(</w:t>
      </w:r>
      <w:proofErr w:type="spellStart"/>
      <w:r w:rsidR="00057C5D" w:rsidRPr="006750D1">
        <w:rPr>
          <w:rFonts w:ascii="Arial" w:hAnsi="Arial" w:cs="Arial"/>
          <w:color w:val="0E101A"/>
          <w:sz w:val="20"/>
          <w:szCs w:val="20"/>
          <w:highlight w:val="cyan"/>
        </w:rPr>
        <w:t>Peyrin-Biroulet</w:t>
      </w:r>
      <w:proofErr w:type="spellEnd"/>
      <w:r w:rsidR="00057C5D" w:rsidRPr="006750D1">
        <w:rPr>
          <w:rFonts w:ascii="Arial" w:hAnsi="Arial" w:cs="Arial"/>
          <w:color w:val="0E101A"/>
          <w:sz w:val="20"/>
          <w:szCs w:val="20"/>
          <w:highlight w:val="cyan"/>
        </w:rPr>
        <w:t xml:space="preserve"> et al., 2010)</w:t>
      </w:r>
      <w:r w:rsidRPr="006750D1">
        <w:rPr>
          <w:rFonts w:ascii="Arial" w:hAnsi="Arial" w:cs="Arial"/>
          <w:color w:val="0E101A"/>
          <w:sz w:val="20"/>
          <w:szCs w:val="20"/>
          <w:highlight w:val="cyan"/>
        </w:rPr>
        <w:t>.</w:t>
      </w:r>
      <w:r w:rsidRPr="002A52F0">
        <w:rPr>
          <w:rFonts w:ascii="Arial" w:hAnsi="Arial" w:cs="Arial"/>
          <w:color w:val="0E101A"/>
          <w:sz w:val="20"/>
          <w:szCs w:val="20"/>
        </w:rPr>
        <w:t xml:space="preserve"> Predictors of </w:t>
      </w:r>
      <w:r w:rsidRPr="002A52F0">
        <w:rPr>
          <w:rFonts w:ascii="Arial" w:hAnsi="Arial" w:cs="Arial"/>
          <w:i/>
          <w:iCs/>
          <w:color w:val="0E101A"/>
          <w:sz w:val="20"/>
          <w:szCs w:val="20"/>
        </w:rPr>
        <w:t>de novo</w:t>
      </w:r>
      <w:r w:rsidRPr="002A52F0">
        <w:rPr>
          <w:rFonts w:ascii="Arial" w:hAnsi="Arial" w:cs="Arial"/>
          <w:color w:val="0E101A"/>
          <w:sz w:val="20"/>
          <w:szCs w:val="20"/>
        </w:rPr>
        <w:t xml:space="preserve"> stricture development include disease severity, duration, small bowel</w:t>
      </w:r>
      <w:r w:rsidR="00057C5D">
        <w:rPr>
          <w:rFonts w:ascii="Arial" w:hAnsi="Arial" w:cs="Arial"/>
          <w:color w:val="0E101A"/>
          <w:sz w:val="20"/>
          <w:szCs w:val="20"/>
        </w:rPr>
        <w:t xml:space="preserve"> involvement, and smoking </w:t>
      </w:r>
      <w:r w:rsidR="00057C5D" w:rsidRPr="006750D1">
        <w:rPr>
          <w:rFonts w:ascii="Arial" w:hAnsi="Arial" w:cs="Arial"/>
          <w:color w:val="0E101A"/>
          <w:sz w:val="20"/>
          <w:szCs w:val="20"/>
          <w:highlight w:val="cyan"/>
        </w:rPr>
        <w:t>(</w:t>
      </w:r>
      <w:proofErr w:type="spellStart"/>
      <w:r w:rsidR="00057C5D" w:rsidRPr="006750D1">
        <w:rPr>
          <w:rFonts w:ascii="Arial" w:hAnsi="Arial" w:cs="Arial"/>
          <w:color w:val="0E101A"/>
          <w:sz w:val="20"/>
          <w:szCs w:val="20"/>
          <w:highlight w:val="cyan"/>
        </w:rPr>
        <w:t>Thia</w:t>
      </w:r>
      <w:proofErr w:type="spellEnd"/>
      <w:r w:rsidR="00057C5D" w:rsidRPr="006750D1">
        <w:rPr>
          <w:rFonts w:ascii="Arial" w:hAnsi="Arial" w:cs="Arial"/>
          <w:color w:val="0E101A"/>
          <w:sz w:val="20"/>
          <w:szCs w:val="20"/>
          <w:highlight w:val="cyan"/>
        </w:rPr>
        <w:t xml:space="preserve"> et al., 2010; Lichtenstein et al., 2006)</w:t>
      </w:r>
      <w:r w:rsidRPr="002A52F0">
        <w:rPr>
          <w:rFonts w:ascii="Arial" w:hAnsi="Arial" w:cs="Arial"/>
          <w:color w:val="0E101A"/>
          <w:sz w:val="20"/>
          <w:szCs w:val="20"/>
        </w:rPr>
        <w:t>. Following surgical resection for a stricture, patients have a 46% r</w:t>
      </w:r>
      <w:r w:rsidR="00057C5D">
        <w:rPr>
          <w:rFonts w:ascii="Arial" w:hAnsi="Arial" w:cs="Arial"/>
          <w:color w:val="0E101A"/>
          <w:sz w:val="20"/>
          <w:szCs w:val="20"/>
        </w:rPr>
        <w:t xml:space="preserve">isk of stricture recurrence </w:t>
      </w:r>
      <w:r w:rsidR="00057C5D" w:rsidRPr="006750D1">
        <w:rPr>
          <w:rFonts w:ascii="Arial" w:hAnsi="Arial" w:cs="Arial"/>
          <w:color w:val="0E101A"/>
          <w:sz w:val="20"/>
          <w:szCs w:val="20"/>
          <w:highlight w:val="cyan"/>
        </w:rPr>
        <w:t>(</w:t>
      </w:r>
      <w:proofErr w:type="spellStart"/>
      <w:r w:rsidR="00057C5D" w:rsidRPr="006750D1">
        <w:rPr>
          <w:rFonts w:ascii="Arial" w:hAnsi="Arial" w:cs="Arial"/>
          <w:color w:val="0E101A"/>
          <w:sz w:val="20"/>
          <w:szCs w:val="20"/>
          <w:highlight w:val="cyan"/>
        </w:rPr>
        <w:t>Rutgeerts</w:t>
      </w:r>
      <w:proofErr w:type="spellEnd"/>
      <w:r w:rsidR="00057C5D" w:rsidRPr="006750D1">
        <w:rPr>
          <w:rFonts w:ascii="Arial" w:hAnsi="Arial" w:cs="Arial"/>
          <w:color w:val="0E101A"/>
          <w:sz w:val="20"/>
          <w:szCs w:val="20"/>
          <w:highlight w:val="cyan"/>
        </w:rPr>
        <w:t xml:space="preserve"> et al., 1984)</w:t>
      </w:r>
      <w:r w:rsidRPr="006750D1">
        <w:rPr>
          <w:rFonts w:ascii="Arial" w:hAnsi="Arial" w:cs="Arial"/>
          <w:color w:val="0E101A"/>
          <w:sz w:val="20"/>
          <w:szCs w:val="20"/>
          <w:highlight w:val="cyan"/>
        </w:rPr>
        <w:t>.</w:t>
      </w:r>
    </w:p>
    <w:p w14:paraId="5130B896" w14:textId="57FE4A6A" w:rsidR="002A52F0" w:rsidRPr="002A52F0" w:rsidRDefault="002A52F0" w:rsidP="00D41F54">
      <w:pPr>
        <w:pStyle w:val="NormalWeb"/>
        <w:spacing w:before="0" w:beforeAutospacing="0" w:after="0" w:afterAutospacing="0" w:line="360" w:lineRule="auto"/>
        <w:ind w:firstLine="720"/>
        <w:jc w:val="both"/>
        <w:rPr>
          <w:rFonts w:ascii="Arial" w:hAnsi="Arial" w:cs="Arial"/>
          <w:color w:val="0E101A"/>
          <w:sz w:val="20"/>
          <w:szCs w:val="20"/>
        </w:rPr>
      </w:pPr>
      <w:r w:rsidRPr="002A52F0">
        <w:rPr>
          <w:rFonts w:ascii="Arial" w:hAnsi="Arial" w:cs="Arial"/>
          <w:color w:val="0F1115"/>
          <w:sz w:val="20"/>
          <w:szCs w:val="20"/>
          <w:shd w:val="clear" w:color="auto" w:fill="FFFFFF"/>
        </w:rPr>
        <w:t xml:space="preserve">Given the high risk of intestinal obstruction (IO) in patients with CD-associated strictures, surgery is required in 24%–40% of cases, making IO the primary indication for </w:t>
      </w:r>
      <w:r w:rsidR="00057C5D">
        <w:rPr>
          <w:rFonts w:ascii="Arial" w:hAnsi="Arial" w:cs="Arial"/>
          <w:color w:val="0F1115"/>
          <w:sz w:val="20"/>
          <w:szCs w:val="20"/>
          <w:shd w:val="clear" w:color="auto" w:fill="FFFFFF"/>
        </w:rPr>
        <w:t>operative intervention (</w:t>
      </w:r>
      <w:proofErr w:type="spellStart"/>
      <w:r w:rsidR="00057C5D" w:rsidRPr="006750D1">
        <w:rPr>
          <w:rFonts w:ascii="Arial" w:hAnsi="Arial" w:cs="Arial"/>
          <w:color w:val="0E101A"/>
          <w:sz w:val="20"/>
          <w:szCs w:val="20"/>
          <w:highlight w:val="cyan"/>
        </w:rPr>
        <w:t>Peyrin-Biroulet</w:t>
      </w:r>
      <w:proofErr w:type="spellEnd"/>
      <w:r w:rsidR="00057C5D" w:rsidRPr="006750D1">
        <w:rPr>
          <w:rFonts w:ascii="Arial" w:hAnsi="Arial" w:cs="Arial"/>
          <w:color w:val="0E101A"/>
          <w:sz w:val="20"/>
          <w:szCs w:val="20"/>
          <w:highlight w:val="cyan"/>
        </w:rPr>
        <w:t xml:space="preserve"> et al., 2012)</w:t>
      </w:r>
      <w:r w:rsidRPr="006750D1">
        <w:rPr>
          <w:rFonts w:ascii="Arial" w:hAnsi="Arial" w:cs="Arial"/>
          <w:color w:val="0E101A"/>
          <w:sz w:val="20"/>
          <w:szCs w:val="20"/>
          <w:highlight w:val="cyan"/>
        </w:rPr>
        <w:t>.</w:t>
      </w:r>
      <w:r w:rsidRPr="002A52F0">
        <w:rPr>
          <w:rFonts w:ascii="Arial" w:hAnsi="Arial" w:cs="Arial"/>
          <w:color w:val="0E101A"/>
          <w:sz w:val="20"/>
          <w:szCs w:val="20"/>
        </w:rPr>
        <w:t xml:space="preserve"> Furthermore, approximately one-quarter of CD patients who undergo surgery will require a second operation wit</w:t>
      </w:r>
      <w:r w:rsidR="00AE148F">
        <w:rPr>
          <w:rFonts w:ascii="Arial" w:hAnsi="Arial" w:cs="Arial"/>
          <w:color w:val="0E101A"/>
          <w:sz w:val="20"/>
          <w:szCs w:val="20"/>
        </w:rPr>
        <w:t>hin 5-</w:t>
      </w:r>
      <w:r w:rsidR="00057C5D">
        <w:rPr>
          <w:rFonts w:ascii="Arial" w:hAnsi="Arial" w:cs="Arial"/>
          <w:color w:val="0E101A"/>
          <w:sz w:val="20"/>
          <w:szCs w:val="20"/>
        </w:rPr>
        <w:t xml:space="preserve">years of the first </w:t>
      </w:r>
      <w:r w:rsidR="00057C5D" w:rsidRPr="006750D1">
        <w:rPr>
          <w:rFonts w:ascii="Arial" w:hAnsi="Arial" w:cs="Arial"/>
          <w:color w:val="0E101A"/>
          <w:sz w:val="20"/>
          <w:szCs w:val="20"/>
          <w:highlight w:val="cyan"/>
        </w:rPr>
        <w:t>(</w:t>
      </w:r>
      <w:proofErr w:type="spellStart"/>
      <w:r w:rsidR="00057C5D" w:rsidRPr="006750D1">
        <w:rPr>
          <w:rFonts w:ascii="Arial" w:hAnsi="Arial" w:cs="Arial"/>
          <w:color w:val="0E101A"/>
          <w:sz w:val="20"/>
          <w:szCs w:val="20"/>
          <w:highlight w:val="cyan"/>
        </w:rPr>
        <w:t>Frolkis</w:t>
      </w:r>
      <w:proofErr w:type="spellEnd"/>
      <w:r w:rsidR="00057C5D" w:rsidRPr="006750D1">
        <w:rPr>
          <w:rFonts w:ascii="Arial" w:hAnsi="Arial" w:cs="Arial"/>
          <w:color w:val="0E101A"/>
          <w:sz w:val="20"/>
          <w:szCs w:val="20"/>
          <w:highlight w:val="cyan"/>
        </w:rPr>
        <w:t xml:space="preserve"> et al., 2014)</w:t>
      </w:r>
      <w:r w:rsidRPr="006750D1">
        <w:rPr>
          <w:rFonts w:ascii="Arial" w:hAnsi="Arial" w:cs="Arial"/>
          <w:color w:val="0E101A"/>
          <w:sz w:val="20"/>
          <w:szCs w:val="20"/>
          <w:highlight w:val="cyan"/>
        </w:rPr>
        <w:t>.</w:t>
      </w:r>
      <w:r w:rsidRPr="002A52F0">
        <w:rPr>
          <w:rFonts w:ascii="Arial" w:hAnsi="Arial" w:cs="Arial"/>
          <w:color w:val="0E101A"/>
          <w:sz w:val="20"/>
          <w:szCs w:val="20"/>
        </w:rPr>
        <w:t xml:space="preserve"> </w:t>
      </w:r>
      <w:r w:rsidRPr="002A52F0">
        <w:rPr>
          <w:rFonts w:ascii="Arial" w:hAnsi="Arial" w:cs="Arial"/>
          <w:color w:val="0F1115"/>
          <w:sz w:val="20"/>
          <w:szCs w:val="20"/>
          <w:shd w:val="clear" w:color="auto" w:fill="FFFFFF"/>
        </w:rPr>
        <w:t>The risk of short bowel syndrome from multiple resections can be mitigated with bowel-saving approaches, notably endoscopic ballo</w:t>
      </w:r>
      <w:r w:rsidR="006750D1">
        <w:rPr>
          <w:rFonts w:ascii="Arial" w:hAnsi="Arial" w:cs="Arial"/>
          <w:color w:val="0F1115"/>
          <w:sz w:val="20"/>
          <w:szCs w:val="20"/>
          <w:shd w:val="clear" w:color="auto" w:fill="FFFFFF"/>
        </w:rPr>
        <w:t xml:space="preserve">on dilation and stricturoplasty </w:t>
      </w:r>
      <w:r w:rsidR="00057C5D" w:rsidRPr="006750D1">
        <w:rPr>
          <w:rFonts w:ascii="Arial" w:hAnsi="Arial" w:cs="Arial"/>
          <w:color w:val="0E101A"/>
          <w:sz w:val="20"/>
          <w:szCs w:val="20"/>
          <w:highlight w:val="cyan"/>
        </w:rPr>
        <w:t>(Chan et al., 2018)</w:t>
      </w:r>
      <w:r w:rsidR="006750D1" w:rsidRPr="006750D1">
        <w:rPr>
          <w:rFonts w:ascii="Arial" w:hAnsi="Arial" w:cs="Arial"/>
          <w:color w:val="0E101A"/>
          <w:sz w:val="20"/>
          <w:szCs w:val="20"/>
          <w:highlight w:val="cyan"/>
        </w:rPr>
        <w:t>.</w:t>
      </w:r>
    </w:p>
    <w:p w14:paraId="552641E9" w14:textId="1E9D5CC4" w:rsidR="002A52F0" w:rsidRPr="002A52F0" w:rsidRDefault="002A52F0" w:rsidP="00D41F54">
      <w:pPr>
        <w:pStyle w:val="NormalWeb"/>
        <w:spacing w:before="0" w:beforeAutospacing="0" w:after="0" w:afterAutospacing="0" w:line="360" w:lineRule="auto"/>
        <w:ind w:firstLine="720"/>
        <w:jc w:val="both"/>
        <w:rPr>
          <w:rFonts w:ascii="Arial" w:hAnsi="Arial" w:cs="Arial"/>
          <w:color w:val="0E101A"/>
          <w:sz w:val="20"/>
          <w:szCs w:val="20"/>
        </w:rPr>
      </w:pPr>
      <w:r w:rsidRPr="002A52F0">
        <w:rPr>
          <w:rFonts w:ascii="Arial" w:hAnsi="Arial" w:cs="Arial"/>
          <w:color w:val="0E101A"/>
          <w:sz w:val="20"/>
          <w:szCs w:val="20"/>
        </w:rPr>
        <w:t xml:space="preserve">Enterolithiasis, or the formation of stones within the gastrointestinal tract (GIT), is a rare clinical entity. Primary enteroliths develop in segments of intestinal stasis caused by conditions such as surgical anastomoses, or strictures from IBDs. Patients often present with non-specific symptoms like abdominal pain, nausea, and vomiting, which are attributable to the enterolith </w:t>
      </w:r>
      <w:r w:rsidR="00057C5D">
        <w:rPr>
          <w:rFonts w:ascii="Arial" w:hAnsi="Arial" w:cs="Arial"/>
          <w:color w:val="0E101A"/>
          <w:sz w:val="20"/>
          <w:szCs w:val="20"/>
        </w:rPr>
        <w:t xml:space="preserve">or the underlying pathology </w:t>
      </w:r>
      <w:r w:rsidR="00057C5D" w:rsidRPr="006750D1">
        <w:rPr>
          <w:rFonts w:ascii="Arial" w:hAnsi="Arial" w:cs="Arial"/>
          <w:color w:val="0E101A"/>
          <w:sz w:val="20"/>
          <w:szCs w:val="20"/>
          <w:highlight w:val="cyan"/>
        </w:rPr>
        <w:t>(</w:t>
      </w:r>
      <w:proofErr w:type="spellStart"/>
      <w:r w:rsidR="00057C5D" w:rsidRPr="006750D1">
        <w:rPr>
          <w:rFonts w:ascii="Arial" w:hAnsi="Arial" w:cs="Arial"/>
          <w:color w:val="0E101A"/>
          <w:sz w:val="20"/>
          <w:szCs w:val="20"/>
          <w:highlight w:val="cyan"/>
        </w:rPr>
        <w:t>Gurvits</w:t>
      </w:r>
      <w:proofErr w:type="spellEnd"/>
      <w:r w:rsidR="00057C5D" w:rsidRPr="006750D1">
        <w:rPr>
          <w:rFonts w:ascii="Arial" w:hAnsi="Arial" w:cs="Arial"/>
          <w:color w:val="0E101A"/>
          <w:sz w:val="20"/>
          <w:szCs w:val="20"/>
          <w:highlight w:val="cyan"/>
        </w:rPr>
        <w:t xml:space="preserve"> et al., 2014)</w:t>
      </w:r>
      <w:r w:rsidRPr="002A52F0">
        <w:rPr>
          <w:rFonts w:ascii="Arial" w:hAnsi="Arial" w:cs="Arial"/>
          <w:color w:val="0E101A"/>
          <w:sz w:val="20"/>
          <w:szCs w:val="20"/>
        </w:rPr>
        <w:t xml:space="preserve">. </w:t>
      </w:r>
    </w:p>
    <w:p w14:paraId="37BB7C4F" w14:textId="77777777" w:rsidR="002A52F0" w:rsidRPr="002A52F0" w:rsidRDefault="002A52F0" w:rsidP="00D41F54">
      <w:pPr>
        <w:pStyle w:val="NormalWeb"/>
        <w:spacing w:before="0" w:beforeAutospacing="0" w:after="0" w:afterAutospacing="0" w:line="360" w:lineRule="auto"/>
        <w:ind w:firstLine="720"/>
        <w:jc w:val="both"/>
        <w:rPr>
          <w:rFonts w:ascii="Arial" w:hAnsi="Arial" w:cs="Arial"/>
          <w:color w:val="0E101A"/>
          <w:sz w:val="20"/>
          <w:szCs w:val="20"/>
        </w:rPr>
      </w:pPr>
      <w:r w:rsidRPr="002A52F0">
        <w:rPr>
          <w:rFonts w:ascii="Arial" w:hAnsi="Arial" w:cs="Arial"/>
          <w:color w:val="0E101A"/>
          <w:sz w:val="20"/>
          <w:szCs w:val="20"/>
        </w:rPr>
        <w:t>This article reports a case of primary enterolithiasis secondary to stricturing ileal CD, illustrating a rare complication of a common disease. It has been presented in line with the SCARE criteria.</w:t>
      </w:r>
    </w:p>
    <w:p w14:paraId="2E9CB56C" w14:textId="77777777" w:rsidR="002A52F0" w:rsidRPr="002A52F0" w:rsidRDefault="002A52F0" w:rsidP="0024307A">
      <w:pPr>
        <w:pStyle w:val="NormalWeb"/>
        <w:spacing w:before="0" w:beforeAutospacing="0" w:after="0" w:afterAutospacing="0" w:line="360" w:lineRule="auto"/>
        <w:rPr>
          <w:rFonts w:ascii="Arial" w:hAnsi="Arial" w:cs="Arial"/>
          <w:color w:val="0E101A"/>
          <w:sz w:val="22"/>
          <w:szCs w:val="22"/>
        </w:rPr>
      </w:pPr>
      <w:r w:rsidRPr="002A52F0">
        <w:rPr>
          <w:rStyle w:val="Strong"/>
          <w:rFonts w:ascii="Arial" w:hAnsi="Arial" w:cs="Arial"/>
          <w:color w:val="0E101A"/>
          <w:sz w:val="22"/>
          <w:szCs w:val="22"/>
        </w:rPr>
        <w:t>CASE PRESENTATION</w:t>
      </w:r>
    </w:p>
    <w:p w14:paraId="4CE8B817" w14:textId="77777777" w:rsidR="002A52F0" w:rsidRPr="0024307A" w:rsidRDefault="002A52F0" w:rsidP="0024307A">
      <w:pPr>
        <w:pStyle w:val="NormalWeb"/>
        <w:spacing w:before="0" w:beforeAutospacing="0" w:after="0" w:afterAutospacing="0" w:line="360" w:lineRule="auto"/>
        <w:rPr>
          <w:rStyle w:val="Emphasis"/>
          <w:i w:val="0"/>
          <w:iCs w:val="0"/>
        </w:rPr>
      </w:pPr>
      <w:r w:rsidRPr="0024307A">
        <w:rPr>
          <w:rStyle w:val="Emphasis"/>
          <w:rFonts w:ascii="Arial" w:hAnsi="Arial" w:cs="Arial"/>
          <w:color w:val="0E101A"/>
          <w:sz w:val="22"/>
          <w:szCs w:val="22"/>
        </w:rPr>
        <w:t>History</w:t>
      </w:r>
    </w:p>
    <w:p w14:paraId="16EB2B9D" w14:textId="6D9FA3CE" w:rsidR="002A52F0" w:rsidRPr="002A52F0" w:rsidRDefault="002A52F0" w:rsidP="00AE148F">
      <w:pPr>
        <w:pStyle w:val="NormalWeb"/>
        <w:spacing w:before="0" w:beforeAutospacing="0" w:after="0" w:afterAutospacing="0" w:line="360" w:lineRule="auto"/>
        <w:ind w:firstLine="720"/>
        <w:jc w:val="both"/>
        <w:rPr>
          <w:rFonts w:ascii="Arial" w:hAnsi="Arial" w:cs="Arial"/>
          <w:color w:val="0E101A"/>
          <w:sz w:val="20"/>
          <w:szCs w:val="20"/>
        </w:rPr>
      </w:pPr>
      <w:r w:rsidRPr="002A52F0">
        <w:rPr>
          <w:rFonts w:ascii="Arial" w:hAnsi="Arial" w:cs="Arial"/>
          <w:color w:val="0E101A"/>
          <w:sz w:val="20"/>
          <w:szCs w:val="20"/>
        </w:rPr>
        <w:t xml:space="preserve">A 35-year-old male, with a smoking history of 20 pack-years, presented to the outpatient clinic for evaluation of chronic abdominal symptoms. </w:t>
      </w:r>
      <w:r w:rsidRPr="001960A7">
        <w:rPr>
          <w:rFonts w:ascii="Arial" w:hAnsi="Arial" w:cs="Arial"/>
          <w:color w:val="0E101A"/>
          <w:sz w:val="20"/>
          <w:szCs w:val="20"/>
          <w:highlight w:val="cyan"/>
        </w:rPr>
        <w:t xml:space="preserve">His </w:t>
      </w:r>
      <w:r w:rsidR="00347826" w:rsidRPr="001960A7">
        <w:rPr>
          <w:rFonts w:ascii="Arial" w:hAnsi="Arial" w:cs="Arial"/>
          <w:color w:val="0E101A"/>
          <w:sz w:val="20"/>
          <w:szCs w:val="20"/>
          <w:highlight w:val="cyan"/>
        </w:rPr>
        <w:t>had a negative past medical history, but his</w:t>
      </w:r>
      <w:r w:rsidR="00347826">
        <w:rPr>
          <w:rFonts w:ascii="Arial" w:hAnsi="Arial" w:cs="Arial"/>
          <w:color w:val="0E101A"/>
          <w:sz w:val="20"/>
          <w:szCs w:val="20"/>
        </w:rPr>
        <w:t xml:space="preserve"> </w:t>
      </w:r>
      <w:r w:rsidRPr="002A52F0">
        <w:rPr>
          <w:rFonts w:ascii="Arial" w:hAnsi="Arial" w:cs="Arial"/>
          <w:color w:val="0E101A"/>
          <w:sz w:val="20"/>
          <w:szCs w:val="20"/>
        </w:rPr>
        <w:t>surgical history was significant for an exploratory laparotomy with small bowel resection for IO in 2004; however, details of that procedure and the pathology of the resected bowel were unavailable.</w:t>
      </w:r>
    </w:p>
    <w:p w14:paraId="56F4F708" w14:textId="70712AFC" w:rsidR="002A52F0" w:rsidRPr="002A52F0" w:rsidRDefault="002A52F0" w:rsidP="00AE148F">
      <w:pPr>
        <w:pStyle w:val="NormalWeb"/>
        <w:spacing w:before="0" w:beforeAutospacing="0" w:after="0" w:afterAutospacing="0" w:line="360" w:lineRule="auto"/>
        <w:ind w:firstLine="720"/>
        <w:jc w:val="both"/>
        <w:rPr>
          <w:rFonts w:ascii="Arial" w:hAnsi="Arial" w:cs="Arial"/>
          <w:color w:val="0E101A"/>
          <w:sz w:val="20"/>
          <w:szCs w:val="20"/>
        </w:rPr>
      </w:pPr>
      <w:r w:rsidRPr="002A52F0">
        <w:rPr>
          <w:rFonts w:ascii="Arial" w:hAnsi="Arial" w:cs="Arial"/>
          <w:color w:val="0E101A"/>
          <w:sz w:val="20"/>
          <w:szCs w:val="20"/>
        </w:rPr>
        <w:t>For the past 20 years, since his surgery, the patient has been complaining of intermittent colicky abdominal pain, occasional vomiting, and chronic constipation alternating with diarrhea, without significant weight loss. Concurrently, he has received treatment for iron deficiency anemia, consisting of repeated intravenous (IV) iron therapy and packed red blood cell transfusions.</w:t>
      </w:r>
    </w:p>
    <w:p w14:paraId="0EB5D550" w14:textId="77777777" w:rsidR="002A52F0" w:rsidRPr="0024307A" w:rsidRDefault="002A52F0" w:rsidP="0024307A">
      <w:pPr>
        <w:pStyle w:val="NormalWeb"/>
        <w:spacing w:before="0" w:beforeAutospacing="0" w:after="0" w:afterAutospacing="0" w:line="360" w:lineRule="auto"/>
        <w:rPr>
          <w:rStyle w:val="Emphasis"/>
          <w:i w:val="0"/>
          <w:iCs w:val="0"/>
        </w:rPr>
      </w:pPr>
      <w:r w:rsidRPr="0024307A">
        <w:rPr>
          <w:rStyle w:val="Emphasis"/>
          <w:rFonts w:ascii="Arial" w:hAnsi="Arial" w:cs="Arial"/>
          <w:color w:val="0E101A"/>
          <w:sz w:val="22"/>
          <w:szCs w:val="22"/>
        </w:rPr>
        <w:t>Physical examination</w:t>
      </w:r>
    </w:p>
    <w:p w14:paraId="70C504A6" w14:textId="15A5089F" w:rsidR="002A52F0" w:rsidRPr="002A52F0" w:rsidRDefault="002A52F0" w:rsidP="0066752F">
      <w:pPr>
        <w:pStyle w:val="NormalWeb"/>
        <w:spacing w:before="0" w:beforeAutospacing="0" w:after="0" w:afterAutospacing="0" w:line="360" w:lineRule="auto"/>
        <w:ind w:firstLine="720"/>
        <w:jc w:val="both"/>
        <w:rPr>
          <w:rFonts w:ascii="Arial" w:hAnsi="Arial" w:cs="Arial"/>
          <w:color w:val="0E101A"/>
          <w:sz w:val="20"/>
          <w:szCs w:val="20"/>
        </w:rPr>
      </w:pPr>
      <w:r w:rsidRPr="002A52F0">
        <w:rPr>
          <w:rFonts w:ascii="Arial" w:hAnsi="Arial" w:cs="Arial"/>
          <w:color w:val="0E101A"/>
          <w:sz w:val="20"/>
          <w:szCs w:val="20"/>
        </w:rPr>
        <w:t>The patient’s weight was 52 kg, height 160 cm, and body mass index was 20.3 kg/m². On examinatio</w:t>
      </w:r>
      <w:r w:rsidR="0066752F">
        <w:rPr>
          <w:rFonts w:ascii="Arial" w:hAnsi="Arial" w:cs="Arial"/>
          <w:color w:val="0E101A"/>
          <w:sz w:val="20"/>
          <w:szCs w:val="20"/>
        </w:rPr>
        <w:t xml:space="preserve">n, his vital signs were normal. </w:t>
      </w:r>
      <w:r w:rsidRPr="002A52F0">
        <w:rPr>
          <w:rFonts w:ascii="Arial" w:hAnsi="Arial" w:cs="Arial"/>
          <w:color w:val="0E101A"/>
          <w:sz w:val="20"/>
          <w:szCs w:val="20"/>
        </w:rPr>
        <w:t>There was no guarding, tenderness, or palpable masses</w:t>
      </w:r>
      <w:r w:rsidR="0066752F">
        <w:rPr>
          <w:rFonts w:ascii="Arial" w:hAnsi="Arial" w:cs="Arial"/>
          <w:color w:val="0E101A"/>
          <w:sz w:val="20"/>
          <w:szCs w:val="20"/>
        </w:rPr>
        <w:t xml:space="preserve"> on a</w:t>
      </w:r>
      <w:r w:rsidR="0066752F" w:rsidRPr="002A52F0">
        <w:rPr>
          <w:rFonts w:ascii="Arial" w:hAnsi="Arial" w:cs="Arial"/>
          <w:color w:val="0E101A"/>
          <w:sz w:val="20"/>
          <w:szCs w:val="20"/>
        </w:rPr>
        <w:t>bdominal examination</w:t>
      </w:r>
      <w:r w:rsidRPr="002A52F0">
        <w:rPr>
          <w:rFonts w:ascii="Arial" w:hAnsi="Arial" w:cs="Arial"/>
          <w:color w:val="0E101A"/>
          <w:sz w:val="20"/>
          <w:szCs w:val="20"/>
        </w:rPr>
        <w:t>.</w:t>
      </w:r>
    </w:p>
    <w:p w14:paraId="5150430C" w14:textId="77777777" w:rsidR="002A52F0" w:rsidRPr="002A52F0" w:rsidRDefault="002A52F0" w:rsidP="00D41F54">
      <w:pPr>
        <w:pStyle w:val="NormalWeb"/>
        <w:spacing w:before="0" w:beforeAutospacing="0" w:after="0" w:afterAutospacing="0" w:line="360" w:lineRule="auto"/>
        <w:jc w:val="both"/>
        <w:rPr>
          <w:rFonts w:ascii="Arial" w:hAnsi="Arial" w:cs="Arial"/>
          <w:color w:val="0E101A"/>
          <w:sz w:val="20"/>
          <w:szCs w:val="20"/>
        </w:rPr>
      </w:pPr>
      <w:r w:rsidRPr="002A52F0">
        <w:rPr>
          <w:rStyle w:val="Emphasis"/>
          <w:rFonts w:ascii="Arial" w:hAnsi="Arial" w:cs="Arial"/>
          <w:color w:val="0E101A"/>
          <w:sz w:val="20"/>
          <w:szCs w:val="20"/>
        </w:rPr>
        <w:t>Laboratory data</w:t>
      </w:r>
    </w:p>
    <w:p w14:paraId="0F290F2F" w14:textId="77777777" w:rsidR="002A52F0" w:rsidRPr="002A52F0" w:rsidRDefault="002A52F0" w:rsidP="00D41F54">
      <w:pPr>
        <w:pStyle w:val="NormalWeb"/>
        <w:spacing w:before="0" w:beforeAutospacing="0" w:after="0" w:afterAutospacing="0" w:line="360" w:lineRule="auto"/>
        <w:ind w:firstLine="720"/>
        <w:jc w:val="both"/>
        <w:rPr>
          <w:rFonts w:ascii="Arial" w:hAnsi="Arial" w:cs="Arial"/>
          <w:color w:val="0E101A"/>
          <w:sz w:val="20"/>
          <w:szCs w:val="20"/>
        </w:rPr>
      </w:pPr>
      <w:r w:rsidRPr="002A52F0">
        <w:rPr>
          <w:rFonts w:ascii="Arial" w:hAnsi="Arial" w:cs="Arial"/>
          <w:color w:val="0E101A"/>
          <w:sz w:val="20"/>
          <w:szCs w:val="20"/>
        </w:rPr>
        <w:t xml:space="preserve">Pertinent abnormal laboratory findings included iron deficiency anemia (hemoglobin 6.0 g/dL), with low serum iron (50 µg/dL) and elevated transferrin (450 mg/dL). Additional findings were hypocalcemia (total calcium 8.1 mg/dL, ionized calcium 4.2 mg/dL), hypomagnesemia (1.5 mg/dL), and hypoalbuminemia (2.9 g/dL). </w:t>
      </w:r>
    </w:p>
    <w:p w14:paraId="35384029" w14:textId="77777777" w:rsidR="002A52F0" w:rsidRPr="0024307A" w:rsidRDefault="002A52F0" w:rsidP="0024307A">
      <w:pPr>
        <w:pStyle w:val="NormalWeb"/>
        <w:spacing w:before="0" w:beforeAutospacing="0" w:after="0" w:afterAutospacing="0" w:line="360" w:lineRule="auto"/>
        <w:rPr>
          <w:rStyle w:val="Emphasis"/>
          <w:rFonts w:ascii="Arial" w:hAnsi="Arial" w:cs="Arial"/>
          <w:color w:val="0E101A"/>
          <w:sz w:val="22"/>
          <w:szCs w:val="22"/>
        </w:rPr>
      </w:pPr>
      <w:r w:rsidRPr="0024307A">
        <w:rPr>
          <w:rStyle w:val="Emphasis"/>
          <w:rFonts w:ascii="Arial" w:hAnsi="Arial" w:cs="Arial"/>
          <w:color w:val="0E101A"/>
          <w:sz w:val="22"/>
          <w:szCs w:val="22"/>
        </w:rPr>
        <w:lastRenderedPageBreak/>
        <w:t>Imaging data</w:t>
      </w:r>
    </w:p>
    <w:p w14:paraId="4A0246AD" w14:textId="7C20B987" w:rsidR="002A52F0" w:rsidRPr="002A52F0" w:rsidRDefault="002A52F0" w:rsidP="0066752F">
      <w:pPr>
        <w:pStyle w:val="NormalWeb"/>
        <w:spacing w:before="0" w:beforeAutospacing="0" w:after="0" w:afterAutospacing="0" w:line="360" w:lineRule="auto"/>
        <w:ind w:firstLine="720"/>
        <w:jc w:val="both"/>
        <w:rPr>
          <w:rFonts w:ascii="Arial" w:hAnsi="Arial" w:cs="Arial"/>
          <w:color w:val="0E101A"/>
          <w:sz w:val="20"/>
          <w:szCs w:val="20"/>
        </w:rPr>
      </w:pPr>
      <w:r w:rsidRPr="002A52F0">
        <w:rPr>
          <w:rFonts w:ascii="Arial" w:hAnsi="Arial" w:cs="Arial"/>
          <w:color w:val="0E101A"/>
          <w:sz w:val="20"/>
          <w:szCs w:val="20"/>
        </w:rPr>
        <w:t>Plain abdominal radiographs showed several dilated small bowel loops, without evidence of pneumoperitoneum or air-fluid levels. A contrast-enhanced CT (CECT) scan of the abdomen revealed multiple dilated, fluid and gas-filled small intestinal loops with a clear transition zone in the distal ileum where an intraluminal, well-defined, oblong high</w:t>
      </w:r>
      <w:r w:rsidR="00185A25">
        <w:rPr>
          <w:rFonts w:ascii="Arial" w:hAnsi="Arial" w:cs="Arial"/>
          <w:color w:val="0E101A"/>
          <w:sz w:val="20"/>
          <w:szCs w:val="20"/>
        </w:rPr>
        <w:t>-attenuation focus was seen. This</w:t>
      </w:r>
      <w:r w:rsidRPr="002A52F0">
        <w:rPr>
          <w:rFonts w:ascii="Arial" w:hAnsi="Arial" w:cs="Arial"/>
          <w:color w:val="0E101A"/>
          <w:sz w:val="20"/>
          <w:szCs w:val="20"/>
        </w:rPr>
        <w:t xml:space="preserve"> focus demonstrated radiopaque attenuation with peripheral </w:t>
      </w:r>
      <w:proofErr w:type="spellStart"/>
      <w:r w:rsidRPr="002A52F0">
        <w:rPr>
          <w:rFonts w:ascii="Arial" w:hAnsi="Arial" w:cs="Arial"/>
          <w:color w:val="0E101A"/>
          <w:sz w:val="20"/>
          <w:szCs w:val="20"/>
        </w:rPr>
        <w:t>lamellation</w:t>
      </w:r>
      <w:proofErr w:type="spellEnd"/>
      <w:r w:rsidRPr="002A52F0">
        <w:rPr>
          <w:rFonts w:ascii="Arial" w:hAnsi="Arial" w:cs="Arial"/>
          <w:color w:val="0E101A"/>
          <w:sz w:val="20"/>
          <w:szCs w:val="20"/>
        </w:rPr>
        <w:t xml:space="preserve"> and a mottled internal gas pattern, consistent</w:t>
      </w:r>
      <w:r w:rsidR="00185A25">
        <w:rPr>
          <w:rFonts w:ascii="Arial" w:hAnsi="Arial" w:cs="Arial"/>
          <w:color w:val="0E101A"/>
          <w:sz w:val="20"/>
          <w:szCs w:val="20"/>
        </w:rPr>
        <w:t xml:space="preserve"> with an intraluminal calcified </w:t>
      </w:r>
      <w:r w:rsidRPr="002A52F0">
        <w:rPr>
          <w:rFonts w:ascii="Arial" w:hAnsi="Arial" w:cs="Arial"/>
          <w:color w:val="0E101A"/>
          <w:sz w:val="20"/>
          <w:szCs w:val="20"/>
        </w:rPr>
        <w:t>enterolith. Immediately proximal to the transition point, several ileal loops contained heterogeneous intraluminal material w</w:t>
      </w:r>
      <w:r w:rsidR="00185A25">
        <w:rPr>
          <w:rFonts w:ascii="Arial" w:hAnsi="Arial" w:cs="Arial"/>
          <w:color w:val="0E101A"/>
          <w:sz w:val="20"/>
          <w:szCs w:val="20"/>
        </w:rPr>
        <w:t xml:space="preserve">ith gas interstices producing </w:t>
      </w:r>
      <w:r w:rsidRPr="002A52F0">
        <w:rPr>
          <w:rFonts w:ascii="Arial" w:hAnsi="Arial" w:cs="Arial"/>
          <w:color w:val="0E101A"/>
          <w:sz w:val="20"/>
          <w:szCs w:val="20"/>
        </w:rPr>
        <w:t>“small i</w:t>
      </w:r>
      <w:r w:rsidR="0066752F">
        <w:rPr>
          <w:rFonts w:ascii="Arial" w:hAnsi="Arial" w:cs="Arial"/>
          <w:color w:val="0E101A"/>
          <w:sz w:val="20"/>
          <w:szCs w:val="20"/>
        </w:rPr>
        <w:t>ntestinal feces sign”</w:t>
      </w:r>
      <w:r w:rsidRPr="002A52F0">
        <w:rPr>
          <w:rFonts w:ascii="Arial" w:hAnsi="Arial" w:cs="Arial"/>
          <w:color w:val="0E101A"/>
          <w:sz w:val="20"/>
          <w:szCs w:val="20"/>
        </w:rPr>
        <w:t xml:space="preserve">. The obstructed segment exhibited circumferential mural thickening and stratified mural </w:t>
      </w:r>
      <w:r w:rsidR="00185A25">
        <w:rPr>
          <w:rFonts w:ascii="Arial" w:hAnsi="Arial" w:cs="Arial"/>
          <w:color w:val="0E101A"/>
          <w:sz w:val="20"/>
          <w:szCs w:val="20"/>
        </w:rPr>
        <w:t xml:space="preserve">enhancement, with adjacent </w:t>
      </w:r>
      <w:r w:rsidRPr="002A52F0">
        <w:rPr>
          <w:rFonts w:ascii="Arial" w:hAnsi="Arial" w:cs="Arial"/>
          <w:color w:val="0E101A"/>
          <w:sz w:val="20"/>
          <w:szCs w:val="20"/>
        </w:rPr>
        <w:t>mesenteric edema and prom</w:t>
      </w:r>
      <w:r w:rsidR="006750D1">
        <w:rPr>
          <w:rFonts w:ascii="Arial" w:hAnsi="Arial" w:cs="Arial"/>
          <w:color w:val="0E101A"/>
          <w:sz w:val="20"/>
          <w:szCs w:val="20"/>
        </w:rPr>
        <w:t xml:space="preserve">inent vasa recta (“Comb sign”) </w:t>
      </w:r>
      <w:r w:rsidR="006750D1" w:rsidRPr="006750D1">
        <w:rPr>
          <w:rFonts w:ascii="Arial" w:hAnsi="Arial" w:cs="Arial"/>
          <w:color w:val="0E101A"/>
          <w:sz w:val="20"/>
          <w:szCs w:val="20"/>
          <w:highlight w:val="cyan"/>
        </w:rPr>
        <w:t>(</w:t>
      </w:r>
      <w:r w:rsidRPr="006750D1">
        <w:rPr>
          <w:rFonts w:ascii="Arial" w:hAnsi="Arial" w:cs="Arial"/>
          <w:color w:val="0E101A"/>
          <w:sz w:val="20"/>
          <w:szCs w:val="20"/>
          <w:highlight w:val="cyan"/>
        </w:rPr>
        <w:t>Fig</w:t>
      </w:r>
      <w:r w:rsidR="006750D1" w:rsidRPr="006750D1">
        <w:rPr>
          <w:rFonts w:ascii="Arial" w:hAnsi="Arial" w:cs="Arial"/>
          <w:color w:val="0E101A"/>
          <w:sz w:val="20"/>
          <w:szCs w:val="20"/>
          <w:highlight w:val="cyan"/>
        </w:rPr>
        <w:t>. 1)</w:t>
      </w:r>
      <w:r w:rsidR="00D92009">
        <w:rPr>
          <w:rFonts w:ascii="Arial" w:hAnsi="Arial" w:cs="Arial"/>
          <w:color w:val="0E101A"/>
          <w:sz w:val="20"/>
          <w:szCs w:val="20"/>
        </w:rPr>
        <w:t>. (Video 1)</w:t>
      </w:r>
    </w:p>
    <w:p w14:paraId="545E3642" w14:textId="77777777" w:rsidR="002A52F0" w:rsidRPr="002A52F0" w:rsidRDefault="002A52F0" w:rsidP="00D41F54">
      <w:pPr>
        <w:spacing w:line="360" w:lineRule="auto"/>
        <w:jc w:val="center"/>
        <w:rPr>
          <w:rFonts w:ascii="Arial" w:hAnsi="Arial" w:cs="Arial"/>
          <w:sz w:val="20"/>
          <w:szCs w:val="20"/>
        </w:rPr>
      </w:pPr>
      <w:r w:rsidRPr="002A52F0">
        <w:rPr>
          <w:rFonts w:ascii="Arial" w:hAnsi="Arial" w:cs="Arial"/>
          <w:noProof/>
          <w:sz w:val="20"/>
          <w:szCs w:val="20"/>
        </w:rPr>
        <w:drawing>
          <wp:inline distT="0" distB="0" distL="0" distR="0" wp14:anchorId="4D708CF7" wp14:editId="71DCD0DF">
            <wp:extent cx="3536830" cy="4161327"/>
            <wp:effectExtent l="0" t="0" r="6985" b="0"/>
            <wp:docPr id="14" name="Picture 14" descr="E:\Research\Ch Small Bowel Obstruction\Paper\Mail photos\10003233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Research\Ch Small Bowel Obstruction\Paper\Mail photos\1000323336.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543491" cy="4169164"/>
                    </a:xfrm>
                    <a:prstGeom prst="rect">
                      <a:avLst/>
                    </a:prstGeom>
                    <a:noFill/>
                    <a:ln>
                      <a:noFill/>
                    </a:ln>
                  </pic:spPr>
                </pic:pic>
              </a:graphicData>
            </a:graphic>
          </wp:inline>
        </w:drawing>
      </w:r>
    </w:p>
    <w:p w14:paraId="3D5472E5" w14:textId="2C07CD7E" w:rsidR="002A52F0" w:rsidRPr="002A52F0" w:rsidRDefault="006750D1" w:rsidP="00D41F54">
      <w:pPr>
        <w:pStyle w:val="NormalWeb"/>
        <w:spacing w:before="0" w:beforeAutospacing="0" w:after="0" w:afterAutospacing="0" w:line="360" w:lineRule="auto"/>
        <w:jc w:val="center"/>
        <w:rPr>
          <w:rStyle w:val="Emphasis"/>
          <w:rFonts w:ascii="Arial" w:hAnsi="Arial" w:cs="Arial"/>
          <w:i w:val="0"/>
          <w:iCs w:val="0"/>
          <w:color w:val="0E101A"/>
          <w:sz w:val="20"/>
          <w:szCs w:val="20"/>
        </w:rPr>
      </w:pPr>
      <w:r w:rsidRPr="006750D1">
        <w:rPr>
          <w:rFonts w:ascii="Arial" w:hAnsi="Arial" w:cs="Arial"/>
          <w:color w:val="0E101A"/>
          <w:sz w:val="20"/>
          <w:szCs w:val="20"/>
          <w:highlight w:val="cyan"/>
        </w:rPr>
        <w:t>Fig</w:t>
      </w:r>
      <w:r>
        <w:rPr>
          <w:rFonts w:ascii="Arial" w:hAnsi="Arial" w:cs="Arial"/>
          <w:color w:val="0E101A"/>
          <w:sz w:val="20"/>
          <w:szCs w:val="20"/>
          <w:highlight w:val="cyan"/>
        </w:rPr>
        <w:t xml:space="preserve">. </w:t>
      </w:r>
      <w:r w:rsidRPr="006750D1">
        <w:rPr>
          <w:rFonts w:ascii="Arial" w:hAnsi="Arial" w:cs="Arial"/>
          <w:color w:val="0E101A"/>
          <w:sz w:val="20"/>
          <w:szCs w:val="20"/>
          <w:highlight w:val="cyan"/>
        </w:rPr>
        <w:t>1.</w:t>
      </w:r>
      <w:r w:rsidR="002A52F0" w:rsidRPr="002A52F0">
        <w:rPr>
          <w:rFonts w:ascii="Arial" w:hAnsi="Arial" w:cs="Arial"/>
          <w:color w:val="0E101A"/>
          <w:sz w:val="20"/>
          <w:szCs w:val="20"/>
        </w:rPr>
        <w:t xml:space="preserve"> Coronal CECT abdomen</w:t>
      </w:r>
      <w:r w:rsidR="00600B47">
        <w:rPr>
          <w:rFonts w:ascii="Arial" w:hAnsi="Arial" w:cs="Arial"/>
          <w:color w:val="0E101A"/>
          <w:sz w:val="20"/>
          <w:szCs w:val="20"/>
        </w:rPr>
        <w:t xml:space="preserve"> </w:t>
      </w:r>
      <w:r w:rsidR="00600B47" w:rsidRPr="00600B47">
        <w:rPr>
          <w:rFonts w:ascii="Arial" w:hAnsi="Arial" w:cs="Arial"/>
          <w:color w:val="0E101A"/>
          <w:sz w:val="20"/>
          <w:szCs w:val="20"/>
          <w:highlight w:val="cyan"/>
        </w:rPr>
        <w:t>showing dilated small bowel loops (blue asterisk), small intestinal feces sign (yellow arrow) and enterolith (red arrow)</w:t>
      </w:r>
      <w:r w:rsidR="00600B47" w:rsidRPr="002A52F0">
        <w:rPr>
          <w:rFonts w:ascii="Arial" w:hAnsi="Arial" w:cs="Arial"/>
          <w:sz w:val="20"/>
          <w:szCs w:val="20"/>
          <w:lang w:bidi="ar-EG"/>
        </w:rPr>
        <w:t xml:space="preserve">                     </w:t>
      </w:r>
    </w:p>
    <w:p w14:paraId="6BC88AC3" w14:textId="54641E4A" w:rsidR="002A52F0" w:rsidRPr="0024307A" w:rsidRDefault="0066752F" w:rsidP="0024307A">
      <w:pPr>
        <w:pStyle w:val="NormalWeb"/>
        <w:spacing w:before="0" w:beforeAutospacing="0" w:after="0" w:afterAutospacing="0" w:line="360" w:lineRule="auto"/>
        <w:rPr>
          <w:rStyle w:val="Emphasis"/>
          <w:sz w:val="22"/>
          <w:szCs w:val="22"/>
        </w:rPr>
      </w:pPr>
      <w:r>
        <w:rPr>
          <w:rStyle w:val="Emphasis"/>
          <w:rFonts w:ascii="Arial" w:hAnsi="Arial" w:cs="Arial"/>
          <w:color w:val="0E101A"/>
          <w:sz w:val="22"/>
          <w:szCs w:val="22"/>
        </w:rPr>
        <w:t>Management</w:t>
      </w:r>
    </w:p>
    <w:p w14:paraId="0780574D" w14:textId="3DB25CC2" w:rsidR="002A52F0" w:rsidRPr="002A52F0" w:rsidRDefault="0066752F" w:rsidP="00185A25">
      <w:pPr>
        <w:pStyle w:val="NormalWeb"/>
        <w:spacing w:before="0" w:beforeAutospacing="0" w:after="0" w:afterAutospacing="0" w:line="360" w:lineRule="auto"/>
        <w:ind w:firstLine="720"/>
        <w:jc w:val="both"/>
        <w:rPr>
          <w:rFonts w:ascii="Arial" w:hAnsi="Arial" w:cs="Arial"/>
          <w:color w:val="0E101A"/>
          <w:sz w:val="20"/>
          <w:szCs w:val="20"/>
        </w:rPr>
      </w:pPr>
      <w:r>
        <w:rPr>
          <w:rFonts w:ascii="Arial" w:hAnsi="Arial" w:cs="Arial"/>
          <w:color w:val="0E101A"/>
          <w:sz w:val="20"/>
          <w:szCs w:val="20"/>
        </w:rPr>
        <w:t xml:space="preserve">A </w:t>
      </w:r>
      <w:r w:rsidR="002A52F0" w:rsidRPr="002A52F0">
        <w:rPr>
          <w:rFonts w:ascii="Arial" w:hAnsi="Arial" w:cs="Arial"/>
          <w:color w:val="0E101A"/>
          <w:sz w:val="20"/>
          <w:szCs w:val="20"/>
        </w:rPr>
        <w:t xml:space="preserve">decision </w:t>
      </w:r>
      <w:r w:rsidR="00185A25">
        <w:rPr>
          <w:rFonts w:ascii="Arial" w:hAnsi="Arial" w:cs="Arial"/>
          <w:color w:val="0E101A"/>
          <w:sz w:val="20"/>
          <w:szCs w:val="20"/>
        </w:rPr>
        <w:t>of</w:t>
      </w:r>
      <w:r w:rsidR="002A52F0" w:rsidRPr="002A52F0">
        <w:rPr>
          <w:rFonts w:ascii="Arial" w:hAnsi="Arial" w:cs="Arial"/>
          <w:color w:val="0E101A"/>
          <w:sz w:val="20"/>
          <w:szCs w:val="20"/>
        </w:rPr>
        <w:t xml:space="preserve"> surgical exploration after optimizing the patient's nutritional and metabolic status</w:t>
      </w:r>
      <w:r w:rsidR="00185A25">
        <w:rPr>
          <w:rFonts w:ascii="Arial" w:hAnsi="Arial" w:cs="Arial"/>
          <w:color w:val="0E101A"/>
          <w:sz w:val="20"/>
          <w:szCs w:val="20"/>
        </w:rPr>
        <w:t xml:space="preserve"> </w:t>
      </w:r>
      <w:r w:rsidR="00185A25" w:rsidRPr="002A52F0">
        <w:rPr>
          <w:rFonts w:ascii="Arial" w:hAnsi="Arial" w:cs="Arial"/>
          <w:color w:val="0E101A"/>
          <w:sz w:val="20"/>
          <w:szCs w:val="20"/>
        </w:rPr>
        <w:t>was made</w:t>
      </w:r>
      <w:r w:rsidR="002A52F0" w:rsidRPr="002A52F0">
        <w:rPr>
          <w:rFonts w:ascii="Arial" w:hAnsi="Arial" w:cs="Arial"/>
          <w:color w:val="0E101A"/>
          <w:sz w:val="20"/>
          <w:szCs w:val="20"/>
        </w:rPr>
        <w:t xml:space="preserve">. </w:t>
      </w:r>
      <w:r w:rsidR="00185A25">
        <w:rPr>
          <w:rFonts w:ascii="Arial" w:hAnsi="Arial" w:cs="Arial"/>
          <w:color w:val="0E101A"/>
          <w:sz w:val="20"/>
          <w:szCs w:val="20"/>
        </w:rPr>
        <w:t>The patient</w:t>
      </w:r>
      <w:r w:rsidR="002A52F0" w:rsidRPr="002A52F0">
        <w:rPr>
          <w:rFonts w:ascii="Arial" w:hAnsi="Arial" w:cs="Arial"/>
          <w:color w:val="0E101A"/>
          <w:sz w:val="20"/>
          <w:szCs w:val="20"/>
        </w:rPr>
        <w:t xml:space="preserve"> was referred to the clinical nutrition service and placed on a high-protein, high-carbohydrate, low-fat, and low-fiber diet. This was supplemented with a protein-rich nutritional formula </w:t>
      </w:r>
      <w:r w:rsidR="002A52F0" w:rsidRPr="002A52F0">
        <w:rPr>
          <w:rFonts w:ascii="Arial" w:hAnsi="Arial" w:cs="Arial"/>
          <w:color w:val="0E101A"/>
          <w:sz w:val="20"/>
          <w:szCs w:val="20"/>
        </w:rPr>
        <w:lastRenderedPageBreak/>
        <w:t>and micronutrients. To correct his anemia, he received IV iron and 6 units of packed red blood cells. After 8 weeks, repeat laboratory investigations confirmed the successful correction of all deficiencies.</w:t>
      </w:r>
    </w:p>
    <w:p w14:paraId="61A1CD35" w14:textId="77777777" w:rsidR="002A52F0" w:rsidRPr="0024307A" w:rsidRDefault="002A52F0" w:rsidP="0024307A">
      <w:pPr>
        <w:pStyle w:val="NormalWeb"/>
        <w:spacing w:before="0" w:beforeAutospacing="0" w:after="0" w:afterAutospacing="0" w:line="360" w:lineRule="auto"/>
        <w:rPr>
          <w:rStyle w:val="Emphasis"/>
          <w:sz w:val="22"/>
          <w:szCs w:val="22"/>
        </w:rPr>
      </w:pPr>
      <w:r w:rsidRPr="0024307A">
        <w:rPr>
          <w:rStyle w:val="Emphasis"/>
          <w:rFonts w:ascii="Arial" w:hAnsi="Arial" w:cs="Arial"/>
          <w:color w:val="0E101A"/>
          <w:sz w:val="22"/>
          <w:szCs w:val="22"/>
        </w:rPr>
        <w:t>Operative Findings and Postoperative Course</w:t>
      </w:r>
    </w:p>
    <w:p w14:paraId="174A58DA" w14:textId="70E171A5" w:rsidR="002A52F0" w:rsidRPr="002A52F0" w:rsidRDefault="002A52F0" w:rsidP="00185A25">
      <w:pPr>
        <w:pStyle w:val="NormalWeb"/>
        <w:spacing w:before="0" w:beforeAutospacing="0" w:after="0" w:afterAutospacing="0" w:line="360" w:lineRule="auto"/>
        <w:ind w:firstLine="720"/>
        <w:jc w:val="both"/>
        <w:rPr>
          <w:rFonts w:ascii="Arial" w:hAnsi="Arial" w:cs="Arial"/>
          <w:color w:val="0E101A"/>
          <w:sz w:val="20"/>
          <w:szCs w:val="20"/>
        </w:rPr>
      </w:pPr>
      <w:r w:rsidRPr="002A52F0">
        <w:rPr>
          <w:rFonts w:ascii="Arial" w:hAnsi="Arial" w:cs="Arial"/>
          <w:color w:val="0E101A"/>
          <w:sz w:val="20"/>
          <w:szCs w:val="20"/>
        </w:rPr>
        <w:t xml:space="preserve">An exploratory laparotomy was performed through the </w:t>
      </w:r>
      <w:r w:rsidR="00185A25">
        <w:rPr>
          <w:rFonts w:ascii="Arial" w:hAnsi="Arial" w:cs="Arial"/>
          <w:color w:val="0E101A"/>
          <w:sz w:val="20"/>
          <w:szCs w:val="20"/>
        </w:rPr>
        <w:t>old</w:t>
      </w:r>
      <w:r w:rsidRPr="002A52F0">
        <w:rPr>
          <w:rFonts w:ascii="Arial" w:hAnsi="Arial" w:cs="Arial"/>
          <w:color w:val="0E101A"/>
          <w:sz w:val="20"/>
          <w:szCs w:val="20"/>
        </w:rPr>
        <w:t xml:space="preserve"> paramedian</w:t>
      </w:r>
      <w:r w:rsidR="0066752F">
        <w:rPr>
          <w:rFonts w:ascii="Arial" w:hAnsi="Arial" w:cs="Arial"/>
          <w:color w:val="0E101A"/>
          <w:sz w:val="20"/>
          <w:szCs w:val="20"/>
        </w:rPr>
        <w:t xml:space="preserve"> incision. There were extensive </w:t>
      </w:r>
      <w:r w:rsidRPr="002A52F0">
        <w:rPr>
          <w:rFonts w:ascii="Arial" w:hAnsi="Arial" w:cs="Arial"/>
          <w:color w:val="0E101A"/>
          <w:sz w:val="20"/>
          <w:szCs w:val="20"/>
        </w:rPr>
        <w:t>intra-abdominal adhesions involving the entire small bowel, as well as the ascending, transverse, and sigmoid colons. The total small bowel length was approximately 370 cm.</w:t>
      </w:r>
    </w:p>
    <w:p w14:paraId="1A3F5A92" w14:textId="67132AEC" w:rsidR="002A52F0" w:rsidRPr="002A52F0" w:rsidRDefault="002A52F0" w:rsidP="00185A25">
      <w:pPr>
        <w:pStyle w:val="NormalWeb"/>
        <w:spacing w:before="0" w:beforeAutospacing="0" w:after="0" w:afterAutospacing="0" w:line="360" w:lineRule="auto"/>
        <w:ind w:firstLine="720"/>
        <w:jc w:val="both"/>
        <w:rPr>
          <w:rFonts w:ascii="Arial" w:hAnsi="Arial" w:cs="Arial"/>
          <w:color w:val="0E101A"/>
          <w:sz w:val="20"/>
          <w:szCs w:val="20"/>
        </w:rPr>
      </w:pPr>
      <w:r w:rsidRPr="002A52F0">
        <w:rPr>
          <w:rFonts w:ascii="Arial" w:hAnsi="Arial" w:cs="Arial"/>
          <w:color w:val="0E101A"/>
          <w:sz w:val="20"/>
          <w:szCs w:val="20"/>
        </w:rPr>
        <w:t>Adhesions in the distal ile</w:t>
      </w:r>
      <w:r w:rsidR="00185A25">
        <w:rPr>
          <w:rFonts w:ascii="Arial" w:hAnsi="Arial" w:cs="Arial"/>
          <w:color w:val="0E101A"/>
          <w:sz w:val="20"/>
          <w:szCs w:val="20"/>
        </w:rPr>
        <w:t>um were dense and thick forming</w:t>
      </w:r>
      <w:r w:rsidRPr="002A52F0">
        <w:rPr>
          <w:rFonts w:ascii="Arial" w:hAnsi="Arial" w:cs="Arial"/>
          <w:color w:val="0E101A"/>
          <w:sz w:val="20"/>
          <w:szCs w:val="20"/>
        </w:rPr>
        <w:t xml:space="preserve"> an amalgamated mass involving multiple ileal loops, the cecum, ascending colon, and the mesenteric root. This amalgamated </w:t>
      </w:r>
      <w:r w:rsidR="00185A25">
        <w:rPr>
          <w:rFonts w:ascii="Arial" w:hAnsi="Arial" w:cs="Arial"/>
          <w:color w:val="0E101A"/>
          <w:sz w:val="20"/>
          <w:szCs w:val="20"/>
        </w:rPr>
        <w:t>bowel exhibited</w:t>
      </w:r>
      <w:r w:rsidRPr="002A52F0">
        <w:rPr>
          <w:rFonts w:ascii="Arial" w:hAnsi="Arial" w:cs="Arial"/>
          <w:color w:val="0E101A"/>
          <w:sz w:val="20"/>
          <w:szCs w:val="20"/>
        </w:rPr>
        <w:t xml:space="preserve"> multiple strictures with intervening areas of dilatation. One annular stricture contained silk sutures of previous anastomosis. A hard, oblong, regular enterolith measuring 6x2 cm was </w:t>
      </w:r>
      <w:r w:rsidR="00185A25">
        <w:rPr>
          <w:rFonts w:ascii="Arial" w:hAnsi="Arial" w:cs="Arial"/>
          <w:color w:val="0E101A"/>
          <w:sz w:val="20"/>
          <w:szCs w:val="20"/>
        </w:rPr>
        <w:t xml:space="preserve">discovered </w:t>
      </w:r>
      <w:r w:rsidR="006750D1">
        <w:rPr>
          <w:rFonts w:ascii="Arial" w:hAnsi="Arial" w:cs="Arial"/>
          <w:color w:val="0E101A"/>
          <w:sz w:val="20"/>
          <w:szCs w:val="20"/>
        </w:rPr>
        <w:t xml:space="preserve">in one of the dilated segments </w:t>
      </w:r>
      <w:r w:rsidR="006750D1" w:rsidRPr="006750D1">
        <w:rPr>
          <w:rFonts w:ascii="Arial" w:hAnsi="Arial" w:cs="Arial"/>
          <w:color w:val="0E101A"/>
          <w:sz w:val="20"/>
          <w:szCs w:val="20"/>
          <w:highlight w:val="cyan"/>
        </w:rPr>
        <w:t>(</w:t>
      </w:r>
      <w:r w:rsidRPr="006750D1">
        <w:rPr>
          <w:rFonts w:ascii="Arial" w:hAnsi="Arial" w:cs="Arial"/>
          <w:color w:val="0E101A"/>
          <w:sz w:val="20"/>
          <w:szCs w:val="20"/>
          <w:highlight w:val="cyan"/>
        </w:rPr>
        <w:t>Fig</w:t>
      </w:r>
      <w:r w:rsidR="006750D1" w:rsidRPr="006750D1">
        <w:rPr>
          <w:rFonts w:ascii="Arial" w:hAnsi="Arial" w:cs="Arial"/>
          <w:color w:val="0E101A"/>
          <w:sz w:val="20"/>
          <w:szCs w:val="20"/>
          <w:highlight w:val="cyan"/>
        </w:rPr>
        <w:t>. 2)</w:t>
      </w:r>
      <w:r w:rsidRPr="002A52F0">
        <w:rPr>
          <w:rFonts w:ascii="Arial" w:hAnsi="Arial" w:cs="Arial"/>
          <w:color w:val="0E101A"/>
          <w:sz w:val="20"/>
          <w:szCs w:val="20"/>
        </w:rPr>
        <w:t>.</w:t>
      </w:r>
    </w:p>
    <w:p w14:paraId="0B824F6F" w14:textId="77777777" w:rsidR="002A52F0" w:rsidRPr="002A52F0" w:rsidRDefault="002A52F0" w:rsidP="00D41F54">
      <w:pPr>
        <w:pStyle w:val="NormalWeb"/>
        <w:spacing w:before="0" w:beforeAutospacing="0" w:after="0" w:afterAutospacing="0" w:line="360" w:lineRule="auto"/>
        <w:jc w:val="center"/>
        <w:rPr>
          <w:rFonts w:ascii="Arial" w:hAnsi="Arial" w:cs="Arial"/>
          <w:color w:val="0E101A"/>
          <w:sz w:val="20"/>
          <w:szCs w:val="20"/>
        </w:rPr>
      </w:pPr>
      <w:r w:rsidRPr="002A52F0">
        <w:rPr>
          <w:rFonts w:ascii="Arial" w:hAnsi="Arial" w:cs="Arial"/>
          <w:noProof/>
          <w:sz w:val="20"/>
          <w:szCs w:val="20"/>
        </w:rPr>
        <w:drawing>
          <wp:inline distT="0" distB="0" distL="0" distR="0" wp14:anchorId="3F45DF7E" wp14:editId="769BAE93">
            <wp:extent cx="2752242" cy="2664210"/>
            <wp:effectExtent l="19050" t="19050" r="10160" b="22225"/>
            <wp:docPr id="4" name="Picture 4" descr="C:\Users\Pc\AppData\Local\Packages\5319275A.WhatsAppDesktop_cv1g1gvanyjgm\TempState\60795897BE66B790CD7FACBE9394CBCE\WhatsApp Image 2025-10-26 at 16.21.15_48941f0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AppData\Local\Packages\5319275A.WhatsAppDesktop_cv1g1gvanyjgm\TempState\60795897BE66B790CD7FACBE9394CBCE\WhatsApp Image 2025-10-26 at 16.21.15_48941f0c.jpg"/>
                    <pic:cNvPicPr>
                      <a:picLocks noChangeAspect="1" noChangeArrowheads="1"/>
                    </pic:cNvPicPr>
                  </pic:nvPicPr>
                  <pic:blipFill>
                    <a:blip r:embed="rId8" cstate="print">
                      <a:extLst>
                        <a:ext uri="{BEBA8EAE-BF5A-486C-A8C5-ECC9F3942E4B}">
                          <a14:imgProps xmlns:a14="http://schemas.microsoft.com/office/drawing/2010/main">
                            <a14:imgLayer r:embed="rId9">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767543" cy="2679021"/>
                    </a:xfrm>
                    <a:prstGeom prst="rect">
                      <a:avLst/>
                    </a:prstGeom>
                    <a:noFill/>
                    <a:ln w="12700">
                      <a:solidFill>
                        <a:schemeClr val="tx1"/>
                      </a:solidFill>
                    </a:ln>
                  </pic:spPr>
                </pic:pic>
              </a:graphicData>
            </a:graphic>
          </wp:inline>
        </w:drawing>
      </w:r>
    </w:p>
    <w:p w14:paraId="212E183D" w14:textId="26EE092C" w:rsidR="002A52F0" w:rsidRPr="002A52F0" w:rsidRDefault="006750D1" w:rsidP="00D41F54">
      <w:pPr>
        <w:pStyle w:val="NormalWeb"/>
        <w:spacing w:before="0" w:beforeAutospacing="0" w:after="0" w:afterAutospacing="0" w:line="360" w:lineRule="auto"/>
        <w:jc w:val="center"/>
        <w:rPr>
          <w:rFonts w:ascii="Arial" w:hAnsi="Arial" w:cs="Arial"/>
          <w:color w:val="0E101A"/>
          <w:sz w:val="20"/>
          <w:szCs w:val="20"/>
        </w:rPr>
      </w:pPr>
      <w:r w:rsidRPr="006750D1">
        <w:rPr>
          <w:rFonts w:ascii="Arial" w:hAnsi="Arial" w:cs="Arial"/>
          <w:color w:val="0E101A"/>
          <w:sz w:val="20"/>
          <w:szCs w:val="20"/>
          <w:highlight w:val="cyan"/>
        </w:rPr>
        <w:t>Fig. 2.</w:t>
      </w:r>
      <w:r>
        <w:rPr>
          <w:rFonts w:ascii="Arial" w:hAnsi="Arial" w:cs="Arial"/>
          <w:color w:val="0E101A"/>
          <w:sz w:val="20"/>
          <w:szCs w:val="20"/>
        </w:rPr>
        <w:t xml:space="preserve"> </w:t>
      </w:r>
      <w:r w:rsidR="002A52F0" w:rsidRPr="002A52F0">
        <w:rPr>
          <w:rFonts w:ascii="Arial" w:hAnsi="Arial" w:cs="Arial"/>
          <w:color w:val="0E101A"/>
          <w:sz w:val="20"/>
          <w:szCs w:val="20"/>
        </w:rPr>
        <w:t>The retrieved enterolith</w:t>
      </w:r>
    </w:p>
    <w:p w14:paraId="00649782" w14:textId="519AD97D" w:rsidR="002A52F0" w:rsidRPr="002A52F0" w:rsidRDefault="00421ED8" w:rsidP="0066752F">
      <w:pPr>
        <w:pStyle w:val="NormalWeb"/>
        <w:spacing w:before="0" w:beforeAutospacing="0" w:after="0" w:afterAutospacing="0" w:line="360" w:lineRule="auto"/>
        <w:ind w:firstLine="720"/>
        <w:jc w:val="both"/>
        <w:rPr>
          <w:rFonts w:ascii="Arial" w:hAnsi="Arial" w:cs="Arial"/>
          <w:color w:val="0E101A"/>
          <w:sz w:val="20"/>
          <w:szCs w:val="20"/>
        </w:rPr>
      </w:pPr>
      <w:r>
        <w:rPr>
          <w:rFonts w:ascii="Arial" w:hAnsi="Arial" w:cs="Arial"/>
          <w:color w:val="0F1115"/>
          <w:sz w:val="20"/>
          <w:szCs w:val="20"/>
          <w:shd w:val="clear" w:color="auto" w:fill="FFFFFF"/>
        </w:rPr>
        <w:t>The most distal 20</w:t>
      </w:r>
      <w:r w:rsidR="00185A25">
        <w:rPr>
          <w:rFonts w:ascii="Arial" w:hAnsi="Arial" w:cs="Arial"/>
          <w:color w:val="0F1115"/>
          <w:sz w:val="20"/>
          <w:szCs w:val="20"/>
          <w:shd w:val="clear" w:color="auto" w:fill="FFFFFF"/>
        </w:rPr>
        <w:t>-</w:t>
      </w:r>
      <w:r w:rsidR="002A52F0" w:rsidRPr="002A52F0">
        <w:rPr>
          <w:rFonts w:ascii="Arial" w:hAnsi="Arial" w:cs="Arial"/>
          <w:color w:val="0F1115"/>
          <w:sz w:val="20"/>
          <w:szCs w:val="20"/>
          <w:shd w:val="clear" w:color="auto" w:fill="FFFFFF"/>
        </w:rPr>
        <w:t>cm of the ileum was free</w:t>
      </w:r>
      <w:r w:rsidR="0066752F">
        <w:rPr>
          <w:rFonts w:ascii="Arial" w:hAnsi="Arial" w:cs="Arial"/>
          <w:color w:val="0F1115"/>
          <w:sz w:val="20"/>
          <w:szCs w:val="20"/>
          <w:shd w:val="clear" w:color="auto" w:fill="FFFFFF"/>
        </w:rPr>
        <w:t>d</w:t>
      </w:r>
      <w:r w:rsidR="002A52F0" w:rsidRPr="002A52F0">
        <w:rPr>
          <w:rFonts w:ascii="Arial" w:hAnsi="Arial" w:cs="Arial"/>
          <w:color w:val="0F1115"/>
          <w:sz w:val="20"/>
          <w:szCs w:val="20"/>
          <w:shd w:val="clear" w:color="auto" w:fill="FFFFFF"/>
        </w:rPr>
        <w:t xml:space="preserve"> </w:t>
      </w:r>
      <w:r w:rsidR="0066752F">
        <w:rPr>
          <w:rFonts w:ascii="Arial" w:hAnsi="Arial" w:cs="Arial"/>
          <w:color w:val="0F1115"/>
          <w:sz w:val="20"/>
          <w:szCs w:val="20"/>
          <w:shd w:val="clear" w:color="auto" w:fill="FFFFFF"/>
        </w:rPr>
        <w:t>while</w:t>
      </w:r>
      <w:r>
        <w:rPr>
          <w:rFonts w:ascii="Arial" w:hAnsi="Arial" w:cs="Arial"/>
          <w:color w:val="0F1115"/>
          <w:sz w:val="20"/>
          <w:szCs w:val="20"/>
          <w:shd w:val="clear" w:color="auto" w:fill="FFFFFF"/>
        </w:rPr>
        <w:t>, the 50-</w:t>
      </w:r>
      <w:r w:rsidR="002A52F0" w:rsidRPr="002A52F0">
        <w:rPr>
          <w:rFonts w:ascii="Arial" w:hAnsi="Arial" w:cs="Arial"/>
          <w:color w:val="0F1115"/>
          <w:sz w:val="20"/>
          <w:szCs w:val="20"/>
          <w:shd w:val="clear" w:color="auto" w:fill="FFFFFF"/>
        </w:rPr>
        <w:t xml:space="preserve">cm segment just proximal to it was resected, as it contained multiple strictures and had sustained several enterotomies during </w:t>
      </w:r>
      <w:proofErr w:type="spellStart"/>
      <w:r w:rsidR="002A52F0" w:rsidRPr="002A52F0">
        <w:rPr>
          <w:rFonts w:ascii="Arial" w:hAnsi="Arial" w:cs="Arial"/>
          <w:color w:val="0F1115"/>
          <w:sz w:val="20"/>
          <w:szCs w:val="20"/>
          <w:shd w:val="clear" w:color="auto" w:fill="FFFFFF"/>
        </w:rPr>
        <w:t>adhesiolysis</w:t>
      </w:r>
      <w:proofErr w:type="spellEnd"/>
      <w:r w:rsidR="002A52F0" w:rsidRPr="002A52F0">
        <w:rPr>
          <w:rFonts w:ascii="Arial" w:hAnsi="Arial" w:cs="Arial"/>
          <w:color w:val="0F1115"/>
          <w:sz w:val="20"/>
          <w:szCs w:val="20"/>
          <w:shd w:val="clear" w:color="auto" w:fill="FFFFFF"/>
        </w:rPr>
        <w:t xml:space="preserve">. </w:t>
      </w:r>
      <w:r w:rsidR="002A52F0" w:rsidRPr="002A52F0">
        <w:rPr>
          <w:rFonts w:ascii="Arial" w:hAnsi="Arial" w:cs="Arial"/>
          <w:color w:val="0E101A"/>
          <w:sz w:val="20"/>
          <w:szCs w:val="20"/>
        </w:rPr>
        <w:t>A primary end-to-end anastomosis was performed and two seromuscular tears in the ascending and transverse colon were repaired. A short jejunal stricture 14 cm from the duodenojejunal flexure was managed with stricturoplasty. The remaining small bowel measured 320 cm long. The operative time was 280 minutes.</w:t>
      </w:r>
    </w:p>
    <w:p w14:paraId="2E15044F" w14:textId="5D25D875" w:rsidR="002A52F0" w:rsidRPr="002A52F0" w:rsidRDefault="002A52F0" w:rsidP="00D41F54">
      <w:pPr>
        <w:pStyle w:val="NormalWeb"/>
        <w:spacing w:before="0" w:beforeAutospacing="0" w:after="0" w:afterAutospacing="0" w:line="360" w:lineRule="auto"/>
        <w:ind w:firstLine="720"/>
        <w:jc w:val="both"/>
        <w:rPr>
          <w:rFonts w:ascii="Arial" w:hAnsi="Arial" w:cs="Arial"/>
          <w:color w:val="0E101A"/>
          <w:sz w:val="20"/>
          <w:szCs w:val="20"/>
        </w:rPr>
      </w:pPr>
      <w:r w:rsidRPr="002A52F0">
        <w:rPr>
          <w:rFonts w:ascii="Arial" w:hAnsi="Arial" w:cs="Arial"/>
          <w:color w:val="0E101A"/>
          <w:sz w:val="20"/>
          <w:szCs w:val="20"/>
        </w:rPr>
        <w:t>The postoperative course was uneventful. The patient resumed oral fluids on postoperative day (POD) 1, and semi-solid diet on POD 2. Bowel motion returned on POD 2, and the abdominal drain was removed on POD 3. All laboratory parameters remained within normal limits, and the PO hospital length of stay (LOS) was 4</w:t>
      </w:r>
      <w:r w:rsidR="00196386">
        <w:rPr>
          <w:rFonts w:ascii="Arial" w:hAnsi="Arial" w:cs="Arial"/>
          <w:color w:val="0E101A"/>
          <w:sz w:val="20"/>
          <w:szCs w:val="20"/>
        </w:rPr>
        <w:t xml:space="preserve"> </w:t>
      </w:r>
      <w:r w:rsidR="00196386" w:rsidRPr="00196386">
        <w:rPr>
          <w:rFonts w:ascii="Arial" w:hAnsi="Arial" w:cs="Arial"/>
          <w:color w:val="0E101A"/>
          <w:sz w:val="20"/>
          <w:szCs w:val="20"/>
          <w:highlight w:val="cyan"/>
        </w:rPr>
        <w:t>days</w:t>
      </w:r>
      <w:r w:rsidRPr="002A52F0">
        <w:rPr>
          <w:rFonts w:ascii="Arial" w:hAnsi="Arial" w:cs="Arial"/>
          <w:color w:val="0E101A"/>
          <w:sz w:val="20"/>
          <w:szCs w:val="20"/>
        </w:rPr>
        <w:t>.</w:t>
      </w:r>
    </w:p>
    <w:p w14:paraId="7753195F" w14:textId="77777777" w:rsidR="002A52F0" w:rsidRPr="002A52F0" w:rsidRDefault="002A52F0" w:rsidP="00D41F54">
      <w:pPr>
        <w:pStyle w:val="NormalWeb"/>
        <w:spacing w:before="0" w:beforeAutospacing="0" w:after="0" w:afterAutospacing="0" w:line="360" w:lineRule="auto"/>
        <w:ind w:firstLine="720"/>
        <w:jc w:val="both"/>
        <w:rPr>
          <w:rFonts w:ascii="Arial" w:hAnsi="Arial" w:cs="Arial"/>
          <w:color w:val="0E101A"/>
          <w:sz w:val="20"/>
          <w:szCs w:val="20"/>
        </w:rPr>
      </w:pPr>
      <w:r w:rsidRPr="002A52F0">
        <w:rPr>
          <w:rFonts w:ascii="Arial" w:hAnsi="Arial" w:cs="Arial"/>
          <w:color w:val="0E101A"/>
          <w:sz w:val="20"/>
          <w:szCs w:val="20"/>
        </w:rPr>
        <w:t xml:space="preserve">Starting from POD 5, the patient developed diarrhea, with 4-5 loose stools per day. After pathological confirmation of the diagnosis of CD, medical therapy was initiated, consisting of Mesalamine </w:t>
      </w:r>
      <w:r w:rsidRPr="002A52F0">
        <w:rPr>
          <w:rFonts w:ascii="Arial" w:hAnsi="Arial" w:cs="Arial"/>
          <w:color w:val="0E101A"/>
          <w:sz w:val="20"/>
          <w:szCs w:val="20"/>
        </w:rPr>
        <w:lastRenderedPageBreak/>
        <w:t>(400 mg every 6 hours), Prednisolone (20 mg every 12 hours), Pantoprazole (40 mg every 24 hours), and Ciprofloxacin/Metronidazole (500/500 mg every 12 hours), to which the patient responded well.</w:t>
      </w:r>
    </w:p>
    <w:p w14:paraId="4A015576" w14:textId="77777777" w:rsidR="002A52F0" w:rsidRPr="0024307A" w:rsidRDefault="002A52F0" w:rsidP="0024307A">
      <w:pPr>
        <w:pStyle w:val="NormalWeb"/>
        <w:spacing w:before="0" w:beforeAutospacing="0" w:after="0" w:afterAutospacing="0" w:line="360" w:lineRule="auto"/>
        <w:rPr>
          <w:rStyle w:val="Emphasis"/>
          <w:rFonts w:ascii="Arial" w:hAnsi="Arial" w:cs="Arial"/>
          <w:color w:val="0E101A"/>
          <w:sz w:val="22"/>
          <w:szCs w:val="22"/>
        </w:rPr>
      </w:pPr>
      <w:r w:rsidRPr="0024307A">
        <w:rPr>
          <w:rStyle w:val="Emphasis"/>
          <w:rFonts w:ascii="Arial" w:hAnsi="Arial" w:cs="Arial"/>
          <w:color w:val="0E101A"/>
          <w:sz w:val="22"/>
          <w:szCs w:val="22"/>
        </w:rPr>
        <w:t>Pathological Findings</w:t>
      </w:r>
    </w:p>
    <w:p w14:paraId="303864C3" w14:textId="06B0FC0B" w:rsidR="002A52F0" w:rsidRPr="002A52F0" w:rsidRDefault="002A52F0" w:rsidP="00421ED8">
      <w:pPr>
        <w:pStyle w:val="NormalWeb"/>
        <w:spacing w:before="0" w:beforeAutospacing="0" w:after="0" w:afterAutospacing="0" w:line="360" w:lineRule="auto"/>
        <w:ind w:firstLine="720"/>
        <w:jc w:val="both"/>
        <w:rPr>
          <w:rFonts w:ascii="Arial" w:hAnsi="Arial" w:cs="Arial"/>
          <w:color w:val="0E101A"/>
          <w:sz w:val="20"/>
          <w:szCs w:val="20"/>
        </w:rPr>
      </w:pPr>
      <w:r w:rsidRPr="002A52F0">
        <w:rPr>
          <w:rFonts w:ascii="Arial" w:hAnsi="Arial" w:cs="Arial"/>
          <w:color w:val="0E101A"/>
          <w:sz w:val="20"/>
          <w:szCs w:val="20"/>
        </w:rPr>
        <w:t xml:space="preserve">Gross examination revealed a 50 cm long amalgamated bowel loops with multiple strictures </w:t>
      </w:r>
      <w:r w:rsidR="00421ED8">
        <w:rPr>
          <w:rFonts w:ascii="Arial" w:hAnsi="Arial" w:cs="Arial"/>
          <w:color w:val="0E101A"/>
          <w:sz w:val="20"/>
          <w:szCs w:val="20"/>
        </w:rPr>
        <w:t xml:space="preserve">and </w:t>
      </w:r>
      <w:r w:rsidRPr="002A52F0">
        <w:rPr>
          <w:rFonts w:ascii="Arial" w:hAnsi="Arial" w:cs="Arial"/>
          <w:color w:val="0E101A"/>
          <w:sz w:val="20"/>
          <w:szCs w:val="20"/>
        </w:rPr>
        <w:t xml:space="preserve">intervening dilatation. The mucosal surface appeared grossly normal; however, the bowel wall was thickened and fibrotic. The mesentery </w:t>
      </w:r>
      <w:r w:rsidR="00211A90">
        <w:rPr>
          <w:rFonts w:ascii="Arial" w:hAnsi="Arial" w:cs="Arial"/>
          <w:color w:val="0E101A"/>
          <w:sz w:val="20"/>
          <w:szCs w:val="20"/>
        </w:rPr>
        <w:t xml:space="preserve">was </w:t>
      </w:r>
      <w:r w:rsidRPr="002A52F0">
        <w:rPr>
          <w:rFonts w:ascii="Arial" w:hAnsi="Arial" w:cs="Arial"/>
          <w:color w:val="0E101A"/>
          <w:sz w:val="20"/>
          <w:szCs w:val="20"/>
        </w:rPr>
        <w:t xml:space="preserve">thickened with multiple enlarged mesenteric lymph nodes. Microscopic examination demonstrated areas of focal deep ulcerations, dense mucosal inflammation, and </w:t>
      </w:r>
      <w:proofErr w:type="spellStart"/>
      <w:r w:rsidRPr="002A52F0">
        <w:rPr>
          <w:rFonts w:ascii="Arial" w:hAnsi="Arial" w:cs="Arial"/>
          <w:color w:val="0E101A"/>
          <w:sz w:val="20"/>
          <w:szCs w:val="20"/>
        </w:rPr>
        <w:t>pseudopyloric</w:t>
      </w:r>
      <w:proofErr w:type="spellEnd"/>
      <w:r w:rsidRPr="002A52F0">
        <w:rPr>
          <w:rFonts w:ascii="Arial" w:hAnsi="Arial" w:cs="Arial"/>
          <w:color w:val="0E101A"/>
          <w:sz w:val="20"/>
          <w:szCs w:val="20"/>
        </w:rPr>
        <w:t xml:space="preserve"> metaplasia. The submucosa showed hypertrophy of the muscularis mucosae, large non-caseating granulomas, with multiple multinucleated giant cells and lymphoid follicles. The </w:t>
      </w:r>
      <w:r w:rsidR="00421ED8">
        <w:rPr>
          <w:rFonts w:ascii="Arial" w:hAnsi="Arial" w:cs="Arial"/>
          <w:color w:val="0E101A"/>
          <w:sz w:val="20"/>
          <w:szCs w:val="20"/>
        </w:rPr>
        <w:t>fibro-</w:t>
      </w:r>
      <w:r w:rsidRPr="002A52F0">
        <w:rPr>
          <w:rFonts w:ascii="Arial" w:hAnsi="Arial" w:cs="Arial"/>
          <w:color w:val="0E101A"/>
          <w:sz w:val="20"/>
          <w:szCs w:val="20"/>
        </w:rPr>
        <w:t>inflammatory process involved all layers of the bowel wall. The mesenteric lymph nodes exhibited reactive changes. The pathological diagnosis was chroni</w:t>
      </w:r>
      <w:r w:rsidR="006750D1">
        <w:rPr>
          <w:rFonts w:ascii="Arial" w:hAnsi="Arial" w:cs="Arial"/>
          <w:color w:val="0E101A"/>
          <w:sz w:val="20"/>
          <w:szCs w:val="20"/>
        </w:rPr>
        <w:t xml:space="preserve">c stricturing ileal CD </w:t>
      </w:r>
      <w:r w:rsidR="006750D1" w:rsidRPr="006750D1">
        <w:rPr>
          <w:rFonts w:ascii="Arial" w:hAnsi="Arial" w:cs="Arial"/>
          <w:color w:val="0E101A"/>
          <w:sz w:val="20"/>
          <w:szCs w:val="20"/>
          <w:highlight w:val="cyan"/>
        </w:rPr>
        <w:t>(Fig. 3-5)</w:t>
      </w:r>
      <w:r w:rsidR="00421ED8">
        <w:rPr>
          <w:rFonts w:ascii="Arial" w:hAnsi="Arial" w:cs="Arial"/>
          <w:color w:val="0E101A"/>
          <w:sz w:val="20"/>
          <w:szCs w:val="20"/>
        </w:rPr>
        <w:t xml:space="preserve">. Chemical analysis of the </w:t>
      </w:r>
      <w:r w:rsidRPr="002A52F0">
        <w:rPr>
          <w:rFonts w:ascii="Arial" w:hAnsi="Arial" w:cs="Arial"/>
          <w:color w:val="0E101A"/>
          <w:sz w:val="20"/>
          <w:szCs w:val="20"/>
        </w:rPr>
        <w:t>stone identified it as a primary enterolith, composed of calcium oxalate, uric acid, with traces of bile pigment and organic material.</w:t>
      </w:r>
    </w:p>
    <w:p w14:paraId="7E7E5EF5" w14:textId="77777777" w:rsidR="002A52F0" w:rsidRDefault="002A52F0" w:rsidP="00D41F54">
      <w:pPr>
        <w:spacing w:line="360" w:lineRule="auto"/>
        <w:jc w:val="center"/>
        <w:rPr>
          <w:rFonts w:ascii="Arial" w:hAnsi="Arial" w:cs="Arial"/>
          <w:sz w:val="20"/>
          <w:szCs w:val="20"/>
          <w:lang w:bidi="ar-EG"/>
        </w:rPr>
      </w:pPr>
      <w:r w:rsidRPr="002A52F0">
        <w:rPr>
          <w:rFonts w:ascii="Arial" w:hAnsi="Arial" w:cs="Arial"/>
          <w:noProof/>
          <w:sz w:val="20"/>
          <w:szCs w:val="20"/>
        </w:rPr>
        <w:drawing>
          <wp:inline distT="0" distB="0" distL="0" distR="0" wp14:anchorId="4D853A62" wp14:editId="16C38440">
            <wp:extent cx="3106255" cy="2329732"/>
            <wp:effectExtent l="0" t="0" r="0" b="0"/>
            <wp:docPr id="6" name="Picture 6" descr="E:\Research\Ch Small Bowel Obstruction\Paper\Pathology M Sherie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Research\Ch Small Bowel Obstruction\Paper\Pathology M Sherief\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09521" cy="2332182"/>
                    </a:xfrm>
                    <a:prstGeom prst="rect">
                      <a:avLst/>
                    </a:prstGeom>
                    <a:noFill/>
                    <a:ln>
                      <a:noFill/>
                    </a:ln>
                  </pic:spPr>
                </pic:pic>
              </a:graphicData>
            </a:graphic>
          </wp:inline>
        </w:drawing>
      </w:r>
    </w:p>
    <w:p w14:paraId="136872F0" w14:textId="417717AF" w:rsidR="00B93F15" w:rsidRPr="002A52F0" w:rsidRDefault="006750D1" w:rsidP="00AE148F">
      <w:pPr>
        <w:spacing w:line="360" w:lineRule="auto"/>
        <w:jc w:val="center"/>
        <w:rPr>
          <w:rFonts w:ascii="Arial" w:hAnsi="Arial" w:cs="Arial"/>
          <w:sz w:val="20"/>
          <w:szCs w:val="20"/>
          <w:lang w:bidi="ar-EG"/>
        </w:rPr>
      </w:pPr>
      <w:r w:rsidRPr="006750D1">
        <w:rPr>
          <w:rFonts w:ascii="Arial" w:hAnsi="Arial" w:cs="Arial"/>
          <w:sz w:val="20"/>
          <w:szCs w:val="20"/>
          <w:highlight w:val="cyan"/>
          <w:lang w:bidi="ar-EG"/>
        </w:rPr>
        <w:t>Fig. 3.</w:t>
      </w:r>
      <w:r w:rsidR="00B93F15" w:rsidRPr="002A52F0">
        <w:rPr>
          <w:rFonts w:ascii="Arial" w:hAnsi="Arial" w:cs="Arial"/>
          <w:sz w:val="20"/>
          <w:szCs w:val="20"/>
          <w:lang w:bidi="ar-EG"/>
        </w:rPr>
        <w:t xml:space="preserve"> Photomicrograph showing submucosa with a defined epithelioid granuloma [arrows] and neural hypertrophy [asterisk], with many eosinophils in the background infiltrate (H&amp;E, X100)</w:t>
      </w:r>
    </w:p>
    <w:p w14:paraId="7C5992FA" w14:textId="77777777" w:rsidR="00B93F15" w:rsidRPr="002A52F0" w:rsidRDefault="00B93F15" w:rsidP="00D41F54">
      <w:pPr>
        <w:spacing w:line="360" w:lineRule="auto"/>
        <w:jc w:val="center"/>
        <w:rPr>
          <w:rFonts w:ascii="Arial" w:hAnsi="Arial" w:cs="Arial"/>
          <w:sz w:val="20"/>
          <w:szCs w:val="20"/>
          <w:lang w:bidi="ar-EG"/>
        </w:rPr>
      </w:pPr>
    </w:p>
    <w:p w14:paraId="1C5F06D5" w14:textId="77777777" w:rsidR="002A52F0" w:rsidRDefault="002A52F0" w:rsidP="00AE148F">
      <w:pPr>
        <w:spacing w:line="360" w:lineRule="auto"/>
        <w:jc w:val="center"/>
        <w:rPr>
          <w:rFonts w:ascii="Arial" w:hAnsi="Arial" w:cs="Arial"/>
          <w:sz w:val="20"/>
          <w:szCs w:val="20"/>
          <w:lang w:bidi="ar-EG"/>
        </w:rPr>
      </w:pPr>
      <w:r w:rsidRPr="002A52F0">
        <w:rPr>
          <w:rFonts w:ascii="Arial" w:hAnsi="Arial" w:cs="Arial"/>
          <w:noProof/>
          <w:sz w:val="20"/>
          <w:szCs w:val="20"/>
        </w:rPr>
        <w:lastRenderedPageBreak/>
        <w:drawing>
          <wp:inline distT="0" distB="0" distL="0" distR="0" wp14:anchorId="09BE9147" wp14:editId="740944B0">
            <wp:extent cx="3127462" cy="2345635"/>
            <wp:effectExtent l="0" t="0" r="0" b="0"/>
            <wp:docPr id="8" name="Picture 8" descr="E:\Research\Ch Small Bowel Obstruction\Paper\Pathology M Sherief\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Research\Ch Small Bowel Obstruction\Paper\Pathology M Sherief\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30643" cy="2348021"/>
                    </a:xfrm>
                    <a:prstGeom prst="rect">
                      <a:avLst/>
                    </a:prstGeom>
                    <a:noFill/>
                    <a:ln>
                      <a:noFill/>
                    </a:ln>
                  </pic:spPr>
                </pic:pic>
              </a:graphicData>
            </a:graphic>
          </wp:inline>
        </w:drawing>
      </w:r>
    </w:p>
    <w:p w14:paraId="10093CAE" w14:textId="0CA4A8E4" w:rsidR="00B93F15" w:rsidRPr="002A52F0" w:rsidRDefault="006750D1" w:rsidP="00AE148F">
      <w:pPr>
        <w:spacing w:line="360" w:lineRule="auto"/>
        <w:jc w:val="center"/>
        <w:rPr>
          <w:rFonts w:ascii="Arial" w:hAnsi="Arial" w:cs="Arial"/>
          <w:sz w:val="20"/>
          <w:szCs w:val="20"/>
          <w:lang w:bidi="ar-EG"/>
        </w:rPr>
      </w:pPr>
      <w:r w:rsidRPr="006750D1">
        <w:rPr>
          <w:rFonts w:ascii="Arial" w:hAnsi="Arial" w:cs="Arial"/>
          <w:sz w:val="20"/>
          <w:szCs w:val="20"/>
          <w:highlight w:val="cyan"/>
          <w:lang w:bidi="ar-EG"/>
        </w:rPr>
        <w:t>Fig. 4</w:t>
      </w:r>
      <w:r>
        <w:rPr>
          <w:rFonts w:ascii="Arial" w:hAnsi="Arial" w:cs="Arial"/>
          <w:sz w:val="20"/>
          <w:szCs w:val="20"/>
          <w:lang w:bidi="ar-EG"/>
        </w:rPr>
        <w:t>.</w:t>
      </w:r>
      <w:r w:rsidR="00B93F15" w:rsidRPr="002A52F0">
        <w:rPr>
          <w:rFonts w:ascii="Arial" w:hAnsi="Arial" w:cs="Arial"/>
          <w:sz w:val="20"/>
          <w:szCs w:val="20"/>
          <w:lang w:bidi="ar-EG"/>
        </w:rPr>
        <w:t xml:space="preserve"> Higher power photomicrog</w:t>
      </w:r>
      <w:r>
        <w:rPr>
          <w:rFonts w:ascii="Arial" w:hAnsi="Arial" w:cs="Arial"/>
          <w:sz w:val="20"/>
          <w:szCs w:val="20"/>
          <w:lang w:bidi="ar-EG"/>
        </w:rPr>
        <w:t xml:space="preserve">raph from photomicrograph in </w:t>
      </w:r>
      <w:r w:rsidRPr="006750D1">
        <w:rPr>
          <w:rFonts w:ascii="Arial" w:hAnsi="Arial" w:cs="Arial"/>
          <w:sz w:val="20"/>
          <w:szCs w:val="20"/>
          <w:highlight w:val="cyan"/>
          <w:lang w:bidi="ar-EG"/>
        </w:rPr>
        <w:t>Fig. 3</w:t>
      </w:r>
      <w:r w:rsidR="00B93F15" w:rsidRPr="006750D1">
        <w:rPr>
          <w:rFonts w:ascii="Arial" w:hAnsi="Arial" w:cs="Arial"/>
          <w:sz w:val="20"/>
          <w:szCs w:val="20"/>
          <w:highlight w:val="cyan"/>
          <w:lang w:bidi="ar-EG"/>
        </w:rPr>
        <w:t>,</w:t>
      </w:r>
      <w:r w:rsidR="00B93F15" w:rsidRPr="002A52F0">
        <w:rPr>
          <w:rFonts w:ascii="Arial" w:hAnsi="Arial" w:cs="Arial"/>
          <w:sz w:val="20"/>
          <w:szCs w:val="20"/>
          <w:lang w:bidi="ar-EG"/>
        </w:rPr>
        <w:t xml:space="preserve"> </w:t>
      </w:r>
      <w:r>
        <w:rPr>
          <w:rFonts w:ascii="Arial" w:hAnsi="Arial" w:cs="Arial"/>
          <w:sz w:val="20"/>
          <w:szCs w:val="20"/>
          <w:lang w:bidi="ar-EG"/>
        </w:rPr>
        <w:t>showing</w:t>
      </w:r>
      <w:r w:rsidR="00B93F15" w:rsidRPr="002A52F0">
        <w:rPr>
          <w:rFonts w:ascii="Arial" w:hAnsi="Arial" w:cs="Arial"/>
          <w:sz w:val="20"/>
          <w:szCs w:val="20"/>
          <w:lang w:bidi="ar-EG"/>
        </w:rPr>
        <w:t xml:space="preserve"> the granuloma [arrows] and neural hypertrophy [arrow heads] (H&amp;E, X250)</w:t>
      </w:r>
    </w:p>
    <w:p w14:paraId="16F354CF" w14:textId="77777777" w:rsidR="00B93F15" w:rsidRPr="002A52F0" w:rsidRDefault="00B93F15" w:rsidP="00D41F54">
      <w:pPr>
        <w:spacing w:line="360" w:lineRule="auto"/>
        <w:jc w:val="center"/>
        <w:rPr>
          <w:rFonts w:ascii="Arial" w:hAnsi="Arial" w:cs="Arial"/>
          <w:sz w:val="20"/>
          <w:szCs w:val="20"/>
          <w:lang w:bidi="ar-EG"/>
        </w:rPr>
      </w:pPr>
    </w:p>
    <w:p w14:paraId="0125E7A4" w14:textId="77777777" w:rsidR="002A52F0" w:rsidRPr="002A52F0" w:rsidRDefault="002A52F0" w:rsidP="00D41F54">
      <w:pPr>
        <w:spacing w:line="360" w:lineRule="auto"/>
        <w:jc w:val="center"/>
        <w:rPr>
          <w:rFonts w:ascii="Arial" w:hAnsi="Arial" w:cs="Arial"/>
          <w:sz w:val="20"/>
          <w:szCs w:val="20"/>
          <w:lang w:bidi="ar-EG"/>
        </w:rPr>
      </w:pPr>
      <w:r w:rsidRPr="002A52F0">
        <w:rPr>
          <w:rFonts w:ascii="Arial" w:hAnsi="Arial" w:cs="Arial"/>
          <w:noProof/>
          <w:sz w:val="20"/>
          <w:szCs w:val="20"/>
        </w:rPr>
        <w:drawing>
          <wp:inline distT="0" distB="0" distL="0" distR="0" wp14:anchorId="71C0CA5F" wp14:editId="0874BC0C">
            <wp:extent cx="3159264" cy="2369489"/>
            <wp:effectExtent l="0" t="0" r="3175" b="0"/>
            <wp:docPr id="9" name="Picture 9" descr="E:\Research\Ch Small Bowel Obstruction\Paper\Pathology M Sherief\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Research\Ch Small Bowel Obstruction\Paper\Pathology M Sherief\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66883" cy="2375204"/>
                    </a:xfrm>
                    <a:prstGeom prst="rect">
                      <a:avLst/>
                    </a:prstGeom>
                    <a:noFill/>
                    <a:ln>
                      <a:noFill/>
                    </a:ln>
                  </pic:spPr>
                </pic:pic>
              </a:graphicData>
            </a:graphic>
          </wp:inline>
        </w:drawing>
      </w:r>
    </w:p>
    <w:p w14:paraId="1B0224E8" w14:textId="5639857D" w:rsidR="00B93F15" w:rsidRPr="002A52F0" w:rsidRDefault="006750D1" w:rsidP="00AE148F">
      <w:pPr>
        <w:spacing w:line="360" w:lineRule="auto"/>
        <w:jc w:val="center"/>
        <w:rPr>
          <w:rFonts w:ascii="Arial" w:hAnsi="Arial" w:cs="Arial"/>
          <w:sz w:val="20"/>
          <w:szCs w:val="20"/>
          <w:lang w:bidi="ar-EG"/>
        </w:rPr>
      </w:pPr>
      <w:r w:rsidRPr="006750D1">
        <w:rPr>
          <w:rFonts w:ascii="Arial" w:hAnsi="Arial" w:cs="Arial"/>
          <w:sz w:val="20"/>
          <w:szCs w:val="20"/>
          <w:highlight w:val="cyan"/>
          <w:lang w:bidi="ar-EG"/>
        </w:rPr>
        <w:t>Fig.5.</w:t>
      </w:r>
      <w:r w:rsidR="00B93F15" w:rsidRPr="002A52F0">
        <w:rPr>
          <w:rFonts w:ascii="Arial" w:hAnsi="Arial" w:cs="Arial"/>
          <w:sz w:val="20"/>
          <w:szCs w:val="20"/>
          <w:lang w:bidi="ar-EG"/>
        </w:rPr>
        <w:t xml:space="preserve"> Photomicrograph showing ulceration [arrow heads] with adjacent </w:t>
      </w:r>
      <w:proofErr w:type="spellStart"/>
      <w:r w:rsidR="00B93F15" w:rsidRPr="002A52F0">
        <w:rPr>
          <w:rFonts w:ascii="Arial" w:hAnsi="Arial" w:cs="Arial"/>
          <w:sz w:val="20"/>
          <w:szCs w:val="20"/>
          <w:lang w:bidi="ar-EG"/>
        </w:rPr>
        <w:t>pseudopyloric</w:t>
      </w:r>
      <w:proofErr w:type="spellEnd"/>
      <w:r w:rsidR="00B93F15" w:rsidRPr="002A52F0">
        <w:rPr>
          <w:rFonts w:ascii="Arial" w:hAnsi="Arial" w:cs="Arial"/>
          <w:sz w:val="20"/>
          <w:szCs w:val="20"/>
          <w:lang w:bidi="ar-EG"/>
        </w:rPr>
        <w:t xml:space="preserve"> metaplasia [arrow], a characteristic finding in chronic Crohn's disease (H&amp;E, X100)</w:t>
      </w:r>
    </w:p>
    <w:p w14:paraId="1B8D6902" w14:textId="77777777" w:rsidR="00B93F15" w:rsidRDefault="00B93F15" w:rsidP="0024307A">
      <w:pPr>
        <w:pStyle w:val="NormalWeb"/>
        <w:spacing w:before="0" w:beforeAutospacing="0" w:after="0" w:afterAutospacing="0" w:line="360" w:lineRule="auto"/>
        <w:rPr>
          <w:rStyle w:val="Strong"/>
          <w:rFonts w:ascii="Arial" w:hAnsi="Arial" w:cs="Arial"/>
          <w:color w:val="0E101A"/>
          <w:sz w:val="22"/>
          <w:szCs w:val="22"/>
        </w:rPr>
      </w:pPr>
    </w:p>
    <w:p w14:paraId="3B45F6B3" w14:textId="54BE1737" w:rsidR="002A52F0" w:rsidRPr="002A52F0" w:rsidRDefault="002A52F0" w:rsidP="0024307A">
      <w:pPr>
        <w:pStyle w:val="NormalWeb"/>
        <w:spacing w:before="0" w:beforeAutospacing="0" w:after="0" w:afterAutospacing="0" w:line="360" w:lineRule="auto"/>
        <w:rPr>
          <w:rFonts w:ascii="Arial" w:hAnsi="Arial" w:cs="Arial"/>
          <w:color w:val="0E101A"/>
          <w:sz w:val="22"/>
          <w:szCs w:val="22"/>
        </w:rPr>
      </w:pPr>
      <w:r w:rsidRPr="002A52F0">
        <w:rPr>
          <w:rStyle w:val="Strong"/>
          <w:rFonts w:ascii="Arial" w:hAnsi="Arial" w:cs="Arial"/>
          <w:color w:val="0E101A"/>
          <w:sz w:val="22"/>
          <w:szCs w:val="22"/>
        </w:rPr>
        <w:t>DISCUSSION</w:t>
      </w:r>
    </w:p>
    <w:p w14:paraId="06160703" w14:textId="6A33B523" w:rsidR="002A52F0" w:rsidRPr="002A52F0" w:rsidRDefault="002A52F0" w:rsidP="00F91C0F">
      <w:pPr>
        <w:pStyle w:val="NormalWeb"/>
        <w:spacing w:before="0" w:beforeAutospacing="0" w:after="0" w:afterAutospacing="0" w:line="360" w:lineRule="auto"/>
        <w:ind w:firstLine="720"/>
        <w:jc w:val="both"/>
        <w:rPr>
          <w:rFonts w:ascii="Arial" w:hAnsi="Arial" w:cs="Arial"/>
          <w:color w:val="0E101A"/>
          <w:sz w:val="20"/>
          <w:szCs w:val="20"/>
        </w:rPr>
      </w:pPr>
      <w:r w:rsidRPr="002A52F0">
        <w:rPr>
          <w:rFonts w:ascii="Arial" w:hAnsi="Arial" w:cs="Arial"/>
          <w:color w:val="0E101A"/>
          <w:sz w:val="20"/>
          <w:szCs w:val="20"/>
        </w:rPr>
        <w:t xml:space="preserve">Enterolithiasis </w:t>
      </w:r>
      <w:r w:rsidRPr="002A52F0">
        <w:rPr>
          <w:rFonts w:ascii="Arial" w:hAnsi="Arial" w:cs="Arial"/>
          <w:color w:val="0F1115"/>
          <w:sz w:val="20"/>
          <w:szCs w:val="20"/>
          <w:shd w:val="clear" w:color="auto" w:fill="FFFFFF"/>
        </w:rPr>
        <w:t xml:space="preserve">is a rare clinical entity, with only approximately 100 cases reported in the literature until 2014 </w:t>
      </w:r>
      <w:r w:rsidR="0036228F" w:rsidRPr="006750D1">
        <w:rPr>
          <w:rFonts w:ascii="Arial" w:hAnsi="Arial" w:cs="Arial"/>
          <w:color w:val="0E101A"/>
          <w:sz w:val="20"/>
          <w:szCs w:val="20"/>
          <w:highlight w:val="cyan"/>
        </w:rPr>
        <w:t>(</w:t>
      </w:r>
      <w:proofErr w:type="spellStart"/>
      <w:r w:rsidR="0036228F" w:rsidRPr="006750D1">
        <w:rPr>
          <w:rFonts w:ascii="Arial" w:hAnsi="Arial" w:cs="Arial"/>
          <w:color w:val="0E101A"/>
          <w:sz w:val="20"/>
          <w:szCs w:val="20"/>
          <w:highlight w:val="cyan"/>
        </w:rPr>
        <w:t>Gurvits</w:t>
      </w:r>
      <w:proofErr w:type="spellEnd"/>
      <w:r w:rsidR="0036228F" w:rsidRPr="006750D1">
        <w:rPr>
          <w:rFonts w:ascii="Arial" w:hAnsi="Arial" w:cs="Arial"/>
          <w:color w:val="0E101A"/>
          <w:sz w:val="20"/>
          <w:szCs w:val="20"/>
          <w:highlight w:val="cyan"/>
        </w:rPr>
        <w:t xml:space="preserve"> et al., 2014)</w:t>
      </w:r>
      <w:r w:rsidRPr="002A52F0">
        <w:rPr>
          <w:rFonts w:ascii="Arial" w:hAnsi="Arial" w:cs="Arial"/>
          <w:color w:val="0F1115"/>
          <w:sz w:val="20"/>
          <w:szCs w:val="20"/>
          <w:shd w:val="clear" w:color="auto" w:fill="FFFFFF"/>
        </w:rPr>
        <w:t xml:space="preserve">, 30 of which were associated </w:t>
      </w:r>
      <w:r w:rsidR="0036228F">
        <w:rPr>
          <w:rFonts w:ascii="Arial" w:hAnsi="Arial" w:cs="Arial"/>
          <w:color w:val="0E101A"/>
          <w:sz w:val="20"/>
          <w:szCs w:val="20"/>
        </w:rPr>
        <w:t xml:space="preserve">with CD </w:t>
      </w:r>
      <w:r w:rsidR="0036228F" w:rsidRPr="006750D1">
        <w:rPr>
          <w:rFonts w:ascii="Arial" w:hAnsi="Arial" w:cs="Arial"/>
          <w:color w:val="0F1115"/>
          <w:sz w:val="20"/>
          <w:szCs w:val="20"/>
          <w:highlight w:val="cyan"/>
          <w:shd w:val="clear" w:color="auto" w:fill="FFFFFF"/>
        </w:rPr>
        <w:t>(Mendes Ribeiro et al., 2000)</w:t>
      </w:r>
      <w:r w:rsidRPr="0036228F">
        <w:rPr>
          <w:rFonts w:ascii="Arial" w:hAnsi="Arial" w:cs="Arial"/>
          <w:color w:val="0F1115"/>
          <w:sz w:val="20"/>
          <w:szCs w:val="20"/>
          <w:shd w:val="clear" w:color="auto" w:fill="FFFFFF"/>
        </w:rPr>
        <w:t>.</w:t>
      </w:r>
      <w:r w:rsidRPr="002A52F0">
        <w:rPr>
          <w:rFonts w:ascii="Arial" w:hAnsi="Arial" w:cs="Arial"/>
          <w:color w:val="0E101A"/>
          <w:sz w:val="20"/>
          <w:szCs w:val="20"/>
        </w:rPr>
        <w:t xml:space="preserve"> </w:t>
      </w:r>
      <w:r w:rsidRPr="002A52F0">
        <w:rPr>
          <w:rFonts w:ascii="Arial" w:hAnsi="Arial" w:cs="Arial"/>
          <w:color w:val="0F1115"/>
          <w:sz w:val="20"/>
          <w:szCs w:val="20"/>
          <w:shd w:val="clear" w:color="auto" w:fill="FFFFFF"/>
        </w:rPr>
        <w:t xml:space="preserve">The true incidence remains unknown and is likely higher than reported, since many </w:t>
      </w:r>
      <w:r w:rsidR="00211A90">
        <w:rPr>
          <w:rFonts w:ascii="Arial" w:hAnsi="Arial" w:cs="Arial"/>
          <w:color w:val="0F1115"/>
          <w:sz w:val="20"/>
          <w:szCs w:val="20"/>
          <w:shd w:val="clear" w:color="auto" w:fill="FFFFFF"/>
        </w:rPr>
        <w:t>calculi</w:t>
      </w:r>
      <w:r w:rsidRPr="002A52F0">
        <w:rPr>
          <w:rFonts w:ascii="Arial" w:hAnsi="Arial" w:cs="Arial"/>
          <w:color w:val="0F1115"/>
          <w:sz w:val="20"/>
          <w:szCs w:val="20"/>
          <w:shd w:val="clear" w:color="auto" w:fill="FFFFFF"/>
        </w:rPr>
        <w:t xml:space="preserve"> are </w:t>
      </w:r>
      <w:r w:rsidR="00211A90">
        <w:rPr>
          <w:rFonts w:ascii="Arial" w:hAnsi="Arial" w:cs="Arial"/>
          <w:color w:val="0F1115"/>
          <w:sz w:val="20"/>
          <w:szCs w:val="20"/>
          <w:shd w:val="clear" w:color="auto" w:fill="FFFFFF"/>
        </w:rPr>
        <w:t>asymptomatic</w:t>
      </w:r>
      <w:r w:rsidRPr="002A52F0">
        <w:rPr>
          <w:rFonts w:ascii="Arial" w:hAnsi="Arial" w:cs="Arial"/>
          <w:color w:val="0F1115"/>
          <w:sz w:val="20"/>
          <w:szCs w:val="20"/>
          <w:shd w:val="clear" w:color="auto" w:fill="FFFFFF"/>
        </w:rPr>
        <w:t xml:space="preserve">, </w:t>
      </w:r>
      <w:r w:rsidR="00211A90">
        <w:rPr>
          <w:rFonts w:ascii="Arial" w:hAnsi="Arial" w:cs="Arial"/>
          <w:color w:val="0F1115"/>
          <w:sz w:val="20"/>
          <w:szCs w:val="20"/>
          <w:shd w:val="clear" w:color="auto" w:fill="FFFFFF"/>
        </w:rPr>
        <w:t>pass</w:t>
      </w:r>
      <w:r w:rsidR="00211A90" w:rsidRPr="002A52F0">
        <w:rPr>
          <w:rFonts w:ascii="Arial" w:hAnsi="Arial" w:cs="Arial"/>
          <w:color w:val="0F1115"/>
          <w:sz w:val="20"/>
          <w:szCs w:val="20"/>
          <w:shd w:val="clear" w:color="auto" w:fill="FFFFFF"/>
        </w:rPr>
        <w:t xml:space="preserve"> spontaneous</w:t>
      </w:r>
      <w:r w:rsidR="00211A90">
        <w:rPr>
          <w:rFonts w:ascii="Arial" w:hAnsi="Arial" w:cs="Arial"/>
          <w:color w:val="0F1115"/>
          <w:sz w:val="20"/>
          <w:szCs w:val="20"/>
          <w:shd w:val="clear" w:color="auto" w:fill="FFFFFF"/>
        </w:rPr>
        <w:t>ly or being invisible</w:t>
      </w:r>
      <w:r w:rsidR="00211A90" w:rsidRPr="002A52F0">
        <w:rPr>
          <w:rFonts w:ascii="Arial" w:hAnsi="Arial" w:cs="Arial"/>
          <w:color w:val="0F1115"/>
          <w:sz w:val="20"/>
          <w:szCs w:val="20"/>
          <w:shd w:val="clear" w:color="auto" w:fill="FFFFFF"/>
        </w:rPr>
        <w:t xml:space="preserve"> on plain </w:t>
      </w:r>
      <w:r w:rsidR="00211A90">
        <w:rPr>
          <w:rFonts w:ascii="Arial" w:hAnsi="Arial" w:cs="Arial"/>
          <w:color w:val="0E101A"/>
          <w:sz w:val="20"/>
          <w:szCs w:val="20"/>
        </w:rPr>
        <w:t xml:space="preserve">radiographs </w:t>
      </w:r>
      <w:r w:rsidR="0036228F" w:rsidRPr="006750D1">
        <w:rPr>
          <w:rFonts w:ascii="Arial" w:hAnsi="Arial" w:cs="Arial"/>
          <w:color w:val="0E101A"/>
          <w:sz w:val="20"/>
          <w:szCs w:val="20"/>
          <w:highlight w:val="cyan"/>
        </w:rPr>
        <w:t>(</w:t>
      </w:r>
      <w:proofErr w:type="spellStart"/>
      <w:r w:rsidR="0036228F" w:rsidRPr="006750D1">
        <w:rPr>
          <w:rFonts w:ascii="Arial" w:hAnsi="Arial" w:cs="Arial"/>
          <w:color w:val="0E101A"/>
          <w:sz w:val="20"/>
          <w:szCs w:val="20"/>
          <w:highlight w:val="cyan"/>
        </w:rPr>
        <w:t>Grettve</w:t>
      </w:r>
      <w:proofErr w:type="spellEnd"/>
      <w:r w:rsidR="0036228F" w:rsidRPr="006750D1">
        <w:rPr>
          <w:rFonts w:ascii="Arial" w:hAnsi="Arial" w:cs="Arial"/>
          <w:color w:val="0E101A"/>
          <w:sz w:val="20"/>
          <w:szCs w:val="20"/>
          <w:highlight w:val="cyan"/>
        </w:rPr>
        <w:t xml:space="preserve"> 1947)</w:t>
      </w:r>
      <w:r w:rsidRPr="002A52F0">
        <w:rPr>
          <w:rFonts w:ascii="Arial" w:hAnsi="Arial" w:cs="Arial"/>
          <w:color w:val="0E101A"/>
          <w:sz w:val="20"/>
          <w:szCs w:val="20"/>
        </w:rPr>
        <w:t xml:space="preserve">. The first documented case of </w:t>
      </w:r>
      <w:r w:rsidRPr="002A52F0">
        <w:rPr>
          <w:rFonts w:ascii="Arial" w:hAnsi="Arial" w:cs="Arial"/>
          <w:color w:val="0E101A"/>
          <w:sz w:val="20"/>
          <w:szCs w:val="20"/>
        </w:rPr>
        <w:lastRenderedPageBreak/>
        <w:t xml:space="preserve">enterolithiasis was reported by </w:t>
      </w:r>
      <w:proofErr w:type="spellStart"/>
      <w:r w:rsidRPr="002A52F0">
        <w:rPr>
          <w:rFonts w:ascii="Arial" w:hAnsi="Arial" w:cs="Arial"/>
          <w:color w:val="0E101A"/>
          <w:sz w:val="20"/>
          <w:szCs w:val="20"/>
        </w:rPr>
        <w:t>Chomelin</w:t>
      </w:r>
      <w:proofErr w:type="spellEnd"/>
      <w:r w:rsidRPr="002A52F0">
        <w:rPr>
          <w:rFonts w:ascii="Arial" w:hAnsi="Arial" w:cs="Arial"/>
          <w:color w:val="0E101A"/>
          <w:sz w:val="20"/>
          <w:szCs w:val="20"/>
        </w:rPr>
        <w:t xml:space="preserve"> J in 1710 in the medical series of </w:t>
      </w:r>
      <w:proofErr w:type="spellStart"/>
      <w:r w:rsidRPr="002A52F0">
        <w:rPr>
          <w:rStyle w:val="Emphasis"/>
          <w:rFonts w:ascii="Arial" w:hAnsi="Arial" w:cs="Arial"/>
          <w:color w:val="0E101A"/>
          <w:sz w:val="20"/>
          <w:szCs w:val="20"/>
        </w:rPr>
        <w:t>Historie</w:t>
      </w:r>
      <w:proofErr w:type="spellEnd"/>
      <w:r w:rsidRPr="002A52F0">
        <w:rPr>
          <w:rStyle w:val="Emphasis"/>
          <w:rFonts w:ascii="Arial" w:hAnsi="Arial" w:cs="Arial"/>
          <w:color w:val="0E101A"/>
          <w:sz w:val="20"/>
          <w:szCs w:val="20"/>
        </w:rPr>
        <w:t xml:space="preserve"> de </w:t>
      </w:r>
      <w:proofErr w:type="spellStart"/>
      <w:r w:rsidRPr="002A52F0">
        <w:rPr>
          <w:rStyle w:val="Emphasis"/>
          <w:rFonts w:ascii="Arial" w:hAnsi="Arial" w:cs="Arial"/>
          <w:color w:val="0E101A"/>
          <w:sz w:val="20"/>
          <w:szCs w:val="20"/>
        </w:rPr>
        <w:t>l'Académie</w:t>
      </w:r>
      <w:proofErr w:type="spellEnd"/>
      <w:r w:rsidRPr="002A52F0">
        <w:rPr>
          <w:rStyle w:val="Emphasis"/>
          <w:rFonts w:ascii="Arial" w:hAnsi="Arial" w:cs="Arial"/>
          <w:color w:val="0E101A"/>
          <w:sz w:val="20"/>
          <w:szCs w:val="20"/>
        </w:rPr>
        <w:t xml:space="preserve"> Royale </w:t>
      </w:r>
      <w:r w:rsidRPr="002A52F0">
        <w:rPr>
          <w:rFonts w:ascii="Arial" w:hAnsi="Arial" w:cs="Arial"/>
          <w:color w:val="0E101A"/>
          <w:sz w:val="20"/>
          <w:szCs w:val="20"/>
        </w:rPr>
        <w:t>as a stone in a duodenal diverticulum d</w:t>
      </w:r>
      <w:r w:rsidR="0036228F">
        <w:rPr>
          <w:rFonts w:ascii="Arial" w:hAnsi="Arial" w:cs="Arial"/>
          <w:color w:val="0E101A"/>
          <w:sz w:val="20"/>
          <w:szCs w:val="20"/>
        </w:rPr>
        <w:t xml:space="preserve">iscovered during an autopsy </w:t>
      </w:r>
      <w:r w:rsidR="0036228F" w:rsidRPr="006750D1">
        <w:rPr>
          <w:rFonts w:ascii="Arial" w:hAnsi="Arial" w:cs="Arial"/>
          <w:color w:val="0E101A"/>
          <w:sz w:val="20"/>
          <w:szCs w:val="20"/>
          <w:highlight w:val="cyan"/>
        </w:rPr>
        <w:t>(</w:t>
      </w:r>
      <w:proofErr w:type="spellStart"/>
      <w:r w:rsidR="0036228F" w:rsidRPr="006750D1">
        <w:rPr>
          <w:rFonts w:ascii="Arial" w:hAnsi="Arial" w:cs="Arial"/>
          <w:color w:val="0E101A"/>
          <w:sz w:val="20"/>
          <w:szCs w:val="20"/>
          <w:highlight w:val="cyan"/>
        </w:rPr>
        <w:t>Munnel</w:t>
      </w:r>
      <w:proofErr w:type="spellEnd"/>
      <w:r w:rsidR="0036228F" w:rsidRPr="006750D1">
        <w:rPr>
          <w:rFonts w:ascii="Arial" w:hAnsi="Arial" w:cs="Arial"/>
          <w:color w:val="0E101A"/>
          <w:sz w:val="20"/>
          <w:szCs w:val="20"/>
          <w:highlight w:val="cyan"/>
        </w:rPr>
        <w:t xml:space="preserve"> et al., 1966)</w:t>
      </w:r>
      <w:r w:rsidRPr="002A52F0">
        <w:rPr>
          <w:rFonts w:ascii="Arial" w:hAnsi="Arial" w:cs="Arial"/>
          <w:color w:val="0E101A"/>
          <w:sz w:val="20"/>
          <w:szCs w:val="20"/>
        </w:rPr>
        <w:t xml:space="preserve">. </w:t>
      </w:r>
    </w:p>
    <w:p w14:paraId="1617AEF2" w14:textId="28645707" w:rsidR="002A52F0" w:rsidRDefault="002A52F0" w:rsidP="008B35B8">
      <w:pPr>
        <w:pStyle w:val="NormalWeb"/>
        <w:spacing w:before="0" w:beforeAutospacing="0" w:after="0" w:afterAutospacing="0" w:line="360" w:lineRule="auto"/>
        <w:ind w:firstLine="720"/>
        <w:jc w:val="both"/>
        <w:rPr>
          <w:rFonts w:ascii="Arial" w:hAnsi="Arial" w:cs="Arial"/>
          <w:color w:val="0E101A"/>
          <w:sz w:val="20"/>
          <w:szCs w:val="20"/>
        </w:rPr>
      </w:pPr>
      <w:proofErr w:type="spellStart"/>
      <w:r w:rsidRPr="006750D1">
        <w:rPr>
          <w:rFonts w:ascii="Arial" w:hAnsi="Arial" w:cs="Arial"/>
          <w:color w:val="0E101A"/>
          <w:sz w:val="20"/>
          <w:szCs w:val="20"/>
          <w:highlight w:val="cyan"/>
        </w:rPr>
        <w:t>Grettve</w:t>
      </w:r>
      <w:proofErr w:type="spellEnd"/>
      <w:r w:rsidR="0036228F" w:rsidRPr="006750D1">
        <w:rPr>
          <w:rFonts w:ascii="Arial" w:hAnsi="Arial" w:cs="Arial"/>
          <w:color w:val="0E101A"/>
          <w:sz w:val="20"/>
          <w:szCs w:val="20"/>
          <w:highlight w:val="cyan"/>
        </w:rPr>
        <w:t xml:space="preserve"> 1947</w:t>
      </w:r>
      <w:r w:rsidR="0036228F">
        <w:rPr>
          <w:rFonts w:ascii="Arial" w:hAnsi="Arial" w:cs="Arial"/>
          <w:color w:val="0E101A"/>
          <w:sz w:val="20"/>
          <w:szCs w:val="20"/>
        </w:rPr>
        <w:t>,</w:t>
      </w:r>
      <w:r w:rsidRPr="002A52F0">
        <w:rPr>
          <w:rFonts w:ascii="Arial" w:hAnsi="Arial" w:cs="Arial"/>
          <w:color w:val="0E101A"/>
          <w:sz w:val="20"/>
          <w:szCs w:val="20"/>
        </w:rPr>
        <w:t xml:space="preserve"> proposed a classification of enteroliths into primary (formed within the GIT) and secondary (intr</w:t>
      </w:r>
      <w:r w:rsidR="0036228F">
        <w:rPr>
          <w:rFonts w:ascii="Arial" w:hAnsi="Arial" w:cs="Arial"/>
          <w:color w:val="0E101A"/>
          <w:sz w:val="20"/>
          <w:szCs w:val="20"/>
        </w:rPr>
        <w:t xml:space="preserve">oduced from outside) types. </w:t>
      </w:r>
      <w:r w:rsidR="009F20BB">
        <w:rPr>
          <w:rFonts w:ascii="Arial" w:hAnsi="Arial" w:cs="Arial"/>
          <w:color w:val="0E101A"/>
          <w:sz w:val="20"/>
          <w:szCs w:val="20"/>
        </w:rPr>
        <w:t xml:space="preserve">Primary enteroliths </w:t>
      </w:r>
      <w:r w:rsidRPr="002A52F0">
        <w:rPr>
          <w:rFonts w:ascii="Arial" w:hAnsi="Arial" w:cs="Arial"/>
          <w:color w:val="0E101A"/>
          <w:sz w:val="20"/>
          <w:szCs w:val="20"/>
        </w:rPr>
        <w:t xml:space="preserve">are typically formed in areas of stasis, including intestinal </w:t>
      </w:r>
      <w:proofErr w:type="spellStart"/>
      <w:r w:rsidRPr="002A52F0">
        <w:rPr>
          <w:rFonts w:ascii="Arial" w:hAnsi="Arial" w:cs="Arial"/>
          <w:color w:val="0E101A"/>
          <w:sz w:val="20"/>
          <w:szCs w:val="20"/>
        </w:rPr>
        <w:t>diverticulae</w:t>
      </w:r>
      <w:proofErr w:type="spellEnd"/>
      <w:r w:rsidRPr="002A52F0">
        <w:rPr>
          <w:rFonts w:ascii="Arial" w:hAnsi="Arial" w:cs="Arial"/>
          <w:color w:val="0E101A"/>
          <w:sz w:val="20"/>
          <w:szCs w:val="20"/>
        </w:rPr>
        <w:t xml:space="preserve">, afferent loops in the </w:t>
      </w:r>
      <w:proofErr w:type="spellStart"/>
      <w:r w:rsidRPr="002A52F0">
        <w:rPr>
          <w:rFonts w:ascii="Arial" w:hAnsi="Arial" w:cs="Arial"/>
          <w:color w:val="0E101A"/>
          <w:sz w:val="20"/>
          <w:szCs w:val="20"/>
        </w:rPr>
        <w:t>Billroth</w:t>
      </w:r>
      <w:proofErr w:type="spellEnd"/>
      <w:r w:rsidRPr="002A52F0">
        <w:rPr>
          <w:rFonts w:ascii="Arial" w:hAnsi="Arial" w:cs="Arial"/>
          <w:color w:val="0E101A"/>
          <w:sz w:val="20"/>
          <w:szCs w:val="20"/>
        </w:rPr>
        <w:t xml:space="preserve"> II gastrojejunostomy, intra-abdominal adhesions, or proximal to intestinal strictures in CD. Primary enteroliths are further divided into true and false categories</w:t>
      </w:r>
      <w:r w:rsidR="009F20BB">
        <w:rPr>
          <w:rFonts w:ascii="Arial" w:hAnsi="Arial" w:cs="Arial"/>
          <w:color w:val="0E101A"/>
          <w:sz w:val="20"/>
          <w:szCs w:val="20"/>
        </w:rPr>
        <w:t xml:space="preserve"> </w:t>
      </w:r>
      <w:r w:rsidR="009F20BB" w:rsidRPr="009F20BB">
        <w:rPr>
          <w:rFonts w:ascii="Arial" w:hAnsi="Arial" w:cs="Arial"/>
          <w:color w:val="0E101A"/>
          <w:sz w:val="20"/>
          <w:szCs w:val="20"/>
          <w:highlight w:val="cyan"/>
        </w:rPr>
        <w:t>(Table 1)</w:t>
      </w:r>
      <w:r w:rsidRPr="009F20BB">
        <w:rPr>
          <w:rFonts w:ascii="Arial" w:hAnsi="Arial" w:cs="Arial"/>
          <w:color w:val="0E101A"/>
          <w:sz w:val="20"/>
          <w:szCs w:val="20"/>
        </w:rPr>
        <w:t>.</w:t>
      </w:r>
      <w:r w:rsidRPr="002A52F0">
        <w:rPr>
          <w:rFonts w:ascii="Arial" w:hAnsi="Arial" w:cs="Arial"/>
          <w:color w:val="0E101A"/>
          <w:sz w:val="20"/>
          <w:szCs w:val="20"/>
        </w:rPr>
        <w:t xml:space="preserve"> True primary enteroliths consist of materials normally found in chyme, and are subdivided into </w:t>
      </w:r>
      <w:proofErr w:type="spellStart"/>
      <w:r w:rsidRPr="002A52F0">
        <w:rPr>
          <w:rFonts w:ascii="Arial" w:hAnsi="Arial" w:cs="Arial"/>
          <w:color w:val="0E101A"/>
          <w:sz w:val="20"/>
          <w:szCs w:val="20"/>
        </w:rPr>
        <w:t>choleic</w:t>
      </w:r>
      <w:proofErr w:type="spellEnd"/>
      <w:r w:rsidRPr="002A52F0">
        <w:rPr>
          <w:rFonts w:ascii="Arial" w:hAnsi="Arial" w:cs="Arial"/>
          <w:color w:val="0E101A"/>
          <w:sz w:val="20"/>
          <w:szCs w:val="20"/>
        </w:rPr>
        <w:t xml:space="preserve"> acid and calcium stones. False primary enteroliths are formed from insoluble foreign materials found in the bowel and are divided into bezoars, varnish stones, and concretion of water-suspended insoluble salts</w:t>
      </w:r>
      <w:r w:rsidR="008B35B8">
        <w:rPr>
          <w:rFonts w:ascii="Arial" w:hAnsi="Arial" w:cs="Arial"/>
          <w:color w:val="0E101A"/>
          <w:sz w:val="20"/>
          <w:szCs w:val="20"/>
        </w:rPr>
        <w:t xml:space="preserve"> (chalk, lime, barium sulfate) </w:t>
      </w:r>
      <w:r w:rsidR="001B4F78" w:rsidRPr="006750D1">
        <w:rPr>
          <w:rFonts w:ascii="Arial" w:hAnsi="Arial" w:cs="Arial"/>
          <w:color w:val="0E101A"/>
          <w:sz w:val="20"/>
          <w:szCs w:val="20"/>
          <w:highlight w:val="cyan"/>
        </w:rPr>
        <w:t>(</w:t>
      </w:r>
      <w:proofErr w:type="spellStart"/>
      <w:r w:rsidR="001B4F78" w:rsidRPr="006750D1">
        <w:rPr>
          <w:rFonts w:ascii="Arial" w:hAnsi="Arial" w:cs="Arial"/>
          <w:color w:val="0E101A"/>
          <w:sz w:val="20"/>
          <w:szCs w:val="20"/>
          <w:highlight w:val="cyan"/>
        </w:rPr>
        <w:t>Gurvits</w:t>
      </w:r>
      <w:proofErr w:type="spellEnd"/>
      <w:r w:rsidR="001B4F78" w:rsidRPr="006750D1">
        <w:rPr>
          <w:rFonts w:ascii="Arial" w:hAnsi="Arial" w:cs="Arial"/>
          <w:color w:val="0E101A"/>
          <w:sz w:val="20"/>
          <w:szCs w:val="20"/>
          <w:highlight w:val="cyan"/>
        </w:rPr>
        <w:t xml:space="preserve"> et al., 2014)</w:t>
      </w:r>
      <w:r w:rsidR="001B4F78">
        <w:rPr>
          <w:rFonts w:ascii="Arial" w:hAnsi="Arial" w:cs="Arial"/>
          <w:color w:val="0E101A"/>
          <w:sz w:val="20"/>
          <w:szCs w:val="20"/>
        </w:rPr>
        <w:t xml:space="preserve">. </w:t>
      </w:r>
      <w:r w:rsidRPr="002A52F0">
        <w:rPr>
          <w:rFonts w:ascii="Arial" w:hAnsi="Arial" w:cs="Arial"/>
          <w:color w:val="0E101A"/>
          <w:sz w:val="20"/>
          <w:szCs w:val="20"/>
        </w:rPr>
        <w:t>Based on its radiological appearance and its chemical composition together with its association with chronic stricturing CD, the stone reported in the current case is classified as</w:t>
      </w:r>
      <w:r w:rsidR="0036228F">
        <w:rPr>
          <w:rFonts w:ascii="Arial" w:hAnsi="Arial" w:cs="Arial"/>
          <w:color w:val="0E101A"/>
          <w:sz w:val="20"/>
          <w:szCs w:val="20"/>
        </w:rPr>
        <w:t xml:space="preserve"> a mixed primary enterolith</w:t>
      </w:r>
      <w:r w:rsidRPr="002A52F0">
        <w:rPr>
          <w:rFonts w:ascii="Arial" w:hAnsi="Arial" w:cs="Arial"/>
          <w:color w:val="0E101A"/>
          <w:sz w:val="20"/>
          <w:szCs w:val="20"/>
        </w:rPr>
        <w:t>.</w:t>
      </w:r>
    </w:p>
    <w:p w14:paraId="3E6075B3" w14:textId="77777777" w:rsidR="009F20BB" w:rsidRPr="009F20BB" w:rsidRDefault="009F20BB" w:rsidP="009F20BB">
      <w:pPr>
        <w:pStyle w:val="NormalWeb"/>
        <w:spacing w:before="0" w:beforeAutospacing="0" w:after="0" w:afterAutospacing="0" w:line="360" w:lineRule="auto"/>
        <w:jc w:val="center"/>
        <w:rPr>
          <w:rFonts w:ascii="Arial" w:hAnsi="Arial" w:cs="Arial"/>
          <w:color w:val="0E101A"/>
          <w:sz w:val="20"/>
          <w:szCs w:val="20"/>
          <w:highlight w:val="cyan"/>
        </w:rPr>
      </w:pPr>
      <w:r w:rsidRPr="009F20BB">
        <w:rPr>
          <w:rFonts w:ascii="Arial" w:hAnsi="Arial" w:cs="Arial"/>
          <w:color w:val="0E101A"/>
          <w:sz w:val="20"/>
          <w:szCs w:val="20"/>
          <w:highlight w:val="cyan"/>
        </w:rPr>
        <w:t>Table (1) Types of primary enterolith</w:t>
      </w:r>
    </w:p>
    <w:tbl>
      <w:tblPr>
        <w:tblStyle w:val="TableGrid"/>
        <w:tblW w:w="0" w:type="auto"/>
        <w:jc w:val="center"/>
        <w:tblLook w:val="04A0" w:firstRow="1" w:lastRow="0" w:firstColumn="1" w:lastColumn="0" w:noHBand="0" w:noVBand="1"/>
      </w:tblPr>
      <w:tblGrid>
        <w:gridCol w:w="5652"/>
      </w:tblGrid>
      <w:tr w:rsidR="009F20BB" w:rsidRPr="00533BA9" w14:paraId="5581C33C" w14:textId="77777777" w:rsidTr="00442353">
        <w:trPr>
          <w:jc w:val="center"/>
        </w:trPr>
        <w:tc>
          <w:tcPr>
            <w:tcW w:w="5652" w:type="dxa"/>
          </w:tcPr>
          <w:p w14:paraId="15902255" w14:textId="77777777" w:rsidR="009F20BB" w:rsidRPr="00533BA9" w:rsidRDefault="009F20BB" w:rsidP="00442353">
            <w:pPr>
              <w:pStyle w:val="NormalWeb"/>
              <w:spacing w:before="0" w:beforeAutospacing="0" w:after="0" w:afterAutospacing="0" w:line="360" w:lineRule="auto"/>
              <w:jc w:val="both"/>
              <w:rPr>
                <w:rFonts w:ascii="Arial" w:hAnsi="Arial" w:cs="Arial"/>
                <w:color w:val="0E101A"/>
                <w:sz w:val="20"/>
                <w:szCs w:val="20"/>
                <w:highlight w:val="cyan"/>
              </w:rPr>
            </w:pPr>
            <w:r w:rsidRPr="00533BA9">
              <w:rPr>
                <w:rFonts w:ascii="Arial" w:hAnsi="Arial" w:cs="Arial"/>
                <w:b/>
                <w:bCs/>
                <w:color w:val="0E101A"/>
                <w:sz w:val="20"/>
                <w:szCs w:val="20"/>
                <w:highlight w:val="cyan"/>
              </w:rPr>
              <w:t>Primary enterolith</w:t>
            </w:r>
          </w:p>
        </w:tc>
      </w:tr>
      <w:tr w:rsidR="009F20BB" w:rsidRPr="00533BA9" w14:paraId="32E533F0" w14:textId="77777777" w:rsidTr="00442353">
        <w:trPr>
          <w:jc w:val="center"/>
        </w:trPr>
        <w:tc>
          <w:tcPr>
            <w:tcW w:w="5652" w:type="dxa"/>
          </w:tcPr>
          <w:p w14:paraId="6E2BC304" w14:textId="77777777" w:rsidR="009F20BB" w:rsidRPr="00533BA9" w:rsidRDefault="009F20BB" w:rsidP="00442353">
            <w:pPr>
              <w:pStyle w:val="NormalWeb"/>
              <w:spacing w:before="0" w:beforeAutospacing="0" w:after="0" w:afterAutospacing="0" w:line="360" w:lineRule="auto"/>
              <w:ind w:left="720"/>
              <w:jc w:val="both"/>
              <w:rPr>
                <w:rFonts w:ascii="Arial" w:hAnsi="Arial" w:cs="Arial"/>
                <w:b/>
                <w:bCs/>
                <w:color w:val="0E101A"/>
                <w:sz w:val="20"/>
                <w:szCs w:val="20"/>
                <w:highlight w:val="cyan"/>
              </w:rPr>
            </w:pPr>
            <w:r w:rsidRPr="00533BA9">
              <w:rPr>
                <w:rFonts w:ascii="Arial" w:hAnsi="Arial" w:cs="Arial"/>
                <w:b/>
                <w:bCs/>
                <w:color w:val="0E101A"/>
                <w:sz w:val="20"/>
                <w:szCs w:val="20"/>
                <w:highlight w:val="cyan"/>
              </w:rPr>
              <w:t xml:space="preserve">True </w:t>
            </w:r>
          </w:p>
          <w:p w14:paraId="1FE551B6" w14:textId="77777777" w:rsidR="009F20BB" w:rsidRPr="00533BA9" w:rsidRDefault="009F20BB" w:rsidP="009F20BB">
            <w:pPr>
              <w:pStyle w:val="NormalWeb"/>
              <w:numPr>
                <w:ilvl w:val="0"/>
                <w:numId w:val="6"/>
              </w:numPr>
              <w:spacing w:before="0" w:beforeAutospacing="0" w:after="0" w:afterAutospacing="0" w:line="360" w:lineRule="auto"/>
              <w:ind w:left="1458"/>
              <w:jc w:val="both"/>
              <w:rPr>
                <w:rFonts w:ascii="Arial" w:hAnsi="Arial" w:cs="Arial"/>
                <w:color w:val="0E101A"/>
                <w:sz w:val="20"/>
                <w:szCs w:val="20"/>
                <w:highlight w:val="cyan"/>
              </w:rPr>
            </w:pPr>
            <w:r w:rsidRPr="00533BA9">
              <w:rPr>
                <w:rFonts w:ascii="Arial" w:hAnsi="Arial" w:cs="Arial"/>
                <w:color w:val="0E101A"/>
                <w:sz w:val="20"/>
                <w:szCs w:val="20"/>
                <w:highlight w:val="cyan"/>
              </w:rPr>
              <w:t xml:space="preserve">Cholic acid </w:t>
            </w:r>
          </w:p>
          <w:p w14:paraId="3B7C841E" w14:textId="77777777" w:rsidR="009F20BB" w:rsidRPr="00533BA9" w:rsidRDefault="009F20BB" w:rsidP="009F20BB">
            <w:pPr>
              <w:pStyle w:val="NormalWeb"/>
              <w:numPr>
                <w:ilvl w:val="0"/>
                <w:numId w:val="6"/>
              </w:numPr>
              <w:spacing w:before="0" w:beforeAutospacing="0" w:after="0" w:afterAutospacing="0" w:line="360" w:lineRule="auto"/>
              <w:ind w:left="1458"/>
              <w:jc w:val="both"/>
              <w:rPr>
                <w:rFonts w:ascii="Arial" w:hAnsi="Arial" w:cs="Arial"/>
                <w:color w:val="0E101A"/>
                <w:sz w:val="20"/>
                <w:szCs w:val="20"/>
                <w:highlight w:val="cyan"/>
              </w:rPr>
            </w:pPr>
            <w:r w:rsidRPr="00533BA9">
              <w:rPr>
                <w:rFonts w:ascii="Arial" w:hAnsi="Arial" w:cs="Arial"/>
                <w:color w:val="0E101A"/>
                <w:sz w:val="20"/>
                <w:szCs w:val="20"/>
                <w:highlight w:val="cyan"/>
              </w:rPr>
              <w:t>Calcium stones</w:t>
            </w:r>
          </w:p>
        </w:tc>
      </w:tr>
      <w:tr w:rsidR="009F20BB" w:rsidRPr="00533BA9" w14:paraId="00383794" w14:textId="77777777" w:rsidTr="00442353">
        <w:trPr>
          <w:jc w:val="center"/>
        </w:trPr>
        <w:tc>
          <w:tcPr>
            <w:tcW w:w="5652" w:type="dxa"/>
          </w:tcPr>
          <w:p w14:paraId="1E064B24" w14:textId="77777777" w:rsidR="009F20BB" w:rsidRPr="00533BA9" w:rsidRDefault="009F20BB" w:rsidP="00442353">
            <w:pPr>
              <w:pStyle w:val="NormalWeb"/>
              <w:spacing w:before="0" w:beforeAutospacing="0" w:after="0" w:afterAutospacing="0" w:line="360" w:lineRule="auto"/>
              <w:ind w:left="720"/>
              <w:jc w:val="both"/>
              <w:rPr>
                <w:rFonts w:ascii="Arial" w:hAnsi="Arial" w:cs="Arial"/>
                <w:b/>
                <w:bCs/>
                <w:color w:val="0E101A"/>
                <w:sz w:val="20"/>
                <w:szCs w:val="20"/>
                <w:highlight w:val="cyan"/>
              </w:rPr>
            </w:pPr>
            <w:r w:rsidRPr="00533BA9">
              <w:rPr>
                <w:rFonts w:ascii="Arial" w:hAnsi="Arial" w:cs="Arial"/>
                <w:b/>
                <w:bCs/>
                <w:color w:val="0E101A"/>
                <w:sz w:val="20"/>
                <w:szCs w:val="20"/>
                <w:highlight w:val="cyan"/>
              </w:rPr>
              <w:t xml:space="preserve">False </w:t>
            </w:r>
          </w:p>
          <w:p w14:paraId="727D6C75" w14:textId="77777777" w:rsidR="009F20BB" w:rsidRPr="00533BA9" w:rsidRDefault="009F20BB" w:rsidP="009F20BB">
            <w:pPr>
              <w:pStyle w:val="NormalWeb"/>
              <w:numPr>
                <w:ilvl w:val="0"/>
                <w:numId w:val="5"/>
              </w:numPr>
              <w:spacing w:before="0" w:beforeAutospacing="0" w:after="0" w:afterAutospacing="0" w:line="360" w:lineRule="auto"/>
              <w:ind w:left="1458"/>
              <w:jc w:val="both"/>
              <w:rPr>
                <w:rFonts w:ascii="Arial" w:hAnsi="Arial" w:cs="Arial"/>
                <w:color w:val="0E101A"/>
                <w:sz w:val="20"/>
                <w:szCs w:val="20"/>
                <w:highlight w:val="cyan"/>
              </w:rPr>
            </w:pPr>
            <w:r w:rsidRPr="00533BA9">
              <w:rPr>
                <w:rFonts w:ascii="Arial" w:hAnsi="Arial" w:cs="Arial"/>
                <w:color w:val="0E101A"/>
                <w:sz w:val="20"/>
                <w:szCs w:val="20"/>
                <w:highlight w:val="cyan"/>
              </w:rPr>
              <w:t>Bezoar</w:t>
            </w:r>
          </w:p>
          <w:p w14:paraId="50B6B02D" w14:textId="77777777" w:rsidR="009F20BB" w:rsidRPr="00533BA9" w:rsidRDefault="009F20BB" w:rsidP="009F20BB">
            <w:pPr>
              <w:pStyle w:val="NormalWeb"/>
              <w:numPr>
                <w:ilvl w:val="0"/>
                <w:numId w:val="5"/>
              </w:numPr>
              <w:spacing w:before="0" w:beforeAutospacing="0" w:after="0" w:afterAutospacing="0" w:line="360" w:lineRule="auto"/>
              <w:ind w:left="1458"/>
              <w:jc w:val="both"/>
              <w:rPr>
                <w:rFonts w:ascii="Arial" w:hAnsi="Arial" w:cs="Arial"/>
                <w:color w:val="0E101A"/>
                <w:sz w:val="20"/>
                <w:szCs w:val="20"/>
                <w:highlight w:val="cyan"/>
              </w:rPr>
            </w:pPr>
            <w:r w:rsidRPr="00533BA9">
              <w:rPr>
                <w:rFonts w:ascii="Arial" w:hAnsi="Arial" w:cs="Arial"/>
                <w:color w:val="0E101A"/>
                <w:sz w:val="20"/>
                <w:szCs w:val="20"/>
                <w:highlight w:val="cyan"/>
              </w:rPr>
              <w:t>Varnish stones</w:t>
            </w:r>
          </w:p>
          <w:p w14:paraId="0B9188F1" w14:textId="77777777" w:rsidR="009F20BB" w:rsidRPr="00533BA9" w:rsidRDefault="009F20BB" w:rsidP="009F20BB">
            <w:pPr>
              <w:pStyle w:val="NormalWeb"/>
              <w:numPr>
                <w:ilvl w:val="0"/>
                <w:numId w:val="5"/>
              </w:numPr>
              <w:spacing w:before="0" w:beforeAutospacing="0" w:after="0" w:afterAutospacing="0" w:line="360" w:lineRule="auto"/>
              <w:ind w:left="1458"/>
              <w:jc w:val="both"/>
              <w:rPr>
                <w:rFonts w:ascii="Arial" w:hAnsi="Arial" w:cs="Arial"/>
                <w:color w:val="0E101A"/>
                <w:sz w:val="20"/>
                <w:szCs w:val="20"/>
                <w:highlight w:val="cyan"/>
              </w:rPr>
            </w:pPr>
            <w:r w:rsidRPr="00533BA9">
              <w:rPr>
                <w:rFonts w:ascii="Arial" w:hAnsi="Arial" w:cs="Arial"/>
                <w:color w:val="0E101A"/>
                <w:sz w:val="20"/>
                <w:szCs w:val="20"/>
                <w:highlight w:val="cyan"/>
              </w:rPr>
              <w:t>Concretions of insoluble salts</w:t>
            </w:r>
          </w:p>
          <w:p w14:paraId="693F29D0" w14:textId="77777777" w:rsidR="009F20BB" w:rsidRPr="00533BA9" w:rsidRDefault="009F20BB" w:rsidP="009F20BB">
            <w:pPr>
              <w:pStyle w:val="NormalWeb"/>
              <w:numPr>
                <w:ilvl w:val="0"/>
                <w:numId w:val="7"/>
              </w:numPr>
              <w:spacing w:before="0" w:beforeAutospacing="0" w:after="0" w:afterAutospacing="0" w:line="360" w:lineRule="auto"/>
              <w:ind w:left="2088"/>
              <w:jc w:val="both"/>
              <w:rPr>
                <w:rFonts w:ascii="Arial" w:hAnsi="Arial" w:cs="Arial"/>
                <w:color w:val="0E101A"/>
                <w:sz w:val="20"/>
                <w:szCs w:val="20"/>
                <w:highlight w:val="cyan"/>
              </w:rPr>
            </w:pPr>
            <w:r w:rsidRPr="00533BA9">
              <w:rPr>
                <w:rFonts w:ascii="Arial" w:hAnsi="Arial" w:cs="Arial"/>
                <w:color w:val="0E101A"/>
                <w:sz w:val="20"/>
                <w:szCs w:val="20"/>
                <w:highlight w:val="cyan"/>
              </w:rPr>
              <w:t>Chalk</w:t>
            </w:r>
          </w:p>
          <w:p w14:paraId="37340D78" w14:textId="77777777" w:rsidR="009F20BB" w:rsidRPr="00533BA9" w:rsidRDefault="009F20BB" w:rsidP="009F20BB">
            <w:pPr>
              <w:pStyle w:val="NormalWeb"/>
              <w:numPr>
                <w:ilvl w:val="0"/>
                <w:numId w:val="7"/>
              </w:numPr>
              <w:spacing w:before="0" w:beforeAutospacing="0" w:after="0" w:afterAutospacing="0" w:line="360" w:lineRule="auto"/>
              <w:ind w:left="2088"/>
              <w:jc w:val="both"/>
              <w:rPr>
                <w:rFonts w:ascii="Arial" w:hAnsi="Arial" w:cs="Arial"/>
                <w:color w:val="0E101A"/>
                <w:sz w:val="20"/>
                <w:szCs w:val="20"/>
                <w:highlight w:val="cyan"/>
              </w:rPr>
            </w:pPr>
            <w:r w:rsidRPr="00533BA9">
              <w:rPr>
                <w:rFonts w:ascii="Arial" w:hAnsi="Arial" w:cs="Arial"/>
                <w:color w:val="0E101A"/>
                <w:sz w:val="20"/>
                <w:szCs w:val="20"/>
                <w:highlight w:val="cyan"/>
              </w:rPr>
              <w:t>Lime</w:t>
            </w:r>
          </w:p>
          <w:p w14:paraId="62F58690" w14:textId="77777777" w:rsidR="009F20BB" w:rsidRPr="00533BA9" w:rsidRDefault="009F20BB" w:rsidP="009F20BB">
            <w:pPr>
              <w:pStyle w:val="NormalWeb"/>
              <w:numPr>
                <w:ilvl w:val="0"/>
                <w:numId w:val="7"/>
              </w:numPr>
              <w:spacing w:before="0" w:beforeAutospacing="0" w:after="0" w:afterAutospacing="0" w:line="360" w:lineRule="auto"/>
              <w:ind w:left="2088"/>
              <w:jc w:val="both"/>
              <w:rPr>
                <w:rFonts w:ascii="Arial" w:hAnsi="Arial" w:cs="Arial"/>
                <w:color w:val="0E101A"/>
                <w:sz w:val="20"/>
                <w:szCs w:val="20"/>
                <w:highlight w:val="cyan"/>
              </w:rPr>
            </w:pPr>
            <w:r w:rsidRPr="00533BA9">
              <w:rPr>
                <w:rFonts w:ascii="Arial" w:hAnsi="Arial" w:cs="Arial"/>
                <w:color w:val="0E101A"/>
                <w:sz w:val="20"/>
                <w:szCs w:val="20"/>
                <w:highlight w:val="cyan"/>
              </w:rPr>
              <w:t>Barium sulphate</w:t>
            </w:r>
          </w:p>
        </w:tc>
      </w:tr>
      <w:tr w:rsidR="009F20BB" w14:paraId="5B6FD67A" w14:textId="77777777" w:rsidTr="00442353">
        <w:trPr>
          <w:jc w:val="center"/>
        </w:trPr>
        <w:tc>
          <w:tcPr>
            <w:tcW w:w="5652" w:type="dxa"/>
          </w:tcPr>
          <w:p w14:paraId="07B8E683" w14:textId="77777777" w:rsidR="009F20BB" w:rsidRPr="00A6599E" w:rsidRDefault="009F20BB" w:rsidP="00442353">
            <w:pPr>
              <w:pStyle w:val="NormalWeb"/>
              <w:spacing w:before="0" w:beforeAutospacing="0" w:after="0" w:afterAutospacing="0" w:line="360" w:lineRule="auto"/>
              <w:ind w:left="720"/>
              <w:jc w:val="both"/>
              <w:rPr>
                <w:rFonts w:ascii="Arial" w:hAnsi="Arial" w:cs="Arial"/>
                <w:b/>
                <w:bCs/>
                <w:color w:val="0E101A"/>
                <w:sz w:val="20"/>
                <w:szCs w:val="20"/>
              </w:rPr>
            </w:pPr>
            <w:r w:rsidRPr="00533BA9">
              <w:rPr>
                <w:rFonts w:ascii="Arial" w:hAnsi="Arial" w:cs="Arial"/>
                <w:b/>
                <w:bCs/>
                <w:color w:val="0E101A"/>
                <w:sz w:val="20"/>
                <w:szCs w:val="20"/>
                <w:highlight w:val="cyan"/>
              </w:rPr>
              <w:t>Mixed</w:t>
            </w:r>
            <w:r w:rsidRPr="00A6599E">
              <w:rPr>
                <w:rFonts w:ascii="Arial" w:hAnsi="Arial" w:cs="Arial"/>
                <w:b/>
                <w:bCs/>
                <w:color w:val="0E101A"/>
                <w:sz w:val="20"/>
                <w:szCs w:val="20"/>
              </w:rPr>
              <w:t xml:space="preserve"> </w:t>
            </w:r>
          </w:p>
        </w:tc>
      </w:tr>
    </w:tbl>
    <w:p w14:paraId="1E8DBB8B" w14:textId="77777777" w:rsidR="009F20BB" w:rsidRPr="002A52F0" w:rsidRDefault="009F20BB" w:rsidP="00D41F54">
      <w:pPr>
        <w:pStyle w:val="NormalWeb"/>
        <w:spacing w:before="0" w:beforeAutospacing="0" w:after="0" w:afterAutospacing="0" w:line="360" w:lineRule="auto"/>
        <w:ind w:firstLine="720"/>
        <w:jc w:val="both"/>
        <w:rPr>
          <w:rFonts w:ascii="Arial" w:hAnsi="Arial" w:cs="Arial"/>
          <w:color w:val="0E101A"/>
          <w:sz w:val="20"/>
          <w:szCs w:val="20"/>
        </w:rPr>
      </w:pPr>
    </w:p>
    <w:p w14:paraId="259F3DE0" w14:textId="703F1123" w:rsidR="002A52F0" w:rsidRPr="002A52F0" w:rsidRDefault="002A52F0" w:rsidP="001B4F78">
      <w:pPr>
        <w:pStyle w:val="NormalWeb"/>
        <w:spacing w:before="0" w:beforeAutospacing="0" w:after="0" w:afterAutospacing="0" w:line="360" w:lineRule="auto"/>
        <w:ind w:firstLine="720"/>
        <w:jc w:val="both"/>
        <w:rPr>
          <w:rFonts w:ascii="Arial" w:hAnsi="Arial" w:cs="Arial"/>
          <w:color w:val="0E101A"/>
          <w:sz w:val="20"/>
          <w:szCs w:val="20"/>
        </w:rPr>
      </w:pPr>
      <w:r w:rsidRPr="002A52F0">
        <w:rPr>
          <w:rFonts w:ascii="Arial" w:hAnsi="Arial" w:cs="Arial"/>
          <w:color w:val="0E101A"/>
          <w:sz w:val="20"/>
          <w:szCs w:val="20"/>
        </w:rPr>
        <w:t>The age of presentation of enterolithiasis is largely determined by the underlying pathological condition. In one series of CD patients, the mean duration of symptoms before presenting with enterolith was 15.7 years, reflecting the increasing incidence of strict</w:t>
      </w:r>
      <w:r w:rsidR="0036228F">
        <w:rPr>
          <w:rFonts w:ascii="Arial" w:hAnsi="Arial" w:cs="Arial"/>
          <w:color w:val="0E101A"/>
          <w:sz w:val="20"/>
          <w:szCs w:val="20"/>
        </w:rPr>
        <w:t xml:space="preserve">ure </w:t>
      </w:r>
      <w:r w:rsidR="001B4F78">
        <w:rPr>
          <w:rFonts w:ascii="Arial" w:hAnsi="Arial" w:cs="Arial"/>
          <w:color w:val="0E101A"/>
          <w:sz w:val="20"/>
          <w:szCs w:val="20"/>
        </w:rPr>
        <w:t>formation</w:t>
      </w:r>
      <w:r w:rsidR="0036228F">
        <w:rPr>
          <w:rFonts w:ascii="Arial" w:hAnsi="Arial" w:cs="Arial"/>
          <w:color w:val="0E101A"/>
          <w:sz w:val="20"/>
          <w:szCs w:val="20"/>
        </w:rPr>
        <w:t xml:space="preserve"> over time </w:t>
      </w:r>
      <w:r w:rsidR="0036228F" w:rsidRPr="006750D1">
        <w:rPr>
          <w:rFonts w:ascii="Arial" w:hAnsi="Arial" w:cs="Arial"/>
          <w:color w:val="0F1115"/>
          <w:sz w:val="20"/>
          <w:szCs w:val="20"/>
          <w:highlight w:val="cyan"/>
          <w:shd w:val="clear" w:color="auto" w:fill="FFFFFF"/>
        </w:rPr>
        <w:t>(Mendes Ribeiro et al., 2000)</w:t>
      </w:r>
      <w:r w:rsidRPr="002A52F0">
        <w:rPr>
          <w:rFonts w:ascii="Arial" w:hAnsi="Arial" w:cs="Arial"/>
          <w:color w:val="0E101A"/>
          <w:sz w:val="20"/>
          <w:szCs w:val="20"/>
        </w:rPr>
        <w:t xml:space="preserve">. This pattern is consistent with the history of our patient, who required surgery 20 years after the onset of symptomatic CD. Moreover, our patient had both </w:t>
      </w:r>
      <w:r w:rsidRPr="002A52F0">
        <w:rPr>
          <w:rStyle w:val="Emphasis"/>
          <w:rFonts w:ascii="Arial" w:hAnsi="Arial" w:cs="Arial"/>
          <w:color w:val="0E101A"/>
          <w:sz w:val="20"/>
          <w:szCs w:val="20"/>
        </w:rPr>
        <w:t>de novo</w:t>
      </w:r>
      <w:r w:rsidRPr="002A52F0">
        <w:rPr>
          <w:rFonts w:ascii="Arial" w:hAnsi="Arial" w:cs="Arial"/>
          <w:color w:val="0E101A"/>
          <w:sz w:val="20"/>
          <w:szCs w:val="20"/>
        </w:rPr>
        <w:t xml:space="preserve"> and anastomotic strictures, a finding supported by literature linking an increased risk of </w:t>
      </w:r>
      <w:r w:rsidRPr="002A52F0">
        <w:rPr>
          <w:rStyle w:val="Emphasis"/>
          <w:rFonts w:ascii="Arial" w:hAnsi="Arial" w:cs="Arial"/>
          <w:color w:val="0E101A"/>
          <w:sz w:val="20"/>
          <w:szCs w:val="20"/>
        </w:rPr>
        <w:t xml:space="preserve">de novo </w:t>
      </w:r>
      <w:r w:rsidRPr="002A52F0">
        <w:rPr>
          <w:rFonts w:ascii="Arial" w:hAnsi="Arial" w:cs="Arial"/>
          <w:color w:val="0E101A"/>
          <w:sz w:val="20"/>
          <w:szCs w:val="20"/>
        </w:rPr>
        <w:t xml:space="preserve">stricture to risk factors as ileal involvement, long </w:t>
      </w:r>
      <w:r w:rsidR="001B4F78" w:rsidRPr="002A52F0">
        <w:rPr>
          <w:rFonts w:ascii="Arial" w:hAnsi="Arial" w:cs="Arial"/>
          <w:color w:val="0E101A"/>
          <w:sz w:val="20"/>
          <w:szCs w:val="20"/>
        </w:rPr>
        <w:t xml:space="preserve">disease </w:t>
      </w:r>
      <w:r w:rsidR="001B4F78">
        <w:rPr>
          <w:rFonts w:ascii="Arial" w:hAnsi="Arial" w:cs="Arial"/>
          <w:color w:val="0E101A"/>
          <w:sz w:val="20"/>
          <w:szCs w:val="20"/>
        </w:rPr>
        <w:t>history</w:t>
      </w:r>
      <w:r w:rsidRPr="002A52F0">
        <w:rPr>
          <w:rFonts w:ascii="Arial" w:hAnsi="Arial" w:cs="Arial"/>
          <w:color w:val="0E101A"/>
          <w:sz w:val="20"/>
          <w:szCs w:val="20"/>
        </w:rPr>
        <w:t>, smoking, and history of previous surgery. The anastomotic stricture detected in this case was also reported in up to 46% of patients with CD.</w:t>
      </w:r>
    </w:p>
    <w:p w14:paraId="69158A8C" w14:textId="6D92224F" w:rsidR="002A52F0" w:rsidRPr="002A52F0" w:rsidRDefault="002A52F0" w:rsidP="0036228F">
      <w:pPr>
        <w:pStyle w:val="NormalWeb"/>
        <w:spacing w:before="0" w:beforeAutospacing="0" w:after="0" w:afterAutospacing="0" w:line="360" w:lineRule="auto"/>
        <w:ind w:firstLine="720"/>
        <w:jc w:val="both"/>
        <w:rPr>
          <w:rFonts w:ascii="Arial" w:hAnsi="Arial" w:cs="Arial"/>
          <w:color w:val="0E101A"/>
          <w:sz w:val="20"/>
          <w:szCs w:val="20"/>
        </w:rPr>
      </w:pPr>
      <w:r w:rsidRPr="002A52F0">
        <w:rPr>
          <w:rFonts w:ascii="Arial" w:hAnsi="Arial" w:cs="Arial"/>
          <w:color w:val="0E101A"/>
          <w:sz w:val="20"/>
          <w:szCs w:val="20"/>
        </w:rPr>
        <w:t xml:space="preserve">The presentation of enterolithiasis is often non-specific, but typically includes abdominal pain, nausea, and vomiting. Colicky abdominal pain, vomiting, and constipation are related to IO caused by the stricture, for which surgery is needed in 24-40% of patients </w:t>
      </w:r>
      <w:r w:rsidR="0036228F" w:rsidRPr="006750D1">
        <w:rPr>
          <w:rFonts w:ascii="Arial" w:hAnsi="Arial" w:cs="Arial"/>
          <w:color w:val="0E101A"/>
          <w:sz w:val="20"/>
          <w:szCs w:val="20"/>
          <w:highlight w:val="cyan"/>
        </w:rPr>
        <w:t>(</w:t>
      </w:r>
      <w:proofErr w:type="spellStart"/>
      <w:r w:rsidR="0036228F" w:rsidRPr="006750D1">
        <w:rPr>
          <w:rFonts w:ascii="Arial" w:hAnsi="Arial" w:cs="Arial"/>
          <w:color w:val="0E101A"/>
          <w:sz w:val="20"/>
          <w:szCs w:val="20"/>
          <w:highlight w:val="cyan"/>
        </w:rPr>
        <w:t>Gurvits</w:t>
      </w:r>
      <w:proofErr w:type="spellEnd"/>
      <w:r w:rsidR="0036228F" w:rsidRPr="006750D1">
        <w:rPr>
          <w:rFonts w:ascii="Arial" w:hAnsi="Arial" w:cs="Arial"/>
          <w:color w:val="0E101A"/>
          <w:sz w:val="20"/>
          <w:szCs w:val="20"/>
          <w:highlight w:val="cyan"/>
        </w:rPr>
        <w:t xml:space="preserve"> et al., 2014)</w:t>
      </w:r>
      <w:r w:rsidR="0036228F" w:rsidRPr="002A52F0">
        <w:rPr>
          <w:rFonts w:ascii="Arial" w:hAnsi="Arial" w:cs="Arial"/>
          <w:color w:val="0E101A"/>
          <w:sz w:val="20"/>
          <w:szCs w:val="20"/>
        </w:rPr>
        <w:t>.</w:t>
      </w:r>
      <w:r w:rsidR="0036228F">
        <w:rPr>
          <w:rFonts w:ascii="Arial" w:hAnsi="Arial" w:cs="Arial"/>
          <w:color w:val="0E101A"/>
          <w:sz w:val="20"/>
          <w:szCs w:val="20"/>
        </w:rPr>
        <w:t xml:space="preserve"> </w:t>
      </w:r>
      <w:r w:rsidRPr="002A52F0">
        <w:rPr>
          <w:rFonts w:ascii="Arial" w:hAnsi="Arial" w:cs="Arial"/>
          <w:color w:val="0E101A"/>
          <w:sz w:val="20"/>
          <w:szCs w:val="20"/>
        </w:rPr>
        <w:t xml:space="preserve">These data align with </w:t>
      </w:r>
      <w:r w:rsidRPr="002A52F0">
        <w:rPr>
          <w:rFonts w:ascii="Arial" w:hAnsi="Arial" w:cs="Arial"/>
          <w:color w:val="0E101A"/>
          <w:sz w:val="20"/>
          <w:szCs w:val="20"/>
        </w:rPr>
        <w:lastRenderedPageBreak/>
        <w:t>the clinical presentation of our patient who presented with symptoms of chronic IO due to stricturing ileal CD.</w:t>
      </w:r>
    </w:p>
    <w:p w14:paraId="7A710455" w14:textId="7AC3499A" w:rsidR="002A52F0" w:rsidRPr="002A52F0" w:rsidRDefault="002A52F0" w:rsidP="00D41F54">
      <w:pPr>
        <w:pStyle w:val="NormalWeb"/>
        <w:spacing w:before="0" w:beforeAutospacing="0" w:after="0" w:afterAutospacing="0" w:line="360" w:lineRule="auto"/>
        <w:ind w:firstLine="720"/>
        <w:jc w:val="both"/>
        <w:rPr>
          <w:rFonts w:ascii="Arial" w:hAnsi="Arial" w:cs="Arial"/>
          <w:color w:val="0E101A"/>
          <w:sz w:val="20"/>
          <w:szCs w:val="20"/>
        </w:rPr>
      </w:pPr>
      <w:r w:rsidRPr="002A52F0">
        <w:rPr>
          <w:rFonts w:ascii="Arial" w:hAnsi="Arial" w:cs="Arial"/>
          <w:color w:val="0E101A"/>
          <w:sz w:val="20"/>
          <w:szCs w:val="20"/>
        </w:rPr>
        <w:t>The radiologic findings in our patient were typical of chronic small bowel obstruction (SBO) with an enterolith. The “small intestinal feces sign” describes the presence of particulate feculent material mixed with gas bubbles, resembling the colonic content, in the small intestine proximal to the transition point on CT scan. It is believed to be due to stasis in the distal small bowel, resulting in bacterial overgrowth and increased water absorption from the intestinal contents, leading to accumulation of gas bubbles and incompletely digested food. This sign is highly specific for low-grade SBO, and its recogniti</w:t>
      </w:r>
      <w:r w:rsidR="0036228F">
        <w:rPr>
          <w:rFonts w:ascii="Arial" w:hAnsi="Arial" w:cs="Arial"/>
          <w:color w:val="0E101A"/>
          <w:sz w:val="20"/>
          <w:szCs w:val="20"/>
        </w:rPr>
        <w:t xml:space="preserve">on usually mandates surgery </w:t>
      </w:r>
      <w:r w:rsidR="0036228F" w:rsidRPr="006750D1">
        <w:rPr>
          <w:rFonts w:ascii="Arial" w:hAnsi="Arial" w:cs="Arial"/>
          <w:color w:val="0E101A"/>
          <w:sz w:val="20"/>
          <w:szCs w:val="20"/>
          <w:highlight w:val="cyan"/>
        </w:rPr>
        <w:t>(</w:t>
      </w:r>
      <w:proofErr w:type="spellStart"/>
      <w:r w:rsidR="0036228F" w:rsidRPr="006750D1">
        <w:rPr>
          <w:rFonts w:ascii="Arial" w:hAnsi="Arial" w:cs="Arial"/>
          <w:color w:val="0E101A"/>
          <w:sz w:val="20"/>
          <w:szCs w:val="20"/>
          <w:highlight w:val="cyan"/>
        </w:rPr>
        <w:t>Fuchsjäger</w:t>
      </w:r>
      <w:proofErr w:type="spellEnd"/>
      <w:r w:rsidR="0036228F" w:rsidRPr="006750D1">
        <w:rPr>
          <w:rFonts w:ascii="Arial" w:hAnsi="Arial" w:cs="Arial"/>
          <w:color w:val="0E101A"/>
          <w:sz w:val="20"/>
          <w:szCs w:val="20"/>
          <w:highlight w:val="cyan"/>
        </w:rPr>
        <w:t xml:space="preserve"> 2002)</w:t>
      </w:r>
      <w:r w:rsidRPr="002A52F0">
        <w:rPr>
          <w:rFonts w:ascii="Arial" w:hAnsi="Arial" w:cs="Arial"/>
          <w:color w:val="0E101A"/>
          <w:sz w:val="20"/>
          <w:szCs w:val="20"/>
        </w:rPr>
        <w:t xml:space="preserve">. Again, these data align well with those in the current report. </w:t>
      </w:r>
    </w:p>
    <w:p w14:paraId="487F4C2F" w14:textId="77777777" w:rsidR="006750D1" w:rsidRDefault="002A52F0" w:rsidP="006750D1">
      <w:pPr>
        <w:pStyle w:val="NormalWeb"/>
        <w:spacing w:before="0" w:beforeAutospacing="0" w:after="0" w:afterAutospacing="0" w:line="360" w:lineRule="auto"/>
        <w:ind w:firstLine="720"/>
        <w:jc w:val="both"/>
        <w:rPr>
          <w:rFonts w:ascii="Arial" w:hAnsi="Arial" w:cs="Arial"/>
          <w:color w:val="0F1115"/>
          <w:sz w:val="20"/>
          <w:szCs w:val="20"/>
          <w:shd w:val="clear" w:color="auto" w:fill="FFFFFF"/>
        </w:rPr>
      </w:pPr>
      <w:r w:rsidRPr="002A52F0">
        <w:rPr>
          <w:rFonts w:ascii="Arial" w:hAnsi="Arial" w:cs="Arial"/>
          <w:color w:val="0F1115"/>
          <w:sz w:val="20"/>
          <w:szCs w:val="20"/>
          <w:shd w:val="clear" w:color="auto" w:fill="FFFFFF"/>
        </w:rPr>
        <w:t>Small bowel resection, chronic inflammation, and an ileal stricture had led to intestinal insufficiency, as defined by the European Society for Clinical Nutri</w:t>
      </w:r>
      <w:r w:rsidR="001960A7">
        <w:rPr>
          <w:rFonts w:ascii="Arial" w:hAnsi="Arial" w:cs="Arial"/>
          <w:color w:val="0F1115"/>
          <w:sz w:val="20"/>
          <w:szCs w:val="20"/>
          <w:shd w:val="clear" w:color="auto" w:fill="FFFFFF"/>
        </w:rPr>
        <w:t xml:space="preserve">tion and Metabolism (ESPEN) </w:t>
      </w:r>
      <w:r w:rsidR="001960A7" w:rsidRPr="006750D1">
        <w:rPr>
          <w:rFonts w:ascii="Arial" w:hAnsi="Arial" w:cs="Arial"/>
          <w:color w:val="0F1115"/>
          <w:sz w:val="20"/>
          <w:szCs w:val="20"/>
          <w:highlight w:val="cyan"/>
          <w:shd w:val="clear" w:color="auto" w:fill="FFFFFF"/>
        </w:rPr>
        <w:t>(</w:t>
      </w:r>
      <w:proofErr w:type="spellStart"/>
      <w:r w:rsidR="001960A7" w:rsidRPr="006750D1">
        <w:rPr>
          <w:rFonts w:ascii="Arial" w:hAnsi="Arial" w:cs="Arial"/>
          <w:color w:val="0F1115"/>
          <w:sz w:val="20"/>
          <w:szCs w:val="20"/>
          <w:highlight w:val="cyan"/>
          <w:shd w:val="clear" w:color="auto" w:fill="FFFFFF"/>
        </w:rPr>
        <w:t>Pironi</w:t>
      </w:r>
      <w:proofErr w:type="spellEnd"/>
      <w:r w:rsidR="001960A7" w:rsidRPr="006750D1">
        <w:rPr>
          <w:rFonts w:ascii="Arial" w:hAnsi="Arial" w:cs="Arial"/>
          <w:color w:val="0F1115"/>
          <w:sz w:val="20"/>
          <w:szCs w:val="20"/>
          <w:highlight w:val="cyan"/>
          <w:shd w:val="clear" w:color="auto" w:fill="FFFFFF"/>
        </w:rPr>
        <w:t xml:space="preserve"> et al., 2023)</w:t>
      </w:r>
      <w:r w:rsidRPr="002A52F0">
        <w:rPr>
          <w:rFonts w:ascii="Arial" w:hAnsi="Arial" w:cs="Arial"/>
          <w:color w:val="0F1115"/>
          <w:sz w:val="20"/>
          <w:szCs w:val="20"/>
          <w:shd w:val="clear" w:color="auto" w:fill="FFFFFF"/>
        </w:rPr>
        <w:t>, with subsequent macronutrient and multiple electrolyte deficiencies. Since major surgery in this context increases the risk of complications and the hospital LOS, ESPEN guidelines strongly recommends preop</w:t>
      </w:r>
      <w:r w:rsidR="001960A7">
        <w:rPr>
          <w:rFonts w:ascii="Arial" w:hAnsi="Arial" w:cs="Arial"/>
          <w:color w:val="0F1115"/>
          <w:sz w:val="20"/>
          <w:szCs w:val="20"/>
          <w:shd w:val="clear" w:color="auto" w:fill="FFFFFF"/>
        </w:rPr>
        <w:t xml:space="preserve">erative nutritional support </w:t>
      </w:r>
      <w:r w:rsidR="001960A7" w:rsidRPr="006750D1">
        <w:rPr>
          <w:rFonts w:ascii="Arial" w:hAnsi="Arial" w:cs="Arial"/>
          <w:color w:val="0F1115"/>
          <w:sz w:val="20"/>
          <w:szCs w:val="20"/>
          <w:highlight w:val="cyan"/>
          <w:shd w:val="clear" w:color="auto" w:fill="FFFFFF"/>
        </w:rPr>
        <w:t>(</w:t>
      </w:r>
      <w:proofErr w:type="spellStart"/>
      <w:r w:rsidR="001960A7" w:rsidRPr="006750D1">
        <w:rPr>
          <w:rFonts w:ascii="Arial" w:hAnsi="Arial" w:cs="Arial"/>
          <w:color w:val="0F1115"/>
          <w:sz w:val="20"/>
          <w:szCs w:val="20"/>
          <w:highlight w:val="cyan"/>
          <w:shd w:val="clear" w:color="auto" w:fill="FFFFFF"/>
        </w:rPr>
        <w:t>Weimann</w:t>
      </w:r>
      <w:proofErr w:type="spellEnd"/>
      <w:r w:rsidR="001960A7" w:rsidRPr="006750D1">
        <w:rPr>
          <w:rFonts w:ascii="Arial" w:hAnsi="Arial" w:cs="Arial"/>
          <w:color w:val="0F1115"/>
          <w:sz w:val="20"/>
          <w:szCs w:val="20"/>
          <w:highlight w:val="cyan"/>
          <w:shd w:val="clear" w:color="auto" w:fill="FFFFFF"/>
        </w:rPr>
        <w:t xml:space="preserve"> et al., 2021)</w:t>
      </w:r>
      <w:r w:rsidRPr="002A52F0">
        <w:rPr>
          <w:rFonts w:ascii="Arial" w:hAnsi="Arial" w:cs="Arial"/>
          <w:color w:val="0F1115"/>
          <w:sz w:val="20"/>
          <w:szCs w:val="20"/>
          <w:shd w:val="clear" w:color="auto" w:fill="FFFFFF"/>
        </w:rPr>
        <w:t>. The uneventful postoperative course and the short LOS in our patient can be attributed, at least partly, to this preoperative nutritional optimization, coupled with the early PO resumption of oral feeding.</w:t>
      </w:r>
    </w:p>
    <w:p w14:paraId="43676783" w14:textId="3DC13838" w:rsidR="001960A7" w:rsidRDefault="002A52F0" w:rsidP="008B35B8">
      <w:pPr>
        <w:pStyle w:val="NormalWeb"/>
        <w:spacing w:before="0" w:beforeAutospacing="0" w:after="0" w:afterAutospacing="0" w:line="360" w:lineRule="auto"/>
        <w:ind w:firstLine="720"/>
        <w:jc w:val="both"/>
        <w:rPr>
          <w:rFonts w:ascii="Arial" w:hAnsi="Arial" w:cs="Arial"/>
          <w:sz w:val="20"/>
          <w:szCs w:val="20"/>
          <w:lang w:bidi="ar-EG"/>
        </w:rPr>
      </w:pPr>
      <w:r w:rsidRPr="002A52F0">
        <w:rPr>
          <w:rFonts w:ascii="Arial" w:hAnsi="Arial" w:cs="Arial"/>
          <w:color w:val="0E101A"/>
          <w:sz w:val="20"/>
          <w:szCs w:val="20"/>
        </w:rPr>
        <w:t xml:space="preserve">Given </w:t>
      </w:r>
      <w:r w:rsidR="008B35B8">
        <w:rPr>
          <w:rFonts w:ascii="Arial" w:hAnsi="Arial" w:cs="Arial"/>
          <w:color w:val="0E101A"/>
          <w:sz w:val="20"/>
          <w:szCs w:val="20"/>
        </w:rPr>
        <w:t xml:space="preserve">the </w:t>
      </w:r>
      <w:r w:rsidRPr="002A52F0">
        <w:rPr>
          <w:rFonts w:ascii="Arial" w:hAnsi="Arial" w:cs="Arial"/>
          <w:color w:val="0E101A"/>
          <w:sz w:val="20"/>
          <w:szCs w:val="20"/>
        </w:rPr>
        <w:t>history of small bowel resection</w:t>
      </w:r>
      <w:r w:rsidR="008B35B8">
        <w:rPr>
          <w:rFonts w:ascii="Arial" w:hAnsi="Arial" w:cs="Arial"/>
          <w:color w:val="0E101A"/>
          <w:sz w:val="20"/>
          <w:szCs w:val="20"/>
        </w:rPr>
        <w:t xml:space="preserve"> and the operative findings suggestive of CD</w:t>
      </w:r>
      <w:r w:rsidRPr="002A52F0">
        <w:rPr>
          <w:rFonts w:ascii="Arial" w:hAnsi="Arial" w:cs="Arial"/>
          <w:color w:val="0E101A"/>
          <w:sz w:val="20"/>
          <w:szCs w:val="20"/>
        </w:rPr>
        <w:t xml:space="preserve">, every effort was made to preserve as much small bowel as possible to prevent the development of short bowel syndrome. These efforts included </w:t>
      </w:r>
      <w:proofErr w:type="spellStart"/>
      <w:r w:rsidRPr="002A52F0">
        <w:rPr>
          <w:rFonts w:ascii="Arial" w:hAnsi="Arial" w:cs="Arial"/>
          <w:color w:val="0E101A"/>
          <w:sz w:val="20"/>
          <w:szCs w:val="20"/>
        </w:rPr>
        <w:t>stricturoplasty</w:t>
      </w:r>
      <w:proofErr w:type="spellEnd"/>
      <w:r w:rsidRPr="002A52F0">
        <w:rPr>
          <w:rFonts w:ascii="Arial" w:hAnsi="Arial" w:cs="Arial"/>
          <w:color w:val="0E101A"/>
          <w:sz w:val="20"/>
          <w:szCs w:val="20"/>
        </w:rPr>
        <w:t xml:space="preserve"> of the jejunal stricture, and limiting resection to the unsalvageable bowel only.</w:t>
      </w:r>
      <w:r w:rsidR="008A0C15" w:rsidRPr="008A0C15">
        <w:rPr>
          <w:rFonts w:ascii="Arial" w:hAnsi="Arial" w:cs="Arial"/>
          <w:sz w:val="20"/>
          <w:szCs w:val="20"/>
          <w:lang w:bidi="ar-EG"/>
        </w:rPr>
        <w:t xml:space="preserve"> </w:t>
      </w:r>
    </w:p>
    <w:p w14:paraId="246FF431" w14:textId="77777777" w:rsidR="00770D2D" w:rsidRDefault="00770D2D" w:rsidP="00770D2D">
      <w:pPr>
        <w:pStyle w:val="NormalWeb"/>
        <w:spacing w:before="0" w:beforeAutospacing="0" w:after="0" w:afterAutospacing="0" w:line="360" w:lineRule="auto"/>
        <w:jc w:val="both"/>
        <w:rPr>
          <w:rStyle w:val="Strong"/>
          <w:rFonts w:ascii="Segoe UI" w:hAnsi="Segoe UI" w:cs="Segoe UI"/>
          <w:color w:val="0F1115"/>
          <w:shd w:val="clear" w:color="auto" w:fill="FFFFFF"/>
        </w:rPr>
      </w:pPr>
      <w:r>
        <w:rPr>
          <w:rStyle w:val="Strong"/>
          <w:rFonts w:ascii="Segoe UI" w:hAnsi="Segoe UI" w:cs="Segoe UI"/>
          <w:color w:val="0F1115"/>
          <w:shd w:val="clear" w:color="auto" w:fill="FFFFFF"/>
        </w:rPr>
        <w:t xml:space="preserve">Learning Points: </w:t>
      </w:r>
    </w:p>
    <w:p w14:paraId="48899796" w14:textId="238BAA01" w:rsidR="00770D2D" w:rsidRDefault="00770D2D" w:rsidP="00770D2D">
      <w:pPr>
        <w:pStyle w:val="NormalWeb"/>
        <w:spacing w:before="0" w:beforeAutospacing="0" w:after="0" w:afterAutospacing="0" w:line="360" w:lineRule="auto"/>
        <w:rPr>
          <w:rFonts w:ascii="Arial" w:hAnsi="Arial" w:cs="Arial"/>
          <w:color w:val="0E101A"/>
          <w:sz w:val="20"/>
          <w:szCs w:val="20"/>
        </w:rPr>
      </w:pPr>
      <w:r w:rsidRPr="00770D2D">
        <w:rPr>
          <w:rFonts w:ascii="Arial" w:hAnsi="Arial" w:cs="Arial"/>
          <w:color w:val="0E101A"/>
          <w:sz w:val="20"/>
          <w:szCs w:val="20"/>
        </w:rPr>
        <w:t xml:space="preserve">Management of </w:t>
      </w:r>
      <w:r>
        <w:rPr>
          <w:rFonts w:ascii="Arial" w:hAnsi="Arial" w:cs="Arial"/>
          <w:color w:val="0E101A"/>
          <w:sz w:val="20"/>
          <w:szCs w:val="20"/>
        </w:rPr>
        <w:t>s</w:t>
      </w:r>
      <w:r w:rsidRPr="00770D2D">
        <w:rPr>
          <w:rFonts w:ascii="Arial" w:hAnsi="Arial" w:cs="Arial"/>
          <w:color w:val="0E101A"/>
          <w:sz w:val="20"/>
          <w:szCs w:val="20"/>
        </w:rPr>
        <w:t xml:space="preserve">mall </w:t>
      </w:r>
      <w:r>
        <w:rPr>
          <w:rFonts w:ascii="Arial" w:hAnsi="Arial" w:cs="Arial"/>
          <w:color w:val="0E101A"/>
          <w:sz w:val="20"/>
          <w:szCs w:val="20"/>
        </w:rPr>
        <w:t>b</w:t>
      </w:r>
      <w:r w:rsidRPr="00770D2D">
        <w:rPr>
          <w:rFonts w:ascii="Arial" w:hAnsi="Arial" w:cs="Arial"/>
          <w:color w:val="0E101A"/>
          <w:sz w:val="20"/>
          <w:szCs w:val="20"/>
        </w:rPr>
        <w:t xml:space="preserve">owel </w:t>
      </w:r>
      <w:r>
        <w:rPr>
          <w:rFonts w:ascii="Arial" w:hAnsi="Arial" w:cs="Arial"/>
          <w:color w:val="0E101A"/>
          <w:sz w:val="20"/>
          <w:szCs w:val="20"/>
        </w:rPr>
        <w:t>s</w:t>
      </w:r>
      <w:r w:rsidRPr="00770D2D">
        <w:rPr>
          <w:rFonts w:ascii="Arial" w:hAnsi="Arial" w:cs="Arial"/>
          <w:color w:val="0E101A"/>
          <w:sz w:val="20"/>
          <w:szCs w:val="20"/>
        </w:rPr>
        <w:t xml:space="preserve">tricture with </w:t>
      </w:r>
      <w:r>
        <w:rPr>
          <w:rFonts w:ascii="Arial" w:hAnsi="Arial" w:cs="Arial"/>
          <w:color w:val="0E101A"/>
          <w:sz w:val="20"/>
          <w:szCs w:val="20"/>
        </w:rPr>
        <w:t>primary e</w:t>
      </w:r>
      <w:r w:rsidRPr="00770D2D">
        <w:rPr>
          <w:rFonts w:ascii="Arial" w:hAnsi="Arial" w:cs="Arial"/>
          <w:color w:val="0E101A"/>
          <w:sz w:val="20"/>
          <w:szCs w:val="20"/>
        </w:rPr>
        <w:t>nterolith/</w:t>
      </w:r>
      <w:proofErr w:type="spellStart"/>
      <w:r>
        <w:rPr>
          <w:rFonts w:ascii="Arial" w:hAnsi="Arial" w:cs="Arial"/>
          <w:color w:val="0E101A"/>
          <w:sz w:val="20"/>
          <w:szCs w:val="20"/>
        </w:rPr>
        <w:t>f</w:t>
      </w:r>
      <w:r w:rsidRPr="00770D2D">
        <w:rPr>
          <w:rFonts w:ascii="Arial" w:hAnsi="Arial" w:cs="Arial"/>
          <w:color w:val="0E101A"/>
          <w:sz w:val="20"/>
          <w:szCs w:val="20"/>
        </w:rPr>
        <w:t>ecalization</w:t>
      </w:r>
      <w:proofErr w:type="spellEnd"/>
      <w:r w:rsidRPr="00770D2D">
        <w:rPr>
          <w:rFonts w:ascii="Arial" w:hAnsi="Arial" w:cs="Arial"/>
          <w:color w:val="0E101A"/>
          <w:sz w:val="20"/>
          <w:szCs w:val="20"/>
        </w:rPr>
        <w:t xml:space="preserve"> </w:t>
      </w:r>
      <w:r>
        <w:rPr>
          <w:rFonts w:ascii="Arial" w:hAnsi="Arial" w:cs="Arial"/>
          <w:color w:val="0E101A"/>
          <w:sz w:val="20"/>
          <w:szCs w:val="20"/>
        </w:rPr>
        <w:t xml:space="preserve">in patients with CD: </w:t>
      </w:r>
    </w:p>
    <w:p w14:paraId="328BB507" w14:textId="5F3DC7E3" w:rsidR="00770D2D" w:rsidRDefault="00770D2D" w:rsidP="00770D2D">
      <w:pPr>
        <w:pStyle w:val="NormalWeb"/>
        <w:numPr>
          <w:ilvl w:val="0"/>
          <w:numId w:val="13"/>
        </w:numPr>
        <w:spacing w:before="0" w:beforeAutospacing="0" w:after="0" w:afterAutospacing="0" w:line="360" w:lineRule="auto"/>
        <w:rPr>
          <w:rFonts w:ascii="Arial" w:hAnsi="Arial" w:cs="Arial"/>
          <w:color w:val="0E101A"/>
          <w:sz w:val="20"/>
          <w:szCs w:val="20"/>
        </w:rPr>
      </w:pPr>
      <w:r>
        <w:rPr>
          <w:rFonts w:ascii="Arial" w:hAnsi="Arial" w:cs="Arial"/>
          <w:color w:val="0E101A"/>
          <w:sz w:val="20"/>
          <w:szCs w:val="20"/>
        </w:rPr>
        <w:t>Diagnosis: CECT is highly sensitive</w:t>
      </w:r>
      <w:r w:rsidR="0066752F">
        <w:rPr>
          <w:rFonts w:ascii="Arial" w:hAnsi="Arial" w:cs="Arial"/>
          <w:color w:val="0E101A"/>
          <w:sz w:val="20"/>
          <w:szCs w:val="20"/>
        </w:rPr>
        <w:t>.</w:t>
      </w:r>
      <w:r>
        <w:rPr>
          <w:rFonts w:ascii="Arial" w:hAnsi="Arial" w:cs="Arial"/>
          <w:color w:val="0E101A"/>
          <w:sz w:val="20"/>
          <w:szCs w:val="20"/>
        </w:rPr>
        <w:t xml:space="preserve"> </w:t>
      </w:r>
    </w:p>
    <w:p w14:paraId="4EDE2F67" w14:textId="34ACA283" w:rsidR="00770D2D" w:rsidRDefault="00770D2D" w:rsidP="00770D2D">
      <w:pPr>
        <w:pStyle w:val="NormalWeb"/>
        <w:numPr>
          <w:ilvl w:val="0"/>
          <w:numId w:val="13"/>
        </w:numPr>
        <w:spacing w:before="0" w:beforeAutospacing="0" w:after="0" w:afterAutospacing="0" w:line="360" w:lineRule="auto"/>
        <w:rPr>
          <w:rFonts w:ascii="Arial" w:hAnsi="Arial" w:cs="Arial"/>
          <w:color w:val="0E101A"/>
          <w:sz w:val="20"/>
          <w:szCs w:val="20"/>
        </w:rPr>
      </w:pPr>
      <w:r w:rsidRPr="00770D2D">
        <w:rPr>
          <w:rFonts w:ascii="Arial" w:hAnsi="Arial" w:cs="Arial"/>
          <w:color w:val="0E101A"/>
          <w:sz w:val="20"/>
          <w:szCs w:val="20"/>
        </w:rPr>
        <w:t xml:space="preserve">Indication for </w:t>
      </w:r>
      <w:r>
        <w:rPr>
          <w:rFonts w:ascii="Arial" w:hAnsi="Arial" w:cs="Arial"/>
          <w:color w:val="0E101A"/>
          <w:sz w:val="20"/>
          <w:szCs w:val="20"/>
        </w:rPr>
        <w:t>s</w:t>
      </w:r>
      <w:r w:rsidRPr="00770D2D">
        <w:rPr>
          <w:rFonts w:ascii="Arial" w:hAnsi="Arial" w:cs="Arial"/>
          <w:color w:val="0E101A"/>
          <w:sz w:val="20"/>
          <w:szCs w:val="20"/>
        </w:rPr>
        <w:t>urgery: </w:t>
      </w:r>
      <w:r>
        <w:rPr>
          <w:rFonts w:ascii="Arial" w:hAnsi="Arial" w:cs="Arial"/>
          <w:color w:val="0E101A"/>
          <w:sz w:val="20"/>
          <w:szCs w:val="20"/>
        </w:rPr>
        <w:t>s</w:t>
      </w:r>
      <w:r w:rsidRPr="00770D2D">
        <w:rPr>
          <w:rFonts w:ascii="Arial" w:hAnsi="Arial" w:cs="Arial"/>
          <w:color w:val="0E101A"/>
          <w:sz w:val="20"/>
          <w:szCs w:val="20"/>
        </w:rPr>
        <w:t>urgical intervention is typically required.</w:t>
      </w:r>
    </w:p>
    <w:p w14:paraId="1FF4A08F" w14:textId="77777777" w:rsidR="00770D2D" w:rsidRDefault="00770D2D" w:rsidP="00770D2D">
      <w:pPr>
        <w:pStyle w:val="NormalWeb"/>
        <w:numPr>
          <w:ilvl w:val="0"/>
          <w:numId w:val="13"/>
        </w:numPr>
        <w:spacing w:before="0" w:beforeAutospacing="0" w:after="0" w:afterAutospacing="0" w:line="360" w:lineRule="auto"/>
        <w:rPr>
          <w:rFonts w:ascii="Arial" w:hAnsi="Arial" w:cs="Arial"/>
          <w:color w:val="0E101A"/>
          <w:sz w:val="20"/>
          <w:szCs w:val="20"/>
        </w:rPr>
      </w:pPr>
      <w:r w:rsidRPr="00770D2D">
        <w:rPr>
          <w:rFonts w:ascii="Arial" w:hAnsi="Arial" w:cs="Arial"/>
          <w:color w:val="0E101A"/>
          <w:sz w:val="20"/>
          <w:szCs w:val="20"/>
        </w:rPr>
        <w:t xml:space="preserve">Preoperative </w:t>
      </w:r>
      <w:r>
        <w:rPr>
          <w:rFonts w:ascii="Arial" w:hAnsi="Arial" w:cs="Arial"/>
          <w:color w:val="0E101A"/>
          <w:sz w:val="20"/>
          <w:szCs w:val="20"/>
        </w:rPr>
        <w:t>o</w:t>
      </w:r>
      <w:r w:rsidRPr="00770D2D">
        <w:rPr>
          <w:rFonts w:ascii="Arial" w:hAnsi="Arial" w:cs="Arial"/>
          <w:color w:val="0E101A"/>
          <w:sz w:val="20"/>
          <w:szCs w:val="20"/>
        </w:rPr>
        <w:t>ptimization: </w:t>
      </w:r>
      <w:r>
        <w:rPr>
          <w:rFonts w:ascii="Arial" w:hAnsi="Arial" w:cs="Arial"/>
          <w:color w:val="0E101A"/>
          <w:sz w:val="20"/>
          <w:szCs w:val="20"/>
        </w:rPr>
        <w:t>n</w:t>
      </w:r>
      <w:r w:rsidRPr="00770D2D">
        <w:rPr>
          <w:rFonts w:ascii="Arial" w:hAnsi="Arial" w:cs="Arial"/>
          <w:color w:val="0E101A"/>
          <w:sz w:val="20"/>
          <w:szCs w:val="20"/>
        </w:rPr>
        <w:t>utritional correction is an essential preparatory step.</w:t>
      </w:r>
    </w:p>
    <w:p w14:paraId="1B21A763" w14:textId="0D0DA348" w:rsidR="00770D2D" w:rsidRPr="00770D2D" w:rsidRDefault="00770D2D" w:rsidP="00770D2D">
      <w:pPr>
        <w:pStyle w:val="NormalWeb"/>
        <w:numPr>
          <w:ilvl w:val="0"/>
          <w:numId w:val="13"/>
        </w:numPr>
        <w:spacing w:before="0" w:beforeAutospacing="0" w:after="0" w:afterAutospacing="0" w:line="360" w:lineRule="auto"/>
        <w:rPr>
          <w:rFonts w:ascii="Arial" w:hAnsi="Arial" w:cs="Arial"/>
          <w:color w:val="0E101A"/>
          <w:sz w:val="20"/>
          <w:szCs w:val="20"/>
        </w:rPr>
      </w:pPr>
      <w:r>
        <w:rPr>
          <w:rFonts w:ascii="Arial" w:hAnsi="Arial" w:cs="Arial"/>
          <w:color w:val="0E101A"/>
          <w:sz w:val="20"/>
          <w:szCs w:val="20"/>
        </w:rPr>
        <w:t>Surgical a</w:t>
      </w:r>
      <w:r w:rsidRPr="00770D2D">
        <w:rPr>
          <w:rFonts w:ascii="Arial" w:hAnsi="Arial" w:cs="Arial"/>
          <w:color w:val="0E101A"/>
          <w:sz w:val="20"/>
          <w:szCs w:val="20"/>
        </w:rPr>
        <w:t>pproach: </w:t>
      </w:r>
      <w:r>
        <w:rPr>
          <w:rFonts w:ascii="Arial" w:hAnsi="Arial" w:cs="Arial"/>
          <w:color w:val="0E101A"/>
          <w:sz w:val="20"/>
          <w:szCs w:val="20"/>
        </w:rPr>
        <w:t>while r</w:t>
      </w:r>
      <w:r w:rsidRPr="00770D2D">
        <w:rPr>
          <w:rFonts w:ascii="Arial" w:hAnsi="Arial" w:cs="Arial"/>
          <w:color w:val="0E101A"/>
          <w:sz w:val="20"/>
          <w:szCs w:val="20"/>
        </w:rPr>
        <w:t xml:space="preserve">esection </w:t>
      </w:r>
      <w:r>
        <w:rPr>
          <w:rFonts w:ascii="Arial" w:hAnsi="Arial" w:cs="Arial"/>
          <w:color w:val="0E101A"/>
          <w:sz w:val="20"/>
          <w:szCs w:val="20"/>
        </w:rPr>
        <w:t xml:space="preserve">is curative, it should be </w:t>
      </w:r>
      <w:r w:rsidRPr="00770D2D">
        <w:rPr>
          <w:rFonts w:ascii="Arial" w:hAnsi="Arial" w:cs="Arial"/>
          <w:color w:val="0E101A"/>
          <w:sz w:val="20"/>
          <w:szCs w:val="20"/>
        </w:rPr>
        <w:t>l</w:t>
      </w:r>
      <w:r>
        <w:rPr>
          <w:rFonts w:ascii="Arial" w:hAnsi="Arial" w:cs="Arial"/>
          <w:color w:val="0E101A"/>
          <w:sz w:val="20"/>
          <w:szCs w:val="20"/>
        </w:rPr>
        <w:t>imited to preserve small</w:t>
      </w:r>
      <w:r w:rsidR="0066752F">
        <w:rPr>
          <w:rFonts w:ascii="Arial" w:hAnsi="Arial" w:cs="Arial"/>
          <w:color w:val="0E101A"/>
          <w:sz w:val="20"/>
          <w:szCs w:val="20"/>
        </w:rPr>
        <w:t xml:space="preserve"> bowel length.</w:t>
      </w:r>
    </w:p>
    <w:p w14:paraId="767269D4" w14:textId="77777777" w:rsidR="009C6CD2" w:rsidRPr="006750D1" w:rsidRDefault="009C6CD2" w:rsidP="006750D1">
      <w:pPr>
        <w:pStyle w:val="NormalWeb"/>
        <w:spacing w:before="0" w:beforeAutospacing="0" w:after="0" w:afterAutospacing="0" w:line="360" w:lineRule="auto"/>
        <w:ind w:firstLine="720"/>
        <w:jc w:val="both"/>
        <w:rPr>
          <w:rFonts w:ascii="Arial" w:hAnsi="Arial" w:cs="Arial"/>
          <w:color w:val="0E101A"/>
          <w:sz w:val="20"/>
          <w:szCs w:val="20"/>
        </w:rPr>
      </w:pPr>
    </w:p>
    <w:p w14:paraId="5344AE84" w14:textId="64822540" w:rsidR="002A52F0" w:rsidRPr="002A52F0" w:rsidRDefault="002A52F0" w:rsidP="00D41F54">
      <w:pPr>
        <w:pStyle w:val="NormalWeb"/>
        <w:spacing w:before="0" w:beforeAutospacing="0" w:after="0" w:afterAutospacing="0" w:line="360" w:lineRule="auto"/>
        <w:ind w:firstLine="720"/>
        <w:jc w:val="both"/>
        <w:rPr>
          <w:rFonts w:ascii="Arial" w:hAnsi="Arial" w:cs="Arial"/>
          <w:color w:val="0E101A"/>
          <w:sz w:val="20"/>
          <w:szCs w:val="20"/>
        </w:rPr>
      </w:pPr>
    </w:p>
    <w:p w14:paraId="0CE7EA01" w14:textId="77777777" w:rsidR="002A52F0" w:rsidRPr="002A52F0" w:rsidRDefault="002A52F0" w:rsidP="0024307A">
      <w:pPr>
        <w:pStyle w:val="NormalWeb"/>
        <w:spacing w:before="0" w:beforeAutospacing="0" w:after="0" w:afterAutospacing="0" w:line="360" w:lineRule="auto"/>
        <w:rPr>
          <w:rFonts w:ascii="Arial" w:hAnsi="Arial" w:cs="Arial"/>
          <w:color w:val="0E101A"/>
          <w:sz w:val="22"/>
          <w:szCs w:val="22"/>
        </w:rPr>
      </w:pPr>
      <w:r w:rsidRPr="002A52F0">
        <w:rPr>
          <w:rStyle w:val="Strong"/>
          <w:rFonts w:ascii="Arial" w:hAnsi="Arial" w:cs="Arial"/>
          <w:color w:val="0E101A"/>
          <w:sz w:val="22"/>
          <w:szCs w:val="22"/>
        </w:rPr>
        <w:t>CONCLUSION</w:t>
      </w:r>
    </w:p>
    <w:p w14:paraId="3808D8FE" w14:textId="77777777" w:rsidR="002A52F0" w:rsidRPr="002A52F0" w:rsidRDefault="002A52F0" w:rsidP="00D41F54">
      <w:pPr>
        <w:pStyle w:val="NormalWeb"/>
        <w:spacing w:before="0" w:beforeAutospacing="0" w:after="0" w:afterAutospacing="0" w:line="360" w:lineRule="auto"/>
        <w:ind w:firstLine="720"/>
        <w:jc w:val="both"/>
        <w:rPr>
          <w:rFonts w:ascii="Arial" w:hAnsi="Arial" w:cs="Arial"/>
          <w:color w:val="0E101A"/>
          <w:sz w:val="20"/>
          <w:szCs w:val="20"/>
        </w:rPr>
      </w:pPr>
      <w:r w:rsidRPr="002A52F0">
        <w:rPr>
          <w:rFonts w:ascii="Arial" w:hAnsi="Arial" w:cs="Arial"/>
          <w:color w:val="0E101A"/>
          <w:sz w:val="20"/>
          <w:szCs w:val="20"/>
        </w:rPr>
        <w:t xml:space="preserve">Approximately 50% of patients with chronic CD will eventually develop stricture, which is the leading cause of IO mandating surgery in these patients. Furthermore, stricture-induced stasis may induce the formation of enteroliths. This case report illustrates this progression in an adult male who developed chronic SBO and a primary enterolith due to stricturing CD two decades after his initial surgery. Successful management hinges on a thorough preoperative workup to confirm the level of stricture and exclude other pathologies, coupled with careful nutritional optimization and meticulous </w:t>
      </w:r>
      <w:r w:rsidRPr="002A52F0">
        <w:rPr>
          <w:rFonts w:ascii="Arial" w:hAnsi="Arial" w:cs="Arial"/>
          <w:color w:val="0E101A"/>
          <w:sz w:val="20"/>
          <w:szCs w:val="20"/>
        </w:rPr>
        <w:lastRenderedPageBreak/>
        <w:t>surgical technique. Especially in patients with history of small bowel resection, stricturoplasty is strongly recommended, reserving resection to unsalvageable bowel segments only.</w:t>
      </w:r>
    </w:p>
    <w:p w14:paraId="46795DB1" w14:textId="77777777" w:rsidR="002A52F0" w:rsidRPr="002A52F0" w:rsidRDefault="002A52F0" w:rsidP="00D41F54">
      <w:pPr>
        <w:pStyle w:val="NormalWeb"/>
        <w:spacing w:before="0" w:beforeAutospacing="0" w:after="0" w:afterAutospacing="0" w:line="360" w:lineRule="auto"/>
        <w:jc w:val="both"/>
        <w:rPr>
          <w:rFonts w:ascii="Arial" w:hAnsi="Arial" w:cs="Arial"/>
          <w:color w:val="212121"/>
          <w:sz w:val="20"/>
          <w:szCs w:val="20"/>
          <w:shd w:val="clear" w:color="auto" w:fill="FFFFFF"/>
        </w:rPr>
      </w:pPr>
    </w:p>
    <w:p w14:paraId="390C2BD7" w14:textId="77777777" w:rsidR="002A52F0" w:rsidRPr="002A52F0" w:rsidRDefault="002A52F0" w:rsidP="0024307A">
      <w:pPr>
        <w:pStyle w:val="NormalWeb"/>
        <w:spacing w:before="0" w:beforeAutospacing="0" w:after="0" w:afterAutospacing="0" w:line="360" w:lineRule="auto"/>
        <w:rPr>
          <w:rStyle w:val="Strong"/>
          <w:rFonts w:ascii="Arial" w:hAnsi="Arial" w:cs="Arial"/>
          <w:color w:val="0E101A"/>
          <w:sz w:val="22"/>
          <w:szCs w:val="22"/>
        </w:rPr>
      </w:pPr>
      <w:r w:rsidRPr="002A52F0">
        <w:rPr>
          <w:rStyle w:val="Strong"/>
          <w:rFonts w:ascii="Arial" w:hAnsi="Arial" w:cs="Arial"/>
          <w:color w:val="0E101A"/>
          <w:sz w:val="22"/>
          <w:szCs w:val="22"/>
        </w:rPr>
        <w:t>COMPETING CONFLICT</w:t>
      </w:r>
    </w:p>
    <w:p w14:paraId="51326D42" w14:textId="74FE5C46" w:rsidR="00A9009F" w:rsidRPr="00D92009" w:rsidRDefault="002A52F0" w:rsidP="00D92009">
      <w:pPr>
        <w:pStyle w:val="NormalWeb"/>
        <w:numPr>
          <w:ilvl w:val="0"/>
          <w:numId w:val="2"/>
        </w:numPr>
        <w:spacing w:before="0" w:beforeAutospacing="0" w:after="0" w:afterAutospacing="0" w:line="360" w:lineRule="auto"/>
        <w:ind w:left="360"/>
        <w:jc w:val="both"/>
        <w:rPr>
          <w:rStyle w:val="Strong"/>
          <w:rFonts w:ascii="Arial" w:hAnsi="Arial" w:cs="Arial"/>
          <w:b w:val="0"/>
          <w:bCs w:val="0"/>
          <w:sz w:val="20"/>
          <w:szCs w:val="20"/>
        </w:rPr>
      </w:pPr>
      <w:r w:rsidRPr="002A52F0">
        <w:rPr>
          <w:rFonts w:ascii="Arial" w:hAnsi="Arial" w:cs="Arial"/>
          <w:sz w:val="20"/>
          <w:szCs w:val="20"/>
        </w:rPr>
        <w:t xml:space="preserve">The authors </w:t>
      </w:r>
      <w:r w:rsidR="00F11DD6">
        <w:rPr>
          <w:rFonts w:ascii="Arial" w:hAnsi="Arial" w:cs="Arial"/>
          <w:sz w:val="20"/>
          <w:szCs w:val="20"/>
        </w:rPr>
        <w:t xml:space="preserve">have </w:t>
      </w:r>
      <w:r w:rsidRPr="002A52F0">
        <w:rPr>
          <w:rFonts w:ascii="Arial" w:hAnsi="Arial" w:cs="Arial"/>
          <w:sz w:val="20"/>
          <w:szCs w:val="20"/>
        </w:rPr>
        <w:t>declare</w:t>
      </w:r>
      <w:r w:rsidR="00F11DD6">
        <w:rPr>
          <w:rFonts w:ascii="Arial" w:hAnsi="Arial" w:cs="Arial"/>
          <w:sz w:val="20"/>
          <w:szCs w:val="20"/>
        </w:rPr>
        <w:t>d that</w:t>
      </w:r>
      <w:r w:rsidRPr="002A52F0">
        <w:rPr>
          <w:rFonts w:ascii="Arial" w:hAnsi="Arial" w:cs="Arial"/>
          <w:sz w:val="20"/>
          <w:szCs w:val="20"/>
        </w:rPr>
        <w:t xml:space="preserve"> no competing </w:t>
      </w:r>
      <w:r w:rsidR="00F11DD6">
        <w:rPr>
          <w:rFonts w:ascii="Arial" w:hAnsi="Arial" w:cs="Arial"/>
          <w:sz w:val="20"/>
          <w:szCs w:val="20"/>
        </w:rPr>
        <w:t>interests exist</w:t>
      </w:r>
    </w:p>
    <w:p w14:paraId="1CEDAA61" w14:textId="0F62826E" w:rsidR="002A52F0" w:rsidRPr="002A52F0" w:rsidRDefault="002A52F0" w:rsidP="0024307A">
      <w:pPr>
        <w:pStyle w:val="NormalWeb"/>
        <w:spacing w:before="0" w:beforeAutospacing="0" w:after="0" w:afterAutospacing="0" w:line="360" w:lineRule="auto"/>
        <w:rPr>
          <w:rStyle w:val="Strong"/>
          <w:rFonts w:ascii="Arial" w:hAnsi="Arial" w:cs="Arial"/>
          <w:color w:val="0E101A"/>
          <w:sz w:val="22"/>
          <w:szCs w:val="22"/>
        </w:rPr>
      </w:pPr>
      <w:r w:rsidRPr="002A52F0">
        <w:rPr>
          <w:rStyle w:val="Strong"/>
          <w:rFonts w:ascii="Arial" w:hAnsi="Arial" w:cs="Arial"/>
          <w:color w:val="0E101A"/>
          <w:sz w:val="22"/>
          <w:szCs w:val="22"/>
        </w:rPr>
        <w:t xml:space="preserve">CONSENT </w:t>
      </w:r>
    </w:p>
    <w:p w14:paraId="6F0AC7CA" w14:textId="77777777" w:rsidR="00D311E0" w:rsidRPr="00D311E0" w:rsidRDefault="00D41F54" w:rsidP="007F24C9">
      <w:pPr>
        <w:pStyle w:val="NormalWeb"/>
        <w:numPr>
          <w:ilvl w:val="0"/>
          <w:numId w:val="2"/>
        </w:numPr>
        <w:spacing w:before="0" w:beforeAutospacing="0" w:after="0" w:afterAutospacing="0" w:line="360" w:lineRule="auto"/>
        <w:ind w:left="360"/>
        <w:jc w:val="both"/>
        <w:rPr>
          <w:rFonts w:ascii="Arial" w:hAnsi="Arial" w:cs="Arial"/>
          <w:color w:val="212121"/>
          <w:sz w:val="20"/>
          <w:szCs w:val="20"/>
          <w:shd w:val="clear" w:color="auto" w:fill="FFFFFF"/>
        </w:rPr>
      </w:pPr>
      <w:r w:rsidRPr="00D311E0">
        <w:rPr>
          <w:rFonts w:ascii="Arial" w:hAnsi="Arial" w:cs="Arial"/>
          <w:sz w:val="20"/>
          <w:szCs w:val="20"/>
        </w:rPr>
        <w:t xml:space="preserve">All authors declare that written informed consent was obtained from the patient for publication of this case report and accompanying images. </w:t>
      </w:r>
    </w:p>
    <w:p w14:paraId="01819C9E" w14:textId="799BF4C9" w:rsidR="002A52F0" w:rsidRPr="00D311E0" w:rsidRDefault="002A52F0" w:rsidP="00D311E0">
      <w:pPr>
        <w:pStyle w:val="NormalWeb"/>
        <w:spacing w:before="0" w:beforeAutospacing="0" w:after="0" w:afterAutospacing="0" w:line="360" w:lineRule="auto"/>
        <w:ind w:left="360"/>
        <w:jc w:val="both"/>
        <w:rPr>
          <w:rFonts w:ascii="Arial" w:hAnsi="Arial" w:cs="Arial"/>
          <w:color w:val="212121"/>
          <w:sz w:val="20"/>
          <w:szCs w:val="20"/>
          <w:shd w:val="clear" w:color="auto" w:fill="FFFFFF"/>
        </w:rPr>
      </w:pPr>
      <w:r w:rsidRPr="00D311E0">
        <w:rPr>
          <w:rStyle w:val="Strong"/>
          <w:rFonts w:ascii="Arial" w:hAnsi="Arial" w:cs="Arial"/>
          <w:color w:val="0E101A"/>
          <w:sz w:val="22"/>
          <w:szCs w:val="22"/>
        </w:rPr>
        <w:t xml:space="preserve">ETHICS APPROVAL </w:t>
      </w:r>
    </w:p>
    <w:p w14:paraId="6462066E" w14:textId="0AE00E98" w:rsidR="002A52F0" w:rsidRDefault="00D41F54" w:rsidP="00D311E0">
      <w:pPr>
        <w:pStyle w:val="NormalWeb"/>
        <w:spacing w:before="0" w:beforeAutospacing="0" w:after="0" w:afterAutospacing="0" w:line="360" w:lineRule="auto"/>
        <w:ind w:left="360"/>
        <w:jc w:val="both"/>
        <w:rPr>
          <w:rFonts w:ascii="Arial" w:hAnsi="Arial" w:cs="Arial"/>
          <w:sz w:val="20"/>
          <w:szCs w:val="20"/>
        </w:rPr>
      </w:pPr>
      <w:r w:rsidRPr="00D41F54">
        <w:rPr>
          <w:rFonts w:ascii="Arial" w:hAnsi="Arial" w:cs="Arial"/>
          <w:sz w:val="20"/>
          <w:szCs w:val="20"/>
        </w:rPr>
        <w:t>All authors hereby declare that all experiments have been examined and approved by the appropriate ethics committee and have therefore been performed in accordance with the ethical standards laid down in the 1964 Declaration of Helsinki</w:t>
      </w:r>
      <w:r w:rsidR="002A52F0" w:rsidRPr="00D41F54">
        <w:rPr>
          <w:rFonts w:ascii="Arial" w:hAnsi="Arial" w:cs="Arial"/>
          <w:sz w:val="20"/>
          <w:szCs w:val="20"/>
        </w:rPr>
        <w:t xml:space="preserve">. </w:t>
      </w:r>
    </w:p>
    <w:p w14:paraId="5AC93E19" w14:textId="73A87FB8" w:rsidR="00CF02DA" w:rsidRPr="00D92009" w:rsidRDefault="00D92009" w:rsidP="00D92009">
      <w:pPr>
        <w:pStyle w:val="NormalWeb"/>
        <w:spacing w:before="0" w:beforeAutospacing="0" w:after="0" w:afterAutospacing="0" w:line="360" w:lineRule="auto"/>
        <w:rPr>
          <w:rStyle w:val="Strong"/>
          <w:rFonts w:ascii="Arial" w:hAnsi="Arial" w:cs="Arial"/>
          <w:color w:val="0E101A"/>
          <w:sz w:val="22"/>
          <w:szCs w:val="22"/>
        </w:rPr>
      </w:pPr>
      <w:bookmarkStart w:id="1" w:name="_Hlk197682619"/>
      <w:bookmarkStart w:id="2" w:name="_Hlk180402183"/>
      <w:bookmarkStart w:id="3" w:name="_Hlk183680988"/>
      <w:bookmarkStart w:id="4" w:name="_Hlk197351200"/>
      <w:r w:rsidRPr="00D92009">
        <w:rPr>
          <w:rStyle w:val="Strong"/>
          <w:rFonts w:ascii="Arial" w:hAnsi="Arial" w:cs="Arial"/>
          <w:color w:val="0E101A"/>
          <w:sz w:val="22"/>
          <w:szCs w:val="22"/>
        </w:rPr>
        <w:t>DISCLAIMER (ARTIFICIAL INTELLIGENCE)</w:t>
      </w:r>
    </w:p>
    <w:p w14:paraId="035E379C" w14:textId="43119EBD" w:rsidR="00CF02DA" w:rsidRDefault="00CF02DA" w:rsidP="00D92009">
      <w:pPr>
        <w:pStyle w:val="ListParagraph"/>
        <w:numPr>
          <w:ilvl w:val="0"/>
          <w:numId w:val="2"/>
        </w:numPr>
        <w:ind w:left="360"/>
        <w:jc w:val="both"/>
        <w:rPr>
          <w:rFonts w:ascii="Calibri" w:eastAsia="Calibri" w:hAnsi="Calibri" w:cs="Times New Roman"/>
          <w:kern w:val="2"/>
          <w:highlight w:val="cyan"/>
        </w:rPr>
      </w:pPr>
      <w:r w:rsidRPr="00D92009">
        <w:rPr>
          <w:rFonts w:ascii="Calibri" w:eastAsia="Calibri" w:hAnsi="Calibri" w:cs="Times New Roman"/>
          <w:kern w:val="2"/>
          <w:highlight w:val="cyan"/>
        </w:rPr>
        <w:t>A</w:t>
      </w:r>
      <w:r w:rsidR="00D92009" w:rsidRPr="00D92009">
        <w:rPr>
          <w:rFonts w:ascii="Calibri" w:eastAsia="Calibri" w:hAnsi="Calibri" w:cs="Times New Roman"/>
          <w:kern w:val="2"/>
          <w:highlight w:val="cyan"/>
        </w:rPr>
        <w:t>ll a</w:t>
      </w:r>
      <w:r w:rsidRPr="00D92009">
        <w:rPr>
          <w:rFonts w:ascii="Calibri" w:eastAsia="Calibri" w:hAnsi="Calibri" w:cs="Times New Roman"/>
          <w:kern w:val="2"/>
          <w:highlight w:val="cyan"/>
        </w:rPr>
        <w:t>uthor(s) hereby declare that NO generative AI technologies such as Large Language Models (</w:t>
      </w:r>
      <w:proofErr w:type="spellStart"/>
      <w:r w:rsidRPr="00D92009">
        <w:rPr>
          <w:rFonts w:ascii="Calibri" w:eastAsia="Calibri" w:hAnsi="Calibri" w:cs="Times New Roman"/>
          <w:kern w:val="2"/>
          <w:highlight w:val="cyan"/>
        </w:rPr>
        <w:t>ChatGPT</w:t>
      </w:r>
      <w:proofErr w:type="spellEnd"/>
      <w:r w:rsidRPr="00D92009">
        <w:rPr>
          <w:rFonts w:ascii="Calibri" w:eastAsia="Calibri" w:hAnsi="Calibri" w:cs="Times New Roman"/>
          <w:kern w:val="2"/>
          <w:highlight w:val="cyan"/>
        </w:rPr>
        <w:t xml:space="preserve">, COPILOT, etc.) and text-to-image generators have been used during the writing or editing of this manuscript. </w:t>
      </w:r>
    </w:p>
    <w:p w14:paraId="16038AB6" w14:textId="77777777" w:rsidR="003F7E5A" w:rsidRPr="00D92009" w:rsidRDefault="003F7E5A" w:rsidP="003F7E5A">
      <w:pPr>
        <w:pStyle w:val="ListParagraph"/>
        <w:ind w:left="360"/>
        <w:jc w:val="both"/>
        <w:rPr>
          <w:rFonts w:ascii="Calibri" w:eastAsia="Calibri" w:hAnsi="Calibri" w:cs="Times New Roman"/>
          <w:kern w:val="2"/>
          <w:highlight w:val="cyan"/>
        </w:rPr>
      </w:pPr>
    </w:p>
    <w:p w14:paraId="67D8EAD2" w14:textId="77777777" w:rsidR="003F7E5A" w:rsidRDefault="00D92009" w:rsidP="003F7E5A">
      <w:pPr>
        <w:spacing w:line="360" w:lineRule="auto"/>
        <w:jc w:val="both"/>
        <w:rPr>
          <w:rFonts w:ascii="Arial" w:hAnsi="Arial" w:cs="Arial"/>
          <w:sz w:val="20"/>
          <w:szCs w:val="20"/>
          <w:highlight w:val="cyan"/>
          <w:lang w:bidi="ar-EG"/>
        </w:rPr>
      </w:pPr>
      <w:r w:rsidRPr="003F7E5A">
        <w:rPr>
          <w:rFonts w:ascii="Arial" w:hAnsi="Arial" w:cs="Arial"/>
          <w:sz w:val="20"/>
          <w:szCs w:val="20"/>
          <w:highlight w:val="cyan"/>
          <w:lang w:bidi="ar-EG"/>
        </w:rPr>
        <w:t>Video 1.</w:t>
      </w:r>
    </w:p>
    <w:p w14:paraId="3AC24D34" w14:textId="77328302" w:rsidR="00D04E87" w:rsidRPr="003F7E5A" w:rsidRDefault="001960A7" w:rsidP="003F7E5A">
      <w:pPr>
        <w:spacing w:line="360" w:lineRule="auto"/>
        <w:jc w:val="both"/>
        <w:rPr>
          <w:rFonts w:ascii="Arial" w:hAnsi="Arial" w:cs="Arial"/>
          <w:sz w:val="20"/>
          <w:szCs w:val="20"/>
          <w:lang w:bidi="ar-EG"/>
        </w:rPr>
      </w:pPr>
      <w:bookmarkStart w:id="5" w:name="_GoBack"/>
      <w:bookmarkEnd w:id="5"/>
      <w:r w:rsidRPr="003F7E5A">
        <w:rPr>
          <w:rFonts w:ascii="Arial" w:hAnsi="Arial" w:cs="Arial"/>
          <w:sz w:val="20"/>
          <w:szCs w:val="20"/>
          <w:highlight w:val="cyan"/>
          <w:lang w:bidi="ar-EG"/>
        </w:rPr>
        <w:t xml:space="preserve"> Axial and Coronal CECT showing dilated small bowel loops, small intestinal feces sign and enterolith</w:t>
      </w:r>
    </w:p>
    <w:bookmarkEnd w:id="1"/>
    <w:bookmarkEnd w:id="2"/>
    <w:bookmarkEnd w:id="3"/>
    <w:bookmarkEnd w:id="4"/>
    <w:p w14:paraId="4B4459B0" w14:textId="77777777" w:rsidR="002A52F0" w:rsidRPr="002A52F0" w:rsidRDefault="002A52F0" w:rsidP="0024307A">
      <w:pPr>
        <w:pStyle w:val="ds-markdown-paragraph"/>
        <w:shd w:val="clear" w:color="auto" w:fill="FFFFFF"/>
        <w:spacing w:after="0" w:afterAutospacing="0" w:line="360" w:lineRule="auto"/>
        <w:rPr>
          <w:rFonts w:ascii="Arial" w:hAnsi="Arial" w:cs="Arial"/>
          <w:b/>
          <w:bCs/>
          <w:color w:val="0F1115"/>
          <w:sz w:val="22"/>
          <w:szCs w:val="22"/>
        </w:rPr>
      </w:pPr>
      <w:r w:rsidRPr="002A52F0">
        <w:rPr>
          <w:rFonts w:ascii="Arial" w:hAnsi="Arial" w:cs="Arial"/>
          <w:b/>
          <w:bCs/>
          <w:color w:val="0F1115"/>
          <w:sz w:val="22"/>
          <w:szCs w:val="22"/>
        </w:rPr>
        <w:t xml:space="preserve">REFERENCES </w:t>
      </w:r>
    </w:p>
    <w:p w14:paraId="1831894F" w14:textId="19333DA7" w:rsidR="000266F2" w:rsidRPr="007748D4" w:rsidRDefault="000266F2" w:rsidP="000266F2">
      <w:pPr>
        <w:pStyle w:val="ds-markdown-paragraph"/>
        <w:numPr>
          <w:ilvl w:val="0"/>
          <w:numId w:val="3"/>
        </w:numPr>
        <w:shd w:val="clear" w:color="auto" w:fill="FFFFFF"/>
        <w:tabs>
          <w:tab w:val="clear" w:pos="720"/>
          <w:tab w:val="num" w:pos="540"/>
        </w:tabs>
        <w:spacing w:after="0" w:afterAutospacing="0" w:line="360" w:lineRule="auto"/>
        <w:ind w:left="360"/>
        <w:jc w:val="both"/>
        <w:rPr>
          <w:rFonts w:ascii="Arial" w:hAnsi="Arial" w:cs="Arial"/>
          <w:color w:val="0F1115"/>
          <w:sz w:val="20"/>
          <w:szCs w:val="20"/>
        </w:rPr>
      </w:pPr>
      <w:r w:rsidRPr="007748D4">
        <w:rPr>
          <w:rFonts w:ascii="Arial" w:hAnsi="Arial" w:cs="Arial"/>
          <w:color w:val="0F1115"/>
          <w:sz w:val="20"/>
          <w:szCs w:val="20"/>
        </w:rPr>
        <w:t xml:space="preserve">Gasche, C., </w:t>
      </w:r>
      <w:proofErr w:type="spellStart"/>
      <w:r w:rsidRPr="007748D4">
        <w:rPr>
          <w:rFonts w:ascii="Arial" w:hAnsi="Arial" w:cs="Arial"/>
          <w:color w:val="0F1115"/>
          <w:sz w:val="20"/>
          <w:szCs w:val="20"/>
        </w:rPr>
        <w:t>Scholmerich</w:t>
      </w:r>
      <w:proofErr w:type="spellEnd"/>
      <w:r w:rsidRPr="007748D4">
        <w:rPr>
          <w:rFonts w:ascii="Arial" w:hAnsi="Arial" w:cs="Arial"/>
          <w:color w:val="0F1115"/>
          <w:sz w:val="20"/>
          <w:szCs w:val="20"/>
        </w:rPr>
        <w:t xml:space="preserve">, J., Brynskov, J., </w:t>
      </w:r>
      <w:proofErr w:type="spellStart"/>
      <w:r w:rsidRPr="007748D4">
        <w:rPr>
          <w:rFonts w:ascii="Arial" w:hAnsi="Arial" w:cs="Arial"/>
          <w:color w:val="0F1115"/>
          <w:sz w:val="20"/>
          <w:szCs w:val="20"/>
        </w:rPr>
        <w:t>D'Haens</w:t>
      </w:r>
      <w:proofErr w:type="spellEnd"/>
      <w:r w:rsidRPr="007748D4">
        <w:rPr>
          <w:rFonts w:ascii="Arial" w:hAnsi="Arial" w:cs="Arial"/>
          <w:color w:val="0F1115"/>
          <w:sz w:val="20"/>
          <w:szCs w:val="20"/>
        </w:rPr>
        <w:t xml:space="preserve">, G., Hanauer, S. B., Irvine, E. J., </w:t>
      </w:r>
      <w:r>
        <w:rPr>
          <w:rFonts w:ascii="Arial" w:hAnsi="Arial" w:cs="Arial"/>
          <w:color w:val="0F1115"/>
          <w:sz w:val="20"/>
          <w:szCs w:val="20"/>
        </w:rPr>
        <w:t>et al.</w:t>
      </w:r>
      <w:r w:rsidRPr="007748D4">
        <w:rPr>
          <w:rFonts w:ascii="Arial" w:hAnsi="Arial" w:cs="Arial"/>
          <w:color w:val="0F1115"/>
          <w:sz w:val="20"/>
          <w:szCs w:val="20"/>
        </w:rPr>
        <w:t xml:space="preserve"> (2000). A simple classification of Crohn's disease: Report of the Working Party for the World Congresses of Gastroenterology, Vienna 1998. </w:t>
      </w:r>
      <w:r w:rsidRPr="007748D4">
        <w:rPr>
          <w:rStyle w:val="Emphasis"/>
          <w:rFonts w:ascii="Arial" w:hAnsi="Arial" w:cs="Arial"/>
          <w:color w:val="0F1115"/>
          <w:sz w:val="20"/>
          <w:szCs w:val="20"/>
        </w:rPr>
        <w:t>Inflammatory Bowel Diseases</w:t>
      </w:r>
      <w:r w:rsidRPr="007748D4">
        <w:rPr>
          <w:rFonts w:ascii="Arial" w:hAnsi="Arial" w:cs="Arial"/>
          <w:color w:val="0F1115"/>
          <w:sz w:val="20"/>
          <w:szCs w:val="20"/>
        </w:rPr>
        <w:t>, *6*(1), 8–15. </w:t>
      </w:r>
      <w:hyperlink r:id="rId13" w:tgtFrame="_blank" w:history="1">
        <w:r w:rsidRPr="007748D4">
          <w:rPr>
            <w:rStyle w:val="Hyperlink"/>
            <w:rFonts w:ascii="Arial" w:hAnsi="Arial" w:cs="Arial"/>
            <w:color w:val="3964FE"/>
            <w:sz w:val="20"/>
            <w:szCs w:val="20"/>
            <w:bdr w:val="single" w:sz="8" w:space="0" w:color="auto" w:frame="1"/>
          </w:rPr>
          <w:t>https://doi.org/10.1097/00054725-200002000-00002</w:t>
        </w:r>
      </w:hyperlink>
    </w:p>
    <w:p w14:paraId="3F6D6368" w14:textId="77777777" w:rsidR="000266F2" w:rsidRPr="007748D4" w:rsidRDefault="000266F2" w:rsidP="000266F2">
      <w:pPr>
        <w:pStyle w:val="ds-markdown-paragraph"/>
        <w:numPr>
          <w:ilvl w:val="0"/>
          <w:numId w:val="3"/>
        </w:numPr>
        <w:shd w:val="clear" w:color="auto" w:fill="FFFFFF"/>
        <w:spacing w:after="0" w:afterAutospacing="0" w:line="360" w:lineRule="auto"/>
        <w:ind w:left="360"/>
        <w:jc w:val="both"/>
        <w:rPr>
          <w:rFonts w:ascii="Arial" w:hAnsi="Arial" w:cs="Arial"/>
          <w:color w:val="0F1115"/>
          <w:sz w:val="20"/>
          <w:szCs w:val="20"/>
        </w:rPr>
      </w:pPr>
      <w:r w:rsidRPr="007748D4">
        <w:rPr>
          <w:rFonts w:ascii="Arial" w:hAnsi="Arial" w:cs="Arial"/>
          <w:color w:val="0F1115"/>
          <w:sz w:val="20"/>
          <w:szCs w:val="20"/>
        </w:rPr>
        <w:t xml:space="preserve">Henriksen, M., Jahnsen, J., </w:t>
      </w:r>
      <w:proofErr w:type="spellStart"/>
      <w:r w:rsidRPr="007748D4">
        <w:rPr>
          <w:rFonts w:ascii="Arial" w:hAnsi="Arial" w:cs="Arial"/>
          <w:color w:val="0F1115"/>
          <w:sz w:val="20"/>
          <w:szCs w:val="20"/>
        </w:rPr>
        <w:t>Lygren</w:t>
      </w:r>
      <w:proofErr w:type="spellEnd"/>
      <w:r w:rsidRPr="007748D4">
        <w:rPr>
          <w:rFonts w:ascii="Arial" w:hAnsi="Arial" w:cs="Arial"/>
          <w:color w:val="0F1115"/>
          <w:sz w:val="20"/>
          <w:szCs w:val="20"/>
        </w:rPr>
        <w:t>, I., Stray</w:t>
      </w:r>
      <w:r>
        <w:rPr>
          <w:rFonts w:ascii="Arial" w:hAnsi="Arial" w:cs="Arial"/>
          <w:color w:val="0F1115"/>
          <w:sz w:val="20"/>
          <w:szCs w:val="20"/>
        </w:rPr>
        <w:t xml:space="preserve">, N., </w:t>
      </w:r>
      <w:proofErr w:type="spellStart"/>
      <w:r>
        <w:rPr>
          <w:rFonts w:ascii="Arial" w:hAnsi="Arial" w:cs="Arial"/>
          <w:color w:val="0F1115"/>
          <w:sz w:val="20"/>
          <w:szCs w:val="20"/>
        </w:rPr>
        <w:t>Sauar</w:t>
      </w:r>
      <w:proofErr w:type="spellEnd"/>
      <w:r>
        <w:rPr>
          <w:rFonts w:ascii="Arial" w:hAnsi="Arial" w:cs="Arial"/>
          <w:color w:val="0F1115"/>
          <w:sz w:val="20"/>
          <w:szCs w:val="20"/>
        </w:rPr>
        <w:t xml:space="preserve">, J., Vatn, M. H., et al. </w:t>
      </w:r>
      <w:r w:rsidRPr="007748D4">
        <w:rPr>
          <w:rFonts w:ascii="Arial" w:hAnsi="Arial" w:cs="Arial"/>
          <w:color w:val="0F1115"/>
          <w:sz w:val="20"/>
          <w:szCs w:val="20"/>
        </w:rPr>
        <w:t>(2007). Clinical course in Crohn’s disease: Results of a five-year population-based follow-up study (the IBSEN study). </w:t>
      </w:r>
      <w:r w:rsidRPr="007748D4">
        <w:rPr>
          <w:rStyle w:val="Emphasis"/>
          <w:rFonts w:ascii="Arial" w:hAnsi="Arial" w:cs="Arial"/>
          <w:color w:val="0F1115"/>
          <w:sz w:val="20"/>
          <w:szCs w:val="20"/>
        </w:rPr>
        <w:t>Scandinavian Journal of Gastroenterology</w:t>
      </w:r>
      <w:r w:rsidRPr="007748D4">
        <w:rPr>
          <w:rFonts w:ascii="Arial" w:hAnsi="Arial" w:cs="Arial"/>
          <w:color w:val="0F1115"/>
          <w:sz w:val="20"/>
          <w:szCs w:val="20"/>
        </w:rPr>
        <w:t>, *42*(5), 602–610. </w:t>
      </w:r>
      <w:hyperlink r:id="rId14" w:tgtFrame="_blank" w:history="1">
        <w:r w:rsidRPr="007748D4">
          <w:rPr>
            <w:rStyle w:val="Hyperlink"/>
            <w:rFonts w:ascii="Arial" w:hAnsi="Arial" w:cs="Arial"/>
            <w:color w:val="3964FE"/>
            <w:sz w:val="20"/>
            <w:szCs w:val="20"/>
            <w:bdr w:val="single" w:sz="8" w:space="0" w:color="auto" w:frame="1"/>
          </w:rPr>
          <w:t>https://doi.org/10.1080/00365520601076124</w:t>
        </w:r>
      </w:hyperlink>
    </w:p>
    <w:p w14:paraId="628B601A" w14:textId="77777777" w:rsidR="000266F2" w:rsidRPr="007748D4" w:rsidRDefault="000266F2" w:rsidP="000266F2">
      <w:pPr>
        <w:pStyle w:val="ds-markdown-paragraph"/>
        <w:numPr>
          <w:ilvl w:val="0"/>
          <w:numId w:val="3"/>
        </w:numPr>
        <w:shd w:val="clear" w:color="auto" w:fill="FFFFFF"/>
        <w:spacing w:after="0" w:afterAutospacing="0" w:line="360" w:lineRule="auto"/>
        <w:ind w:left="360"/>
        <w:jc w:val="both"/>
        <w:rPr>
          <w:rFonts w:ascii="Arial" w:hAnsi="Arial" w:cs="Arial"/>
          <w:color w:val="0F1115"/>
          <w:sz w:val="20"/>
          <w:szCs w:val="20"/>
        </w:rPr>
      </w:pPr>
      <w:r w:rsidRPr="007748D4">
        <w:rPr>
          <w:rFonts w:ascii="Arial" w:hAnsi="Arial" w:cs="Arial"/>
          <w:color w:val="0F1115"/>
          <w:sz w:val="20"/>
          <w:szCs w:val="20"/>
        </w:rPr>
        <w:t>Ramadas, A. V., Gunesh, S., Thomas, G. A., Williams, G. T., &amp; Hawthorne, A. B. (2010). Natural history of Crohn’s disease in a population-based cohort from Cardiff (1986-2003): A study of changes in medical treatment and surgical resection rates. </w:t>
      </w:r>
      <w:r w:rsidRPr="007748D4">
        <w:rPr>
          <w:rStyle w:val="Emphasis"/>
          <w:rFonts w:ascii="Arial" w:hAnsi="Arial" w:cs="Arial"/>
          <w:color w:val="0F1115"/>
          <w:sz w:val="20"/>
          <w:szCs w:val="20"/>
        </w:rPr>
        <w:t>Gut</w:t>
      </w:r>
      <w:r w:rsidRPr="007748D4">
        <w:rPr>
          <w:rFonts w:ascii="Arial" w:hAnsi="Arial" w:cs="Arial"/>
          <w:color w:val="0F1115"/>
          <w:sz w:val="20"/>
          <w:szCs w:val="20"/>
        </w:rPr>
        <w:t>, *59*(9), 1200–1206. </w:t>
      </w:r>
      <w:hyperlink r:id="rId15" w:tgtFrame="_blank" w:history="1">
        <w:r w:rsidRPr="007748D4">
          <w:rPr>
            <w:rStyle w:val="Hyperlink"/>
            <w:rFonts w:ascii="Arial" w:hAnsi="Arial" w:cs="Arial"/>
            <w:color w:val="3964FE"/>
            <w:sz w:val="20"/>
            <w:szCs w:val="20"/>
            <w:bdr w:val="single" w:sz="8" w:space="0" w:color="auto" w:frame="1"/>
          </w:rPr>
          <w:t>https://doi.org/10.1136/gut.2009.202101</w:t>
        </w:r>
      </w:hyperlink>
    </w:p>
    <w:p w14:paraId="17F29EB0" w14:textId="77777777" w:rsidR="000266F2" w:rsidRPr="007748D4" w:rsidRDefault="000266F2" w:rsidP="0024307A">
      <w:pPr>
        <w:pStyle w:val="ds-markdown-paragraph"/>
        <w:numPr>
          <w:ilvl w:val="0"/>
          <w:numId w:val="3"/>
        </w:numPr>
        <w:shd w:val="clear" w:color="auto" w:fill="FFFFFF"/>
        <w:spacing w:after="0" w:afterAutospacing="0" w:line="360" w:lineRule="auto"/>
        <w:ind w:left="360"/>
        <w:jc w:val="both"/>
        <w:rPr>
          <w:rFonts w:ascii="Arial" w:hAnsi="Arial" w:cs="Arial"/>
          <w:color w:val="0F1115"/>
          <w:sz w:val="20"/>
          <w:szCs w:val="20"/>
        </w:rPr>
      </w:pPr>
      <w:r w:rsidRPr="007748D4">
        <w:rPr>
          <w:rFonts w:ascii="Arial" w:hAnsi="Arial" w:cs="Arial"/>
          <w:color w:val="0F1115"/>
          <w:sz w:val="20"/>
          <w:szCs w:val="20"/>
        </w:rPr>
        <w:lastRenderedPageBreak/>
        <w:t xml:space="preserve">Gower-Rousseau, C., Vasseur, F., </w:t>
      </w:r>
      <w:proofErr w:type="spellStart"/>
      <w:r w:rsidRPr="007748D4">
        <w:rPr>
          <w:rFonts w:ascii="Arial" w:hAnsi="Arial" w:cs="Arial"/>
          <w:color w:val="0F1115"/>
          <w:sz w:val="20"/>
          <w:szCs w:val="20"/>
        </w:rPr>
        <w:t>Fumery</w:t>
      </w:r>
      <w:proofErr w:type="spellEnd"/>
      <w:r w:rsidRPr="007748D4">
        <w:rPr>
          <w:rFonts w:ascii="Arial" w:hAnsi="Arial" w:cs="Arial"/>
          <w:color w:val="0F1115"/>
          <w:sz w:val="20"/>
          <w:szCs w:val="20"/>
        </w:rPr>
        <w:t xml:space="preserve">, M., Savoye, G., </w:t>
      </w:r>
      <w:proofErr w:type="spellStart"/>
      <w:r w:rsidRPr="007748D4">
        <w:rPr>
          <w:rFonts w:ascii="Arial" w:hAnsi="Arial" w:cs="Arial"/>
          <w:color w:val="0F1115"/>
          <w:sz w:val="20"/>
          <w:szCs w:val="20"/>
        </w:rPr>
        <w:t>Salleron</w:t>
      </w:r>
      <w:proofErr w:type="spellEnd"/>
      <w:r w:rsidRPr="007748D4">
        <w:rPr>
          <w:rFonts w:ascii="Arial" w:hAnsi="Arial" w:cs="Arial"/>
          <w:color w:val="0F1115"/>
          <w:sz w:val="20"/>
          <w:szCs w:val="20"/>
        </w:rPr>
        <w:t xml:space="preserve">, J., </w:t>
      </w:r>
      <w:proofErr w:type="spellStart"/>
      <w:r w:rsidRPr="007748D4">
        <w:rPr>
          <w:rFonts w:ascii="Arial" w:hAnsi="Arial" w:cs="Arial"/>
          <w:color w:val="0F1115"/>
          <w:sz w:val="20"/>
          <w:szCs w:val="20"/>
        </w:rPr>
        <w:t>Dauchet</w:t>
      </w:r>
      <w:proofErr w:type="spellEnd"/>
      <w:r w:rsidRPr="007748D4">
        <w:rPr>
          <w:rFonts w:ascii="Arial" w:hAnsi="Arial" w:cs="Arial"/>
          <w:color w:val="0F1115"/>
          <w:sz w:val="20"/>
          <w:szCs w:val="20"/>
        </w:rPr>
        <w:t xml:space="preserve">, L., </w:t>
      </w:r>
      <w:r w:rsidR="0024307A">
        <w:rPr>
          <w:rFonts w:ascii="Arial" w:hAnsi="Arial" w:cs="Arial"/>
          <w:color w:val="0F1115"/>
          <w:sz w:val="20"/>
          <w:szCs w:val="20"/>
        </w:rPr>
        <w:t>et al.</w:t>
      </w:r>
      <w:r w:rsidRPr="007748D4">
        <w:rPr>
          <w:rFonts w:ascii="Arial" w:hAnsi="Arial" w:cs="Arial"/>
          <w:color w:val="0F1115"/>
          <w:sz w:val="20"/>
          <w:szCs w:val="20"/>
        </w:rPr>
        <w:t xml:space="preserve"> (2013). Epidemiology of inflammatory bowel diseases: New insights from a French population-based registry (EPIMAD). </w:t>
      </w:r>
      <w:r w:rsidRPr="007748D4">
        <w:rPr>
          <w:rStyle w:val="Emphasis"/>
          <w:rFonts w:ascii="Arial" w:hAnsi="Arial" w:cs="Arial"/>
          <w:color w:val="0F1115"/>
          <w:sz w:val="20"/>
          <w:szCs w:val="20"/>
        </w:rPr>
        <w:t>Digestive and Liver Disease</w:t>
      </w:r>
      <w:r w:rsidRPr="007748D4">
        <w:rPr>
          <w:rFonts w:ascii="Arial" w:hAnsi="Arial" w:cs="Arial"/>
          <w:color w:val="0F1115"/>
          <w:sz w:val="20"/>
          <w:szCs w:val="20"/>
        </w:rPr>
        <w:t>, *45*(2), 89–94. </w:t>
      </w:r>
      <w:hyperlink r:id="rId16" w:tgtFrame="_blank" w:history="1">
        <w:r w:rsidRPr="007748D4">
          <w:rPr>
            <w:rStyle w:val="Hyperlink"/>
            <w:rFonts w:ascii="Arial" w:hAnsi="Arial" w:cs="Arial"/>
            <w:color w:val="3964FE"/>
            <w:sz w:val="20"/>
            <w:szCs w:val="20"/>
            <w:bdr w:val="single" w:sz="8" w:space="0" w:color="auto" w:frame="1"/>
          </w:rPr>
          <w:t>https://doi.org/10.1016/j.dld.2012.09.022</w:t>
        </w:r>
      </w:hyperlink>
    </w:p>
    <w:p w14:paraId="51BE863A" w14:textId="77777777" w:rsidR="000266F2" w:rsidRPr="007748D4" w:rsidRDefault="000266F2" w:rsidP="000266F2">
      <w:pPr>
        <w:pStyle w:val="ds-markdown-paragraph"/>
        <w:numPr>
          <w:ilvl w:val="0"/>
          <w:numId w:val="3"/>
        </w:numPr>
        <w:shd w:val="clear" w:color="auto" w:fill="FFFFFF"/>
        <w:spacing w:after="0" w:afterAutospacing="0" w:line="360" w:lineRule="auto"/>
        <w:ind w:left="360"/>
        <w:jc w:val="both"/>
        <w:rPr>
          <w:rFonts w:ascii="Arial" w:hAnsi="Arial" w:cs="Arial"/>
          <w:color w:val="0F1115"/>
          <w:sz w:val="20"/>
          <w:szCs w:val="20"/>
        </w:rPr>
      </w:pPr>
      <w:r w:rsidRPr="007748D4">
        <w:rPr>
          <w:rFonts w:ascii="Arial" w:hAnsi="Arial" w:cs="Arial"/>
          <w:color w:val="0F1115"/>
          <w:sz w:val="20"/>
          <w:szCs w:val="20"/>
        </w:rPr>
        <w:t>Thia, K. T., Sandborn, W. J., Harmsen, W. S., Zinsmeister, A. R., &amp; Loftus, E. V., Jr. (2010). Risk factors associated with progression to intestinal complications of Crohn's disease in a population-based cohort. </w:t>
      </w:r>
      <w:r w:rsidRPr="007748D4">
        <w:rPr>
          <w:rStyle w:val="Emphasis"/>
          <w:rFonts w:ascii="Arial" w:hAnsi="Arial" w:cs="Arial"/>
          <w:color w:val="0F1115"/>
          <w:sz w:val="20"/>
          <w:szCs w:val="20"/>
        </w:rPr>
        <w:t>Gastroenterology</w:t>
      </w:r>
      <w:r w:rsidRPr="007748D4">
        <w:rPr>
          <w:rFonts w:ascii="Arial" w:hAnsi="Arial" w:cs="Arial"/>
          <w:color w:val="0F1115"/>
          <w:sz w:val="20"/>
          <w:szCs w:val="20"/>
        </w:rPr>
        <w:t>, *139*(4), 1147–1155. </w:t>
      </w:r>
      <w:hyperlink r:id="rId17" w:tgtFrame="_blank" w:history="1">
        <w:r w:rsidRPr="007748D4">
          <w:rPr>
            <w:rStyle w:val="Hyperlink"/>
            <w:rFonts w:ascii="Arial" w:hAnsi="Arial" w:cs="Arial"/>
            <w:color w:val="3964FE"/>
            <w:sz w:val="20"/>
            <w:szCs w:val="20"/>
            <w:bdr w:val="single" w:sz="8" w:space="0" w:color="auto" w:frame="1"/>
          </w:rPr>
          <w:t>https://doi.org/10.1053/j.gastro.2010.06.070</w:t>
        </w:r>
      </w:hyperlink>
    </w:p>
    <w:p w14:paraId="4B7C1FC2" w14:textId="7734263C" w:rsidR="00347826" w:rsidRPr="007748D4" w:rsidRDefault="00347826" w:rsidP="00347826">
      <w:pPr>
        <w:pStyle w:val="ds-markdown-paragraph"/>
        <w:numPr>
          <w:ilvl w:val="0"/>
          <w:numId w:val="3"/>
        </w:numPr>
        <w:shd w:val="clear" w:color="auto" w:fill="FFFFFF"/>
        <w:tabs>
          <w:tab w:val="clear" w:pos="720"/>
          <w:tab w:val="num" w:pos="540"/>
        </w:tabs>
        <w:spacing w:after="0" w:afterAutospacing="0" w:line="360" w:lineRule="auto"/>
        <w:ind w:left="360"/>
        <w:jc w:val="both"/>
        <w:rPr>
          <w:rFonts w:ascii="Arial" w:hAnsi="Arial" w:cs="Arial"/>
          <w:color w:val="0F1115"/>
          <w:sz w:val="20"/>
          <w:szCs w:val="20"/>
        </w:rPr>
      </w:pPr>
      <w:r w:rsidRPr="001960A7">
        <w:rPr>
          <w:rFonts w:ascii="Arial" w:hAnsi="Arial" w:cs="Arial"/>
          <w:color w:val="0F1115"/>
          <w:sz w:val="20"/>
          <w:szCs w:val="20"/>
          <w:highlight w:val="cyan"/>
        </w:rPr>
        <w:t>Ford MM. Crohn's Disease Obstructions. </w:t>
      </w:r>
      <w:r w:rsidRPr="001960A7">
        <w:rPr>
          <w:rFonts w:ascii="Arial" w:hAnsi="Arial" w:cs="Arial"/>
          <w:i/>
          <w:iCs/>
          <w:color w:val="0F1115"/>
          <w:sz w:val="20"/>
          <w:szCs w:val="20"/>
          <w:highlight w:val="cyan"/>
        </w:rPr>
        <w:t>Clin Colon Rectal Surg.</w:t>
      </w:r>
      <w:r w:rsidRPr="001960A7">
        <w:rPr>
          <w:rFonts w:ascii="Arial" w:hAnsi="Arial" w:cs="Arial"/>
          <w:color w:val="0F1115"/>
          <w:sz w:val="20"/>
          <w:szCs w:val="20"/>
          <w:highlight w:val="cyan"/>
        </w:rPr>
        <w:t xml:space="preserve"> 2021;34(4):227-232.</w:t>
      </w:r>
      <w:r w:rsidRPr="00347826">
        <w:rPr>
          <w:rFonts w:ascii="Arial" w:hAnsi="Arial" w:cs="Arial"/>
          <w:color w:val="0F1115"/>
          <w:sz w:val="20"/>
          <w:szCs w:val="20"/>
        </w:rPr>
        <w:t xml:space="preserve"> </w:t>
      </w:r>
      <w:r w:rsidRPr="00347826">
        <w:rPr>
          <w:rStyle w:val="Hyperlink"/>
          <w:color w:val="3964FE"/>
          <w:bdr w:val="single" w:sz="8" w:space="0" w:color="auto" w:frame="1"/>
        </w:rPr>
        <w:t>https://</w:t>
      </w:r>
      <w:r w:rsidRPr="00347826">
        <w:rPr>
          <w:rStyle w:val="Hyperlink"/>
          <w:color w:val="3964FE"/>
          <w:sz w:val="20"/>
          <w:szCs w:val="20"/>
          <w:bdr w:val="single" w:sz="8" w:space="0" w:color="auto" w:frame="1"/>
        </w:rPr>
        <w:t xml:space="preserve">doi:10.1055/s-0041-1729926 </w:t>
      </w:r>
    </w:p>
    <w:p w14:paraId="7523DE67" w14:textId="77777777" w:rsidR="000266F2" w:rsidRPr="007748D4" w:rsidRDefault="000266F2" w:rsidP="000266F2">
      <w:pPr>
        <w:pStyle w:val="ds-markdown-paragraph"/>
        <w:numPr>
          <w:ilvl w:val="0"/>
          <w:numId w:val="3"/>
        </w:numPr>
        <w:shd w:val="clear" w:color="auto" w:fill="FFFFFF"/>
        <w:spacing w:after="0" w:afterAutospacing="0" w:line="360" w:lineRule="auto"/>
        <w:ind w:left="360"/>
        <w:jc w:val="both"/>
        <w:rPr>
          <w:rFonts w:ascii="Arial" w:hAnsi="Arial" w:cs="Arial"/>
          <w:color w:val="0F1115"/>
          <w:sz w:val="20"/>
          <w:szCs w:val="20"/>
        </w:rPr>
      </w:pPr>
      <w:proofErr w:type="spellStart"/>
      <w:r w:rsidRPr="007748D4">
        <w:rPr>
          <w:rFonts w:ascii="Arial" w:hAnsi="Arial" w:cs="Arial"/>
          <w:color w:val="0F1115"/>
          <w:sz w:val="20"/>
          <w:szCs w:val="20"/>
        </w:rPr>
        <w:t>Bettenworth</w:t>
      </w:r>
      <w:proofErr w:type="spellEnd"/>
      <w:r w:rsidRPr="007748D4">
        <w:rPr>
          <w:rFonts w:ascii="Arial" w:hAnsi="Arial" w:cs="Arial"/>
          <w:color w:val="0F1115"/>
          <w:sz w:val="20"/>
          <w:szCs w:val="20"/>
        </w:rPr>
        <w:t>, D., &amp; Rieder, F. (2014). Medical therapy of stricturing Crohn’s disease: What the gut can learn from other organs—a systematic review. </w:t>
      </w:r>
      <w:r w:rsidRPr="007748D4">
        <w:rPr>
          <w:rStyle w:val="Emphasis"/>
          <w:rFonts w:ascii="Arial" w:hAnsi="Arial" w:cs="Arial"/>
          <w:color w:val="0F1115"/>
          <w:sz w:val="20"/>
          <w:szCs w:val="20"/>
        </w:rPr>
        <w:t>Fibrogenesis &amp; Tissue Repair</w:t>
      </w:r>
      <w:r w:rsidRPr="007748D4">
        <w:rPr>
          <w:rFonts w:ascii="Arial" w:hAnsi="Arial" w:cs="Arial"/>
          <w:color w:val="0F1115"/>
          <w:sz w:val="20"/>
          <w:szCs w:val="20"/>
        </w:rPr>
        <w:t>, *7*, 5. </w:t>
      </w:r>
      <w:hyperlink r:id="rId18" w:tgtFrame="_blank" w:history="1">
        <w:r w:rsidRPr="007748D4">
          <w:rPr>
            <w:rStyle w:val="Hyperlink"/>
            <w:rFonts w:ascii="Arial" w:hAnsi="Arial" w:cs="Arial"/>
            <w:color w:val="3964FE"/>
            <w:sz w:val="20"/>
            <w:szCs w:val="20"/>
            <w:bdr w:val="single" w:sz="8" w:space="0" w:color="auto" w:frame="1"/>
          </w:rPr>
          <w:t>https://doi.org/10.1186/1755-1536-7-5</w:t>
        </w:r>
      </w:hyperlink>
    </w:p>
    <w:p w14:paraId="7C17FD57" w14:textId="77777777" w:rsidR="000266F2" w:rsidRPr="007748D4" w:rsidRDefault="000266F2" w:rsidP="000266F2">
      <w:pPr>
        <w:pStyle w:val="ds-markdown-paragraph"/>
        <w:numPr>
          <w:ilvl w:val="0"/>
          <w:numId w:val="3"/>
        </w:numPr>
        <w:shd w:val="clear" w:color="auto" w:fill="FFFFFF"/>
        <w:spacing w:after="0" w:afterAutospacing="0" w:line="360" w:lineRule="auto"/>
        <w:ind w:left="360"/>
        <w:jc w:val="both"/>
        <w:rPr>
          <w:rFonts w:ascii="Arial" w:hAnsi="Arial" w:cs="Arial"/>
          <w:color w:val="0F1115"/>
          <w:sz w:val="20"/>
          <w:szCs w:val="20"/>
        </w:rPr>
      </w:pPr>
      <w:r w:rsidRPr="007748D4">
        <w:rPr>
          <w:rFonts w:ascii="Arial" w:hAnsi="Arial" w:cs="Arial"/>
          <w:color w:val="0F1115"/>
          <w:sz w:val="20"/>
          <w:szCs w:val="20"/>
        </w:rPr>
        <w:t>Peyrin-Biroulet, L., Loftus, E. V., Jr., Colombel, J. F., &amp; Sandborn, W. J. (2010). The natural history of adult Crohn’s disease in population-based cohorts. </w:t>
      </w:r>
      <w:r w:rsidRPr="007748D4">
        <w:rPr>
          <w:rStyle w:val="Emphasis"/>
          <w:rFonts w:ascii="Arial" w:hAnsi="Arial" w:cs="Arial"/>
          <w:color w:val="0F1115"/>
          <w:sz w:val="20"/>
          <w:szCs w:val="20"/>
        </w:rPr>
        <w:t>The American Journal of Gastroenterology</w:t>
      </w:r>
      <w:r w:rsidRPr="007748D4">
        <w:rPr>
          <w:rFonts w:ascii="Arial" w:hAnsi="Arial" w:cs="Arial"/>
          <w:color w:val="0F1115"/>
          <w:sz w:val="20"/>
          <w:szCs w:val="20"/>
        </w:rPr>
        <w:t>, *105*(2), 289–297. </w:t>
      </w:r>
      <w:hyperlink r:id="rId19" w:tgtFrame="_blank" w:history="1">
        <w:r w:rsidRPr="007748D4">
          <w:rPr>
            <w:rStyle w:val="Hyperlink"/>
            <w:rFonts w:ascii="Arial" w:hAnsi="Arial" w:cs="Arial"/>
            <w:color w:val="3964FE"/>
            <w:sz w:val="20"/>
            <w:szCs w:val="20"/>
            <w:bdr w:val="single" w:sz="8" w:space="0" w:color="auto" w:frame="1"/>
          </w:rPr>
          <w:t>https://doi.org/10.1038/ajg.2009.579</w:t>
        </w:r>
      </w:hyperlink>
    </w:p>
    <w:p w14:paraId="3F5EF069" w14:textId="77777777" w:rsidR="000266F2" w:rsidRPr="007748D4" w:rsidRDefault="000266F2" w:rsidP="0024307A">
      <w:pPr>
        <w:pStyle w:val="ds-markdown-paragraph"/>
        <w:numPr>
          <w:ilvl w:val="0"/>
          <w:numId w:val="3"/>
        </w:numPr>
        <w:shd w:val="clear" w:color="auto" w:fill="FFFFFF"/>
        <w:spacing w:after="0" w:afterAutospacing="0" w:line="360" w:lineRule="auto"/>
        <w:ind w:left="360"/>
        <w:jc w:val="both"/>
        <w:rPr>
          <w:rFonts w:ascii="Arial" w:hAnsi="Arial" w:cs="Arial"/>
          <w:color w:val="0F1115"/>
          <w:sz w:val="20"/>
          <w:szCs w:val="20"/>
        </w:rPr>
      </w:pPr>
      <w:r w:rsidRPr="007748D4">
        <w:rPr>
          <w:rFonts w:ascii="Arial" w:hAnsi="Arial" w:cs="Arial"/>
          <w:color w:val="0F1115"/>
          <w:sz w:val="20"/>
          <w:szCs w:val="20"/>
        </w:rPr>
        <w:t xml:space="preserve">Lichtenstein, G. R., Olson, A., Travers, S., Diamond, R. H., Chen, D. M., Pritchard, M. L., </w:t>
      </w:r>
      <w:r w:rsidR="0024307A">
        <w:rPr>
          <w:rFonts w:ascii="Arial" w:hAnsi="Arial" w:cs="Arial"/>
          <w:color w:val="0F1115"/>
          <w:sz w:val="20"/>
          <w:szCs w:val="20"/>
        </w:rPr>
        <w:t>et al.</w:t>
      </w:r>
      <w:r w:rsidRPr="007748D4">
        <w:rPr>
          <w:rFonts w:ascii="Arial" w:hAnsi="Arial" w:cs="Arial"/>
          <w:color w:val="0F1115"/>
          <w:sz w:val="20"/>
          <w:szCs w:val="20"/>
        </w:rPr>
        <w:t xml:space="preserve"> (2006). Factors associated with the development of intestinal strictures or obstructions in patients with Crohn's disease. </w:t>
      </w:r>
      <w:r w:rsidRPr="007748D4">
        <w:rPr>
          <w:rStyle w:val="Emphasis"/>
          <w:rFonts w:ascii="Arial" w:hAnsi="Arial" w:cs="Arial"/>
          <w:color w:val="0F1115"/>
          <w:sz w:val="20"/>
          <w:szCs w:val="20"/>
        </w:rPr>
        <w:t>The American Journal of Gastroenterology</w:t>
      </w:r>
      <w:r w:rsidRPr="007748D4">
        <w:rPr>
          <w:rFonts w:ascii="Arial" w:hAnsi="Arial" w:cs="Arial"/>
          <w:color w:val="0F1115"/>
          <w:sz w:val="20"/>
          <w:szCs w:val="20"/>
        </w:rPr>
        <w:t>, *101*(5), 1030–1038. </w:t>
      </w:r>
      <w:hyperlink r:id="rId20" w:tgtFrame="_blank" w:history="1">
        <w:r w:rsidRPr="007748D4">
          <w:rPr>
            <w:rStyle w:val="Hyperlink"/>
            <w:rFonts w:ascii="Arial" w:hAnsi="Arial" w:cs="Arial"/>
            <w:color w:val="3964FE"/>
            <w:sz w:val="20"/>
            <w:szCs w:val="20"/>
            <w:bdr w:val="single" w:sz="8" w:space="0" w:color="auto" w:frame="1"/>
          </w:rPr>
          <w:t>https://doi.org/10.1111/j.1572-0241.2006.00564.x</w:t>
        </w:r>
      </w:hyperlink>
    </w:p>
    <w:p w14:paraId="3839C516" w14:textId="77777777" w:rsidR="000266F2" w:rsidRPr="007748D4" w:rsidRDefault="000266F2" w:rsidP="000266F2">
      <w:pPr>
        <w:pStyle w:val="ds-markdown-paragraph"/>
        <w:numPr>
          <w:ilvl w:val="0"/>
          <w:numId w:val="3"/>
        </w:numPr>
        <w:shd w:val="clear" w:color="auto" w:fill="FFFFFF"/>
        <w:spacing w:after="0" w:afterAutospacing="0" w:line="360" w:lineRule="auto"/>
        <w:ind w:left="360"/>
        <w:jc w:val="both"/>
        <w:rPr>
          <w:rFonts w:ascii="Arial" w:hAnsi="Arial" w:cs="Arial"/>
          <w:color w:val="0F1115"/>
          <w:sz w:val="20"/>
          <w:szCs w:val="20"/>
        </w:rPr>
      </w:pPr>
      <w:proofErr w:type="spellStart"/>
      <w:r w:rsidRPr="007748D4">
        <w:rPr>
          <w:rFonts w:ascii="Arial" w:hAnsi="Arial" w:cs="Arial"/>
          <w:color w:val="0F1115"/>
          <w:sz w:val="20"/>
          <w:szCs w:val="20"/>
        </w:rPr>
        <w:t>Rutgeerts</w:t>
      </w:r>
      <w:proofErr w:type="spellEnd"/>
      <w:r w:rsidRPr="007748D4">
        <w:rPr>
          <w:rFonts w:ascii="Arial" w:hAnsi="Arial" w:cs="Arial"/>
          <w:color w:val="0F1115"/>
          <w:sz w:val="20"/>
          <w:szCs w:val="20"/>
        </w:rPr>
        <w:t xml:space="preserve">, P., </w:t>
      </w:r>
      <w:proofErr w:type="spellStart"/>
      <w:r w:rsidRPr="007748D4">
        <w:rPr>
          <w:rFonts w:ascii="Arial" w:hAnsi="Arial" w:cs="Arial"/>
          <w:color w:val="0F1115"/>
          <w:sz w:val="20"/>
          <w:szCs w:val="20"/>
        </w:rPr>
        <w:t>Geboes</w:t>
      </w:r>
      <w:proofErr w:type="spellEnd"/>
      <w:r w:rsidRPr="007748D4">
        <w:rPr>
          <w:rFonts w:ascii="Arial" w:hAnsi="Arial" w:cs="Arial"/>
          <w:color w:val="0F1115"/>
          <w:sz w:val="20"/>
          <w:szCs w:val="20"/>
        </w:rPr>
        <w:t xml:space="preserve">, K., </w:t>
      </w:r>
      <w:proofErr w:type="spellStart"/>
      <w:r w:rsidRPr="007748D4">
        <w:rPr>
          <w:rFonts w:ascii="Arial" w:hAnsi="Arial" w:cs="Arial"/>
          <w:color w:val="0F1115"/>
          <w:sz w:val="20"/>
          <w:szCs w:val="20"/>
        </w:rPr>
        <w:t>Vantrappen</w:t>
      </w:r>
      <w:proofErr w:type="spellEnd"/>
      <w:r w:rsidRPr="007748D4">
        <w:rPr>
          <w:rFonts w:ascii="Arial" w:hAnsi="Arial" w:cs="Arial"/>
          <w:color w:val="0F1115"/>
          <w:sz w:val="20"/>
          <w:szCs w:val="20"/>
        </w:rPr>
        <w:t xml:space="preserve">, G., </w:t>
      </w:r>
      <w:proofErr w:type="spellStart"/>
      <w:r w:rsidRPr="007748D4">
        <w:rPr>
          <w:rFonts w:ascii="Arial" w:hAnsi="Arial" w:cs="Arial"/>
          <w:color w:val="0F1115"/>
          <w:sz w:val="20"/>
          <w:szCs w:val="20"/>
        </w:rPr>
        <w:t>Beyls</w:t>
      </w:r>
      <w:proofErr w:type="spellEnd"/>
      <w:r w:rsidRPr="007748D4">
        <w:rPr>
          <w:rFonts w:ascii="Arial" w:hAnsi="Arial" w:cs="Arial"/>
          <w:color w:val="0F1115"/>
          <w:sz w:val="20"/>
          <w:szCs w:val="20"/>
        </w:rPr>
        <w:t xml:space="preserve">, J., </w:t>
      </w:r>
      <w:proofErr w:type="spellStart"/>
      <w:r w:rsidRPr="007748D4">
        <w:rPr>
          <w:rFonts w:ascii="Arial" w:hAnsi="Arial" w:cs="Arial"/>
          <w:color w:val="0F1115"/>
          <w:sz w:val="20"/>
          <w:szCs w:val="20"/>
        </w:rPr>
        <w:t>Kerremans</w:t>
      </w:r>
      <w:proofErr w:type="spellEnd"/>
      <w:r w:rsidRPr="007748D4">
        <w:rPr>
          <w:rFonts w:ascii="Arial" w:hAnsi="Arial" w:cs="Arial"/>
          <w:color w:val="0F1115"/>
          <w:sz w:val="20"/>
          <w:szCs w:val="20"/>
        </w:rPr>
        <w:t>, R., &amp; Hiele, M. (1984). Natural history of recurrent Crohn's disease at the ileocolonic anastomosis after curative surgery. </w:t>
      </w:r>
      <w:r w:rsidRPr="007748D4">
        <w:rPr>
          <w:rStyle w:val="Emphasis"/>
          <w:rFonts w:ascii="Arial" w:hAnsi="Arial" w:cs="Arial"/>
          <w:color w:val="0F1115"/>
          <w:sz w:val="20"/>
          <w:szCs w:val="20"/>
        </w:rPr>
        <w:t>Gut</w:t>
      </w:r>
      <w:r w:rsidRPr="007748D4">
        <w:rPr>
          <w:rFonts w:ascii="Arial" w:hAnsi="Arial" w:cs="Arial"/>
          <w:color w:val="0F1115"/>
          <w:sz w:val="20"/>
          <w:szCs w:val="20"/>
        </w:rPr>
        <w:t>, *25*(6), 665–672. </w:t>
      </w:r>
      <w:hyperlink r:id="rId21" w:tgtFrame="_blank" w:history="1">
        <w:r w:rsidRPr="007748D4">
          <w:rPr>
            <w:rStyle w:val="Hyperlink"/>
            <w:rFonts w:ascii="Arial" w:hAnsi="Arial" w:cs="Arial"/>
            <w:color w:val="3964FE"/>
            <w:sz w:val="20"/>
            <w:szCs w:val="20"/>
            <w:bdr w:val="single" w:sz="8" w:space="0" w:color="auto" w:frame="1"/>
          </w:rPr>
          <w:t>https://doi.org/10.1136/gut.25.6.665</w:t>
        </w:r>
      </w:hyperlink>
    </w:p>
    <w:p w14:paraId="1B4AA7C6" w14:textId="77777777" w:rsidR="000266F2" w:rsidRPr="007748D4" w:rsidRDefault="000266F2" w:rsidP="000266F2">
      <w:pPr>
        <w:pStyle w:val="ds-markdown-paragraph"/>
        <w:numPr>
          <w:ilvl w:val="0"/>
          <w:numId w:val="3"/>
        </w:numPr>
        <w:shd w:val="clear" w:color="auto" w:fill="FFFFFF"/>
        <w:spacing w:after="0" w:afterAutospacing="0" w:line="360" w:lineRule="auto"/>
        <w:ind w:left="360"/>
        <w:jc w:val="both"/>
        <w:rPr>
          <w:rFonts w:ascii="Arial" w:hAnsi="Arial" w:cs="Arial"/>
          <w:color w:val="0F1115"/>
          <w:sz w:val="20"/>
          <w:szCs w:val="20"/>
        </w:rPr>
      </w:pPr>
      <w:r w:rsidRPr="007748D4">
        <w:rPr>
          <w:rFonts w:ascii="Arial" w:hAnsi="Arial" w:cs="Arial"/>
          <w:color w:val="0F1115"/>
          <w:sz w:val="20"/>
          <w:szCs w:val="20"/>
        </w:rPr>
        <w:t>Peyrin-Biroulet, L., Harmsen, W. S., Tremaine, W. J., Zinsmeister, A. R., Sandborn, W. J., &amp; Loftus, E. V., Jr. (2012). Surgery in a population-based cohort of Crohn’s disease from Olmsted County, Minnesota (1970-2004). </w:t>
      </w:r>
      <w:r w:rsidRPr="007748D4">
        <w:rPr>
          <w:rStyle w:val="Emphasis"/>
          <w:rFonts w:ascii="Arial" w:hAnsi="Arial" w:cs="Arial"/>
          <w:color w:val="0F1115"/>
          <w:sz w:val="20"/>
          <w:szCs w:val="20"/>
        </w:rPr>
        <w:t>The American Journal of Gastroenterology</w:t>
      </w:r>
      <w:r w:rsidRPr="007748D4">
        <w:rPr>
          <w:rFonts w:ascii="Arial" w:hAnsi="Arial" w:cs="Arial"/>
          <w:color w:val="0F1115"/>
          <w:sz w:val="20"/>
          <w:szCs w:val="20"/>
        </w:rPr>
        <w:t>, *107*(11), 1693–1701. </w:t>
      </w:r>
      <w:hyperlink r:id="rId22" w:tgtFrame="_blank" w:history="1">
        <w:r w:rsidRPr="007748D4">
          <w:rPr>
            <w:rStyle w:val="Hyperlink"/>
            <w:rFonts w:ascii="Arial" w:hAnsi="Arial" w:cs="Arial"/>
            <w:color w:val="3964FE"/>
            <w:sz w:val="20"/>
            <w:szCs w:val="20"/>
            <w:bdr w:val="single" w:sz="8" w:space="0" w:color="auto" w:frame="1"/>
          </w:rPr>
          <w:t>https://doi.org/10.1038/ajg.2012.298</w:t>
        </w:r>
      </w:hyperlink>
    </w:p>
    <w:p w14:paraId="1A13150C" w14:textId="77777777" w:rsidR="000266F2" w:rsidRPr="007748D4" w:rsidRDefault="000266F2" w:rsidP="0024307A">
      <w:pPr>
        <w:pStyle w:val="ds-markdown-paragraph"/>
        <w:numPr>
          <w:ilvl w:val="0"/>
          <w:numId w:val="3"/>
        </w:numPr>
        <w:shd w:val="clear" w:color="auto" w:fill="FFFFFF"/>
        <w:spacing w:after="0" w:afterAutospacing="0" w:line="360" w:lineRule="auto"/>
        <w:ind w:left="360"/>
        <w:jc w:val="both"/>
        <w:rPr>
          <w:rFonts w:ascii="Arial" w:hAnsi="Arial" w:cs="Arial"/>
          <w:color w:val="0F1115"/>
          <w:sz w:val="20"/>
          <w:szCs w:val="20"/>
        </w:rPr>
      </w:pPr>
      <w:proofErr w:type="spellStart"/>
      <w:r w:rsidRPr="007748D4">
        <w:rPr>
          <w:rFonts w:ascii="Arial" w:hAnsi="Arial" w:cs="Arial"/>
          <w:color w:val="0F1115"/>
          <w:sz w:val="20"/>
          <w:szCs w:val="20"/>
        </w:rPr>
        <w:t>Frolkis</w:t>
      </w:r>
      <w:proofErr w:type="spellEnd"/>
      <w:r w:rsidRPr="007748D4">
        <w:rPr>
          <w:rFonts w:ascii="Arial" w:hAnsi="Arial" w:cs="Arial"/>
          <w:color w:val="0F1115"/>
          <w:sz w:val="20"/>
          <w:szCs w:val="20"/>
        </w:rPr>
        <w:t xml:space="preserve">, A. D., Lipton, D. S., Fiest, K. M., Negrón, M. E., Dykeman, J., </w:t>
      </w:r>
      <w:proofErr w:type="spellStart"/>
      <w:r w:rsidRPr="007748D4">
        <w:rPr>
          <w:rFonts w:ascii="Arial" w:hAnsi="Arial" w:cs="Arial"/>
          <w:color w:val="0F1115"/>
          <w:sz w:val="20"/>
          <w:szCs w:val="20"/>
        </w:rPr>
        <w:t>deBruyn</w:t>
      </w:r>
      <w:proofErr w:type="spellEnd"/>
      <w:r w:rsidRPr="007748D4">
        <w:rPr>
          <w:rFonts w:ascii="Arial" w:hAnsi="Arial" w:cs="Arial"/>
          <w:color w:val="0F1115"/>
          <w:sz w:val="20"/>
          <w:szCs w:val="20"/>
        </w:rPr>
        <w:t xml:space="preserve">, J., </w:t>
      </w:r>
      <w:r w:rsidR="0024307A">
        <w:rPr>
          <w:rFonts w:ascii="Arial" w:hAnsi="Arial" w:cs="Arial"/>
          <w:color w:val="0F1115"/>
          <w:sz w:val="20"/>
          <w:szCs w:val="20"/>
        </w:rPr>
        <w:t>et al</w:t>
      </w:r>
      <w:r w:rsidRPr="007748D4">
        <w:rPr>
          <w:rFonts w:ascii="Arial" w:hAnsi="Arial" w:cs="Arial"/>
          <w:color w:val="0F1115"/>
          <w:sz w:val="20"/>
          <w:szCs w:val="20"/>
        </w:rPr>
        <w:t>. (2014). Cumulative incidence of second intestinal resection in Crohn’s disease: A systematic review and meta-analysis of population-based studies. </w:t>
      </w:r>
      <w:r w:rsidRPr="007748D4">
        <w:rPr>
          <w:rStyle w:val="Emphasis"/>
          <w:rFonts w:ascii="Arial" w:hAnsi="Arial" w:cs="Arial"/>
          <w:color w:val="0F1115"/>
          <w:sz w:val="20"/>
          <w:szCs w:val="20"/>
        </w:rPr>
        <w:t>The American Journal of Gastroenterology</w:t>
      </w:r>
      <w:r w:rsidRPr="007748D4">
        <w:rPr>
          <w:rFonts w:ascii="Arial" w:hAnsi="Arial" w:cs="Arial"/>
          <w:color w:val="0F1115"/>
          <w:sz w:val="20"/>
          <w:szCs w:val="20"/>
        </w:rPr>
        <w:t>, *109*(11), 1739–1748. </w:t>
      </w:r>
      <w:hyperlink r:id="rId23" w:tgtFrame="_blank" w:history="1">
        <w:r w:rsidRPr="007748D4">
          <w:rPr>
            <w:rStyle w:val="Hyperlink"/>
            <w:rFonts w:ascii="Arial" w:hAnsi="Arial" w:cs="Arial"/>
            <w:color w:val="3964FE"/>
            <w:sz w:val="20"/>
            <w:szCs w:val="20"/>
            <w:bdr w:val="single" w:sz="8" w:space="0" w:color="auto" w:frame="1"/>
          </w:rPr>
          <w:t>https://doi.org/10.1038/ajg.2014.245</w:t>
        </w:r>
      </w:hyperlink>
    </w:p>
    <w:p w14:paraId="691B3716" w14:textId="77777777" w:rsidR="000266F2" w:rsidRPr="007748D4" w:rsidRDefault="000266F2" w:rsidP="000266F2">
      <w:pPr>
        <w:pStyle w:val="ds-markdown-paragraph"/>
        <w:numPr>
          <w:ilvl w:val="0"/>
          <w:numId w:val="3"/>
        </w:numPr>
        <w:shd w:val="clear" w:color="auto" w:fill="FFFFFF"/>
        <w:spacing w:after="0" w:afterAutospacing="0" w:line="360" w:lineRule="auto"/>
        <w:ind w:left="360"/>
        <w:jc w:val="both"/>
        <w:rPr>
          <w:rFonts w:ascii="Arial" w:hAnsi="Arial" w:cs="Arial"/>
          <w:color w:val="0F1115"/>
          <w:sz w:val="20"/>
          <w:szCs w:val="20"/>
        </w:rPr>
      </w:pPr>
      <w:r w:rsidRPr="007748D4">
        <w:rPr>
          <w:rFonts w:ascii="Arial" w:hAnsi="Arial" w:cs="Arial"/>
          <w:color w:val="0F1115"/>
          <w:sz w:val="20"/>
          <w:szCs w:val="20"/>
        </w:rPr>
        <w:t>Chan, W. P. W., Mourad, F., &amp; Leong, R. W. (2018). Crohn's disease associated strictures. </w:t>
      </w:r>
      <w:r w:rsidRPr="007748D4">
        <w:rPr>
          <w:rStyle w:val="Emphasis"/>
          <w:rFonts w:ascii="Arial" w:hAnsi="Arial" w:cs="Arial"/>
          <w:color w:val="0F1115"/>
          <w:sz w:val="20"/>
          <w:szCs w:val="20"/>
        </w:rPr>
        <w:t>Journal of Gastroenterology and Hepatology</w:t>
      </w:r>
      <w:r w:rsidRPr="007748D4">
        <w:rPr>
          <w:rFonts w:ascii="Arial" w:hAnsi="Arial" w:cs="Arial"/>
          <w:color w:val="0F1115"/>
          <w:sz w:val="20"/>
          <w:szCs w:val="20"/>
        </w:rPr>
        <w:t>, *33*(5), 998–1008. </w:t>
      </w:r>
      <w:hyperlink r:id="rId24" w:tgtFrame="_blank" w:history="1">
        <w:r w:rsidRPr="007748D4">
          <w:rPr>
            <w:rStyle w:val="Hyperlink"/>
            <w:rFonts w:ascii="Arial" w:hAnsi="Arial" w:cs="Arial"/>
            <w:color w:val="3964FE"/>
            <w:sz w:val="20"/>
            <w:szCs w:val="20"/>
            <w:bdr w:val="single" w:sz="8" w:space="0" w:color="auto" w:frame="1"/>
          </w:rPr>
          <w:t>https://doi.org/10.1111/jgh.14106</w:t>
        </w:r>
      </w:hyperlink>
    </w:p>
    <w:p w14:paraId="541D3D01" w14:textId="77777777" w:rsidR="000266F2" w:rsidRPr="007748D4" w:rsidRDefault="000266F2" w:rsidP="000266F2">
      <w:pPr>
        <w:pStyle w:val="ds-markdown-paragraph"/>
        <w:numPr>
          <w:ilvl w:val="0"/>
          <w:numId w:val="3"/>
        </w:numPr>
        <w:shd w:val="clear" w:color="auto" w:fill="FFFFFF"/>
        <w:spacing w:after="0" w:afterAutospacing="0" w:line="360" w:lineRule="auto"/>
        <w:ind w:left="360"/>
        <w:jc w:val="both"/>
        <w:rPr>
          <w:rFonts w:ascii="Arial" w:hAnsi="Arial" w:cs="Arial"/>
          <w:color w:val="0F1115"/>
          <w:sz w:val="20"/>
          <w:szCs w:val="20"/>
        </w:rPr>
      </w:pPr>
      <w:r w:rsidRPr="007748D4">
        <w:rPr>
          <w:rFonts w:ascii="Arial" w:hAnsi="Arial" w:cs="Arial"/>
          <w:color w:val="0F1115"/>
          <w:sz w:val="20"/>
          <w:szCs w:val="20"/>
        </w:rPr>
        <w:t>Gurvits, G. E., &amp; Lan, G. (2014). Enterolithiasis. </w:t>
      </w:r>
      <w:r w:rsidRPr="007748D4">
        <w:rPr>
          <w:rStyle w:val="Emphasis"/>
          <w:rFonts w:ascii="Arial" w:hAnsi="Arial" w:cs="Arial"/>
          <w:color w:val="0F1115"/>
          <w:sz w:val="20"/>
          <w:szCs w:val="20"/>
        </w:rPr>
        <w:t>World Journal of Gastroenterology</w:t>
      </w:r>
      <w:r w:rsidRPr="007748D4">
        <w:rPr>
          <w:rFonts w:ascii="Arial" w:hAnsi="Arial" w:cs="Arial"/>
          <w:color w:val="0F1115"/>
          <w:sz w:val="20"/>
          <w:szCs w:val="20"/>
        </w:rPr>
        <w:t>, *20*(47), 17819–17829. </w:t>
      </w:r>
      <w:hyperlink r:id="rId25" w:tgtFrame="_blank" w:history="1">
        <w:r w:rsidRPr="007748D4">
          <w:rPr>
            <w:rStyle w:val="Hyperlink"/>
            <w:rFonts w:ascii="Arial" w:hAnsi="Arial" w:cs="Arial"/>
            <w:color w:val="3964FE"/>
            <w:sz w:val="20"/>
            <w:szCs w:val="20"/>
            <w:bdr w:val="single" w:sz="8" w:space="0" w:color="auto" w:frame="1"/>
          </w:rPr>
          <w:t>https://doi.org/10.3748/wjg.v20.i47.17819</w:t>
        </w:r>
      </w:hyperlink>
    </w:p>
    <w:p w14:paraId="00BA2C6E" w14:textId="77777777" w:rsidR="000266F2" w:rsidRPr="007748D4" w:rsidRDefault="000266F2" w:rsidP="000266F2">
      <w:pPr>
        <w:pStyle w:val="ds-markdown-paragraph"/>
        <w:numPr>
          <w:ilvl w:val="0"/>
          <w:numId w:val="3"/>
        </w:numPr>
        <w:shd w:val="clear" w:color="auto" w:fill="FFFFFF"/>
        <w:spacing w:after="0" w:afterAutospacing="0" w:line="360" w:lineRule="auto"/>
        <w:ind w:left="360"/>
        <w:jc w:val="both"/>
        <w:rPr>
          <w:rFonts w:ascii="Arial" w:hAnsi="Arial" w:cs="Arial"/>
          <w:color w:val="0F1115"/>
          <w:sz w:val="20"/>
          <w:szCs w:val="20"/>
        </w:rPr>
      </w:pPr>
      <w:r w:rsidRPr="007748D4">
        <w:rPr>
          <w:rFonts w:ascii="Arial" w:hAnsi="Arial" w:cs="Arial"/>
          <w:color w:val="0F1115"/>
          <w:sz w:val="20"/>
          <w:szCs w:val="20"/>
        </w:rPr>
        <w:t>Mendes Ribeiro, H. K., &amp; Nolan, D. J. (2000). Enterolithiasis in Crohn’s disease. </w:t>
      </w:r>
      <w:r w:rsidRPr="007748D4">
        <w:rPr>
          <w:rStyle w:val="Emphasis"/>
          <w:rFonts w:ascii="Arial" w:hAnsi="Arial" w:cs="Arial"/>
          <w:color w:val="0F1115"/>
          <w:sz w:val="20"/>
          <w:szCs w:val="20"/>
        </w:rPr>
        <w:t>Abdominal Imaging</w:t>
      </w:r>
      <w:r w:rsidRPr="007748D4">
        <w:rPr>
          <w:rFonts w:ascii="Arial" w:hAnsi="Arial" w:cs="Arial"/>
          <w:color w:val="0F1115"/>
          <w:sz w:val="20"/>
          <w:szCs w:val="20"/>
        </w:rPr>
        <w:t>, *25*(5), 526–529. </w:t>
      </w:r>
      <w:hyperlink r:id="rId26" w:tgtFrame="_blank" w:history="1">
        <w:r w:rsidRPr="007748D4">
          <w:rPr>
            <w:rStyle w:val="Hyperlink"/>
            <w:rFonts w:ascii="Arial" w:hAnsi="Arial" w:cs="Arial"/>
            <w:color w:val="3964FE"/>
            <w:sz w:val="20"/>
            <w:szCs w:val="20"/>
            <w:bdr w:val="single" w:sz="8" w:space="0" w:color="auto" w:frame="1"/>
          </w:rPr>
          <w:t>https://doi.org/10.1007/s002610000079</w:t>
        </w:r>
      </w:hyperlink>
    </w:p>
    <w:p w14:paraId="01471C01" w14:textId="77777777" w:rsidR="000266F2" w:rsidRPr="007748D4" w:rsidRDefault="000266F2" w:rsidP="0024307A">
      <w:pPr>
        <w:pStyle w:val="ds-markdown-paragraph"/>
        <w:numPr>
          <w:ilvl w:val="0"/>
          <w:numId w:val="3"/>
        </w:numPr>
        <w:shd w:val="clear" w:color="auto" w:fill="FFFFFF"/>
        <w:spacing w:after="0" w:afterAutospacing="0" w:line="360" w:lineRule="auto"/>
        <w:ind w:left="360"/>
        <w:jc w:val="both"/>
        <w:rPr>
          <w:rFonts w:ascii="Arial" w:hAnsi="Arial" w:cs="Arial"/>
          <w:color w:val="0F1115"/>
          <w:sz w:val="20"/>
          <w:szCs w:val="20"/>
        </w:rPr>
      </w:pPr>
      <w:proofErr w:type="spellStart"/>
      <w:r w:rsidRPr="007748D4">
        <w:rPr>
          <w:rFonts w:ascii="Arial" w:hAnsi="Arial" w:cs="Arial"/>
          <w:color w:val="0F1115"/>
          <w:sz w:val="20"/>
          <w:szCs w:val="20"/>
        </w:rPr>
        <w:lastRenderedPageBreak/>
        <w:t>Grettve</w:t>
      </w:r>
      <w:proofErr w:type="spellEnd"/>
      <w:r w:rsidRPr="007748D4">
        <w:rPr>
          <w:rFonts w:ascii="Arial" w:hAnsi="Arial" w:cs="Arial"/>
          <w:color w:val="0F1115"/>
          <w:sz w:val="20"/>
          <w:szCs w:val="20"/>
        </w:rPr>
        <w:t xml:space="preserve">, S. (1947). A contribution to the knowledge of primary true </w:t>
      </w:r>
      <w:proofErr w:type="spellStart"/>
      <w:r w:rsidRPr="007748D4">
        <w:rPr>
          <w:rFonts w:ascii="Arial" w:hAnsi="Arial" w:cs="Arial"/>
          <w:color w:val="0F1115"/>
          <w:sz w:val="20"/>
          <w:szCs w:val="20"/>
        </w:rPr>
        <w:t>concrements</w:t>
      </w:r>
      <w:proofErr w:type="spellEnd"/>
      <w:r w:rsidRPr="007748D4">
        <w:rPr>
          <w:rFonts w:ascii="Arial" w:hAnsi="Arial" w:cs="Arial"/>
          <w:color w:val="0F1115"/>
          <w:sz w:val="20"/>
          <w:szCs w:val="20"/>
        </w:rPr>
        <w:t xml:space="preserve"> in the small bowel. </w:t>
      </w:r>
      <w:r w:rsidRPr="007748D4">
        <w:rPr>
          <w:rStyle w:val="Emphasis"/>
          <w:rFonts w:ascii="Arial" w:hAnsi="Arial" w:cs="Arial"/>
          <w:color w:val="0F1115"/>
          <w:sz w:val="20"/>
          <w:szCs w:val="20"/>
        </w:rPr>
        <w:t xml:space="preserve">Acta </w:t>
      </w:r>
      <w:proofErr w:type="spellStart"/>
      <w:r w:rsidRPr="007748D4">
        <w:rPr>
          <w:rStyle w:val="Emphasis"/>
          <w:rFonts w:ascii="Arial" w:hAnsi="Arial" w:cs="Arial"/>
          <w:color w:val="0F1115"/>
          <w:sz w:val="20"/>
          <w:szCs w:val="20"/>
        </w:rPr>
        <w:t>Chirurgica</w:t>
      </w:r>
      <w:proofErr w:type="spellEnd"/>
      <w:r w:rsidRPr="007748D4">
        <w:rPr>
          <w:rStyle w:val="Emphasis"/>
          <w:rFonts w:ascii="Arial" w:hAnsi="Arial" w:cs="Arial"/>
          <w:color w:val="0F1115"/>
          <w:sz w:val="20"/>
          <w:szCs w:val="20"/>
        </w:rPr>
        <w:t xml:space="preserve"> </w:t>
      </w:r>
      <w:proofErr w:type="spellStart"/>
      <w:r w:rsidRPr="007748D4">
        <w:rPr>
          <w:rStyle w:val="Emphasis"/>
          <w:rFonts w:ascii="Arial" w:hAnsi="Arial" w:cs="Arial"/>
          <w:color w:val="0F1115"/>
          <w:sz w:val="20"/>
          <w:szCs w:val="20"/>
        </w:rPr>
        <w:t>Scandinavica</w:t>
      </w:r>
      <w:proofErr w:type="spellEnd"/>
      <w:r w:rsidR="0024307A">
        <w:rPr>
          <w:rFonts w:ascii="Arial" w:hAnsi="Arial" w:cs="Arial"/>
          <w:color w:val="0F1115"/>
          <w:sz w:val="20"/>
          <w:szCs w:val="20"/>
        </w:rPr>
        <w:t>, *95*, 387–410.</w:t>
      </w:r>
    </w:p>
    <w:p w14:paraId="200A1401" w14:textId="77777777" w:rsidR="000266F2" w:rsidRPr="007748D4" w:rsidRDefault="000266F2" w:rsidP="000266F2">
      <w:pPr>
        <w:pStyle w:val="ds-markdown-paragraph"/>
        <w:numPr>
          <w:ilvl w:val="0"/>
          <w:numId w:val="3"/>
        </w:numPr>
        <w:shd w:val="clear" w:color="auto" w:fill="FFFFFF"/>
        <w:spacing w:after="0" w:afterAutospacing="0" w:line="360" w:lineRule="auto"/>
        <w:ind w:left="360"/>
        <w:jc w:val="both"/>
        <w:rPr>
          <w:rFonts w:ascii="Arial" w:hAnsi="Arial" w:cs="Arial"/>
          <w:color w:val="0F1115"/>
          <w:sz w:val="20"/>
          <w:szCs w:val="20"/>
        </w:rPr>
      </w:pPr>
      <w:r w:rsidRPr="007748D4">
        <w:rPr>
          <w:rFonts w:ascii="Arial" w:hAnsi="Arial" w:cs="Arial"/>
          <w:color w:val="0F1115"/>
          <w:sz w:val="20"/>
          <w:szCs w:val="20"/>
        </w:rPr>
        <w:t>Munnell, E. R., &amp; Preston, W. J. (1966). Complications of duodenal diverticula. </w:t>
      </w:r>
      <w:r w:rsidRPr="007748D4">
        <w:rPr>
          <w:rStyle w:val="Emphasis"/>
          <w:rFonts w:ascii="Arial" w:hAnsi="Arial" w:cs="Arial"/>
          <w:color w:val="0F1115"/>
          <w:sz w:val="20"/>
          <w:szCs w:val="20"/>
        </w:rPr>
        <w:t>Archives of Surgery</w:t>
      </w:r>
      <w:r w:rsidRPr="007748D4">
        <w:rPr>
          <w:rFonts w:ascii="Arial" w:hAnsi="Arial" w:cs="Arial"/>
          <w:color w:val="0F1115"/>
          <w:sz w:val="20"/>
          <w:szCs w:val="20"/>
        </w:rPr>
        <w:t>, *92*(2), 152–156. </w:t>
      </w:r>
      <w:hyperlink r:id="rId27" w:tgtFrame="_blank" w:history="1">
        <w:r w:rsidRPr="007748D4">
          <w:rPr>
            <w:rStyle w:val="Hyperlink"/>
            <w:rFonts w:ascii="Arial" w:hAnsi="Arial" w:cs="Arial"/>
            <w:color w:val="3964FE"/>
            <w:sz w:val="20"/>
            <w:szCs w:val="20"/>
            <w:bdr w:val="single" w:sz="8" w:space="0" w:color="auto" w:frame="1"/>
          </w:rPr>
          <w:t>https://doi.org/10.1001/archsurg.1966.01320190094016</w:t>
        </w:r>
      </w:hyperlink>
    </w:p>
    <w:p w14:paraId="3DAE2DD6" w14:textId="77777777" w:rsidR="000266F2" w:rsidRPr="007748D4" w:rsidRDefault="000266F2" w:rsidP="000266F2">
      <w:pPr>
        <w:pStyle w:val="ds-markdown-paragraph"/>
        <w:numPr>
          <w:ilvl w:val="0"/>
          <w:numId w:val="3"/>
        </w:numPr>
        <w:shd w:val="clear" w:color="auto" w:fill="FFFFFF"/>
        <w:spacing w:after="0" w:afterAutospacing="0" w:line="360" w:lineRule="auto"/>
        <w:ind w:left="360"/>
        <w:jc w:val="both"/>
        <w:rPr>
          <w:rFonts w:ascii="Arial" w:hAnsi="Arial" w:cs="Arial"/>
          <w:color w:val="0F1115"/>
          <w:sz w:val="20"/>
          <w:szCs w:val="20"/>
        </w:rPr>
      </w:pPr>
      <w:proofErr w:type="spellStart"/>
      <w:r w:rsidRPr="007748D4">
        <w:rPr>
          <w:rFonts w:ascii="Arial" w:hAnsi="Arial" w:cs="Arial"/>
          <w:color w:val="0F1115"/>
          <w:sz w:val="20"/>
          <w:szCs w:val="20"/>
        </w:rPr>
        <w:t>Fuchsjäger</w:t>
      </w:r>
      <w:proofErr w:type="spellEnd"/>
      <w:r w:rsidRPr="007748D4">
        <w:rPr>
          <w:rFonts w:ascii="Arial" w:hAnsi="Arial" w:cs="Arial"/>
          <w:color w:val="0F1115"/>
          <w:sz w:val="20"/>
          <w:szCs w:val="20"/>
        </w:rPr>
        <w:t>, M. H. (2002). The small-bowel feces sign. </w:t>
      </w:r>
      <w:r w:rsidRPr="007748D4">
        <w:rPr>
          <w:rStyle w:val="Emphasis"/>
          <w:rFonts w:ascii="Arial" w:hAnsi="Arial" w:cs="Arial"/>
          <w:color w:val="0F1115"/>
          <w:sz w:val="20"/>
          <w:szCs w:val="20"/>
        </w:rPr>
        <w:t>Radiology</w:t>
      </w:r>
      <w:r w:rsidRPr="007748D4">
        <w:rPr>
          <w:rFonts w:ascii="Arial" w:hAnsi="Arial" w:cs="Arial"/>
          <w:color w:val="0F1115"/>
          <w:sz w:val="20"/>
          <w:szCs w:val="20"/>
        </w:rPr>
        <w:t>, *225*(2), 378–379. </w:t>
      </w:r>
      <w:hyperlink r:id="rId28" w:tgtFrame="_blank" w:history="1">
        <w:r w:rsidRPr="007748D4">
          <w:rPr>
            <w:rStyle w:val="Hyperlink"/>
            <w:rFonts w:ascii="Arial" w:hAnsi="Arial" w:cs="Arial"/>
            <w:color w:val="3964FE"/>
            <w:sz w:val="20"/>
            <w:szCs w:val="20"/>
            <w:bdr w:val="single" w:sz="8" w:space="0" w:color="auto" w:frame="1"/>
          </w:rPr>
          <w:t>https://doi.org/10.1148/radiol.2252011563</w:t>
        </w:r>
      </w:hyperlink>
    </w:p>
    <w:p w14:paraId="5E213029" w14:textId="77777777" w:rsidR="000266F2" w:rsidRPr="007748D4" w:rsidRDefault="000266F2" w:rsidP="0024307A">
      <w:pPr>
        <w:pStyle w:val="ds-markdown-paragraph"/>
        <w:numPr>
          <w:ilvl w:val="0"/>
          <w:numId w:val="3"/>
        </w:numPr>
        <w:shd w:val="clear" w:color="auto" w:fill="FFFFFF"/>
        <w:spacing w:after="0" w:afterAutospacing="0" w:line="360" w:lineRule="auto"/>
        <w:ind w:left="360"/>
        <w:jc w:val="both"/>
        <w:rPr>
          <w:rFonts w:ascii="Arial" w:hAnsi="Arial" w:cs="Arial"/>
          <w:color w:val="0F1115"/>
          <w:sz w:val="20"/>
          <w:szCs w:val="20"/>
        </w:rPr>
      </w:pPr>
      <w:proofErr w:type="spellStart"/>
      <w:r w:rsidRPr="007748D4">
        <w:rPr>
          <w:rFonts w:ascii="Arial" w:hAnsi="Arial" w:cs="Arial"/>
          <w:color w:val="0F1115"/>
          <w:sz w:val="20"/>
          <w:szCs w:val="20"/>
        </w:rPr>
        <w:t>Pironi</w:t>
      </w:r>
      <w:proofErr w:type="spellEnd"/>
      <w:r w:rsidRPr="007748D4">
        <w:rPr>
          <w:rFonts w:ascii="Arial" w:hAnsi="Arial" w:cs="Arial"/>
          <w:color w:val="0F1115"/>
          <w:sz w:val="20"/>
          <w:szCs w:val="20"/>
        </w:rPr>
        <w:t xml:space="preserve">, L., </w:t>
      </w:r>
      <w:proofErr w:type="spellStart"/>
      <w:r w:rsidRPr="007748D4">
        <w:rPr>
          <w:rFonts w:ascii="Arial" w:hAnsi="Arial" w:cs="Arial"/>
          <w:color w:val="0F1115"/>
          <w:sz w:val="20"/>
          <w:szCs w:val="20"/>
        </w:rPr>
        <w:t>Cuerda</w:t>
      </w:r>
      <w:proofErr w:type="spellEnd"/>
      <w:r w:rsidRPr="007748D4">
        <w:rPr>
          <w:rFonts w:ascii="Arial" w:hAnsi="Arial" w:cs="Arial"/>
          <w:color w:val="0F1115"/>
          <w:sz w:val="20"/>
          <w:szCs w:val="20"/>
        </w:rPr>
        <w:t xml:space="preserve">, C., Jeppesen, P. B., Ziegler, U. E., </w:t>
      </w:r>
      <w:proofErr w:type="spellStart"/>
      <w:r w:rsidRPr="007748D4">
        <w:rPr>
          <w:rFonts w:ascii="Arial" w:hAnsi="Arial" w:cs="Arial"/>
          <w:color w:val="0F1115"/>
          <w:sz w:val="20"/>
          <w:szCs w:val="20"/>
        </w:rPr>
        <w:t>Wanten</w:t>
      </w:r>
      <w:proofErr w:type="spellEnd"/>
      <w:r w:rsidRPr="007748D4">
        <w:rPr>
          <w:rFonts w:ascii="Arial" w:hAnsi="Arial" w:cs="Arial"/>
          <w:color w:val="0F1115"/>
          <w:sz w:val="20"/>
          <w:szCs w:val="20"/>
        </w:rPr>
        <w:t xml:space="preserve">, G., </w:t>
      </w:r>
      <w:proofErr w:type="spellStart"/>
      <w:r w:rsidRPr="007748D4">
        <w:rPr>
          <w:rFonts w:ascii="Arial" w:hAnsi="Arial" w:cs="Arial"/>
          <w:color w:val="0F1115"/>
          <w:sz w:val="20"/>
          <w:szCs w:val="20"/>
        </w:rPr>
        <w:t>Bakhov</w:t>
      </w:r>
      <w:proofErr w:type="spellEnd"/>
      <w:r w:rsidRPr="007748D4">
        <w:rPr>
          <w:rFonts w:ascii="Arial" w:hAnsi="Arial" w:cs="Arial"/>
          <w:color w:val="0F1115"/>
          <w:sz w:val="20"/>
          <w:szCs w:val="20"/>
        </w:rPr>
        <w:t xml:space="preserve">, I., </w:t>
      </w:r>
      <w:r w:rsidR="0024307A">
        <w:rPr>
          <w:rFonts w:ascii="Arial" w:hAnsi="Arial" w:cs="Arial"/>
          <w:color w:val="0F1115"/>
          <w:sz w:val="20"/>
          <w:szCs w:val="20"/>
        </w:rPr>
        <w:t xml:space="preserve">et al. </w:t>
      </w:r>
      <w:r w:rsidRPr="007748D4">
        <w:rPr>
          <w:rFonts w:ascii="Arial" w:hAnsi="Arial" w:cs="Arial"/>
          <w:color w:val="0F1115"/>
          <w:sz w:val="20"/>
          <w:szCs w:val="20"/>
        </w:rPr>
        <w:t>(2023). ESPEN guideline on chronic intestinal failure in adults – Update 2023. </w:t>
      </w:r>
      <w:r w:rsidRPr="007748D4">
        <w:rPr>
          <w:rStyle w:val="Emphasis"/>
          <w:rFonts w:ascii="Arial" w:hAnsi="Arial" w:cs="Arial"/>
          <w:color w:val="0F1115"/>
          <w:sz w:val="20"/>
          <w:szCs w:val="20"/>
        </w:rPr>
        <w:t>Clinical Nutrition</w:t>
      </w:r>
      <w:r w:rsidRPr="007748D4">
        <w:rPr>
          <w:rFonts w:ascii="Arial" w:hAnsi="Arial" w:cs="Arial"/>
          <w:color w:val="0F1115"/>
          <w:sz w:val="20"/>
          <w:szCs w:val="20"/>
        </w:rPr>
        <w:t>, *42*(10), 1940–2021. </w:t>
      </w:r>
      <w:hyperlink r:id="rId29" w:tgtFrame="_blank" w:history="1">
        <w:r w:rsidRPr="007748D4">
          <w:rPr>
            <w:rStyle w:val="Hyperlink"/>
            <w:rFonts w:ascii="Arial" w:hAnsi="Arial" w:cs="Arial"/>
            <w:color w:val="3964FE"/>
            <w:sz w:val="20"/>
            <w:szCs w:val="20"/>
            <w:bdr w:val="single" w:sz="8" w:space="0" w:color="auto" w:frame="1"/>
          </w:rPr>
          <w:t>https://doi.org/10.1016/j.clnu.2023.07.011</w:t>
        </w:r>
      </w:hyperlink>
    </w:p>
    <w:p w14:paraId="3A418D15" w14:textId="77777777" w:rsidR="000266F2" w:rsidRPr="00B93F15" w:rsidRDefault="000266F2" w:rsidP="00B93F15">
      <w:pPr>
        <w:pStyle w:val="ds-markdown-paragraph"/>
        <w:numPr>
          <w:ilvl w:val="0"/>
          <w:numId w:val="3"/>
        </w:numPr>
        <w:shd w:val="clear" w:color="auto" w:fill="FFFFFF"/>
        <w:spacing w:after="0" w:afterAutospacing="0" w:line="360" w:lineRule="auto"/>
        <w:ind w:left="360"/>
        <w:jc w:val="both"/>
        <w:rPr>
          <w:rFonts w:ascii="Arial" w:hAnsi="Arial" w:cs="Arial"/>
          <w:color w:val="0F1115"/>
          <w:sz w:val="20"/>
          <w:szCs w:val="20"/>
        </w:rPr>
      </w:pPr>
      <w:r w:rsidRPr="007748D4">
        <w:rPr>
          <w:rFonts w:ascii="Arial" w:hAnsi="Arial" w:cs="Arial"/>
          <w:color w:val="0F1115"/>
          <w:sz w:val="20"/>
          <w:szCs w:val="20"/>
        </w:rPr>
        <w:t xml:space="preserve">Weimann, A., Braga, M., Carli, F., </w:t>
      </w:r>
      <w:proofErr w:type="spellStart"/>
      <w:r w:rsidRPr="007748D4">
        <w:rPr>
          <w:rFonts w:ascii="Arial" w:hAnsi="Arial" w:cs="Arial"/>
          <w:color w:val="0F1115"/>
          <w:sz w:val="20"/>
          <w:szCs w:val="20"/>
        </w:rPr>
        <w:t>Higashiguchi</w:t>
      </w:r>
      <w:proofErr w:type="spellEnd"/>
      <w:r w:rsidRPr="007748D4">
        <w:rPr>
          <w:rFonts w:ascii="Arial" w:hAnsi="Arial" w:cs="Arial"/>
          <w:color w:val="0F1115"/>
          <w:sz w:val="20"/>
          <w:szCs w:val="20"/>
        </w:rPr>
        <w:t>, T., Hü</w:t>
      </w:r>
      <w:r w:rsidR="0024307A">
        <w:rPr>
          <w:rFonts w:ascii="Arial" w:hAnsi="Arial" w:cs="Arial"/>
          <w:color w:val="0F1115"/>
          <w:sz w:val="20"/>
          <w:szCs w:val="20"/>
        </w:rPr>
        <w:t>bner, M., Klek, S.,</w:t>
      </w:r>
      <w:r w:rsidRPr="007748D4">
        <w:rPr>
          <w:rFonts w:ascii="Arial" w:hAnsi="Arial" w:cs="Arial"/>
          <w:color w:val="0F1115"/>
          <w:sz w:val="20"/>
          <w:szCs w:val="20"/>
        </w:rPr>
        <w:t xml:space="preserve"> </w:t>
      </w:r>
      <w:r w:rsidR="0024307A">
        <w:rPr>
          <w:rFonts w:ascii="Arial" w:hAnsi="Arial" w:cs="Arial"/>
          <w:color w:val="0F1115"/>
          <w:sz w:val="20"/>
          <w:szCs w:val="20"/>
        </w:rPr>
        <w:t xml:space="preserve">et al. </w:t>
      </w:r>
      <w:r w:rsidRPr="007748D4">
        <w:rPr>
          <w:rFonts w:ascii="Arial" w:hAnsi="Arial" w:cs="Arial"/>
          <w:color w:val="0F1115"/>
          <w:sz w:val="20"/>
          <w:szCs w:val="20"/>
        </w:rPr>
        <w:t>(2021). ESPEN practical guideline: Clinical nutrition in surgery. </w:t>
      </w:r>
      <w:r w:rsidRPr="007748D4">
        <w:rPr>
          <w:rStyle w:val="Emphasis"/>
          <w:rFonts w:ascii="Arial" w:hAnsi="Arial" w:cs="Arial"/>
          <w:color w:val="0F1115"/>
          <w:sz w:val="20"/>
          <w:szCs w:val="20"/>
        </w:rPr>
        <w:t>Clinical Nutrition</w:t>
      </w:r>
      <w:r w:rsidRPr="007748D4">
        <w:rPr>
          <w:rFonts w:ascii="Arial" w:hAnsi="Arial" w:cs="Arial"/>
          <w:color w:val="0F1115"/>
          <w:sz w:val="20"/>
          <w:szCs w:val="20"/>
        </w:rPr>
        <w:t>, *40*(7), 4745–4761. </w:t>
      </w:r>
      <w:hyperlink r:id="rId30" w:tgtFrame="_blank" w:history="1">
        <w:r w:rsidRPr="007748D4">
          <w:rPr>
            <w:rStyle w:val="Hyperlink"/>
            <w:rFonts w:ascii="Arial" w:hAnsi="Arial" w:cs="Arial"/>
            <w:color w:val="3964FE"/>
            <w:sz w:val="20"/>
            <w:szCs w:val="20"/>
            <w:bdr w:val="single" w:sz="8" w:space="0" w:color="auto" w:frame="1"/>
          </w:rPr>
          <w:t>https://doi.org/10.1016/j.clnu.2021.03.031</w:t>
        </w:r>
      </w:hyperlink>
    </w:p>
    <w:p w14:paraId="1FEA6503" w14:textId="77777777" w:rsidR="00B93F15" w:rsidRPr="000266F2" w:rsidRDefault="00B93F15" w:rsidP="00B93F15">
      <w:pPr>
        <w:pStyle w:val="ds-markdown-paragraph"/>
        <w:shd w:val="clear" w:color="auto" w:fill="FFFFFF"/>
        <w:spacing w:after="0" w:afterAutospacing="0" w:line="360" w:lineRule="auto"/>
        <w:ind w:left="360"/>
        <w:jc w:val="both"/>
        <w:rPr>
          <w:rFonts w:ascii="Arial" w:hAnsi="Arial" w:cs="Arial"/>
          <w:color w:val="0F1115"/>
          <w:sz w:val="20"/>
          <w:szCs w:val="20"/>
        </w:rPr>
      </w:pPr>
    </w:p>
    <w:p w14:paraId="25C01A98" w14:textId="77777777" w:rsidR="002A52F0" w:rsidRPr="002A52F0" w:rsidRDefault="002A52F0" w:rsidP="00D41F54">
      <w:pPr>
        <w:spacing w:line="360" w:lineRule="auto"/>
        <w:rPr>
          <w:rFonts w:ascii="Arial" w:hAnsi="Arial" w:cs="Arial"/>
          <w:sz w:val="20"/>
          <w:szCs w:val="20"/>
          <w:lang w:bidi="ar-EG"/>
        </w:rPr>
      </w:pPr>
    </w:p>
    <w:sectPr w:rsidR="002A52F0" w:rsidRPr="002A52F0" w:rsidSect="00C014D3">
      <w:headerReference w:type="even" r:id="rId31"/>
      <w:headerReference w:type="default" r:id="rId32"/>
      <w:footerReference w:type="even" r:id="rId33"/>
      <w:footerReference w:type="default" r:id="rId34"/>
      <w:headerReference w:type="first" r:id="rId35"/>
      <w:footerReference w:type="first" r:id="rId3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2CF20F1" w14:textId="77777777" w:rsidR="00AE1FB3" w:rsidRDefault="00AE1FB3" w:rsidP="006C08CC">
      <w:pPr>
        <w:spacing w:after="0" w:line="240" w:lineRule="auto"/>
      </w:pPr>
      <w:r>
        <w:separator/>
      </w:r>
    </w:p>
  </w:endnote>
  <w:endnote w:type="continuationSeparator" w:id="0">
    <w:p w14:paraId="238CDDF0" w14:textId="77777777" w:rsidR="00AE1FB3" w:rsidRDefault="00AE1FB3" w:rsidP="006C08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BC9C23" w14:textId="77777777" w:rsidR="00A9009F" w:rsidRDefault="00A9009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6DC572" w14:textId="77777777" w:rsidR="00A9009F" w:rsidRDefault="00A9009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2434D6" w14:textId="77777777" w:rsidR="00A9009F" w:rsidRDefault="00A9009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6C83702" w14:textId="77777777" w:rsidR="00AE1FB3" w:rsidRDefault="00AE1FB3" w:rsidP="006C08CC">
      <w:pPr>
        <w:spacing w:after="0" w:line="240" w:lineRule="auto"/>
      </w:pPr>
      <w:r>
        <w:separator/>
      </w:r>
    </w:p>
  </w:footnote>
  <w:footnote w:type="continuationSeparator" w:id="0">
    <w:p w14:paraId="616F516C" w14:textId="77777777" w:rsidR="00AE1FB3" w:rsidRDefault="00AE1FB3" w:rsidP="006C08C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D81E3D" w14:textId="47E88A07" w:rsidR="00A9009F" w:rsidRDefault="00AE1FB3">
    <w:pPr>
      <w:pStyle w:val="Header"/>
    </w:pPr>
    <w:r>
      <w:rPr>
        <w:noProof/>
      </w:rPr>
      <w:pict w14:anchorId="691E3BC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64016376" o:spid="_x0000_s2050"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F35AF4" w14:textId="63CB0997" w:rsidR="00A9009F" w:rsidRDefault="00AE1FB3">
    <w:pPr>
      <w:pStyle w:val="Header"/>
    </w:pPr>
    <w:r>
      <w:rPr>
        <w:noProof/>
      </w:rPr>
      <w:pict w14:anchorId="55F99B6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64016377" o:spid="_x0000_s2051"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C16C76" w14:textId="04CB9360" w:rsidR="00A9009F" w:rsidRDefault="00AE1FB3">
    <w:pPr>
      <w:pStyle w:val="Header"/>
    </w:pPr>
    <w:r>
      <w:rPr>
        <w:noProof/>
      </w:rPr>
      <w:pict w14:anchorId="7B158CE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64016375" o:spid="_x0000_s2049"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933280"/>
    <w:multiLevelType w:val="hybridMultilevel"/>
    <w:tmpl w:val="3D8A2B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DF35988"/>
    <w:multiLevelType w:val="multilevel"/>
    <w:tmpl w:val="DC3699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5E539FF"/>
    <w:multiLevelType w:val="multilevel"/>
    <w:tmpl w:val="7B54C1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28E224A"/>
    <w:multiLevelType w:val="hybridMultilevel"/>
    <w:tmpl w:val="3392E4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71B3ECB"/>
    <w:multiLevelType w:val="hybridMultilevel"/>
    <w:tmpl w:val="4988532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37FA1E41"/>
    <w:multiLevelType w:val="hybridMultilevel"/>
    <w:tmpl w:val="C96E01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9E075E7"/>
    <w:multiLevelType w:val="hybridMultilevel"/>
    <w:tmpl w:val="EE220D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CF42B32"/>
    <w:multiLevelType w:val="hybridMultilevel"/>
    <w:tmpl w:val="A02A0DF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45B625FA"/>
    <w:multiLevelType w:val="hybridMultilevel"/>
    <w:tmpl w:val="6512E3D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34075F6"/>
    <w:multiLevelType w:val="hybridMultilevel"/>
    <w:tmpl w:val="8648116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6E591FC9"/>
    <w:multiLevelType w:val="hybridMultilevel"/>
    <w:tmpl w:val="2BD6318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719C36E3"/>
    <w:multiLevelType w:val="multilevel"/>
    <w:tmpl w:val="F0E656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76A32880"/>
    <w:multiLevelType w:val="hybridMultilevel"/>
    <w:tmpl w:val="FE9C2F7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9"/>
  </w:num>
  <w:num w:numId="3">
    <w:abstractNumId w:val="11"/>
  </w:num>
  <w:num w:numId="4">
    <w:abstractNumId w:val="1"/>
  </w:num>
  <w:num w:numId="5">
    <w:abstractNumId w:val="12"/>
  </w:num>
  <w:num w:numId="6">
    <w:abstractNumId w:val="8"/>
  </w:num>
  <w:num w:numId="7">
    <w:abstractNumId w:val="0"/>
  </w:num>
  <w:num w:numId="8">
    <w:abstractNumId w:val="2"/>
  </w:num>
  <w:num w:numId="9">
    <w:abstractNumId w:val="7"/>
  </w:num>
  <w:num w:numId="10">
    <w:abstractNumId w:val="10"/>
  </w:num>
  <w:num w:numId="11">
    <w:abstractNumId w:val="4"/>
  </w:num>
  <w:num w:numId="12">
    <w:abstractNumId w:val="3"/>
  </w:num>
  <w:num w:numId="1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sDAxMzUwMTG1MDA3M7VQ0lEKTi0uzszPAykwrAUAwRbAKSwAAAA="/>
  </w:docVars>
  <w:rsids>
    <w:rsidRoot w:val="002C3E06"/>
    <w:rsid w:val="000266F2"/>
    <w:rsid w:val="000365C2"/>
    <w:rsid w:val="00057C5D"/>
    <w:rsid w:val="00066D2D"/>
    <w:rsid w:val="000B5BCD"/>
    <w:rsid w:val="00185A25"/>
    <w:rsid w:val="001960A7"/>
    <w:rsid w:val="00196386"/>
    <w:rsid w:val="001B4F78"/>
    <w:rsid w:val="00211A90"/>
    <w:rsid w:val="0024307A"/>
    <w:rsid w:val="00294C43"/>
    <w:rsid w:val="002A52F0"/>
    <w:rsid w:val="002B252C"/>
    <w:rsid w:val="002C3E06"/>
    <w:rsid w:val="002E58FA"/>
    <w:rsid w:val="00347826"/>
    <w:rsid w:val="0036228F"/>
    <w:rsid w:val="003732D2"/>
    <w:rsid w:val="003821AB"/>
    <w:rsid w:val="00395ADC"/>
    <w:rsid w:val="003F7E5A"/>
    <w:rsid w:val="00421ED8"/>
    <w:rsid w:val="004A0C3F"/>
    <w:rsid w:val="00564459"/>
    <w:rsid w:val="00570947"/>
    <w:rsid w:val="00600B47"/>
    <w:rsid w:val="0062201A"/>
    <w:rsid w:val="0066752F"/>
    <w:rsid w:val="006750D1"/>
    <w:rsid w:val="006C08CC"/>
    <w:rsid w:val="00770D2D"/>
    <w:rsid w:val="007C2D96"/>
    <w:rsid w:val="007F38DC"/>
    <w:rsid w:val="0080369D"/>
    <w:rsid w:val="00874E62"/>
    <w:rsid w:val="008A0C15"/>
    <w:rsid w:val="008B35B8"/>
    <w:rsid w:val="008E798D"/>
    <w:rsid w:val="009657F2"/>
    <w:rsid w:val="009C6CD2"/>
    <w:rsid w:val="009F20BB"/>
    <w:rsid w:val="00A9009F"/>
    <w:rsid w:val="00AE148F"/>
    <w:rsid w:val="00AE1FB3"/>
    <w:rsid w:val="00B93F15"/>
    <w:rsid w:val="00BF0DBB"/>
    <w:rsid w:val="00C014D3"/>
    <w:rsid w:val="00CF02DA"/>
    <w:rsid w:val="00D04E87"/>
    <w:rsid w:val="00D311E0"/>
    <w:rsid w:val="00D41F54"/>
    <w:rsid w:val="00D57D43"/>
    <w:rsid w:val="00D92009"/>
    <w:rsid w:val="00D96225"/>
    <w:rsid w:val="00E1526C"/>
    <w:rsid w:val="00E60156"/>
    <w:rsid w:val="00F11DD6"/>
    <w:rsid w:val="00F675F6"/>
    <w:rsid w:val="00F86873"/>
    <w:rsid w:val="00F91C0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F088C5D"/>
  <w15:docId w15:val="{F5689FF5-F802-4AEE-A812-CFDC12D36E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C08C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C08CC"/>
    <w:pPr>
      <w:tabs>
        <w:tab w:val="center" w:pos="4680"/>
        <w:tab w:val="right" w:pos="9360"/>
      </w:tabs>
      <w:spacing w:after="0" w:line="240" w:lineRule="auto"/>
    </w:pPr>
  </w:style>
  <w:style w:type="character" w:customStyle="1" w:styleId="HeaderChar">
    <w:name w:val="Header Char"/>
    <w:basedOn w:val="DefaultParagraphFont"/>
    <w:link w:val="Header"/>
    <w:uiPriority w:val="99"/>
    <w:rsid w:val="006C08CC"/>
  </w:style>
  <w:style w:type="paragraph" w:styleId="Footer">
    <w:name w:val="footer"/>
    <w:basedOn w:val="Normal"/>
    <w:link w:val="FooterChar"/>
    <w:uiPriority w:val="99"/>
    <w:unhideWhenUsed/>
    <w:rsid w:val="006C08CC"/>
    <w:pPr>
      <w:tabs>
        <w:tab w:val="center" w:pos="4680"/>
        <w:tab w:val="right" w:pos="9360"/>
      </w:tabs>
      <w:spacing w:after="0" w:line="240" w:lineRule="auto"/>
    </w:pPr>
  </w:style>
  <w:style w:type="character" w:customStyle="1" w:styleId="FooterChar">
    <w:name w:val="Footer Char"/>
    <w:basedOn w:val="DefaultParagraphFont"/>
    <w:link w:val="Footer"/>
    <w:uiPriority w:val="99"/>
    <w:rsid w:val="006C08CC"/>
  </w:style>
  <w:style w:type="paragraph" w:styleId="BalloonText">
    <w:name w:val="Balloon Text"/>
    <w:basedOn w:val="Normal"/>
    <w:link w:val="BalloonTextChar"/>
    <w:uiPriority w:val="99"/>
    <w:semiHidden/>
    <w:unhideWhenUsed/>
    <w:rsid w:val="006C08C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C08CC"/>
    <w:rPr>
      <w:rFonts w:ascii="Tahoma" w:hAnsi="Tahoma" w:cs="Tahoma"/>
      <w:sz w:val="16"/>
      <w:szCs w:val="16"/>
    </w:rPr>
  </w:style>
  <w:style w:type="character" w:styleId="Strong">
    <w:name w:val="Strong"/>
    <w:basedOn w:val="DefaultParagraphFont"/>
    <w:uiPriority w:val="22"/>
    <w:qFormat/>
    <w:rsid w:val="002A52F0"/>
    <w:rPr>
      <w:b/>
      <w:bCs/>
    </w:rPr>
  </w:style>
  <w:style w:type="character" w:styleId="Emphasis">
    <w:name w:val="Emphasis"/>
    <w:basedOn w:val="DefaultParagraphFont"/>
    <w:uiPriority w:val="20"/>
    <w:qFormat/>
    <w:rsid w:val="002A52F0"/>
    <w:rPr>
      <w:i/>
      <w:iCs/>
    </w:rPr>
  </w:style>
  <w:style w:type="paragraph" w:styleId="NormalWeb">
    <w:name w:val="Normal (Web)"/>
    <w:basedOn w:val="Normal"/>
    <w:uiPriority w:val="99"/>
    <w:unhideWhenUsed/>
    <w:rsid w:val="002A52F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s-markdown-paragraph">
    <w:name w:val="ds-markdown-paragraph"/>
    <w:basedOn w:val="Normal"/>
    <w:rsid w:val="002A52F0"/>
    <w:pPr>
      <w:spacing w:before="100" w:beforeAutospacing="1" w:after="100" w:afterAutospacing="1" w:line="240" w:lineRule="auto"/>
    </w:pPr>
    <w:rPr>
      <w:rFonts w:ascii="Times New Roman" w:eastAsia="Times New Roman" w:hAnsi="Times New Roman" w:cs="Times New Roman"/>
      <w:sz w:val="24"/>
      <w:szCs w:val="24"/>
    </w:rPr>
  </w:style>
  <w:style w:type="character" w:styleId="LineNumber">
    <w:name w:val="line number"/>
    <w:basedOn w:val="DefaultParagraphFont"/>
    <w:uiPriority w:val="99"/>
    <w:semiHidden/>
    <w:unhideWhenUsed/>
    <w:rsid w:val="00570947"/>
  </w:style>
  <w:style w:type="paragraph" w:customStyle="1" w:styleId="ReferHead">
    <w:name w:val="Refer Head"/>
    <w:basedOn w:val="Normal"/>
    <w:rsid w:val="00F11DD6"/>
    <w:pPr>
      <w:keepNext/>
      <w:spacing w:after="240" w:line="240" w:lineRule="auto"/>
    </w:pPr>
    <w:rPr>
      <w:rFonts w:ascii="Helvetica" w:eastAsia="Times New Roman" w:hAnsi="Helvetica" w:cs="Times New Roman"/>
      <w:b/>
      <w:caps/>
      <w:szCs w:val="20"/>
    </w:rPr>
  </w:style>
  <w:style w:type="character" w:styleId="Hyperlink">
    <w:name w:val="Hyperlink"/>
    <w:basedOn w:val="DefaultParagraphFont"/>
    <w:uiPriority w:val="99"/>
    <w:semiHidden/>
    <w:unhideWhenUsed/>
    <w:rsid w:val="000266F2"/>
    <w:rPr>
      <w:color w:val="0000FF"/>
      <w:u w:val="single"/>
    </w:rPr>
  </w:style>
  <w:style w:type="paragraph" w:styleId="ListParagraph">
    <w:name w:val="List Paragraph"/>
    <w:basedOn w:val="Normal"/>
    <w:uiPriority w:val="34"/>
    <w:qFormat/>
    <w:rsid w:val="00C014D3"/>
    <w:pPr>
      <w:ind w:left="720"/>
      <w:contextualSpacing/>
    </w:pPr>
  </w:style>
  <w:style w:type="table" w:styleId="TableGrid">
    <w:name w:val="Table Grid"/>
    <w:basedOn w:val="TableNormal"/>
    <w:uiPriority w:val="59"/>
    <w:rsid w:val="009F20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63491644">
      <w:bodyDiv w:val="1"/>
      <w:marLeft w:val="0"/>
      <w:marRight w:val="0"/>
      <w:marTop w:val="0"/>
      <w:marBottom w:val="0"/>
      <w:divBdr>
        <w:top w:val="none" w:sz="0" w:space="0" w:color="auto"/>
        <w:left w:val="none" w:sz="0" w:space="0" w:color="auto"/>
        <w:bottom w:val="none" w:sz="0" w:space="0" w:color="auto"/>
        <w:right w:val="none" w:sz="0" w:space="0" w:color="auto"/>
      </w:divBdr>
    </w:div>
    <w:div w:id="20573872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oi.org/10.1097/00054725-200002000-00002" TargetMode="External"/><Relationship Id="rId18" Type="http://schemas.openxmlformats.org/officeDocument/2006/relationships/hyperlink" Target="https://doi.org/10.1186/1755-1536-7-5" TargetMode="External"/><Relationship Id="rId26" Type="http://schemas.openxmlformats.org/officeDocument/2006/relationships/hyperlink" Target="https://doi.org/10.1007/s002610000079" TargetMode="External"/><Relationship Id="rId21" Type="http://schemas.openxmlformats.org/officeDocument/2006/relationships/hyperlink" Target="https://doi.org/10.1136/gut.25.6.665" TargetMode="External"/><Relationship Id="rId34" Type="http://schemas.openxmlformats.org/officeDocument/2006/relationships/footer" Target="footer2.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hyperlink" Target="https://doi.org/10.1053/j.gastro.2010.06.070" TargetMode="External"/><Relationship Id="rId25" Type="http://schemas.openxmlformats.org/officeDocument/2006/relationships/hyperlink" Target="https://doi.org/10.3748/wjg.v20.i47.17819" TargetMode="External"/><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doi.org/10.1016/j.dld.2012.09.022" TargetMode="External"/><Relationship Id="rId20" Type="http://schemas.openxmlformats.org/officeDocument/2006/relationships/hyperlink" Target="https://doi.org/10.1111/j.1572-0241.2006.00564.x" TargetMode="External"/><Relationship Id="rId29" Type="http://schemas.openxmlformats.org/officeDocument/2006/relationships/hyperlink" Target="https://doi.org/10.1016/j.clnu.2023.07.011"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hyperlink" Target="https://doi.org/10.1111/jgh.14106" TargetMode="External"/><Relationship Id="rId32" Type="http://schemas.openxmlformats.org/officeDocument/2006/relationships/header" Target="header2.xml"/><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doi.org/10.1136/gut.2009.202101" TargetMode="External"/><Relationship Id="rId23" Type="http://schemas.openxmlformats.org/officeDocument/2006/relationships/hyperlink" Target="https://doi.org/10.1038/ajg.2014.245" TargetMode="External"/><Relationship Id="rId28" Type="http://schemas.openxmlformats.org/officeDocument/2006/relationships/hyperlink" Target="https://doi.org/10.1148/radiol.2252011563" TargetMode="External"/><Relationship Id="rId36" Type="http://schemas.openxmlformats.org/officeDocument/2006/relationships/footer" Target="footer3.xml"/><Relationship Id="rId10" Type="http://schemas.openxmlformats.org/officeDocument/2006/relationships/image" Target="media/image3.jpeg"/><Relationship Id="rId19" Type="http://schemas.openxmlformats.org/officeDocument/2006/relationships/hyperlink" Target="https://doi.org/10.1038/ajg.2009.579" TargetMode="External"/><Relationship Id="rId31" Type="http://schemas.openxmlformats.org/officeDocument/2006/relationships/header" Target="header1.xml"/><Relationship Id="rId4" Type="http://schemas.openxmlformats.org/officeDocument/2006/relationships/webSettings" Target="webSettings.xml"/><Relationship Id="rId9" Type="http://schemas.microsoft.com/office/2007/relationships/hdphoto" Target="media/hdphoto1.wdp"/><Relationship Id="rId14" Type="http://schemas.openxmlformats.org/officeDocument/2006/relationships/hyperlink" Target="https://doi.org/10.1080/00365520601076124" TargetMode="External"/><Relationship Id="rId22" Type="http://schemas.openxmlformats.org/officeDocument/2006/relationships/hyperlink" Target="https://doi.org/10.1038/ajg.2012.298" TargetMode="External"/><Relationship Id="rId27" Type="http://schemas.openxmlformats.org/officeDocument/2006/relationships/hyperlink" Target="https://doi.org/10.1001/archsurg.1966.01320190094016" TargetMode="External"/><Relationship Id="rId30" Type="http://schemas.openxmlformats.org/officeDocument/2006/relationships/hyperlink" Target="https://doi.org/10.1016/j.clnu.2021.03.031" TargetMode="External"/><Relationship Id="rId35" Type="http://schemas.openxmlformats.org/officeDocument/2006/relationships/header" Target="header3.xml"/><Relationship Id="rId8" Type="http://schemas.openxmlformats.org/officeDocument/2006/relationships/image" Target="media/image2.jpe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274</TotalTime>
  <Pages>11</Pages>
  <Words>3487</Words>
  <Characters>19880</Characters>
  <Application>Microsoft Office Word</Application>
  <DocSecurity>0</DocSecurity>
  <Lines>165</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23321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SDI 1020</cp:lastModifiedBy>
  <cp:revision>27</cp:revision>
  <dcterms:created xsi:type="dcterms:W3CDTF">2025-11-12T21:08:00Z</dcterms:created>
  <dcterms:modified xsi:type="dcterms:W3CDTF">2025-11-24T13:39:00Z</dcterms:modified>
</cp:coreProperties>
</file>