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B4226" w14:textId="77777777" w:rsidR="00A40186" w:rsidRPr="00AA66A3" w:rsidRDefault="00A40186" w:rsidP="00AA66A3">
      <w:pPr>
        <w:spacing w:line="360" w:lineRule="auto"/>
        <w:ind w:right="-472"/>
        <w:rPr>
          <w:rFonts w:ascii="Times New Roman" w:hAnsi="Times New Roman" w:cs="Times New Roman"/>
          <w:b/>
          <w:bCs/>
          <w:i/>
          <w:iCs/>
          <w:sz w:val="20"/>
          <w:szCs w:val="20"/>
          <w:u w:val="single"/>
          <w:lang w:val="en-US"/>
        </w:rPr>
      </w:pPr>
      <w:r w:rsidRPr="00AA66A3">
        <w:rPr>
          <w:rFonts w:ascii="Times New Roman" w:hAnsi="Times New Roman" w:cs="Times New Roman"/>
          <w:b/>
          <w:bCs/>
          <w:i/>
          <w:iCs/>
          <w:sz w:val="20"/>
          <w:szCs w:val="20"/>
          <w:u w:val="single"/>
          <w:lang w:val="en-US"/>
        </w:rPr>
        <w:t xml:space="preserve">Case report </w:t>
      </w:r>
    </w:p>
    <w:p w14:paraId="7A736A00" w14:textId="77777777" w:rsidR="00CA442C" w:rsidRPr="00CA442C" w:rsidRDefault="00CA442C" w:rsidP="00CA442C">
      <w:pPr>
        <w:spacing w:line="360" w:lineRule="auto"/>
        <w:ind w:right="-472"/>
        <w:rPr>
          <w:rFonts w:ascii="Times New Roman" w:hAnsi="Times New Roman" w:cs="Times New Roman"/>
          <w:sz w:val="20"/>
          <w:szCs w:val="20"/>
          <w:highlight w:val="yellow"/>
        </w:rPr>
      </w:pPr>
      <w:r w:rsidRPr="00CA442C">
        <w:rPr>
          <w:rFonts w:ascii="Times New Roman" w:hAnsi="Times New Roman" w:cs="Times New Roman"/>
          <w:sz w:val="20"/>
          <w:szCs w:val="20"/>
          <w:highlight w:val="yellow"/>
        </w:rPr>
        <w:t>Chronic Calcific Pancreatitis in Pancreatic Divisum with Intestinal Malrotation: A Rare Case Report.</w:t>
      </w:r>
    </w:p>
    <w:p w14:paraId="50BDEE48" w14:textId="77777777" w:rsidR="00C525D4" w:rsidRPr="00AA66A3" w:rsidRDefault="00C525D4" w:rsidP="00AA66A3">
      <w:pPr>
        <w:spacing w:line="360" w:lineRule="auto"/>
        <w:ind w:right="-472"/>
        <w:rPr>
          <w:rFonts w:ascii="Times New Roman" w:hAnsi="Times New Roman" w:cs="Times New Roman"/>
          <w:sz w:val="20"/>
          <w:szCs w:val="20"/>
        </w:rPr>
      </w:pPr>
    </w:p>
    <w:p w14:paraId="36594A4F" w14:textId="77777777" w:rsidR="009E1B37" w:rsidRPr="00AA66A3" w:rsidRDefault="009E1B37" w:rsidP="00AA66A3">
      <w:pPr>
        <w:spacing w:line="360" w:lineRule="auto"/>
        <w:rPr>
          <w:rFonts w:ascii="Times New Roman" w:hAnsi="Times New Roman" w:cs="Times New Roman"/>
          <w:b/>
          <w:bCs/>
          <w:sz w:val="20"/>
          <w:szCs w:val="20"/>
        </w:rPr>
      </w:pPr>
      <w:r w:rsidRPr="00AA66A3">
        <w:rPr>
          <w:rFonts w:ascii="Times New Roman" w:hAnsi="Times New Roman" w:cs="Times New Roman"/>
          <w:b/>
          <w:bCs/>
          <w:sz w:val="20"/>
          <w:szCs w:val="20"/>
        </w:rPr>
        <w:t>Abstract:</w:t>
      </w:r>
    </w:p>
    <w:p w14:paraId="1A849337"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highlight w:val="yellow"/>
        </w:rPr>
        <w:t>Pancreatic divisum, the most common congenital anomaly of the pancreas, is associated with recurrent pancreatitis, which may lead to chronic pancreatitis and can present as chronic calcific pancreatitis.</w:t>
      </w:r>
      <w:r w:rsidRPr="00AA66A3">
        <w:rPr>
          <w:rFonts w:ascii="Times New Roman" w:hAnsi="Times New Roman" w:cs="Times New Roman"/>
          <w:sz w:val="20"/>
          <w:szCs w:val="20"/>
        </w:rPr>
        <w:t xml:space="preserve"> Intestinal malrotation, a rare embryological disorder caused by incomplete midgut rotation, often presents in childhood with abdominal pain or vomiting but may occasionally be detected in adults. Their coexistence is extremely rare, given their independent embryological origins. We report the case of a 25-year-old male who presented with recurrent abdominal pain, vomiting, and steatorrhea. Imaging confirmed chronic calcific pancreatitis in the setting of pancreatic divisum, along with features of intestinal malrotation. The patient underwent a combined surgical approach: Frey’s procedure for pancreatitis and Ladd’s procedure for correction of malrotation. Postoperatively, recovery was uneventful, and the patient remained asymptomatic at two months of follow-up. </w:t>
      </w:r>
    </w:p>
    <w:p w14:paraId="6B1068A3" w14:textId="77777777" w:rsidR="009E1B37" w:rsidRPr="00AA66A3" w:rsidRDefault="009E1B37" w:rsidP="00AA66A3">
      <w:pPr>
        <w:spacing w:line="360" w:lineRule="auto"/>
        <w:rPr>
          <w:rFonts w:ascii="Times New Roman" w:hAnsi="Times New Roman" w:cs="Times New Roman"/>
          <w:b/>
          <w:bCs/>
          <w:sz w:val="20"/>
          <w:szCs w:val="20"/>
        </w:rPr>
      </w:pPr>
      <w:r w:rsidRPr="00AA66A3">
        <w:rPr>
          <w:rFonts w:ascii="Times New Roman" w:hAnsi="Times New Roman" w:cs="Times New Roman"/>
          <w:b/>
          <w:bCs/>
          <w:sz w:val="20"/>
          <w:szCs w:val="20"/>
        </w:rPr>
        <w:t xml:space="preserve">Key Words: </w:t>
      </w:r>
      <w:r w:rsidRPr="00AA66A3">
        <w:rPr>
          <w:rFonts w:ascii="Times New Roman" w:hAnsi="Times New Roman" w:cs="Times New Roman"/>
          <w:sz w:val="20"/>
          <w:szCs w:val="20"/>
        </w:rPr>
        <w:t>Pancreatic divisum; Intestinal malrotation; Chronic calcific pancreatitis; Frey’s procedure; Ladd’s procedure</w:t>
      </w:r>
    </w:p>
    <w:p w14:paraId="6F8B363D" w14:textId="77777777" w:rsidR="009E1B37" w:rsidRPr="00AA66A3" w:rsidRDefault="009E1B37" w:rsidP="00AA66A3">
      <w:pPr>
        <w:spacing w:line="360" w:lineRule="auto"/>
        <w:rPr>
          <w:rFonts w:ascii="Times New Roman" w:hAnsi="Times New Roman" w:cs="Times New Roman"/>
          <w:b/>
          <w:bCs/>
          <w:sz w:val="20"/>
          <w:szCs w:val="20"/>
        </w:rPr>
      </w:pPr>
      <w:r w:rsidRPr="00AA66A3">
        <w:rPr>
          <w:rFonts w:ascii="Times New Roman" w:hAnsi="Times New Roman" w:cs="Times New Roman"/>
          <w:b/>
          <w:bCs/>
          <w:sz w:val="20"/>
          <w:szCs w:val="20"/>
        </w:rPr>
        <w:t>Introduction:</w:t>
      </w:r>
    </w:p>
    <w:p w14:paraId="4AACBA45"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Pancreatic divisum, present in 5–11% of the population, is the most common pancreatic anomaly and a recognized cause of recurrent pancreatitis, </w:t>
      </w:r>
      <w:r w:rsidRPr="00AA66A3">
        <w:rPr>
          <w:rFonts w:ascii="Times New Roman" w:hAnsi="Times New Roman" w:cs="Times New Roman"/>
          <w:sz w:val="20"/>
          <w:szCs w:val="20"/>
          <w:highlight w:val="yellow"/>
        </w:rPr>
        <w:t>leading to chronic pancreatitis, and it may present as chronic calcific pancreatitis</w:t>
      </w:r>
      <w:r w:rsidRPr="00AA66A3">
        <w:rPr>
          <w:rFonts w:ascii="Times New Roman" w:hAnsi="Times New Roman" w:cs="Times New Roman"/>
          <w:sz w:val="20"/>
          <w:szCs w:val="20"/>
        </w:rPr>
        <w:fldChar w:fldCharType="begin"/>
      </w:r>
      <w:r w:rsidRPr="00AA66A3">
        <w:rPr>
          <w:rFonts w:ascii="Times New Roman" w:hAnsi="Times New Roman" w:cs="Times New Roman"/>
          <w:sz w:val="20"/>
          <w:szCs w:val="20"/>
        </w:rPr>
        <w:instrText xml:space="preserve"> ADDIN ZOTERO_ITEM CSL_CITATION {"citationID":"vJayqc1L","properties":{"formattedCitation":"[1]","plainCitation":"[1]","noteIndex":0},"citationItems":[{"id":2391,"uris":["http://zotero.org/users/local/yS7w59YP/items/WZHRMSTK"],"itemData":{"id":2391,"type":"article-journal","abstract":"Pancreas divisum (PD) is the most common congenital anomaly of the pancreas, which increases susceptibility to recurrent pancreatitis. Usually, after failure of initial endoscopic therapies, surgical treatment combining pancreatic resection or drainage is used. The Frey procedure is used for chronic pancreatitis, but it has not been reported to be applied in an adult patient with PD-associated pancreatitis. The purpose of the paper was to describe effective treatment of this rare condition by the Frey procedure after failure of interventional endoscopic treatment. A 39-year-old female patient was initially treated for recurrent acute pancreatitis. After endoscopic diagnosis of PD, the minor duodenal papilla was incised and a plastic stent was inserted into the dorsal pancreatic duct. During the following 36 months, the patient was hospitalised several times because of recurrent episodes of pancreatitis. Thereafter, local resection of the pancreatic head combined with lateral pancreaticojejunostomy was performed with no complications. After 54 months of follow-up, the patient demonstrates abnormal glucose metabolism, with a need for enzyme supplementation, and she is free of pain. Local resection of the pancreatic head combined with lateral pancreaticojejunostomy (Frey procedure) offers a favourable outcome after failure of endoscopic papillotomy and duct stenting for pancreatitis associated with PD.","container-title":"Gastroenterology Review","DOI":"10.5114/pg.2014.43581","ISSN":"1895-5770","journalAbbreviation":"pg","language":"en","page":"175-178","source":"DOI.org (Crossref)","title":"Frey operation for chronic pancreatitis associated with pancreas divisum: and review of the literature","title-short":"Frey operation for chronic pancreatitis associated with pancreas divisum","volume":"3","author":[{"family":"Skórzewska","given":"Magdalena"},{"family":"Romanowicz","given":"Tomasz"},{"family":"Mielko","given":"Jerzy"},{"family":"Kurylcio","given":"Andrzej"},{"family":"Pertkiewicz","given":"Jan"},{"family":"Zymon","given":"Robert"},{"family":"Polkowski","given":"Wojciech P."}],"issued":{"date-parts":[["2014"]]}}}],"schema":"https://github.com/citation-style-language/schema/raw/master/csl-citation.json"} </w:instrText>
      </w:r>
      <w:r w:rsidRPr="00AA66A3">
        <w:rPr>
          <w:rFonts w:ascii="Times New Roman" w:hAnsi="Times New Roman" w:cs="Times New Roman"/>
          <w:sz w:val="20"/>
          <w:szCs w:val="20"/>
        </w:rPr>
        <w:fldChar w:fldCharType="separate"/>
      </w:r>
      <w:r w:rsidRPr="00AA66A3">
        <w:rPr>
          <w:rFonts w:ascii="Times New Roman" w:hAnsi="Times New Roman" w:cs="Times New Roman"/>
          <w:sz w:val="20"/>
          <w:szCs w:val="20"/>
        </w:rPr>
        <w:t>[1]</w:t>
      </w:r>
      <w:r w:rsidRPr="00AA66A3">
        <w:rPr>
          <w:rFonts w:ascii="Times New Roman" w:hAnsi="Times New Roman" w:cs="Times New Roman"/>
          <w:sz w:val="20"/>
          <w:szCs w:val="20"/>
        </w:rPr>
        <w:fldChar w:fldCharType="end"/>
      </w:r>
      <w:r w:rsidRPr="00AA66A3">
        <w:rPr>
          <w:rFonts w:ascii="Times New Roman" w:hAnsi="Times New Roman" w:cs="Times New Roman"/>
          <w:sz w:val="20"/>
          <w:szCs w:val="20"/>
        </w:rPr>
        <w:t xml:space="preserve">. Intestinal malrotation, with an incidence of 1 in 5,000 live births, results from incomplete midgut rotation and typically presents with vomiting or abdominal pain </w:t>
      </w:r>
      <w:r w:rsidRPr="00AA66A3">
        <w:rPr>
          <w:rFonts w:ascii="Times New Roman" w:hAnsi="Times New Roman" w:cs="Times New Roman"/>
          <w:sz w:val="20"/>
          <w:szCs w:val="20"/>
        </w:rPr>
        <w:fldChar w:fldCharType="begin"/>
      </w:r>
      <w:r w:rsidRPr="00AA66A3">
        <w:rPr>
          <w:rFonts w:ascii="Times New Roman" w:hAnsi="Times New Roman" w:cs="Times New Roman"/>
          <w:sz w:val="20"/>
          <w:szCs w:val="20"/>
        </w:rPr>
        <w:instrText xml:space="preserve"> ADDIN ZOTERO_ITEM CSL_CITATION {"citationID":"eCV8wKzF","properties":{"formattedCitation":"[2,3]","plainCitation":"[2,3]","noteIndex":0},"citationItems":[{"id":2366,"uris":["http://zotero.org/users/local/yS7w59YP/items/78VBI29H"],"itemData":{"id":2366,"type":"article-journal","abstract":"Intestinal nonrotation is a subtype of malrotation occurring when the midgut fails to rotate before returning to the peritoneal cavity between weeks 8-10 of development. Though sometimes presenting as volvulus during the neonatal period, a subset of patients remains asymptomatic and are identified incidentally as adults. When patients with intestinal nonrotation present with abdominal symptoms, there exists a diagnostic dilemma for the treating surgeon. We present the case of a patient who presented with acute abdominal pain and vomiting, with radiographic findings of intestinal nonrotation and no other acute pathology. Symptoms spontaneously resolved with conservative management for likely etiology of viral gastroenteritis. At the one-month follow-up, the patient had no residual or recurrent symptoms, with no further interventions planned.","container-title":"Cureus","DOI":"10.7759/cureus.29153","ISSN":"2168-8184","language":"en","source":"DOI.org (Crossref)","title":"Incidental Discovery of Nonrotation in a Patient With Nonspecific Abdominal Pain: A Surgical Diagnostic Dilemma","title-short":"Incidental Discovery of Nonrotation in a Patient With Nonspecific Abdominal Pain","URL":"https://www.cureus.com/articles/111959-incidental-discovery-of-nonrotation-in-a-patient-with-nonspecific-abdominal-pain-a-surgical-diagnostic-dilemma","author":[{"family":"Genualdi","given":"Joseph"},{"family":"Murray-Ramcharan","given":"Max"},{"family":"Matos","given":"Francisco"},{"family":"Ramcharan","given":"Alexius"}],"accessed":{"date-parts":[["2025",9,14]]},"issued":{"date-parts":[["2022",9,14]]}}},{"id":2370,"uris":["http://zotero.org/users/local/yS7w59YP/items/QDUBMQDD"],"itemData":{"id":2370,"type":"article-journal","abstract":"Intestinal nonrotation and cecal volvulus are rare clinical entities, and their coexistence is exceptionally uncommon. We present a case of a 41-year-old male patient with symptomatic intestinal nonrotation and associated cecal volvulus. Diagnostic imaging played a crucial role in recognizing the conditions and guiding surgical intervention. The patient underwent laparotomy and right hemicolectomy with a favorable postoperative course. This case highlights the challenges in diagnosing and managing these rare conditions. Further studies are needed to optimize the management strategies for this unique combination of pathologies.","container-title":"Cureus","DOI":"10.7759/cureus.39761","ISSN":"2168-8184","language":"en","source":"DOI.org (Crossref)","title":"Intestinal Nonrotation and Cecal Volvulus: A Unique Combination of Rare Pathologies","title-short":"Intestinal Nonrotation and Cecal Volvulus","URL":"https://www.cureus.com/articles/160869-intestinal-nonrotation-and-cecal-volvulus-a-unique-combination-of-rare-pathologies","author":[{"family":"Fernandez Trokhimtchouk","given":"Tatiana"},{"family":"Flores","given":"Luis F"},{"family":"Morillo Cox","given":"Álvaro"},{"family":"Gordillo","given":"Alberto"},{"family":"Crespo Martinez","given":"Joseline K"}],"accessed":{"date-parts":[["2025",9,14]]},"issued":{"date-parts":[["2023",5,31]]}}}],"schema":"https://github.com/citation-style-language/schema/raw/master/csl-citation.json"} </w:instrText>
      </w:r>
      <w:r w:rsidRPr="00AA66A3">
        <w:rPr>
          <w:rFonts w:ascii="Times New Roman" w:hAnsi="Times New Roman" w:cs="Times New Roman"/>
          <w:sz w:val="20"/>
          <w:szCs w:val="20"/>
        </w:rPr>
        <w:fldChar w:fldCharType="separate"/>
      </w:r>
      <w:r w:rsidRPr="00AA66A3">
        <w:rPr>
          <w:rFonts w:ascii="Times New Roman" w:hAnsi="Times New Roman" w:cs="Times New Roman"/>
          <w:sz w:val="20"/>
          <w:szCs w:val="20"/>
        </w:rPr>
        <w:t>[2,3]</w:t>
      </w:r>
      <w:r w:rsidRPr="00AA66A3">
        <w:rPr>
          <w:rFonts w:ascii="Times New Roman" w:hAnsi="Times New Roman" w:cs="Times New Roman"/>
          <w:sz w:val="20"/>
          <w:szCs w:val="20"/>
        </w:rPr>
        <w:fldChar w:fldCharType="end"/>
      </w:r>
      <w:r w:rsidRPr="00AA66A3">
        <w:rPr>
          <w:rFonts w:ascii="Times New Roman" w:hAnsi="Times New Roman" w:cs="Times New Roman"/>
          <w:sz w:val="20"/>
          <w:szCs w:val="20"/>
        </w:rPr>
        <w:t xml:space="preserve">. Their embryological origins are independent, and coexistence is extremely rare </w:t>
      </w:r>
      <w:r w:rsidRPr="00AA66A3">
        <w:rPr>
          <w:rFonts w:ascii="Times New Roman" w:hAnsi="Times New Roman" w:cs="Times New Roman"/>
          <w:sz w:val="20"/>
          <w:szCs w:val="20"/>
        </w:rPr>
        <w:fldChar w:fldCharType="begin"/>
      </w:r>
      <w:r w:rsidRPr="00AA66A3">
        <w:rPr>
          <w:rFonts w:ascii="Times New Roman" w:hAnsi="Times New Roman" w:cs="Times New Roman"/>
          <w:sz w:val="20"/>
          <w:szCs w:val="20"/>
        </w:rPr>
        <w:instrText xml:space="preserve"> ADDIN ZOTERO_ITEM CSL_CITATION {"citationID":"QW5c7u6W","properties":{"formattedCitation":"[4]","plainCitation":"[4]","noteIndex":0},"citationItems":[{"id":2384,"uris":["http://zotero.org/users/local/yS7w59YP/items/FLC6LXZU"],"itemData":{"id":2384,"type":"article-journal","abstract":"Background:  Pancreaticobiliary maljunction is a congenital anatomical abnorma l junction of the pancreatic duct and bile duct into a common channel outside the duodenal wall. Pancreas divisum is also a congenital anatomical abnormality characterized by unfused pancreatic ducts. Intestinal malrotation is caused by the failure of bowel rotation and fixation. We reported an optimal surgical intervention for the rare case of pancreaticobiliary maljunction and pancreas divisum accompanied intestinal malrotation. Case presentation:  A 2-year-old female presented with fever and jaundice. Abdominal ultrasound showed dilated common bile duct and intrahepatic bile ducts; MRCP showed pancreaticobiliary maljunction, pancreas divisum, and dilated biliary system; Abdominal contrast-enhanced CT showed a reversed relationship between the superior mesenteric artery and the superior mesenteric vein. An operation of laparoscopic resection of the extrahepatic bile duct, Roux-en-Y hepaticojejunostomy, and Ladd’s procedure was performed after the inflammation of the biliary system was treated. The post-operative follow-up period was uneventful. Conclusions:  The management of pancreas divisum can be conservative. We present an optimal pattern of Roux-enY hepaticojejunostomy to deal with pancreaticobiliary maljunction associated with intestinal malrotation.","container-title":"BMC Pediatrics","DOI":"10.1186/s12887-022-03171-y","ISSN":"1471-2431","issue":"1","journalAbbreviation":"BMC Pediatr","language":"en","page":"110","source":"DOI.org (Crossref)","title":"Pancreaticobiliary maljunction and pancreas divisum accompanied with intestinal malrotation: a case report","title-short":"Pancreaticobiliary maljunction and pancreas divisum accompanied with intestinal malrotation","volume":"22","author":[{"family":"Lei","given":"Waiun"},{"family":"Yan","given":"Jiayu"},{"family":"Zhang","given":"Tingchong"},{"family":"Liu","given":"Lu"},{"family":"Chen","given":"Yajun"}],"issued":{"date-parts":[["2022",12]]}}}],"schema":"https://github.com/citation-style-language/schema/raw/master/csl-citation.json"} </w:instrText>
      </w:r>
      <w:r w:rsidRPr="00AA66A3">
        <w:rPr>
          <w:rFonts w:ascii="Times New Roman" w:hAnsi="Times New Roman" w:cs="Times New Roman"/>
          <w:sz w:val="20"/>
          <w:szCs w:val="20"/>
        </w:rPr>
        <w:fldChar w:fldCharType="separate"/>
      </w:r>
      <w:r w:rsidRPr="00AA66A3">
        <w:rPr>
          <w:rFonts w:ascii="Times New Roman" w:hAnsi="Times New Roman" w:cs="Times New Roman"/>
          <w:sz w:val="20"/>
          <w:szCs w:val="20"/>
        </w:rPr>
        <w:t>[4]</w:t>
      </w:r>
      <w:r w:rsidRPr="00AA66A3">
        <w:rPr>
          <w:rFonts w:ascii="Times New Roman" w:hAnsi="Times New Roman" w:cs="Times New Roman"/>
          <w:sz w:val="20"/>
          <w:szCs w:val="20"/>
        </w:rPr>
        <w:fldChar w:fldCharType="end"/>
      </w:r>
      <w:r w:rsidRPr="00AA66A3">
        <w:rPr>
          <w:rFonts w:ascii="Times New Roman" w:hAnsi="Times New Roman" w:cs="Times New Roman"/>
          <w:sz w:val="20"/>
          <w:szCs w:val="20"/>
        </w:rPr>
        <w:t xml:space="preserve">. </w:t>
      </w:r>
    </w:p>
    <w:p w14:paraId="5F72C97F"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highlight w:val="yellow"/>
        </w:rPr>
        <w:t xml:space="preserve">Diagnosing pancreatic divisum is difficult because its imaging results are often subtle and it can look like other causes of pancreatitis. Cross-sectional imaging, including contrast-enhanced computed tomography (CECT), may indicate the diagnosis; however, confirmation frequently necessitates advanced modalities such as magnetic resonance cholangiopancreatography (MRCP) </w:t>
      </w:r>
      <w:r w:rsidRPr="00AA66A3">
        <w:rPr>
          <w:rFonts w:ascii="Times New Roman" w:hAnsi="Times New Roman" w:cs="Times New Roman"/>
          <w:sz w:val="20"/>
          <w:szCs w:val="20"/>
          <w:highlight w:val="yellow"/>
        </w:rPr>
        <w:fldChar w:fldCharType="begin"/>
      </w:r>
      <w:r w:rsidRPr="00AA66A3">
        <w:rPr>
          <w:rFonts w:ascii="Times New Roman" w:hAnsi="Times New Roman" w:cs="Times New Roman"/>
          <w:sz w:val="20"/>
          <w:szCs w:val="20"/>
          <w:highlight w:val="yellow"/>
        </w:rPr>
        <w:instrText xml:space="preserve"> ADDIN ZOTERO_ITEM CSL_CITATION {"citationID":"Rt226H9F","properties":{"formattedCitation":"[5,6]","plainCitation":"[5,6]","noteIndex":0},"citationItems":[{"id":2528,"uris":["http://zotero.org/users/local/yS7w59YP/items/JXKXVTYV"],"itemData":{"id":2528,"type":"article-journal","container-title":"Cureus","DOI":"10.7759/cureus.82313","ISSN":"2168-8184","language":"en","source":"DOI.org (Crossref)","title":"Chronic Pancreatitis and Pancreas Divisum: A Case Report of Recurrent Management Challenges","title-short":"Chronic Pancreatitis and Pancreas Divisum","URL":"https://www.cureus.com/articles/317815-chronic-pancreatitis-and-pancreas-divisum-a-case-report-of-recurrent-management-challenges","author":[{"family":"Duggal","given":"Shivangini"},{"family":"Akahara","given":"Ozioma"},{"family":"Didia","given":"Claudia"}],"accessed":{"date-parts":[["2025",11,9]]},"issued":{"date-parts":[["2025",4,15]]}}},{"id":2530,"uris":["http://zotero.org/users/local/yS7w59YP/items/GREVCACL"],"itemData":{"id":2530,"type":"article-journal","container-title":"Cureus","DOI":"10.7759/cureus.37580","ISSN":"2168-8184","language":"en","source":"DOI.org (Crossref)","title":"A Rare Case of Pancreatic Divisum Presentation","URL":"https://www.cureus.com/articles/96532-a-rare-case-of-pancreatic-divisum-presentation","author":[{"family":"Kara","given":"Sam"},{"family":"Ozair","given":"Saleha"},{"family":"Brzobohaty","given":"Miro"},{"family":"Nedd","given":"Kester"}],"accessed":{"date-parts":[["2025",11,9]]},"issued":{"date-parts":[["2023",4,14]]}}}],"schema":"https://github.com/citation-style-language/schema/raw/master/csl-citation.json"} </w:instrText>
      </w:r>
      <w:r w:rsidRPr="00AA66A3">
        <w:rPr>
          <w:rFonts w:ascii="Times New Roman" w:hAnsi="Times New Roman" w:cs="Times New Roman"/>
          <w:sz w:val="20"/>
          <w:szCs w:val="20"/>
          <w:highlight w:val="yellow"/>
        </w:rPr>
        <w:fldChar w:fldCharType="separate"/>
      </w:r>
      <w:r w:rsidRPr="00AA66A3">
        <w:rPr>
          <w:rFonts w:ascii="Times New Roman" w:hAnsi="Times New Roman" w:cs="Times New Roman"/>
          <w:sz w:val="20"/>
          <w:szCs w:val="20"/>
          <w:highlight w:val="yellow"/>
        </w:rPr>
        <w:t>[5,6]</w:t>
      </w:r>
      <w:r w:rsidRPr="00AA66A3">
        <w:rPr>
          <w:rFonts w:ascii="Times New Roman" w:hAnsi="Times New Roman" w:cs="Times New Roman"/>
          <w:sz w:val="20"/>
          <w:szCs w:val="20"/>
          <w:highlight w:val="yellow"/>
        </w:rPr>
        <w:fldChar w:fldCharType="end"/>
      </w:r>
      <w:r w:rsidRPr="00AA66A3">
        <w:rPr>
          <w:rFonts w:ascii="Times New Roman" w:hAnsi="Times New Roman" w:cs="Times New Roman"/>
          <w:sz w:val="20"/>
          <w:szCs w:val="20"/>
          <w:highlight w:val="yellow"/>
        </w:rPr>
        <w:t xml:space="preserve"> or endoscopic ultrasonography (EUS) </w:t>
      </w:r>
      <w:r w:rsidRPr="00AA66A3">
        <w:rPr>
          <w:rFonts w:ascii="Times New Roman" w:hAnsi="Times New Roman" w:cs="Times New Roman"/>
          <w:sz w:val="20"/>
          <w:szCs w:val="20"/>
          <w:highlight w:val="yellow"/>
        </w:rPr>
        <w:fldChar w:fldCharType="begin"/>
      </w:r>
      <w:r w:rsidRPr="00AA66A3">
        <w:rPr>
          <w:rFonts w:ascii="Times New Roman" w:hAnsi="Times New Roman" w:cs="Times New Roman"/>
          <w:sz w:val="20"/>
          <w:szCs w:val="20"/>
          <w:highlight w:val="yellow"/>
        </w:rPr>
        <w:instrText xml:space="preserve"> ADDIN ZOTERO_ITEM CSL_CITATION {"citationID":"1skVpxgA","properties":{"formattedCitation":"[7]","plainCitation":"[7]","noteIndex":0},"citationItems":[{"id":2532,"uris":["http://zotero.org/users/local/yS7w59YP/items/PUE3BPLA"],"itemData":{"id":2532,"type":"article-journal","container-title":"Expert Review of Gastroenterology &amp; Hepatology","DOI":"10.1080/17474124.2019.1685871","ISSN":"1747-4124, 1747-4132","issue":"11","journalAbbreviation":"Expert Review of Gastroenterology &amp; Hepatology","language":"en","page":"1089-1105","source":"DOI.org (Crossref)","title":"Identification and management of pancreas divisum","volume":"13","author":[{"family":"Gutta","given":"Aditya"},{"family":"Fogel","given":"Evan"},{"family":"Sherman","given":"Stuart"}],"issued":{"date-parts":[["2019",11,2]]}}}],"schema":"https://github.com/citation-style-language/schema/raw/master/csl-citation.json"} </w:instrText>
      </w:r>
      <w:r w:rsidRPr="00AA66A3">
        <w:rPr>
          <w:rFonts w:ascii="Times New Roman" w:hAnsi="Times New Roman" w:cs="Times New Roman"/>
          <w:sz w:val="20"/>
          <w:szCs w:val="20"/>
          <w:highlight w:val="yellow"/>
        </w:rPr>
        <w:fldChar w:fldCharType="separate"/>
      </w:r>
      <w:r w:rsidRPr="00AA66A3">
        <w:rPr>
          <w:rFonts w:ascii="Times New Roman" w:hAnsi="Times New Roman" w:cs="Times New Roman"/>
          <w:sz w:val="20"/>
          <w:szCs w:val="20"/>
          <w:highlight w:val="yellow"/>
        </w:rPr>
        <w:t>[7]</w:t>
      </w:r>
      <w:r w:rsidRPr="00AA66A3">
        <w:rPr>
          <w:rFonts w:ascii="Times New Roman" w:hAnsi="Times New Roman" w:cs="Times New Roman"/>
          <w:sz w:val="20"/>
          <w:szCs w:val="20"/>
          <w:highlight w:val="yellow"/>
        </w:rPr>
        <w:fldChar w:fldCharType="end"/>
      </w:r>
      <w:r w:rsidRPr="00AA66A3">
        <w:rPr>
          <w:rFonts w:ascii="Times New Roman" w:hAnsi="Times New Roman" w:cs="Times New Roman"/>
          <w:sz w:val="20"/>
          <w:szCs w:val="20"/>
          <w:highlight w:val="yellow"/>
        </w:rPr>
        <w:t>, which may not be accessible in all facilities. Identifying coexisting anomalies such as intestinal malrotation further adds to the diagnostic complexity</w:t>
      </w:r>
      <w:r w:rsidRPr="00AA66A3">
        <w:rPr>
          <w:rFonts w:ascii="Times New Roman" w:hAnsi="Times New Roman" w:cs="Times New Roman"/>
          <w:sz w:val="20"/>
          <w:szCs w:val="20"/>
          <w:highlight w:val="yellow"/>
        </w:rPr>
        <w:fldChar w:fldCharType="begin"/>
      </w:r>
      <w:r w:rsidRPr="00AA66A3">
        <w:rPr>
          <w:rFonts w:ascii="Times New Roman" w:hAnsi="Times New Roman" w:cs="Times New Roman"/>
          <w:sz w:val="20"/>
          <w:szCs w:val="20"/>
          <w:highlight w:val="yellow"/>
        </w:rPr>
        <w:instrText xml:space="preserve"> ADDIN ZOTERO_ITEM CSL_CITATION {"citationID":"kMpIilxn","properties":{"formattedCitation":"[8]","plainCitation":"[8]","noteIndex":0},"citationItems":[{"id":2526,"uris":["http://zotero.org/users/local/yS7w59YP/items/DKMDJKUP"],"itemData":{"id":2526,"type":"article-journal","container-title":"Abdominal Radiology","DOI":"10.1007/s00261-019-02197-8","ISSN":"2366-004X, 2366-0058","issue":"5","journalAbbreviation":"Abdom Radiol","language":"en","page":"1316-1323","source":"DOI.org (Crossref)","title":"Pancreatitis in the developmentally anomalous pancreas","volume":"45","author":[{"family":"Wood","given":"Cecil G."},{"family":"Lopes Vendrami","given":"Camila"},{"family":"Craig","given":"Elizabeth"},{"family":"Mittal","given":"Pardeep K."},{"family":"Miller","given":"Frank H."}],"issued":{"date-parts":[["2020",5]]}}}],"schema":"https://github.com/citation-style-language/schema/raw/master/csl-citation.json"} </w:instrText>
      </w:r>
      <w:r w:rsidRPr="00AA66A3">
        <w:rPr>
          <w:rFonts w:ascii="Times New Roman" w:hAnsi="Times New Roman" w:cs="Times New Roman"/>
          <w:sz w:val="20"/>
          <w:szCs w:val="20"/>
          <w:highlight w:val="yellow"/>
        </w:rPr>
        <w:fldChar w:fldCharType="separate"/>
      </w:r>
      <w:r w:rsidRPr="00AA66A3">
        <w:rPr>
          <w:rFonts w:ascii="Times New Roman" w:hAnsi="Times New Roman" w:cs="Times New Roman"/>
          <w:sz w:val="20"/>
          <w:szCs w:val="20"/>
          <w:highlight w:val="yellow"/>
        </w:rPr>
        <w:t>[8]</w:t>
      </w:r>
      <w:r w:rsidRPr="00AA66A3">
        <w:rPr>
          <w:rFonts w:ascii="Times New Roman" w:hAnsi="Times New Roman" w:cs="Times New Roman"/>
          <w:sz w:val="20"/>
          <w:szCs w:val="20"/>
          <w:highlight w:val="yellow"/>
        </w:rPr>
        <w:fldChar w:fldCharType="end"/>
      </w:r>
      <w:r w:rsidRPr="00AA66A3">
        <w:rPr>
          <w:rFonts w:ascii="Times New Roman" w:hAnsi="Times New Roman" w:cs="Times New Roman"/>
          <w:sz w:val="20"/>
          <w:szCs w:val="20"/>
          <w:highlight w:val="yellow"/>
        </w:rPr>
        <w:t>.</w:t>
      </w:r>
    </w:p>
    <w:p w14:paraId="51A90492"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highlight w:val="yellow"/>
        </w:rPr>
        <w:t>The main objective of this case report is chronic calculous pancreatitis associated with pancreatic divisum and intestinal malrotation highlight the diagnostic complexities, therapeutic considerations, and clinical significance of recognizing developmental anomalies in chronic pancreatitis.</w:t>
      </w:r>
    </w:p>
    <w:p w14:paraId="5C214368" w14:textId="77777777" w:rsidR="009E1B37" w:rsidRPr="00AA66A3" w:rsidRDefault="009E1B37" w:rsidP="00AA66A3">
      <w:pPr>
        <w:spacing w:line="360" w:lineRule="auto"/>
        <w:rPr>
          <w:rFonts w:ascii="Times New Roman" w:hAnsi="Times New Roman" w:cs="Times New Roman"/>
          <w:b/>
          <w:bCs/>
          <w:sz w:val="20"/>
          <w:szCs w:val="20"/>
        </w:rPr>
      </w:pPr>
      <w:r w:rsidRPr="00AA66A3">
        <w:rPr>
          <w:rFonts w:ascii="Times New Roman" w:hAnsi="Times New Roman" w:cs="Times New Roman"/>
          <w:b/>
          <w:bCs/>
          <w:sz w:val="20"/>
          <w:szCs w:val="20"/>
        </w:rPr>
        <w:t>Case Presentation:</w:t>
      </w:r>
    </w:p>
    <w:p w14:paraId="0323DBFB"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A 25-year-old male presented with recurrent epigastric pain radiating to the back for six months, requiring both oral and intravenous analgesia for relief. The pain was accompanied by nausea and copious non-bilious vomiting. He had two prior hospital admissions for similar episodes. Additionally, he reported bulky, greasy, foul-smelling stools with occasional diarrhoea. There was no history of jaundice or gastrointestinal bleeding. </w:t>
      </w:r>
      <w:r w:rsidRPr="00AA66A3">
        <w:rPr>
          <w:rFonts w:ascii="Times New Roman" w:hAnsi="Times New Roman" w:cs="Times New Roman"/>
          <w:sz w:val="20"/>
          <w:szCs w:val="20"/>
          <w:highlight w:val="yellow"/>
        </w:rPr>
        <w:lastRenderedPageBreak/>
        <w:t>The patient had no significant comorbidities and no history of smoking or alcohol consumption. There was no family history of a similar illness.</w:t>
      </w:r>
      <w:r w:rsidRPr="00AA66A3">
        <w:rPr>
          <w:rFonts w:ascii="Times New Roman" w:hAnsi="Times New Roman" w:cs="Times New Roman"/>
          <w:sz w:val="20"/>
          <w:szCs w:val="20"/>
        </w:rPr>
        <w:t xml:space="preserve"> On examination, the abdomen was soft without tenderness or palpable lumps. </w:t>
      </w:r>
    </w:p>
    <w:p w14:paraId="11BACE94"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highlight w:val="yellow"/>
        </w:rPr>
        <w:t>Laboratory findings from prior admissions revealed elevated serum amylase (1,200 U/L; normal: ≤ 100 U/L) and lipase (1,800 U/L; normal: 0–300 U/L). Ultrasonography demonstrated a bulky pancreas with multiple intraductal calcifications, suggestive of acute-on-chronic pancreatitis. Recent investigations showed fasting blood sugar of 90 mg/dL (reference range: 70–110 mg/dL) and HbA1c of 4.8% (normal: &lt; 5.7%), both within normal limits.</w:t>
      </w:r>
      <w:r w:rsidRPr="00AA66A3">
        <w:rPr>
          <w:rFonts w:ascii="Times New Roman" w:hAnsi="Times New Roman" w:cs="Times New Roman"/>
          <w:sz w:val="20"/>
          <w:szCs w:val="20"/>
        </w:rPr>
        <w:t xml:space="preserve"> Contrast-enhanced computed tomography (CECT) of the abdomen revealed two separately draining pancreatic ducts with ductal dilatation and multiple calculi involving both the dorsal and ventral ducts, findings consistent with chronic calcific pancreatitis in the setting of pancreatic divisum (Figure 1A, 1B). Additionally, CECT demonstrated reversal of the superior mesenteric artery and vein relationship (artery on the right, vein on the left) (Figure 1C), midline duodenojejunal (DJ) flexure without left fixation, right-sided proximal jejunum, suggestive of intestinal non-rotation (Figure 1D).</w:t>
      </w:r>
    </w:p>
    <w:p w14:paraId="4693C58E" w14:textId="77777777" w:rsidR="009E1B37" w:rsidRPr="00AA66A3" w:rsidRDefault="009E1B37" w:rsidP="00AA66A3">
      <w:pPr>
        <w:spacing w:line="360" w:lineRule="auto"/>
        <w:rPr>
          <w:rFonts w:ascii="Times New Roman" w:hAnsi="Times New Roman" w:cs="Times New Roman"/>
          <w:sz w:val="20"/>
          <w:szCs w:val="20"/>
        </w:rPr>
      </w:pPr>
    </w:p>
    <w:p w14:paraId="2E0EB580"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The patient underwent an exploratory laparotomy. A Frey’s procedure was performed, involving pancreatic head coring and clearance of calculi from the dorsal duct draining via the minor papilla (Figure 2A), followed by pancreaticojejunostomy (Figure 2B). Subsequently, Ladd’s procedure was undertaken. Intraoperatively, the </w:t>
      </w:r>
      <w:r w:rsidRPr="00AA66A3">
        <w:rPr>
          <w:rFonts w:ascii="Times New Roman" w:hAnsi="Times New Roman" w:cs="Times New Roman"/>
          <w:sz w:val="20"/>
          <w:szCs w:val="20"/>
          <w:highlight w:val="yellow"/>
        </w:rPr>
        <w:t>Duodenojejunal flexure</w:t>
      </w:r>
      <w:r w:rsidRPr="00AA66A3">
        <w:rPr>
          <w:rFonts w:ascii="Times New Roman" w:hAnsi="Times New Roman" w:cs="Times New Roman"/>
          <w:sz w:val="20"/>
          <w:szCs w:val="20"/>
        </w:rPr>
        <w:t xml:space="preserve"> was located in the midline (Figure 3A) with a proximal jejunal loop in the right of the abdomen, and Ladd’s bands (Figure 3B) were noted crossing the second part of the duodenum, attaching to the right subhepatic and lumbar region. </w:t>
      </w:r>
      <w:r w:rsidRPr="00AA66A3">
        <w:rPr>
          <w:rFonts w:ascii="Times New Roman" w:hAnsi="Times New Roman" w:cs="Times New Roman"/>
          <w:sz w:val="20"/>
          <w:szCs w:val="20"/>
          <w:highlight w:val="yellow"/>
        </w:rPr>
        <w:t>The Ladd’s procedure was performed</w:t>
      </w:r>
      <w:r w:rsidRPr="00AA66A3">
        <w:rPr>
          <w:rFonts w:ascii="Times New Roman" w:hAnsi="Times New Roman" w:cs="Times New Roman"/>
          <w:sz w:val="20"/>
          <w:szCs w:val="20"/>
        </w:rPr>
        <w:t xml:space="preserve">, </w:t>
      </w:r>
      <w:r w:rsidRPr="00AA66A3">
        <w:rPr>
          <w:rFonts w:ascii="Times New Roman" w:hAnsi="Times New Roman" w:cs="Times New Roman"/>
          <w:sz w:val="20"/>
          <w:szCs w:val="20"/>
          <w:highlight w:val="yellow"/>
        </w:rPr>
        <w:t>appendectomy done as a part of the procedure</w:t>
      </w:r>
      <w:r w:rsidRPr="00AA66A3">
        <w:rPr>
          <w:rFonts w:ascii="Times New Roman" w:hAnsi="Times New Roman" w:cs="Times New Roman"/>
          <w:sz w:val="20"/>
          <w:szCs w:val="20"/>
        </w:rPr>
        <w:t xml:space="preserve"> (Figure 3C). The small bowel loop was positioned on the right and the large bowel on the left to complete correction of malrotation (Figure 3D).</w:t>
      </w:r>
    </w:p>
    <w:p w14:paraId="0555ABF9" w14:textId="77777777" w:rsidR="009E1B37" w:rsidRPr="00AA66A3" w:rsidRDefault="009E1B37" w:rsidP="00AA66A3">
      <w:pPr>
        <w:tabs>
          <w:tab w:val="left" w:pos="5529"/>
        </w:tabs>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The postoperative course was uneventful. Oral liquids were tolerated on day three and a normal diet by day four. The patient was discharged on the fifth postoperative day. </w:t>
      </w:r>
      <w:r w:rsidRPr="00AA66A3">
        <w:rPr>
          <w:rFonts w:ascii="Times New Roman" w:hAnsi="Times New Roman" w:cs="Times New Roman"/>
          <w:sz w:val="20"/>
          <w:szCs w:val="20"/>
          <w:highlight w:val="yellow"/>
        </w:rPr>
        <w:t>At the two-month follow-up, the patient demonstrated satisfactory recovery, remained asymptomatic, and showed a weight gain of 3 kilograms.</w:t>
      </w:r>
    </w:p>
    <w:p w14:paraId="42B312F9" w14:textId="77777777" w:rsidR="009E1B37" w:rsidRPr="00AA66A3" w:rsidRDefault="009E1B37" w:rsidP="00AA66A3">
      <w:pPr>
        <w:spacing w:line="360" w:lineRule="auto"/>
        <w:rPr>
          <w:rFonts w:ascii="Times New Roman" w:hAnsi="Times New Roman" w:cs="Times New Roman"/>
          <w:sz w:val="20"/>
          <w:szCs w:val="20"/>
        </w:rPr>
      </w:pPr>
    </w:p>
    <w:p w14:paraId="6AEBB80A" w14:textId="77777777" w:rsidR="009E1B37" w:rsidRPr="00AA66A3" w:rsidRDefault="009E1B37" w:rsidP="00AA66A3">
      <w:pPr>
        <w:spacing w:line="360" w:lineRule="auto"/>
        <w:rPr>
          <w:rFonts w:ascii="Times New Roman" w:hAnsi="Times New Roman" w:cs="Times New Roman"/>
          <w:b/>
          <w:bCs/>
          <w:sz w:val="20"/>
          <w:szCs w:val="20"/>
        </w:rPr>
      </w:pPr>
      <w:r w:rsidRPr="00AA66A3">
        <w:rPr>
          <w:rFonts w:ascii="Times New Roman" w:hAnsi="Times New Roman" w:cs="Times New Roman"/>
          <w:b/>
          <w:bCs/>
          <w:sz w:val="20"/>
          <w:szCs w:val="20"/>
        </w:rPr>
        <w:t>Discussion:</w:t>
      </w:r>
    </w:p>
    <w:p w14:paraId="700052D0"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highlight w:val="yellow"/>
        </w:rPr>
        <w:t>Pancreatic divisum is the most common developmental anomaly of the pancreas which arises due to the failure of fusion between the ventral and dorsal pancreatic ducts</w:t>
      </w:r>
      <w:r w:rsidRPr="00AA66A3">
        <w:rPr>
          <w:rFonts w:ascii="Times New Roman" w:hAnsi="Times New Roman" w:cs="Times New Roman"/>
          <w:sz w:val="20"/>
          <w:szCs w:val="20"/>
        </w:rPr>
        <w:t xml:space="preserve">. Consequently, the ventral duct of Wirsung drains the head and uncinate process through the major papilla, whereas the dorsal duct of Santorini drains the body and tail through the minor papilla. Obstruction at the level of the minor papilla may impede drainage of the dorsal duct </w:t>
      </w:r>
      <w:r w:rsidRPr="00AA66A3">
        <w:rPr>
          <w:rFonts w:ascii="Times New Roman" w:hAnsi="Times New Roman" w:cs="Times New Roman"/>
          <w:sz w:val="20"/>
          <w:szCs w:val="20"/>
        </w:rPr>
        <w:fldChar w:fldCharType="begin"/>
      </w:r>
      <w:r w:rsidRPr="00AA66A3">
        <w:rPr>
          <w:rFonts w:ascii="Times New Roman" w:hAnsi="Times New Roman" w:cs="Times New Roman"/>
          <w:sz w:val="20"/>
          <w:szCs w:val="20"/>
        </w:rPr>
        <w:instrText xml:space="preserve"> ADDIN ZOTERO_ITEM CSL_CITATION {"citationID":"vv5cmDng","properties":{"formattedCitation":"[8]","plainCitation":"[8]","noteIndex":0},"citationItems":[{"id":2526,"uris":["http://zotero.org/users/local/yS7w59YP/items/DKMDJKUP"],"itemData":{"id":2526,"type":"article-journal","container-title":"Abdominal Radiology","DOI":"10.1007/s00261-019-02197-8","ISSN":"2366-004X, 2366-0058","issue":"5","journalAbbreviation":"Abdom Radiol","language":"en","page":"1316-1323","source":"DOI.org (Crossref)","title":"Pancreatitis in the developmentally anomalous pancreas","volume":"45","author":[{"family":"Wood","given":"Cecil G."},{"family":"Lopes Vendrami","given":"Camila"},{"family":"Craig","given":"Elizabeth"},{"family":"Mittal","given":"Pardeep K."},{"family":"Miller","given":"Frank H."}],"issued":{"date-parts":[["2020",5]]}}}],"schema":"https://github.com/citation-style-language/schema/raw/master/csl-citation.json"} </w:instrText>
      </w:r>
      <w:r w:rsidRPr="00AA66A3">
        <w:rPr>
          <w:rFonts w:ascii="Times New Roman" w:hAnsi="Times New Roman" w:cs="Times New Roman"/>
          <w:sz w:val="20"/>
          <w:szCs w:val="20"/>
        </w:rPr>
        <w:fldChar w:fldCharType="separate"/>
      </w:r>
      <w:r w:rsidRPr="00AA66A3">
        <w:rPr>
          <w:rFonts w:ascii="Times New Roman" w:hAnsi="Times New Roman" w:cs="Times New Roman"/>
          <w:sz w:val="20"/>
          <w:szCs w:val="20"/>
        </w:rPr>
        <w:t>[8]</w:t>
      </w:r>
      <w:r w:rsidRPr="00AA66A3">
        <w:rPr>
          <w:rFonts w:ascii="Times New Roman" w:hAnsi="Times New Roman" w:cs="Times New Roman"/>
          <w:sz w:val="20"/>
          <w:szCs w:val="20"/>
        </w:rPr>
        <w:fldChar w:fldCharType="end"/>
      </w:r>
      <w:r w:rsidRPr="00AA66A3">
        <w:rPr>
          <w:rFonts w:ascii="Times New Roman" w:hAnsi="Times New Roman" w:cs="Times New Roman"/>
          <w:sz w:val="20"/>
          <w:szCs w:val="20"/>
        </w:rPr>
        <w:t xml:space="preserve">, predisposing to recurrent episodes of acute pancreatitis that may eventually progress to chronic pancreatitis </w:t>
      </w:r>
      <w:r w:rsidRPr="00AA66A3">
        <w:rPr>
          <w:rFonts w:ascii="Times New Roman" w:hAnsi="Times New Roman" w:cs="Times New Roman"/>
          <w:sz w:val="20"/>
          <w:szCs w:val="20"/>
        </w:rPr>
        <w:fldChar w:fldCharType="begin"/>
      </w:r>
      <w:r w:rsidRPr="00AA66A3">
        <w:rPr>
          <w:rFonts w:ascii="Times New Roman" w:hAnsi="Times New Roman" w:cs="Times New Roman"/>
          <w:sz w:val="20"/>
          <w:szCs w:val="20"/>
        </w:rPr>
        <w:instrText xml:space="preserve"> ADDIN ZOTERO_ITEM CSL_CITATION {"citationID":"L4pjSSpN","properties":{"formattedCitation":"[1]","plainCitation":"[1]","noteIndex":0},"citationItems":[{"id":2391,"uris":["http://zotero.org/users/local/yS7w59YP/items/WZHRMSTK"],"itemData":{"id":2391,"type":"article-journal","abstract":"Pancreas divisum (PD) is the most common congenital anomaly of the pancreas, which increases susceptibility to recurrent pancreatitis. Usually, after failure of initial endoscopic therapies, surgical treatment combining pancreatic resection or drainage is used. The Frey procedure is used for chronic pancreatitis, but it has not been reported to be applied in an adult patient with PD-associated pancreatitis. The purpose of the paper was to describe effective treatment of this rare condition by the Frey procedure after failure of interventional endoscopic treatment. A 39-year-old female patient was initially treated for recurrent acute pancreatitis. After endoscopic diagnosis of PD, the minor duodenal papilla was incised and a plastic stent was inserted into the dorsal pancreatic duct. During the following 36 months, the patient was hospitalised several times because of recurrent episodes of pancreatitis. Thereafter, local resection of the pancreatic head combined with lateral pancreaticojejunostomy was performed with no complications. After 54 months of follow-up, the patient demonstrates abnormal glucose metabolism, with a need for enzyme supplementation, and she is free of pain. Local resection of the pancreatic head combined with lateral pancreaticojejunostomy (Frey procedure) offers a favourable outcome after failure of endoscopic papillotomy and duct stenting for pancreatitis associated with PD.","container-title":"Gastroenterology Review","DOI":"10.5114/pg.2014.43581","ISSN":"1895-5770","journalAbbreviation":"pg","language":"en","page":"175-178","source":"DOI.org (Crossref)","title":"Frey operation for chronic pancreatitis associated with pancreas divisum: and review of the literature","title-short":"Frey operation for chronic pancreatitis associated with pancreas divisum","volume":"3","author":[{"family":"Skórzewska","given":"Magdalena"},{"family":"Romanowicz","given":"Tomasz"},{"family":"Mielko","given":"Jerzy"},{"family":"Kurylcio","given":"Andrzej"},{"family":"Pertkiewicz","given":"Jan"},{"family":"Zymon","given":"Robert"},{"family":"Polkowski","given":"Wojciech P."}],"issued":{"date-parts":[["2014"]]}}}],"schema":"https://github.com/citation-style-language/schema/raw/master/csl-citation.json"} </w:instrText>
      </w:r>
      <w:r w:rsidRPr="00AA66A3">
        <w:rPr>
          <w:rFonts w:ascii="Times New Roman" w:hAnsi="Times New Roman" w:cs="Times New Roman"/>
          <w:sz w:val="20"/>
          <w:szCs w:val="20"/>
        </w:rPr>
        <w:fldChar w:fldCharType="separate"/>
      </w:r>
      <w:r w:rsidRPr="00AA66A3">
        <w:rPr>
          <w:rFonts w:ascii="Times New Roman" w:hAnsi="Times New Roman" w:cs="Times New Roman"/>
          <w:sz w:val="20"/>
          <w:szCs w:val="20"/>
        </w:rPr>
        <w:t>[1]</w:t>
      </w:r>
      <w:r w:rsidRPr="00AA66A3">
        <w:rPr>
          <w:rFonts w:ascii="Times New Roman" w:hAnsi="Times New Roman" w:cs="Times New Roman"/>
          <w:sz w:val="20"/>
          <w:szCs w:val="20"/>
        </w:rPr>
        <w:fldChar w:fldCharType="end"/>
      </w:r>
      <w:r w:rsidRPr="00AA66A3">
        <w:rPr>
          <w:rFonts w:ascii="Times New Roman" w:hAnsi="Times New Roman" w:cs="Times New Roman"/>
          <w:sz w:val="20"/>
          <w:szCs w:val="20"/>
        </w:rPr>
        <w:t>.</w:t>
      </w:r>
    </w:p>
    <w:p w14:paraId="5775E714"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t>Intestinal malrotation, on the other hand, results from incomplete rotation and fixation of the midgut during embryogenesis, with an incidence of approximately 1 in 6,000 live births</w:t>
      </w:r>
      <w:r w:rsidRPr="00AA66A3">
        <w:rPr>
          <w:rFonts w:ascii="Times New Roman" w:hAnsi="Times New Roman" w:cs="Times New Roman"/>
          <w:sz w:val="20"/>
          <w:szCs w:val="20"/>
        </w:rPr>
        <w:fldChar w:fldCharType="begin"/>
      </w:r>
      <w:r w:rsidRPr="00AA66A3">
        <w:rPr>
          <w:rFonts w:ascii="Times New Roman" w:hAnsi="Times New Roman" w:cs="Times New Roman"/>
          <w:sz w:val="20"/>
          <w:szCs w:val="20"/>
        </w:rPr>
        <w:instrText xml:space="preserve"> ADDIN ZOTERO_ITEM CSL_CITATION {"citationID":"ZjZBKVAg","properties":{"formattedCitation":"[2]","plainCitation":"[2]","noteIndex":0},"citationItems":[{"id":2366,"uris":["http://zotero.org/users/local/yS7w59YP/items/78VBI29H"],"itemData":{"id":2366,"type":"article-journal","abstract":"Intestinal nonrotation is a subtype of malrotation occurring when the midgut fails to rotate before returning to the peritoneal cavity between weeks 8-10 of development. Though sometimes presenting as volvulus during the neonatal period, a subset of patients remains asymptomatic and are identified incidentally as adults. When patients with intestinal nonrotation present with abdominal symptoms, there exists a diagnostic dilemma for the treating surgeon. We present the case of a patient who presented with acute abdominal pain and vomiting, with radiographic findings of intestinal nonrotation and no other acute pathology. Symptoms spontaneously resolved with conservative management for likely etiology of viral gastroenteritis. At the one-month follow-up, the patient had no residual or recurrent symptoms, with no further interventions planned.","container-title":"Cureus","DOI":"10.7759/cureus.29153","ISSN":"2168-8184","language":"en","source":"DOI.org (Crossref)","title":"Incidental Discovery of Nonrotation in a Patient With Nonspecific Abdominal Pain: A Surgical Diagnostic Dilemma","title-short":"Incidental Discovery of Nonrotation in a Patient With Nonspecific Abdominal Pain","URL":"https://www.cureus.com/articles/111959-incidental-discovery-of-nonrotation-in-a-patient-with-nonspecific-abdominal-pain-a-surgical-diagnostic-dilemma","author":[{"family":"Genualdi","given":"Joseph"},{"family":"Murray-Ramcharan","given":"Max"},{"family":"Matos","given":"Francisco"},{"family":"Ramcharan","given":"Alexius"}],"accessed":{"date-parts":[["2025",9,14]]},"issued":{"date-parts":[["2022",9,14]]}}}],"schema":"https://github.com/citation-style-language/schema/raw/master/csl-citation.json"} </w:instrText>
      </w:r>
      <w:r w:rsidRPr="00AA66A3">
        <w:rPr>
          <w:rFonts w:ascii="Times New Roman" w:hAnsi="Times New Roman" w:cs="Times New Roman"/>
          <w:sz w:val="20"/>
          <w:szCs w:val="20"/>
        </w:rPr>
        <w:fldChar w:fldCharType="separate"/>
      </w:r>
      <w:r w:rsidRPr="00AA66A3">
        <w:rPr>
          <w:rFonts w:ascii="Times New Roman" w:hAnsi="Times New Roman" w:cs="Times New Roman"/>
          <w:sz w:val="20"/>
          <w:szCs w:val="20"/>
        </w:rPr>
        <w:t>[2]</w:t>
      </w:r>
      <w:r w:rsidRPr="00AA66A3">
        <w:rPr>
          <w:rFonts w:ascii="Times New Roman" w:hAnsi="Times New Roman" w:cs="Times New Roman"/>
          <w:sz w:val="20"/>
          <w:szCs w:val="20"/>
        </w:rPr>
        <w:fldChar w:fldCharType="end"/>
      </w:r>
      <w:r w:rsidRPr="00AA66A3">
        <w:rPr>
          <w:rFonts w:ascii="Times New Roman" w:hAnsi="Times New Roman" w:cs="Times New Roman"/>
          <w:sz w:val="20"/>
          <w:szCs w:val="20"/>
        </w:rPr>
        <w:t xml:space="preserve">. The clinical presentation varies with age, ranging from bilious vomiting in the neonatal period to recurrent intermittent vomiting, abdominal pain, and growth restriction in older children. In some cases, malrotation is discovered incidentally during imaging or surgical procedures, like in our case </w:t>
      </w:r>
      <w:r w:rsidRPr="00AA66A3">
        <w:rPr>
          <w:rFonts w:ascii="Times New Roman" w:hAnsi="Times New Roman" w:cs="Times New Roman"/>
          <w:sz w:val="20"/>
          <w:szCs w:val="20"/>
        </w:rPr>
        <w:fldChar w:fldCharType="begin"/>
      </w:r>
      <w:r w:rsidRPr="00AA66A3">
        <w:rPr>
          <w:rFonts w:ascii="Times New Roman" w:hAnsi="Times New Roman" w:cs="Times New Roman"/>
          <w:sz w:val="20"/>
          <w:szCs w:val="20"/>
        </w:rPr>
        <w:instrText xml:space="preserve"> ADDIN ZOTERO_ITEM CSL_CITATION {"citationID":"oxKM5fGg","properties":{"formattedCitation":"[1,4,9]","plainCitation":"[1,4,9]","noteIndex":0},"citationItems":[{"id":2391,"uris":["http://zotero.org/users/local/yS7w59YP/items/WZHRMSTK"],"itemData":{"id":2391,"type":"article-journal","abstract":"Pancreas divisum (PD) is the most common congenital anomaly of the pancreas, which increases susceptibility to recurrent pancreatitis. Usually, after failure of initial endoscopic therapies, surgical treatment combining pancreatic resection or drainage is used. The Frey procedure is used for chronic pancreatitis, but it has not been reported to be applied in an adult patient with PD-associated pancreatitis. The purpose of the paper was to describe effective treatment of this rare condition by the Frey procedure after failure of interventional endoscopic treatment. A 39-year-old female patient was initially treated for recurrent acute pancreatitis. After endoscopic diagnosis of PD, the minor duodenal papilla was incised and a plastic stent was inserted into the dorsal pancreatic duct. During the following 36 months, the patient was hospitalised several times because of recurrent episodes of pancreatitis. Thereafter, local resection of the pancreatic head combined with lateral pancreaticojejunostomy was performed with no complications. After 54 months of follow-up, the patient demonstrates abnormal glucose metabolism, with a need for enzyme supplementation, and she is free of pain. Local resection of the pancreatic head combined with lateral pancreaticojejunostomy (Frey procedure) offers a favourable outcome after failure of endoscopic papillotomy and duct stenting for pancreatitis associated with PD.","container-title":"Gastroenterology Review","DOI":"10.5114/pg.2014.43581","ISSN":"1895-5770","journalAbbreviation":"pg","language":"en","page":"175-178","source":"DOI.org (Crossref)","title":"Frey operation for chronic pancreatitis associated with pancreas divisum: and review of the literature","title-short":"Frey operation for chronic pancreatitis associated with pancreas divisum","volume":"3","author":[{"family":"Skórzewska","given":"Magdalena"},{"family":"Romanowicz","given":"Tomasz"},{"family":"Mielko","given":"Jerzy"},{"family":"Kurylcio","given":"Andrzej"},{"family":"Pertkiewicz","given":"Jan"},{"family":"Zymon","given":"Robert"},{"family":"Polkowski","given":"Wojciech P."}],"issued":{"date-parts":[["2014"]]}}},{"id":2384,"uris":["http://zotero.org/users/local/yS7w59YP/items/FLC6LXZU"],"itemData":{"id":2384,"type":"article-journal","abstract":"Background:  Pancreaticobiliary maljunction is a congenital anatomical abnorma l junction of the pancreatic duct and bile duct into a common channel outside the duodenal wall. Pancreas divisum is also a congenital anatomical abnormality characterized by unfused pancreatic ducts. Intestinal malrotation is caused by the failure of bowel rotation and fixation. We reported an optimal surgical intervention for the rare case of pancreaticobiliary maljunction and pancreas divisum accompanied intestinal malrotation. Case presentation:  A 2-year-old female presented with fever and jaundice. Abdominal ultrasound showed dilated common bile duct and intrahepatic bile ducts; MRCP showed pancreaticobiliary maljunction, pancreas divisum, and dilated biliary system; Abdominal contrast-enhanced CT showed a reversed relationship between the superior mesenteric artery and the superior mesenteric vein. An operation of laparoscopic resection of the extrahepatic bile duct, Roux-en-Y hepaticojejunostomy, and Ladd’s procedure was performed after the inflammation of the biliary system was treated. The post-operative follow-up period was uneventful. Conclusions:  The management of pancreas divisum can be conservative. We present an optimal pattern of Roux-enY hepaticojejunostomy to deal with pancreaticobiliary maljunction associated with intestinal malrotation.","container-title":"BMC Pediatrics","DOI":"10.1186/s12887-022-03171-y","ISSN":"1471-2431","issue":"1","journalAbbreviation":"BMC Pediatr","language":"en","page":"110","source":"DOI.org (Crossref)","title":"Pancreaticobiliary maljunction and pancreas divisum accompanied with intestinal malrotation: a case report","title-short":"Pancreaticobiliary maljunction and pancreas divisum accompanied with intestinal malrotation","volume":"22","author":[{"family":"Lei","given":"Waiun"},{"family":"Yan","given":"Jiayu"},{"family":"Zhang","given":"Tingchong"},{"family":"Liu","given":"Lu"},{"family":"Chen","given":"Yajun"}],"issued":{"date-parts":[["2022",12]]}}},{"id":2372,"uris":["http://zotero.org/users/local/yS7w59YP/items/EITNDSQW"],"itemData":{"id":2372,"type":"article-journal","container-title":"International Journal of Surgery Case Reports","DOI":"10.1016/j.ijscr.2016.06.053","ISSN":"22102612","journalAbbreviation":"International Journal of Surgery Case Reports","language":"en","page":"229-233","source":"DOI.org (Crossref)","title":"An unusual presentation of congenital intestinal malrotation in a nonagenarian","volume":"25","author":[{"family":"Fernandez-Moure","given":"Joseph S."},{"family":"Moses","given":"Maya L."},{"family":"Garcia","given":"Andres"},{"family":"Reader","given":"Michael M."}],"issued":{"date-parts":[["2016"]]}}}],"schema":"https://github.com/citation-style-language/schema/raw/master/csl-citation.json"} </w:instrText>
      </w:r>
      <w:r w:rsidRPr="00AA66A3">
        <w:rPr>
          <w:rFonts w:ascii="Times New Roman" w:hAnsi="Times New Roman" w:cs="Times New Roman"/>
          <w:sz w:val="20"/>
          <w:szCs w:val="20"/>
        </w:rPr>
        <w:fldChar w:fldCharType="separate"/>
      </w:r>
      <w:r w:rsidRPr="00AA66A3">
        <w:rPr>
          <w:rFonts w:ascii="Times New Roman" w:hAnsi="Times New Roman" w:cs="Times New Roman"/>
          <w:sz w:val="20"/>
          <w:szCs w:val="20"/>
        </w:rPr>
        <w:t>[1,4,9]</w:t>
      </w:r>
      <w:r w:rsidRPr="00AA66A3">
        <w:rPr>
          <w:rFonts w:ascii="Times New Roman" w:hAnsi="Times New Roman" w:cs="Times New Roman"/>
          <w:sz w:val="20"/>
          <w:szCs w:val="20"/>
        </w:rPr>
        <w:fldChar w:fldCharType="end"/>
      </w:r>
      <w:r w:rsidRPr="00AA66A3">
        <w:rPr>
          <w:rFonts w:ascii="Times New Roman" w:hAnsi="Times New Roman" w:cs="Times New Roman"/>
          <w:sz w:val="20"/>
          <w:szCs w:val="20"/>
        </w:rPr>
        <w:t>.</w:t>
      </w:r>
    </w:p>
    <w:p w14:paraId="612ECB4C"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lastRenderedPageBreak/>
        <w:t xml:space="preserve">For chronic calcific pancreatitis, the Frey’s procedure, pancreatic head coring combined with pancreatojejunostomy, remains the surgical treatment of choice. In contrast, the Ladd’s procedure is the standard treatment for intestinal malrotation </w:t>
      </w:r>
      <w:r w:rsidRPr="00AA66A3">
        <w:rPr>
          <w:rFonts w:ascii="Times New Roman" w:hAnsi="Times New Roman" w:cs="Times New Roman"/>
          <w:sz w:val="20"/>
          <w:szCs w:val="20"/>
        </w:rPr>
        <w:fldChar w:fldCharType="begin"/>
      </w:r>
      <w:r w:rsidRPr="00AA66A3">
        <w:rPr>
          <w:rFonts w:ascii="Times New Roman" w:hAnsi="Times New Roman" w:cs="Times New Roman"/>
          <w:sz w:val="20"/>
          <w:szCs w:val="20"/>
        </w:rPr>
        <w:instrText xml:space="preserve"> ADDIN ZOTERO_ITEM CSL_CITATION {"citationID":"Sv3TkAML","properties":{"formattedCitation":"[4,9]","plainCitation":"[4,9]","noteIndex":0},"citationItems":[{"id":2384,"uris":["http://zotero.org/users/local/yS7w59YP/items/FLC6LXZU"],"itemData":{"id":2384,"type":"article-journal","abstract":"Background:  Pancreaticobiliary maljunction is a congenital anatomical abnorma l junction of the pancreatic duct and bile duct into a common channel outside the duodenal wall. Pancreas divisum is also a congenital anatomical abnormality characterized by unfused pancreatic ducts. Intestinal malrotation is caused by the failure of bowel rotation and fixation. We reported an optimal surgical intervention for the rare case of pancreaticobiliary maljunction and pancreas divisum accompanied intestinal malrotation. Case presentation:  A 2-year-old female presented with fever and jaundice. Abdominal ultrasound showed dilated common bile duct and intrahepatic bile ducts; MRCP showed pancreaticobiliary maljunction, pancreas divisum, and dilated biliary system; Abdominal contrast-enhanced CT showed a reversed relationship between the superior mesenteric artery and the superior mesenteric vein. An operation of laparoscopic resection of the extrahepatic bile duct, Roux-en-Y hepaticojejunostomy, and Ladd’s procedure was performed after the inflammation of the biliary system was treated. The post-operative follow-up period was uneventful. Conclusions:  The management of pancreas divisum can be conservative. We present an optimal pattern of Roux-enY hepaticojejunostomy to deal with pancreaticobiliary maljunction associated with intestinal malrotation.","container-title":"BMC Pediatrics","DOI":"10.1186/s12887-022-03171-y","ISSN":"1471-2431","issue":"1","journalAbbreviation":"BMC Pediatr","language":"en","page":"110","source":"DOI.org (Crossref)","title":"Pancreaticobiliary maljunction and pancreas divisum accompanied with intestinal malrotation: a case report","title-short":"Pancreaticobiliary maljunction and pancreas divisum accompanied with intestinal malrotation","volume":"22","author":[{"family":"Lei","given":"Waiun"},{"family":"Yan","given":"Jiayu"},{"family":"Zhang","given":"Tingchong"},{"family":"Liu","given":"Lu"},{"family":"Chen","given":"Yajun"}],"issued":{"date-parts":[["2022",12]]}}},{"id":2372,"uris":["http://zotero.org/users/local/yS7w59YP/items/EITNDSQW"],"itemData":{"id":2372,"type":"article-journal","container-title":"International Journal of Surgery Case Reports","DOI":"10.1016/j.ijscr.2016.06.053","ISSN":"22102612","journalAbbreviation":"International Journal of Surgery Case Reports","language":"en","page":"229-233","source":"DOI.org (Crossref)","title":"An unusual presentation of congenital intestinal malrotation in a nonagenarian","volume":"25","author":[{"family":"Fernandez-Moure","given":"Joseph S."},{"family":"Moses","given":"Maya L."},{"family":"Garcia","given":"Andres"},{"family":"Reader","given":"Michael M."}],"issued":{"date-parts":[["2016"]]}}}],"schema":"https://github.com/citation-style-language/schema/raw/master/csl-citation.json"} </w:instrText>
      </w:r>
      <w:r w:rsidRPr="00AA66A3">
        <w:rPr>
          <w:rFonts w:ascii="Times New Roman" w:hAnsi="Times New Roman" w:cs="Times New Roman"/>
          <w:sz w:val="20"/>
          <w:szCs w:val="20"/>
        </w:rPr>
        <w:fldChar w:fldCharType="separate"/>
      </w:r>
      <w:r w:rsidRPr="00AA66A3">
        <w:rPr>
          <w:rFonts w:ascii="Times New Roman" w:hAnsi="Times New Roman" w:cs="Times New Roman"/>
          <w:sz w:val="20"/>
          <w:szCs w:val="20"/>
        </w:rPr>
        <w:t>[4,9]</w:t>
      </w:r>
      <w:r w:rsidRPr="00AA66A3">
        <w:rPr>
          <w:rFonts w:ascii="Times New Roman" w:hAnsi="Times New Roman" w:cs="Times New Roman"/>
          <w:sz w:val="20"/>
          <w:szCs w:val="20"/>
        </w:rPr>
        <w:fldChar w:fldCharType="end"/>
      </w:r>
      <w:r w:rsidRPr="00AA66A3">
        <w:rPr>
          <w:rFonts w:ascii="Times New Roman" w:hAnsi="Times New Roman" w:cs="Times New Roman"/>
          <w:sz w:val="20"/>
          <w:szCs w:val="20"/>
        </w:rPr>
        <w:t>.</w:t>
      </w:r>
    </w:p>
    <w:p w14:paraId="5B3A0510"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Embryologically, pancreatic ductal fusion occurs between the 5th and 10th weeks of gestation, while midgut rotation takes place between the 10th and 12th weeks. These are independent developmental processes; however, overlapping periods of embryogenesis may account for their coexistence. Nakano </w:t>
      </w:r>
      <w:r w:rsidRPr="00AA66A3">
        <w:rPr>
          <w:rFonts w:ascii="Times New Roman" w:hAnsi="Times New Roman" w:cs="Times New Roman"/>
          <w:i/>
          <w:iCs/>
          <w:sz w:val="20"/>
          <w:szCs w:val="20"/>
        </w:rPr>
        <w:t>et al</w:t>
      </w:r>
      <w:r w:rsidRPr="00AA66A3">
        <w:rPr>
          <w:rFonts w:ascii="Times New Roman" w:hAnsi="Times New Roman" w:cs="Times New Roman"/>
          <w:sz w:val="20"/>
          <w:szCs w:val="20"/>
        </w:rPr>
        <w:t xml:space="preserve">. previously described such concurrence, suggesting a possible embryological link. Our case represents a rare instance of chronic calcific pancreatitis with coexisting intestinal malrotation, with an underlying developmental anomaly, such as pancreatic divisum, which may serve as the etiological basis </w:t>
      </w:r>
      <w:r w:rsidRPr="00AA66A3">
        <w:rPr>
          <w:rFonts w:ascii="Times New Roman" w:hAnsi="Times New Roman" w:cs="Times New Roman"/>
          <w:sz w:val="20"/>
          <w:szCs w:val="20"/>
        </w:rPr>
        <w:fldChar w:fldCharType="begin"/>
      </w:r>
      <w:r w:rsidRPr="00AA66A3">
        <w:rPr>
          <w:rFonts w:ascii="Times New Roman" w:hAnsi="Times New Roman" w:cs="Times New Roman"/>
          <w:sz w:val="20"/>
          <w:szCs w:val="20"/>
        </w:rPr>
        <w:instrText xml:space="preserve"> ADDIN ZOTERO_ITEM CSL_CITATION {"citationID":"ihAJRDOz","properties":{"formattedCitation":"[4,9,10]","plainCitation":"[4,9,10]","noteIndex":0},"citationItems":[{"id":2384,"uris":["http://zotero.org/users/local/yS7w59YP/items/FLC6LXZU"],"itemData":{"id":2384,"type":"article-journal","abstract":"Background:  Pancreaticobiliary maljunction is a congenital anatomical abnorma l junction of the pancreatic duct and bile duct into a common channel outside the duodenal wall. Pancreas divisum is also a congenital anatomical abnormality characterized by unfused pancreatic ducts. Intestinal malrotation is caused by the failure of bowel rotation and fixation. We reported an optimal surgical intervention for the rare case of pancreaticobiliary maljunction and pancreas divisum accompanied intestinal malrotation. Case presentation:  A 2-year-old female presented with fever and jaundice. Abdominal ultrasound showed dilated common bile duct and intrahepatic bile ducts; MRCP showed pancreaticobiliary maljunction, pancreas divisum, and dilated biliary system; Abdominal contrast-enhanced CT showed a reversed relationship between the superior mesenteric artery and the superior mesenteric vein. An operation of laparoscopic resection of the extrahepatic bile duct, Roux-en-Y hepaticojejunostomy, and Ladd’s procedure was performed after the inflammation of the biliary system was treated. The post-operative follow-up period was uneventful. Conclusions:  The management of pancreas divisum can be conservative. We present an optimal pattern of Roux-enY hepaticojejunostomy to deal with pancreaticobiliary maljunction associated with intestinal malrotation.","container-title":"BMC Pediatrics","DOI":"10.1186/s12887-022-03171-y","ISSN":"1471-2431","issue":"1","journalAbbreviation":"BMC Pediatr","language":"en","page":"110","source":"DOI.org (Crossref)","title":"Pancreaticobiliary maljunction and pancreas divisum accompanied with intestinal malrotation: a case report","title-short":"Pancreaticobiliary maljunction and pancreas divisum accompanied with intestinal malrotation","volume":"22","author":[{"family":"Lei","given":"Waiun"},{"family":"Yan","given":"Jiayu"},{"family":"Zhang","given":"Tingchong"},{"family":"Liu","given":"Lu"},{"family":"Chen","given":"Yajun"}],"issued":{"date-parts":[["2022",12]]}}},{"id":2372,"uris":["http://zotero.org/users/local/yS7w59YP/items/EITNDSQW"],"itemData":{"id":2372,"type":"article-journal","container-title":"International Journal of Surgery Case Reports","DOI":"10.1016/j.ijscr.2016.06.053","ISSN":"22102612","journalAbbreviation":"International Journal of Surgery Case Reports","language":"en","page":"229-233","source":"DOI.org (Crossref)","title":"An unusual presentation of congenital intestinal malrotation in a nonagenarian","volume":"25","author":[{"family":"Fernandez-Moure","given":"Joseph S."},{"family":"Moses","given":"Maya L."},{"family":"Garcia","given":"Andres"},{"family":"Reader","given":"Michael M."}],"issued":{"date-parts":[["2016"]]}}},{"id":2393,"uris":["http://zotero.org/users/local/yS7w59YP/items/RJ4L46VV"],"itemData":{"id":2393,"type":"article-journal","abstract":"An unusual case of a coexistence of pancreas divisum and intestinal malrotation in a patient with cholecystolithiasis is described herein. The diagnosis of pancreas divisum was established by endoscopic retrograde pancreatography, and the intestinal malrotation was diagnosed by duodenography and barium enema. An operation was performed for the cholecystolithiasis. The pancreas was soft, and its shape was almost normal. Cholecystectomy and prophylactic appendectomy were performed, however nothing was done to the pancreas.","container-title":"The Japanese Journal of Surgery","DOI":"10.1007/BF02470597","ISSN":"0047-1909, 1436-2813","issue":"3","journalAbbreviation":"The Japanese Journal of Surgery","language":"en","license":"http://www.springer.com/tdm","page":"186-189","source":"DOI.org (Crossref)","title":"Coexistence of pancreas divisum and intestinal malrotation in a patient with cholecystolithiasis —A case report—","volume":"17","author":[{"family":"Nakano","given":"Hideaki"},{"family":"Okamura","given":"Kazunori"},{"family":"Nakase","given":"Ichiro"},{"family":"Tamaki","given":"Hisao"},{"family":"Kitamura","given":"Hirohiko"},{"family":"Miyazaki","given":"Koichi"},{"family":"Ito","given":"Nobuyasu"},{"family":"Tagawa","given":"Sinsei"}],"issued":{"date-parts":[["1987",5]]}}}],"schema":"https://github.com/citation-style-language/schema/raw/master/csl-citation.json"} </w:instrText>
      </w:r>
      <w:r w:rsidRPr="00AA66A3">
        <w:rPr>
          <w:rFonts w:ascii="Times New Roman" w:hAnsi="Times New Roman" w:cs="Times New Roman"/>
          <w:sz w:val="20"/>
          <w:szCs w:val="20"/>
        </w:rPr>
        <w:fldChar w:fldCharType="separate"/>
      </w:r>
      <w:r w:rsidRPr="00AA66A3">
        <w:rPr>
          <w:rFonts w:ascii="Times New Roman" w:hAnsi="Times New Roman" w:cs="Times New Roman"/>
          <w:sz w:val="20"/>
          <w:szCs w:val="20"/>
        </w:rPr>
        <w:t>[4,9,10]</w:t>
      </w:r>
      <w:r w:rsidRPr="00AA66A3">
        <w:rPr>
          <w:rFonts w:ascii="Times New Roman" w:hAnsi="Times New Roman" w:cs="Times New Roman"/>
          <w:sz w:val="20"/>
          <w:szCs w:val="20"/>
        </w:rPr>
        <w:fldChar w:fldCharType="end"/>
      </w:r>
      <w:r w:rsidRPr="00AA66A3">
        <w:rPr>
          <w:rFonts w:ascii="Times New Roman" w:hAnsi="Times New Roman" w:cs="Times New Roman"/>
          <w:sz w:val="20"/>
          <w:szCs w:val="20"/>
        </w:rPr>
        <w:t>.</w:t>
      </w:r>
    </w:p>
    <w:p w14:paraId="5BE12A93" w14:textId="77777777" w:rsidR="009E1B37" w:rsidRPr="00AA66A3" w:rsidRDefault="009E1B37" w:rsidP="00AA66A3">
      <w:pPr>
        <w:spacing w:line="360" w:lineRule="auto"/>
        <w:rPr>
          <w:rFonts w:ascii="Times New Roman" w:hAnsi="Times New Roman" w:cs="Times New Roman"/>
          <w:sz w:val="20"/>
          <w:szCs w:val="20"/>
        </w:rPr>
      </w:pPr>
    </w:p>
    <w:p w14:paraId="682B3B97"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highlight w:val="yellow"/>
        </w:rPr>
        <w:t>This case highlights the successful management of two rare congenital anomalies pancreatic divisum and intestinal malrotation in a single operative session with excellent recovery. The main limitations include the lack of advanced preoperative imaging, such as EUS, and a short follow-up period, restricting long-term assessment of outcomes.</w:t>
      </w:r>
    </w:p>
    <w:p w14:paraId="5D9A092A" w14:textId="77777777" w:rsidR="009E1B37" w:rsidRPr="00AA66A3" w:rsidRDefault="009E1B37" w:rsidP="00AA66A3">
      <w:pPr>
        <w:spacing w:line="360" w:lineRule="auto"/>
        <w:rPr>
          <w:rFonts w:ascii="Times New Roman" w:hAnsi="Times New Roman" w:cs="Times New Roman"/>
          <w:sz w:val="20"/>
          <w:szCs w:val="20"/>
        </w:rPr>
      </w:pPr>
    </w:p>
    <w:p w14:paraId="795E6D04" w14:textId="77777777" w:rsidR="009E1B37" w:rsidRPr="00AA66A3" w:rsidRDefault="009E1B37" w:rsidP="00AA66A3">
      <w:pPr>
        <w:spacing w:line="360" w:lineRule="auto"/>
        <w:rPr>
          <w:rFonts w:ascii="Times New Roman" w:hAnsi="Times New Roman" w:cs="Times New Roman"/>
          <w:b/>
          <w:bCs/>
          <w:sz w:val="20"/>
          <w:szCs w:val="20"/>
        </w:rPr>
      </w:pPr>
      <w:r w:rsidRPr="00AA66A3">
        <w:rPr>
          <w:rFonts w:ascii="Times New Roman" w:hAnsi="Times New Roman" w:cs="Times New Roman"/>
          <w:b/>
          <w:bCs/>
          <w:sz w:val="20"/>
          <w:szCs w:val="20"/>
        </w:rPr>
        <w:t>Conclusion:</w:t>
      </w:r>
    </w:p>
    <w:p w14:paraId="36892DB6" w14:textId="77777777" w:rsidR="009E1B37" w:rsidRPr="00AA66A3" w:rsidRDefault="009E1B37"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The coexistence of pancreatic divisum and intestinal malrotation is extremely rare. </w:t>
      </w:r>
      <w:r w:rsidRPr="00AA66A3">
        <w:rPr>
          <w:rFonts w:ascii="Times New Roman" w:hAnsi="Times New Roman" w:cs="Times New Roman"/>
          <w:sz w:val="20"/>
          <w:szCs w:val="20"/>
          <w:highlight w:val="yellow"/>
          <w:lang w:val="en-GB"/>
        </w:rPr>
        <w:t>This case underscores the importance of considering developmental anomalies in a patient with chronic pancreatitis</w:t>
      </w:r>
      <w:r w:rsidRPr="00AA66A3">
        <w:rPr>
          <w:rFonts w:ascii="Times New Roman" w:hAnsi="Times New Roman" w:cs="Times New Roman"/>
          <w:sz w:val="20"/>
          <w:szCs w:val="20"/>
          <w:lang w:val="en-GB"/>
        </w:rPr>
        <w:t>.</w:t>
      </w:r>
    </w:p>
    <w:p w14:paraId="513659B4" w14:textId="77777777" w:rsidR="00807434" w:rsidRPr="00AA66A3" w:rsidRDefault="00807434" w:rsidP="00AA66A3">
      <w:pPr>
        <w:spacing w:after="0" w:line="360" w:lineRule="auto"/>
        <w:ind w:right="-472"/>
        <w:jc w:val="both"/>
        <w:rPr>
          <w:rFonts w:ascii="Times New Roman" w:hAnsi="Times New Roman" w:cs="Times New Roman"/>
          <w:b/>
          <w:bCs/>
          <w:sz w:val="20"/>
          <w:szCs w:val="20"/>
          <w:u w:val="single"/>
        </w:rPr>
      </w:pPr>
      <w:r w:rsidRPr="00AA66A3">
        <w:rPr>
          <w:rFonts w:ascii="Times New Roman" w:hAnsi="Times New Roman" w:cs="Times New Roman"/>
          <w:b/>
          <w:bCs/>
          <w:sz w:val="20"/>
          <w:szCs w:val="20"/>
          <w:u w:val="single"/>
        </w:rPr>
        <w:t xml:space="preserve">Disclosure Statements: </w:t>
      </w:r>
    </w:p>
    <w:p w14:paraId="54B400B2" w14:textId="77777777" w:rsidR="00B45734" w:rsidRPr="00AA66A3" w:rsidRDefault="00B45734" w:rsidP="00AA66A3">
      <w:pPr>
        <w:spacing w:after="0" w:line="360" w:lineRule="auto"/>
        <w:ind w:right="-472"/>
        <w:jc w:val="both"/>
        <w:rPr>
          <w:rFonts w:ascii="Times New Roman" w:hAnsi="Times New Roman" w:cs="Times New Roman"/>
          <w:b/>
          <w:bCs/>
          <w:sz w:val="20"/>
          <w:szCs w:val="20"/>
        </w:rPr>
      </w:pPr>
    </w:p>
    <w:p w14:paraId="2B65BAF0" w14:textId="59094BF6" w:rsidR="00807434" w:rsidRPr="00AA66A3" w:rsidRDefault="00807434" w:rsidP="00AA66A3">
      <w:pPr>
        <w:spacing w:after="0" w:line="360" w:lineRule="auto"/>
        <w:ind w:right="-472"/>
        <w:jc w:val="both"/>
        <w:rPr>
          <w:rFonts w:ascii="Times New Roman" w:hAnsi="Times New Roman" w:cs="Times New Roman"/>
          <w:sz w:val="20"/>
          <w:szCs w:val="20"/>
        </w:rPr>
      </w:pPr>
      <w:r w:rsidRPr="00AA66A3">
        <w:rPr>
          <w:rFonts w:ascii="Times New Roman" w:hAnsi="Times New Roman" w:cs="Times New Roman"/>
          <w:b/>
          <w:bCs/>
          <w:sz w:val="20"/>
          <w:szCs w:val="20"/>
        </w:rPr>
        <w:t>Conflict of interest statement</w:t>
      </w:r>
      <w:bookmarkStart w:id="0" w:name="_Hlk188302199"/>
      <w:r w:rsidRPr="00AA66A3">
        <w:rPr>
          <w:rFonts w:ascii="Times New Roman" w:hAnsi="Times New Roman" w:cs="Times New Roman"/>
          <w:sz w:val="20"/>
          <w:szCs w:val="20"/>
        </w:rPr>
        <w:t>: All authors declare that they have no conflicts of interest to disclose in this research project. We affirm that our involvement in this research is free from any financial, personal, or external affiliations that could compromise its objectivity, integrity, or impartiality</w:t>
      </w:r>
    </w:p>
    <w:bookmarkEnd w:id="0"/>
    <w:p w14:paraId="78C14281" w14:textId="77777777" w:rsidR="00807434" w:rsidRPr="00AA66A3" w:rsidRDefault="00807434" w:rsidP="00AA66A3">
      <w:pPr>
        <w:spacing w:after="0" w:line="360" w:lineRule="auto"/>
        <w:ind w:right="-472"/>
        <w:jc w:val="both"/>
        <w:rPr>
          <w:rFonts w:ascii="Times New Roman" w:hAnsi="Times New Roman" w:cs="Times New Roman"/>
          <w:b/>
          <w:bCs/>
          <w:sz w:val="20"/>
          <w:szCs w:val="20"/>
        </w:rPr>
      </w:pPr>
    </w:p>
    <w:p w14:paraId="29214D58" w14:textId="77777777" w:rsidR="00807434" w:rsidRPr="00AA66A3" w:rsidRDefault="00807434" w:rsidP="00AA66A3">
      <w:pPr>
        <w:spacing w:after="0" w:line="360" w:lineRule="auto"/>
        <w:ind w:right="-472"/>
        <w:jc w:val="both"/>
        <w:rPr>
          <w:rFonts w:ascii="Times New Roman" w:hAnsi="Times New Roman" w:cs="Times New Roman"/>
          <w:b/>
          <w:bCs/>
          <w:sz w:val="20"/>
          <w:szCs w:val="20"/>
        </w:rPr>
      </w:pPr>
      <w:r w:rsidRPr="00AA66A3">
        <w:rPr>
          <w:rFonts w:ascii="Times New Roman" w:hAnsi="Times New Roman" w:cs="Times New Roman"/>
          <w:b/>
          <w:bCs/>
          <w:sz w:val="20"/>
          <w:szCs w:val="20"/>
        </w:rPr>
        <w:t xml:space="preserve"> Ethics approval</w:t>
      </w:r>
    </w:p>
    <w:p w14:paraId="7DA0F3D2" w14:textId="77777777" w:rsidR="00807434" w:rsidRPr="00AA66A3" w:rsidRDefault="00807434" w:rsidP="00AA66A3">
      <w:pPr>
        <w:spacing w:after="0" w:line="360" w:lineRule="auto"/>
        <w:ind w:right="-472"/>
        <w:jc w:val="both"/>
        <w:rPr>
          <w:rFonts w:ascii="Times New Roman" w:hAnsi="Times New Roman" w:cs="Times New Roman"/>
          <w:sz w:val="20"/>
          <w:szCs w:val="20"/>
        </w:rPr>
      </w:pPr>
      <w:r w:rsidRPr="00AA66A3">
        <w:rPr>
          <w:rFonts w:ascii="Times New Roman" w:hAnsi="Times New Roman" w:cs="Times New Roman"/>
          <w:sz w:val="20"/>
          <w:szCs w:val="20"/>
        </w:rPr>
        <w:t>The authors take full responsibility for all aspects of this work, ensuring that any questions regarding the accuracy or integrity of any part are thoroughly investigated and appropriately resolved. Written informed consent was obtained from the patient for the publication of this case report. Institutional board approval was not required for this publication.</w:t>
      </w:r>
    </w:p>
    <w:p w14:paraId="22B6AABD" w14:textId="77777777" w:rsidR="00807434" w:rsidRPr="00AA66A3" w:rsidRDefault="00807434" w:rsidP="00AA66A3">
      <w:pPr>
        <w:spacing w:after="0" w:line="360" w:lineRule="auto"/>
        <w:ind w:right="-472"/>
        <w:jc w:val="both"/>
        <w:rPr>
          <w:rFonts w:ascii="Times New Roman" w:hAnsi="Times New Roman" w:cs="Times New Roman"/>
          <w:sz w:val="20"/>
          <w:szCs w:val="20"/>
        </w:rPr>
      </w:pPr>
    </w:p>
    <w:p w14:paraId="058818D6" w14:textId="77777777" w:rsidR="00807434" w:rsidRPr="00AA66A3" w:rsidRDefault="00807434" w:rsidP="00AA66A3">
      <w:pPr>
        <w:spacing w:after="0" w:line="360" w:lineRule="auto"/>
        <w:ind w:right="-472"/>
        <w:jc w:val="both"/>
        <w:rPr>
          <w:rFonts w:ascii="Times New Roman" w:hAnsi="Times New Roman" w:cs="Times New Roman"/>
          <w:sz w:val="20"/>
          <w:szCs w:val="20"/>
        </w:rPr>
      </w:pPr>
      <w:r w:rsidRPr="00AA66A3">
        <w:rPr>
          <w:rFonts w:ascii="Times New Roman" w:hAnsi="Times New Roman" w:cs="Times New Roman"/>
          <w:b/>
          <w:bCs/>
          <w:sz w:val="20"/>
          <w:szCs w:val="20"/>
        </w:rPr>
        <w:t>Informed Consent:</w:t>
      </w:r>
      <w:r w:rsidRPr="00AA66A3">
        <w:rPr>
          <w:rFonts w:ascii="Times New Roman" w:hAnsi="Times New Roman" w:cs="Times New Roman"/>
          <w:sz w:val="20"/>
          <w:szCs w:val="20"/>
        </w:rPr>
        <w:t xml:space="preserve"> Informed consent was obtained from the patient.</w:t>
      </w:r>
    </w:p>
    <w:p w14:paraId="16348D06" w14:textId="77777777" w:rsidR="00C95C03" w:rsidRPr="00AA66A3" w:rsidRDefault="00C95C03" w:rsidP="00AA66A3">
      <w:pPr>
        <w:spacing w:line="360" w:lineRule="auto"/>
        <w:rPr>
          <w:rFonts w:ascii="Times New Roman" w:eastAsia="Calibri" w:hAnsi="Times New Roman" w:cs="Times New Roman"/>
          <w:sz w:val="20"/>
          <w:szCs w:val="20"/>
          <w:highlight w:val="yellow"/>
          <w:lang w:val="en-US"/>
        </w:rPr>
      </w:pPr>
      <w:bookmarkStart w:id="1" w:name="_Hlk197682619"/>
      <w:bookmarkStart w:id="2" w:name="_Hlk180402183"/>
      <w:bookmarkStart w:id="3" w:name="_Hlk183680988"/>
      <w:bookmarkStart w:id="4" w:name="_Hlk197351200"/>
      <w:r w:rsidRPr="00AA66A3">
        <w:rPr>
          <w:rFonts w:ascii="Times New Roman" w:eastAsia="Calibri" w:hAnsi="Times New Roman" w:cs="Times New Roman"/>
          <w:sz w:val="20"/>
          <w:szCs w:val="20"/>
          <w:highlight w:val="yellow"/>
          <w:lang w:val="en-US"/>
        </w:rPr>
        <w:t>Disclaimer (Artificial intelligence)</w:t>
      </w:r>
    </w:p>
    <w:p w14:paraId="62B5225D" w14:textId="77777777" w:rsidR="00C95C03" w:rsidRPr="00AA66A3" w:rsidRDefault="00C95C03" w:rsidP="00AA66A3">
      <w:pPr>
        <w:spacing w:line="360" w:lineRule="auto"/>
        <w:rPr>
          <w:rFonts w:ascii="Times New Roman" w:eastAsia="Calibri" w:hAnsi="Times New Roman" w:cs="Times New Roman"/>
          <w:sz w:val="20"/>
          <w:szCs w:val="20"/>
          <w:highlight w:val="yellow"/>
          <w:lang w:val="en-US"/>
        </w:rPr>
      </w:pPr>
      <w:r w:rsidRPr="00AA66A3">
        <w:rPr>
          <w:rFonts w:ascii="Times New Roman" w:eastAsia="Calibri" w:hAnsi="Times New Roman" w:cs="Times New Roman"/>
          <w:sz w:val="20"/>
          <w:szCs w:val="20"/>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bookmarkEnd w:id="4"/>
    <w:p w14:paraId="736A5471" w14:textId="77777777" w:rsidR="00807434" w:rsidRPr="00AA66A3" w:rsidRDefault="00807434" w:rsidP="00AA66A3">
      <w:pPr>
        <w:spacing w:line="360" w:lineRule="auto"/>
        <w:rPr>
          <w:rFonts w:ascii="Times New Roman" w:hAnsi="Times New Roman" w:cs="Times New Roman"/>
          <w:sz w:val="20"/>
          <w:szCs w:val="20"/>
        </w:rPr>
      </w:pPr>
    </w:p>
    <w:p w14:paraId="2EDBDA38" w14:textId="77777777" w:rsidR="008F59DE" w:rsidRPr="00AA66A3" w:rsidRDefault="008F59DE" w:rsidP="00AA66A3">
      <w:pPr>
        <w:spacing w:line="360" w:lineRule="auto"/>
        <w:rPr>
          <w:rFonts w:ascii="Times New Roman" w:hAnsi="Times New Roman" w:cs="Times New Roman"/>
          <w:sz w:val="20"/>
          <w:szCs w:val="20"/>
        </w:rPr>
      </w:pPr>
    </w:p>
    <w:p w14:paraId="434F5822" w14:textId="77777777" w:rsidR="008F59DE" w:rsidRPr="00AA66A3" w:rsidRDefault="008F59DE" w:rsidP="00AA66A3">
      <w:pPr>
        <w:spacing w:line="360" w:lineRule="auto"/>
        <w:rPr>
          <w:rFonts w:ascii="Times New Roman" w:hAnsi="Times New Roman" w:cs="Times New Roman"/>
          <w:b/>
          <w:bCs/>
          <w:sz w:val="20"/>
          <w:szCs w:val="20"/>
        </w:rPr>
      </w:pPr>
      <w:r w:rsidRPr="00AA66A3">
        <w:rPr>
          <w:rFonts w:ascii="Times New Roman" w:hAnsi="Times New Roman" w:cs="Times New Roman"/>
          <w:b/>
          <w:bCs/>
          <w:sz w:val="20"/>
          <w:szCs w:val="20"/>
        </w:rPr>
        <w:lastRenderedPageBreak/>
        <w:t>References:</w:t>
      </w:r>
    </w:p>
    <w:p w14:paraId="4D5935FA" w14:textId="15B9C517"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1.  Skórzewska M, Romanowicz T, Mielko J, Kurylcio A, Pertkiewicz J, Zymon R, et al. Frey operation for chronic pancreatitis associated with pancreas divisum: and review of the literature. pg. 2014;3:175–8. </w:t>
      </w:r>
    </w:p>
    <w:p w14:paraId="42C07A92" w14:textId="05703F95"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2.  Genualdi J, Murray-Ramcharan M, Matos F, Ramcharan A. Incidental Discovery of Nonrotation in a Patient With Nonspecific Abdominal Pain: A Surgical Diagnostic Dilemma. Cureus [Internet]. 2022 Sep 14 [cited 2025 Sep 14]; Available from: https://www.cureus.com/articles/111959-incidental-discovery-of-nonrotation-in-a-patient-with-nonspecific-abdominal-pain-a-surgical-diagnostic-dilemma</w:t>
      </w:r>
    </w:p>
    <w:p w14:paraId="6D2B11E5" w14:textId="523F2E2F"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3. </w:t>
      </w:r>
      <w:r w:rsidR="00C61F20" w:rsidRPr="00AA66A3">
        <w:rPr>
          <w:rFonts w:ascii="Times New Roman" w:hAnsi="Times New Roman" w:cs="Times New Roman"/>
          <w:sz w:val="20"/>
          <w:szCs w:val="20"/>
        </w:rPr>
        <w:t xml:space="preserve"> </w:t>
      </w:r>
      <w:r w:rsidRPr="00AA66A3">
        <w:rPr>
          <w:rFonts w:ascii="Times New Roman" w:hAnsi="Times New Roman" w:cs="Times New Roman"/>
          <w:sz w:val="20"/>
          <w:szCs w:val="20"/>
        </w:rPr>
        <w:t>Fernandez Trokhimtchouk T, Flores LF, Morillo Cox Á, Gordillo A, Crespo Martinez JK. Intestinal Nonrotation and Cecal Volvulus: A Unique Combination of Rare Pathologies. Cureus [Internet]. 2023 May 31 [cited 2025 Sep 14]; Available from: https://www.cureus.com/articles/160869-intestinal-nonrotation-and-cecal-volvulus-a-unique-combination-of-rare-pathologies</w:t>
      </w:r>
    </w:p>
    <w:p w14:paraId="285A7CBF" w14:textId="711D65CE"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4. </w:t>
      </w:r>
      <w:r w:rsidR="00C61F20" w:rsidRPr="00AA66A3">
        <w:rPr>
          <w:rFonts w:ascii="Times New Roman" w:hAnsi="Times New Roman" w:cs="Times New Roman"/>
          <w:sz w:val="20"/>
          <w:szCs w:val="20"/>
        </w:rPr>
        <w:t xml:space="preserve"> </w:t>
      </w:r>
      <w:r w:rsidRPr="00AA66A3">
        <w:rPr>
          <w:rFonts w:ascii="Times New Roman" w:hAnsi="Times New Roman" w:cs="Times New Roman"/>
          <w:sz w:val="20"/>
          <w:szCs w:val="20"/>
        </w:rPr>
        <w:t xml:space="preserve">Lei W, Yan J, Zhang T, Liu L, Chen Y. Pancreaticobiliary maljunction and pancreas divisum accompanied with intestinal malrotation: a case report. BMC Pediatr. 2022 Dec;22(1):110. </w:t>
      </w:r>
    </w:p>
    <w:p w14:paraId="32707D49" w14:textId="59A4197D"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5. </w:t>
      </w:r>
      <w:r w:rsidR="00C61F20" w:rsidRPr="00AA66A3">
        <w:rPr>
          <w:rFonts w:ascii="Times New Roman" w:hAnsi="Times New Roman" w:cs="Times New Roman"/>
          <w:sz w:val="20"/>
          <w:szCs w:val="20"/>
        </w:rPr>
        <w:t xml:space="preserve"> </w:t>
      </w:r>
      <w:r w:rsidRPr="00AA66A3">
        <w:rPr>
          <w:rFonts w:ascii="Times New Roman" w:hAnsi="Times New Roman" w:cs="Times New Roman"/>
          <w:sz w:val="20"/>
          <w:szCs w:val="20"/>
        </w:rPr>
        <w:t>Duggal S, Akahara O, Didia C. Chronic Pancreatitis and Pancreas Divisum: A Case Report of Recurrent Management Challenges. Cureus [Internet]. 2025 Apr 15 [cited 2025 Nov 9]; Available from: https://www.cureus.com/articles/317815-chronic-pancreatitis-and-pancreas-divisum-a-case-report-of-recurrent-management-challenges</w:t>
      </w:r>
    </w:p>
    <w:p w14:paraId="20832174" w14:textId="556A45E1"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6. </w:t>
      </w:r>
      <w:r w:rsidR="00C61F20" w:rsidRPr="00AA66A3">
        <w:rPr>
          <w:rFonts w:ascii="Times New Roman" w:hAnsi="Times New Roman" w:cs="Times New Roman"/>
          <w:sz w:val="20"/>
          <w:szCs w:val="20"/>
        </w:rPr>
        <w:t xml:space="preserve"> </w:t>
      </w:r>
      <w:r w:rsidRPr="00AA66A3">
        <w:rPr>
          <w:rFonts w:ascii="Times New Roman" w:hAnsi="Times New Roman" w:cs="Times New Roman"/>
          <w:sz w:val="20"/>
          <w:szCs w:val="20"/>
        </w:rPr>
        <w:t>Kara S, Ozair S, Brzobohaty M, Nedd K. A Rare Case of Pancreatic Divisum Presentation. Cureus [Internet]. 2023 Apr 14 [cited 2025 Nov 9]; Available from: https://www.cureus.com/articles/96532-a-rare-case-of-pancreatic-divisum-presentation</w:t>
      </w:r>
    </w:p>
    <w:p w14:paraId="61A72100" w14:textId="20E680B9"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7. </w:t>
      </w:r>
      <w:r w:rsidR="004A3E6E" w:rsidRPr="00AA66A3">
        <w:rPr>
          <w:rFonts w:ascii="Times New Roman" w:hAnsi="Times New Roman" w:cs="Times New Roman"/>
          <w:sz w:val="20"/>
          <w:szCs w:val="20"/>
        </w:rPr>
        <w:t xml:space="preserve"> </w:t>
      </w:r>
      <w:r w:rsidRPr="00AA66A3">
        <w:rPr>
          <w:rFonts w:ascii="Times New Roman" w:hAnsi="Times New Roman" w:cs="Times New Roman"/>
          <w:sz w:val="20"/>
          <w:szCs w:val="20"/>
        </w:rPr>
        <w:t xml:space="preserve">Gutta A, Fogel E, Sherman S. Identification and management of pancreas divisum. Expert Review of Gastroenterology &amp; Hepatology. 2019 Nov 2;13(11):1089–105. </w:t>
      </w:r>
    </w:p>
    <w:p w14:paraId="63A9F03D" w14:textId="1ABB9A04"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8.  Wood CG, Lopes Vendrami C, Craig E, Mittal PK, Miller FH. Pancreatitis in the developmentally anomalous pancreas. Abdom Radiol. 2020 May;45(5):1316–23. </w:t>
      </w:r>
    </w:p>
    <w:p w14:paraId="09723BF1" w14:textId="54B4118B"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9.  Fernandez-Moure JS, Moses ML, Garcia A, Reader MM. An unusual presentation of congenital intestinal malrotation in a nonagenarian. International Journal of Surgery Case Reports. 2016;25:229–33. </w:t>
      </w:r>
    </w:p>
    <w:p w14:paraId="7E722F9D" w14:textId="0E97090F" w:rsidR="00F235D1" w:rsidRPr="00AA66A3" w:rsidRDefault="00F235D1" w:rsidP="00AA66A3">
      <w:pPr>
        <w:pStyle w:val="Bibliography"/>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10.  Nakano H, Okamura K, Nakase I, Tamaki H, Kitamura H, Miyazaki K, et al. Coexistence of pancreas divisum and intestinal malrotation in a patient with cholecystolithiasis —A case report—. The Japanese Journal of Surgery. 1987 May;17(3):186–9. </w:t>
      </w:r>
    </w:p>
    <w:p w14:paraId="31213B42" w14:textId="7FE22CBA" w:rsidR="008F59DE" w:rsidRPr="00AA66A3" w:rsidRDefault="008F59DE" w:rsidP="00AA66A3">
      <w:pPr>
        <w:spacing w:line="360" w:lineRule="auto"/>
        <w:rPr>
          <w:rFonts w:ascii="Times New Roman" w:hAnsi="Times New Roman" w:cs="Times New Roman"/>
          <w:b/>
          <w:bCs/>
          <w:sz w:val="20"/>
          <w:szCs w:val="20"/>
        </w:rPr>
      </w:pPr>
    </w:p>
    <w:p w14:paraId="4B266994" w14:textId="77777777" w:rsidR="0011290A" w:rsidRPr="00AA66A3" w:rsidRDefault="0011290A"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Figure 1: (A) CT scan showing multiple calculi in the dorsal pancreatic duct (white arrow). (B) </w:t>
      </w:r>
      <w:r w:rsidRPr="00AA66A3">
        <w:rPr>
          <w:rFonts w:ascii="Times New Roman" w:hAnsi="Times New Roman" w:cs="Times New Roman"/>
          <w:sz w:val="20"/>
          <w:szCs w:val="20"/>
          <w:highlight w:val="yellow"/>
        </w:rPr>
        <w:t>Dorsal duct (black arrow) draining superiorly to the ventral ducts (white arrow).</w:t>
      </w:r>
      <w:r w:rsidRPr="00AA66A3">
        <w:rPr>
          <w:rFonts w:ascii="Times New Roman" w:hAnsi="Times New Roman" w:cs="Times New Roman"/>
          <w:sz w:val="20"/>
          <w:szCs w:val="20"/>
        </w:rPr>
        <w:t xml:space="preserve"> (C) </w:t>
      </w:r>
      <w:r w:rsidRPr="00AA66A3">
        <w:rPr>
          <w:rFonts w:ascii="Times New Roman" w:hAnsi="Times New Roman" w:cs="Times New Roman"/>
          <w:sz w:val="20"/>
          <w:szCs w:val="20"/>
          <w:highlight w:val="yellow"/>
        </w:rPr>
        <w:t>Reversal of the normal relationship between the superior mesenteric vein (SMV) and superior mesenteric artery (SMA), showing the SMA on the right (black arrow) and the SMV on the left (white arrow).</w:t>
      </w:r>
      <w:r w:rsidRPr="00AA66A3">
        <w:rPr>
          <w:rFonts w:ascii="Times New Roman" w:hAnsi="Times New Roman" w:cs="Times New Roman"/>
          <w:sz w:val="20"/>
          <w:szCs w:val="20"/>
        </w:rPr>
        <w:t xml:space="preserve"> (D) The duodenojejunal flexure is located in the midline.</w:t>
      </w:r>
    </w:p>
    <w:p w14:paraId="750BE233" w14:textId="77777777" w:rsidR="0011290A" w:rsidRPr="00AA66A3" w:rsidRDefault="0011290A" w:rsidP="00AA66A3">
      <w:pPr>
        <w:spacing w:line="360" w:lineRule="auto"/>
        <w:rPr>
          <w:rFonts w:ascii="Times New Roman" w:hAnsi="Times New Roman" w:cs="Times New Roman"/>
          <w:sz w:val="20"/>
          <w:szCs w:val="20"/>
        </w:rPr>
      </w:pPr>
    </w:p>
    <w:p w14:paraId="10396262" w14:textId="4DD65B3A" w:rsidR="00EB5B4B" w:rsidRPr="00AA66A3" w:rsidRDefault="00EB5B4B" w:rsidP="00AA66A3">
      <w:pPr>
        <w:spacing w:line="360" w:lineRule="auto"/>
        <w:ind w:right="-472"/>
        <w:rPr>
          <w:rFonts w:ascii="Times New Roman" w:hAnsi="Times New Roman" w:cs="Times New Roman"/>
          <w:sz w:val="20"/>
          <w:szCs w:val="20"/>
        </w:rPr>
      </w:pPr>
      <w:r w:rsidRPr="00AA66A3">
        <w:rPr>
          <w:rFonts w:ascii="Times New Roman" w:hAnsi="Times New Roman" w:cs="Times New Roman"/>
          <w:noProof/>
          <w:sz w:val="20"/>
          <w:szCs w:val="20"/>
        </w:rPr>
        <w:drawing>
          <wp:inline distT="0" distB="0" distL="0" distR="0" wp14:anchorId="0D81E2D1" wp14:editId="666CD122">
            <wp:extent cx="5774589" cy="4324350"/>
            <wp:effectExtent l="0" t="0" r="0" b="0"/>
            <wp:docPr id="46358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3799" cy="4331247"/>
                    </a:xfrm>
                    <a:prstGeom prst="rect">
                      <a:avLst/>
                    </a:prstGeom>
                    <a:noFill/>
                    <a:ln>
                      <a:noFill/>
                    </a:ln>
                  </pic:spPr>
                </pic:pic>
              </a:graphicData>
            </a:graphic>
          </wp:inline>
        </w:drawing>
      </w:r>
    </w:p>
    <w:p w14:paraId="6187B5DE" w14:textId="77777777" w:rsidR="00EB5B4B" w:rsidRPr="00AA66A3" w:rsidRDefault="00EB5B4B" w:rsidP="00AA66A3">
      <w:pPr>
        <w:spacing w:line="360" w:lineRule="auto"/>
        <w:ind w:right="-472"/>
        <w:rPr>
          <w:rFonts w:ascii="Times New Roman" w:hAnsi="Times New Roman" w:cs="Times New Roman"/>
          <w:sz w:val="20"/>
          <w:szCs w:val="20"/>
        </w:rPr>
      </w:pPr>
    </w:p>
    <w:p w14:paraId="3AEFD31E" w14:textId="77777777" w:rsidR="0011290A" w:rsidRPr="00AA66A3" w:rsidRDefault="0011290A" w:rsidP="00AA66A3">
      <w:pPr>
        <w:spacing w:line="360" w:lineRule="auto"/>
        <w:rPr>
          <w:rFonts w:ascii="Times New Roman" w:hAnsi="Times New Roman" w:cs="Times New Roman"/>
          <w:sz w:val="20"/>
          <w:szCs w:val="20"/>
        </w:rPr>
      </w:pPr>
    </w:p>
    <w:p w14:paraId="4748F3EF" w14:textId="77777777" w:rsidR="0011290A" w:rsidRPr="00AA66A3" w:rsidRDefault="0011290A" w:rsidP="00AA66A3">
      <w:pPr>
        <w:spacing w:line="360" w:lineRule="auto"/>
        <w:rPr>
          <w:rFonts w:ascii="Times New Roman" w:hAnsi="Times New Roman" w:cs="Times New Roman"/>
          <w:sz w:val="20"/>
          <w:szCs w:val="20"/>
        </w:rPr>
      </w:pPr>
    </w:p>
    <w:p w14:paraId="5D8A5459" w14:textId="77777777" w:rsidR="0011290A" w:rsidRPr="00AA66A3" w:rsidRDefault="0011290A"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Figure 2: </w:t>
      </w:r>
      <w:r w:rsidRPr="00AA66A3">
        <w:rPr>
          <w:rFonts w:ascii="Times New Roman" w:hAnsi="Times New Roman" w:cs="Times New Roman"/>
          <w:sz w:val="20"/>
          <w:szCs w:val="20"/>
          <w:highlight w:val="yellow"/>
        </w:rPr>
        <w:t>(A) Intraoperative image showing the dorsal pancreatic duct draining into the minor papilla (black arrow). (B) A lateral pancreaticojejunostomy anastomosis was performed for adequate drainage of the pancreatic duct.</w:t>
      </w:r>
    </w:p>
    <w:p w14:paraId="5505E0B5" w14:textId="77777777" w:rsidR="0011290A" w:rsidRPr="00AA66A3" w:rsidRDefault="0011290A" w:rsidP="00AA66A3">
      <w:pPr>
        <w:spacing w:line="360" w:lineRule="auto"/>
        <w:rPr>
          <w:rFonts w:ascii="Times New Roman" w:hAnsi="Times New Roman" w:cs="Times New Roman"/>
          <w:sz w:val="20"/>
          <w:szCs w:val="20"/>
        </w:rPr>
      </w:pPr>
    </w:p>
    <w:p w14:paraId="5611E808" w14:textId="753F934B" w:rsidR="00EB5B4B" w:rsidRPr="00AA66A3" w:rsidRDefault="00EB5B4B" w:rsidP="00AA66A3">
      <w:pPr>
        <w:spacing w:line="360" w:lineRule="auto"/>
        <w:ind w:right="-472"/>
        <w:rPr>
          <w:rFonts w:ascii="Times New Roman" w:hAnsi="Times New Roman" w:cs="Times New Roman"/>
          <w:sz w:val="20"/>
          <w:szCs w:val="20"/>
        </w:rPr>
      </w:pPr>
      <w:r w:rsidRPr="00AA66A3">
        <w:rPr>
          <w:rFonts w:ascii="Times New Roman" w:hAnsi="Times New Roman" w:cs="Times New Roman"/>
          <w:noProof/>
          <w:sz w:val="20"/>
          <w:szCs w:val="20"/>
        </w:rPr>
        <w:lastRenderedPageBreak/>
        <w:drawing>
          <wp:inline distT="0" distB="0" distL="0" distR="0" wp14:anchorId="6875EAB0" wp14:editId="3F4AC155">
            <wp:extent cx="5949638" cy="2305050"/>
            <wp:effectExtent l="0" t="0" r="0" b="0"/>
            <wp:docPr id="1053490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9873" cy="2309015"/>
                    </a:xfrm>
                    <a:prstGeom prst="rect">
                      <a:avLst/>
                    </a:prstGeom>
                    <a:noFill/>
                    <a:ln>
                      <a:noFill/>
                    </a:ln>
                  </pic:spPr>
                </pic:pic>
              </a:graphicData>
            </a:graphic>
          </wp:inline>
        </w:drawing>
      </w:r>
    </w:p>
    <w:p w14:paraId="382C38EF" w14:textId="77777777" w:rsidR="00EB5B4B" w:rsidRPr="00AA66A3" w:rsidRDefault="00EB5B4B" w:rsidP="00AA66A3">
      <w:pPr>
        <w:spacing w:line="360" w:lineRule="auto"/>
        <w:ind w:right="-472"/>
        <w:rPr>
          <w:rFonts w:ascii="Times New Roman" w:hAnsi="Times New Roman" w:cs="Times New Roman"/>
          <w:sz w:val="20"/>
          <w:szCs w:val="20"/>
        </w:rPr>
      </w:pPr>
    </w:p>
    <w:p w14:paraId="598047DD" w14:textId="77777777" w:rsidR="00EB5B4B" w:rsidRPr="00AA66A3" w:rsidRDefault="00EB5B4B" w:rsidP="00AA66A3">
      <w:pPr>
        <w:spacing w:line="360" w:lineRule="auto"/>
        <w:ind w:right="-472"/>
        <w:rPr>
          <w:rFonts w:ascii="Times New Roman" w:hAnsi="Times New Roman" w:cs="Times New Roman"/>
          <w:sz w:val="20"/>
          <w:szCs w:val="20"/>
        </w:rPr>
      </w:pPr>
    </w:p>
    <w:p w14:paraId="410DB06B" w14:textId="77777777" w:rsidR="00EB5B4B" w:rsidRPr="00AA66A3" w:rsidRDefault="00EB5B4B" w:rsidP="00AA66A3">
      <w:pPr>
        <w:spacing w:line="360" w:lineRule="auto"/>
        <w:ind w:right="-472"/>
        <w:rPr>
          <w:rFonts w:ascii="Times New Roman" w:hAnsi="Times New Roman" w:cs="Times New Roman"/>
          <w:sz w:val="20"/>
          <w:szCs w:val="20"/>
        </w:rPr>
      </w:pPr>
    </w:p>
    <w:p w14:paraId="3B88714F" w14:textId="77777777" w:rsidR="00EB5B4B" w:rsidRPr="00AA66A3" w:rsidRDefault="00EB5B4B" w:rsidP="00AA66A3">
      <w:pPr>
        <w:spacing w:line="360" w:lineRule="auto"/>
        <w:ind w:right="-472"/>
        <w:rPr>
          <w:rFonts w:ascii="Times New Roman" w:hAnsi="Times New Roman" w:cs="Times New Roman"/>
          <w:sz w:val="20"/>
          <w:szCs w:val="20"/>
        </w:rPr>
      </w:pPr>
    </w:p>
    <w:p w14:paraId="6514F0D2" w14:textId="77777777" w:rsidR="00EB5B4B" w:rsidRPr="00AA66A3" w:rsidRDefault="00EB5B4B" w:rsidP="00AA66A3">
      <w:pPr>
        <w:spacing w:line="360" w:lineRule="auto"/>
        <w:ind w:right="-472"/>
        <w:rPr>
          <w:rFonts w:ascii="Times New Roman" w:hAnsi="Times New Roman" w:cs="Times New Roman"/>
          <w:sz w:val="20"/>
          <w:szCs w:val="20"/>
        </w:rPr>
      </w:pPr>
    </w:p>
    <w:p w14:paraId="74B252B9" w14:textId="77777777" w:rsidR="00EB5B4B" w:rsidRPr="00AA66A3" w:rsidRDefault="00EB5B4B" w:rsidP="00AA66A3">
      <w:pPr>
        <w:spacing w:line="360" w:lineRule="auto"/>
        <w:ind w:right="-472"/>
        <w:rPr>
          <w:rFonts w:ascii="Times New Roman" w:hAnsi="Times New Roman" w:cs="Times New Roman"/>
          <w:sz w:val="20"/>
          <w:szCs w:val="20"/>
        </w:rPr>
      </w:pPr>
    </w:p>
    <w:p w14:paraId="546786C4" w14:textId="77777777" w:rsidR="00807434" w:rsidRPr="00AA66A3" w:rsidRDefault="00807434" w:rsidP="00AA66A3">
      <w:pPr>
        <w:spacing w:line="360" w:lineRule="auto"/>
        <w:rPr>
          <w:rFonts w:ascii="Times New Roman" w:hAnsi="Times New Roman" w:cs="Times New Roman"/>
          <w:sz w:val="20"/>
          <w:szCs w:val="20"/>
        </w:rPr>
      </w:pPr>
    </w:p>
    <w:p w14:paraId="4CC8D70A" w14:textId="77777777" w:rsidR="00F235D1" w:rsidRPr="00AA66A3" w:rsidRDefault="00F235D1" w:rsidP="00AA66A3">
      <w:pPr>
        <w:spacing w:line="360" w:lineRule="auto"/>
        <w:rPr>
          <w:rFonts w:ascii="Times New Roman" w:hAnsi="Times New Roman" w:cs="Times New Roman"/>
          <w:sz w:val="20"/>
          <w:szCs w:val="20"/>
        </w:rPr>
      </w:pPr>
      <w:r w:rsidRPr="00AA66A3">
        <w:rPr>
          <w:rFonts w:ascii="Times New Roman" w:hAnsi="Times New Roman" w:cs="Times New Roman"/>
          <w:sz w:val="20"/>
          <w:szCs w:val="20"/>
        </w:rPr>
        <w:t xml:space="preserve">Figure 3: (A) Intraoperative image demonstrating the duodenojejunal flexure located in the midline (black arrow). (B) </w:t>
      </w:r>
      <w:r w:rsidRPr="00AA66A3">
        <w:rPr>
          <w:rFonts w:ascii="Times New Roman" w:hAnsi="Times New Roman" w:cs="Times New Roman"/>
          <w:sz w:val="20"/>
          <w:szCs w:val="20"/>
          <w:highlight w:val="yellow"/>
        </w:rPr>
        <w:t>Presence of Ladd’s bands crossing the duodenum and tethering to the right subhepatic region, which were carefully dissected and divided.</w:t>
      </w:r>
      <w:r w:rsidRPr="00AA66A3">
        <w:rPr>
          <w:rFonts w:ascii="Times New Roman" w:hAnsi="Times New Roman" w:cs="Times New Roman"/>
          <w:sz w:val="20"/>
          <w:szCs w:val="20"/>
        </w:rPr>
        <w:t xml:space="preserve"> (C) Prophylactic appendectomy performed as part of Ladd’s procedure. (D) Final orientation with the small bowel placed on the right and the large bowel on the left side of the abdomen.</w:t>
      </w:r>
    </w:p>
    <w:p w14:paraId="65B035B8" w14:textId="3FE3B2CD" w:rsidR="00EB5B4B" w:rsidRPr="00AA66A3" w:rsidRDefault="00EB5B4B" w:rsidP="00AA66A3">
      <w:pPr>
        <w:spacing w:line="360" w:lineRule="auto"/>
        <w:ind w:right="-472"/>
        <w:rPr>
          <w:rFonts w:ascii="Times New Roman" w:hAnsi="Times New Roman" w:cs="Times New Roman"/>
          <w:sz w:val="20"/>
          <w:szCs w:val="20"/>
        </w:rPr>
      </w:pPr>
      <w:r w:rsidRPr="00AA66A3">
        <w:rPr>
          <w:rFonts w:ascii="Times New Roman" w:hAnsi="Times New Roman" w:cs="Times New Roman"/>
          <w:noProof/>
          <w:sz w:val="20"/>
          <w:szCs w:val="20"/>
        </w:rPr>
        <w:lastRenderedPageBreak/>
        <w:drawing>
          <wp:inline distT="0" distB="0" distL="0" distR="0" wp14:anchorId="2C1AF518" wp14:editId="779FEE40">
            <wp:extent cx="5234710" cy="4146550"/>
            <wp:effectExtent l="0" t="0" r="4445" b="6350"/>
            <wp:docPr id="289582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1568" cy="4151982"/>
                    </a:xfrm>
                    <a:prstGeom prst="rect">
                      <a:avLst/>
                    </a:prstGeom>
                    <a:noFill/>
                    <a:ln>
                      <a:noFill/>
                    </a:ln>
                  </pic:spPr>
                </pic:pic>
              </a:graphicData>
            </a:graphic>
          </wp:inline>
        </w:drawing>
      </w:r>
    </w:p>
    <w:p w14:paraId="3C72F7CA" w14:textId="77777777" w:rsidR="00EB5B4B" w:rsidRPr="00AA66A3" w:rsidRDefault="00EB5B4B" w:rsidP="00AA66A3">
      <w:pPr>
        <w:spacing w:line="360" w:lineRule="auto"/>
        <w:ind w:right="-472"/>
        <w:rPr>
          <w:rFonts w:ascii="Times New Roman" w:hAnsi="Times New Roman" w:cs="Times New Roman"/>
          <w:sz w:val="20"/>
          <w:szCs w:val="20"/>
        </w:rPr>
      </w:pPr>
    </w:p>
    <w:sectPr w:rsidR="00EB5B4B" w:rsidRPr="00AA66A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03FBA" w14:textId="77777777" w:rsidR="00DA010C" w:rsidRDefault="00DA010C" w:rsidP="00B45734">
      <w:pPr>
        <w:spacing w:after="0" w:line="240" w:lineRule="auto"/>
      </w:pPr>
      <w:r>
        <w:separator/>
      </w:r>
    </w:p>
  </w:endnote>
  <w:endnote w:type="continuationSeparator" w:id="0">
    <w:p w14:paraId="2486A3C8" w14:textId="77777777" w:rsidR="00DA010C" w:rsidRDefault="00DA010C" w:rsidP="00B45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4DD4E" w14:textId="77777777" w:rsidR="00B45734" w:rsidRDefault="00B45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19789" w14:textId="77777777" w:rsidR="00B45734" w:rsidRDefault="00B457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F1FD" w14:textId="77777777" w:rsidR="00B45734" w:rsidRDefault="00B45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2444B" w14:textId="77777777" w:rsidR="00DA010C" w:rsidRDefault="00DA010C" w:rsidP="00B45734">
      <w:pPr>
        <w:spacing w:after="0" w:line="240" w:lineRule="auto"/>
      </w:pPr>
      <w:r>
        <w:separator/>
      </w:r>
    </w:p>
  </w:footnote>
  <w:footnote w:type="continuationSeparator" w:id="0">
    <w:p w14:paraId="66A3B025" w14:textId="77777777" w:rsidR="00DA010C" w:rsidRDefault="00DA010C" w:rsidP="00B45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8513" w14:textId="04B44347" w:rsidR="00B45734" w:rsidRDefault="00000000">
    <w:pPr>
      <w:pStyle w:val="Header"/>
    </w:pPr>
    <w:r>
      <w:rPr>
        <w:noProof/>
      </w:rPr>
      <w:pict w14:anchorId="36E83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064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E747" w14:textId="54CED894" w:rsidR="00B45734" w:rsidRDefault="00000000">
    <w:pPr>
      <w:pStyle w:val="Header"/>
    </w:pPr>
    <w:r>
      <w:rPr>
        <w:noProof/>
      </w:rPr>
      <w:pict w14:anchorId="60A5D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064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5EFF" w14:textId="6A27B600" w:rsidR="00B45734" w:rsidRDefault="00000000">
    <w:pPr>
      <w:pStyle w:val="Header"/>
    </w:pPr>
    <w:r>
      <w:rPr>
        <w:noProof/>
      </w:rPr>
      <w:pict w14:anchorId="191C3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064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C1089"/>
    <w:multiLevelType w:val="hybridMultilevel"/>
    <w:tmpl w:val="93B0555C"/>
    <w:lvl w:ilvl="0" w:tplc="4009000F">
      <w:start w:val="1"/>
      <w:numFmt w:val="decimal"/>
      <w:lvlText w:val="%1."/>
      <w:lvlJc w:val="left"/>
      <w:pPr>
        <w:ind w:left="-491" w:hanging="360"/>
      </w:pPr>
      <w:rPr>
        <w:rFonts w:hint="default"/>
      </w:rPr>
    </w:lvl>
    <w:lvl w:ilvl="1" w:tplc="FFFFFFFF" w:tentative="1">
      <w:start w:val="1"/>
      <w:numFmt w:val="bullet"/>
      <w:lvlText w:val="o"/>
      <w:lvlJc w:val="left"/>
      <w:pPr>
        <w:ind w:left="229" w:hanging="360"/>
      </w:pPr>
      <w:rPr>
        <w:rFonts w:ascii="Courier New" w:hAnsi="Courier New" w:cs="Courier New" w:hint="default"/>
      </w:rPr>
    </w:lvl>
    <w:lvl w:ilvl="2" w:tplc="FFFFFFFF" w:tentative="1">
      <w:start w:val="1"/>
      <w:numFmt w:val="bullet"/>
      <w:lvlText w:val=""/>
      <w:lvlJc w:val="left"/>
      <w:pPr>
        <w:ind w:left="949" w:hanging="360"/>
      </w:pPr>
      <w:rPr>
        <w:rFonts w:ascii="Wingdings" w:hAnsi="Wingdings" w:hint="default"/>
      </w:rPr>
    </w:lvl>
    <w:lvl w:ilvl="3" w:tplc="FFFFFFFF" w:tentative="1">
      <w:start w:val="1"/>
      <w:numFmt w:val="bullet"/>
      <w:lvlText w:val=""/>
      <w:lvlJc w:val="left"/>
      <w:pPr>
        <w:ind w:left="1669" w:hanging="360"/>
      </w:pPr>
      <w:rPr>
        <w:rFonts w:ascii="Symbol" w:hAnsi="Symbol" w:hint="default"/>
      </w:rPr>
    </w:lvl>
    <w:lvl w:ilvl="4" w:tplc="FFFFFFFF" w:tentative="1">
      <w:start w:val="1"/>
      <w:numFmt w:val="bullet"/>
      <w:lvlText w:val="o"/>
      <w:lvlJc w:val="left"/>
      <w:pPr>
        <w:ind w:left="2389" w:hanging="360"/>
      </w:pPr>
      <w:rPr>
        <w:rFonts w:ascii="Courier New" w:hAnsi="Courier New" w:cs="Courier New" w:hint="default"/>
      </w:rPr>
    </w:lvl>
    <w:lvl w:ilvl="5" w:tplc="FFFFFFFF" w:tentative="1">
      <w:start w:val="1"/>
      <w:numFmt w:val="bullet"/>
      <w:lvlText w:val=""/>
      <w:lvlJc w:val="left"/>
      <w:pPr>
        <w:ind w:left="3109" w:hanging="360"/>
      </w:pPr>
      <w:rPr>
        <w:rFonts w:ascii="Wingdings" w:hAnsi="Wingdings" w:hint="default"/>
      </w:rPr>
    </w:lvl>
    <w:lvl w:ilvl="6" w:tplc="FFFFFFFF" w:tentative="1">
      <w:start w:val="1"/>
      <w:numFmt w:val="bullet"/>
      <w:lvlText w:val=""/>
      <w:lvlJc w:val="left"/>
      <w:pPr>
        <w:ind w:left="3829" w:hanging="360"/>
      </w:pPr>
      <w:rPr>
        <w:rFonts w:ascii="Symbol" w:hAnsi="Symbol" w:hint="default"/>
      </w:rPr>
    </w:lvl>
    <w:lvl w:ilvl="7" w:tplc="FFFFFFFF" w:tentative="1">
      <w:start w:val="1"/>
      <w:numFmt w:val="bullet"/>
      <w:lvlText w:val="o"/>
      <w:lvlJc w:val="left"/>
      <w:pPr>
        <w:ind w:left="4549" w:hanging="360"/>
      </w:pPr>
      <w:rPr>
        <w:rFonts w:ascii="Courier New" w:hAnsi="Courier New" w:cs="Courier New" w:hint="default"/>
      </w:rPr>
    </w:lvl>
    <w:lvl w:ilvl="8" w:tplc="FFFFFFFF" w:tentative="1">
      <w:start w:val="1"/>
      <w:numFmt w:val="bullet"/>
      <w:lvlText w:val=""/>
      <w:lvlJc w:val="left"/>
      <w:pPr>
        <w:ind w:left="5269" w:hanging="360"/>
      </w:pPr>
      <w:rPr>
        <w:rFonts w:ascii="Wingdings" w:hAnsi="Wingdings" w:hint="default"/>
      </w:rPr>
    </w:lvl>
  </w:abstractNum>
  <w:abstractNum w:abstractNumId="1" w15:restartNumberingAfterBreak="0">
    <w:nsid w:val="5DDF72B6"/>
    <w:multiLevelType w:val="hybridMultilevel"/>
    <w:tmpl w:val="FEF00524"/>
    <w:lvl w:ilvl="0" w:tplc="94864FEA">
      <w:start w:val="1"/>
      <w:numFmt w:val="decimal"/>
      <w:lvlText w:val="%1."/>
      <w:lvlJc w:val="left"/>
      <w:pPr>
        <w:ind w:left="644" w:hanging="360"/>
      </w:pPr>
      <w:rPr>
        <w:rFonts w:ascii="Times New Roman" w:eastAsia="Book Antiqua"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5930611">
    <w:abstractNumId w:val="1"/>
  </w:num>
  <w:num w:numId="2" w16cid:durableId="279265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24"/>
    <w:rsid w:val="00001BD3"/>
    <w:rsid w:val="00025778"/>
    <w:rsid w:val="00095BE1"/>
    <w:rsid w:val="000B0F63"/>
    <w:rsid w:val="000E4095"/>
    <w:rsid w:val="00107D06"/>
    <w:rsid w:val="0011290A"/>
    <w:rsid w:val="00114F4C"/>
    <w:rsid w:val="00146911"/>
    <w:rsid w:val="00147076"/>
    <w:rsid w:val="001644B5"/>
    <w:rsid w:val="00167D55"/>
    <w:rsid w:val="00172E72"/>
    <w:rsid w:val="00174EA0"/>
    <w:rsid w:val="001D7E32"/>
    <w:rsid w:val="0021023C"/>
    <w:rsid w:val="00225AF8"/>
    <w:rsid w:val="002C752D"/>
    <w:rsid w:val="00300949"/>
    <w:rsid w:val="003238BA"/>
    <w:rsid w:val="00325F2E"/>
    <w:rsid w:val="00356557"/>
    <w:rsid w:val="00382C2E"/>
    <w:rsid w:val="003B4422"/>
    <w:rsid w:val="003D30C5"/>
    <w:rsid w:val="003D6C60"/>
    <w:rsid w:val="003E5A8B"/>
    <w:rsid w:val="00406463"/>
    <w:rsid w:val="0041649F"/>
    <w:rsid w:val="004A3E6E"/>
    <w:rsid w:val="005B6625"/>
    <w:rsid w:val="005E0024"/>
    <w:rsid w:val="005E4E6B"/>
    <w:rsid w:val="0062468A"/>
    <w:rsid w:val="0063291D"/>
    <w:rsid w:val="00634F0E"/>
    <w:rsid w:val="006610EB"/>
    <w:rsid w:val="006766F2"/>
    <w:rsid w:val="00681260"/>
    <w:rsid w:val="007118DF"/>
    <w:rsid w:val="00737FF1"/>
    <w:rsid w:val="0078186E"/>
    <w:rsid w:val="007936BB"/>
    <w:rsid w:val="00795F0D"/>
    <w:rsid w:val="007A5F2F"/>
    <w:rsid w:val="00806934"/>
    <w:rsid w:val="00807434"/>
    <w:rsid w:val="008C2057"/>
    <w:rsid w:val="008F59DE"/>
    <w:rsid w:val="008F74F4"/>
    <w:rsid w:val="00903ECF"/>
    <w:rsid w:val="00916DE9"/>
    <w:rsid w:val="009469E7"/>
    <w:rsid w:val="00953073"/>
    <w:rsid w:val="0098403F"/>
    <w:rsid w:val="00984245"/>
    <w:rsid w:val="009E1B37"/>
    <w:rsid w:val="00A101F0"/>
    <w:rsid w:val="00A40186"/>
    <w:rsid w:val="00A46D52"/>
    <w:rsid w:val="00A70B85"/>
    <w:rsid w:val="00A941B2"/>
    <w:rsid w:val="00AA66A3"/>
    <w:rsid w:val="00AB3021"/>
    <w:rsid w:val="00AF0140"/>
    <w:rsid w:val="00B045B8"/>
    <w:rsid w:val="00B45734"/>
    <w:rsid w:val="00B627CE"/>
    <w:rsid w:val="00B65527"/>
    <w:rsid w:val="00B83901"/>
    <w:rsid w:val="00B87AAE"/>
    <w:rsid w:val="00B92948"/>
    <w:rsid w:val="00BA1463"/>
    <w:rsid w:val="00BA401D"/>
    <w:rsid w:val="00C02E75"/>
    <w:rsid w:val="00C22ED2"/>
    <w:rsid w:val="00C31EE4"/>
    <w:rsid w:val="00C525D4"/>
    <w:rsid w:val="00C61F20"/>
    <w:rsid w:val="00C64944"/>
    <w:rsid w:val="00C77AC9"/>
    <w:rsid w:val="00C95C03"/>
    <w:rsid w:val="00CA442C"/>
    <w:rsid w:val="00CD5E6E"/>
    <w:rsid w:val="00CD6194"/>
    <w:rsid w:val="00D01182"/>
    <w:rsid w:val="00D01FAD"/>
    <w:rsid w:val="00D06C83"/>
    <w:rsid w:val="00D34330"/>
    <w:rsid w:val="00D36BC4"/>
    <w:rsid w:val="00DA010C"/>
    <w:rsid w:val="00DD3B50"/>
    <w:rsid w:val="00E07F22"/>
    <w:rsid w:val="00E27B27"/>
    <w:rsid w:val="00E439C2"/>
    <w:rsid w:val="00E80B7F"/>
    <w:rsid w:val="00E9568B"/>
    <w:rsid w:val="00EB5B4B"/>
    <w:rsid w:val="00EC30E0"/>
    <w:rsid w:val="00F11365"/>
    <w:rsid w:val="00F235D1"/>
    <w:rsid w:val="00F57171"/>
    <w:rsid w:val="00F85337"/>
    <w:rsid w:val="00FF55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A4B32"/>
  <w15:chartTrackingRefBased/>
  <w15:docId w15:val="{FEE5896F-52CD-4203-858A-4AA6AD6EE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5B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045B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B045B8"/>
    <w:pPr>
      <w:spacing w:after="7" w:line="266" w:lineRule="auto"/>
      <w:ind w:left="720" w:hanging="10"/>
      <w:contextualSpacing/>
    </w:pPr>
    <w:rPr>
      <w:rFonts w:ascii="Book Antiqua" w:eastAsia="Book Antiqua" w:hAnsi="Book Antiqua" w:cs="Mangal"/>
      <w:color w:val="000000"/>
      <w:kern w:val="0"/>
      <w:lang w:eastAsia="en-IN" w:bidi="hi-IN"/>
      <w14:ligatures w14:val="none"/>
    </w:rPr>
  </w:style>
  <w:style w:type="character" w:styleId="Hyperlink">
    <w:name w:val="Hyperlink"/>
    <w:basedOn w:val="DefaultParagraphFont"/>
    <w:unhideWhenUsed/>
    <w:rsid w:val="00B045B8"/>
    <w:rPr>
      <w:color w:val="0563C1" w:themeColor="hyperlink"/>
      <w:u w:val="single"/>
    </w:rPr>
  </w:style>
  <w:style w:type="character" w:styleId="UnresolvedMention">
    <w:name w:val="Unresolved Mention"/>
    <w:basedOn w:val="DefaultParagraphFont"/>
    <w:uiPriority w:val="99"/>
    <w:semiHidden/>
    <w:unhideWhenUsed/>
    <w:rsid w:val="00B045B8"/>
    <w:rPr>
      <w:color w:val="605E5C"/>
      <w:shd w:val="clear" w:color="auto" w:fill="E1DFDD"/>
    </w:rPr>
  </w:style>
  <w:style w:type="paragraph" w:styleId="Bibliography">
    <w:name w:val="Bibliography"/>
    <w:basedOn w:val="Normal"/>
    <w:next w:val="Normal"/>
    <w:uiPriority w:val="37"/>
    <w:semiHidden/>
    <w:unhideWhenUsed/>
    <w:rsid w:val="008F59DE"/>
  </w:style>
  <w:style w:type="paragraph" w:styleId="Header">
    <w:name w:val="header"/>
    <w:basedOn w:val="Normal"/>
    <w:link w:val="HeaderChar"/>
    <w:uiPriority w:val="99"/>
    <w:unhideWhenUsed/>
    <w:rsid w:val="00B45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734"/>
  </w:style>
  <w:style w:type="paragraph" w:styleId="Footer">
    <w:name w:val="footer"/>
    <w:basedOn w:val="Normal"/>
    <w:link w:val="FooterChar"/>
    <w:uiPriority w:val="99"/>
    <w:unhideWhenUsed/>
    <w:rsid w:val="00B45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7</Pages>
  <Words>6396</Words>
  <Characters>36463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only4bijit@gmail.com</dc:creator>
  <cp:keywords/>
  <dc:description/>
  <cp:lastModifiedBy>Bijit Saha</cp:lastModifiedBy>
  <cp:revision>73</cp:revision>
  <dcterms:created xsi:type="dcterms:W3CDTF">2025-01-14T17:06:00Z</dcterms:created>
  <dcterms:modified xsi:type="dcterms:W3CDTF">2025-11-08T21:44:00Z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9f8ca1aef69ad63565f84f5653514b2cebca9f9382a16bf5188747e9e45688e4</vt:lpwstr>
  </property>
  <property fmtid="{D5CDD505-2E9C-101B-9397-08002B2CF9AE}" pid="3" name="ZOTERO_PREF_1">
    <vt:lpwstr>&lt;data data-version="3" zotero-version="6.0.36"&gt;&lt;session id="oBdQBh0m"/&gt;&lt;style id="" hasBibliography="0" bibliographyStyleHasBeenSet="0"/&gt;&lt;prefs/&gt;&lt;/data&gt;</vt:lpwstr>
  </property>
</Properties>
</file>