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8ED5" w14:textId="57B7F068" w:rsidR="002E7836" w:rsidRPr="00AB6D14" w:rsidRDefault="00154C81" w:rsidP="00AB6D14">
      <w:pPr>
        <w:spacing w:after="0" w:line="240" w:lineRule="auto"/>
        <w:jc w:val="center"/>
        <w:rPr>
          <w:rFonts w:ascii="Times New Roman" w:hAnsi="Times New Roman" w:cs="Times New Roman"/>
          <w:b/>
          <w:sz w:val="24"/>
          <w:szCs w:val="24"/>
        </w:rPr>
      </w:pPr>
      <w:r w:rsidRPr="00AB6D14">
        <w:rPr>
          <w:rFonts w:ascii="Times New Roman" w:hAnsi="Times New Roman" w:cs="Times New Roman"/>
          <w:b/>
          <w:sz w:val="24"/>
          <w:szCs w:val="24"/>
        </w:rPr>
        <w:t xml:space="preserve">Biochemical serum indices of hepatic and renal functions of rats in </w:t>
      </w:r>
      <w:proofErr w:type="gramStart"/>
      <w:r w:rsidRPr="00AB6D14">
        <w:rPr>
          <w:rFonts w:ascii="Times New Roman" w:hAnsi="Times New Roman" w:cs="Times New Roman"/>
          <w:b/>
          <w:sz w:val="24"/>
          <w:szCs w:val="24"/>
        </w:rPr>
        <w:t>first and second line</w:t>
      </w:r>
      <w:proofErr w:type="gramEnd"/>
      <w:r w:rsidRPr="00AB6D14">
        <w:rPr>
          <w:rFonts w:ascii="Times New Roman" w:hAnsi="Times New Roman" w:cs="Times New Roman"/>
          <w:b/>
          <w:sz w:val="24"/>
          <w:szCs w:val="24"/>
        </w:rPr>
        <w:t xml:space="preserve"> fixed doses of </w:t>
      </w:r>
      <w:bookmarkStart w:id="0" w:name="_Hlk176017084"/>
      <w:r w:rsidRPr="00AB6D14">
        <w:rPr>
          <w:rFonts w:ascii="Times New Roman" w:hAnsi="Times New Roman" w:cs="Times New Roman"/>
          <w:b/>
          <w:sz w:val="24"/>
          <w:szCs w:val="24"/>
        </w:rPr>
        <w:t xml:space="preserve">anti-retroviral drugs versus first line with switch </w:t>
      </w:r>
    </w:p>
    <w:p w14:paraId="4B054F87" w14:textId="6A51B421" w:rsidR="002E7836" w:rsidRDefault="00154C81" w:rsidP="00AB6D14">
      <w:pPr>
        <w:spacing w:after="0" w:line="240" w:lineRule="auto"/>
        <w:jc w:val="center"/>
        <w:rPr>
          <w:rFonts w:ascii="Times New Roman" w:hAnsi="Times New Roman" w:cs="Times New Roman"/>
          <w:b/>
          <w:sz w:val="24"/>
          <w:szCs w:val="24"/>
        </w:rPr>
      </w:pPr>
      <w:r w:rsidRPr="00AB6D14">
        <w:rPr>
          <w:rFonts w:ascii="Times New Roman" w:hAnsi="Times New Roman" w:cs="Times New Roman"/>
          <w:b/>
          <w:sz w:val="24"/>
          <w:szCs w:val="24"/>
        </w:rPr>
        <w:t>To second line combination</w:t>
      </w:r>
    </w:p>
    <w:p w14:paraId="58F5FAFB" w14:textId="77777777" w:rsidR="00BC6943" w:rsidRPr="00AB6D14" w:rsidRDefault="00BC6943" w:rsidP="00AB6D14">
      <w:pPr>
        <w:spacing w:after="0" w:line="240" w:lineRule="auto"/>
        <w:jc w:val="center"/>
        <w:rPr>
          <w:rFonts w:ascii="Times New Roman" w:hAnsi="Times New Roman" w:cs="Times New Roman"/>
          <w:b/>
          <w:sz w:val="24"/>
          <w:szCs w:val="24"/>
        </w:rPr>
      </w:pPr>
    </w:p>
    <w:bookmarkEnd w:id="0"/>
    <w:p w14:paraId="25C8D931" w14:textId="77777777" w:rsidR="002E7836" w:rsidRPr="00AB6D14" w:rsidRDefault="002E7836" w:rsidP="00AB6D14">
      <w:pPr>
        <w:spacing w:after="0" w:line="240" w:lineRule="auto"/>
        <w:jc w:val="center"/>
        <w:rPr>
          <w:rFonts w:ascii="Times New Roman" w:hAnsi="Times New Roman" w:cs="Times New Roman"/>
          <w:b/>
          <w:sz w:val="24"/>
          <w:szCs w:val="24"/>
        </w:rPr>
      </w:pPr>
    </w:p>
    <w:p w14:paraId="2540FCE7" w14:textId="77777777" w:rsidR="00B2011A" w:rsidRPr="00D903F5" w:rsidRDefault="00B2011A" w:rsidP="00B2011A">
      <w:pPr>
        <w:autoSpaceDE w:val="0"/>
        <w:autoSpaceDN w:val="0"/>
        <w:adjustRightInd w:val="0"/>
        <w:spacing w:after="0" w:line="240" w:lineRule="auto"/>
        <w:rPr>
          <w:rFonts w:ascii="Times New Roman" w:hAnsi="Times New Roman" w:cs="Times New Roman"/>
          <w:color w:val="000000"/>
          <w:sz w:val="2"/>
          <w:szCs w:val="24"/>
        </w:rPr>
      </w:pPr>
    </w:p>
    <w:p w14:paraId="05647FB9" w14:textId="77777777" w:rsidR="00B2011A" w:rsidRPr="00AB6D14" w:rsidRDefault="00B2011A" w:rsidP="00B2011A">
      <w:pPr>
        <w:autoSpaceDE w:val="0"/>
        <w:autoSpaceDN w:val="0"/>
        <w:adjustRightInd w:val="0"/>
        <w:spacing w:after="0" w:line="240" w:lineRule="auto"/>
        <w:jc w:val="center"/>
        <w:rPr>
          <w:rFonts w:ascii="Times New Roman" w:hAnsi="Times New Roman" w:cs="Times New Roman"/>
          <w:b/>
          <w:color w:val="000000"/>
          <w:sz w:val="24"/>
          <w:szCs w:val="24"/>
        </w:rPr>
      </w:pPr>
      <w:bookmarkStart w:id="1" w:name="_Hlk176025732"/>
    </w:p>
    <w:p w14:paraId="7B8486FD" w14:textId="77777777" w:rsidR="00B2011A" w:rsidRPr="00AB6D14" w:rsidRDefault="00B2011A" w:rsidP="00B2011A">
      <w:pPr>
        <w:spacing w:after="0" w:line="360" w:lineRule="auto"/>
        <w:jc w:val="both"/>
        <w:rPr>
          <w:rFonts w:ascii="Times New Roman" w:hAnsi="Times New Roman" w:cs="Times New Roman"/>
          <w:b/>
          <w:sz w:val="24"/>
          <w:szCs w:val="24"/>
        </w:rPr>
      </w:pPr>
    </w:p>
    <w:bookmarkEnd w:id="1"/>
    <w:p w14:paraId="263B8D40" w14:textId="77777777" w:rsidR="00E844F4" w:rsidRPr="00AB6D14" w:rsidRDefault="00E844F4" w:rsidP="000138CA">
      <w:pPr>
        <w:spacing w:after="0" w:line="360" w:lineRule="auto"/>
        <w:jc w:val="center"/>
        <w:rPr>
          <w:rFonts w:ascii="Times New Roman" w:hAnsi="Times New Roman" w:cs="Times New Roman"/>
          <w:b/>
          <w:sz w:val="24"/>
          <w:szCs w:val="24"/>
        </w:rPr>
      </w:pPr>
    </w:p>
    <w:p w14:paraId="55A6951C" w14:textId="77777777" w:rsidR="002E7836" w:rsidRPr="00AB6D14" w:rsidRDefault="00E844F4" w:rsidP="00D903F5">
      <w:pPr>
        <w:spacing w:after="0" w:line="360" w:lineRule="auto"/>
        <w:jc w:val="center"/>
        <w:rPr>
          <w:rFonts w:ascii="Times New Roman" w:hAnsi="Times New Roman" w:cs="Times New Roman"/>
          <w:b/>
          <w:sz w:val="24"/>
          <w:szCs w:val="24"/>
        </w:rPr>
      </w:pPr>
      <w:r w:rsidRPr="00AB6D14">
        <w:rPr>
          <w:rFonts w:ascii="Times New Roman" w:hAnsi="Times New Roman" w:cs="Times New Roman"/>
          <w:b/>
          <w:sz w:val="24"/>
          <w:szCs w:val="24"/>
        </w:rPr>
        <w:t>ABSTRACT</w:t>
      </w:r>
    </w:p>
    <w:p w14:paraId="72B32A3C" w14:textId="77777777" w:rsidR="002E7836" w:rsidRPr="00D903F5" w:rsidRDefault="002E7836" w:rsidP="003729B3">
      <w:pPr>
        <w:spacing w:after="0" w:line="360" w:lineRule="auto"/>
        <w:rPr>
          <w:rFonts w:ascii="Times New Roman" w:hAnsi="Times New Roman" w:cs="Times New Roman"/>
          <w:b/>
          <w:sz w:val="2"/>
          <w:szCs w:val="24"/>
        </w:rPr>
      </w:pPr>
    </w:p>
    <w:p w14:paraId="5E68428C" w14:textId="77777777" w:rsidR="002E7836" w:rsidRPr="00AB6D14" w:rsidRDefault="00E844F4" w:rsidP="004D7B94">
      <w:pPr>
        <w:spacing w:after="0" w:line="240" w:lineRule="auto"/>
        <w:jc w:val="both"/>
        <w:rPr>
          <w:rFonts w:ascii="Times New Roman" w:hAnsi="Times New Roman" w:cs="Times New Roman"/>
          <w:b/>
          <w:sz w:val="24"/>
          <w:szCs w:val="24"/>
        </w:rPr>
      </w:pPr>
      <w:r w:rsidRPr="00AB6D14">
        <w:rPr>
          <w:rFonts w:ascii="Times New Roman" w:eastAsia="Times New Roman" w:hAnsi="Times New Roman" w:cs="Times New Roman"/>
          <w:sz w:val="24"/>
          <w:szCs w:val="24"/>
        </w:rPr>
        <w:t xml:space="preserve">HIV/AIDS is a condition in human in which the immune system begins to fail, leading to life threatening opportunistic infections. </w:t>
      </w:r>
      <w:r w:rsidR="006865F7" w:rsidRPr="00AB6D14">
        <w:rPr>
          <w:rFonts w:ascii="Times New Roman" w:hAnsi="Times New Roman" w:cs="Times New Roman"/>
          <w:sz w:val="24"/>
          <w:szCs w:val="24"/>
        </w:rPr>
        <w:t xml:space="preserve">This study investigated the effect of first and second line fixed-dose combination (FDC) antiretroviral drugs on </w:t>
      </w:r>
      <w:r w:rsidR="003729B3" w:rsidRPr="00AB6D14">
        <w:rPr>
          <w:rFonts w:ascii="Times New Roman" w:hAnsi="Times New Roman" w:cs="Times New Roman"/>
          <w:sz w:val="24"/>
          <w:szCs w:val="24"/>
        </w:rPr>
        <w:t>some biochemical parameters in W</w:t>
      </w:r>
      <w:r w:rsidR="006865F7" w:rsidRPr="00AB6D14">
        <w:rPr>
          <w:rFonts w:ascii="Times New Roman" w:hAnsi="Times New Roman" w:cs="Times New Roman"/>
          <w:sz w:val="24"/>
          <w:szCs w:val="24"/>
        </w:rPr>
        <w:t>ist</w:t>
      </w:r>
      <w:r w:rsidR="003729B3" w:rsidRPr="00AB6D14">
        <w:rPr>
          <w:rFonts w:ascii="Times New Roman" w:hAnsi="Times New Roman" w:cs="Times New Roman"/>
          <w:sz w:val="24"/>
          <w:szCs w:val="24"/>
        </w:rPr>
        <w:t>ar rats. Thirty-five (35) male W</w:t>
      </w:r>
      <w:r w:rsidR="006865F7" w:rsidRPr="00AB6D14">
        <w:rPr>
          <w:rFonts w:ascii="Times New Roman" w:hAnsi="Times New Roman" w:cs="Times New Roman"/>
          <w:sz w:val="24"/>
          <w:szCs w:val="24"/>
        </w:rPr>
        <w:t xml:space="preserve">istar rats (Raths </w:t>
      </w:r>
      <w:proofErr w:type="spellStart"/>
      <w:r w:rsidR="006865F7" w:rsidRPr="00AB6D14">
        <w:rPr>
          <w:rFonts w:ascii="Times New Roman" w:hAnsi="Times New Roman" w:cs="Times New Roman"/>
          <w:sz w:val="24"/>
          <w:szCs w:val="24"/>
        </w:rPr>
        <w:t>Novegicus</w:t>
      </w:r>
      <w:proofErr w:type="spellEnd"/>
      <w:r w:rsidR="006865F7" w:rsidRPr="00AB6D14">
        <w:rPr>
          <w:rFonts w:ascii="Times New Roman" w:hAnsi="Times New Roman" w:cs="Times New Roman"/>
          <w:sz w:val="24"/>
          <w:szCs w:val="24"/>
        </w:rPr>
        <w:t>) were divided into seven (7) experimental groups (A, B</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B</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C</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C</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D</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and D</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Group A received normal rat pellet and clean water. Group B</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received 17.14 mg/</w:t>
      </w:r>
      <w:proofErr w:type="spellStart"/>
      <w:r w:rsidR="006865F7" w:rsidRPr="00AB6D14">
        <w:rPr>
          <w:rFonts w:ascii="Times New Roman" w:hAnsi="Times New Roman" w:cs="Times New Roman"/>
          <w:sz w:val="24"/>
          <w:szCs w:val="24"/>
        </w:rPr>
        <w:t>kgbwt</w:t>
      </w:r>
      <w:proofErr w:type="spellEnd"/>
      <w:r w:rsidR="006865F7" w:rsidRPr="00AB6D14">
        <w:rPr>
          <w:rFonts w:ascii="Times New Roman" w:hAnsi="Times New Roman" w:cs="Times New Roman"/>
          <w:sz w:val="24"/>
          <w:szCs w:val="24"/>
        </w:rPr>
        <w:t>/24h of fixed-dose EFV/3TC/TDF as first line regimen for 15 days, while Group B</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xml:space="preserve"> received same regimen for 30 days. Group C</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received 6.43 mg/</w:t>
      </w:r>
      <w:proofErr w:type="spellStart"/>
      <w:r w:rsidR="006865F7" w:rsidRPr="00AB6D14">
        <w:rPr>
          <w:rFonts w:ascii="Times New Roman" w:hAnsi="Times New Roman" w:cs="Times New Roman"/>
          <w:sz w:val="24"/>
          <w:szCs w:val="24"/>
        </w:rPr>
        <w:t>kgbwt</w:t>
      </w:r>
      <w:proofErr w:type="spellEnd"/>
      <w:r w:rsidR="006865F7" w:rsidRPr="00AB6D14">
        <w:rPr>
          <w:rFonts w:ascii="Times New Roman" w:hAnsi="Times New Roman" w:cs="Times New Roman"/>
          <w:sz w:val="24"/>
          <w:szCs w:val="24"/>
        </w:rPr>
        <w:t>/12h of fixed-dose 3TC/ZDVt3.57 mg/</w:t>
      </w:r>
      <w:proofErr w:type="spellStart"/>
      <w:r w:rsidR="006865F7" w:rsidRPr="00AB6D14">
        <w:rPr>
          <w:rFonts w:ascii="Times New Roman" w:hAnsi="Times New Roman" w:cs="Times New Roman"/>
          <w:sz w:val="24"/>
          <w:szCs w:val="24"/>
        </w:rPr>
        <w:t>kgbwt</w:t>
      </w:r>
      <w:proofErr w:type="spellEnd"/>
      <w:r w:rsidR="006865F7" w:rsidRPr="00AB6D14">
        <w:rPr>
          <w:rFonts w:ascii="Times New Roman" w:hAnsi="Times New Roman" w:cs="Times New Roman"/>
          <w:sz w:val="24"/>
          <w:szCs w:val="24"/>
        </w:rPr>
        <w:t>/12h of LPV/r as second line regimen for fifteen (15) days, while Group C</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xml:space="preserve"> received same regimen for 30 days. Group D</w:t>
      </w:r>
      <w:r w:rsidR="006865F7" w:rsidRPr="00AB6D14">
        <w:rPr>
          <w:rFonts w:ascii="Times New Roman" w:hAnsi="Times New Roman" w:cs="Times New Roman"/>
          <w:sz w:val="24"/>
          <w:szCs w:val="24"/>
          <w:vertAlign w:val="subscript"/>
        </w:rPr>
        <w:t>1</w:t>
      </w:r>
      <w:r w:rsidR="006865F7" w:rsidRPr="00AB6D14">
        <w:rPr>
          <w:rFonts w:ascii="Times New Roman" w:hAnsi="Times New Roman" w:cs="Times New Roman"/>
          <w:sz w:val="24"/>
          <w:szCs w:val="24"/>
        </w:rPr>
        <w:t xml:space="preserve"> received first line regime for 30 days then switched to second line regimen for 15 days (a total of 45 days), while Group D</w:t>
      </w:r>
      <w:r w:rsidR="006865F7" w:rsidRPr="00AB6D14">
        <w:rPr>
          <w:rFonts w:ascii="Times New Roman" w:hAnsi="Times New Roman" w:cs="Times New Roman"/>
          <w:sz w:val="24"/>
          <w:szCs w:val="24"/>
          <w:vertAlign w:val="subscript"/>
        </w:rPr>
        <w:t>2</w:t>
      </w:r>
      <w:r w:rsidR="006865F7" w:rsidRPr="00AB6D14">
        <w:rPr>
          <w:rFonts w:ascii="Times New Roman" w:hAnsi="Times New Roman" w:cs="Times New Roman"/>
          <w:sz w:val="24"/>
          <w:szCs w:val="24"/>
        </w:rPr>
        <w:t xml:space="preserve"> received first line regime for 30 days, then switched to second line regimen for another 30 days (a total of 60 days). First and second line regimens showed significant change (P&lt;0.05) in serum level of hepatic parameters observed in 15, 30 and 45 days, while animals treated for 60 days was insignificant (P&gt;0.05) in all the parameters compared to control. Non-significant change (P&gt;0.05) was observed in renal indices of rats treated with these regimens, while significant increase (P&lt;0.05) First and second line FDC antiretroviral drugs exerted toxic effect on hepatic in rats; however repeated dose at long term use may be tolerated.</w:t>
      </w:r>
    </w:p>
    <w:p w14:paraId="60CDCD59" w14:textId="77777777" w:rsidR="002E7836" w:rsidRPr="00AB6D14" w:rsidRDefault="002E7836" w:rsidP="004D7B94">
      <w:pPr>
        <w:spacing w:after="0" w:line="240" w:lineRule="auto"/>
        <w:jc w:val="center"/>
        <w:rPr>
          <w:rFonts w:ascii="Times New Roman" w:hAnsi="Times New Roman" w:cs="Times New Roman"/>
          <w:b/>
          <w:sz w:val="24"/>
          <w:szCs w:val="24"/>
        </w:rPr>
      </w:pPr>
    </w:p>
    <w:p w14:paraId="524BBD07" w14:textId="77777777" w:rsidR="002E7836" w:rsidRPr="00AB6D14" w:rsidRDefault="002E7836" w:rsidP="000138CA">
      <w:pPr>
        <w:spacing w:after="0" w:line="360" w:lineRule="auto"/>
        <w:jc w:val="center"/>
        <w:rPr>
          <w:rFonts w:ascii="Times New Roman" w:hAnsi="Times New Roman" w:cs="Times New Roman"/>
          <w:b/>
          <w:sz w:val="24"/>
          <w:szCs w:val="24"/>
        </w:rPr>
      </w:pPr>
    </w:p>
    <w:p w14:paraId="3E9F8C63" w14:textId="77777777" w:rsidR="004D7B94" w:rsidRPr="00AB6D14" w:rsidRDefault="00D903F5" w:rsidP="004D7B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Keywords</w:t>
      </w:r>
      <w:r w:rsidR="004D7B94" w:rsidRPr="00AB6D14">
        <w:rPr>
          <w:rFonts w:ascii="Times New Roman" w:hAnsi="Times New Roman" w:cs="Times New Roman"/>
          <w:b/>
          <w:sz w:val="24"/>
          <w:szCs w:val="24"/>
        </w:rPr>
        <w:t>: Anti-</w:t>
      </w:r>
      <w:r w:rsidRPr="00AB6D14">
        <w:rPr>
          <w:rFonts w:ascii="Times New Roman" w:hAnsi="Times New Roman" w:cs="Times New Roman"/>
          <w:b/>
          <w:sz w:val="24"/>
          <w:szCs w:val="24"/>
        </w:rPr>
        <w:t>retroviral</w:t>
      </w:r>
      <w:r w:rsidR="004D7B94" w:rsidRPr="00AB6D14">
        <w:rPr>
          <w:rFonts w:ascii="Times New Roman" w:hAnsi="Times New Roman" w:cs="Times New Roman"/>
          <w:b/>
          <w:sz w:val="24"/>
          <w:szCs w:val="24"/>
        </w:rPr>
        <w:t xml:space="preserve">, Hepatic function, Renal function, Fixed-dose </w:t>
      </w:r>
    </w:p>
    <w:p w14:paraId="09D97973" w14:textId="77777777" w:rsidR="004D7B94" w:rsidRPr="00AB6D14" w:rsidRDefault="004D7B94" w:rsidP="000138CA">
      <w:pPr>
        <w:spacing w:after="0" w:line="360" w:lineRule="auto"/>
        <w:jc w:val="center"/>
        <w:rPr>
          <w:rFonts w:ascii="Times New Roman" w:hAnsi="Times New Roman" w:cs="Times New Roman"/>
          <w:b/>
          <w:sz w:val="24"/>
          <w:szCs w:val="24"/>
        </w:rPr>
      </w:pPr>
    </w:p>
    <w:p w14:paraId="7714EF31" w14:textId="77777777" w:rsidR="004D7B94" w:rsidRPr="00AB6D14" w:rsidRDefault="004D7B94" w:rsidP="000138CA">
      <w:pPr>
        <w:spacing w:after="0" w:line="360" w:lineRule="auto"/>
        <w:jc w:val="center"/>
        <w:rPr>
          <w:rFonts w:ascii="Times New Roman" w:hAnsi="Times New Roman" w:cs="Times New Roman"/>
          <w:b/>
          <w:sz w:val="24"/>
          <w:szCs w:val="24"/>
        </w:rPr>
      </w:pPr>
    </w:p>
    <w:p w14:paraId="79291066" w14:textId="01C99C4D" w:rsidR="004D7B94" w:rsidRDefault="004D7B94" w:rsidP="000138CA">
      <w:pPr>
        <w:spacing w:after="0" w:line="360" w:lineRule="auto"/>
        <w:jc w:val="center"/>
        <w:rPr>
          <w:rFonts w:ascii="Times New Roman" w:hAnsi="Times New Roman" w:cs="Times New Roman"/>
          <w:b/>
          <w:sz w:val="24"/>
          <w:szCs w:val="24"/>
        </w:rPr>
      </w:pPr>
    </w:p>
    <w:p w14:paraId="2E7DE87A" w14:textId="2F4C5422" w:rsidR="00774891" w:rsidRDefault="00774891" w:rsidP="000138CA">
      <w:pPr>
        <w:spacing w:after="0" w:line="360" w:lineRule="auto"/>
        <w:jc w:val="center"/>
        <w:rPr>
          <w:rFonts w:ascii="Times New Roman" w:hAnsi="Times New Roman" w:cs="Times New Roman"/>
          <w:b/>
          <w:sz w:val="24"/>
          <w:szCs w:val="24"/>
        </w:rPr>
      </w:pPr>
    </w:p>
    <w:p w14:paraId="1E447598" w14:textId="43600882" w:rsidR="00774891" w:rsidRDefault="00774891" w:rsidP="000138CA">
      <w:pPr>
        <w:spacing w:after="0" w:line="360" w:lineRule="auto"/>
        <w:jc w:val="center"/>
        <w:rPr>
          <w:rFonts w:ascii="Times New Roman" w:hAnsi="Times New Roman" w:cs="Times New Roman"/>
          <w:b/>
          <w:sz w:val="24"/>
          <w:szCs w:val="24"/>
        </w:rPr>
      </w:pPr>
    </w:p>
    <w:p w14:paraId="56333738" w14:textId="1EB5BECD" w:rsidR="00774891" w:rsidRDefault="00774891" w:rsidP="000138CA">
      <w:pPr>
        <w:spacing w:after="0" w:line="360" w:lineRule="auto"/>
        <w:jc w:val="center"/>
        <w:rPr>
          <w:rFonts w:ascii="Times New Roman" w:hAnsi="Times New Roman" w:cs="Times New Roman"/>
          <w:b/>
          <w:sz w:val="24"/>
          <w:szCs w:val="24"/>
        </w:rPr>
      </w:pPr>
    </w:p>
    <w:p w14:paraId="3D658009" w14:textId="79EDB0A2" w:rsidR="00774891" w:rsidRDefault="00774891" w:rsidP="000138CA">
      <w:pPr>
        <w:spacing w:after="0" w:line="360" w:lineRule="auto"/>
        <w:jc w:val="center"/>
        <w:rPr>
          <w:rFonts w:ascii="Times New Roman" w:hAnsi="Times New Roman" w:cs="Times New Roman"/>
          <w:b/>
          <w:sz w:val="24"/>
          <w:szCs w:val="24"/>
        </w:rPr>
      </w:pPr>
    </w:p>
    <w:p w14:paraId="2E9E2F1D" w14:textId="0582338C" w:rsidR="00774891" w:rsidRDefault="00774891" w:rsidP="000138CA">
      <w:pPr>
        <w:spacing w:after="0" w:line="360" w:lineRule="auto"/>
        <w:jc w:val="center"/>
        <w:rPr>
          <w:rFonts w:ascii="Times New Roman" w:hAnsi="Times New Roman" w:cs="Times New Roman"/>
          <w:b/>
          <w:sz w:val="24"/>
          <w:szCs w:val="24"/>
        </w:rPr>
      </w:pPr>
    </w:p>
    <w:p w14:paraId="6F002453" w14:textId="21A00D2A" w:rsidR="00774891" w:rsidRDefault="00774891" w:rsidP="000138CA">
      <w:pPr>
        <w:spacing w:after="0" w:line="360" w:lineRule="auto"/>
        <w:jc w:val="center"/>
        <w:rPr>
          <w:rFonts w:ascii="Times New Roman" w:hAnsi="Times New Roman" w:cs="Times New Roman"/>
          <w:b/>
          <w:sz w:val="24"/>
          <w:szCs w:val="24"/>
        </w:rPr>
      </w:pPr>
    </w:p>
    <w:p w14:paraId="235FC8C0" w14:textId="2CA5451E" w:rsidR="00774891" w:rsidRDefault="00774891" w:rsidP="000138CA">
      <w:pPr>
        <w:spacing w:after="0" w:line="360" w:lineRule="auto"/>
        <w:jc w:val="center"/>
        <w:rPr>
          <w:rFonts w:ascii="Times New Roman" w:hAnsi="Times New Roman" w:cs="Times New Roman"/>
          <w:b/>
          <w:sz w:val="24"/>
          <w:szCs w:val="24"/>
        </w:rPr>
      </w:pPr>
    </w:p>
    <w:p w14:paraId="5B5961CB" w14:textId="0F09970B" w:rsidR="00774891" w:rsidRDefault="00774891" w:rsidP="000138CA">
      <w:pPr>
        <w:spacing w:after="0" w:line="360" w:lineRule="auto"/>
        <w:jc w:val="center"/>
        <w:rPr>
          <w:rFonts w:ascii="Times New Roman" w:hAnsi="Times New Roman" w:cs="Times New Roman"/>
          <w:b/>
          <w:sz w:val="24"/>
          <w:szCs w:val="24"/>
        </w:rPr>
      </w:pPr>
    </w:p>
    <w:p w14:paraId="7DF442DB" w14:textId="77777777" w:rsidR="00774891" w:rsidRPr="00AB6D14" w:rsidRDefault="00774891" w:rsidP="000138CA">
      <w:pPr>
        <w:spacing w:after="0" w:line="360" w:lineRule="auto"/>
        <w:jc w:val="center"/>
        <w:rPr>
          <w:rFonts w:ascii="Times New Roman" w:hAnsi="Times New Roman" w:cs="Times New Roman"/>
          <w:b/>
          <w:sz w:val="24"/>
          <w:szCs w:val="24"/>
        </w:rPr>
      </w:pPr>
    </w:p>
    <w:p w14:paraId="376724F2" w14:textId="77777777" w:rsidR="00AB6D14" w:rsidRPr="00AB6D14" w:rsidRDefault="00AB6D14" w:rsidP="000138CA">
      <w:pPr>
        <w:spacing w:after="0" w:line="360" w:lineRule="auto"/>
        <w:jc w:val="center"/>
        <w:rPr>
          <w:rFonts w:ascii="Times New Roman" w:hAnsi="Times New Roman" w:cs="Times New Roman"/>
          <w:b/>
          <w:sz w:val="24"/>
          <w:szCs w:val="24"/>
        </w:rPr>
      </w:pPr>
    </w:p>
    <w:p w14:paraId="0B01368D" w14:textId="77777777" w:rsidR="002C3546" w:rsidRPr="00AB6D14" w:rsidRDefault="002C3546" w:rsidP="00AB6D14">
      <w:pPr>
        <w:spacing w:after="0" w:line="360" w:lineRule="auto"/>
        <w:rPr>
          <w:rFonts w:ascii="Times New Roman" w:hAnsi="Times New Roman" w:cs="Times New Roman"/>
          <w:b/>
          <w:sz w:val="24"/>
          <w:szCs w:val="24"/>
        </w:rPr>
      </w:pPr>
    </w:p>
    <w:p w14:paraId="48968282" w14:textId="77777777" w:rsidR="002E7836" w:rsidRPr="00AB6D14" w:rsidRDefault="00530944" w:rsidP="005309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2E7836" w:rsidRPr="00AB6D14">
        <w:rPr>
          <w:rFonts w:ascii="Times New Roman" w:hAnsi="Times New Roman" w:cs="Times New Roman"/>
          <w:b/>
          <w:sz w:val="24"/>
          <w:szCs w:val="24"/>
        </w:rPr>
        <w:t>INTRODUCTION</w:t>
      </w:r>
    </w:p>
    <w:p w14:paraId="51199369" w14:textId="392B1F2C" w:rsidR="009533A9" w:rsidRPr="00AB6D14" w:rsidRDefault="00BA223F" w:rsidP="000138CA">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3DA4" w:rsidRPr="00AB6D14">
        <w:rPr>
          <w:rFonts w:ascii="Times New Roman" w:eastAsia="Times New Roman" w:hAnsi="Times New Roman" w:cs="Times New Roman"/>
          <w:sz w:val="24"/>
          <w:szCs w:val="24"/>
        </w:rPr>
        <w:t>Human immunodeficiency vir</w:t>
      </w:r>
      <w:r w:rsidR="00450809" w:rsidRPr="00AB6D14">
        <w:rPr>
          <w:rFonts w:ascii="Times New Roman" w:eastAsia="Times New Roman" w:hAnsi="Times New Roman" w:cs="Times New Roman"/>
          <w:sz w:val="24"/>
          <w:szCs w:val="24"/>
        </w:rPr>
        <w:t>us (</w:t>
      </w:r>
      <w:r w:rsidR="002E7836" w:rsidRPr="00AB6D14">
        <w:rPr>
          <w:rFonts w:ascii="Times New Roman" w:eastAsia="Times New Roman" w:hAnsi="Times New Roman" w:cs="Times New Roman"/>
          <w:sz w:val="24"/>
          <w:szCs w:val="24"/>
        </w:rPr>
        <w:t>HIV</w:t>
      </w:r>
      <w:r w:rsidR="00450809" w:rsidRPr="00AB6D14">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xml:space="preserve"> is characterized and </w:t>
      </w:r>
      <w:bookmarkStart w:id="2" w:name="_Hlk176114650"/>
      <w:r w:rsidR="002E7836" w:rsidRPr="00AB6D14">
        <w:rPr>
          <w:rFonts w:ascii="Times New Roman" w:eastAsia="Times New Roman" w:hAnsi="Times New Roman" w:cs="Times New Roman"/>
          <w:sz w:val="24"/>
          <w:szCs w:val="24"/>
        </w:rPr>
        <w:t xml:space="preserve">identified as an etiological agent of </w:t>
      </w:r>
      <w:r w:rsidR="00450809" w:rsidRPr="00AB6D14">
        <w:rPr>
          <w:rFonts w:ascii="Times New Roman" w:eastAsia="Times New Roman" w:hAnsi="Times New Roman" w:cs="Times New Roman"/>
          <w:sz w:val="24"/>
          <w:szCs w:val="24"/>
        </w:rPr>
        <w:t>acquired immunodeficiency syndrome (</w:t>
      </w:r>
      <w:r w:rsidR="002E7836" w:rsidRPr="00AB6D14">
        <w:rPr>
          <w:rFonts w:ascii="Times New Roman" w:eastAsia="Times New Roman" w:hAnsi="Times New Roman" w:cs="Times New Roman"/>
          <w:sz w:val="24"/>
          <w:szCs w:val="24"/>
        </w:rPr>
        <w:t>AIDS</w:t>
      </w:r>
      <w:r w:rsidR="00450809" w:rsidRPr="00AB6D14">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which remains one of the most serious global health threats of the present time</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22</w:t>
      </w:r>
      <w:r w:rsidR="002E7836" w:rsidRPr="00AB6D14">
        <w:rPr>
          <w:rFonts w:ascii="Times New Roman" w:eastAsia="Times New Roman" w:hAnsi="Times New Roman" w:cs="Times New Roman"/>
          <w:sz w:val="24"/>
          <w:szCs w:val="24"/>
        </w:rPr>
        <w:t>).</w:t>
      </w:r>
      <w:bookmarkEnd w:id="2"/>
      <w:r w:rsidR="002E7836"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HIV/AIDS is a condition in human in which the immune system begins to fail, leading to life threatening opportunistic infections</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14</w:t>
      </w:r>
      <w:r w:rsidR="002E7836"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It is the fourth leading cause of mortality in the world</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xml:space="preserve"> (Guha and Sardar, 2011). </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According to World Health Organization/United Nation AIDS (WHO</w:t>
      </w:r>
      <w:r w:rsidR="009533A9" w:rsidRPr="00AB6D14">
        <w:rPr>
          <w:rFonts w:ascii="Times New Roman" w:eastAsia="Times New Roman" w:hAnsi="Times New Roman" w:cs="Times New Roman"/>
          <w:sz w:val="24"/>
          <w:szCs w:val="24"/>
        </w:rPr>
        <w:t>/UN</w:t>
      </w:r>
      <w:r w:rsidR="002E7836" w:rsidRPr="00AB6D14">
        <w:rPr>
          <w:rFonts w:ascii="Times New Roman" w:eastAsia="Times New Roman" w:hAnsi="Times New Roman" w:cs="Times New Roman"/>
          <w:sz w:val="24"/>
          <w:szCs w:val="24"/>
        </w:rPr>
        <w:t xml:space="preserve"> AIDS) </w:t>
      </w:r>
      <w:r w:rsidR="009533A9" w:rsidRPr="00AB6D14">
        <w:rPr>
          <w:rFonts w:ascii="Times New Roman" w:eastAsia="Times New Roman" w:hAnsi="Times New Roman" w:cs="Times New Roman"/>
          <w:sz w:val="24"/>
          <w:szCs w:val="24"/>
        </w:rPr>
        <w:t>program and</w:t>
      </w:r>
      <w:r w:rsidR="002E7836" w:rsidRPr="00AB6D14">
        <w:rPr>
          <w:rFonts w:ascii="Times New Roman" w:eastAsia="Times New Roman" w:hAnsi="Times New Roman" w:cs="Times New Roman"/>
          <w:sz w:val="24"/>
          <w:szCs w:val="24"/>
        </w:rPr>
        <w:t xml:space="preserve"> estimated 36.9 million (30.8 million – 42.9 million) people worldwide are living with HIV with 1.8 million new infections every day; and about 35 million people have died of AIDS since the epidemic began</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72</w:t>
      </w:r>
      <w:r w:rsidR="002E7836" w:rsidRPr="00AB6D14">
        <w:rPr>
          <w:rFonts w:ascii="Times New Roman" w:eastAsia="Times New Roman" w:hAnsi="Times New Roman" w:cs="Times New Roman"/>
          <w:sz w:val="24"/>
          <w:szCs w:val="24"/>
        </w:rPr>
        <w:t xml:space="preserve">). </w:t>
      </w:r>
    </w:p>
    <w:p w14:paraId="5D390958" w14:textId="44BAD129" w:rsidR="002E7836" w:rsidRPr="00AB6D14" w:rsidRDefault="00BA223F" w:rsidP="000138CA">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In sub-</w:t>
      </w:r>
      <w:proofErr w:type="spellStart"/>
      <w:r w:rsidR="002E7836" w:rsidRPr="00AB6D14">
        <w:rPr>
          <w:rFonts w:ascii="Times New Roman" w:eastAsia="Times New Roman" w:hAnsi="Times New Roman" w:cs="Times New Roman"/>
          <w:sz w:val="24"/>
          <w:szCs w:val="24"/>
        </w:rPr>
        <w:t>sharan</w:t>
      </w:r>
      <w:proofErr w:type="spellEnd"/>
      <w:r w:rsidR="002E7836" w:rsidRPr="00AB6D14">
        <w:rPr>
          <w:rFonts w:ascii="Times New Roman" w:eastAsia="Times New Roman" w:hAnsi="Times New Roman" w:cs="Times New Roman"/>
          <w:sz w:val="24"/>
          <w:szCs w:val="24"/>
        </w:rPr>
        <w:t xml:space="preserve"> Africa, more than 23.5 million people were living with HIV as at 2017; </w:t>
      </w:r>
      <w:r w:rsidR="003729B3" w:rsidRPr="00AB6D14">
        <w:rPr>
          <w:rFonts w:ascii="Times New Roman" w:eastAsia="Times New Roman" w:hAnsi="Times New Roman" w:cs="Times New Roman"/>
          <w:sz w:val="24"/>
          <w:szCs w:val="24"/>
        </w:rPr>
        <w:t>thus,</w:t>
      </w:r>
      <w:r w:rsidR="002E7836" w:rsidRPr="00AB6D14">
        <w:rPr>
          <w:rFonts w:ascii="Times New Roman" w:eastAsia="Times New Roman" w:hAnsi="Times New Roman" w:cs="Times New Roman"/>
          <w:sz w:val="24"/>
          <w:szCs w:val="24"/>
        </w:rPr>
        <w:t xml:space="preserve"> the WHO African region </w:t>
      </w:r>
      <w:r w:rsidR="009533A9" w:rsidRPr="00AB6D14">
        <w:rPr>
          <w:rFonts w:ascii="Times New Roman" w:eastAsia="Times New Roman" w:hAnsi="Times New Roman" w:cs="Times New Roman"/>
          <w:sz w:val="24"/>
          <w:szCs w:val="24"/>
        </w:rPr>
        <w:t>remains most</w:t>
      </w:r>
      <w:r w:rsidR="002E7836" w:rsidRPr="00AB6D14">
        <w:rPr>
          <w:rFonts w:ascii="Times New Roman" w:eastAsia="Times New Roman" w:hAnsi="Times New Roman" w:cs="Times New Roman"/>
          <w:sz w:val="24"/>
          <w:szCs w:val="24"/>
        </w:rPr>
        <w:t xml:space="preserve"> severely affected, with nearly 1 in every 25 adults (4.1%) living with HIV and accounting for nearly two-thirds of the people living with HIV worldwide</w:t>
      </w:r>
      <w:r>
        <w:rPr>
          <w:rFonts w:ascii="Times New Roman" w:eastAsia="Times New Roman" w:hAnsi="Times New Roman" w:cs="Times New Roman"/>
          <w:sz w:val="24"/>
          <w:szCs w:val="24"/>
        </w:rPr>
        <w:t>”</w:t>
      </w:r>
      <w:r w:rsidR="002E7836"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38</w:t>
      </w:r>
      <w:r w:rsidR="002E7836" w:rsidRPr="00AB6D14">
        <w:rPr>
          <w:rFonts w:ascii="Times New Roman" w:eastAsia="Times New Roman" w:hAnsi="Times New Roman" w:cs="Times New Roman"/>
          <w:sz w:val="24"/>
          <w:szCs w:val="24"/>
        </w:rPr>
        <w:t xml:space="preserve">). Currently, Nigeria has the second largest HIV epidemic rate in the world, second to South Africa. </w:t>
      </w:r>
    </w:p>
    <w:p w14:paraId="70286BE1" w14:textId="4EE68146" w:rsidR="009533A9" w:rsidRPr="00AB6D14" w:rsidRDefault="00BA223F" w:rsidP="00986439">
      <w:pPr>
        <w:spacing w:after="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86439" w:rsidRPr="00AB6D14">
        <w:rPr>
          <w:rFonts w:ascii="Times New Roman" w:eastAsia="Times New Roman" w:hAnsi="Times New Roman" w:cs="Times New Roman"/>
          <w:sz w:val="24"/>
          <w:szCs w:val="24"/>
        </w:rPr>
        <w:t>Anti-retroviral (</w:t>
      </w:r>
      <w:r w:rsidR="000138CA" w:rsidRPr="00AB6D14">
        <w:rPr>
          <w:rFonts w:ascii="Times New Roman" w:eastAsia="Times New Roman" w:hAnsi="Times New Roman" w:cs="Times New Roman"/>
          <w:sz w:val="24"/>
          <w:szCs w:val="24"/>
        </w:rPr>
        <w:t>ARV</w:t>
      </w:r>
      <w:r w:rsidR="00986439" w:rsidRPr="00AB6D14">
        <w:rPr>
          <w:rFonts w:ascii="Times New Roman" w:eastAsia="Times New Roman" w:hAnsi="Times New Roman" w:cs="Times New Roman"/>
          <w:sz w:val="24"/>
          <w:szCs w:val="24"/>
        </w:rPr>
        <w:t>)</w:t>
      </w:r>
      <w:r w:rsidR="000138CA" w:rsidRPr="00AB6D14">
        <w:rPr>
          <w:rFonts w:ascii="Times New Roman" w:eastAsia="Times New Roman" w:hAnsi="Times New Roman" w:cs="Times New Roman"/>
          <w:sz w:val="24"/>
          <w:szCs w:val="24"/>
        </w:rPr>
        <w:t xml:space="preserve"> drugs are medications used for the treatment of diseases caused by retroviruses, primarily HIV. </w:t>
      </w:r>
      <w:bookmarkStart w:id="3" w:name="_Hlk176128984"/>
      <w:r w:rsidR="000138CA" w:rsidRPr="00AB6D14">
        <w:rPr>
          <w:rFonts w:ascii="Times New Roman" w:eastAsia="Times New Roman" w:hAnsi="Times New Roman" w:cs="Times New Roman"/>
          <w:sz w:val="24"/>
          <w:szCs w:val="24"/>
        </w:rPr>
        <w:t>T</w:t>
      </w:r>
      <w:r w:rsidR="009533A9" w:rsidRPr="00AB6D14">
        <w:rPr>
          <w:rFonts w:ascii="Times New Roman" w:eastAsia="Times New Roman" w:hAnsi="Times New Roman" w:cs="Times New Roman"/>
          <w:sz w:val="24"/>
          <w:szCs w:val="24"/>
        </w:rPr>
        <w:t>he introduction of antiretroviral (ARV) drugs for the management of HIV and AIDS has reduced HIV and significantly increased the life expectancy among HIV-infected patients</w:t>
      </w:r>
      <w:bookmarkEnd w:id="3"/>
      <w:r>
        <w:rPr>
          <w:rFonts w:ascii="Times New Roman" w:eastAsia="Times New Roman" w:hAnsi="Times New Roman" w:cs="Times New Roman"/>
          <w:sz w:val="24"/>
          <w:szCs w:val="24"/>
        </w:rPr>
        <w:t>”</w:t>
      </w:r>
      <w:r w:rsidR="009533A9"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74</w:t>
      </w:r>
      <w:r w:rsidR="009533A9"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533A9" w:rsidRPr="00AB6D14">
        <w:rPr>
          <w:rFonts w:ascii="Times New Roman" w:eastAsia="Times New Roman" w:hAnsi="Times New Roman" w:cs="Times New Roman"/>
          <w:sz w:val="24"/>
          <w:szCs w:val="24"/>
        </w:rPr>
        <w:t>As at 2017, more than half of the global populations living with HIV (PLWH) were receiving ARV drugs, a record of 19.5 million people</w:t>
      </w:r>
      <w:r>
        <w:rPr>
          <w:rFonts w:ascii="Times New Roman" w:eastAsia="Times New Roman" w:hAnsi="Times New Roman" w:cs="Times New Roman"/>
          <w:sz w:val="24"/>
          <w:szCs w:val="24"/>
        </w:rPr>
        <w:t>”</w:t>
      </w:r>
      <w:r w:rsidR="009533A9"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75</w:t>
      </w:r>
      <w:r w:rsidR="009533A9"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533A9" w:rsidRPr="00AB6D14">
        <w:rPr>
          <w:rFonts w:ascii="Times New Roman" w:eastAsia="Times New Roman" w:hAnsi="Times New Roman" w:cs="Times New Roman"/>
          <w:sz w:val="24"/>
          <w:szCs w:val="24"/>
        </w:rPr>
        <w:t>They are of different classes including; the nucleoside and nucleotide reverse transcriptase inhibitors (NNRTIs), protease inhibitors (PIs), chemokine receptor (CCR5) antagonist, integrase strand transfer inhibitors (INSTIs) and post-attachment inhibitors (PAIs). Each of these classes of drugs inhibits HIV replication at different stages in the HIV life cycle</w:t>
      </w:r>
      <w:r>
        <w:rPr>
          <w:rFonts w:ascii="Times New Roman" w:eastAsia="Times New Roman" w:hAnsi="Times New Roman" w:cs="Times New Roman"/>
          <w:sz w:val="24"/>
          <w:szCs w:val="24"/>
        </w:rPr>
        <w:t>”</w:t>
      </w:r>
      <w:r w:rsidR="009533A9"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43, 57</w:t>
      </w:r>
      <w:r w:rsidR="009533A9" w:rsidRPr="00AB6D14">
        <w:rPr>
          <w:rFonts w:ascii="Times New Roman" w:eastAsia="Times New Roman" w:hAnsi="Times New Roman" w:cs="Times New Roman"/>
          <w:sz w:val="24"/>
          <w:szCs w:val="24"/>
        </w:rPr>
        <w:t>).</w:t>
      </w:r>
    </w:p>
    <w:p w14:paraId="59BF7AB1" w14:textId="77777777" w:rsidR="009533A9" w:rsidRPr="00AB6D14" w:rsidRDefault="009533A9" w:rsidP="000138CA">
      <w:pPr>
        <w:spacing w:after="0" w:line="360" w:lineRule="auto"/>
        <w:ind w:firstLine="720"/>
        <w:contextualSpacing/>
        <w:jc w:val="both"/>
        <w:rPr>
          <w:rFonts w:ascii="Times New Roman" w:eastAsia="Times New Roman" w:hAnsi="Times New Roman" w:cs="Times New Roman"/>
          <w:sz w:val="24"/>
          <w:szCs w:val="24"/>
        </w:rPr>
      </w:pPr>
    </w:p>
    <w:p w14:paraId="21D2BE21" w14:textId="17A71B47" w:rsidR="000138CA" w:rsidRPr="00AB6D14" w:rsidRDefault="00BA223F" w:rsidP="000138C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533A9" w:rsidRPr="00AB6D14">
        <w:rPr>
          <w:rFonts w:ascii="Times New Roman" w:eastAsia="Times New Roman" w:hAnsi="Times New Roman" w:cs="Times New Roman"/>
          <w:sz w:val="24"/>
          <w:szCs w:val="24"/>
        </w:rPr>
        <w:t xml:space="preserve">The liver </w:t>
      </w:r>
      <w:r w:rsidR="00302BAE" w:rsidRPr="00AB6D14">
        <w:rPr>
          <w:rFonts w:ascii="Times New Roman" w:eastAsia="Times New Roman" w:hAnsi="Times New Roman" w:cs="Times New Roman"/>
          <w:sz w:val="24"/>
          <w:szCs w:val="24"/>
        </w:rPr>
        <w:t xml:space="preserve">and kidney are </w:t>
      </w:r>
      <w:r w:rsidR="009533A9" w:rsidRPr="00AB6D14">
        <w:rPr>
          <w:rFonts w:ascii="Times New Roman" w:eastAsia="Times New Roman" w:hAnsi="Times New Roman" w:cs="Times New Roman"/>
          <w:sz w:val="24"/>
          <w:szCs w:val="24"/>
        </w:rPr>
        <w:t>highly specialized tissue</w:t>
      </w:r>
      <w:r w:rsidR="00302BAE" w:rsidRPr="00AB6D14">
        <w:rPr>
          <w:rFonts w:ascii="Times New Roman" w:eastAsia="Times New Roman" w:hAnsi="Times New Roman" w:cs="Times New Roman"/>
          <w:sz w:val="24"/>
          <w:szCs w:val="24"/>
        </w:rPr>
        <w:t>s</w:t>
      </w:r>
      <w:r w:rsidR="009533A9" w:rsidRPr="00AB6D14">
        <w:rPr>
          <w:rFonts w:ascii="Times New Roman" w:eastAsia="Times New Roman" w:hAnsi="Times New Roman" w:cs="Times New Roman"/>
          <w:sz w:val="24"/>
          <w:szCs w:val="24"/>
        </w:rPr>
        <w:t xml:space="preserve"> </w:t>
      </w:r>
      <w:r w:rsidR="00302BAE" w:rsidRPr="00AB6D14">
        <w:rPr>
          <w:rFonts w:ascii="Times New Roman" w:eastAsia="Times New Roman" w:hAnsi="Times New Roman" w:cs="Times New Roman"/>
          <w:sz w:val="24"/>
          <w:szCs w:val="24"/>
        </w:rPr>
        <w:t>which</w:t>
      </w:r>
      <w:r w:rsidR="009533A9" w:rsidRPr="00AB6D14">
        <w:rPr>
          <w:rFonts w:ascii="Times New Roman" w:eastAsia="Times New Roman" w:hAnsi="Times New Roman" w:cs="Times New Roman"/>
          <w:sz w:val="24"/>
          <w:szCs w:val="24"/>
        </w:rPr>
        <w:t xml:space="preserve"> consists of </w:t>
      </w:r>
      <w:r w:rsidR="00302BAE" w:rsidRPr="00AB6D14">
        <w:rPr>
          <w:rFonts w:ascii="Times New Roman" w:eastAsia="Times New Roman" w:hAnsi="Times New Roman" w:cs="Times New Roman"/>
          <w:sz w:val="24"/>
          <w:szCs w:val="24"/>
        </w:rPr>
        <w:t>cells</w:t>
      </w:r>
      <w:r w:rsidR="009533A9" w:rsidRPr="00AB6D14">
        <w:rPr>
          <w:rFonts w:ascii="Times New Roman" w:eastAsia="Times New Roman" w:hAnsi="Times New Roman" w:cs="Times New Roman"/>
          <w:sz w:val="24"/>
          <w:szCs w:val="24"/>
        </w:rPr>
        <w:t xml:space="preserve"> </w:t>
      </w:r>
      <w:r w:rsidR="00302BAE" w:rsidRPr="00AB6D14">
        <w:rPr>
          <w:rFonts w:ascii="Times New Roman" w:eastAsia="Times New Roman" w:hAnsi="Times New Roman" w:cs="Times New Roman"/>
          <w:sz w:val="24"/>
          <w:szCs w:val="24"/>
        </w:rPr>
        <w:t>that</w:t>
      </w:r>
      <w:r w:rsidR="009533A9" w:rsidRPr="00AB6D14">
        <w:rPr>
          <w:rFonts w:ascii="Times New Roman" w:eastAsia="Times New Roman" w:hAnsi="Times New Roman" w:cs="Times New Roman"/>
          <w:sz w:val="24"/>
          <w:szCs w:val="24"/>
        </w:rPr>
        <w:t xml:space="preserve"> regulate a wide variety of hi</w:t>
      </w:r>
      <w:r w:rsidR="00302BAE" w:rsidRPr="00AB6D14">
        <w:rPr>
          <w:rFonts w:ascii="Times New Roman" w:eastAsia="Times New Roman" w:hAnsi="Times New Roman" w:cs="Times New Roman"/>
          <w:sz w:val="24"/>
          <w:szCs w:val="24"/>
        </w:rPr>
        <w:t>gh-volume biochemical reactions.</w:t>
      </w:r>
      <w:r w:rsidR="009533A9" w:rsidRPr="00AB6D14">
        <w:rPr>
          <w:rFonts w:ascii="Times New Roman" w:eastAsia="Times New Roman" w:hAnsi="Times New Roman" w:cs="Times New Roman"/>
          <w:sz w:val="24"/>
          <w:szCs w:val="24"/>
        </w:rPr>
        <w:t xml:space="preserve"> Drugs or toxic compounds, injury, an autoimmune process, or a genetic defect </w:t>
      </w:r>
      <w:r w:rsidR="00302BAE" w:rsidRPr="00AB6D14">
        <w:rPr>
          <w:rFonts w:ascii="Times New Roman" w:eastAsia="Times New Roman" w:hAnsi="Times New Roman" w:cs="Times New Roman"/>
          <w:sz w:val="24"/>
          <w:szCs w:val="24"/>
        </w:rPr>
        <w:t>can cause liver and kidney damage</w:t>
      </w:r>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w:t>
      </w:r>
      <w:r w:rsidR="009533A9"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35</w:t>
      </w:r>
      <w:r w:rsidR="009533A9" w:rsidRPr="00AB6D14">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Hepatotoxicity occurs with most antiretroviral regimen, and it has been shown to be more common with the order classes of antiretroviral drugs. In </w:t>
      </w:r>
      <w:r w:rsidR="00302BAE" w:rsidRPr="00AB6D14">
        <w:rPr>
          <w:rFonts w:ascii="Times New Roman" w:eastAsia="Times New Roman" w:hAnsi="Times New Roman" w:cs="Times New Roman"/>
          <w:sz w:val="24"/>
          <w:szCs w:val="24"/>
        </w:rPr>
        <w:lastRenderedPageBreak/>
        <w:t>particular, studies show that ARV drugs from PI class such as RTV and IDV are more likely to cause liver toxicity compared to other agents</w:t>
      </w:r>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 (6). </w:t>
      </w:r>
    </w:p>
    <w:p w14:paraId="2CD4CC0F" w14:textId="77777777" w:rsidR="003729B3" w:rsidRPr="00AB6D14" w:rsidRDefault="00302BAE" w:rsidP="003729B3">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Liver function tests (LFTs) are carried out to detect the presence of liver disease. The most important biochemical analytes of the liver significant in diagnosing drug-induced hepatotoxicity and other disease of the liver include: Transaminase (Alanine amino transaminase (ALT) and Aspartate amino transaminase (AST), Alkaline phosphatase (ALP), Gamma glutamyl transferase (GGT), Total Protein (T-Prot), Albumin (ALB), Total and direct bilirubin (T-Bil and D-Bil).</w:t>
      </w:r>
    </w:p>
    <w:p w14:paraId="7AA52DA4" w14:textId="3234E28C" w:rsidR="0069153E" w:rsidRPr="00AB6D14" w:rsidRDefault="00BA223F" w:rsidP="003729B3">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w:t>
      </w:r>
      <w:r w:rsidR="003729B3" w:rsidRPr="00AB6D14">
        <w:rPr>
          <w:rFonts w:ascii="Times New Roman" w:hAnsi="Times New Roman" w:cs="Times New Roman"/>
          <w:sz w:val="24"/>
          <w:szCs w:val="24"/>
        </w:rPr>
        <w:t>Antiretroviral (</w:t>
      </w:r>
      <w:r w:rsidR="003729B3" w:rsidRPr="00AB6D14">
        <w:rPr>
          <w:rFonts w:ascii="Times New Roman" w:eastAsia="Times New Roman" w:hAnsi="Times New Roman" w:cs="Times New Roman"/>
          <w:sz w:val="24"/>
          <w:szCs w:val="24"/>
        </w:rPr>
        <w:t xml:space="preserve">ARV) </w:t>
      </w:r>
      <w:r w:rsidR="00302BAE" w:rsidRPr="00AB6D14">
        <w:rPr>
          <w:rFonts w:ascii="Times New Roman" w:eastAsia="Times New Roman" w:hAnsi="Times New Roman" w:cs="Times New Roman"/>
          <w:sz w:val="24"/>
          <w:szCs w:val="24"/>
        </w:rPr>
        <w:t>drugs have been associated with chronic kidney disease, and the major drugs implicated in this include indinavir, atazanavir, and tenofovir (</w:t>
      </w:r>
      <w:r w:rsidR="00B7533A" w:rsidRPr="00AB6D14">
        <w:rPr>
          <w:rFonts w:ascii="Times New Roman" w:eastAsia="Times New Roman" w:hAnsi="Times New Roman" w:cs="Times New Roman"/>
          <w:sz w:val="24"/>
          <w:szCs w:val="24"/>
        </w:rPr>
        <w:t>4</w:t>
      </w:r>
      <w:r w:rsidR="00302BAE" w:rsidRPr="00AB6D14">
        <w:rPr>
          <w:rFonts w:ascii="Times New Roman" w:eastAsia="Times New Roman" w:hAnsi="Times New Roman" w:cs="Times New Roman"/>
          <w:sz w:val="24"/>
          <w:szCs w:val="24"/>
        </w:rPr>
        <w:t>). A number of observational studies have documented tenofovir-associated nephrotoxicity following its widespread use in patients with multiple co-morbid conditions</w:t>
      </w:r>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 (</w:t>
      </w:r>
      <w:r w:rsidR="00B7533A" w:rsidRPr="00AB6D14">
        <w:rPr>
          <w:rFonts w:ascii="Times New Roman" w:eastAsia="Times New Roman" w:hAnsi="Times New Roman" w:cs="Times New Roman"/>
          <w:sz w:val="24"/>
          <w:szCs w:val="24"/>
        </w:rPr>
        <w:t>61</w:t>
      </w:r>
      <w:r w:rsidR="00302BAE"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Ritonavir-boosted PIs are reported to have an increased propensity of causing renal injury, and approximately 70 % of the published cases of TDF- induced nephrotoxic effects are observer with concomitant use of low-dose </w:t>
      </w:r>
      <w:proofErr w:type="spellStart"/>
      <w:r w:rsidR="00302BAE" w:rsidRPr="00AB6D14">
        <w:rPr>
          <w:rFonts w:ascii="Times New Roman" w:eastAsia="Times New Roman" w:hAnsi="Times New Roman" w:cs="Times New Roman"/>
          <w:sz w:val="24"/>
          <w:szCs w:val="24"/>
        </w:rPr>
        <w:t>ritnonavir</w:t>
      </w:r>
      <w:proofErr w:type="spellEnd"/>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39</w:t>
      </w:r>
      <w:r w:rsidR="00302BAE"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An interaction between lopinavir-ritonavir combination therapy and TDF, which manifests as a decrease in the renal clearance of TDC, has been identified</w:t>
      </w:r>
      <w:r>
        <w:rPr>
          <w:rFonts w:ascii="Times New Roman" w:eastAsia="Times New Roman" w:hAnsi="Times New Roman" w:cs="Times New Roman"/>
          <w:sz w:val="24"/>
          <w:szCs w:val="24"/>
        </w:rPr>
        <w:t>”</w:t>
      </w:r>
      <w:r w:rsidR="00302BAE"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39</w:t>
      </w:r>
      <w:r w:rsidR="00302BAE" w:rsidRPr="00AB6D14">
        <w:rPr>
          <w:rFonts w:ascii="Times New Roman" w:eastAsia="Times New Roman" w:hAnsi="Times New Roman" w:cs="Times New Roman"/>
          <w:sz w:val="24"/>
          <w:szCs w:val="24"/>
        </w:rPr>
        <w:t>).</w:t>
      </w:r>
      <w:r w:rsidR="0069153E" w:rsidRPr="00AB6D14">
        <w:rPr>
          <w:rFonts w:ascii="Times New Roman" w:eastAsia="Times New Roman" w:hAnsi="Times New Roman" w:cs="Times New Roman"/>
          <w:sz w:val="24"/>
          <w:szCs w:val="24"/>
        </w:rPr>
        <w:t xml:space="preserve"> </w:t>
      </w:r>
      <w:bookmarkStart w:id="4" w:name="_Hlk176124064"/>
      <w:r w:rsidR="0069153E" w:rsidRPr="00AB6D14">
        <w:rPr>
          <w:rFonts w:ascii="Times New Roman" w:eastAsia="Times New Roman" w:hAnsi="Times New Roman" w:cs="Times New Roman"/>
          <w:sz w:val="24"/>
          <w:szCs w:val="24"/>
        </w:rPr>
        <w:t xml:space="preserve">Some biochemical tests for the assessment and evaluation of renal function include test for plasma concentrations of the waste substances such as urea, creatinine as well as electrolytes. </w:t>
      </w:r>
      <w:bookmarkStart w:id="5" w:name="_Hlk176019331"/>
      <w:r w:rsidR="0069153E" w:rsidRPr="00AB6D14">
        <w:rPr>
          <w:rFonts w:ascii="Times New Roman" w:eastAsia="Times New Roman" w:hAnsi="Times New Roman" w:cs="Times New Roman"/>
          <w:sz w:val="24"/>
          <w:szCs w:val="24"/>
        </w:rPr>
        <w:t xml:space="preserve">This study assessed </w:t>
      </w:r>
      <w:r w:rsidR="0069153E" w:rsidRPr="00AB6D14">
        <w:rPr>
          <w:rFonts w:ascii="Times New Roman" w:hAnsi="Times New Roman" w:cs="Times New Roman"/>
          <w:sz w:val="24"/>
          <w:szCs w:val="24"/>
        </w:rPr>
        <w:t xml:space="preserve">biochemical serum indices of hepatic and renal functions of rats in </w:t>
      </w:r>
      <w:proofErr w:type="gramStart"/>
      <w:r w:rsidR="0069153E" w:rsidRPr="00AB6D14">
        <w:rPr>
          <w:rFonts w:ascii="Times New Roman" w:hAnsi="Times New Roman" w:cs="Times New Roman"/>
          <w:sz w:val="24"/>
          <w:szCs w:val="24"/>
        </w:rPr>
        <w:t>first and second line</w:t>
      </w:r>
      <w:proofErr w:type="gramEnd"/>
      <w:r w:rsidR="0069153E" w:rsidRPr="00AB6D14">
        <w:rPr>
          <w:rFonts w:ascii="Times New Roman" w:hAnsi="Times New Roman" w:cs="Times New Roman"/>
          <w:sz w:val="24"/>
          <w:szCs w:val="24"/>
        </w:rPr>
        <w:t xml:space="preserve"> fixed doses of anti-retroviral drugs versus first line with switch to second line combination.</w:t>
      </w:r>
    </w:p>
    <w:bookmarkEnd w:id="4"/>
    <w:bookmarkEnd w:id="5"/>
    <w:p w14:paraId="2DD4F6BF" w14:textId="77777777" w:rsidR="0069153E" w:rsidRPr="00AB6D14" w:rsidRDefault="0069153E" w:rsidP="000138CA">
      <w:pPr>
        <w:spacing w:after="0" w:line="360" w:lineRule="auto"/>
        <w:jc w:val="both"/>
        <w:rPr>
          <w:rFonts w:ascii="Times New Roman" w:hAnsi="Times New Roman" w:cs="Times New Roman"/>
          <w:sz w:val="24"/>
          <w:szCs w:val="24"/>
        </w:rPr>
      </w:pPr>
    </w:p>
    <w:p w14:paraId="5E0AD520" w14:textId="77777777" w:rsidR="0069153E" w:rsidRPr="00AB6D14" w:rsidRDefault="0069153E" w:rsidP="000138CA">
      <w:pPr>
        <w:spacing w:after="0" w:line="360" w:lineRule="auto"/>
        <w:jc w:val="both"/>
        <w:rPr>
          <w:rFonts w:ascii="Times New Roman" w:hAnsi="Times New Roman" w:cs="Times New Roman"/>
          <w:sz w:val="2"/>
          <w:szCs w:val="24"/>
        </w:rPr>
      </w:pPr>
    </w:p>
    <w:p w14:paraId="609F215D" w14:textId="77777777" w:rsidR="004D224B" w:rsidRPr="00AB6D14" w:rsidRDefault="00530944" w:rsidP="000138CA">
      <w:pPr>
        <w:pStyle w:val="Default"/>
        <w:spacing w:line="360" w:lineRule="auto"/>
        <w:jc w:val="both"/>
        <w:rPr>
          <w:b/>
          <w:color w:val="auto"/>
        </w:rPr>
      </w:pPr>
      <w:bookmarkStart w:id="6" w:name="_Hlk176019419"/>
      <w:r>
        <w:rPr>
          <w:b/>
          <w:color w:val="auto"/>
        </w:rPr>
        <w:t xml:space="preserve">2.0 </w:t>
      </w:r>
      <w:r w:rsidR="004D224B" w:rsidRPr="00AB6D14">
        <w:rPr>
          <w:b/>
          <w:color w:val="auto"/>
        </w:rPr>
        <w:t xml:space="preserve">MATERIALS AND METHODS </w:t>
      </w:r>
    </w:p>
    <w:p w14:paraId="53CFC679" w14:textId="77777777" w:rsidR="004D224B" w:rsidRPr="00AB6D14" w:rsidRDefault="00530944" w:rsidP="000138C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4D224B" w:rsidRPr="00AB6D14">
        <w:rPr>
          <w:rFonts w:ascii="Times New Roman" w:hAnsi="Times New Roman" w:cs="Times New Roman"/>
          <w:b/>
          <w:bCs/>
          <w:sz w:val="24"/>
          <w:szCs w:val="24"/>
        </w:rPr>
        <w:t xml:space="preserve">Materials </w:t>
      </w:r>
    </w:p>
    <w:p w14:paraId="64FDFA0E" w14:textId="77777777" w:rsidR="004D224B" w:rsidRPr="00AB6D14" w:rsidRDefault="00530944" w:rsidP="000138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4D224B" w:rsidRPr="00AB6D14">
        <w:rPr>
          <w:rFonts w:ascii="Times New Roman" w:hAnsi="Times New Roman" w:cs="Times New Roman"/>
          <w:b/>
          <w:sz w:val="24"/>
          <w:szCs w:val="24"/>
        </w:rPr>
        <w:t>Chemicals and Reagents</w:t>
      </w:r>
    </w:p>
    <w:p w14:paraId="7E6ECCB7" w14:textId="77777777" w:rsidR="0069153E" w:rsidRPr="00AB6D14" w:rsidRDefault="0069153E" w:rsidP="000138CA">
      <w:pPr>
        <w:spacing w:after="0" w:line="360" w:lineRule="auto"/>
        <w:jc w:val="both"/>
        <w:rPr>
          <w:rFonts w:ascii="Times New Roman" w:eastAsia="Times New Roman" w:hAnsi="Times New Roman" w:cs="Times New Roman"/>
          <w:sz w:val="2"/>
          <w:szCs w:val="24"/>
        </w:rPr>
      </w:pPr>
    </w:p>
    <w:p w14:paraId="7BB07C51" w14:textId="77777777" w:rsidR="009533A9" w:rsidRPr="00AB6D14"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All chemicals and reagents used for this study were of analytical grade. The assay kit for the determination of activities of alanine amino transaminase (ALT), aspartate amino transaminase (AST) and alkaline phosphate (ALP); concentration of total protein (TP), total bilirubin (T-Bil), albumin (ALB), serum urea (U), creatinine (Cr), electrolytes were obtained from </w:t>
      </w:r>
      <w:proofErr w:type="spellStart"/>
      <w:r w:rsidRPr="00AB6D14">
        <w:rPr>
          <w:rFonts w:ascii="Times New Roman" w:eastAsia="Times New Roman" w:hAnsi="Times New Roman" w:cs="Times New Roman"/>
          <w:sz w:val="24"/>
          <w:szCs w:val="24"/>
        </w:rPr>
        <w:t>Fortrees</w:t>
      </w:r>
      <w:proofErr w:type="spellEnd"/>
      <w:r w:rsidRPr="00AB6D14">
        <w:rPr>
          <w:rFonts w:ascii="Times New Roman" w:eastAsia="Times New Roman" w:hAnsi="Times New Roman" w:cs="Times New Roman"/>
          <w:sz w:val="24"/>
          <w:szCs w:val="24"/>
        </w:rPr>
        <w:t xml:space="preserve"> Diagnostic Limited, Unit 2C Antrim Technology Park, Antrim, BT41 1QS, United Kingdom.</w:t>
      </w:r>
    </w:p>
    <w:p w14:paraId="3C9E28BC" w14:textId="77777777" w:rsidR="004D224B" w:rsidRPr="00AB6D14" w:rsidRDefault="004D224B" w:rsidP="000138CA">
      <w:pPr>
        <w:spacing w:after="0" w:line="360" w:lineRule="auto"/>
        <w:contextualSpacing/>
        <w:jc w:val="both"/>
        <w:rPr>
          <w:rFonts w:ascii="Times New Roman" w:eastAsia="Times New Roman" w:hAnsi="Times New Roman" w:cs="Times New Roman"/>
          <w:b/>
          <w:sz w:val="24"/>
          <w:szCs w:val="24"/>
        </w:rPr>
      </w:pPr>
    </w:p>
    <w:p w14:paraId="1A8D9123" w14:textId="77777777" w:rsidR="00AB6D14" w:rsidRPr="00AB6D14" w:rsidRDefault="00AB6D14" w:rsidP="000138CA">
      <w:pPr>
        <w:spacing w:after="0" w:line="360" w:lineRule="auto"/>
        <w:contextualSpacing/>
        <w:jc w:val="both"/>
        <w:rPr>
          <w:rFonts w:ascii="Times New Roman" w:eastAsia="Times New Roman" w:hAnsi="Times New Roman" w:cs="Times New Roman"/>
          <w:b/>
          <w:sz w:val="24"/>
          <w:szCs w:val="24"/>
        </w:rPr>
      </w:pPr>
    </w:p>
    <w:p w14:paraId="4405A137" w14:textId="77777777" w:rsidR="00AB6D14" w:rsidRDefault="00AB6D14" w:rsidP="00AB6D14">
      <w:pPr>
        <w:tabs>
          <w:tab w:val="left" w:pos="1440"/>
        </w:tabs>
        <w:spacing w:after="0" w:line="360" w:lineRule="auto"/>
        <w:contextualSpacing/>
        <w:jc w:val="both"/>
        <w:rPr>
          <w:rFonts w:ascii="Times New Roman" w:eastAsia="Times New Roman" w:hAnsi="Times New Roman" w:cs="Times New Roman"/>
          <w:b/>
          <w:sz w:val="24"/>
          <w:szCs w:val="24"/>
        </w:rPr>
      </w:pPr>
    </w:p>
    <w:p w14:paraId="270688FC" w14:textId="77777777" w:rsidR="00AB6D14" w:rsidRPr="00AB6D14" w:rsidRDefault="00AB6D14" w:rsidP="00AB6D14">
      <w:pPr>
        <w:tabs>
          <w:tab w:val="left" w:pos="1440"/>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0C1E265" w14:textId="77777777" w:rsidR="004D224B"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w:t>
      </w:r>
      <w:r w:rsidR="004D224B" w:rsidRPr="00AB6D14">
        <w:rPr>
          <w:rFonts w:ascii="Times New Roman" w:eastAsia="Times New Roman" w:hAnsi="Times New Roman" w:cs="Times New Roman"/>
          <w:b/>
          <w:sz w:val="24"/>
          <w:szCs w:val="24"/>
        </w:rPr>
        <w:t xml:space="preserve">Experimental Animals </w:t>
      </w:r>
    </w:p>
    <w:p w14:paraId="69171508" w14:textId="77777777" w:rsidR="004D224B" w:rsidRPr="00AB6D14"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Experimental Animals (male albino Wistar rats) used for this study were purchased from the Animal House, faculty of Basic Medical Science, University of </w:t>
      </w:r>
      <w:proofErr w:type="spellStart"/>
      <w:r w:rsidRPr="00AB6D14">
        <w:rPr>
          <w:rFonts w:ascii="Times New Roman" w:eastAsia="Times New Roman" w:hAnsi="Times New Roman" w:cs="Times New Roman"/>
          <w:sz w:val="24"/>
          <w:szCs w:val="24"/>
        </w:rPr>
        <w:t>Uyo</w:t>
      </w:r>
      <w:proofErr w:type="spellEnd"/>
      <w:r w:rsidRPr="00AB6D14">
        <w:rPr>
          <w:rFonts w:ascii="Times New Roman" w:eastAsia="Times New Roman" w:hAnsi="Times New Roman" w:cs="Times New Roman"/>
          <w:sz w:val="24"/>
          <w:szCs w:val="24"/>
        </w:rPr>
        <w:t xml:space="preserve">. The animals were kept in standard plastic cages and housed in a good atmospheric condition under a 12-hour day/light cycle. They were allowed free access to rat pellet and clean water </w:t>
      </w:r>
      <w:proofErr w:type="spellStart"/>
      <w:r w:rsidRPr="00AB6D14">
        <w:rPr>
          <w:rFonts w:ascii="Times New Roman" w:eastAsia="Times New Roman" w:hAnsi="Times New Roman" w:cs="Times New Roman"/>
          <w:i/>
          <w:sz w:val="24"/>
          <w:szCs w:val="24"/>
        </w:rPr>
        <w:t>adlibilum</w:t>
      </w:r>
      <w:proofErr w:type="spellEnd"/>
      <w:r w:rsidRPr="00AB6D14">
        <w:rPr>
          <w:rFonts w:ascii="Times New Roman" w:eastAsia="Times New Roman" w:hAnsi="Times New Roman" w:cs="Times New Roman"/>
          <w:i/>
          <w:sz w:val="24"/>
          <w:szCs w:val="24"/>
        </w:rPr>
        <w:t xml:space="preserve">. </w:t>
      </w:r>
      <w:r w:rsidRPr="00AB6D14">
        <w:rPr>
          <w:rFonts w:ascii="Times New Roman" w:eastAsia="Times New Roman" w:hAnsi="Times New Roman" w:cs="Times New Roman"/>
          <w:sz w:val="24"/>
          <w:szCs w:val="24"/>
        </w:rPr>
        <w:t>The feeding lasted for a period of one month to get the desired weight of 200 g and above. During this period, the rats got acclimatized to the environment prior to the commencement of the experiment. Body weight of the animals was taken at baseline and weekly throughout the experimental period.</w:t>
      </w:r>
    </w:p>
    <w:p w14:paraId="358EB3AA" w14:textId="77777777" w:rsidR="004D224B" w:rsidRPr="00AB6D14" w:rsidRDefault="004D224B" w:rsidP="000138CA">
      <w:pPr>
        <w:spacing w:after="0" w:line="360" w:lineRule="auto"/>
        <w:ind w:firstLine="720"/>
        <w:jc w:val="both"/>
        <w:rPr>
          <w:rFonts w:ascii="Times New Roman" w:eastAsia="Times New Roman" w:hAnsi="Times New Roman" w:cs="Times New Roman"/>
          <w:sz w:val="12"/>
          <w:szCs w:val="24"/>
        </w:rPr>
      </w:pPr>
    </w:p>
    <w:p w14:paraId="3E8F5FD8" w14:textId="77777777" w:rsidR="004D224B"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sidR="004D224B" w:rsidRPr="00AB6D14">
        <w:rPr>
          <w:rFonts w:ascii="Times New Roman" w:eastAsia="Times New Roman" w:hAnsi="Times New Roman" w:cs="Times New Roman"/>
          <w:b/>
          <w:sz w:val="24"/>
          <w:szCs w:val="24"/>
        </w:rPr>
        <w:t>Drug Sample</w:t>
      </w:r>
    </w:p>
    <w:p w14:paraId="1D5CA834" w14:textId="77777777" w:rsidR="004D224B" w:rsidRPr="00AB6D14"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The following fixed-dose combination (FDC) antiretroviral drugs (</w:t>
      </w:r>
      <w:proofErr w:type="gramStart"/>
      <w:r w:rsidRPr="00AB6D14">
        <w:rPr>
          <w:rFonts w:ascii="Times New Roman" w:eastAsia="Times New Roman" w:hAnsi="Times New Roman" w:cs="Times New Roman"/>
          <w:sz w:val="24"/>
          <w:szCs w:val="24"/>
        </w:rPr>
        <w:t>first and second line</w:t>
      </w:r>
      <w:proofErr w:type="gramEnd"/>
      <w:r w:rsidRPr="00AB6D14">
        <w:rPr>
          <w:rFonts w:ascii="Times New Roman" w:eastAsia="Times New Roman" w:hAnsi="Times New Roman" w:cs="Times New Roman"/>
          <w:sz w:val="24"/>
          <w:szCs w:val="24"/>
        </w:rPr>
        <w:t xml:space="preserve"> regimens) manufactured by Mylan Laboratories Limited, India were obtained from University of </w:t>
      </w:r>
      <w:proofErr w:type="spellStart"/>
      <w:r w:rsidRPr="00AB6D14">
        <w:rPr>
          <w:rFonts w:ascii="Times New Roman" w:eastAsia="Times New Roman" w:hAnsi="Times New Roman" w:cs="Times New Roman"/>
          <w:sz w:val="24"/>
          <w:szCs w:val="24"/>
        </w:rPr>
        <w:t>Uyo</w:t>
      </w:r>
      <w:proofErr w:type="spellEnd"/>
      <w:r w:rsidRPr="00AB6D14">
        <w:rPr>
          <w:rFonts w:ascii="Times New Roman" w:eastAsia="Times New Roman" w:hAnsi="Times New Roman" w:cs="Times New Roman"/>
          <w:sz w:val="24"/>
          <w:szCs w:val="24"/>
        </w:rPr>
        <w:t xml:space="preserve"> Teaching Hospital (UUTH) for the study.</w:t>
      </w:r>
    </w:p>
    <w:p w14:paraId="06AD985A" w14:textId="77777777" w:rsidR="004D224B" w:rsidRPr="00AB6D14" w:rsidRDefault="004D224B" w:rsidP="000138CA">
      <w:pPr>
        <w:numPr>
          <w:ilvl w:val="0"/>
          <w:numId w:val="2"/>
        </w:numPr>
        <w:spacing w:after="0" w:line="360" w:lineRule="auto"/>
        <w:ind w:left="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First line Regimen: FDC of TDF/3TC3EFV (</w:t>
      </w:r>
      <w:proofErr w:type="spellStart"/>
      <w:r w:rsidRPr="00AB6D14">
        <w:rPr>
          <w:rFonts w:ascii="Times New Roman" w:eastAsia="Times New Roman" w:hAnsi="Times New Roman" w:cs="Times New Roman"/>
          <w:sz w:val="24"/>
          <w:szCs w:val="24"/>
        </w:rPr>
        <w:t>Symfi</w:t>
      </w:r>
      <w:proofErr w:type="spellEnd"/>
      <w:r w:rsidRPr="00AB6D14">
        <w:rPr>
          <w:rFonts w:ascii="Times New Roman" w:eastAsia="Times New Roman" w:hAnsi="Times New Roman" w:cs="Times New Roman"/>
          <w:sz w:val="24"/>
          <w:szCs w:val="24"/>
        </w:rPr>
        <w:t xml:space="preserve">® or </w:t>
      </w:r>
      <w:proofErr w:type="spellStart"/>
      <w:r w:rsidRPr="00AB6D14">
        <w:rPr>
          <w:rFonts w:ascii="Times New Roman" w:eastAsia="Times New Roman" w:hAnsi="Times New Roman" w:cs="Times New Roman"/>
          <w:sz w:val="24"/>
          <w:szCs w:val="24"/>
        </w:rPr>
        <w:t>Telura</w:t>
      </w:r>
      <w:proofErr w:type="spellEnd"/>
      <w:r w:rsidRPr="00AB6D14">
        <w:rPr>
          <w:rFonts w:ascii="Times New Roman" w:eastAsia="Times New Roman" w:hAnsi="Times New Roman" w:cs="Times New Roman"/>
          <w:sz w:val="24"/>
          <w:szCs w:val="24"/>
        </w:rPr>
        <w:t xml:space="preserve">®) containing two (2) NRTIs [Tenofovir </w:t>
      </w:r>
      <w:proofErr w:type="spellStart"/>
      <w:r w:rsidRPr="00AB6D14">
        <w:rPr>
          <w:rFonts w:ascii="Times New Roman" w:eastAsia="Times New Roman" w:hAnsi="Times New Roman" w:cs="Times New Roman"/>
          <w:sz w:val="24"/>
          <w:szCs w:val="24"/>
        </w:rPr>
        <w:t>Diisoproxil</w:t>
      </w:r>
      <w:proofErr w:type="spellEnd"/>
      <w:r w:rsidRPr="00AB6D14">
        <w:rPr>
          <w:rFonts w:ascii="Times New Roman" w:eastAsia="Times New Roman" w:hAnsi="Times New Roman" w:cs="Times New Roman"/>
          <w:sz w:val="24"/>
          <w:szCs w:val="24"/>
        </w:rPr>
        <w:t xml:space="preserve"> Fumarate (TDF)/Lamivudine (3TC)] and one (1) NNRTI [Efavirenz (EFV)] in one table. Thus, a single dose of TDF/3TC/EFV contains 300mg of TDF, 300mg of 3TC and 600mg of EFV.</w:t>
      </w:r>
    </w:p>
    <w:p w14:paraId="4CBA76C8" w14:textId="77777777" w:rsidR="004D224B" w:rsidRPr="00AB6D14" w:rsidRDefault="004D224B" w:rsidP="000138CA">
      <w:pPr>
        <w:numPr>
          <w:ilvl w:val="0"/>
          <w:numId w:val="2"/>
        </w:numPr>
        <w:spacing w:after="0" w:line="360" w:lineRule="auto"/>
        <w:ind w:left="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Second Line Regimen: FDC of 3TC/ZDV (</w:t>
      </w:r>
      <w:proofErr w:type="spellStart"/>
      <w:r w:rsidRPr="00AB6D14">
        <w:rPr>
          <w:rFonts w:ascii="Times New Roman" w:eastAsia="Times New Roman" w:hAnsi="Times New Roman" w:cs="Times New Roman"/>
          <w:sz w:val="24"/>
          <w:szCs w:val="24"/>
        </w:rPr>
        <w:t>Combivir</w:t>
      </w:r>
      <w:proofErr w:type="spellEnd"/>
      <w:r w:rsidRPr="00AB6D14">
        <w:rPr>
          <w:rFonts w:ascii="Times New Roman" w:eastAsia="Times New Roman" w:hAnsi="Times New Roman" w:cs="Times New Roman"/>
          <w:sz w:val="24"/>
          <w:szCs w:val="24"/>
        </w:rPr>
        <w:t>®) containing two (2) NRTI [Lamivudine (3TC)/Zidovudine (ZDV] in one table, co-administered with boosted Lopinavir (LPV/r) (</w:t>
      </w:r>
      <w:proofErr w:type="spellStart"/>
      <w:r w:rsidRPr="00AB6D14">
        <w:rPr>
          <w:rFonts w:ascii="Times New Roman" w:eastAsia="Times New Roman" w:hAnsi="Times New Roman" w:cs="Times New Roman"/>
          <w:sz w:val="24"/>
          <w:szCs w:val="24"/>
        </w:rPr>
        <w:t>Kaletra</w:t>
      </w:r>
      <w:proofErr w:type="spellEnd"/>
      <w:r w:rsidRPr="00AB6D14">
        <w:rPr>
          <w:rFonts w:ascii="Times New Roman" w:eastAsia="Times New Roman" w:hAnsi="Times New Roman" w:cs="Times New Roman"/>
          <w:sz w:val="24"/>
          <w:szCs w:val="24"/>
        </w:rPr>
        <w:t>®). A single dose of 3TC/ZDV contains 150mg of 3TC and 300mg of ZDV, while a dose of LPV/r is made up of 200 mg of LPV co-formulated with 50 mg of ritonavir (r).</w:t>
      </w:r>
    </w:p>
    <w:p w14:paraId="286BB870" w14:textId="77777777" w:rsidR="004D224B" w:rsidRPr="00AB6D14" w:rsidRDefault="004D224B" w:rsidP="000138CA">
      <w:pPr>
        <w:spacing w:after="0" w:line="360" w:lineRule="auto"/>
        <w:contextualSpacing/>
        <w:jc w:val="both"/>
        <w:rPr>
          <w:rFonts w:ascii="Times New Roman" w:eastAsia="Times New Roman" w:hAnsi="Times New Roman" w:cs="Times New Roman"/>
          <w:sz w:val="14"/>
          <w:szCs w:val="24"/>
        </w:rPr>
      </w:pPr>
    </w:p>
    <w:p w14:paraId="478F7C1A" w14:textId="77777777" w:rsidR="004D224B" w:rsidRPr="00AB6D14" w:rsidRDefault="00530944" w:rsidP="000138CA">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sidR="004D224B" w:rsidRPr="00AB6D14">
        <w:rPr>
          <w:rFonts w:ascii="Times New Roman" w:eastAsia="Times New Roman" w:hAnsi="Times New Roman" w:cs="Times New Roman"/>
          <w:b/>
          <w:sz w:val="24"/>
          <w:szCs w:val="24"/>
        </w:rPr>
        <w:t xml:space="preserve">Experimental design </w:t>
      </w:r>
    </w:p>
    <w:p w14:paraId="6698BBFF" w14:textId="77777777" w:rsidR="004D224B" w:rsidRDefault="004D224B"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 total of </w:t>
      </w:r>
      <w:r w:rsidR="000E08EC" w:rsidRPr="00AB6D14">
        <w:rPr>
          <w:rFonts w:ascii="Times New Roman" w:eastAsia="Times New Roman" w:hAnsi="Times New Roman" w:cs="Times New Roman"/>
          <w:sz w:val="24"/>
          <w:szCs w:val="24"/>
        </w:rPr>
        <w:t>thirty-five</w:t>
      </w:r>
      <w:r w:rsidRPr="00AB6D14">
        <w:rPr>
          <w:rFonts w:ascii="Times New Roman" w:eastAsia="Times New Roman" w:hAnsi="Times New Roman" w:cs="Times New Roman"/>
          <w:sz w:val="24"/>
          <w:szCs w:val="24"/>
        </w:rPr>
        <w:t xml:space="preserve"> (35) male albino rats (</w:t>
      </w:r>
      <w:r w:rsidRPr="00AB6D14">
        <w:rPr>
          <w:rFonts w:ascii="Times New Roman" w:eastAsia="Times New Roman" w:hAnsi="Times New Roman" w:cs="Times New Roman"/>
          <w:i/>
          <w:sz w:val="24"/>
          <w:szCs w:val="24"/>
        </w:rPr>
        <w:t xml:space="preserve">Rattus </w:t>
      </w:r>
      <w:proofErr w:type="spellStart"/>
      <w:r w:rsidRPr="00AB6D14">
        <w:rPr>
          <w:rFonts w:ascii="Times New Roman" w:eastAsia="Times New Roman" w:hAnsi="Times New Roman" w:cs="Times New Roman"/>
          <w:i/>
          <w:sz w:val="24"/>
          <w:szCs w:val="24"/>
        </w:rPr>
        <w:t>novegicus</w:t>
      </w:r>
      <w:proofErr w:type="spellEnd"/>
      <w:r w:rsidRPr="00AB6D14">
        <w:rPr>
          <w:rFonts w:ascii="Times New Roman" w:eastAsia="Times New Roman" w:hAnsi="Times New Roman" w:cs="Times New Roman"/>
          <w:sz w:val="24"/>
          <w:szCs w:val="24"/>
        </w:rPr>
        <w:t xml:space="preserve">) of the Wistar strain weighing between two hundred (200) and two hundred and fifty (250) grams were used in the study. The rats were divided into four groups (A, B, C and D). Group A which had five (5) rats served as control. Groups B, C, and D had ten (10) rats each; they were sub-divided into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B</m:t>
            </m:r>
          </m:e>
          <m:sub>
            <m:r>
              <m:rPr>
                <m:sty m:val="p"/>
              </m:rP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oMath>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B</m:t>
            </m:r>
          </m:e>
          <m:sub>
            <m:r>
              <m:rPr>
                <m:sty m:val="p"/>
              </m:rP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oMath>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oMath>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D</m:t>
            </m:r>
          </m:e>
          <m:sub>
            <m:r>
              <m:rPr>
                <m:sty m:val="p"/>
              </m:rPr>
              <w:rPr>
                <w:rFonts w:ascii="Cambria Math" w:eastAsia="Times New Roman" w:hAnsi="Cambria Math" w:cs="Times New Roman"/>
                <w:sz w:val="24"/>
                <w:szCs w:val="24"/>
              </w:rPr>
              <m:t>1</m:t>
            </m:r>
          </m:sub>
        </m:sSub>
      </m:oMath>
      <w:r w:rsidRPr="00AB6D14">
        <w:rPr>
          <w:rFonts w:ascii="Times New Roman" w:eastAsia="Times New Roman" w:hAnsi="Times New Roman" w:cs="Times New Roman"/>
          <w:sz w:val="24"/>
          <w:szCs w:val="24"/>
        </w:rPr>
        <w:t xml:space="preserve"> and</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 xml:space="preserve"> D</m:t>
            </m:r>
          </m:e>
          <m:sub>
            <m: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 This gave a total of seven (7) experimental groups of five (5) animals each. The cages were labeled accordingly and drug administration carried out as follows:</w:t>
      </w:r>
    </w:p>
    <w:p w14:paraId="0C711B94" w14:textId="77777777" w:rsidR="00AB6D14" w:rsidRDefault="00AB6D14" w:rsidP="000138CA">
      <w:pPr>
        <w:spacing w:after="0" w:line="360" w:lineRule="auto"/>
        <w:ind w:firstLine="720"/>
        <w:jc w:val="both"/>
        <w:rPr>
          <w:rFonts w:ascii="Times New Roman" w:eastAsia="Times New Roman" w:hAnsi="Times New Roman" w:cs="Times New Roman"/>
          <w:sz w:val="24"/>
          <w:szCs w:val="24"/>
        </w:rPr>
      </w:pPr>
    </w:p>
    <w:p w14:paraId="6A3BAC7E" w14:textId="77777777" w:rsidR="00AB6D14" w:rsidRDefault="00AB6D14" w:rsidP="000138CA">
      <w:pPr>
        <w:spacing w:after="0" w:line="360" w:lineRule="auto"/>
        <w:ind w:firstLine="720"/>
        <w:jc w:val="both"/>
        <w:rPr>
          <w:rFonts w:ascii="Times New Roman" w:eastAsia="Times New Roman" w:hAnsi="Times New Roman" w:cs="Times New Roman"/>
          <w:sz w:val="24"/>
          <w:szCs w:val="24"/>
        </w:rPr>
      </w:pPr>
    </w:p>
    <w:p w14:paraId="0E5552AA" w14:textId="77777777" w:rsidR="00AB6D14" w:rsidRPr="00AB6D14" w:rsidRDefault="00AB6D14" w:rsidP="000138CA">
      <w:pPr>
        <w:spacing w:after="0" w:line="360" w:lineRule="auto"/>
        <w:ind w:firstLine="720"/>
        <w:jc w:val="both"/>
        <w:rPr>
          <w:rFonts w:ascii="Times New Roman" w:eastAsia="Times New Roman" w:hAnsi="Times New Roman" w:cs="Times New Roman"/>
          <w:sz w:val="24"/>
          <w:szCs w:val="24"/>
        </w:rPr>
      </w:pPr>
    </w:p>
    <w:tbl>
      <w:tblPr>
        <w:tblStyle w:val="TableGrid"/>
        <w:tblW w:w="892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9"/>
        <w:gridCol w:w="1228"/>
        <w:gridCol w:w="6928"/>
      </w:tblGrid>
      <w:tr w:rsidR="004D224B" w:rsidRPr="00AB6D14" w14:paraId="703C54D2" w14:textId="77777777" w:rsidTr="00AB6D14">
        <w:tc>
          <w:tcPr>
            <w:tcW w:w="769" w:type="dxa"/>
            <w:hideMark/>
          </w:tcPr>
          <w:p w14:paraId="7A510504"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S/N</w:t>
            </w:r>
          </w:p>
        </w:tc>
        <w:tc>
          <w:tcPr>
            <w:tcW w:w="1228" w:type="dxa"/>
            <w:hideMark/>
          </w:tcPr>
          <w:p w14:paraId="113A72AD"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Groups</w:t>
            </w:r>
          </w:p>
        </w:tc>
        <w:tc>
          <w:tcPr>
            <w:tcW w:w="6928" w:type="dxa"/>
            <w:hideMark/>
          </w:tcPr>
          <w:p w14:paraId="0A4E1305" w14:textId="77777777" w:rsidR="004D224B" w:rsidRPr="00AB6D14" w:rsidRDefault="004D224B" w:rsidP="002C3546">
            <w:pPr>
              <w:jc w:val="both"/>
              <w:rPr>
                <w:rFonts w:ascii="Times New Roman" w:hAnsi="Times New Roman"/>
                <w:sz w:val="24"/>
                <w:szCs w:val="24"/>
              </w:rPr>
            </w:pPr>
            <w:r w:rsidRPr="00AB6D14">
              <w:rPr>
                <w:rFonts w:ascii="Times New Roman" w:hAnsi="Times New Roman"/>
                <w:sz w:val="24"/>
                <w:szCs w:val="24"/>
              </w:rPr>
              <w:t>Specification</w:t>
            </w:r>
          </w:p>
        </w:tc>
      </w:tr>
      <w:tr w:rsidR="004D224B" w:rsidRPr="00AB6D14" w14:paraId="5FA7DC78" w14:textId="77777777" w:rsidTr="00AB6D14">
        <w:tc>
          <w:tcPr>
            <w:tcW w:w="769" w:type="dxa"/>
            <w:hideMark/>
          </w:tcPr>
          <w:p w14:paraId="558EEA5C" w14:textId="77777777" w:rsidR="004D224B" w:rsidRPr="00AB6D14" w:rsidRDefault="004D224B" w:rsidP="000138CA">
            <w:pPr>
              <w:spacing w:line="360" w:lineRule="auto"/>
              <w:jc w:val="both"/>
              <w:rPr>
                <w:rFonts w:ascii="Times New Roman" w:hAnsi="Times New Roman"/>
                <w:b/>
                <w:sz w:val="24"/>
                <w:szCs w:val="24"/>
              </w:rPr>
            </w:pPr>
            <w:r w:rsidRPr="00AB6D14">
              <w:rPr>
                <w:rFonts w:ascii="Times New Roman" w:hAnsi="Times New Roman"/>
                <w:sz w:val="24"/>
                <w:szCs w:val="24"/>
              </w:rPr>
              <w:t>I</w:t>
            </w:r>
          </w:p>
        </w:tc>
        <w:tc>
          <w:tcPr>
            <w:tcW w:w="1228" w:type="dxa"/>
            <w:hideMark/>
          </w:tcPr>
          <w:p w14:paraId="66C19ED1" w14:textId="77777777" w:rsidR="004D224B" w:rsidRPr="00AB6D14" w:rsidRDefault="004D224B" w:rsidP="000138CA">
            <w:pPr>
              <w:spacing w:line="360" w:lineRule="auto"/>
              <w:jc w:val="center"/>
              <w:rPr>
                <w:rFonts w:ascii="Times New Roman" w:hAnsi="Times New Roman"/>
                <w:b/>
                <w:sz w:val="24"/>
                <w:szCs w:val="24"/>
              </w:rPr>
            </w:pPr>
            <w:r w:rsidRPr="00AB6D14">
              <w:rPr>
                <w:rFonts w:ascii="Times New Roman" w:hAnsi="Times New Roman"/>
                <w:sz w:val="24"/>
                <w:szCs w:val="24"/>
              </w:rPr>
              <w:t>A</w:t>
            </w:r>
          </w:p>
        </w:tc>
        <w:tc>
          <w:tcPr>
            <w:tcW w:w="6928" w:type="dxa"/>
          </w:tcPr>
          <w:p w14:paraId="2CF69823"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Normal animal fed with rat pellets and distilled water, received no treatment.</w:t>
            </w:r>
          </w:p>
          <w:p w14:paraId="0B3732E3" w14:textId="77777777" w:rsidR="004D224B" w:rsidRPr="00AB6D14" w:rsidRDefault="004D224B" w:rsidP="002C3546">
            <w:pPr>
              <w:rPr>
                <w:rFonts w:ascii="Times New Roman" w:hAnsi="Times New Roman"/>
                <w:b/>
                <w:sz w:val="12"/>
                <w:szCs w:val="24"/>
              </w:rPr>
            </w:pPr>
          </w:p>
        </w:tc>
      </w:tr>
      <w:tr w:rsidR="004D224B" w:rsidRPr="00AB6D14" w14:paraId="535A0919" w14:textId="77777777" w:rsidTr="00AB6D14">
        <w:tc>
          <w:tcPr>
            <w:tcW w:w="769" w:type="dxa"/>
            <w:hideMark/>
          </w:tcPr>
          <w:p w14:paraId="45C1D5AA"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II</w:t>
            </w:r>
          </w:p>
        </w:tc>
        <w:tc>
          <w:tcPr>
            <w:tcW w:w="1228" w:type="dxa"/>
            <w:hideMark/>
          </w:tcPr>
          <w:p w14:paraId="382EAE14"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B</w:t>
            </w:r>
            <w:r w:rsidRPr="00AB6D14">
              <w:rPr>
                <w:rFonts w:ascii="Times New Roman" w:hAnsi="Times New Roman"/>
                <w:sz w:val="24"/>
                <w:szCs w:val="24"/>
                <w:vertAlign w:val="subscript"/>
              </w:rPr>
              <w:t>1</w:t>
            </w:r>
          </w:p>
        </w:tc>
        <w:tc>
          <w:tcPr>
            <w:tcW w:w="6928" w:type="dxa"/>
          </w:tcPr>
          <w:p w14:paraId="71D90E81"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fifteen (15) days.</w:t>
            </w:r>
          </w:p>
          <w:p w14:paraId="2F0E5184" w14:textId="77777777" w:rsidR="004D224B" w:rsidRPr="00AB6D14" w:rsidRDefault="004D224B" w:rsidP="002C3546">
            <w:pPr>
              <w:rPr>
                <w:rFonts w:ascii="Times New Roman" w:hAnsi="Times New Roman"/>
                <w:sz w:val="12"/>
                <w:szCs w:val="24"/>
              </w:rPr>
            </w:pPr>
          </w:p>
        </w:tc>
      </w:tr>
      <w:tr w:rsidR="004D224B" w:rsidRPr="00AB6D14" w14:paraId="4536DE0C" w14:textId="77777777" w:rsidTr="00AB6D14">
        <w:tc>
          <w:tcPr>
            <w:tcW w:w="769" w:type="dxa"/>
            <w:hideMark/>
          </w:tcPr>
          <w:p w14:paraId="401BDD3F"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III</w:t>
            </w:r>
          </w:p>
        </w:tc>
        <w:tc>
          <w:tcPr>
            <w:tcW w:w="1228" w:type="dxa"/>
            <w:hideMark/>
          </w:tcPr>
          <w:p w14:paraId="08039993"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B</w:t>
            </w:r>
            <w:r w:rsidRPr="00AB6D14">
              <w:rPr>
                <w:rFonts w:ascii="Times New Roman" w:hAnsi="Times New Roman"/>
                <w:sz w:val="24"/>
                <w:szCs w:val="24"/>
                <w:vertAlign w:val="subscript"/>
              </w:rPr>
              <w:t>2</w:t>
            </w:r>
          </w:p>
        </w:tc>
        <w:tc>
          <w:tcPr>
            <w:tcW w:w="6928" w:type="dxa"/>
          </w:tcPr>
          <w:p w14:paraId="0D274E28"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thirty (30) days.</w:t>
            </w:r>
          </w:p>
          <w:p w14:paraId="37EE1F63" w14:textId="77777777" w:rsidR="004D224B" w:rsidRPr="00AB6D14" w:rsidRDefault="004D224B" w:rsidP="002C3546">
            <w:pPr>
              <w:rPr>
                <w:rFonts w:ascii="Times New Roman" w:hAnsi="Times New Roman"/>
                <w:sz w:val="10"/>
                <w:szCs w:val="24"/>
              </w:rPr>
            </w:pPr>
          </w:p>
        </w:tc>
      </w:tr>
      <w:tr w:rsidR="004D224B" w:rsidRPr="00AB6D14" w14:paraId="4AE7A0A2" w14:textId="77777777" w:rsidTr="00AB6D14">
        <w:tc>
          <w:tcPr>
            <w:tcW w:w="769" w:type="dxa"/>
            <w:hideMark/>
          </w:tcPr>
          <w:p w14:paraId="64F15E54"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IV</w:t>
            </w:r>
          </w:p>
        </w:tc>
        <w:tc>
          <w:tcPr>
            <w:tcW w:w="1228" w:type="dxa"/>
            <w:hideMark/>
          </w:tcPr>
          <w:p w14:paraId="1ABCB2E8"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C</w:t>
            </w:r>
            <w:r w:rsidRPr="00AB6D14">
              <w:rPr>
                <w:rFonts w:ascii="Times New Roman" w:hAnsi="Times New Roman"/>
                <w:sz w:val="24"/>
                <w:szCs w:val="24"/>
                <w:vertAlign w:val="subscript"/>
              </w:rPr>
              <w:t>1</w:t>
            </w:r>
          </w:p>
        </w:tc>
        <w:tc>
          <w:tcPr>
            <w:tcW w:w="6928" w:type="dxa"/>
          </w:tcPr>
          <w:p w14:paraId="54282175"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fifteen (15) days.</w:t>
            </w:r>
          </w:p>
          <w:p w14:paraId="229861AB" w14:textId="77777777" w:rsidR="004D224B" w:rsidRPr="00AB6D14" w:rsidRDefault="004D224B" w:rsidP="002C3546">
            <w:pPr>
              <w:rPr>
                <w:rFonts w:ascii="Times New Roman" w:hAnsi="Times New Roman"/>
                <w:sz w:val="10"/>
                <w:szCs w:val="24"/>
              </w:rPr>
            </w:pPr>
          </w:p>
        </w:tc>
      </w:tr>
      <w:tr w:rsidR="004D224B" w:rsidRPr="00AB6D14" w14:paraId="6A671CA0" w14:textId="77777777" w:rsidTr="00AB6D14">
        <w:tc>
          <w:tcPr>
            <w:tcW w:w="769" w:type="dxa"/>
            <w:hideMark/>
          </w:tcPr>
          <w:p w14:paraId="330A3394"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V</w:t>
            </w:r>
          </w:p>
        </w:tc>
        <w:tc>
          <w:tcPr>
            <w:tcW w:w="1228" w:type="dxa"/>
            <w:hideMark/>
          </w:tcPr>
          <w:p w14:paraId="29698E9B"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C</w:t>
            </w:r>
            <w:r w:rsidRPr="00AB6D14">
              <w:rPr>
                <w:rFonts w:ascii="Times New Roman" w:hAnsi="Times New Roman"/>
                <w:sz w:val="24"/>
                <w:szCs w:val="24"/>
                <w:vertAlign w:val="subscript"/>
              </w:rPr>
              <w:t>2</w:t>
            </w:r>
          </w:p>
        </w:tc>
        <w:tc>
          <w:tcPr>
            <w:tcW w:w="6928" w:type="dxa"/>
          </w:tcPr>
          <w:p w14:paraId="5190A1FB"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thirty (30) days.</w:t>
            </w:r>
          </w:p>
          <w:p w14:paraId="34A2F393" w14:textId="77777777" w:rsidR="004D224B" w:rsidRPr="00AB6D14" w:rsidRDefault="004D224B" w:rsidP="002C3546">
            <w:pPr>
              <w:rPr>
                <w:rFonts w:ascii="Times New Roman" w:hAnsi="Times New Roman"/>
                <w:sz w:val="10"/>
                <w:szCs w:val="24"/>
              </w:rPr>
            </w:pPr>
          </w:p>
        </w:tc>
      </w:tr>
      <w:tr w:rsidR="004D224B" w:rsidRPr="00AB6D14" w14:paraId="62A34768" w14:textId="77777777" w:rsidTr="00AB6D14">
        <w:tc>
          <w:tcPr>
            <w:tcW w:w="769" w:type="dxa"/>
            <w:hideMark/>
          </w:tcPr>
          <w:p w14:paraId="10C2183E"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VI</w:t>
            </w:r>
          </w:p>
        </w:tc>
        <w:tc>
          <w:tcPr>
            <w:tcW w:w="1228" w:type="dxa"/>
            <w:hideMark/>
          </w:tcPr>
          <w:p w14:paraId="0128CE81"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D</w:t>
            </w:r>
            <w:r w:rsidRPr="00AB6D14">
              <w:rPr>
                <w:rFonts w:ascii="Times New Roman" w:hAnsi="Times New Roman"/>
                <w:sz w:val="24"/>
                <w:szCs w:val="24"/>
                <w:vertAlign w:val="subscript"/>
              </w:rPr>
              <w:t>1</w:t>
            </w:r>
          </w:p>
        </w:tc>
        <w:tc>
          <w:tcPr>
            <w:tcW w:w="6928" w:type="dxa"/>
          </w:tcPr>
          <w:p w14:paraId="1586E563" w14:textId="77777777" w:rsidR="004D224B"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thirty (30)) days, then switched to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fifteen (15) days (a total of 45 days).</w:t>
            </w:r>
          </w:p>
          <w:p w14:paraId="731AB51E" w14:textId="77777777" w:rsidR="004D224B" w:rsidRPr="00AB6D14" w:rsidRDefault="004D224B" w:rsidP="002C3546">
            <w:pPr>
              <w:rPr>
                <w:rFonts w:ascii="Times New Roman" w:hAnsi="Times New Roman"/>
                <w:sz w:val="4"/>
                <w:szCs w:val="24"/>
              </w:rPr>
            </w:pPr>
          </w:p>
        </w:tc>
      </w:tr>
      <w:tr w:rsidR="004D224B" w:rsidRPr="00AB6D14" w14:paraId="1BA66A13" w14:textId="77777777" w:rsidTr="00AB6D14">
        <w:tc>
          <w:tcPr>
            <w:tcW w:w="769" w:type="dxa"/>
            <w:hideMark/>
          </w:tcPr>
          <w:p w14:paraId="2CF73A9F" w14:textId="77777777" w:rsidR="004D224B" w:rsidRPr="00AB6D14" w:rsidRDefault="004D224B" w:rsidP="000138CA">
            <w:pPr>
              <w:spacing w:line="360" w:lineRule="auto"/>
              <w:jc w:val="both"/>
              <w:rPr>
                <w:rFonts w:ascii="Times New Roman" w:hAnsi="Times New Roman"/>
                <w:sz w:val="24"/>
                <w:szCs w:val="24"/>
              </w:rPr>
            </w:pPr>
            <w:r w:rsidRPr="00AB6D14">
              <w:rPr>
                <w:rFonts w:ascii="Times New Roman" w:hAnsi="Times New Roman"/>
                <w:sz w:val="24"/>
                <w:szCs w:val="24"/>
              </w:rPr>
              <w:t>VII</w:t>
            </w:r>
          </w:p>
        </w:tc>
        <w:tc>
          <w:tcPr>
            <w:tcW w:w="1228" w:type="dxa"/>
            <w:hideMark/>
          </w:tcPr>
          <w:p w14:paraId="2390B770" w14:textId="77777777" w:rsidR="004D224B" w:rsidRPr="00AB6D14" w:rsidRDefault="004D224B" w:rsidP="000138CA">
            <w:pPr>
              <w:spacing w:line="360" w:lineRule="auto"/>
              <w:jc w:val="center"/>
              <w:rPr>
                <w:rFonts w:ascii="Times New Roman" w:hAnsi="Times New Roman"/>
                <w:sz w:val="24"/>
                <w:szCs w:val="24"/>
              </w:rPr>
            </w:pPr>
            <w:r w:rsidRPr="00AB6D14">
              <w:rPr>
                <w:rFonts w:ascii="Times New Roman" w:hAnsi="Times New Roman"/>
                <w:sz w:val="24"/>
                <w:szCs w:val="24"/>
              </w:rPr>
              <w:t>D</w:t>
            </w:r>
            <w:r w:rsidRPr="00AB6D14">
              <w:rPr>
                <w:rFonts w:ascii="Times New Roman" w:hAnsi="Times New Roman"/>
                <w:sz w:val="24"/>
                <w:szCs w:val="24"/>
                <w:vertAlign w:val="subscript"/>
              </w:rPr>
              <w:t>2</w:t>
            </w:r>
          </w:p>
        </w:tc>
        <w:tc>
          <w:tcPr>
            <w:tcW w:w="6928" w:type="dxa"/>
            <w:hideMark/>
          </w:tcPr>
          <w:p w14:paraId="01D9F6B8" w14:textId="77777777" w:rsidR="000E08EC" w:rsidRPr="00AB6D14" w:rsidRDefault="004D224B" w:rsidP="002C3546">
            <w:pPr>
              <w:rPr>
                <w:rFonts w:ascii="Times New Roman" w:hAnsi="Times New Roman"/>
                <w:sz w:val="24"/>
                <w:szCs w:val="24"/>
              </w:rPr>
            </w:pPr>
            <w:r w:rsidRPr="00AB6D14">
              <w:rPr>
                <w:rFonts w:ascii="Times New Roman" w:hAnsi="Times New Roman"/>
                <w:sz w:val="24"/>
                <w:szCs w:val="24"/>
              </w:rPr>
              <w:t>Received 17.14mg/kg/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/24h of fixed-dose 3TC/TDF/EFV as first line regimen for thirty (30) days, then switch to 6.43mg/kg/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fixed-dose 3TC/ZDV + 3.57mg/kg/</w:t>
            </w:r>
            <w:proofErr w:type="spellStart"/>
            <w:r w:rsidRPr="00AB6D14">
              <w:rPr>
                <w:rFonts w:ascii="Times New Roman" w:hAnsi="Times New Roman"/>
                <w:sz w:val="24"/>
                <w:szCs w:val="24"/>
              </w:rPr>
              <w:t>bwt</w:t>
            </w:r>
            <w:proofErr w:type="spellEnd"/>
            <w:r w:rsidRPr="00AB6D14">
              <w:rPr>
                <w:rFonts w:ascii="Times New Roman" w:hAnsi="Times New Roman"/>
                <w:sz w:val="24"/>
                <w:szCs w:val="24"/>
              </w:rPr>
              <w:t>/12h of LPV/r as second line regimen for another thirty (30) days (a total of 60 days).</w:t>
            </w:r>
          </w:p>
          <w:p w14:paraId="21DA98B5" w14:textId="77777777" w:rsidR="000E08EC" w:rsidRPr="00AB6D14" w:rsidRDefault="000E08EC" w:rsidP="002C3546">
            <w:pPr>
              <w:rPr>
                <w:rFonts w:ascii="Times New Roman" w:hAnsi="Times New Roman"/>
                <w:sz w:val="24"/>
                <w:szCs w:val="24"/>
              </w:rPr>
            </w:pPr>
          </w:p>
          <w:p w14:paraId="5A212382" w14:textId="77777777" w:rsidR="000E08EC" w:rsidRPr="00AB6D14" w:rsidRDefault="000E08EC" w:rsidP="002C3546">
            <w:pPr>
              <w:rPr>
                <w:rFonts w:ascii="Times New Roman" w:hAnsi="Times New Roman"/>
                <w:sz w:val="24"/>
                <w:szCs w:val="24"/>
              </w:rPr>
            </w:pPr>
            <w:r w:rsidRPr="00AB6D14">
              <w:rPr>
                <w:rFonts w:ascii="Times New Roman" w:hAnsi="Times New Roman"/>
                <w:sz w:val="24"/>
                <w:szCs w:val="24"/>
              </w:rPr>
              <w:t xml:space="preserve">Note: </w:t>
            </w:r>
            <w:proofErr w:type="spellStart"/>
            <w:r w:rsidRPr="00AB6D14">
              <w:rPr>
                <w:rFonts w:ascii="Times New Roman" w:hAnsi="Times New Roman"/>
                <w:sz w:val="24"/>
                <w:szCs w:val="24"/>
              </w:rPr>
              <w:t>Bw</w:t>
            </w:r>
            <w:proofErr w:type="spellEnd"/>
            <w:r w:rsidRPr="00AB6D14">
              <w:rPr>
                <w:rFonts w:ascii="Times New Roman" w:hAnsi="Times New Roman"/>
                <w:sz w:val="24"/>
                <w:szCs w:val="24"/>
              </w:rPr>
              <w:t>= Body weight</w:t>
            </w:r>
          </w:p>
          <w:p w14:paraId="445C1535" w14:textId="77777777" w:rsidR="000E08EC" w:rsidRPr="00AB6D14" w:rsidRDefault="000E08EC" w:rsidP="002C3546">
            <w:pPr>
              <w:rPr>
                <w:rFonts w:ascii="Times New Roman" w:hAnsi="Times New Roman"/>
                <w:sz w:val="24"/>
                <w:szCs w:val="24"/>
              </w:rPr>
            </w:pPr>
          </w:p>
        </w:tc>
      </w:tr>
    </w:tbl>
    <w:p w14:paraId="5A4009E2" w14:textId="77777777" w:rsidR="002E7836" w:rsidRPr="00AB6D14" w:rsidRDefault="002E7836" w:rsidP="000E08EC">
      <w:pPr>
        <w:spacing w:after="0" w:line="360" w:lineRule="auto"/>
        <w:jc w:val="both"/>
        <w:rPr>
          <w:rFonts w:ascii="Times New Roman" w:eastAsia="Times New Roman" w:hAnsi="Times New Roman" w:cs="Times New Roman"/>
          <w:sz w:val="24"/>
          <w:szCs w:val="24"/>
        </w:rPr>
      </w:pPr>
    </w:p>
    <w:p w14:paraId="65C7F8AB" w14:textId="77777777" w:rsidR="006D1E59"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6D1E59" w:rsidRPr="00AB6D14">
        <w:rPr>
          <w:rFonts w:ascii="Times New Roman" w:eastAsia="Times New Roman" w:hAnsi="Times New Roman" w:cs="Times New Roman"/>
          <w:b/>
          <w:sz w:val="24"/>
          <w:szCs w:val="24"/>
        </w:rPr>
        <w:t xml:space="preserve">Preparation of Stock Solution </w:t>
      </w:r>
    </w:p>
    <w:p w14:paraId="439BA298"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Drugs used in the study were all presented in tablet form. Therapeutic dosage of the drugs for human adult weighing seventy (70) kg were 1200 mg of fixed-dose EFV/3TC/TDF; 450 mg of fixed-dose 3TC/ZDV and 250 mg of LPV/r respectively. To obtain the corresponding therapeutic dosage for the rat models one tablet each of 3TC/TDF/EFV (1200 mg) and 3TC/ZDV (450 mg) were crushed with pestle and mortar, dissolved in 100ml of distilled water to get stock solution of concentration of 12 mg/ml and 4.5 mg/ml respectively. Equally, two tables of LPV/r (500 mg of 250 mg each) were crushed and dissolved in 100ml of distilled water to give a concentration of 5.0 mg/ml. required dosage for each of the rats were calculated based on the body weight then measured as aliquot and administered to the animals through oral intubation. </w:t>
      </w:r>
    </w:p>
    <w:p w14:paraId="44B97F54"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p>
    <w:p w14:paraId="1B5698C1" w14:textId="77777777" w:rsidR="00AB6D14" w:rsidRDefault="00AB6D14" w:rsidP="000138CA">
      <w:pPr>
        <w:spacing w:after="0" w:line="360" w:lineRule="auto"/>
        <w:contextualSpacing/>
        <w:jc w:val="both"/>
        <w:rPr>
          <w:rFonts w:ascii="Times New Roman" w:eastAsia="Times New Roman" w:hAnsi="Times New Roman" w:cs="Times New Roman"/>
          <w:b/>
          <w:sz w:val="24"/>
          <w:szCs w:val="24"/>
        </w:rPr>
      </w:pPr>
    </w:p>
    <w:p w14:paraId="642ED26B" w14:textId="77777777" w:rsidR="00AB6D14" w:rsidRDefault="00AB6D14" w:rsidP="000138CA">
      <w:pPr>
        <w:spacing w:after="0" w:line="360" w:lineRule="auto"/>
        <w:contextualSpacing/>
        <w:jc w:val="both"/>
        <w:rPr>
          <w:rFonts w:ascii="Times New Roman" w:eastAsia="Times New Roman" w:hAnsi="Times New Roman" w:cs="Times New Roman"/>
          <w:b/>
          <w:sz w:val="24"/>
          <w:szCs w:val="24"/>
        </w:rPr>
      </w:pPr>
    </w:p>
    <w:p w14:paraId="734B3673" w14:textId="77777777" w:rsidR="006D1E59"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w:t>
      </w:r>
      <w:r w:rsidR="006D1E59" w:rsidRPr="00AB6D14">
        <w:rPr>
          <w:rFonts w:ascii="Times New Roman" w:eastAsia="Times New Roman" w:hAnsi="Times New Roman" w:cs="Times New Roman"/>
          <w:b/>
          <w:sz w:val="24"/>
          <w:szCs w:val="24"/>
        </w:rPr>
        <w:t>Collection of Blood Sample, Preparation of sera and Tissue Sample</w:t>
      </w:r>
    </w:p>
    <w:p w14:paraId="2774C2FA"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At the end of administration period (15, 30, 45 and 60 days), the experimental animals were fasted overnight and anaesthetized by dropping each in a transparent glass jar saturated with chloroform fumes. Blood sample was collected from each animal by cardiac puncture after dissection using sterile needles and syringes into a labeled sample bottle. Sample from each animal were emptied into plain sample bottles and centrifuged at 3000 rpm for 10 minutes using a bench top centrifuge. The serum collected was preserved in the refrigerator for biochemical analysis which was carried out promptly. </w:t>
      </w:r>
    </w:p>
    <w:p w14:paraId="4568CB8F" w14:textId="77777777" w:rsidR="006D1E59" w:rsidRPr="00AB6D14" w:rsidRDefault="006D1E59" w:rsidP="000138CA">
      <w:pPr>
        <w:spacing w:after="0" w:line="360" w:lineRule="auto"/>
        <w:contextualSpacing/>
        <w:jc w:val="both"/>
        <w:rPr>
          <w:rFonts w:ascii="Times New Roman" w:eastAsia="Times New Roman" w:hAnsi="Times New Roman" w:cs="Times New Roman"/>
          <w:b/>
          <w:sz w:val="8"/>
          <w:szCs w:val="24"/>
        </w:rPr>
      </w:pPr>
    </w:p>
    <w:bookmarkEnd w:id="6"/>
    <w:p w14:paraId="60560583" w14:textId="77777777" w:rsidR="006D1E59"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2.5 </w:t>
      </w:r>
      <w:r w:rsidR="006D1E59" w:rsidRPr="00AB6D14">
        <w:rPr>
          <w:rFonts w:ascii="Times New Roman" w:eastAsia="Times New Roman" w:hAnsi="Times New Roman" w:cs="Times New Roman"/>
          <w:b/>
          <w:sz w:val="24"/>
          <w:szCs w:val="24"/>
        </w:rPr>
        <w:t>Biochemical Analysis</w:t>
      </w:r>
    </w:p>
    <w:p w14:paraId="5F1E6740"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Sera obtained after centrifugation were used in the assessment of the following biochemical parameters viz: activities of hepatic enzymes (ALT, AST, and ALP); renal indices (urea and creatinine); serum electrolytes (sodium, potassium, chloride and bicarbonate).</w:t>
      </w:r>
    </w:p>
    <w:p w14:paraId="2C6BFB56" w14:textId="77777777" w:rsidR="006D1E59" w:rsidRPr="00AB6D14" w:rsidRDefault="006D1E59"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ALT and AST activities were determined using the method modified and recommended by International Federation of Clinical Chemistry, IFCC (1986). In the reaction, ALT catalyzes the reversible transamination of L-alanine and a-ketoglutarate to pyruvate and L-glutamate. The pyruvate is then reduced to lactate in the presence of lactate dehydrogenase (LDH) with the concurrent oxidation of NADH to NAD.</w:t>
      </w:r>
    </w:p>
    <w:p w14:paraId="4595DA19" w14:textId="77777777" w:rsidR="00E1387E" w:rsidRPr="00AB6D14" w:rsidRDefault="00E1387E" w:rsidP="000138CA">
      <w:pPr>
        <w:spacing w:after="0" w:line="360" w:lineRule="auto"/>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1408A94B" wp14:editId="2B535D84">
                <wp:simplePos x="0" y="0"/>
                <wp:positionH relativeFrom="column">
                  <wp:posOffset>1799248</wp:posOffset>
                </wp:positionH>
                <wp:positionV relativeFrom="paragraph">
                  <wp:posOffset>3810</wp:posOffset>
                </wp:positionV>
                <wp:extent cx="762000" cy="282575"/>
                <wp:effectExtent l="0" t="0" r="57150" b="22225"/>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2"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99CAF" w14:textId="77777777" w:rsidR="00530944" w:rsidRDefault="00530944" w:rsidP="00E1387E">
                              <w:pPr>
                                <w:jc w:val="center"/>
                                <w:rPr>
                                  <w:rFonts w:ascii="Times New Roman" w:hAnsi="Times New Roman"/>
                                  <w:sz w:val="24"/>
                                  <w:szCs w:val="24"/>
                                </w:rPr>
                              </w:pPr>
                              <w:r>
                                <w:rPr>
                                  <w:rFonts w:ascii="Times New Roman" w:hAnsi="Times New Roman"/>
                                  <w:sz w:val="24"/>
                                  <w:szCs w:val="24"/>
                                </w:rPr>
                                <w:t>ALT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A94B" id="Group 27" o:spid="_x0000_s1026" style="position:absolute;margin-left:141.65pt;margin-top:.3pt;width:60pt;height:22.25pt;z-index:251663360"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">
                <v:shapetype id="_x0000_t32" coordsize="21600,21600" o:spt="32" o:oned="t" path="m,l21600,21600e" filled="f">
                  <v:path arrowok="t" fillok="f" o:connecttype="none"/>
                  <o:lock v:ext="edit" shapetype="t"/>
                </v:shapetype>
                <v:shape id="AutoShape 28" o:spid="_x0000_s1027"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rect id="Rectangle 29" o:spid="_x0000_s1028"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7BD99CAF" w14:textId="77777777" w:rsidR="00530944" w:rsidRDefault="00530944" w:rsidP="00E1387E">
                        <w:pPr>
                          <w:jc w:val="center"/>
                          <w:rPr>
                            <w:rFonts w:ascii="Times New Roman" w:hAnsi="Times New Roman"/>
                            <w:sz w:val="24"/>
                            <w:szCs w:val="24"/>
                          </w:rPr>
                        </w:pPr>
                        <w:r>
                          <w:rPr>
                            <w:rFonts w:ascii="Times New Roman" w:hAnsi="Times New Roman"/>
                            <w:sz w:val="24"/>
                            <w:szCs w:val="24"/>
                          </w:rPr>
                          <w:t>ALT</w:t>
                        </w:r>
                      </w:p>
                    </w:txbxContent>
                  </v:textbox>
                </v:rect>
              </v:group>
            </w:pict>
          </mc:Fallback>
        </mc:AlternateContent>
      </w: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38375E6E" wp14:editId="3F2E74C2">
                <wp:simplePos x="0" y="0"/>
                <wp:positionH relativeFrom="column">
                  <wp:posOffset>1778000</wp:posOffset>
                </wp:positionH>
                <wp:positionV relativeFrom="paragraph">
                  <wp:posOffset>318135</wp:posOffset>
                </wp:positionV>
                <wp:extent cx="762000" cy="282575"/>
                <wp:effectExtent l="6350" t="3810" r="22225" b="0"/>
                <wp:wrapNone/>
                <wp:docPr id="10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106"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2B2CA" w14:textId="77777777" w:rsidR="00530944" w:rsidRDefault="00530944" w:rsidP="00E1387E">
                              <w:pPr>
                                <w:jc w:val="center"/>
                                <w:rPr>
                                  <w:rFonts w:ascii="Times New Roman" w:hAnsi="Times New Roman"/>
                                  <w:sz w:val="24"/>
                                  <w:szCs w:val="24"/>
                                </w:rPr>
                              </w:pPr>
                              <w:r>
                                <w:rPr>
                                  <w:rFonts w:ascii="Times New Roman" w:hAnsi="Times New Roman"/>
                                  <w:sz w:val="24"/>
                                  <w:szCs w:val="24"/>
                                </w:rPr>
                                <w:t>LDH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75E6E" id="_x0000_s1029" style="position:absolute;margin-left:140pt;margin-top:25.05pt;width:60pt;height:22.25pt;z-index:251661312"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">
                <v:shape id="AutoShape 28" o:spid="_x0000_s1030"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rect id="Rectangle 29" o:spid="_x0000_s1031"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" filled="f" stroked="f">
                  <v:textbox>
                    <w:txbxContent>
                      <w:p w14:paraId="1252B2CA" w14:textId="77777777" w:rsidR="00530944" w:rsidRDefault="00530944" w:rsidP="00E1387E">
                        <w:pPr>
                          <w:jc w:val="center"/>
                          <w:rPr>
                            <w:rFonts w:ascii="Times New Roman" w:hAnsi="Times New Roman"/>
                            <w:sz w:val="24"/>
                            <w:szCs w:val="24"/>
                          </w:rPr>
                        </w:pPr>
                        <w:r>
                          <w:rPr>
                            <w:rFonts w:ascii="Times New Roman" w:hAnsi="Times New Roman"/>
                            <w:sz w:val="24"/>
                            <w:szCs w:val="24"/>
                          </w:rPr>
                          <w:t>LDH</w:t>
                        </w:r>
                      </w:p>
                    </w:txbxContent>
                  </v:textbox>
                </v:rect>
              </v:group>
            </w:pict>
          </mc:Fallback>
        </mc:AlternateContent>
      </w:r>
      <w:r w:rsidRPr="00AB6D14">
        <w:rPr>
          <w:rFonts w:ascii="Times New Roman" w:eastAsia="Times New Roman" w:hAnsi="Times New Roman" w:cs="Times New Roman"/>
          <w:sz w:val="24"/>
          <w:szCs w:val="24"/>
        </w:rPr>
        <w:t>L-alanine + a-ketoglutarate</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Pyruvate + L-glutamate </w:t>
      </w:r>
    </w:p>
    <w:p w14:paraId="20DCD257" w14:textId="77777777" w:rsidR="00E1387E" w:rsidRPr="00AB6D14" w:rsidRDefault="00E1387E" w:rsidP="000138CA">
      <w:pPr>
        <w:spacing w:after="0" w:line="360" w:lineRule="auto"/>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Pyruvate + NADH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H</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L-lactate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m:t>
            </m:r>
          </m:e>
          <m:sup>
            <m:r>
              <m:rPr>
                <m:sty m:val="p"/>
              </m:rPr>
              <w:rPr>
                <w:rFonts w:ascii="Cambria Math" w:eastAsia="Times New Roman" w:hAnsi="Cambria Math" w:cs="Times New Roman"/>
                <w:sz w:val="24"/>
                <w:szCs w:val="24"/>
              </w:rPr>
              <m:t>+</m:t>
            </m:r>
          </m:sup>
        </m:sSup>
      </m:oMath>
    </w:p>
    <w:p w14:paraId="527E249A" w14:textId="77777777" w:rsidR="00E1387E" w:rsidRPr="00AB6D14" w:rsidRDefault="00E1387E" w:rsidP="000138CA">
      <w:pPr>
        <w:spacing w:after="0" w:line="360" w:lineRule="auto"/>
        <w:ind w:firstLine="720"/>
        <w:jc w:val="both"/>
        <w:rPr>
          <w:rFonts w:ascii="Times New Roman" w:eastAsia="Times New Roman" w:hAnsi="Times New Roman" w:cs="Times New Roman"/>
          <w:sz w:val="24"/>
          <w:szCs w:val="24"/>
        </w:rPr>
      </w:pPr>
    </w:p>
    <w:p w14:paraId="4C4F0F59" w14:textId="77777777" w:rsidR="00E1387E" w:rsidRPr="00AB6D14" w:rsidRDefault="00E1387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7442054C" wp14:editId="23D2381C">
                <wp:simplePos x="0" y="0"/>
                <wp:positionH relativeFrom="column">
                  <wp:posOffset>1333500</wp:posOffset>
                </wp:positionH>
                <wp:positionV relativeFrom="paragraph">
                  <wp:posOffset>1649893</wp:posOffset>
                </wp:positionV>
                <wp:extent cx="762000" cy="282575"/>
                <wp:effectExtent l="0" t="0" r="57150" b="22225"/>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5"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C8BBE" w14:textId="77777777" w:rsidR="00530944" w:rsidRDefault="00530944" w:rsidP="00E1387E">
                              <w:pPr>
                                <w:rPr>
                                  <w:rFonts w:ascii="Times New Roman" w:hAnsi="Times New Roman"/>
                                  <w:sz w:val="24"/>
                                  <w:szCs w:val="24"/>
                                </w:rPr>
                              </w:pPr>
                              <w:r>
                                <w:rPr>
                                  <w:rFonts w:ascii="Times New Roman" w:hAnsi="Times New Roman"/>
                                  <w:sz w:val="24"/>
                                  <w:szCs w:val="24"/>
                                </w:rPr>
                                <w:t>ALP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2054C" id="_x0000_s1032" style="position:absolute;left:0;text-align:left;margin-left:105pt;margin-top:129.9pt;width:60pt;height:22.25pt;z-index:251665408"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">
                <v:shape id="AutoShape 28" o:spid="_x0000_s1033"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29" o:spid="_x0000_s1034"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textbox>
                    <w:txbxContent>
                      <w:p w14:paraId="183C8BBE" w14:textId="77777777" w:rsidR="00530944" w:rsidRDefault="00530944" w:rsidP="00E1387E">
                        <w:pPr>
                          <w:rPr>
                            <w:rFonts w:ascii="Times New Roman" w:hAnsi="Times New Roman"/>
                            <w:sz w:val="24"/>
                            <w:szCs w:val="24"/>
                          </w:rPr>
                        </w:pPr>
                        <w:r>
                          <w:rPr>
                            <w:rFonts w:ascii="Times New Roman" w:hAnsi="Times New Roman"/>
                            <w:sz w:val="24"/>
                            <w:szCs w:val="24"/>
                          </w:rPr>
                          <w:t>ALP</w:t>
                        </w:r>
                      </w:p>
                    </w:txbxContent>
                  </v:textbox>
                </v:rect>
              </v:group>
            </w:pict>
          </mc:Fallback>
        </mc:AlternateContent>
      </w:r>
      <w:r w:rsidRPr="00AB6D14">
        <w:rPr>
          <w:rFonts w:ascii="Times New Roman" w:eastAsia="Times New Roman" w:hAnsi="Times New Roman" w:cs="Times New Roman"/>
          <w:sz w:val="24"/>
          <w:szCs w:val="24"/>
        </w:rPr>
        <w:t xml:space="preserve">Activity of ALP was determined using the method described by Bowers and McComb (1966), which involved measuring the rate of hydrolysis of various phosphate esters in a buffered system. In the reaction, ALP catalyzes the hydrolysis of the colorless organic phosphate ester substrate p-Nitrophenyl phosphate (p-NPP) to the </w:t>
      </w:r>
      <w:proofErr w:type="gramStart"/>
      <w:r w:rsidRPr="00AB6D14">
        <w:rPr>
          <w:rFonts w:ascii="Times New Roman" w:eastAsia="Times New Roman" w:hAnsi="Times New Roman" w:cs="Times New Roman"/>
          <w:sz w:val="24"/>
          <w:szCs w:val="24"/>
        </w:rPr>
        <w:t>yellow colored</w:t>
      </w:r>
      <w:proofErr w:type="gramEnd"/>
      <w:r w:rsidRPr="00AB6D14">
        <w:rPr>
          <w:rFonts w:ascii="Times New Roman" w:eastAsia="Times New Roman" w:hAnsi="Times New Roman" w:cs="Times New Roman"/>
          <w:sz w:val="24"/>
          <w:szCs w:val="24"/>
        </w:rPr>
        <w:t xml:space="preserve"> product p-</w:t>
      </w:r>
      <w:proofErr w:type="spellStart"/>
      <w:r w:rsidRPr="00AB6D14">
        <w:rPr>
          <w:rFonts w:ascii="Times New Roman" w:eastAsia="Times New Roman" w:hAnsi="Times New Roman" w:cs="Times New Roman"/>
          <w:sz w:val="24"/>
          <w:szCs w:val="24"/>
        </w:rPr>
        <w:t>Nitophenol</w:t>
      </w:r>
      <w:proofErr w:type="spellEnd"/>
      <w:r w:rsidRPr="00AB6D14">
        <w:rPr>
          <w:rFonts w:ascii="Times New Roman" w:eastAsia="Times New Roman" w:hAnsi="Times New Roman" w:cs="Times New Roman"/>
          <w:sz w:val="24"/>
          <w:szCs w:val="24"/>
        </w:rPr>
        <w:t xml:space="preserve"> and inorganic phosphate. This reaction occurs at an alkaline pH of 10.3</w:t>
      </w:r>
    </w:p>
    <w:p w14:paraId="100C9649" w14:textId="77777777" w:rsidR="00E1387E" w:rsidRPr="00AB6D14" w:rsidRDefault="00E1387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p-NNP +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p-Nitrophenol +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3</m:t>
            </m:r>
          </m:sub>
        </m:sSub>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PO</m:t>
            </m:r>
          </m:e>
          <m:sub>
            <m:r>
              <m:rPr>
                <m:sty m:val="p"/>
              </m:rPr>
              <w:rPr>
                <w:rFonts w:ascii="Cambria Math" w:eastAsia="Times New Roman" w:hAnsi="Cambria Math" w:cs="Times New Roman"/>
                <w:sz w:val="24"/>
                <w:szCs w:val="24"/>
              </w:rPr>
              <m:t>4</m:t>
            </m:r>
          </m:sub>
        </m:sSub>
      </m:oMath>
      <w:r w:rsidRPr="00AB6D14">
        <w:rPr>
          <w:rFonts w:ascii="Times New Roman" w:eastAsia="Times New Roman" w:hAnsi="Times New Roman" w:cs="Times New Roman"/>
          <w:sz w:val="24"/>
          <w:szCs w:val="24"/>
        </w:rPr>
        <w:tab/>
      </w:r>
    </w:p>
    <w:p w14:paraId="4DEE36E6" w14:textId="77777777" w:rsidR="003D2680" w:rsidRPr="00AB6D14" w:rsidRDefault="003D2680" w:rsidP="000138CA">
      <w:pPr>
        <w:spacing w:after="0" w:line="360" w:lineRule="auto"/>
        <w:ind w:firstLine="720"/>
        <w:jc w:val="both"/>
        <w:rPr>
          <w:rFonts w:ascii="Times New Roman" w:eastAsia="Times New Roman" w:hAnsi="Times New Roman" w:cs="Times New Roman"/>
          <w:sz w:val="24"/>
          <w:szCs w:val="24"/>
        </w:rPr>
      </w:pPr>
    </w:p>
    <w:p w14:paraId="46BD013A" w14:textId="77777777" w:rsidR="00E1387E" w:rsidRPr="00AB6D14" w:rsidRDefault="007E7E61"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52BF5B9E" wp14:editId="122AA740">
                <wp:simplePos x="0" y="0"/>
                <wp:positionH relativeFrom="column">
                  <wp:posOffset>1654175</wp:posOffset>
                </wp:positionH>
                <wp:positionV relativeFrom="paragraph">
                  <wp:posOffset>418302</wp:posOffset>
                </wp:positionV>
                <wp:extent cx="762000" cy="282575"/>
                <wp:effectExtent l="0" t="0" r="57150" b="22225"/>
                <wp:wrapNone/>
                <wp:docPr id="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282575"/>
                          <a:chOff x="4660" y="8120"/>
                          <a:chExt cx="1200" cy="445"/>
                        </a:xfrm>
                      </wpg:grpSpPr>
                      <wps:wsp>
                        <wps:cNvPr id="8" name="AutoShape 28"/>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9"/>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8D20" w14:textId="77777777" w:rsidR="00530944" w:rsidRDefault="00530944" w:rsidP="00E1387E">
                              <w:pPr>
                                <w:rPr>
                                  <w:rFonts w:ascii="Times New Roman" w:hAnsi="Times New Roman"/>
                                  <w:sz w:val="24"/>
                                  <w:szCs w:val="24"/>
                                </w:rPr>
                              </w:pPr>
                              <w:r>
                                <w:rPr>
                                  <w:rFonts w:ascii="Times New Roman" w:hAnsi="Times New Roman"/>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F5B9E" id="_x0000_s1035" style="position:absolute;left:0;text-align:left;margin-left:130.25pt;margin-top:32.95pt;width:60pt;height:22.25pt;z-index:251667456"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">
                <v:shape id="AutoShape 28" o:spid="_x0000_s1036"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rect id="Rectangle 29" o:spid="_x0000_s1037"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textbox>
                    <w:txbxContent>
                      <w:p w14:paraId="091D8D20" w14:textId="77777777" w:rsidR="00530944" w:rsidRDefault="00530944" w:rsidP="00E1387E">
                        <w:pPr>
                          <w:rPr>
                            <w:rFonts w:ascii="Times New Roman" w:hAnsi="Times New Roman"/>
                            <w:sz w:val="24"/>
                            <w:szCs w:val="24"/>
                          </w:rPr>
                        </w:pPr>
                        <w:r>
                          <w:rPr>
                            <w:rFonts w:ascii="Times New Roman" w:hAnsi="Times New Roman"/>
                            <w:sz w:val="24"/>
                            <w:szCs w:val="24"/>
                          </w:rPr>
                          <w:t xml:space="preserve">      </w:t>
                        </w:r>
                      </w:p>
                    </w:txbxContent>
                  </v:textbox>
                </v:rect>
              </v:group>
            </w:pict>
          </mc:Fallback>
        </mc:AlternateContent>
      </w:r>
      <w:r w:rsidR="00E1387E" w:rsidRPr="00AB6D14">
        <w:rPr>
          <w:rFonts w:ascii="Times New Roman" w:eastAsia="Times New Roman" w:hAnsi="Times New Roman" w:cs="Times New Roman"/>
          <w:sz w:val="24"/>
          <w:szCs w:val="24"/>
        </w:rPr>
        <w:t xml:space="preserve">Serum total protein was analyzed using a method known since 1878 as Biuret color reaction in which the protein molecules react with cupric ions. </w:t>
      </w:r>
    </w:p>
    <w:p w14:paraId="5BE4E895" w14:textId="77777777" w:rsidR="00E1387E" w:rsidRPr="00AB6D14" w:rsidRDefault="00E1387E" w:rsidP="000138CA">
      <w:pPr>
        <w:spacing w:after="0" w:line="360" w:lineRule="auto"/>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      Alkali Protein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Cu</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t xml:space="preserve">                Copper-protein chelate (colored complex)  </w:t>
      </w:r>
    </w:p>
    <w:p w14:paraId="77BB8626" w14:textId="77777777" w:rsidR="003D2680" w:rsidRPr="00AB6D14" w:rsidRDefault="003D2680" w:rsidP="000138CA">
      <w:pPr>
        <w:spacing w:after="0" w:line="360" w:lineRule="auto"/>
        <w:contextualSpacing/>
        <w:jc w:val="both"/>
        <w:rPr>
          <w:rFonts w:ascii="Times New Roman" w:eastAsia="Times New Roman" w:hAnsi="Times New Roman" w:cs="Times New Roman"/>
          <w:sz w:val="24"/>
          <w:szCs w:val="24"/>
        </w:rPr>
      </w:pPr>
    </w:p>
    <w:p w14:paraId="701660D4" w14:textId="77777777" w:rsidR="003D2680" w:rsidRPr="00AB6D14" w:rsidRDefault="003D2680"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Bilirubin level in the serum was determined using the </w:t>
      </w:r>
      <w:proofErr w:type="spellStart"/>
      <w:r w:rsidRPr="00AB6D14">
        <w:rPr>
          <w:rFonts w:ascii="Times New Roman" w:eastAsia="Times New Roman" w:hAnsi="Times New Roman" w:cs="Times New Roman"/>
          <w:sz w:val="24"/>
          <w:szCs w:val="24"/>
        </w:rPr>
        <w:t>Jendrassik</w:t>
      </w:r>
      <w:proofErr w:type="spellEnd"/>
      <w:r w:rsidRPr="00AB6D14">
        <w:rPr>
          <w:rFonts w:ascii="Times New Roman" w:eastAsia="Times New Roman" w:hAnsi="Times New Roman" w:cs="Times New Roman"/>
          <w:sz w:val="24"/>
          <w:szCs w:val="24"/>
        </w:rPr>
        <w:t>-Grof principle (</w:t>
      </w:r>
      <w:proofErr w:type="spellStart"/>
      <w:r w:rsidRPr="00AB6D14">
        <w:rPr>
          <w:rFonts w:ascii="Times New Roman" w:eastAsia="Times New Roman" w:hAnsi="Times New Roman" w:cs="Times New Roman"/>
          <w:sz w:val="24"/>
          <w:szCs w:val="24"/>
        </w:rPr>
        <w:t>Jendrassik</w:t>
      </w:r>
      <w:proofErr w:type="spellEnd"/>
      <w:r w:rsidRPr="00AB6D14">
        <w:rPr>
          <w:rFonts w:ascii="Times New Roman" w:eastAsia="Times New Roman" w:hAnsi="Times New Roman" w:cs="Times New Roman"/>
          <w:sz w:val="24"/>
          <w:szCs w:val="24"/>
        </w:rPr>
        <w:t xml:space="preserve"> and Grof, 1938). Total bilirubin (unconjugated + conjugated) concentration was determined in the presence of a catalyst, where bilirubin reacts with diazotized </w:t>
      </w:r>
      <w:proofErr w:type="spellStart"/>
      <w:r w:rsidRPr="00AB6D14">
        <w:rPr>
          <w:rFonts w:ascii="Times New Roman" w:eastAsia="Times New Roman" w:hAnsi="Times New Roman" w:cs="Times New Roman"/>
          <w:sz w:val="24"/>
          <w:szCs w:val="24"/>
        </w:rPr>
        <w:t>sulfanilic</w:t>
      </w:r>
      <w:proofErr w:type="spellEnd"/>
      <w:r w:rsidRPr="00AB6D14">
        <w:rPr>
          <w:rFonts w:ascii="Times New Roman" w:eastAsia="Times New Roman" w:hAnsi="Times New Roman" w:cs="Times New Roman"/>
          <w:sz w:val="24"/>
          <w:szCs w:val="24"/>
        </w:rPr>
        <w:t xml:space="preserve"> acid in acidic medium to form azobilirubin.</w:t>
      </w:r>
    </w:p>
    <w:p w14:paraId="258D9D21" w14:textId="77777777" w:rsidR="003D2680" w:rsidRPr="00AB6D14" w:rsidRDefault="003D2680" w:rsidP="000138CA">
      <w:pPr>
        <w:spacing w:after="0" w:line="360" w:lineRule="auto"/>
        <w:ind w:firstLine="720"/>
        <w:contextualSpacing/>
        <w:jc w:val="both"/>
        <w:rPr>
          <w:rFonts w:ascii="Times New Roman" w:eastAsia="Times New Roman" w:hAnsi="Times New Roman" w:cs="Times New Roman"/>
          <w:sz w:val="24"/>
          <w:szCs w:val="24"/>
        </w:rPr>
      </w:pPr>
    </w:p>
    <w:p w14:paraId="44D1B50F" w14:textId="77777777" w:rsidR="003D2680" w:rsidRPr="00AB6D14" w:rsidRDefault="003D2680"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Determination of serum albumin was based on bromocresol green colorimetric method modified by Doumas, Watson and Biggs, 1971. In the assay, albumin binds to the indicator dye bromocresol green (BCG) at a </w:t>
      </w:r>
      <w:proofErr w:type="spellStart"/>
      <w:r w:rsidRPr="00AB6D14">
        <w:rPr>
          <w:rFonts w:ascii="Times New Roman" w:eastAsia="Times New Roman" w:hAnsi="Times New Roman" w:cs="Times New Roman"/>
          <w:sz w:val="24"/>
          <w:szCs w:val="24"/>
        </w:rPr>
        <w:t>pHof</w:t>
      </w:r>
      <w:proofErr w:type="spellEnd"/>
      <w:r w:rsidRPr="00AB6D14">
        <w:rPr>
          <w:rFonts w:ascii="Times New Roman" w:eastAsia="Times New Roman" w:hAnsi="Times New Roman" w:cs="Times New Roman"/>
          <w:sz w:val="24"/>
          <w:szCs w:val="24"/>
        </w:rPr>
        <w:t xml:space="preserve"> 4.1 to form a blue-green </w:t>
      </w:r>
      <w:r w:rsidR="0093606E" w:rsidRPr="00AB6D14">
        <w:rPr>
          <w:rFonts w:ascii="Times New Roman" w:eastAsia="Times New Roman" w:hAnsi="Times New Roman" w:cs="Times New Roman"/>
          <w:sz w:val="24"/>
          <w:szCs w:val="24"/>
        </w:rPr>
        <w:t>colo</w:t>
      </w:r>
      <w:r w:rsidRPr="00AB6D14">
        <w:rPr>
          <w:rFonts w:ascii="Times New Roman" w:eastAsia="Times New Roman" w:hAnsi="Times New Roman" w:cs="Times New Roman"/>
          <w:sz w:val="24"/>
          <w:szCs w:val="24"/>
        </w:rPr>
        <w:t>red</w:t>
      </w:r>
      <w:r w:rsidR="0093606E"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 xml:space="preserve">complex </w:t>
      </w:r>
    </w:p>
    <w:p w14:paraId="3C1BD186" w14:textId="77777777" w:rsidR="003D2680"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78720" behindDoc="0" locked="0" layoutInCell="1" allowOverlap="1" wp14:anchorId="095EF67B" wp14:editId="1B2270F4">
                <wp:simplePos x="0" y="0"/>
                <wp:positionH relativeFrom="column">
                  <wp:posOffset>1549709</wp:posOffset>
                </wp:positionH>
                <wp:positionV relativeFrom="paragraph">
                  <wp:posOffset>-95885</wp:posOffset>
                </wp:positionV>
                <wp:extent cx="742950" cy="282575"/>
                <wp:effectExtent l="0" t="0" r="57150" b="22225"/>
                <wp:wrapNone/>
                <wp:docPr id="8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282575"/>
                          <a:chOff x="4660" y="8120"/>
                          <a:chExt cx="1200" cy="445"/>
                        </a:xfrm>
                      </wpg:grpSpPr>
                      <wps:wsp>
                        <wps:cNvPr id="81" name="AutoShape 53"/>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Rectangle 54"/>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6D392" w14:textId="77777777" w:rsidR="00530944" w:rsidRDefault="00530944" w:rsidP="0093606E">
                              <w:pPr>
                                <w:jc w:val="center"/>
                                <w:rPr>
                                  <w:rFonts w:ascii="Times New Roman" w:hAnsi="Times New Roman"/>
                                  <w:sz w:val="24"/>
                                  <w:szCs w:val="24"/>
                                </w:rPr>
                              </w:pPr>
                              <w:r>
                                <w:rPr>
                                  <w:rFonts w:ascii="Times New Roman" w:hAnsi="Times New Roman"/>
                                  <w:sz w:val="24"/>
                                  <w:szCs w:val="24"/>
                                </w:rPr>
                                <w:t>pH 4.1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EF67B" id="Group 52" o:spid="_x0000_s1038" style="position:absolute;left:0;text-align:left;margin-left:122pt;margin-top:-7.55pt;width:58.5pt;height:22.25pt;z-index:251678720"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">
                <v:shape id="AutoShape 53" o:spid="_x0000_s1039"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rect id="Rectangle 54" o:spid="_x0000_s1040"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" filled="f" stroked="f">
                  <v:textbox>
                    <w:txbxContent>
                      <w:p w14:paraId="37F6D392" w14:textId="77777777" w:rsidR="00530944" w:rsidRDefault="00530944" w:rsidP="0093606E">
                        <w:pPr>
                          <w:jc w:val="center"/>
                          <w:rPr>
                            <w:rFonts w:ascii="Times New Roman" w:hAnsi="Times New Roman"/>
                            <w:sz w:val="24"/>
                            <w:szCs w:val="24"/>
                          </w:rPr>
                        </w:pPr>
                        <w:r>
                          <w:rPr>
                            <w:rFonts w:ascii="Times New Roman" w:hAnsi="Times New Roman"/>
                            <w:sz w:val="24"/>
                            <w:szCs w:val="24"/>
                          </w:rPr>
                          <w:t>pH 4.1</w:t>
                        </w:r>
                      </w:p>
                    </w:txbxContent>
                  </v:textbox>
                </v:rect>
              </v:group>
            </w:pict>
          </mc:Fallback>
        </mc:AlternateContent>
      </w:r>
      <w:r w:rsidR="003D2680" w:rsidRPr="00AB6D14">
        <w:rPr>
          <w:rFonts w:ascii="Times New Roman" w:eastAsia="Times New Roman" w:hAnsi="Times New Roman" w:cs="Times New Roman"/>
          <w:sz w:val="24"/>
          <w:szCs w:val="24"/>
        </w:rPr>
        <w:t>Albumin + BCG</w:t>
      </w:r>
      <w:r w:rsidR="003D2680" w:rsidRPr="00AB6D14">
        <w:rPr>
          <w:rFonts w:ascii="Times New Roman" w:eastAsia="Times New Roman" w:hAnsi="Times New Roman" w:cs="Times New Roman"/>
          <w:sz w:val="24"/>
          <w:szCs w:val="24"/>
        </w:rPr>
        <w:tab/>
      </w:r>
      <w:r w:rsidR="003D2680"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 xml:space="preserve">   </w:t>
      </w:r>
      <w:r w:rsidR="003D2680" w:rsidRPr="00AB6D14">
        <w:rPr>
          <w:rFonts w:ascii="Times New Roman" w:eastAsia="Times New Roman" w:hAnsi="Times New Roman" w:cs="Times New Roman"/>
          <w:sz w:val="24"/>
          <w:szCs w:val="24"/>
        </w:rPr>
        <w:t xml:space="preserve">Albumin-BCG complex </w:t>
      </w:r>
      <w:r w:rsidR="003D2680" w:rsidRPr="00AB6D14">
        <w:rPr>
          <w:rFonts w:ascii="Times New Roman" w:eastAsia="Times New Roman" w:hAnsi="Times New Roman" w:cs="Times New Roman"/>
          <w:sz w:val="24"/>
          <w:szCs w:val="24"/>
        </w:rPr>
        <w:tab/>
      </w:r>
    </w:p>
    <w:p w14:paraId="1241C9B0" w14:textId="77777777" w:rsidR="0093606E"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p>
    <w:p w14:paraId="00E32DC6" w14:textId="77777777" w:rsidR="0093606E"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80768" behindDoc="0" locked="0" layoutInCell="1" allowOverlap="1" wp14:anchorId="1353F0D3" wp14:editId="164A7A43">
                <wp:simplePos x="0" y="0"/>
                <wp:positionH relativeFrom="column">
                  <wp:posOffset>2060249</wp:posOffset>
                </wp:positionH>
                <wp:positionV relativeFrom="paragraph">
                  <wp:posOffset>1645920</wp:posOffset>
                </wp:positionV>
                <wp:extent cx="650240" cy="282575"/>
                <wp:effectExtent l="0" t="0" r="54610" b="22225"/>
                <wp:wrapNone/>
                <wp:docPr id="7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2575"/>
                          <a:chOff x="4660" y="8120"/>
                          <a:chExt cx="1200" cy="445"/>
                        </a:xfrm>
                      </wpg:grpSpPr>
                      <wps:wsp>
                        <wps:cNvPr id="75" name="AutoShape 56"/>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Rectangle 57"/>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DF4C" w14:textId="77777777" w:rsidR="00530944" w:rsidRDefault="00530944" w:rsidP="0093606E">
                              <w:pPr>
                                <w:jc w:val="center"/>
                                <w:rPr>
                                  <w:rFonts w:ascii="Times New Roman" w:hAnsi="Times New Roman"/>
                                  <w:sz w:val="24"/>
                                  <w:szCs w:val="24"/>
                                </w:rPr>
                              </w:pPr>
                              <w:r>
                                <w:rPr>
                                  <w:rFonts w:ascii="Times New Roman" w:hAnsi="Times New Roman"/>
                                  <w:sz w:val="24"/>
                                  <w:szCs w:val="24"/>
                                </w:rPr>
                                <w:t>Urea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3F0D3" id="Group 55" o:spid="_x0000_s1041" style="position:absolute;left:0;text-align:left;margin-left:162.2pt;margin-top:129.6pt;width:51.2pt;height:22.25pt;z-index:251680768"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">
                <v:shape id="AutoShape 56" o:spid="_x0000_s1042"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rect id="Rectangle 57" o:spid="_x0000_s1043"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" filled="f" stroked="f">
                  <v:textbox>
                    <w:txbxContent>
                      <w:p w14:paraId="3698DF4C" w14:textId="77777777" w:rsidR="00530944" w:rsidRDefault="00530944" w:rsidP="0093606E">
                        <w:pPr>
                          <w:jc w:val="center"/>
                          <w:rPr>
                            <w:rFonts w:ascii="Times New Roman" w:hAnsi="Times New Roman"/>
                            <w:sz w:val="24"/>
                            <w:szCs w:val="24"/>
                          </w:rPr>
                        </w:pPr>
                        <w:r>
                          <w:rPr>
                            <w:rFonts w:ascii="Times New Roman" w:hAnsi="Times New Roman"/>
                            <w:sz w:val="24"/>
                            <w:szCs w:val="24"/>
                          </w:rPr>
                          <w:t>Urea</w:t>
                        </w:r>
                      </w:p>
                    </w:txbxContent>
                  </v:textbox>
                </v:rect>
              </v:group>
            </w:pict>
          </mc:Fallback>
        </mc:AlternateContent>
      </w:r>
      <w:r w:rsidRPr="00AB6D14">
        <w:rPr>
          <w:rFonts w:ascii="Times New Roman" w:eastAsia="Times New Roman" w:hAnsi="Times New Roman" w:cs="Times New Roman"/>
          <w:sz w:val="24"/>
          <w:szCs w:val="24"/>
        </w:rPr>
        <w:t xml:space="preserve">Indices of renal </w:t>
      </w:r>
      <w:r w:rsidR="007E7E61" w:rsidRPr="00AB6D14">
        <w:rPr>
          <w:rFonts w:ascii="Times New Roman" w:eastAsia="Times New Roman" w:hAnsi="Times New Roman" w:cs="Times New Roman"/>
          <w:sz w:val="24"/>
          <w:szCs w:val="24"/>
        </w:rPr>
        <w:t>function were</w:t>
      </w:r>
      <w:r w:rsidRPr="00AB6D14">
        <w:rPr>
          <w:rFonts w:ascii="Times New Roman" w:eastAsia="Times New Roman" w:hAnsi="Times New Roman" w:cs="Times New Roman"/>
          <w:sz w:val="24"/>
          <w:szCs w:val="24"/>
        </w:rPr>
        <w:t xml:space="preserve"> also assessed. Serum urea was assessed based on enzymatic procedure for the determination of urea using the coupled urease/glutamate dehydrogenase (GLDH) enzyme system published by Talke and Schubert in 1995. Urea is hydrolyzed in presence of urease to produce ammonia and CO</w:t>
      </w:r>
      <w:r w:rsidRPr="00AB6D14">
        <w:rPr>
          <w:rFonts w:ascii="Times New Roman" w:eastAsia="Times New Roman" w:hAnsi="Times New Roman" w:cs="Times New Roman"/>
          <w:sz w:val="24"/>
          <w:szCs w:val="24"/>
          <w:vertAlign w:val="subscript"/>
        </w:rPr>
        <w:t>2</w:t>
      </w:r>
      <w:r w:rsidRPr="00AB6D14">
        <w:rPr>
          <w:rFonts w:ascii="Times New Roman" w:eastAsia="Times New Roman" w:hAnsi="Times New Roman" w:cs="Times New Roman"/>
          <w:sz w:val="24"/>
          <w:szCs w:val="24"/>
        </w:rPr>
        <w:t>. The ammonia produced reacts with 2-oxoglutarate and NADH in presence of GLDH to yield glutamate and NAD.</w:t>
      </w:r>
    </w:p>
    <w:p w14:paraId="265FA753"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81792" behindDoc="0" locked="0" layoutInCell="1" allowOverlap="1" wp14:anchorId="42412B3D" wp14:editId="5924A743">
                <wp:simplePos x="0" y="0"/>
                <wp:positionH relativeFrom="column">
                  <wp:posOffset>3015761</wp:posOffset>
                </wp:positionH>
                <wp:positionV relativeFrom="paragraph">
                  <wp:posOffset>276225</wp:posOffset>
                </wp:positionV>
                <wp:extent cx="650240" cy="282575"/>
                <wp:effectExtent l="0" t="0" r="54610" b="22225"/>
                <wp:wrapNone/>
                <wp:docPr id="7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2575"/>
                          <a:chOff x="4660" y="8120"/>
                          <a:chExt cx="1200" cy="445"/>
                        </a:xfrm>
                      </wpg:grpSpPr>
                      <wps:wsp>
                        <wps:cNvPr id="78" name="AutoShape 59"/>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Rectangle 60"/>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A2826" w14:textId="77777777" w:rsidR="00530944" w:rsidRDefault="00530944" w:rsidP="0093606E">
                              <w:pPr>
                                <w:ind w:left="-90" w:right="-140" w:hanging="10"/>
                                <w:rPr>
                                  <w:rFonts w:ascii="Times New Roman" w:hAnsi="Times New Roman"/>
                                  <w:sz w:val="24"/>
                                  <w:szCs w:val="24"/>
                                </w:rPr>
                              </w:pPr>
                              <w:r>
                                <w:rPr>
                                  <w:rFonts w:ascii="Times New Roman" w:hAnsi="Times New Roman"/>
                                  <w:sz w:val="24"/>
                                  <w:szCs w:val="24"/>
                                </w:rPr>
                                <w:t>GLDH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12B3D" id="Group 58" o:spid="_x0000_s1044" style="position:absolute;left:0;text-align:left;margin-left:237.45pt;margin-top:21.75pt;width:51.2pt;height:22.25pt;z-index:251681792"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">
                <v:shape id="AutoShape 59" o:spid="_x0000_s1045"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rect id="Rectangle 60" o:spid="_x0000_s1046"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" filled="f" stroked="f">
                  <v:textbox>
                    <w:txbxContent>
                      <w:p w14:paraId="281A2826" w14:textId="77777777" w:rsidR="00530944" w:rsidRDefault="00530944" w:rsidP="0093606E">
                        <w:pPr>
                          <w:ind w:left="-90" w:right="-140" w:hanging="10"/>
                          <w:rPr>
                            <w:rFonts w:ascii="Times New Roman" w:hAnsi="Times New Roman"/>
                            <w:sz w:val="24"/>
                            <w:szCs w:val="24"/>
                          </w:rPr>
                        </w:pPr>
                        <w:r>
                          <w:rPr>
                            <w:rFonts w:ascii="Times New Roman" w:hAnsi="Times New Roman"/>
                            <w:sz w:val="24"/>
                            <w:szCs w:val="24"/>
                          </w:rPr>
                          <w:t>GLDH</w:t>
                        </w:r>
                      </w:p>
                    </w:txbxContent>
                  </v:textbox>
                </v:rect>
              </v:group>
            </w:pict>
          </mc:Fallback>
        </mc:AlternateContent>
      </w:r>
      <w:r w:rsidRPr="00AB6D14">
        <w:rPr>
          <w:rFonts w:ascii="Times New Roman" w:eastAsia="Times New Roman" w:hAnsi="Times New Roman" w:cs="Times New Roman"/>
          <w:noProof/>
          <w:sz w:val="24"/>
          <w:szCs w:val="24"/>
        </w:rPr>
        <w:t xml:space="preserve">                      Urea</w:t>
      </w:r>
      <w:r w:rsidRPr="00AB6D14">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Pr="00AB6D14">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H</m:t>
            </m:r>
          </m:e>
          <m:sup>
            <m:r>
              <m:rPr>
                <m:sty m:val="p"/>
              </m:rPr>
              <w:rPr>
                <w:rFonts w:ascii="Cambria Math" w:eastAsia="Times New Roman" w:hAnsi="Cambria Math" w:cs="Times New Roman"/>
                <w:sz w:val="24"/>
                <w:szCs w:val="24"/>
              </w:rPr>
              <m:t>2+</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vertAlign w:val="superscript"/>
        </w:rPr>
        <w:tab/>
        <w:t xml:space="preserve">   </w:t>
      </w:r>
      <w:r w:rsidRPr="00AB6D14">
        <w:rPr>
          <w:rFonts w:ascii="Times New Roman" w:eastAsia="Times New Roman" w:hAnsi="Times New Roman" w:cs="Times New Roman"/>
          <w:sz w:val="24"/>
          <w:szCs w:val="24"/>
        </w:rPr>
        <w:t>2</w:t>
      </w:r>
      <m:oMath>
        <m:sSubSup>
          <m:sSubSupPr>
            <m:ctrlPr>
              <w:rPr>
                <w:rFonts w:ascii="Cambria Math" w:eastAsia="Times New Roman" w:hAnsi="Cambria Math" w:cs="Times New Roman"/>
                <w:sz w:val="24"/>
                <w:szCs w:val="24"/>
              </w:rPr>
            </m:ctrlPr>
          </m:sSubSupPr>
          <m:e>
            <m:r>
              <m:rPr>
                <m:sty m:val="p"/>
              </m:rPr>
              <w:rPr>
                <w:rFonts w:ascii="Cambria Math" w:eastAsia="Times New Roman" w:hAnsi="Cambria Math" w:cs="Times New Roman"/>
                <w:sz w:val="24"/>
                <w:szCs w:val="24"/>
              </w:rPr>
              <m:t>NH</m:t>
            </m:r>
          </m:e>
          <m:sub>
            <m:r>
              <m:rPr>
                <m:sty m:val="p"/>
              </m:rPr>
              <w:rPr>
                <w:rFonts w:ascii="Cambria Math" w:eastAsia="Times New Roman" w:hAnsi="Cambria Math" w:cs="Times New Roman"/>
                <w:sz w:val="24"/>
                <w:szCs w:val="24"/>
              </w:rPr>
              <m:t>4</m:t>
            </m:r>
          </m:sub>
          <m:sup>
            <m:r>
              <m:rPr>
                <m:sty m:val="p"/>
              </m:rPr>
              <w:rPr>
                <w:rFonts w:ascii="Cambria Math" w:eastAsia="Times New Roman" w:hAnsi="Cambria Math" w:cs="Times New Roman"/>
                <w:sz w:val="24"/>
                <w:szCs w:val="24"/>
              </w:rPr>
              <m:t>+</m:t>
            </m:r>
          </m:sup>
        </m:sSubSup>
      </m:oMath>
      <w:r w:rsidRPr="00AB6D14">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p>
    <w:p w14:paraId="3EA2DCF1" w14:textId="77777777" w:rsidR="0093606E" w:rsidRPr="00AB6D14" w:rsidRDefault="0093606E" w:rsidP="000138CA">
      <w:pPr>
        <w:spacing w:after="0" w:line="36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                         </m:t>
        </m:r>
        <m:sSubSup>
          <m:sSubSupPr>
            <m:ctrlPr>
              <w:rPr>
                <w:rFonts w:ascii="Cambria Math" w:eastAsia="Times New Roman" w:hAnsi="Cambria Math" w:cs="Times New Roman"/>
                <w:sz w:val="24"/>
                <w:szCs w:val="24"/>
              </w:rPr>
            </m:ctrlPr>
          </m:sSubSupPr>
          <m:e>
            <m:r>
              <m:rPr>
                <m:sty m:val="p"/>
              </m:rPr>
              <w:rPr>
                <w:rFonts w:ascii="Cambria Math" w:eastAsia="Times New Roman" w:hAnsi="Cambria Math" w:cs="Times New Roman"/>
                <w:sz w:val="24"/>
                <w:szCs w:val="24"/>
              </w:rPr>
              <m:t>NH</m:t>
            </m:r>
          </m:e>
          <m:sub>
            <m:r>
              <m:rPr>
                <m:sty m:val="p"/>
              </m:rPr>
              <w:rPr>
                <w:rFonts w:ascii="Cambria Math" w:eastAsia="Times New Roman" w:hAnsi="Cambria Math" w:cs="Times New Roman"/>
                <w:sz w:val="24"/>
                <w:szCs w:val="24"/>
              </w:rPr>
              <m:t>4</m:t>
            </m:r>
          </m:sub>
          <m:sup>
            <m:r>
              <m:rPr>
                <m:sty m:val="p"/>
              </m:rPr>
              <w:rPr>
                <w:rFonts w:ascii="Cambria Math" w:eastAsia="Times New Roman" w:hAnsi="Cambria Math" w:cs="Times New Roman"/>
                <w:sz w:val="24"/>
                <w:szCs w:val="24"/>
              </w:rPr>
              <m:t>+</m:t>
            </m:r>
          </m:sup>
        </m:sSubSup>
      </m:oMath>
      <w:r w:rsidRPr="00AB6D14">
        <w:rPr>
          <w:rFonts w:ascii="Times New Roman" w:eastAsia="Times New Roman" w:hAnsi="Times New Roman" w:cs="Times New Roman"/>
          <w:sz w:val="24"/>
          <w:szCs w:val="24"/>
        </w:rPr>
        <w:t>+2-Oxoglutarate and NADH</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O</m:t>
        </m:r>
      </m:oMath>
      <w:r w:rsidRPr="00AB6D14">
        <w:rPr>
          <w:rFonts w:ascii="Times New Roman" w:eastAsia="Times New Roman" w:hAnsi="Times New Roman" w:cs="Times New Roman"/>
          <w:sz w:val="24"/>
          <w:szCs w:val="24"/>
        </w:rPr>
        <w:t xml:space="preserve">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vertAlign w:val="superscript"/>
        </w:rPr>
        <w:t xml:space="preserve"> </w:t>
      </w:r>
      <w:r w:rsidRPr="00AB6D14">
        <w:rPr>
          <w:rFonts w:ascii="Times New Roman" w:eastAsia="Times New Roman" w:hAnsi="Times New Roman" w:cs="Times New Roman"/>
          <w:sz w:val="24"/>
          <w:szCs w:val="24"/>
        </w:rPr>
        <w:t xml:space="preserve">+ Glutamate </w:t>
      </w:r>
    </w:p>
    <w:p w14:paraId="0902DAF7" w14:textId="77777777" w:rsidR="0093606E" w:rsidRPr="00AB6D14" w:rsidRDefault="0093606E" w:rsidP="000138CA">
      <w:pPr>
        <w:spacing w:after="0" w:line="360" w:lineRule="auto"/>
        <w:rPr>
          <w:rFonts w:ascii="Times New Roman" w:eastAsia="Times New Roman" w:hAnsi="Times New Roman" w:cs="Times New Roman"/>
          <w:sz w:val="24"/>
          <w:szCs w:val="24"/>
        </w:rPr>
      </w:pPr>
    </w:p>
    <w:p w14:paraId="4D96E396"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Serum creatinine was determined based on Jaffe (1886) method (kinetic alkaline picrate) modified by Fabiny (1971). It is a kinetic procedure which does not require deproteinization of the sample and is formulated to reduce the interference of serum proteins. A precise volume of sample is introduced into a reaction flask containing an alkaline picrate solution. At an alkaline pH, creatinine in the sample reacts with picrate. </w:t>
      </w:r>
    </w:p>
    <w:p w14:paraId="30A5D1A0" w14:textId="77777777" w:rsidR="00580861"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E31A8F4" wp14:editId="022B7CE6">
                <wp:simplePos x="0" y="0"/>
                <wp:positionH relativeFrom="column">
                  <wp:posOffset>2351877</wp:posOffset>
                </wp:positionH>
                <wp:positionV relativeFrom="paragraph">
                  <wp:posOffset>123825</wp:posOffset>
                </wp:positionV>
                <wp:extent cx="584200" cy="0"/>
                <wp:effectExtent l="0" t="76200" r="25400" b="95250"/>
                <wp:wrapNone/>
                <wp:docPr id="7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E3D54" id="AutoShape 61" o:spid="_x0000_s1026" type="#_x0000_t32" style="position:absolute;margin-left:185.2pt;margin-top:9.75pt;width:46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LcNAIAAF4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">
                <v:stroke endarrow="block"/>
              </v:shape>
            </w:pict>
          </mc:Fallback>
        </mc:AlternateContent>
      </w:r>
      <w:r w:rsidRPr="00AB6D14">
        <w:rPr>
          <w:rFonts w:ascii="Times New Roman" w:eastAsia="Times New Roman" w:hAnsi="Times New Roman" w:cs="Times New Roman"/>
          <w:sz w:val="24"/>
          <w:szCs w:val="24"/>
        </w:rPr>
        <w:t xml:space="preserve">Creatinine + Alkaline picrate </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deep yellow colored complex   </w:t>
      </w:r>
    </w:p>
    <w:p w14:paraId="6467C2AF" w14:textId="77777777" w:rsidR="00580861" w:rsidRPr="00AB6D14" w:rsidRDefault="00580861" w:rsidP="00580861">
      <w:pPr>
        <w:spacing w:after="0" w:line="360" w:lineRule="auto"/>
        <w:jc w:val="both"/>
        <w:rPr>
          <w:rFonts w:ascii="Times New Roman" w:eastAsia="Times New Roman" w:hAnsi="Times New Roman" w:cs="Times New Roman"/>
          <w:sz w:val="24"/>
          <w:szCs w:val="24"/>
        </w:rPr>
      </w:pPr>
    </w:p>
    <w:p w14:paraId="7BA4B26D" w14:textId="77777777" w:rsidR="0093606E" w:rsidRPr="00AB6D14" w:rsidRDefault="0093606E" w:rsidP="00580861">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 The rate of increase in absorbance taken at 500 nm due to the formation of this complex is directly proportional to the concentration of creatinine in the sample. </w:t>
      </w:r>
    </w:p>
    <w:p w14:paraId="785DED4A"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p>
    <w:p w14:paraId="46652D17" w14:textId="77777777" w:rsidR="004944E5" w:rsidRPr="00AB6D14" w:rsidRDefault="004944E5" w:rsidP="000138CA">
      <w:pPr>
        <w:spacing w:after="0" w:line="360" w:lineRule="auto"/>
        <w:contextualSpacing/>
        <w:jc w:val="both"/>
        <w:rPr>
          <w:rFonts w:ascii="Times New Roman" w:eastAsia="Times New Roman" w:hAnsi="Times New Roman" w:cs="Times New Roman"/>
          <w:sz w:val="24"/>
          <w:szCs w:val="24"/>
        </w:rPr>
      </w:pPr>
    </w:p>
    <w:p w14:paraId="327F92EA" w14:textId="77777777" w:rsidR="004944E5" w:rsidRPr="00AB6D14" w:rsidRDefault="004944E5" w:rsidP="000138CA">
      <w:pPr>
        <w:spacing w:after="0" w:line="360" w:lineRule="auto"/>
        <w:contextualSpacing/>
        <w:jc w:val="both"/>
        <w:rPr>
          <w:rFonts w:ascii="Times New Roman" w:eastAsia="Times New Roman" w:hAnsi="Times New Roman" w:cs="Times New Roman"/>
          <w:sz w:val="24"/>
          <w:szCs w:val="24"/>
        </w:rPr>
      </w:pPr>
    </w:p>
    <w:p w14:paraId="6333E064" w14:textId="77777777" w:rsidR="0093606E" w:rsidRPr="00AB6D14" w:rsidRDefault="0093606E" w:rsidP="000138CA">
      <w:pPr>
        <w:spacing w:after="0" w:line="360" w:lineRule="auto"/>
        <w:ind w:firstLine="720"/>
        <w:contextualSpacing/>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lastRenderedPageBreak/>
        <w:t xml:space="preserve">Serum electrolytes such </w:t>
      </w:r>
      <w:r w:rsidR="00580861" w:rsidRPr="00AB6D14">
        <w:rPr>
          <w:rFonts w:ascii="Times New Roman" w:eastAsia="Times New Roman" w:hAnsi="Times New Roman" w:cs="Times New Roman"/>
          <w:sz w:val="24"/>
          <w:szCs w:val="24"/>
        </w:rPr>
        <w:t>as Sodium</w:t>
      </w:r>
      <w:r w:rsidRPr="00AB6D14">
        <w:rPr>
          <w:rFonts w:ascii="Times New Roman" w:eastAsia="Times New Roman" w:hAnsi="Times New Roman" w:cs="Times New Roman"/>
          <w:sz w:val="24"/>
          <w:szCs w:val="24"/>
        </w:rPr>
        <w:t>, Potas</w:t>
      </w:r>
      <w:r w:rsidR="004944E5" w:rsidRPr="00AB6D14">
        <w:rPr>
          <w:rFonts w:ascii="Times New Roman" w:eastAsia="Times New Roman" w:hAnsi="Times New Roman" w:cs="Times New Roman"/>
          <w:sz w:val="24"/>
          <w:szCs w:val="24"/>
        </w:rPr>
        <w:t>sium, Chloride and Bicarbonate were assayed.</w:t>
      </w:r>
    </w:p>
    <w:p w14:paraId="58343DCF"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Sodium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 xml:space="preserve">): Concentration of sodium in serum was assayed using the method described by trinder (1951) and Maruna (1958). The reaction is based on the ability of sodium to react with specific chromogens to produce an increase absorbance with the increase in concentration of sodium ions in the sample material. In this method, sodium is precipitated as the triple salt, sodium magnesium uranyl acetate, with the excess uranium then being reacted with ferrocynaide, producing a chromophore whose absorbance varies inversely as the concentration of sodium in the test specimen. </w:t>
      </w:r>
    </w:p>
    <w:p w14:paraId="6734141A"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p>
    <w:p w14:paraId="53F4047B"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Potassium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K</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 Serum potassium was determined suing photometric measurement of potassium ions in a protein-free filtrate which was combined with sodium tetraphenylboron as described by Sunderman (1958). In this method, the amount of potassium is determined using sodium tetraphenylboronin a specially prepared mixture to produce a colloidal suspension. The turbidity of which is proportional to</w:t>
      </w:r>
      <w:r w:rsidR="004944E5"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 xml:space="preserve">potassium concentration in the range 2-7 </w:t>
      </w:r>
      <w:proofErr w:type="spellStart"/>
      <w:r w:rsidRPr="00AB6D14">
        <w:rPr>
          <w:rFonts w:ascii="Times New Roman" w:eastAsia="Times New Roman" w:hAnsi="Times New Roman" w:cs="Times New Roman"/>
          <w:sz w:val="24"/>
          <w:szCs w:val="24"/>
        </w:rPr>
        <w:t>mEq</w:t>
      </w:r>
      <w:proofErr w:type="spellEnd"/>
      <w:r w:rsidRPr="00AB6D14">
        <w:rPr>
          <w:rFonts w:ascii="Times New Roman" w:eastAsia="Times New Roman" w:hAnsi="Times New Roman" w:cs="Times New Roman"/>
          <w:sz w:val="24"/>
          <w:szCs w:val="24"/>
        </w:rPr>
        <w:t xml:space="preserve">/L. </w:t>
      </w:r>
    </w:p>
    <w:p w14:paraId="535CD71F"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p>
    <w:p w14:paraId="2BB5A471"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Serum chloride (CI): Concentration of chloride in serum was determined using colorimetric method described by Zall </w:t>
      </w:r>
      <w:r w:rsidRPr="00AB6D14">
        <w:rPr>
          <w:rFonts w:ascii="Times New Roman" w:eastAsia="Times New Roman" w:hAnsi="Times New Roman" w:cs="Times New Roman"/>
          <w:i/>
          <w:sz w:val="24"/>
          <w:szCs w:val="24"/>
        </w:rPr>
        <w:t xml:space="preserve">et al. </w:t>
      </w:r>
      <w:r w:rsidRPr="00AB6D14">
        <w:rPr>
          <w:rFonts w:ascii="Times New Roman" w:eastAsia="Times New Roman" w:hAnsi="Times New Roman" w:cs="Times New Roman"/>
          <w:sz w:val="24"/>
          <w:szCs w:val="24"/>
        </w:rPr>
        <w:t>(1956). The chloride ion displaces thiocyanate from non-ionized mercuric thiocyanate to form mercuri</w:t>
      </w:r>
      <w:r w:rsidR="004944E5" w:rsidRPr="00AB6D14">
        <w:rPr>
          <w:rFonts w:ascii="Times New Roman" w:eastAsia="Times New Roman" w:hAnsi="Times New Roman" w:cs="Times New Roman"/>
          <w:sz w:val="24"/>
          <w:szCs w:val="24"/>
        </w:rPr>
        <w:t xml:space="preserve">c chloride and thiocyanate ions. </w:t>
      </w:r>
      <w:r w:rsidRPr="00AB6D14">
        <w:rPr>
          <w:rFonts w:ascii="Times New Roman" w:eastAsia="Times New Roman" w:hAnsi="Times New Roman" w:cs="Times New Roman"/>
          <w:sz w:val="24"/>
          <w:szCs w:val="24"/>
        </w:rPr>
        <w:t>The released</w:t>
      </w:r>
      <w:r w:rsidR="004944E5"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thiocyanate</w:t>
      </w:r>
      <w:r w:rsidR="004944E5" w:rsidRPr="00AB6D14">
        <w:rPr>
          <w:rFonts w:ascii="Times New Roman" w:eastAsia="Times New Roman" w:hAnsi="Times New Roman" w:cs="Times New Roman"/>
          <w:sz w:val="24"/>
          <w:szCs w:val="24"/>
        </w:rPr>
        <w:t xml:space="preserve"> </w:t>
      </w:r>
      <w:r w:rsidRPr="00AB6D14">
        <w:rPr>
          <w:rFonts w:ascii="Times New Roman" w:eastAsia="Times New Roman" w:hAnsi="Times New Roman" w:cs="Times New Roman"/>
          <w:sz w:val="24"/>
          <w:szCs w:val="24"/>
        </w:rPr>
        <w:t>ions react with</w:t>
      </w:r>
      <w:r w:rsidR="004944E5" w:rsidRPr="00AB6D14">
        <w:rPr>
          <w:rFonts w:ascii="Times New Roman" w:eastAsia="Times New Roman" w:hAnsi="Times New Roman" w:cs="Times New Roman"/>
          <w:sz w:val="24"/>
          <w:szCs w:val="24"/>
        </w:rPr>
        <w:t xml:space="preserve"> ferric ions to form a red colo</w:t>
      </w:r>
      <w:r w:rsidRPr="00AB6D14">
        <w:rPr>
          <w:rFonts w:ascii="Times New Roman" w:eastAsia="Times New Roman" w:hAnsi="Times New Roman" w:cs="Times New Roman"/>
          <w:sz w:val="24"/>
          <w:szCs w:val="24"/>
        </w:rPr>
        <w:t>red complex.</w:t>
      </w:r>
    </w:p>
    <w:p w14:paraId="72725744" w14:textId="77777777" w:rsidR="0093606E" w:rsidRPr="00AB6D14" w:rsidRDefault="0093606E" w:rsidP="000138CA">
      <w:pPr>
        <w:spacing w:after="0" w:line="360" w:lineRule="auto"/>
        <w:ind w:left="720"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9633887" wp14:editId="4E7C7CFE">
                <wp:simplePos x="0" y="0"/>
                <wp:positionH relativeFrom="column">
                  <wp:posOffset>2095028</wp:posOffset>
                </wp:positionH>
                <wp:positionV relativeFrom="paragraph">
                  <wp:posOffset>99695</wp:posOffset>
                </wp:positionV>
                <wp:extent cx="755650" cy="0"/>
                <wp:effectExtent l="0" t="76200" r="25400" b="95250"/>
                <wp:wrapNone/>
                <wp:docPr id="7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AD1EC" id="AutoShape 62" o:spid="_x0000_s1026" type="#_x0000_t32" style="position:absolute;margin-left:164.95pt;margin-top:7.85pt;width:59.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">
                <v:stroke endarrow="block"/>
              </v:shape>
            </w:pict>
          </mc:Fallback>
        </mc:AlternateContent>
      </w:r>
      <w:r w:rsidRPr="00AB6D14">
        <w:rPr>
          <w:rFonts w:ascii="Times New Roman" w:eastAsia="Times New Roman" w:hAnsi="Times New Roman" w:cs="Times New Roman"/>
          <w:sz w:val="24"/>
          <w:szCs w:val="24"/>
        </w:rPr>
        <w:t>Hg</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(SCN)</m:t>
            </m:r>
          </m:e>
          <m:sub>
            <m:r>
              <m:rPr>
                <m:sty m:val="p"/>
              </m:rP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 xml:space="preserve"> + 2CI</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 xml:space="preserve">    HgCl</m:t>
            </m:r>
          </m:e>
          <m:sub>
            <m:r>
              <m:rPr>
                <m:sty m:val="p"/>
              </m:rPr>
              <w:rPr>
                <w:rFonts w:ascii="Cambria Math" w:eastAsia="Times New Roman" w:hAnsi="Cambria Math" w:cs="Times New Roman"/>
                <w:sz w:val="24"/>
                <w:szCs w:val="24"/>
              </w:rPr>
              <m:t>2</m:t>
            </m:r>
          </m:sub>
        </m:sSub>
      </m:oMath>
      <w:r w:rsidRPr="00AB6D14">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SCN</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p>
    <w:p w14:paraId="278AD234" w14:textId="77777777" w:rsidR="0093606E" w:rsidRPr="00AB6D14" w:rsidRDefault="0093606E" w:rsidP="000138CA">
      <w:pPr>
        <w:spacing w:after="0" w:line="360" w:lineRule="auto"/>
        <w:ind w:left="720"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8D406F9" wp14:editId="191C4B1D">
                <wp:simplePos x="0" y="0"/>
                <wp:positionH relativeFrom="column">
                  <wp:posOffset>1992647</wp:posOffset>
                </wp:positionH>
                <wp:positionV relativeFrom="paragraph">
                  <wp:posOffset>117475</wp:posOffset>
                </wp:positionV>
                <wp:extent cx="755650" cy="0"/>
                <wp:effectExtent l="0" t="76200" r="25400" b="95250"/>
                <wp:wrapNone/>
                <wp:docPr id="7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42000" id="AutoShape 63" o:spid="_x0000_s1026" type="#_x0000_t32" style="position:absolute;margin-left:156.9pt;margin-top:9.25pt;width:59.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z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YaR&#10;Ij3M6HHvdUyNZnehQYNxBdhVamtDifSoXsyTpt8cUrrqiGp5tH49GXDOgkfyziVcnIE0u+GzZmBD&#10;IEHs1rGxfQgJfUDHOJTTbSj86BGFj/fT6WwKo6N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">
                <v:stroke endarrow="block"/>
              </v:shape>
            </w:pict>
          </mc:Fallback>
        </mc:AlternateContent>
      </w:r>
      <w:r w:rsidRPr="00AB6D14">
        <w:rPr>
          <w:rFonts w:ascii="Times New Roman" w:eastAsia="Times New Roman" w:hAnsi="Times New Roman" w:cs="Times New Roman"/>
          <w:sz w:val="24"/>
          <w:szCs w:val="24"/>
        </w:rPr>
        <w:t>3</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SCN</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Fe</m:t>
            </m:r>
          </m:e>
          <m:sup>
            <m:r>
              <m:rPr>
                <m:sty m:val="p"/>
              </m:rPr>
              <w:rPr>
                <w:rFonts w:ascii="Cambria Math" w:eastAsia="Times New Roman" w:hAnsi="Cambria Math" w:cs="Times New Roman"/>
                <w:sz w:val="24"/>
                <w:szCs w:val="24"/>
              </w:rPr>
              <m:t>3+</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Fe</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(SCN)</m:t>
            </m:r>
          </m:e>
          <m:sub>
            <m:r>
              <m:rPr>
                <m:sty m:val="p"/>
              </m:rPr>
              <w:rPr>
                <w:rFonts w:ascii="Cambria Math" w:eastAsia="Times New Roman" w:hAnsi="Cambria Math" w:cs="Times New Roman"/>
                <w:sz w:val="24"/>
                <w:szCs w:val="24"/>
              </w:rPr>
              <m:t>3</m:t>
            </m:r>
          </m:sub>
        </m:sSub>
      </m:oMath>
      <w:r w:rsidRPr="00AB6D14">
        <w:rPr>
          <w:rFonts w:ascii="Times New Roman" w:eastAsia="Times New Roman" w:hAnsi="Times New Roman" w:cs="Times New Roman"/>
          <w:sz w:val="24"/>
          <w:szCs w:val="24"/>
        </w:rPr>
        <w:t xml:space="preserve"> (red complex)   </w:t>
      </w:r>
    </w:p>
    <w:p w14:paraId="13AECA2B" w14:textId="77777777" w:rsidR="0093606E" w:rsidRPr="00AB6D14" w:rsidRDefault="004944E5"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The colo</w:t>
      </w:r>
      <w:r w:rsidR="0093606E" w:rsidRPr="00AB6D14">
        <w:rPr>
          <w:rFonts w:ascii="Times New Roman" w:eastAsia="Times New Roman" w:hAnsi="Times New Roman" w:cs="Times New Roman"/>
          <w:sz w:val="24"/>
          <w:szCs w:val="24"/>
        </w:rPr>
        <w:t>red complex formed absorbs light at 480 nm.</w:t>
      </w:r>
      <w:r w:rsidRPr="00AB6D14">
        <w:rPr>
          <w:rFonts w:ascii="Times New Roman" w:eastAsia="Times New Roman" w:hAnsi="Times New Roman" w:cs="Times New Roman"/>
          <w:sz w:val="24"/>
          <w:szCs w:val="24"/>
        </w:rPr>
        <w:t xml:space="preserve"> </w:t>
      </w:r>
      <w:r w:rsidR="0093606E" w:rsidRPr="00AB6D14">
        <w:rPr>
          <w:rFonts w:ascii="Times New Roman" w:eastAsia="Times New Roman" w:hAnsi="Times New Roman" w:cs="Times New Roman"/>
          <w:sz w:val="24"/>
          <w:szCs w:val="24"/>
        </w:rPr>
        <w:t>The</w:t>
      </w:r>
      <w:r w:rsidRPr="00AB6D14">
        <w:rPr>
          <w:rFonts w:ascii="Times New Roman" w:eastAsia="Times New Roman" w:hAnsi="Times New Roman" w:cs="Times New Roman"/>
          <w:sz w:val="24"/>
          <w:szCs w:val="24"/>
        </w:rPr>
        <w:t xml:space="preserve"> intensity of the colo</w:t>
      </w:r>
      <w:r w:rsidR="0093606E" w:rsidRPr="00AB6D14">
        <w:rPr>
          <w:rFonts w:ascii="Times New Roman" w:eastAsia="Times New Roman" w:hAnsi="Times New Roman" w:cs="Times New Roman"/>
          <w:sz w:val="24"/>
          <w:szCs w:val="24"/>
        </w:rPr>
        <w:t>r</w:t>
      </w:r>
      <w:r w:rsidRPr="00AB6D14">
        <w:rPr>
          <w:rFonts w:ascii="Times New Roman" w:eastAsia="Times New Roman" w:hAnsi="Times New Roman" w:cs="Times New Roman"/>
          <w:sz w:val="24"/>
          <w:szCs w:val="24"/>
        </w:rPr>
        <w:t xml:space="preserve"> </w:t>
      </w:r>
      <w:r w:rsidR="0093606E" w:rsidRPr="00AB6D14">
        <w:rPr>
          <w:rFonts w:ascii="Times New Roman" w:eastAsia="Times New Roman" w:hAnsi="Times New Roman" w:cs="Times New Roman"/>
          <w:sz w:val="24"/>
          <w:szCs w:val="24"/>
        </w:rPr>
        <w:t xml:space="preserve">produced is directly proportional to the chloride concentration. </w:t>
      </w:r>
    </w:p>
    <w:p w14:paraId="338E8CB8" w14:textId="77777777" w:rsidR="0093606E" w:rsidRPr="00AB6D14" w:rsidRDefault="0093606E" w:rsidP="000138CA">
      <w:pPr>
        <w:spacing w:after="0" w:line="360" w:lineRule="auto"/>
        <w:ind w:firstLine="720"/>
        <w:jc w:val="both"/>
        <w:rPr>
          <w:rFonts w:ascii="Times New Roman" w:eastAsia="Times New Roman" w:hAnsi="Times New Roman" w:cs="Times New Roman"/>
          <w:sz w:val="24"/>
          <w:szCs w:val="24"/>
        </w:rPr>
      </w:pPr>
    </w:p>
    <w:p w14:paraId="7EB9320D"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bicarbonate</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(HCO)</m:t>
            </m:r>
          </m:e>
          <m:sub>
            <m:r>
              <m:rPr>
                <m:sty m:val="p"/>
              </m:rPr>
              <w:rPr>
                <w:rFonts w:ascii="Cambria Math" w:eastAsia="Times New Roman" w:hAnsi="Cambria Math" w:cs="Times New Roman"/>
                <w:sz w:val="24"/>
                <w:szCs w:val="24"/>
              </w:rPr>
              <m:t>3</m:t>
            </m:r>
          </m:sub>
        </m:sSub>
      </m:oMath>
      <w:r w:rsidRPr="00AB6D14">
        <w:rPr>
          <w:rFonts w:ascii="Times New Roman" w:eastAsia="Times New Roman" w:hAnsi="Times New Roman" w:cs="Times New Roman"/>
          <w:sz w:val="24"/>
          <w:szCs w:val="24"/>
        </w:rPr>
        <w:t xml:space="preserve">: This assay utilizes the enzymatic method developed by Forrester </w:t>
      </w:r>
      <w:r w:rsidRPr="00AB6D14">
        <w:rPr>
          <w:rFonts w:ascii="Times New Roman" w:eastAsia="Times New Roman" w:hAnsi="Times New Roman" w:cs="Times New Roman"/>
          <w:i/>
          <w:sz w:val="24"/>
          <w:szCs w:val="24"/>
        </w:rPr>
        <w:t xml:space="preserve">et al. </w:t>
      </w:r>
      <w:r w:rsidRPr="00AB6D14">
        <w:rPr>
          <w:rFonts w:ascii="Times New Roman" w:eastAsia="Times New Roman" w:hAnsi="Times New Roman" w:cs="Times New Roman"/>
          <w:sz w:val="24"/>
          <w:szCs w:val="24"/>
        </w:rPr>
        <w:t>(1976). In this method, bicarbonate (HCO</w:t>
      </w:r>
      <w:r w:rsidRPr="00AB6D14">
        <w:rPr>
          <w:rFonts w:ascii="Times New Roman" w:eastAsia="Times New Roman" w:hAnsi="Times New Roman" w:cs="Times New Roman"/>
          <w:sz w:val="24"/>
          <w:szCs w:val="24"/>
          <w:vertAlign w:val="subscript"/>
        </w:rPr>
        <w:t>3</w:t>
      </w:r>
      <w:r w:rsidRPr="00AB6D14">
        <w:rPr>
          <w:rFonts w:ascii="Times New Roman" w:eastAsia="Times New Roman" w:hAnsi="Times New Roman" w:cs="Times New Roman"/>
          <w:sz w:val="24"/>
          <w:szCs w:val="24"/>
          <w:vertAlign w:val="superscript"/>
        </w:rPr>
        <w:t>-</w:t>
      </w:r>
      <w:r w:rsidRPr="00AB6D14">
        <w:rPr>
          <w:rFonts w:ascii="Times New Roman" w:eastAsia="Times New Roman" w:hAnsi="Times New Roman" w:cs="Times New Roman"/>
          <w:sz w:val="24"/>
          <w:szCs w:val="24"/>
        </w:rPr>
        <w:t>) and phosphoenolpyruvate (PEP) are converted to oxaloacetate and phosphate in the reaction catalyzed by phosphoenolpyruvate carboxylase (PEPC)</w:t>
      </w:r>
      <w:r w:rsidR="004944E5" w:rsidRPr="00AB6D14">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Malate dehydrogenase (MDH) catalyzed the reduction of oxaloacetate to malate with the concomitant oxidation of reduced nicotinamide adenine dinucleotide (NADH) (Equation 18).</w:t>
      </w:r>
    </w:p>
    <w:p w14:paraId="21C21A4E"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mc:AlternateContent>
          <mc:Choice Requires="wpg">
            <w:drawing>
              <wp:anchor distT="0" distB="0" distL="114300" distR="114300" simplePos="0" relativeHeight="251687936" behindDoc="0" locked="0" layoutInCell="1" allowOverlap="1" wp14:anchorId="6D7A440A" wp14:editId="06912FCB">
                <wp:simplePos x="0" y="0"/>
                <wp:positionH relativeFrom="column">
                  <wp:posOffset>1035685</wp:posOffset>
                </wp:positionH>
                <wp:positionV relativeFrom="paragraph">
                  <wp:posOffset>-156210</wp:posOffset>
                </wp:positionV>
                <wp:extent cx="1022350" cy="527050"/>
                <wp:effectExtent l="0" t="0" r="0" b="635"/>
                <wp:wrapNone/>
                <wp:docPr id="6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527050"/>
                          <a:chOff x="3071" y="3880"/>
                          <a:chExt cx="1610" cy="830"/>
                        </a:xfrm>
                      </wpg:grpSpPr>
                      <wps:wsp>
                        <wps:cNvPr id="68" name="AutoShape 65"/>
                        <wps:cNvCnPr>
                          <a:cxnSpLocks noChangeShapeType="1"/>
                        </wps:cNvCnPr>
                        <wps:spPr bwMode="auto">
                          <a:xfrm>
                            <a:off x="3140" y="4280"/>
                            <a:ext cx="1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66"/>
                        <wps:cNvSpPr>
                          <a:spLocks noChangeArrowheads="1"/>
                        </wps:cNvSpPr>
                        <wps:spPr bwMode="auto">
                          <a:xfrm>
                            <a:off x="3071" y="3880"/>
                            <a:ext cx="161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12E29" w14:textId="77777777" w:rsidR="00530944" w:rsidRDefault="00530944" w:rsidP="0093606E">
                              <w:pPr>
                                <w:jc w:val="center"/>
                                <w:rPr>
                                  <w:rFonts w:ascii="Times New Roman" w:hAnsi="Times New Roman"/>
                                  <w:sz w:val="28"/>
                                  <w:u w:val="single"/>
                                </w:rPr>
                              </w:pPr>
                              <w:r>
                                <w:rPr>
                                  <w:rFonts w:ascii="Times New Roman" w:hAnsi="Times New Roman"/>
                                  <w:sz w:val="28"/>
                                </w:rPr>
                                <w:t>PEPC</w:t>
                              </w:r>
                            </w:p>
                          </w:txbxContent>
                        </wps:txbx>
                        <wps:bodyPr rot="0" vert="horz" wrap="square" lIns="91440" tIns="45720" rIns="91440" bIns="45720" anchor="t" anchorCtr="0" upright="1">
                          <a:noAutofit/>
                        </wps:bodyPr>
                      </wps:wsp>
                      <wps:wsp>
                        <wps:cNvPr id="70" name="Rectangle 67"/>
                        <wps:cNvSpPr>
                          <a:spLocks noChangeArrowheads="1"/>
                        </wps:cNvSpPr>
                        <wps:spPr bwMode="auto">
                          <a:xfrm>
                            <a:off x="3071" y="4210"/>
                            <a:ext cx="161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5CAA2" w14:textId="77777777" w:rsidR="00530944" w:rsidRDefault="00530944" w:rsidP="0093606E">
                              <w:pPr>
                                <w:jc w:val="center"/>
                                <w:rPr>
                                  <w:rFonts w:ascii="Times New Roman" w:hAnsi="Times New Roman"/>
                                  <w:sz w:val="26"/>
                                  <w:szCs w:val="26"/>
                                  <w:u w:val="single"/>
                                </w:rPr>
                              </w:pPr>
                              <w:r>
                                <w:rPr>
                                  <w:rFonts w:ascii="Times New Roman" w:hAnsi="Times New Roman"/>
                                  <w:sz w:val="26"/>
                                  <w:szCs w:val="26"/>
                                </w:rPr>
                                <w:t>Magnesium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A440A" id="Group 64" o:spid="_x0000_s1047" style="position:absolute;left:0;text-align:left;margin-left:81.55pt;margin-top:-12.3pt;width:80.5pt;height:41.5pt;z-index:251687936" coordorigin="3071,3880" coordsize="161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">
                <v:shape id="AutoShape 65" o:spid="_x0000_s1048" type="#_x0000_t32" style="position:absolute;left:3140;top:4280;width:14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rect id="Rectangle 66" o:spid="_x0000_s1049" style="position:absolute;left:3071;top:3880;width:161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" filled="f" stroked="f">
                  <v:textbox>
                    <w:txbxContent>
                      <w:p w14:paraId="53312E29" w14:textId="77777777" w:rsidR="00530944" w:rsidRDefault="00530944" w:rsidP="0093606E">
                        <w:pPr>
                          <w:jc w:val="center"/>
                          <w:rPr>
                            <w:rFonts w:ascii="Times New Roman" w:hAnsi="Times New Roman"/>
                            <w:sz w:val="28"/>
                            <w:u w:val="single"/>
                          </w:rPr>
                        </w:pPr>
                        <w:r>
                          <w:rPr>
                            <w:rFonts w:ascii="Times New Roman" w:hAnsi="Times New Roman"/>
                            <w:sz w:val="28"/>
                          </w:rPr>
                          <w:t>PEPC</w:t>
                        </w:r>
                      </w:p>
                    </w:txbxContent>
                  </v:textbox>
                </v:rect>
                <v:rect id="Rectangle 67" o:spid="_x0000_s1050" style="position:absolute;left:3071;top:4210;width:161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" filled="f" stroked="f">
                  <v:textbox>
                    <w:txbxContent>
                      <w:p w14:paraId="3495CAA2" w14:textId="77777777" w:rsidR="00530944" w:rsidRDefault="00530944" w:rsidP="0093606E">
                        <w:pPr>
                          <w:jc w:val="center"/>
                          <w:rPr>
                            <w:rFonts w:ascii="Times New Roman" w:hAnsi="Times New Roman"/>
                            <w:sz w:val="26"/>
                            <w:szCs w:val="26"/>
                            <w:u w:val="single"/>
                          </w:rPr>
                        </w:pPr>
                        <w:r>
                          <w:rPr>
                            <w:rFonts w:ascii="Times New Roman" w:hAnsi="Times New Roman"/>
                            <w:sz w:val="26"/>
                            <w:szCs w:val="26"/>
                          </w:rPr>
                          <w:t>Magnesium</w:t>
                        </w:r>
                      </w:p>
                    </w:txbxContent>
                  </v:textbox>
                </v:rect>
              </v:group>
            </w:pict>
          </mc:Fallback>
        </mc:AlternateContent>
      </w:r>
      <w:r w:rsidRPr="00AB6D14">
        <w:rPr>
          <w:rFonts w:ascii="Times New Roman" w:eastAsia="Times New Roman" w:hAnsi="Times New Roman" w:cs="Times New Roman"/>
          <w:sz w:val="24"/>
          <w:szCs w:val="24"/>
        </w:rPr>
        <w:t>PEP +hco</w:t>
      </w:r>
      <w:r w:rsidRPr="00AB6D14">
        <w:rPr>
          <w:rFonts w:ascii="Times New Roman" w:eastAsia="Times New Roman" w:hAnsi="Times New Roman" w:cs="Times New Roman"/>
          <w:sz w:val="24"/>
          <w:szCs w:val="24"/>
          <w:vertAlign w:val="subscript"/>
        </w:rPr>
        <w:t>3</w:t>
      </w:r>
      <w:r w:rsidRPr="00AB6D14">
        <w:rPr>
          <w:rFonts w:ascii="Times New Roman" w:eastAsia="Times New Roman" w:hAnsi="Times New Roman" w:cs="Times New Roman"/>
          <w:sz w:val="24"/>
          <w:szCs w:val="24"/>
          <w:vertAlign w:val="superscript"/>
        </w:rPr>
        <w:t>-</w:t>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Oxaloacetate + H</w:t>
      </w:r>
      <w:r w:rsidRPr="00AB6D14">
        <w:rPr>
          <w:rFonts w:ascii="Times New Roman" w:eastAsia="Times New Roman" w:hAnsi="Times New Roman" w:cs="Times New Roman"/>
          <w:sz w:val="24"/>
          <w:szCs w:val="24"/>
          <w:vertAlign w:val="subscript"/>
        </w:rPr>
        <w:t>2</w:t>
      </w:r>
      <w:r w:rsidRPr="00AB6D14">
        <w:rPr>
          <w:rFonts w:ascii="Times New Roman" w:eastAsia="Times New Roman" w:hAnsi="Times New Roman" w:cs="Times New Roman"/>
          <w:sz w:val="24"/>
          <w:szCs w:val="24"/>
        </w:rPr>
        <w:t>PO</w:t>
      </w:r>
      <w:r w:rsidRPr="00AB6D14">
        <w:rPr>
          <w:rFonts w:ascii="Times New Roman" w:eastAsia="Times New Roman" w:hAnsi="Times New Roman" w:cs="Times New Roman"/>
          <w:sz w:val="24"/>
          <w:szCs w:val="24"/>
          <w:vertAlign w:val="subscript"/>
        </w:rPr>
        <w:t>4</w:t>
      </w:r>
      <w:r w:rsidRPr="00AB6D14">
        <w:rPr>
          <w:rFonts w:ascii="Times New Roman" w:eastAsia="Times New Roman" w:hAnsi="Times New Roman" w:cs="Times New Roman"/>
          <w:sz w:val="24"/>
          <w:szCs w:val="24"/>
          <w:vertAlign w:val="superscript"/>
        </w:rPr>
        <w:t>-</w:t>
      </w:r>
      <w:r w:rsidRPr="00AB6D14">
        <w:rPr>
          <w:rFonts w:ascii="Times New Roman" w:eastAsia="Times New Roman" w:hAnsi="Times New Roman" w:cs="Times New Roman"/>
          <w:sz w:val="24"/>
          <w:szCs w:val="24"/>
        </w:rPr>
        <w:t xml:space="preserve">       </w:t>
      </w:r>
    </w:p>
    <w:p w14:paraId="2E77E64C" w14:textId="77777777" w:rsidR="0093606E"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noProof/>
          <w:sz w:val="24"/>
          <w:szCs w:val="24"/>
        </w:rPr>
        <w:lastRenderedPageBreak/>
        <mc:AlternateContent>
          <mc:Choice Requires="wpg">
            <w:drawing>
              <wp:anchor distT="0" distB="0" distL="114300" distR="114300" simplePos="0" relativeHeight="251688960" behindDoc="0" locked="0" layoutInCell="1" allowOverlap="1" wp14:anchorId="0AE3317A" wp14:editId="48EDC7AC">
                <wp:simplePos x="0" y="0"/>
                <wp:positionH relativeFrom="column">
                  <wp:posOffset>1761490</wp:posOffset>
                </wp:positionH>
                <wp:positionV relativeFrom="paragraph">
                  <wp:posOffset>83820</wp:posOffset>
                </wp:positionV>
                <wp:extent cx="650240" cy="282575"/>
                <wp:effectExtent l="8890" t="0" r="17145" b="0"/>
                <wp:wrapNone/>
                <wp:docPr id="6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240" cy="282575"/>
                          <a:chOff x="4660" y="8120"/>
                          <a:chExt cx="1200" cy="445"/>
                        </a:xfrm>
                      </wpg:grpSpPr>
                      <wps:wsp>
                        <wps:cNvPr id="65" name="AutoShape 69"/>
                        <wps:cNvCnPr>
                          <a:cxnSpLocks noChangeShapeType="1"/>
                        </wps:cNvCnPr>
                        <wps:spPr bwMode="auto">
                          <a:xfrm>
                            <a:off x="4660" y="8455"/>
                            <a:ext cx="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Rectangle 70"/>
                        <wps:cNvSpPr>
                          <a:spLocks noChangeArrowheads="1"/>
                        </wps:cNvSpPr>
                        <wps:spPr bwMode="auto">
                          <a:xfrm>
                            <a:off x="4749" y="8120"/>
                            <a:ext cx="1017"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2A5B1" w14:textId="77777777" w:rsidR="00530944" w:rsidRDefault="00530944" w:rsidP="0093606E">
                              <w:pPr>
                                <w:jc w:val="center"/>
                                <w:rPr>
                                  <w:rFonts w:ascii="Times New Roman" w:hAnsi="Times New Roman"/>
                                  <w:sz w:val="24"/>
                                  <w:szCs w:val="24"/>
                                </w:rPr>
                              </w:pPr>
                              <w:r>
                                <w:rPr>
                                  <w:rFonts w:ascii="Times New Roman" w:hAnsi="Times New Roman"/>
                                  <w:sz w:val="24"/>
                                  <w:szCs w:val="24"/>
                                </w:rPr>
                                <w:t>MDH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3317A" id="Group 68" o:spid="_x0000_s1051" style="position:absolute;left:0;text-align:left;margin-left:138.7pt;margin-top:6.6pt;width:51.2pt;height:22.25pt;z-index:251688960" coordorigin="4660,8120" coordsize="120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">
                <v:shape id="AutoShape 69" o:spid="_x0000_s1052" type="#_x0000_t32" style="position:absolute;left:4660;top:8455;width:12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rect id="Rectangle 70" o:spid="_x0000_s1053" style="position:absolute;left:4749;top:8120;width:101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" filled="f" stroked="f">
                  <v:textbox>
                    <w:txbxContent>
                      <w:p w14:paraId="1132A5B1" w14:textId="77777777" w:rsidR="00530944" w:rsidRDefault="00530944" w:rsidP="0093606E">
                        <w:pPr>
                          <w:jc w:val="center"/>
                          <w:rPr>
                            <w:rFonts w:ascii="Times New Roman" w:hAnsi="Times New Roman"/>
                            <w:sz w:val="24"/>
                            <w:szCs w:val="24"/>
                          </w:rPr>
                        </w:pPr>
                        <w:r>
                          <w:rPr>
                            <w:rFonts w:ascii="Times New Roman" w:hAnsi="Times New Roman"/>
                            <w:sz w:val="24"/>
                            <w:szCs w:val="24"/>
                          </w:rPr>
                          <w:t>MDH</w:t>
                        </w:r>
                      </w:p>
                    </w:txbxContent>
                  </v:textbox>
                </v:rect>
              </v:group>
            </w:pict>
          </mc:Fallback>
        </mc:AlternateContent>
      </w:r>
    </w:p>
    <w:p w14:paraId="48CAC1C8" w14:textId="77777777" w:rsidR="004944E5"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Oxaloacetate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NADH</m:t>
            </m:r>
          </m:e>
          <m:sup>
            <m:r>
              <m:rPr>
                <m:sty m:val="p"/>
              </m:rPr>
              <w:rPr>
                <w:rFonts w:ascii="Cambria Math" w:eastAsia="Times New Roman" w:hAnsi="Cambria Math" w:cs="Times New Roman"/>
                <w:sz w:val="24"/>
                <w:szCs w:val="24"/>
              </w:rPr>
              <m:t>+</m:t>
            </m:r>
          </m:sup>
        </m:sSup>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H</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r w:rsidRPr="00AB6D14">
        <w:rPr>
          <w:rFonts w:ascii="Times New Roman" w:eastAsia="Times New Roman" w:hAnsi="Times New Roman" w:cs="Times New Roman"/>
          <w:sz w:val="24"/>
          <w:szCs w:val="24"/>
        </w:rPr>
        <w:tab/>
        <w:t xml:space="preserve">      Malate + </w:t>
      </w:r>
      <m:oMath>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NAD</m:t>
            </m:r>
          </m:e>
          <m:sup>
            <m:r>
              <m:rPr>
                <m:sty m:val="p"/>
              </m:rPr>
              <w:rPr>
                <w:rFonts w:ascii="Cambria Math" w:eastAsia="Times New Roman" w:hAnsi="Cambria Math" w:cs="Times New Roman"/>
                <w:sz w:val="24"/>
                <w:szCs w:val="24"/>
              </w:rPr>
              <m:t>+</m:t>
            </m:r>
          </m:sup>
        </m:sSup>
      </m:oMath>
      <w:r w:rsidRPr="00AB6D14">
        <w:rPr>
          <w:rFonts w:ascii="Times New Roman" w:eastAsia="Times New Roman" w:hAnsi="Times New Roman" w:cs="Times New Roman"/>
          <w:sz w:val="24"/>
          <w:szCs w:val="24"/>
        </w:rPr>
        <w:tab/>
      </w:r>
    </w:p>
    <w:p w14:paraId="2578FD22" w14:textId="77777777" w:rsidR="004944E5" w:rsidRPr="00AB6D14" w:rsidRDefault="0093606E"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This oxidation of NADH results in a decrease in absorbance of the reaction mixture measured at 405 or 415 nm, which is proportional to the concentration of bicarbonate in the sample being assayed. </w:t>
      </w:r>
    </w:p>
    <w:p w14:paraId="2D93D546" w14:textId="77777777" w:rsidR="004944E5" w:rsidRPr="00AB6D14" w:rsidRDefault="00530944" w:rsidP="000138CA">
      <w:pPr>
        <w:spacing w:after="0" w:line="360" w:lineRule="auto"/>
        <w:contextualSpacing/>
        <w:jc w:val="both"/>
        <w:rPr>
          <w:rFonts w:ascii="Times New Roman" w:eastAsia="Times New Roman" w:hAnsi="Times New Roman" w:cs="Times New Roman"/>
          <w:b/>
          <w:sz w:val="24"/>
          <w:szCs w:val="24"/>
        </w:rPr>
      </w:pPr>
      <w:bookmarkStart w:id="7" w:name="_Hlk176020232"/>
      <w:r>
        <w:rPr>
          <w:rFonts w:ascii="Times New Roman" w:eastAsia="Times New Roman" w:hAnsi="Times New Roman" w:cs="Times New Roman"/>
          <w:b/>
          <w:sz w:val="24"/>
          <w:szCs w:val="24"/>
        </w:rPr>
        <w:t xml:space="preserve">2.6 </w:t>
      </w:r>
      <w:r w:rsidR="004944E5" w:rsidRPr="00AB6D14">
        <w:rPr>
          <w:rFonts w:ascii="Times New Roman" w:eastAsia="Times New Roman" w:hAnsi="Times New Roman" w:cs="Times New Roman"/>
          <w:b/>
          <w:sz w:val="24"/>
          <w:szCs w:val="24"/>
        </w:rPr>
        <w:t xml:space="preserve">Statistical analysis </w:t>
      </w:r>
    </w:p>
    <w:p w14:paraId="1B69A2B1" w14:textId="77777777" w:rsidR="004944E5" w:rsidRPr="00AB6D14" w:rsidRDefault="004944E5"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Data were analyzed using SPSS statistical software package version 20.0 and results expressed as mean± standard error of mean (SEM). Analysis of Variance (ANOVA) and Least Significant Difference (LSD) multiple post hoc comparison tests were carried out on the data and Mean difference between groups were considered statistically significant at p&lt;0.05.</w:t>
      </w:r>
    </w:p>
    <w:p w14:paraId="3E9325FC" w14:textId="77777777" w:rsidR="004944E5" w:rsidRPr="00AB6D14" w:rsidRDefault="004944E5" w:rsidP="000138CA">
      <w:pPr>
        <w:spacing w:after="0" w:line="360" w:lineRule="auto"/>
        <w:contextualSpacing/>
        <w:jc w:val="both"/>
        <w:rPr>
          <w:rFonts w:ascii="Times New Roman" w:eastAsia="Times New Roman" w:hAnsi="Times New Roman" w:cs="Times New Roman"/>
          <w:sz w:val="24"/>
          <w:szCs w:val="24"/>
        </w:rPr>
      </w:pPr>
    </w:p>
    <w:p w14:paraId="2E250B8A" w14:textId="77777777" w:rsidR="004944E5"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 </w:t>
      </w:r>
      <w:r w:rsidR="004944E5" w:rsidRPr="00AB6D14">
        <w:rPr>
          <w:rFonts w:ascii="Times New Roman" w:eastAsia="Times New Roman" w:hAnsi="Times New Roman" w:cs="Times New Roman"/>
          <w:b/>
          <w:sz w:val="24"/>
          <w:szCs w:val="24"/>
        </w:rPr>
        <w:t xml:space="preserve">Ethical consideration </w:t>
      </w:r>
    </w:p>
    <w:p w14:paraId="5E38828D" w14:textId="77777777" w:rsidR="004944E5" w:rsidRPr="00AB6D14" w:rsidRDefault="004944E5"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Prior to the commencement of this study appr</w:t>
      </w:r>
      <w:r w:rsidR="00001385" w:rsidRPr="00AB6D14">
        <w:rPr>
          <w:rFonts w:ascii="Times New Roman" w:eastAsia="Times New Roman" w:hAnsi="Times New Roman" w:cs="Times New Roman"/>
          <w:sz w:val="24"/>
          <w:szCs w:val="24"/>
        </w:rPr>
        <w:t>oval was sought and granted by F</w:t>
      </w:r>
      <w:r w:rsidRPr="00AB6D14">
        <w:rPr>
          <w:rFonts w:ascii="Times New Roman" w:eastAsia="Times New Roman" w:hAnsi="Times New Roman" w:cs="Times New Roman"/>
          <w:sz w:val="24"/>
          <w:szCs w:val="24"/>
        </w:rPr>
        <w:t xml:space="preserve">aculty of Basic Medical Sciences Ethical Committee, University of </w:t>
      </w:r>
      <w:proofErr w:type="spellStart"/>
      <w:r w:rsidRPr="00AB6D14">
        <w:rPr>
          <w:rFonts w:ascii="Times New Roman" w:eastAsia="Times New Roman" w:hAnsi="Times New Roman" w:cs="Times New Roman"/>
          <w:sz w:val="24"/>
          <w:szCs w:val="24"/>
        </w:rPr>
        <w:t>Uyo</w:t>
      </w:r>
      <w:proofErr w:type="spellEnd"/>
      <w:r w:rsidRPr="00AB6D14">
        <w:rPr>
          <w:rFonts w:ascii="Times New Roman" w:eastAsia="Times New Roman" w:hAnsi="Times New Roman" w:cs="Times New Roman"/>
          <w:sz w:val="24"/>
          <w:szCs w:val="24"/>
        </w:rPr>
        <w:t xml:space="preserve">, Nigeria. </w:t>
      </w:r>
    </w:p>
    <w:p w14:paraId="38F537C3" w14:textId="77777777" w:rsidR="004B33F6" w:rsidRPr="00AB6D14" w:rsidRDefault="004B33F6" w:rsidP="000138CA">
      <w:pPr>
        <w:spacing w:after="0" w:line="360" w:lineRule="auto"/>
        <w:jc w:val="both"/>
        <w:rPr>
          <w:rFonts w:ascii="Times New Roman" w:eastAsia="Times New Roman" w:hAnsi="Times New Roman" w:cs="Times New Roman"/>
          <w:b/>
          <w:sz w:val="24"/>
          <w:szCs w:val="24"/>
        </w:rPr>
      </w:pPr>
    </w:p>
    <w:bookmarkEnd w:id="7"/>
    <w:p w14:paraId="3268F3D4" w14:textId="77777777" w:rsidR="004B33F6" w:rsidRPr="00AB6D14" w:rsidRDefault="004B33F6" w:rsidP="000138CA">
      <w:pPr>
        <w:spacing w:after="0" w:line="360" w:lineRule="auto"/>
        <w:jc w:val="both"/>
        <w:rPr>
          <w:rFonts w:ascii="Times New Roman" w:eastAsia="Times New Roman" w:hAnsi="Times New Roman" w:cs="Times New Roman"/>
          <w:b/>
          <w:sz w:val="24"/>
          <w:szCs w:val="24"/>
        </w:rPr>
      </w:pPr>
    </w:p>
    <w:p w14:paraId="7F5EEA7F" w14:textId="77777777" w:rsidR="0093606E" w:rsidRPr="00AB6D14" w:rsidRDefault="00530944" w:rsidP="000138C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w:t>
      </w:r>
      <w:r w:rsidR="004944E5" w:rsidRPr="00AB6D14">
        <w:rPr>
          <w:rFonts w:ascii="Times New Roman" w:eastAsia="Times New Roman" w:hAnsi="Times New Roman" w:cs="Times New Roman"/>
          <w:b/>
          <w:sz w:val="24"/>
          <w:szCs w:val="24"/>
        </w:rPr>
        <w:t xml:space="preserve">RESULTS AND DISCUSSION </w:t>
      </w:r>
    </w:p>
    <w:p w14:paraId="77570C36" w14:textId="77777777" w:rsidR="0093606E" w:rsidRPr="00AB6D14" w:rsidRDefault="00530944" w:rsidP="000138C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4B33F6" w:rsidRPr="00AB6D14">
        <w:rPr>
          <w:rFonts w:ascii="Times New Roman" w:eastAsia="Times New Roman" w:hAnsi="Times New Roman" w:cs="Times New Roman"/>
          <w:b/>
          <w:sz w:val="24"/>
          <w:szCs w:val="24"/>
        </w:rPr>
        <w:t xml:space="preserve">Results </w:t>
      </w:r>
    </w:p>
    <w:p w14:paraId="617C5A0B" w14:textId="77777777" w:rsidR="004B33F6" w:rsidRPr="00AB6D14" w:rsidRDefault="00530944" w:rsidP="000138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3.1.1 </w:t>
      </w:r>
      <w:r w:rsidR="004B33F6" w:rsidRPr="00AB6D14">
        <w:rPr>
          <w:rFonts w:ascii="Times New Roman" w:hAnsi="Times New Roman" w:cs="Times New Roman"/>
          <w:b/>
          <w:sz w:val="24"/>
          <w:szCs w:val="24"/>
        </w:rPr>
        <w:t>Assay of Hepatic Enzymes and Concentration of Serum Activities:</w:t>
      </w:r>
    </w:p>
    <w:p w14:paraId="7A973D85" w14:textId="77777777" w:rsidR="004B33F6" w:rsidRPr="00AB6D14" w:rsidRDefault="004B33F6" w:rsidP="000138CA">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Table 1 shows the Mean ± SD of activities of Alanine amino transferase (ALT), aspartate amino transferase (AST), alkaline phosphatase (ALP) and concentration of albumin (ALB), total protein (TP) and total bilirubin (T-Bil) of male albino Wistar rats treated with first and second line FDC antiretroviral drugs. From the result, it was observed that rats administered with first line regimen differed significantly (p&lt;0.05) with high activity of serum ALT observed at 15 days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and 30 days (Groups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respectively</w:t>
      </w:r>
    </w:p>
    <w:p w14:paraId="17201C3E" w14:textId="77777777" w:rsidR="004B33F6" w:rsidRPr="00AB6D14" w:rsidRDefault="004B33F6" w:rsidP="000138CA">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Then switched to second fixed dose, when compared with control (Group A). Animals in Group A showed time-dependent increase in ALT activity when compared with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Serum ALT activity of rats treated with second line regimen for 15 days (Group C</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and 30 days (Group C</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did not differ significantly (p&lt;0.05) in serum ALT in Groups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and D</w:t>
      </w:r>
      <w:r w:rsidRPr="00AB6D14">
        <w:rPr>
          <w:rFonts w:ascii="Times New Roman" w:hAnsi="Times New Roman" w:cs="Times New Roman"/>
          <w:sz w:val="24"/>
          <w:szCs w:val="24"/>
          <w:vertAlign w:val="subscript"/>
        </w:rPr>
        <w:t>2</w:t>
      </w:r>
      <w:r w:rsidR="00447759" w:rsidRPr="00AB6D14">
        <w:rPr>
          <w:rFonts w:ascii="Times New Roman" w:hAnsi="Times New Roman" w:cs="Times New Roman"/>
          <w:sz w:val="24"/>
          <w:szCs w:val="24"/>
          <w:vertAlign w:val="subscript"/>
        </w:rPr>
        <w:t xml:space="preserve"> </w:t>
      </w:r>
      <w:r w:rsidRPr="00AB6D14">
        <w:rPr>
          <w:rFonts w:ascii="Times New Roman" w:hAnsi="Times New Roman" w:cs="Times New Roman"/>
          <w:sz w:val="24"/>
          <w:szCs w:val="24"/>
        </w:rPr>
        <w:t>(rats treated with first line for 30 days then switched to second line for 15 and 30 days respectively) when compared with rats in control group.</w:t>
      </w:r>
    </w:p>
    <w:p w14:paraId="45E832FE" w14:textId="77777777" w:rsidR="004B33F6" w:rsidRPr="00AB6D14" w:rsidRDefault="004B33F6" w:rsidP="000138CA">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lastRenderedPageBreak/>
        <w:t>No significant difference (p&gt;0.05) in AST activity was observed in rats treated with first line regimen for 15 days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but high activity of Serum AST was observed with significant increase (P&lt;0.05) in rats treated with first line regimen for 30 days (Group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w:t>
      </w:r>
    </w:p>
    <w:p w14:paraId="77F90426" w14:textId="77777777" w:rsidR="004B33F6" w:rsidRDefault="004B33F6" w:rsidP="00530944">
      <w:pPr>
        <w:spacing w:after="0"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Then switched to second fixed dose line regimen for 45 days (Group D</w:t>
      </w:r>
      <w:r w:rsidRPr="00AB6D14">
        <w:rPr>
          <w:rFonts w:ascii="Times New Roman" w:hAnsi="Times New Roman" w:cs="Times New Roman"/>
          <w:sz w:val="24"/>
          <w:szCs w:val="24"/>
          <w:vertAlign w:val="subscript"/>
        </w:rPr>
        <w:t xml:space="preserve">1 </w:t>
      </w:r>
      <w:r w:rsidRPr="00AB6D14">
        <w:rPr>
          <w:rFonts w:ascii="Times New Roman" w:hAnsi="Times New Roman" w:cs="Times New Roman"/>
          <w:sz w:val="24"/>
          <w:szCs w:val="24"/>
          <w:vertAlign w:val="subscript"/>
        </w:rPr>
        <w:softHyphen/>
      </w:r>
      <w:r w:rsidRPr="00AB6D14">
        <w:rPr>
          <w:rFonts w:ascii="Times New Roman" w:hAnsi="Times New Roman" w:cs="Times New Roman"/>
          <w:sz w:val="24"/>
          <w:szCs w:val="24"/>
        </w:rPr>
        <w:softHyphen/>
      </w:r>
      <w:r w:rsidRPr="00AB6D14">
        <w:rPr>
          <w:rFonts w:ascii="Times New Roman" w:hAnsi="Times New Roman" w:cs="Times New Roman"/>
          <w:sz w:val="24"/>
          <w:szCs w:val="24"/>
        </w:rPr>
        <w:softHyphen/>
        <w:t>- 45 days) when compared with control. There was also a significant (P&lt;0.05) increase in serum AST in Groups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C</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C</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and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when compared with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However, significant reduction (P&lt;0.05) in serum AST was observed in rats treated with first line </w:t>
      </w:r>
    </w:p>
    <w:p w14:paraId="272129C1" w14:textId="77777777" w:rsidR="00FB53E6" w:rsidRPr="00AB6D14" w:rsidRDefault="00FB53E6" w:rsidP="00FB53E6">
      <w:pPr>
        <w:spacing w:after="0" w:line="360" w:lineRule="auto"/>
        <w:jc w:val="both"/>
        <w:rPr>
          <w:rFonts w:ascii="Times New Roman" w:eastAsia="Times New Roman" w:hAnsi="Times New Roman" w:cs="Times New Roman"/>
          <w:sz w:val="24"/>
          <w:szCs w:val="24"/>
        </w:rPr>
        <w:sectPr w:rsidR="00FB53E6" w:rsidRPr="00AB6D14" w:rsidSect="000E08EC">
          <w:headerReference w:type="even" r:id="rId7"/>
          <w:headerReference w:type="default" r:id="rId8"/>
          <w:footerReference w:type="even" r:id="rId9"/>
          <w:footerReference w:type="default" r:id="rId10"/>
          <w:headerReference w:type="first" r:id="rId11"/>
          <w:footerReference w:type="first" r:id="rId12"/>
          <w:pgSz w:w="11909" w:h="16834"/>
          <w:pgMar w:top="1170" w:right="1440" w:bottom="1440" w:left="2160" w:header="720" w:footer="720" w:gutter="0"/>
          <w:cols w:space="720"/>
        </w:sectPr>
      </w:pPr>
    </w:p>
    <w:p w14:paraId="3E4BA602" w14:textId="77777777" w:rsidR="004B33F6" w:rsidRPr="00A01F80" w:rsidRDefault="004B33F6" w:rsidP="00FB53E6">
      <w:pPr>
        <w:spacing w:after="0" w:line="240" w:lineRule="auto"/>
        <w:ind w:left="-900" w:right="-1141"/>
        <w:jc w:val="both"/>
        <w:rPr>
          <w:rFonts w:ascii="Times New Roman" w:eastAsia="Times New Roman" w:hAnsi="Times New Roman" w:cs="Times New Roman"/>
          <w:b/>
          <w:sz w:val="14"/>
          <w:szCs w:val="14"/>
        </w:rPr>
      </w:pPr>
      <w:r w:rsidRPr="00A01F80">
        <w:rPr>
          <w:rFonts w:ascii="Times New Roman" w:eastAsia="Times New Roman" w:hAnsi="Times New Roman" w:cs="Times New Roman"/>
          <w:b/>
          <w:sz w:val="14"/>
          <w:szCs w:val="14"/>
        </w:rPr>
        <w:lastRenderedPageBreak/>
        <w:t>Table 1: Effect of treatment with first and second line FDC antiretroviral drugs (17.14/</w:t>
      </w:r>
      <w:proofErr w:type="spellStart"/>
      <w:r w:rsidRPr="00A01F80">
        <w:rPr>
          <w:rFonts w:ascii="Times New Roman" w:eastAsia="Times New Roman" w:hAnsi="Times New Roman" w:cs="Times New Roman"/>
          <w:b/>
          <w:sz w:val="14"/>
          <w:szCs w:val="14"/>
        </w:rPr>
        <w:t>kgbwt</w:t>
      </w:r>
      <w:proofErr w:type="spellEnd"/>
      <w:r w:rsidRPr="00A01F80">
        <w:rPr>
          <w:rFonts w:ascii="Times New Roman" w:eastAsia="Times New Roman" w:hAnsi="Times New Roman" w:cs="Times New Roman"/>
          <w:b/>
          <w:sz w:val="14"/>
          <w:szCs w:val="14"/>
        </w:rPr>
        <w:t>/24hof EFV/3TC/TDF and 6.43 mg/</w:t>
      </w:r>
      <w:proofErr w:type="spellStart"/>
      <w:r w:rsidRPr="00A01F80">
        <w:rPr>
          <w:rFonts w:ascii="Times New Roman" w:eastAsia="Times New Roman" w:hAnsi="Times New Roman" w:cs="Times New Roman"/>
          <w:b/>
          <w:sz w:val="14"/>
          <w:szCs w:val="14"/>
        </w:rPr>
        <w:t>kgbwt</w:t>
      </w:r>
      <w:proofErr w:type="spellEnd"/>
      <w:r w:rsidRPr="00A01F80">
        <w:rPr>
          <w:rFonts w:ascii="Times New Roman" w:eastAsia="Times New Roman" w:hAnsi="Times New Roman" w:cs="Times New Roman"/>
          <w:b/>
          <w:sz w:val="14"/>
          <w:szCs w:val="14"/>
        </w:rPr>
        <w:t>/12h of 3TC/ZDV + 3.57mg/</w:t>
      </w:r>
      <w:proofErr w:type="spellStart"/>
      <w:r w:rsidRPr="00A01F80">
        <w:rPr>
          <w:rFonts w:ascii="Times New Roman" w:eastAsia="Times New Roman" w:hAnsi="Times New Roman" w:cs="Times New Roman"/>
          <w:b/>
          <w:sz w:val="14"/>
          <w:szCs w:val="14"/>
        </w:rPr>
        <w:t>kgbwt</w:t>
      </w:r>
      <w:proofErr w:type="spellEnd"/>
      <w:r w:rsidRPr="00A01F80">
        <w:rPr>
          <w:rFonts w:ascii="Times New Roman" w:eastAsia="Times New Roman" w:hAnsi="Times New Roman" w:cs="Times New Roman"/>
          <w:b/>
          <w:sz w:val="14"/>
          <w:szCs w:val="14"/>
        </w:rPr>
        <w:t>/12h of LPV/r) on hepatic function parameter in male albino Wistar rats</w:t>
      </w:r>
    </w:p>
    <w:tbl>
      <w:tblPr>
        <w:tblStyle w:val="TableGrid"/>
        <w:tblW w:w="14220" w:type="dxa"/>
        <w:tblInd w:w="-990" w:type="dxa"/>
        <w:tblLayout w:type="fixed"/>
        <w:tblLook w:val="04A0" w:firstRow="1" w:lastRow="0" w:firstColumn="1" w:lastColumn="0" w:noHBand="0" w:noVBand="1"/>
      </w:tblPr>
      <w:tblGrid>
        <w:gridCol w:w="2160"/>
        <w:gridCol w:w="1530"/>
        <w:gridCol w:w="2070"/>
        <w:gridCol w:w="1440"/>
        <w:gridCol w:w="1710"/>
        <w:gridCol w:w="1620"/>
        <w:gridCol w:w="2160"/>
        <w:gridCol w:w="1530"/>
      </w:tblGrid>
      <w:tr w:rsidR="004B33F6" w:rsidRPr="00A01F80" w14:paraId="23CE0FB4" w14:textId="77777777" w:rsidTr="00FB53E6">
        <w:tc>
          <w:tcPr>
            <w:tcW w:w="2160" w:type="dxa"/>
            <w:tcBorders>
              <w:top w:val="single" w:sz="4" w:space="0" w:color="auto"/>
              <w:left w:val="nil"/>
              <w:bottom w:val="single" w:sz="4" w:space="0" w:color="auto"/>
              <w:right w:val="nil"/>
            </w:tcBorders>
            <w:hideMark/>
          </w:tcPr>
          <w:p w14:paraId="772C6CD8"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GROUPS</w:t>
            </w:r>
          </w:p>
          <w:p w14:paraId="7E589DAA"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(n=5)</w:t>
            </w:r>
          </w:p>
        </w:tc>
        <w:tc>
          <w:tcPr>
            <w:tcW w:w="1530" w:type="dxa"/>
            <w:tcBorders>
              <w:top w:val="single" w:sz="4" w:space="0" w:color="auto"/>
              <w:left w:val="nil"/>
              <w:bottom w:val="single" w:sz="4" w:space="0" w:color="auto"/>
              <w:right w:val="nil"/>
            </w:tcBorders>
            <w:hideMark/>
          </w:tcPr>
          <w:p w14:paraId="28A5850F"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ALT</w:t>
            </w:r>
          </w:p>
          <w:p w14:paraId="70EE657D"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(UL)</w:t>
            </w:r>
          </w:p>
        </w:tc>
        <w:tc>
          <w:tcPr>
            <w:tcW w:w="2070" w:type="dxa"/>
            <w:tcBorders>
              <w:top w:val="single" w:sz="4" w:space="0" w:color="auto"/>
              <w:left w:val="nil"/>
              <w:bottom w:val="single" w:sz="4" w:space="0" w:color="auto"/>
              <w:right w:val="nil"/>
            </w:tcBorders>
            <w:hideMark/>
          </w:tcPr>
          <w:p w14:paraId="04B872D6"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AST</w:t>
            </w:r>
          </w:p>
          <w:p w14:paraId="331A2A20"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(UL)</w:t>
            </w:r>
          </w:p>
        </w:tc>
        <w:tc>
          <w:tcPr>
            <w:tcW w:w="1440" w:type="dxa"/>
            <w:tcBorders>
              <w:top w:val="single" w:sz="4" w:space="0" w:color="auto"/>
              <w:left w:val="nil"/>
              <w:bottom w:val="single" w:sz="4" w:space="0" w:color="auto"/>
              <w:right w:val="nil"/>
            </w:tcBorders>
            <w:hideMark/>
          </w:tcPr>
          <w:p w14:paraId="0DCED1D0"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ALT/AST</w:t>
            </w:r>
          </w:p>
        </w:tc>
        <w:tc>
          <w:tcPr>
            <w:tcW w:w="1710" w:type="dxa"/>
            <w:tcBorders>
              <w:top w:val="single" w:sz="4" w:space="0" w:color="auto"/>
              <w:left w:val="nil"/>
              <w:bottom w:val="single" w:sz="4" w:space="0" w:color="auto"/>
              <w:right w:val="nil"/>
            </w:tcBorders>
            <w:hideMark/>
          </w:tcPr>
          <w:p w14:paraId="5253D747"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ALP</w:t>
            </w:r>
          </w:p>
          <w:p w14:paraId="757699E7"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(UL)</w:t>
            </w:r>
          </w:p>
        </w:tc>
        <w:tc>
          <w:tcPr>
            <w:tcW w:w="1620" w:type="dxa"/>
            <w:tcBorders>
              <w:top w:val="single" w:sz="4" w:space="0" w:color="auto"/>
              <w:left w:val="nil"/>
              <w:bottom w:val="single" w:sz="4" w:space="0" w:color="auto"/>
              <w:right w:val="nil"/>
            </w:tcBorders>
            <w:hideMark/>
          </w:tcPr>
          <w:p w14:paraId="61FB2E53"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ALB</w:t>
            </w:r>
          </w:p>
          <w:p w14:paraId="7C2D0648"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(g/L)</w:t>
            </w:r>
          </w:p>
        </w:tc>
        <w:tc>
          <w:tcPr>
            <w:tcW w:w="2160" w:type="dxa"/>
            <w:tcBorders>
              <w:top w:val="single" w:sz="4" w:space="0" w:color="auto"/>
              <w:left w:val="nil"/>
              <w:bottom w:val="single" w:sz="4" w:space="0" w:color="auto"/>
              <w:right w:val="nil"/>
            </w:tcBorders>
            <w:hideMark/>
          </w:tcPr>
          <w:p w14:paraId="6656FA14"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TP</w:t>
            </w:r>
          </w:p>
          <w:p w14:paraId="31C4D045"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(g/dl)</w:t>
            </w:r>
          </w:p>
        </w:tc>
        <w:tc>
          <w:tcPr>
            <w:tcW w:w="1530" w:type="dxa"/>
            <w:tcBorders>
              <w:top w:val="single" w:sz="4" w:space="0" w:color="auto"/>
              <w:left w:val="nil"/>
              <w:bottom w:val="single" w:sz="4" w:space="0" w:color="auto"/>
              <w:right w:val="nil"/>
            </w:tcBorders>
            <w:hideMark/>
          </w:tcPr>
          <w:p w14:paraId="6676BC55"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T-BIL</w:t>
            </w:r>
          </w:p>
          <w:p w14:paraId="7423FDD7" w14:textId="77777777" w:rsidR="004B33F6" w:rsidRPr="00A01F80" w:rsidRDefault="004B33F6" w:rsidP="000138CA">
            <w:pPr>
              <w:spacing w:line="360" w:lineRule="auto"/>
              <w:jc w:val="center"/>
              <w:rPr>
                <w:rFonts w:ascii="Times New Roman" w:hAnsi="Times New Roman"/>
                <w:sz w:val="14"/>
                <w:szCs w:val="14"/>
              </w:rPr>
            </w:pPr>
            <w:r w:rsidRPr="00A01F80">
              <w:rPr>
                <w:rFonts w:ascii="Times New Roman" w:hAnsi="Times New Roman"/>
                <w:sz w:val="14"/>
                <w:szCs w:val="14"/>
              </w:rPr>
              <w:t>(</w:t>
            </w:r>
            <w:proofErr w:type="spellStart"/>
            <w:r w:rsidRPr="00A01F80">
              <w:rPr>
                <w:rFonts w:ascii="Times New Roman" w:hAnsi="Times New Roman"/>
                <w:sz w:val="14"/>
                <w:szCs w:val="14"/>
              </w:rPr>
              <w:t>umol</w:t>
            </w:r>
            <w:proofErr w:type="spellEnd"/>
            <w:r w:rsidRPr="00A01F80">
              <w:rPr>
                <w:rFonts w:ascii="Times New Roman" w:hAnsi="Times New Roman"/>
                <w:sz w:val="14"/>
                <w:szCs w:val="14"/>
              </w:rPr>
              <w:t>/L)</w:t>
            </w:r>
          </w:p>
        </w:tc>
      </w:tr>
      <w:tr w:rsidR="004B33F6" w:rsidRPr="00A01F80" w14:paraId="26BDDC79" w14:textId="77777777" w:rsidTr="00FB53E6">
        <w:tc>
          <w:tcPr>
            <w:tcW w:w="2160" w:type="dxa"/>
            <w:tcBorders>
              <w:top w:val="single" w:sz="4" w:space="0" w:color="auto"/>
              <w:left w:val="nil"/>
              <w:bottom w:val="nil"/>
              <w:right w:val="nil"/>
            </w:tcBorders>
            <w:hideMark/>
          </w:tcPr>
          <w:p w14:paraId="333D23C4"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A (Control)</w:t>
            </w:r>
          </w:p>
        </w:tc>
        <w:tc>
          <w:tcPr>
            <w:tcW w:w="1530" w:type="dxa"/>
            <w:tcBorders>
              <w:top w:val="single" w:sz="4" w:space="0" w:color="auto"/>
              <w:left w:val="nil"/>
              <w:bottom w:val="nil"/>
              <w:right w:val="nil"/>
            </w:tcBorders>
            <w:hideMark/>
          </w:tcPr>
          <w:p w14:paraId="4B91D298"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48.83 ± 1.88</w:t>
            </w:r>
          </w:p>
        </w:tc>
        <w:tc>
          <w:tcPr>
            <w:tcW w:w="2070" w:type="dxa"/>
            <w:tcBorders>
              <w:top w:val="single" w:sz="4" w:space="0" w:color="auto"/>
              <w:left w:val="nil"/>
              <w:bottom w:val="nil"/>
              <w:right w:val="nil"/>
            </w:tcBorders>
            <w:hideMark/>
          </w:tcPr>
          <w:p w14:paraId="3448FA7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127.80 ± 10.07</w:t>
            </w:r>
          </w:p>
        </w:tc>
        <w:tc>
          <w:tcPr>
            <w:tcW w:w="1440" w:type="dxa"/>
            <w:tcBorders>
              <w:top w:val="single" w:sz="4" w:space="0" w:color="auto"/>
              <w:left w:val="nil"/>
              <w:bottom w:val="nil"/>
              <w:right w:val="nil"/>
            </w:tcBorders>
            <w:hideMark/>
          </w:tcPr>
          <w:p w14:paraId="6EBE957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2.84 ± 0.39</w:t>
            </w:r>
          </w:p>
        </w:tc>
        <w:tc>
          <w:tcPr>
            <w:tcW w:w="1710" w:type="dxa"/>
            <w:tcBorders>
              <w:top w:val="single" w:sz="4" w:space="0" w:color="auto"/>
              <w:left w:val="nil"/>
              <w:bottom w:val="nil"/>
              <w:right w:val="nil"/>
            </w:tcBorders>
            <w:hideMark/>
          </w:tcPr>
          <w:p w14:paraId="20796421"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22.00 ± 1.15</w:t>
            </w:r>
          </w:p>
        </w:tc>
        <w:tc>
          <w:tcPr>
            <w:tcW w:w="1620" w:type="dxa"/>
            <w:tcBorders>
              <w:top w:val="single" w:sz="4" w:space="0" w:color="auto"/>
              <w:left w:val="nil"/>
              <w:bottom w:val="nil"/>
              <w:right w:val="nil"/>
            </w:tcBorders>
            <w:hideMark/>
          </w:tcPr>
          <w:p w14:paraId="6C0314B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28.05 ± 1.40</w:t>
            </w:r>
          </w:p>
        </w:tc>
        <w:tc>
          <w:tcPr>
            <w:tcW w:w="2160" w:type="dxa"/>
            <w:tcBorders>
              <w:top w:val="single" w:sz="4" w:space="0" w:color="auto"/>
              <w:left w:val="nil"/>
              <w:bottom w:val="nil"/>
              <w:right w:val="nil"/>
            </w:tcBorders>
            <w:hideMark/>
          </w:tcPr>
          <w:p w14:paraId="4D3F6CD4"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7.99 ± 0.28</w:t>
            </w:r>
          </w:p>
        </w:tc>
        <w:tc>
          <w:tcPr>
            <w:tcW w:w="1530" w:type="dxa"/>
            <w:tcBorders>
              <w:top w:val="single" w:sz="4" w:space="0" w:color="auto"/>
              <w:left w:val="nil"/>
              <w:bottom w:val="nil"/>
              <w:right w:val="nil"/>
            </w:tcBorders>
            <w:hideMark/>
          </w:tcPr>
          <w:p w14:paraId="153ED6A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3.63 ± 0.31</w:t>
            </w:r>
          </w:p>
        </w:tc>
      </w:tr>
      <w:tr w:rsidR="004B33F6" w:rsidRPr="00A01F80" w14:paraId="28F57752" w14:textId="77777777" w:rsidTr="00FB53E6">
        <w:tc>
          <w:tcPr>
            <w:tcW w:w="2160" w:type="dxa"/>
            <w:tcBorders>
              <w:top w:val="nil"/>
              <w:left w:val="nil"/>
              <w:bottom w:val="nil"/>
              <w:right w:val="nil"/>
            </w:tcBorders>
            <w:hideMark/>
          </w:tcPr>
          <w:p w14:paraId="5CBFE7F2"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B</w:t>
            </w:r>
            <w:r w:rsidRPr="00A01F80">
              <w:rPr>
                <w:rFonts w:ascii="Times New Roman" w:hAnsi="Times New Roman"/>
                <w:sz w:val="14"/>
                <w:szCs w:val="14"/>
                <w:vertAlign w:val="subscript"/>
              </w:rPr>
              <w:t>1</w:t>
            </w:r>
            <w:r w:rsidRPr="00A01F80">
              <w:rPr>
                <w:rFonts w:ascii="Times New Roman" w:hAnsi="Times New Roman"/>
                <w:sz w:val="14"/>
                <w:szCs w:val="14"/>
              </w:rPr>
              <w:t xml:space="preserve"> (1st line) 15days</w:t>
            </w:r>
          </w:p>
        </w:tc>
        <w:tc>
          <w:tcPr>
            <w:tcW w:w="1530" w:type="dxa"/>
            <w:tcBorders>
              <w:top w:val="nil"/>
              <w:left w:val="nil"/>
              <w:bottom w:val="nil"/>
              <w:right w:val="nil"/>
            </w:tcBorders>
            <w:hideMark/>
          </w:tcPr>
          <w:p w14:paraId="49320E86"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59.05 ± 3.66</w:t>
            </w:r>
            <w:r w:rsidRPr="00A01F80">
              <w:rPr>
                <w:rFonts w:ascii="Times New Roman" w:hAnsi="Times New Roman"/>
                <w:sz w:val="14"/>
                <w:szCs w:val="14"/>
                <w:vertAlign w:val="superscript"/>
              </w:rPr>
              <w:t>a</w:t>
            </w:r>
          </w:p>
        </w:tc>
        <w:tc>
          <w:tcPr>
            <w:tcW w:w="2070" w:type="dxa"/>
            <w:tcBorders>
              <w:top w:val="nil"/>
              <w:left w:val="nil"/>
              <w:bottom w:val="nil"/>
              <w:right w:val="nil"/>
            </w:tcBorders>
            <w:hideMark/>
          </w:tcPr>
          <w:p w14:paraId="2063FBD4"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95.37 ± 3.74</w:t>
            </w:r>
          </w:p>
        </w:tc>
        <w:tc>
          <w:tcPr>
            <w:tcW w:w="1440" w:type="dxa"/>
            <w:tcBorders>
              <w:top w:val="nil"/>
              <w:left w:val="nil"/>
              <w:bottom w:val="nil"/>
              <w:right w:val="nil"/>
            </w:tcBorders>
            <w:hideMark/>
          </w:tcPr>
          <w:p w14:paraId="36C0C2F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2.37 ± 0.50</w:t>
            </w:r>
          </w:p>
        </w:tc>
        <w:tc>
          <w:tcPr>
            <w:tcW w:w="1710" w:type="dxa"/>
            <w:tcBorders>
              <w:top w:val="nil"/>
              <w:left w:val="nil"/>
              <w:bottom w:val="nil"/>
              <w:right w:val="nil"/>
            </w:tcBorders>
            <w:hideMark/>
          </w:tcPr>
          <w:p w14:paraId="1C054EF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72.50 ± 7.79</w:t>
            </w:r>
          </w:p>
        </w:tc>
        <w:tc>
          <w:tcPr>
            <w:tcW w:w="1620" w:type="dxa"/>
            <w:tcBorders>
              <w:top w:val="nil"/>
              <w:left w:val="nil"/>
              <w:bottom w:val="nil"/>
              <w:right w:val="nil"/>
            </w:tcBorders>
            <w:hideMark/>
          </w:tcPr>
          <w:p w14:paraId="12B3E2A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28.13 ± 0.83</w:t>
            </w:r>
          </w:p>
        </w:tc>
        <w:tc>
          <w:tcPr>
            <w:tcW w:w="2160" w:type="dxa"/>
            <w:tcBorders>
              <w:top w:val="nil"/>
              <w:left w:val="nil"/>
              <w:bottom w:val="nil"/>
              <w:right w:val="nil"/>
            </w:tcBorders>
            <w:hideMark/>
          </w:tcPr>
          <w:p w14:paraId="1A0BEB7B"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8.63 ±0.11</w:t>
            </w:r>
          </w:p>
        </w:tc>
        <w:tc>
          <w:tcPr>
            <w:tcW w:w="1530" w:type="dxa"/>
            <w:tcBorders>
              <w:top w:val="nil"/>
              <w:left w:val="nil"/>
              <w:bottom w:val="nil"/>
              <w:right w:val="nil"/>
            </w:tcBorders>
            <w:hideMark/>
          </w:tcPr>
          <w:p w14:paraId="56557EF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12.05 ± 0.99</w:t>
            </w:r>
          </w:p>
        </w:tc>
      </w:tr>
      <w:tr w:rsidR="004B33F6" w:rsidRPr="00A01F80" w14:paraId="78EDBA7F" w14:textId="77777777" w:rsidTr="00FB53E6">
        <w:trPr>
          <w:trHeight w:val="360"/>
        </w:trPr>
        <w:tc>
          <w:tcPr>
            <w:tcW w:w="2160" w:type="dxa"/>
            <w:tcBorders>
              <w:top w:val="nil"/>
              <w:left w:val="nil"/>
              <w:bottom w:val="nil"/>
              <w:right w:val="nil"/>
            </w:tcBorders>
            <w:hideMark/>
          </w:tcPr>
          <w:p w14:paraId="6BEF3C3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B</w:t>
            </w:r>
            <w:r w:rsidRPr="00A01F80">
              <w:rPr>
                <w:rFonts w:ascii="Times New Roman" w:hAnsi="Times New Roman"/>
                <w:sz w:val="14"/>
                <w:szCs w:val="14"/>
                <w:vertAlign w:val="subscript"/>
              </w:rPr>
              <w:t>2</w:t>
            </w:r>
            <w:r w:rsidR="00FB53E6" w:rsidRPr="00A01F80">
              <w:rPr>
                <w:rFonts w:ascii="Times New Roman" w:hAnsi="Times New Roman"/>
                <w:sz w:val="14"/>
                <w:szCs w:val="14"/>
              </w:rPr>
              <w:t>(2nd line) 30 d</w:t>
            </w:r>
            <w:r w:rsidRPr="00A01F80">
              <w:rPr>
                <w:rFonts w:ascii="Times New Roman" w:hAnsi="Times New Roman"/>
                <w:sz w:val="14"/>
                <w:szCs w:val="14"/>
              </w:rPr>
              <w:t>ays</w:t>
            </w:r>
          </w:p>
        </w:tc>
        <w:tc>
          <w:tcPr>
            <w:tcW w:w="1530" w:type="dxa"/>
            <w:tcBorders>
              <w:top w:val="nil"/>
              <w:left w:val="nil"/>
              <w:bottom w:val="nil"/>
              <w:right w:val="nil"/>
            </w:tcBorders>
            <w:hideMark/>
          </w:tcPr>
          <w:p w14:paraId="53E6B385"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63.90±6.98</w:t>
            </w:r>
            <w:r w:rsidRPr="00A01F80">
              <w:rPr>
                <w:rFonts w:ascii="Times New Roman" w:hAnsi="Times New Roman"/>
                <w:sz w:val="14"/>
                <w:szCs w:val="14"/>
                <w:vertAlign w:val="superscript"/>
              </w:rPr>
              <w:t>ab</w:t>
            </w:r>
          </w:p>
        </w:tc>
        <w:tc>
          <w:tcPr>
            <w:tcW w:w="2070" w:type="dxa"/>
            <w:tcBorders>
              <w:top w:val="nil"/>
              <w:left w:val="nil"/>
              <w:bottom w:val="nil"/>
              <w:right w:val="nil"/>
            </w:tcBorders>
            <w:hideMark/>
          </w:tcPr>
          <w:p w14:paraId="5481DA8B"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139.37 ± 8.92</w:t>
            </w:r>
            <w:r w:rsidRPr="00A01F80">
              <w:rPr>
                <w:rFonts w:ascii="Times New Roman" w:hAnsi="Times New Roman"/>
                <w:sz w:val="14"/>
                <w:szCs w:val="14"/>
                <w:vertAlign w:val="superscript"/>
              </w:rPr>
              <w:t>b</w:t>
            </w:r>
          </w:p>
        </w:tc>
        <w:tc>
          <w:tcPr>
            <w:tcW w:w="1440" w:type="dxa"/>
            <w:tcBorders>
              <w:top w:val="nil"/>
              <w:left w:val="nil"/>
              <w:bottom w:val="nil"/>
              <w:right w:val="nil"/>
            </w:tcBorders>
            <w:hideMark/>
          </w:tcPr>
          <w:p w14:paraId="14A9EF8C"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3.05 ± 0.53</w:t>
            </w:r>
          </w:p>
        </w:tc>
        <w:tc>
          <w:tcPr>
            <w:tcW w:w="1710" w:type="dxa"/>
            <w:tcBorders>
              <w:top w:val="nil"/>
              <w:left w:val="nil"/>
              <w:bottom w:val="nil"/>
              <w:right w:val="nil"/>
            </w:tcBorders>
            <w:hideMark/>
          </w:tcPr>
          <w:p w14:paraId="56579AA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158.50 ± 8.66</w:t>
            </w:r>
          </w:p>
        </w:tc>
        <w:tc>
          <w:tcPr>
            <w:tcW w:w="1620" w:type="dxa"/>
            <w:tcBorders>
              <w:top w:val="nil"/>
              <w:left w:val="nil"/>
              <w:bottom w:val="nil"/>
              <w:right w:val="nil"/>
            </w:tcBorders>
            <w:hideMark/>
          </w:tcPr>
          <w:p w14:paraId="79D52633"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27.90 ± 2.12</w:t>
            </w:r>
          </w:p>
        </w:tc>
        <w:tc>
          <w:tcPr>
            <w:tcW w:w="2160" w:type="dxa"/>
            <w:tcBorders>
              <w:top w:val="nil"/>
              <w:left w:val="nil"/>
              <w:bottom w:val="nil"/>
              <w:right w:val="nil"/>
            </w:tcBorders>
            <w:hideMark/>
          </w:tcPr>
          <w:p w14:paraId="01276672"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8.09 ± 0.37</w:t>
            </w:r>
          </w:p>
        </w:tc>
        <w:tc>
          <w:tcPr>
            <w:tcW w:w="1530" w:type="dxa"/>
            <w:tcBorders>
              <w:top w:val="nil"/>
              <w:left w:val="nil"/>
              <w:bottom w:val="nil"/>
              <w:right w:val="nil"/>
            </w:tcBorders>
            <w:hideMark/>
          </w:tcPr>
          <w:p w14:paraId="5F91D6E3" w14:textId="77777777" w:rsidR="004B33F6" w:rsidRPr="00A01F80" w:rsidRDefault="00F079C1" w:rsidP="000138CA">
            <w:pPr>
              <w:spacing w:line="360" w:lineRule="auto"/>
              <w:jc w:val="both"/>
              <w:rPr>
                <w:rFonts w:ascii="Times New Roman" w:hAnsi="Times New Roman"/>
                <w:sz w:val="14"/>
                <w:szCs w:val="14"/>
              </w:rPr>
            </w:pPr>
            <w:r w:rsidRPr="00A01F80">
              <w:rPr>
                <w:rFonts w:ascii="Times New Roman" w:hAnsi="Times New Roman"/>
                <w:sz w:val="14"/>
                <w:szCs w:val="14"/>
              </w:rPr>
              <w:t>12.87</w:t>
            </w:r>
            <w:r w:rsidR="004B33F6" w:rsidRPr="00A01F80">
              <w:rPr>
                <w:rFonts w:ascii="Times New Roman" w:hAnsi="Times New Roman"/>
                <w:sz w:val="14"/>
                <w:szCs w:val="14"/>
              </w:rPr>
              <w:t>± 1.62</w:t>
            </w:r>
            <w:r w:rsidR="004B33F6" w:rsidRPr="00A01F80">
              <w:rPr>
                <w:rFonts w:ascii="Times New Roman" w:hAnsi="Times New Roman"/>
                <w:sz w:val="14"/>
                <w:szCs w:val="14"/>
                <w:vertAlign w:val="superscript"/>
              </w:rPr>
              <w:t>ac</w:t>
            </w:r>
          </w:p>
        </w:tc>
      </w:tr>
      <w:tr w:rsidR="004B33F6" w:rsidRPr="00A01F80" w14:paraId="48401114" w14:textId="77777777" w:rsidTr="00FB53E6">
        <w:tc>
          <w:tcPr>
            <w:tcW w:w="2160" w:type="dxa"/>
            <w:tcBorders>
              <w:top w:val="nil"/>
              <w:left w:val="nil"/>
              <w:bottom w:val="nil"/>
              <w:right w:val="nil"/>
            </w:tcBorders>
            <w:hideMark/>
          </w:tcPr>
          <w:p w14:paraId="5318A55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C</w:t>
            </w:r>
            <w:r w:rsidRPr="00A01F80">
              <w:rPr>
                <w:rFonts w:ascii="Times New Roman" w:hAnsi="Times New Roman"/>
                <w:sz w:val="14"/>
                <w:szCs w:val="14"/>
                <w:vertAlign w:val="subscript"/>
              </w:rPr>
              <w:t>1</w:t>
            </w:r>
            <w:r w:rsidRPr="00A01F80">
              <w:rPr>
                <w:rFonts w:ascii="Times New Roman" w:hAnsi="Times New Roman"/>
                <w:sz w:val="14"/>
                <w:szCs w:val="14"/>
              </w:rPr>
              <w:t>(2nd line) 15days</w:t>
            </w:r>
          </w:p>
        </w:tc>
        <w:tc>
          <w:tcPr>
            <w:tcW w:w="1530" w:type="dxa"/>
            <w:tcBorders>
              <w:top w:val="nil"/>
              <w:left w:val="nil"/>
              <w:bottom w:val="nil"/>
              <w:right w:val="nil"/>
            </w:tcBorders>
            <w:hideMark/>
          </w:tcPr>
          <w:p w14:paraId="738C5A6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45.08 ± 3.55</w:t>
            </w:r>
            <w:r w:rsidRPr="00A01F80">
              <w:rPr>
                <w:rFonts w:ascii="Times New Roman" w:hAnsi="Times New Roman"/>
                <w:sz w:val="14"/>
                <w:szCs w:val="14"/>
                <w:vertAlign w:val="superscript"/>
              </w:rPr>
              <w:t>c</w:t>
            </w:r>
          </w:p>
        </w:tc>
        <w:tc>
          <w:tcPr>
            <w:tcW w:w="2070" w:type="dxa"/>
            <w:tcBorders>
              <w:top w:val="nil"/>
              <w:left w:val="nil"/>
              <w:bottom w:val="nil"/>
              <w:right w:val="nil"/>
            </w:tcBorders>
            <w:hideMark/>
          </w:tcPr>
          <w:p w14:paraId="6A7583D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 xml:space="preserve">148.50 ± 5.53 </w:t>
            </w:r>
            <w:r w:rsidRPr="00A01F80">
              <w:rPr>
                <w:rFonts w:ascii="Times New Roman" w:hAnsi="Times New Roman"/>
                <w:sz w:val="14"/>
                <w:szCs w:val="14"/>
                <w:vertAlign w:val="superscript"/>
              </w:rPr>
              <w:t>b</w:t>
            </w:r>
          </w:p>
        </w:tc>
        <w:tc>
          <w:tcPr>
            <w:tcW w:w="1440" w:type="dxa"/>
            <w:tcBorders>
              <w:top w:val="nil"/>
              <w:left w:val="nil"/>
              <w:bottom w:val="nil"/>
              <w:right w:val="nil"/>
            </w:tcBorders>
            <w:hideMark/>
          </w:tcPr>
          <w:p w14:paraId="3950190A"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3.59 ±0.80</w:t>
            </w:r>
          </w:p>
        </w:tc>
        <w:tc>
          <w:tcPr>
            <w:tcW w:w="1710" w:type="dxa"/>
            <w:tcBorders>
              <w:top w:val="nil"/>
              <w:left w:val="nil"/>
              <w:bottom w:val="nil"/>
              <w:right w:val="nil"/>
            </w:tcBorders>
            <w:hideMark/>
          </w:tcPr>
          <w:p w14:paraId="50DD5C1D"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178.50 ± 6.45</w:t>
            </w:r>
          </w:p>
        </w:tc>
        <w:tc>
          <w:tcPr>
            <w:tcW w:w="1620" w:type="dxa"/>
            <w:tcBorders>
              <w:top w:val="nil"/>
              <w:left w:val="nil"/>
              <w:bottom w:val="nil"/>
              <w:right w:val="nil"/>
            </w:tcBorders>
            <w:hideMark/>
          </w:tcPr>
          <w:p w14:paraId="5723A95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27.55 ± 0.99</w:t>
            </w:r>
          </w:p>
        </w:tc>
        <w:tc>
          <w:tcPr>
            <w:tcW w:w="2160" w:type="dxa"/>
            <w:tcBorders>
              <w:top w:val="nil"/>
              <w:left w:val="nil"/>
              <w:bottom w:val="nil"/>
              <w:right w:val="nil"/>
            </w:tcBorders>
            <w:hideMark/>
          </w:tcPr>
          <w:p w14:paraId="0E2347AB"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7.84 ± 0.21</w:t>
            </w:r>
          </w:p>
        </w:tc>
        <w:tc>
          <w:tcPr>
            <w:tcW w:w="1530" w:type="dxa"/>
            <w:tcBorders>
              <w:top w:val="nil"/>
              <w:left w:val="nil"/>
              <w:bottom w:val="nil"/>
              <w:right w:val="nil"/>
            </w:tcBorders>
            <w:hideMark/>
          </w:tcPr>
          <w:p w14:paraId="7A812A48"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8.67 ± 0.97</w:t>
            </w:r>
            <w:r w:rsidRPr="00A01F80">
              <w:rPr>
                <w:rFonts w:ascii="Times New Roman" w:hAnsi="Times New Roman"/>
                <w:sz w:val="14"/>
                <w:szCs w:val="14"/>
                <w:vertAlign w:val="superscript"/>
              </w:rPr>
              <w:t>ab</w:t>
            </w:r>
          </w:p>
        </w:tc>
      </w:tr>
      <w:tr w:rsidR="004B33F6" w:rsidRPr="00A01F80" w14:paraId="4641A9F8" w14:textId="77777777" w:rsidTr="00FB53E6">
        <w:tc>
          <w:tcPr>
            <w:tcW w:w="2160" w:type="dxa"/>
            <w:tcBorders>
              <w:top w:val="nil"/>
              <w:left w:val="nil"/>
              <w:bottom w:val="nil"/>
              <w:right w:val="nil"/>
            </w:tcBorders>
            <w:hideMark/>
          </w:tcPr>
          <w:p w14:paraId="5CDC0F18"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C</w:t>
            </w:r>
            <w:r w:rsidRPr="00A01F80">
              <w:rPr>
                <w:rFonts w:ascii="Times New Roman" w:hAnsi="Times New Roman"/>
                <w:sz w:val="14"/>
                <w:szCs w:val="14"/>
                <w:vertAlign w:val="subscript"/>
              </w:rPr>
              <w:t>2</w:t>
            </w:r>
            <w:r w:rsidRPr="00A01F80">
              <w:rPr>
                <w:rFonts w:ascii="Times New Roman" w:hAnsi="Times New Roman"/>
                <w:sz w:val="14"/>
                <w:szCs w:val="14"/>
              </w:rPr>
              <w:t>(2nd line)30 days</w:t>
            </w:r>
          </w:p>
        </w:tc>
        <w:tc>
          <w:tcPr>
            <w:tcW w:w="1530" w:type="dxa"/>
            <w:tcBorders>
              <w:top w:val="nil"/>
              <w:left w:val="nil"/>
              <w:bottom w:val="nil"/>
              <w:right w:val="nil"/>
            </w:tcBorders>
            <w:hideMark/>
          </w:tcPr>
          <w:p w14:paraId="013BFBF7"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51.87 ±2.90</w:t>
            </w:r>
            <w:r w:rsidRPr="00A01F80">
              <w:rPr>
                <w:rFonts w:ascii="Times New Roman" w:hAnsi="Times New Roman"/>
                <w:sz w:val="14"/>
                <w:szCs w:val="14"/>
                <w:vertAlign w:val="superscript"/>
              </w:rPr>
              <w:t>d</w:t>
            </w:r>
          </w:p>
        </w:tc>
        <w:tc>
          <w:tcPr>
            <w:tcW w:w="2070" w:type="dxa"/>
            <w:tcBorders>
              <w:top w:val="nil"/>
              <w:left w:val="nil"/>
              <w:bottom w:val="nil"/>
              <w:right w:val="nil"/>
            </w:tcBorders>
            <w:hideMark/>
          </w:tcPr>
          <w:p w14:paraId="753DE9F3"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154.85 ± 18.05</w:t>
            </w:r>
            <w:r w:rsidRPr="00A01F80">
              <w:rPr>
                <w:rFonts w:ascii="Times New Roman" w:hAnsi="Times New Roman"/>
                <w:sz w:val="14"/>
                <w:szCs w:val="14"/>
                <w:vertAlign w:val="superscript"/>
              </w:rPr>
              <w:t>b</w:t>
            </w:r>
          </w:p>
        </w:tc>
        <w:tc>
          <w:tcPr>
            <w:tcW w:w="1440" w:type="dxa"/>
            <w:tcBorders>
              <w:top w:val="nil"/>
              <w:left w:val="nil"/>
              <w:bottom w:val="nil"/>
              <w:right w:val="nil"/>
            </w:tcBorders>
            <w:hideMark/>
          </w:tcPr>
          <w:p w14:paraId="63450A75"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4.15 ± 0.44</w:t>
            </w:r>
          </w:p>
        </w:tc>
        <w:tc>
          <w:tcPr>
            <w:tcW w:w="1710" w:type="dxa"/>
            <w:tcBorders>
              <w:top w:val="nil"/>
              <w:left w:val="nil"/>
              <w:bottom w:val="nil"/>
              <w:right w:val="nil"/>
            </w:tcBorders>
            <w:hideMark/>
          </w:tcPr>
          <w:p w14:paraId="6AAF278F"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166.75 ± 7.49</w:t>
            </w:r>
          </w:p>
        </w:tc>
        <w:tc>
          <w:tcPr>
            <w:tcW w:w="1620" w:type="dxa"/>
            <w:tcBorders>
              <w:top w:val="nil"/>
              <w:left w:val="nil"/>
              <w:bottom w:val="nil"/>
              <w:right w:val="nil"/>
            </w:tcBorders>
            <w:hideMark/>
          </w:tcPr>
          <w:p w14:paraId="5C8D78DB"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25.25 ± 0.06</w:t>
            </w:r>
          </w:p>
        </w:tc>
        <w:tc>
          <w:tcPr>
            <w:tcW w:w="2160" w:type="dxa"/>
            <w:tcBorders>
              <w:top w:val="nil"/>
              <w:left w:val="nil"/>
              <w:bottom w:val="nil"/>
              <w:right w:val="nil"/>
            </w:tcBorders>
            <w:hideMark/>
          </w:tcPr>
          <w:p w14:paraId="3A625694"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7.06 ± 0.45</w:t>
            </w:r>
            <w:r w:rsidRPr="00A01F80">
              <w:rPr>
                <w:rFonts w:ascii="Times New Roman" w:hAnsi="Times New Roman"/>
                <w:sz w:val="14"/>
                <w:szCs w:val="14"/>
                <w:vertAlign w:val="superscript"/>
              </w:rPr>
              <w:t>abd</w:t>
            </w:r>
          </w:p>
        </w:tc>
        <w:tc>
          <w:tcPr>
            <w:tcW w:w="1530" w:type="dxa"/>
            <w:tcBorders>
              <w:top w:val="nil"/>
              <w:left w:val="nil"/>
              <w:bottom w:val="nil"/>
              <w:right w:val="nil"/>
            </w:tcBorders>
            <w:hideMark/>
          </w:tcPr>
          <w:p w14:paraId="69A0509E"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11.30 ± 1.23</w:t>
            </w:r>
            <w:r w:rsidRPr="00A01F80">
              <w:rPr>
                <w:rFonts w:ascii="Times New Roman" w:hAnsi="Times New Roman"/>
                <w:sz w:val="14"/>
                <w:szCs w:val="14"/>
                <w:vertAlign w:val="superscript"/>
              </w:rPr>
              <w:t>a</w:t>
            </w:r>
          </w:p>
        </w:tc>
      </w:tr>
      <w:tr w:rsidR="004B33F6" w:rsidRPr="00A01F80" w14:paraId="74F61450" w14:textId="77777777" w:rsidTr="00FB53E6">
        <w:tc>
          <w:tcPr>
            <w:tcW w:w="2160" w:type="dxa"/>
            <w:tcBorders>
              <w:top w:val="nil"/>
              <w:left w:val="nil"/>
              <w:bottom w:val="nil"/>
              <w:right w:val="nil"/>
            </w:tcBorders>
            <w:hideMark/>
          </w:tcPr>
          <w:p w14:paraId="6022708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D</w:t>
            </w:r>
            <w:r w:rsidRPr="00A01F80">
              <w:rPr>
                <w:rFonts w:ascii="Times New Roman" w:hAnsi="Times New Roman"/>
                <w:sz w:val="14"/>
                <w:szCs w:val="14"/>
                <w:vertAlign w:val="subscript"/>
              </w:rPr>
              <w:t>1</w:t>
            </w:r>
            <w:r w:rsidRPr="00A01F80">
              <w:rPr>
                <w:rFonts w:ascii="Times New Roman" w:hAnsi="Times New Roman"/>
                <w:sz w:val="14"/>
                <w:szCs w:val="14"/>
              </w:rPr>
              <w:t xml:space="preserve"> (B</w:t>
            </w:r>
            <w:r w:rsidRPr="00A01F80">
              <w:rPr>
                <w:rFonts w:ascii="Times New Roman" w:hAnsi="Times New Roman"/>
                <w:sz w:val="14"/>
                <w:szCs w:val="14"/>
                <w:vertAlign w:val="subscript"/>
              </w:rPr>
              <w:t>2</w:t>
            </w:r>
            <w:r w:rsidRPr="00A01F80">
              <w:rPr>
                <w:rFonts w:ascii="Times New Roman" w:hAnsi="Times New Roman"/>
                <w:sz w:val="14"/>
                <w:szCs w:val="14"/>
              </w:rPr>
              <w:t xml:space="preserve"> to c</w:t>
            </w:r>
            <w:r w:rsidRPr="00A01F80">
              <w:rPr>
                <w:rFonts w:ascii="Times New Roman" w:hAnsi="Times New Roman"/>
                <w:sz w:val="14"/>
                <w:szCs w:val="14"/>
                <w:vertAlign w:val="subscript"/>
              </w:rPr>
              <w:t>1</w:t>
            </w:r>
            <w:r w:rsidRPr="00A01F80">
              <w:rPr>
                <w:rFonts w:ascii="Times New Roman" w:hAnsi="Times New Roman"/>
                <w:sz w:val="14"/>
                <w:szCs w:val="14"/>
              </w:rPr>
              <w:t>) 45 days</w:t>
            </w:r>
          </w:p>
        </w:tc>
        <w:tc>
          <w:tcPr>
            <w:tcW w:w="1530" w:type="dxa"/>
            <w:tcBorders>
              <w:top w:val="nil"/>
              <w:left w:val="nil"/>
              <w:bottom w:val="nil"/>
              <w:right w:val="nil"/>
            </w:tcBorders>
            <w:hideMark/>
          </w:tcPr>
          <w:p w14:paraId="2442BD7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53.83 ± 2.80</w:t>
            </w:r>
          </w:p>
        </w:tc>
        <w:tc>
          <w:tcPr>
            <w:tcW w:w="2070" w:type="dxa"/>
            <w:tcBorders>
              <w:top w:val="nil"/>
              <w:left w:val="nil"/>
              <w:bottom w:val="nil"/>
              <w:right w:val="nil"/>
            </w:tcBorders>
            <w:hideMark/>
          </w:tcPr>
          <w:p w14:paraId="2F6A2A7C"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192.75 ± 11.90</w:t>
            </w:r>
            <w:r w:rsidRPr="00A01F80">
              <w:rPr>
                <w:rFonts w:ascii="Times New Roman" w:hAnsi="Times New Roman"/>
                <w:sz w:val="14"/>
                <w:szCs w:val="14"/>
                <w:vertAlign w:val="superscript"/>
              </w:rPr>
              <w:t>abcde</w:t>
            </w:r>
          </w:p>
        </w:tc>
        <w:tc>
          <w:tcPr>
            <w:tcW w:w="1440" w:type="dxa"/>
            <w:tcBorders>
              <w:top w:val="nil"/>
              <w:left w:val="nil"/>
              <w:bottom w:val="nil"/>
              <w:right w:val="nil"/>
            </w:tcBorders>
            <w:hideMark/>
          </w:tcPr>
          <w:p w14:paraId="16ECA4C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3.79 ± 0.85</w:t>
            </w:r>
          </w:p>
        </w:tc>
        <w:tc>
          <w:tcPr>
            <w:tcW w:w="1710" w:type="dxa"/>
            <w:tcBorders>
              <w:top w:val="nil"/>
              <w:left w:val="nil"/>
              <w:bottom w:val="nil"/>
              <w:right w:val="nil"/>
            </w:tcBorders>
            <w:hideMark/>
          </w:tcPr>
          <w:p w14:paraId="0F791B17"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153.67 ± 11.05</w:t>
            </w:r>
          </w:p>
        </w:tc>
        <w:tc>
          <w:tcPr>
            <w:tcW w:w="1620" w:type="dxa"/>
            <w:tcBorders>
              <w:top w:val="nil"/>
              <w:left w:val="nil"/>
              <w:bottom w:val="nil"/>
              <w:right w:val="nil"/>
            </w:tcBorders>
            <w:hideMark/>
          </w:tcPr>
          <w:p w14:paraId="341103D1" w14:textId="77777777" w:rsidR="004B33F6" w:rsidRPr="00A01F80" w:rsidRDefault="00FB53E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23.78±</w:t>
            </w:r>
            <w:r w:rsidR="004B33F6" w:rsidRPr="00A01F80">
              <w:rPr>
                <w:rFonts w:ascii="Times New Roman" w:hAnsi="Times New Roman"/>
                <w:sz w:val="14"/>
                <w:szCs w:val="14"/>
              </w:rPr>
              <w:t>0.84</w:t>
            </w:r>
            <w:r w:rsidR="004B33F6" w:rsidRPr="00A01F80">
              <w:rPr>
                <w:rFonts w:ascii="Times New Roman" w:hAnsi="Times New Roman"/>
                <w:sz w:val="14"/>
                <w:szCs w:val="14"/>
                <w:vertAlign w:val="superscript"/>
              </w:rPr>
              <w:t>abcd</w:t>
            </w:r>
          </w:p>
        </w:tc>
        <w:tc>
          <w:tcPr>
            <w:tcW w:w="2160" w:type="dxa"/>
            <w:tcBorders>
              <w:top w:val="nil"/>
              <w:left w:val="nil"/>
              <w:bottom w:val="nil"/>
              <w:right w:val="nil"/>
            </w:tcBorders>
            <w:hideMark/>
          </w:tcPr>
          <w:p w14:paraId="0BCC4730"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8.24 ± 0.39</w:t>
            </w:r>
            <w:r w:rsidRPr="00A01F80">
              <w:rPr>
                <w:rFonts w:ascii="Times New Roman" w:hAnsi="Times New Roman"/>
                <w:sz w:val="14"/>
                <w:szCs w:val="14"/>
                <w:vertAlign w:val="superscript"/>
              </w:rPr>
              <w:t>e</w:t>
            </w:r>
          </w:p>
        </w:tc>
        <w:tc>
          <w:tcPr>
            <w:tcW w:w="1530" w:type="dxa"/>
            <w:tcBorders>
              <w:top w:val="nil"/>
              <w:left w:val="nil"/>
              <w:bottom w:val="nil"/>
              <w:right w:val="nil"/>
            </w:tcBorders>
            <w:hideMark/>
          </w:tcPr>
          <w:p w14:paraId="36D3C33F"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vertAlign w:val="superscript"/>
              </w:rPr>
              <w:t xml:space="preserve">7.23 </w:t>
            </w:r>
            <w:r w:rsidRPr="00A01F80">
              <w:rPr>
                <w:rFonts w:ascii="Times New Roman" w:hAnsi="Times New Roman"/>
                <w:sz w:val="14"/>
                <w:szCs w:val="14"/>
              </w:rPr>
              <w:t>± 0.75</w:t>
            </w:r>
            <w:r w:rsidRPr="00A01F80">
              <w:rPr>
                <w:rFonts w:ascii="Times New Roman" w:hAnsi="Times New Roman"/>
                <w:sz w:val="14"/>
                <w:szCs w:val="14"/>
                <w:vertAlign w:val="superscript"/>
              </w:rPr>
              <w:t>abcde</w:t>
            </w:r>
          </w:p>
        </w:tc>
      </w:tr>
      <w:tr w:rsidR="004B33F6" w:rsidRPr="00A01F80" w14:paraId="3D775A36" w14:textId="77777777" w:rsidTr="00FB53E6">
        <w:tc>
          <w:tcPr>
            <w:tcW w:w="2160" w:type="dxa"/>
            <w:tcBorders>
              <w:top w:val="nil"/>
              <w:left w:val="nil"/>
              <w:bottom w:val="single" w:sz="4" w:space="0" w:color="auto"/>
              <w:right w:val="nil"/>
            </w:tcBorders>
            <w:hideMark/>
          </w:tcPr>
          <w:p w14:paraId="1F762565"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D</w:t>
            </w:r>
            <w:r w:rsidRPr="00A01F80">
              <w:rPr>
                <w:rFonts w:ascii="Times New Roman" w:hAnsi="Times New Roman"/>
                <w:sz w:val="14"/>
                <w:szCs w:val="14"/>
              </w:rPr>
              <w:softHyphen/>
            </w:r>
            <w:r w:rsidRPr="00A01F80">
              <w:rPr>
                <w:rFonts w:ascii="Times New Roman" w:hAnsi="Times New Roman"/>
                <w:sz w:val="14"/>
                <w:szCs w:val="14"/>
                <w:vertAlign w:val="subscript"/>
              </w:rPr>
              <w:t>2</w:t>
            </w:r>
            <w:r w:rsidRPr="00A01F80">
              <w:rPr>
                <w:rFonts w:ascii="Times New Roman" w:hAnsi="Times New Roman"/>
                <w:sz w:val="14"/>
                <w:szCs w:val="14"/>
              </w:rPr>
              <w:t>(B</w:t>
            </w:r>
            <w:r w:rsidRPr="00A01F80">
              <w:rPr>
                <w:rFonts w:ascii="Times New Roman" w:hAnsi="Times New Roman"/>
                <w:sz w:val="14"/>
                <w:szCs w:val="14"/>
                <w:vertAlign w:val="subscript"/>
              </w:rPr>
              <w:t>2</w:t>
            </w:r>
            <w:r w:rsidRPr="00A01F80">
              <w:rPr>
                <w:rFonts w:ascii="Times New Roman" w:hAnsi="Times New Roman"/>
                <w:sz w:val="14"/>
                <w:szCs w:val="14"/>
              </w:rPr>
              <w:t xml:space="preserve"> to c</w:t>
            </w:r>
            <w:r w:rsidRPr="00A01F80">
              <w:rPr>
                <w:rFonts w:ascii="Times New Roman" w:hAnsi="Times New Roman"/>
                <w:sz w:val="14"/>
                <w:szCs w:val="14"/>
                <w:vertAlign w:val="subscript"/>
              </w:rPr>
              <w:t>2</w:t>
            </w:r>
            <w:r w:rsidRPr="00A01F80">
              <w:rPr>
                <w:rFonts w:ascii="Times New Roman" w:hAnsi="Times New Roman"/>
                <w:sz w:val="14"/>
                <w:szCs w:val="14"/>
              </w:rPr>
              <w:t>) 60 days</w:t>
            </w:r>
          </w:p>
        </w:tc>
        <w:tc>
          <w:tcPr>
            <w:tcW w:w="1530" w:type="dxa"/>
            <w:tcBorders>
              <w:top w:val="nil"/>
              <w:left w:val="nil"/>
              <w:bottom w:val="single" w:sz="4" w:space="0" w:color="auto"/>
              <w:right w:val="nil"/>
            </w:tcBorders>
            <w:hideMark/>
          </w:tcPr>
          <w:p w14:paraId="12854F90"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51.90 ± 1.98</w:t>
            </w:r>
          </w:p>
        </w:tc>
        <w:tc>
          <w:tcPr>
            <w:tcW w:w="2070" w:type="dxa"/>
            <w:tcBorders>
              <w:top w:val="nil"/>
              <w:left w:val="nil"/>
              <w:bottom w:val="single" w:sz="4" w:space="0" w:color="auto"/>
              <w:right w:val="nil"/>
            </w:tcBorders>
            <w:hideMark/>
          </w:tcPr>
          <w:p w14:paraId="1F49FFD0" w14:textId="77777777" w:rsidR="004B33F6" w:rsidRPr="00A01F80" w:rsidRDefault="004B33F6"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137.73 ± 6.60</w:t>
            </w:r>
            <w:r w:rsidRPr="00A01F80">
              <w:rPr>
                <w:rFonts w:ascii="Times New Roman" w:hAnsi="Times New Roman"/>
                <w:sz w:val="14"/>
                <w:szCs w:val="14"/>
                <w:vertAlign w:val="superscript"/>
              </w:rPr>
              <w:t>bf</w:t>
            </w:r>
          </w:p>
        </w:tc>
        <w:tc>
          <w:tcPr>
            <w:tcW w:w="1440" w:type="dxa"/>
            <w:tcBorders>
              <w:top w:val="nil"/>
              <w:left w:val="nil"/>
              <w:bottom w:val="single" w:sz="4" w:space="0" w:color="auto"/>
              <w:right w:val="nil"/>
            </w:tcBorders>
            <w:hideMark/>
          </w:tcPr>
          <w:p w14:paraId="74E78063"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3.55 ± 1.17</w:t>
            </w:r>
          </w:p>
        </w:tc>
        <w:tc>
          <w:tcPr>
            <w:tcW w:w="1710" w:type="dxa"/>
            <w:tcBorders>
              <w:top w:val="nil"/>
              <w:left w:val="nil"/>
              <w:bottom w:val="single" w:sz="4" w:space="0" w:color="auto"/>
              <w:right w:val="nil"/>
            </w:tcBorders>
            <w:hideMark/>
          </w:tcPr>
          <w:p w14:paraId="70354E26"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127.25 ± 5.56</w:t>
            </w:r>
          </w:p>
        </w:tc>
        <w:tc>
          <w:tcPr>
            <w:tcW w:w="1620" w:type="dxa"/>
            <w:tcBorders>
              <w:top w:val="nil"/>
              <w:left w:val="nil"/>
              <w:bottom w:val="single" w:sz="4" w:space="0" w:color="auto"/>
              <w:right w:val="nil"/>
            </w:tcBorders>
            <w:hideMark/>
          </w:tcPr>
          <w:p w14:paraId="4803EF21"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26.15 ± 0.84</w:t>
            </w:r>
          </w:p>
        </w:tc>
        <w:tc>
          <w:tcPr>
            <w:tcW w:w="2160" w:type="dxa"/>
            <w:tcBorders>
              <w:top w:val="nil"/>
              <w:left w:val="nil"/>
              <w:bottom w:val="single" w:sz="4" w:space="0" w:color="auto"/>
              <w:right w:val="nil"/>
            </w:tcBorders>
            <w:hideMark/>
          </w:tcPr>
          <w:p w14:paraId="59F9B169" w14:textId="77777777" w:rsidR="004B33F6" w:rsidRPr="00A01F80" w:rsidRDefault="004B33F6" w:rsidP="000138CA">
            <w:pPr>
              <w:spacing w:line="360" w:lineRule="auto"/>
              <w:jc w:val="both"/>
              <w:rPr>
                <w:rFonts w:ascii="Times New Roman" w:hAnsi="Times New Roman"/>
                <w:sz w:val="14"/>
                <w:szCs w:val="14"/>
              </w:rPr>
            </w:pPr>
            <w:r w:rsidRPr="00A01F80">
              <w:rPr>
                <w:rFonts w:ascii="Times New Roman" w:hAnsi="Times New Roman"/>
                <w:sz w:val="14"/>
                <w:szCs w:val="14"/>
              </w:rPr>
              <w:t>7.65 ±0.23</w:t>
            </w:r>
          </w:p>
        </w:tc>
        <w:tc>
          <w:tcPr>
            <w:tcW w:w="1530" w:type="dxa"/>
            <w:tcBorders>
              <w:top w:val="nil"/>
              <w:left w:val="nil"/>
              <w:bottom w:val="single" w:sz="4" w:space="0" w:color="auto"/>
              <w:right w:val="nil"/>
            </w:tcBorders>
            <w:hideMark/>
          </w:tcPr>
          <w:p w14:paraId="5B17DC9D" w14:textId="77777777" w:rsidR="004B33F6" w:rsidRPr="00A01F80" w:rsidRDefault="00F079C1" w:rsidP="000138CA">
            <w:pPr>
              <w:spacing w:line="360" w:lineRule="auto"/>
              <w:jc w:val="both"/>
              <w:rPr>
                <w:rFonts w:ascii="Times New Roman" w:hAnsi="Times New Roman"/>
                <w:sz w:val="14"/>
                <w:szCs w:val="14"/>
                <w:vertAlign w:val="superscript"/>
              </w:rPr>
            </w:pPr>
            <w:r w:rsidRPr="00A01F80">
              <w:rPr>
                <w:rFonts w:ascii="Times New Roman" w:hAnsi="Times New Roman"/>
                <w:sz w:val="14"/>
                <w:szCs w:val="14"/>
              </w:rPr>
              <w:t>4.88±</w:t>
            </w:r>
            <w:r w:rsidR="004B33F6" w:rsidRPr="00A01F80">
              <w:rPr>
                <w:rFonts w:ascii="Times New Roman" w:hAnsi="Times New Roman"/>
                <w:sz w:val="14"/>
                <w:szCs w:val="14"/>
              </w:rPr>
              <w:t>0.98</w:t>
            </w:r>
            <w:r w:rsidR="004B33F6" w:rsidRPr="00A01F80">
              <w:rPr>
                <w:rFonts w:ascii="Times New Roman" w:hAnsi="Times New Roman"/>
                <w:sz w:val="14"/>
                <w:szCs w:val="14"/>
                <w:vertAlign w:val="superscript"/>
              </w:rPr>
              <w:t>bcde</w:t>
            </w:r>
          </w:p>
        </w:tc>
      </w:tr>
    </w:tbl>
    <w:p w14:paraId="26CCA807"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Values are presented as Mean ± Standard Error of Mean (SEM).</w:t>
      </w:r>
    </w:p>
    <w:p w14:paraId="1456E94A"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Source: Computed by the researcher from raw data of biochemical analysis (2019).</w:t>
      </w:r>
    </w:p>
    <w:p w14:paraId="65408011" w14:textId="77777777" w:rsidR="004B33F6" w:rsidRPr="00D635DB" w:rsidRDefault="004B33F6" w:rsidP="00D635DB">
      <w:pPr>
        <w:spacing w:after="0" w:line="240" w:lineRule="auto"/>
        <w:ind w:left="864" w:hanging="864"/>
        <w:jc w:val="both"/>
        <w:rPr>
          <w:rFonts w:ascii="Times New Roman" w:eastAsia="Times New Roman" w:hAnsi="Times New Roman" w:cs="Times New Roman"/>
        </w:rPr>
      </w:pPr>
      <w:r w:rsidRPr="00D635DB">
        <w:rPr>
          <w:rFonts w:ascii="Times New Roman" w:eastAsia="Times New Roman" w:hAnsi="Times New Roman" w:cs="Times New Roman"/>
        </w:rPr>
        <w:t xml:space="preserve">Legends: ATL – Alanine amino transaminase; AST – Aspartate amino transaminase;  ALP – Alkaline Phosphates; TP-Total Protein; ALB-   Albumin; T-BILL – Total </w:t>
      </w:r>
      <w:proofErr w:type="spellStart"/>
      <w:r w:rsidRPr="00D635DB">
        <w:rPr>
          <w:rFonts w:ascii="Times New Roman" w:eastAsia="Times New Roman" w:hAnsi="Times New Roman" w:cs="Times New Roman"/>
        </w:rPr>
        <w:t>Bilirubin.</w:t>
      </w:r>
      <w:r w:rsidRPr="00D635DB">
        <w:rPr>
          <w:rFonts w:ascii="Times New Roman" w:eastAsia="Times New Roman" w:hAnsi="Times New Roman" w:cs="Times New Roman"/>
          <w:vertAlign w:val="superscript"/>
        </w:rPr>
        <w:t>a</w:t>
      </w:r>
      <w:proofErr w:type="spellEnd"/>
      <w:r w:rsidRPr="00D635DB">
        <w:rPr>
          <w:rFonts w:ascii="Times New Roman" w:eastAsia="Times New Roman" w:hAnsi="Times New Roman" w:cs="Times New Roman"/>
          <w:vertAlign w:val="superscript"/>
        </w:rPr>
        <w:t xml:space="preserve"> </w:t>
      </w:r>
      <w:r w:rsidRPr="00D635DB">
        <w:rPr>
          <w:rFonts w:ascii="Times New Roman" w:eastAsia="Times New Roman" w:hAnsi="Times New Roman" w:cs="Times New Roman"/>
        </w:rPr>
        <w:t>= significantly different when compared to Group A (p&lt;0.05);</w:t>
      </w:r>
      <w:r w:rsidRPr="00D635DB">
        <w:rPr>
          <w:rFonts w:ascii="Times New Roman" w:eastAsia="Times New Roman" w:hAnsi="Times New Roman" w:cs="Times New Roman"/>
          <w:vertAlign w:val="superscript"/>
        </w:rPr>
        <w:t xml:space="preserve">b </w:t>
      </w:r>
      <w:r w:rsidRPr="00D635DB">
        <w:rPr>
          <w:rFonts w:ascii="Times New Roman" w:eastAsia="Times New Roman" w:hAnsi="Times New Roman" w:cs="Times New Roman"/>
        </w:rPr>
        <w:t>= significantly different when compared to GroupB</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c</w:t>
      </w:r>
      <w:r w:rsidRPr="00D635DB">
        <w:rPr>
          <w:rFonts w:ascii="Times New Roman" w:eastAsia="Times New Roman" w:hAnsi="Times New Roman" w:cs="Times New Roman"/>
        </w:rPr>
        <w:t xml:space="preserve"> = significantly different when compared to B</w:t>
      </w:r>
      <w:r w:rsidRPr="00D635DB">
        <w:rPr>
          <w:rFonts w:ascii="Times New Roman" w:eastAsia="Times New Roman" w:hAnsi="Times New Roman" w:cs="Times New Roman"/>
          <w:vertAlign w:val="subscript"/>
        </w:rPr>
        <w:t>2</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d</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per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e</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bscript"/>
        </w:rPr>
        <w:t>2</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f</w:t>
      </w:r>
      <w:r w:rsidRPr="00D635DB">
        <w:rPr>
          <w:rFonts w:ascii="Times New Roman" w:eastAsia="Times New Roman" w:hAnsi="Times New Roman" w:cs="Times New Roman"/>
        </w:rPr>
        <w:t xml:space="preserve"> = significantly different when compared to Group D</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n = number of animals per group.</w:t>
      </w:r>
    </w:p>
    <w:p w14:paraId="767DF140" w14:textId="77777777" w:rsidR="004B33F6" w:rsidRPr="00D635DB" w:rsidRDefault="004B33F6" w:rsidP="00D635DB">
      <w:pPr>
        <w:spacing w:after="0" w:line="240" w:lineRule="auto"/>
        <w:rPr>
          <w:rFonts w:ascii="Times New Roman" w:eastAsia="Times New Roman" w:hAnsi="Times New Roman" w:cs="Times New Roman"/>
          <w:b/>
        </w:rPr>
      </w:pPr>
    </w:p>
    <w:p w14:paraId="589D25BA" w14:textId="77777777" w:rsidR="00447759" w:rsidRPr="00AB6D14" w:rsidRDefault="00447759" w:rsidP="000138CA">
      <w:pPr>
        <w:spacing w:line="360" w:lineRule="auto"/>
        <w:jc w:val="both"/>
        <w:rPr>
          <w:rFonts w:ascii="Times New Roman" w:hAnsi="Times New Roman" w:cs="Times New Roman"/>
          <w:b/>
          <w:sz w:val="24"/>
          <w:szCs w:val="24"/>
        </w:rPr>
      </w:pPr>
    </w:p>
    <w:p w14:paraId="1FBD259E" w14:textId="77777777" w:rsidR="004B33F6" w:rsidRPr="00AB6D14" w:rsidRDefault="00530944" w:rsidP="000138C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3.1.2 </w:t>
      </w:r>
      <w:r w:rsidR="004B33F6" w:rsidRPr="00AB6D14">
        <w:rPr>
          <w:rFonts w:ascii="Times New Roman" w:hAnsi="Times New Roman" w:cs="Times New Roman"/>
          <w:b/>
          <w:sz w:val="24"/>
          <w:szCs w:val="24"/>
        </w:rPr>
        <w:t>Assay of Renal Enzymes Concentration and Serum Activities</w:t>
      </w:r>
    </w:p>
    <w:p w14:paraId="3658D818" w14:textId="77777777" w:rsidR="00447759" w:rsidRPr="00AB6D14" w:rsidRDefault="004B33F6" w:rsidP="00CB4891">
      <w:pPr>
        <w:spacing w:line="360" w:lineRule="auto"/>
        <w:jc w:val="both"/>
        <w:rPr>
          <w:rFonts w:ascii="Times New Roman" w:hAnsi="Times New Roman" w:cs="Times New Roman"/>
          <w:sz w:val="24"/>
          <w:szCs w:val="24"/>
        </w:rPr>
      </w:pPr>
      <w:r w:rsidRPr="00AB6D14">
        <w:rPr>
          <w:rFonts w:ascii="Times New Roman" w:hAnsi="Times New Roman" w:cs="Times New Roman"/>
          <w:sz w:val="24"/>
          <w:szCs w:val="24"/>
        </w:rPr>
        <w:t>Table 2 shows the mean ±SD of concentration of urea (U), creatinine (Cr), Sodium (Na</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Potassium (K</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Chlorine (CI</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and Bicarbonate (HCO</w:t>
      </w:r>
      <w:r w:rsidRPr="00AB6D14">
        <w:rPr>
          <w:rFonts w:ascii="Times New Roman" w:hAnsi="Times New Roman" w:cs="Times New Roman"/>
          <w:sz w:val="24"/>
          <w:szCs w:val="24"/>
          <w:vertAlign w:val="subscript"/>
        </w:rPr>
        <w:t>3</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xml:space="preserve">) of male albino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treated with first and second line FDC antiretroviral drugs. The result showed significant increase (p&lt;0.05) in serum urea in rats treated with first line regimen for 15 days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compared with control, but no significant change was observed in rats treated with same regimen for 30 days (Group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when compared with the control. Equally, significant increase (P&lt;0.05) in serum urea was also observed in rats treated with second line regimen for 15 days (Group C</w:t>
      </w:r>
      <w:r w:rsidRPr="00AB6D14">
        <w:rPr>
          <w:rFonts w:ascii="Times New Roman" w:hAnsi="Times New Roman" w:cs="Times New Roman"/>
          <w:sz w:val="24"/>
          <w:szCs w:val="24"/>
          <w:vertAlign w:val="subscript"/>
        </w:rPr>
        <w:t>1</w:t>
      </w:r>
      <w:r w:rsidR="00580861" w:rsidRPr="00AB6D14">
        <w:rPr>
          <w:rFonts w:ascii="Times New Roman" w:hAnsi="Times New Roman" w:cs="Times New Roman"/>
          <w:sz w:val="24"/>
          <w:szCs w:val="24"/>
        </w:rPr>
        <w:t>) compared with the control</w:t>
      </w:r>
      <w:r w:rsidR="00CB4891" w:rsidRPr="00AB6D14">
        <w:rPr>
          <w:rFonts w:ascii="Times New Roman" w:hAnsi="Times New Roman" w:cs="Times New Roman"/>
          <w:sz w:val="24"/>
          <w:szCs w:val="24"/>
        </w:rPr>
        <w:t xml:space="preserve"> Groups C</w:t>
      </w:r>
      <w:r w:rsidR="00CB4891" w:rsidRPr="00AB6D14">
        <w:rPr>
          <w:rFonts w:ascii="Times New Roman" w:hAnsi="Times New Roman" w:cs="Times New Roman"/>
          <w:sz w:val="24"/>
          <w:szCs w:val="24"/>
          <w:vertAlign w:val="subscript"/>
        </w:rPr>
        <w:t>2</w:t>
      </w:r>
      <w:r w:rsidR="00CB4891" w:rsidRPr="00AB6D14">
        <w:rPr>
          <w:rFonts w:ascii="Times New Roman" w:hAnsi="Times New Roman" w:cs="Times New Roman"/>
          <w:sz w:val="24"/>
          <w:szCs w:val="24"/>
        </w:rPr>
        <w:t>, D</w:t>
      </w:r>
      <w:r w:rsidR="00CB4891" w:rsidRPr="00AB6D14">
        <w:rPr>
          <w:rFonts w:ascii="Times New Roman" w:hAnsi="Times New Roman" w:cs="Times New Roman"/>
          <w:sz w:val="24"/>
          <w:szCs w:val="24"/>
          <w:vertAlign w:val="subscript"/>
        </w:rPr>
        <w:t>1</w:t>
      </w:r>
      <w:r w:rsidR="00CB4891" w:rsidRPr="00AB6D14">
        <w:rPr>
          <w:rFonts w:ascii="Times New Roman" w:hAnsi="Times New Roman" w:cs="Times New Roman"/>
          <w:sz w:val="24"/>
          <w:szCs w:val="24"/>
        </w:rPr>
        <w:t xml:space="preserve"> and D</w:t>
      </w:r>
      <w:r w:rsidR="00CB4891" w:rsidRPr="00AB6D14">
        <w:rPr>
          <w:rFonts w:ascii="Times New Roman" w:hAnsi="Times New Roman" w:cs="Times New Roman"/>
          <w:sz w:val="24"/>
          <w:szCs w:val="24"/>
          <w:vertAlign w:val="subscript"/>
        </w:rPr>
        <w:t>2</w:t>
      </w:r>
      <w:r w:rsidR="00CB4891" w:rsidRPr="00AB6D14">
        <w:rPr>
          <w:rFonts w:ascii="Times New Roman" w:hAnsi="Times New Roman" w:cs="Times New Roman"/>
          <w:sz w:val="24"/>
          <w:szCs w:val="24"/>
        </w:rPr>
        <w:t>showed significant difference (p&lt;0.05) in serum Sodium (Na</w:t>
      </w:r>
      <w:r w:rsidR="00CB4891" w:rsidRPr="00AB6D14">
        <w:rPr>
          <w:rFonts w:ascii="Times New Roman" w:hAnsi="Times New Roman" w:cs="Times New Roman"/>
          <w:sz w:val="24"/>
          <w:szCs w:val="24"/>
          <w:vertAlign w:val="superscript"/>
        </w:rPr>
        <w:t>+</w:t>
      </w:r>
      <w:r w:rsidR="00CB4891" w:rsidRPr="00AB6D14">
        <w:rPr>
          <w:rFonts w:ascii="Times New Roman" w:hAnsi="Times New Roman" w:cs="Times New Roman"/>
          <w:sz w:val="24"/>
          <w:szCs w:val="24"/>
        </w:rPr>
        <w:t>) in Group B</w:t>
      </w:r>
      <w:r w:rsidR="00CB4891" w:rsidRPr="00AB6D14">
        <w:rPr>
          <w:rFonts w:ascii="Times New Roman" w:hAnsi="Times New Roman" w:cs="Times New Roman"/>
          <w:sz w:val="24"/>
          <w:szCs w:val="24"/>
          <w:vertAlign w:val="subscript"/>
        </w:rPr>
        <w:t>1</w:t>
      </w:r>
      <w:r w:rsidR="00CB4891" w:rsidRPr="00AB6D14">
        <w:rPr>
          <w:rFonts w:ascii="Times New Roman" w:hAnsi="Times New Roman" w:cs="Times New Roman"/>
          <w:sz w:val="24"/>
          <w:szCs w:val="24"/>
        </w:rPr>
        <w:t xml:space="preserve"> compared with Group B</w:t>
      </w:r>
      <w:r w:rsidR="00CB4891" w:rsidRPr="00AB6D14">
        <w:rPr>
          <w:rFonts w:ascii="Times New Roman" w:hAnsi="Times New Roman" w:cs="Times New Roman"/>
          <w:sz w:val="24"/>
          <w:szCs w:val="24"/>
          <w:vertAlign w:val="subscript"/>
        </w:rPr>
        <w:t>2</w:t>
      </w:r>
      <w:r w:rsidR="00CB4891" w:rsidRPr="00AB6D14">
        <w:rPr>
          <w:rFonts w:ascii="Times New Roman" w:hAnsi="Times New Roman" w:cs="Times New Roman"/>
          <w:sz w:val="24"/>
          <w:szCs w:val="24"/>
        </w:rPr>
        <w:t>.</w:t>
      </w:r>
    </w:p>
    <w:p w14:paraId="0966E551" w14:textId="77777777" w:rsidR="00CB4891" w:rsidRPr="00AB6D14" w:rsidRDefault="00CB4891" w:rsidP="00CB4891">
      <w:pPr>
        <w:spacing w:line="360" w:lineRule="auto"/>
        <w:ind w:firstLine="720"/>
        <w:jc w:val="both"/>
        <w:rPr>
          <w:rFonts w:ascii="Times New Roman" w:hAnsi="Times New Roman" w:cs="Times New Roman"/>
          <w:sz w:val="24"/>
          <w:szCs w:val="24"/>
        </w:rPr>
      </w:pPr>
      <w:r w:rsidRPr="00AB6D14">
        <w:rPr>
          <w:rFonts w:ascii="Times New Roman" w:hAnsi="Times New Roman" w:cs="Times New Roman"/>
          <w:sz w:val="24"/>
          <w:szCs w:val="24"/>
        </w:rPr>
        <w:t>There was no significant difference (p&lt;0.05) in serum creatinine in all the treated groups compared with the control. Also, there was no significant different (p&lt;0.05) is serum Sodium (Na</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in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compared with the control, but significant increase (p&lt;0.05) was observed in when compared with rats in control group and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However, Na</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xml:space="preserve"> level in Group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differed significantly (P&lt;0.05) compared with Group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No significant change (p&gt;0.05) was observed in serum potassium (K</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level in Groups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compared with control, but significant decrease in this electrolyte was observed in Groups,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when compared with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respectively. Serum Chlorine (CI</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level was not significant (p&gt;0.05) in Group B</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C</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C</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compared with Group A(control), but a significant increase </w:t>
      </w:r>
      <w:r w:rsidRPr="00AB6D14">
        <w:rPr>
          <w:rFonts w:ascii="Times New Roman" w:hAnsi="Times New Roman" w:cs="Times New Roman"/>
          <w:sz w:val="24"/>
          <w:szCs w:val="24"/>
        </w:rPr>
        <w:lastRenderedPageBreak/>
        <w:t>(p&lt;0.05) was recorded in Groups D</w:t>
      </w:r>
      <w:r w:rsidRPr="00AB6D14">
        <w:rPr>
          <w:rFonts w:ascii="Times New Roman" w:hAnsi="Times New Roman" w:cs="Times New Roman"/>
          <w:sz w:val="24"/>
          <w:szCs w:val="24"/>
          <w:vertAlign w:val="subscript"/>
        </w:rPr>
        <w:t>1</w:t>
      </w:r>
      <w:r w:rsidRPr="00AB6D14">
        <w:rPr>
          <w:rFonts w:ascii="Times New Roman" w:hAnsi="Times New Roman" w:cs="Times New Roman"/>
          <w:sz w:val="24"/>
          <w:szCs w:val="24"/>
        </w:rPr>
        <w:t xml:space="preserve"> and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when compared with Group A. significant increase (p&lt;0.05) in serum bicarbonate (HCO</w:t>
      </w:r>
      <w:r w:rsidRPr="00AB6D14">
        <w:rPr>
          <w:rFonts w:ascii="Times New Roman" w:hAnsi="Times New Roman" w:cs="Times New Roman"/>
          <w:sz w:val="24"/>
          <w:szCs w:val="24"/>
          <w:vertAlign w:val="subscript"/>
        </w:rPr>
        <w:t>3</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level was observed in Groups B</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and D</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compared with Group A, 27.97± 0.60, but HCO</w:t>
      </w:r>
      <w:r w:rsidRPr="00AB6D14">
        <w:rPr>
          <w:rFonts w:ascii="Times New Roman" w:hAnsi="Times New Roman" w:cs="Times New Roman"/>
          <w:sz w:val="24"/>
          <w:szCs w:val="24"/>
          <w:vertAlign w:val="subscript"/>
        </w:rPr>
        <w:t>3</w:t>
      </w:r>
      <w:r w:rsidRPr="00AB6D14">
        <w:rPr>
          <w:rFonts w:ascii="Times New Roman" w:hAnsi="Times New Roman" w:cs="Times New Roman"/>
          <w:sz w:val="24"/>
          <w:szCs w:val="24"/>
          <w:vertAlign w:val="superscript"/>
        </w:rPr>
        <w:t>-</w:t>
      </w:r>
      <w:r w:rsidRPr="00AB6D14">
        <w:rPr>
          <w:rFonts w:ascii="Times New Roman" w:hAnsi="Times New Roman" w:cs="Times New Roman"/>
          <w:sz w:val="24"/>
          <w:szCs w:val="24"/>
        </w:rPr>
        <w:t xml:space="preserve"> levels in other treated groups were not significant (p&gt;0.05) when compared with the control group.</w:t>
      </w:r>
      <w:r w:rsidRPr="00AB6D14">
        <w:rPr>
          <w:rFonts w:ascii="Times New Roman" w:eastAsia="Times New Roman" w:hAnsi="Times New Roman" w:cs="Times New Roman"/>
          <w:sz w:val="24"/>
          <w:szCs w:val="24"/>
        </w:rPr>
        <w:t xml:space="preserve"> </w:t>
      </w:r>
    </w:p>
    <w:p w14:paraId="4B780AAC" w14:textId="77777777" w:rsidR="00CB4891" w:rsidRPr="00AB6D14" w:rsidRDefault="00CB4891" w:rsidP="00CB4891">
      <w:pPr>
        <w:spacing w:line="360" w:lineRule="auto"/>
        <w:jc w:val="both"/>
        <w:rPr>
          <w:rFonts w:ascii="Times New Roman" w:hAnsi="Times New Roman" w:cs="Times New Roman"/>
          <w:sz w:val="24"/>
          <w:szCs w:val="24"/>
        </w:rPr>
        <w:sectPr w:rsidR="00CB4891" w:rsidRPr="00AB6D14" w:rsidSect="00FB53E6">
          <w:pgSz w:w="11909" w:h="16834"/>
          <w:pgMar w:top="1440" w:right="1440" w:bottom="1440" w:left="1440" w:header="720" w:footer="720" w:gutter="0"/>
          <w:cols w:space="720"/>
        </w:sectPr>
      </w:pPr>
    </w:p>
    <w:p w14:paraId="573E55CE" w14:textId="77777777" w:rsidR="004B33F6" w:rsidRPr="00AB6D14" w:rsidRDefault="004B33F6" w:rsidP="00580861">
      <w:pPr>
        <w:spacing w:line="360" w:lineRule="auto"/>
        <w:jc w:val="both"/>
        <w:rPr>
          <w:rFonts w:ascii="Times New Roman" w:hAnsi="Times New Roman" w:cs="Times New Roman"/>
          <w:sz w:val="24"/>
          <w:szCs w:val="24"/>
        </w:rPr>
      </w:pPr>
    </w:p>
    <w:p w14:paraId="0D6E9A34" w14:textId="77777777" w:rsidR="004B33F6" w:rsidRPr="00530944" w:rsidRDefault="004B33F6" w:rsidP="00530944">
      <w:pPr>
        <w:spacing w:after="0" w:line="240" w:lineRule="auto"/>
        <w:ind w:hanging="450"/>
        <w:jc w:val="both"/>
        <w:rPr>
          <w:rFonts w:ascii="Times New Roman" w:eastAsia="Times New Roman" w:hAnsi="Times New Roman" w:cs="Times New Roman"/>
          <w:b/>
          <w:sz w:val="24"/>
          <w:szCs w:val="24"/>
        </w:rPr>
      </w:pPr>
      <w:r w:rsidRPr="00530944">
        <w:rPr>
          <w:rFonts w:ascii="Times New Roman" w:eastAsia="Times New Roman" w:hAnsi="Times New Roman" w:cs="Times New Roman"/>
          <w:b/>
          <w:sz w:val="24"/>
          <w:szCs w:val="24"/>
        </w:rPr>
        <w:t>Table 2: Effect of treatment with first and second line FDC antiretroviral drugs (17.14/</w:t>
      </w:r>
      <w:proofErr w:type="spellStart"/>
      <w:r w:rsidRPr="00530944">
        <w:rPr>
          <w:rFonts w:ascii="Times New Roman" w:eastAsia="Times New Roman" w:hAnsi="Times New Roman" w:cs="Times New Roman"/>
          <w:b/>
          <w:sz w:val="24"/>
          <w:szCs w:val="24"/>
        </w:rPr>
        <w:t>kgbwt</w:t>
      </w:r>
      <w:proofErr w:type="spellEnd"/>
      <w:r w:rsidRPr="00530944">
        <w:rPr>
          <w:rFonts w:ascii="Times New Roman" w:eastAsia="Times New Roman" w:hAnsi="Times New Roman" w:cs="Times New Roman"/>
          <w:b/>
          <w:sz w:val="24"/>
          <w:szCs w:val="24"/>
        </w:rPr>
        <w:t>/24h of EFV/3TC/TDF and 6.43mg/</w:t>
      </w:r>
      <w:proofErr w:type="spellStart"/>
      <w:r w:rsidRPr="00530944">
        <w:rPr>
          <w:rFonts w:ascii="Times New Roman" w:eastAsia="Times New Roman" w:hAnsi="Times New Roman" w:cs="Times New Roman"/>
          <w:b/>
          <w:sz w:val="24"/>
          <w:szCs w:val="24"/>
        </w:rPr>
        <w:t>kgbwt</w:t>
      </w:r>
      <w:proofErr w:type="spellEnd"/>
      <w:r w:rsidRPr="00530944">
        <w:rPr>
          <w:rFonts w:ascii="Times New Roman" w:eastAsia="Times New Roman" w:hAnsi="Times New Roman" w:cs="Times New Roman"/>
          <w:b/>
          <w:sz w:val="24"/>
          <w:szCs w:val="24"/>
        </w:rPr>
        <w:t>/12h of 3TC/ZDV + 3.57mg/</w:t>
      </w:r>
      <w:proofErr w:type="spellStart"/>
      <w:r w:rsidRPr="00530944">
        <w:rPr>
          <w:rFonts w:ascii="Times New Roman" w:eastAsia="Times New Roman" w:hAnsi="Times New Roman" w:cs="Times New Roman"/>
          <w:b/>
          <w:sz w:val="24"/>
          <w:szCs w:val="24"/>
        </w:rPr>
        <w:t>kgbwt</w:t>
      </w:r>
      <w:proofErr w:type="spellEnd"/>
      <w:r w:rsidRPr="00530944">
        <w:rPr>
          <w:rFonts w:ascii="Times New Roman" w:eastAsia="Times New Roman" w:hAnsi="Times New Roman" w:cs="Times New Roman"/>
          <w:b/>
          <w:sz w:val="24"/>
          <w:szCs w:val="24"/>
        </w:rPr>
        <w:t>/12h of LPV/r) on renal function indices in male albino Wistar rats</w:t>
      </w:r>
    </w:p>
    <w:tbl>
      <w:tblPr>
        <w:tblStyle w:val="TableGrid"/>
        <w:tblW w:w="11070" w:type="dxa"/>
        <w:tblInd w:w="-450" w:type="dxa"/>
        <w:tblLook w:val="04A0" w:firstRow="1" w:lastRow="0" w:firstColumn="1" w:lastColumn="0" w:noHBand="0" w:noVBand="1"/>
      </w:tblPr>
      <w:tblGrid>
        <w:gridCol w:w="2070"/>
        <w:gridCol w:w="1440"/>
        <w:gridCol w:w="1539"/>
        <w:gridCol w:w="1474"/>
        <w:gridCol w:w="1577"/>
        <w:gridCol w:w="1440"/>
        <w:gridCol w:w="1530"/>
      </w:tblGrid>
      <w:tr w:rsidR="00C23E0B" w:rsidRPr="00AB6D14" w14:paraId="02587BDE" w14:textId="77777777" w:rsidTr="00D635DB">
        <w:tc>
          <w:tcPr>
            <w:tcW w:w="2070" w:type="dxa"/>
            <w:tcBorders>
              <w:top w:val="single" w:sz="4" w:space="0" w:color="auto"/>
              <w:left w:val="nil"/>
              <w:bottom w:val="single" w:sz="4" w:space="0" w:color="auto"/>
              <w:right w:val="nil"/>
            </w:tcBorders>
            <w:hideMark/>
          </w:tcPr>
          <w:p w14:paraId="671E729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GROUPS</w:t>
            </w:r>
          </w:p>
          <w:p w14:paraId="161FD3F2"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(n=5)</w:t>
            </w:r>
          </w:p>
        </w:tc>
        <w:tc>
          <w:tcPr>
            <w:tcW w:w="1440" w:type="dxa"/>
            <w:tcBorders>
              <w:top w:val="single" w:sz="4" w:space="0" w:color="auto"/>
              <w:left w:val="nil"/>
              <w:bottom w:val="single" w:sz="4" w:space="0" w:color="auto"/>
              <w:right w:val="nil"/>
            </w:tcBorders>
            <w:hideMark/>
          </w:tcPr>
          <w:p w14:paraId="5E12956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UREA (U)</w:t>
            </w:r>
          </w:p>
          <w:p w14:paraId="09FA438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539" w:type="dxa"/>
            <w:tcBorders>
              <w:top w:val="single" w:sz="4" w:space="0" w:color="auto"/>
              <w:left w:val="nil"/>
              <w:bottom w:val="single" w:sz="4" w:space="0" w:color="auto"/>
              <w:right w:val="nil"/>
            </w:tcBorders>
            <w:hideMark/>
          </w:tcPr>
          <w:p w14:paraId="60FD1A82"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CREATININE</w:t>
            </w:r>
          </w:p>
          <w:p w14:paraId="68EEDB3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(Cr) (</w:t>
            </w:r>
            <w:proofErr w:type="spellStart"/>
            <w:r w:rsidRPr="00C23E0B">
              <w:rPr>
                <w:rFonts w:ascii="Times New Roman" w:hAnsi="Times New Roman"/>
              </w:rPr>
              <w:t>umol</w:t>
            </w:r>
            <w:proofErr w:type="spellEnd"/>
            <w:r w:rsidRPr="00C23E0B">
              <w:rPr>
                <w:rFonts w:ascii="Times New Roman" w:hAnsi="Times New Roman"/>
              </w:rPr>
              <w:t>/l)</w:t>
            </w:r>
          </w:p>
        </w:tc>
        <w:tc>
          <w:tcPr>
            <w:tcW w:w="1474" w:type="dxa"/>
            <w:tcBorders>
              <w:top w:val="single" w:sz="4" w:space="0" w:color="auto"/>
              <w:left w:val="nil"/>
              <w:bottom w:val="single" w:sz="4" w:space="0" w:color="auto"/>
              <w:right w:val="nil"/>
            </w:tcBorders>
            <w:hideMark/>
          </w:tcPr>
          <w:p w14:paraId="2E5CE60F"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HCO</w:t>
            </w:r>
            <w:r w:rsidRPr="00C23E0B">
              <w:rPr>
                <w:rFonts w:ascii="Times New Roman" w:hAnsi="Times New Roman"/>
                <w:vertAlign w:val="subscript"/>
              </w:rPr>
              <w:t>3</w:t>
            </w:r>
            <w:r w:rsidRPr="00C23E0B">
              <w:rPr>
                <w:rFonts w:ascii="Times New Roman" w:hAnsi="Times New Roman"/>
                <w:vertAlign w:val="superscript"/>
              </w:rPr>
              <w:t>-</w:t>
            </w:r>
          </w:p>
          <w:p w14:paraId="3CF2AACF"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577" w:type="dxa"/>
            <w:tcBorders>
              <w:top w:val="single" w:sz="4" w:space="0" w:color="auto"/>
              <w:left w:val="nil"/>
              <w:bottom w:val="single" w:sz="4" w:space="0" w:color="auto"/>
              <w:right w:val="nil"/>
            </w:tcBorders>
            <w:hideMark/>
          </w:tcPr>
          <w:p w14:paraId="448FAD7A"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Na</w:t>
            </w:r>
            <w:r w:rsidRPr="00C23E0B">
              <w:rPr>
                <w:rFonts w:ascii="Times New Roman" w:hAnsi="Times New Roman"/>
                <w:vertAlign w:val="superscript"/>
              </w:rPr>
              <w:t>+</w:t>
            </w:r>
          </w:p>
          <w:p w14:paraId="56FEF8D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440" w:type="dxa"/>
            <w:tcBorders>
              <w:top w:val="single" w:sz="4" w:space="0" w:color="auto"/>
              <w:left w:val="nil"/>
              <w:bottom w:val="single" w:sz="4" w:space="0" w:color="auto"/>
              <w:right w:val="nil"/>
            </w:tcBorders>
            <w:hideMark/>
          </w:tcPr>
          <w:p w14:paraId="0E9D099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K</w:t>
            </w:r>
            <w:r w:rsidRPr="00C23E0B">
              <w:rPr>
                <w:rFonts w:ascii="Times New Roman" w:hAnsi="Times New Roman"/>
                <w:vertAlign w:val="superscript"/>
              </w:rPr>
              <w:t>+</w:t>
            </w:r>
          </w:p>
          <w:p w14:paraId="3985327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c>
          <w:tcPr>
            <w:tcW w:w="1530" w:type="dxa"/>
            <w:tcBorders>
              <w:top w:val="single" w:sz="4" w:space="0" w:color="auto"/>
              <w:left w:val="nil"/>
              <w:bottom w:val="single" w:sz="4" w:space="0" w:color="auto"/>
              <w:right w:val="nil"/>
            </w:tcBorders>
            <w:hideMark/>
          </w:tcPr>
          <w:p w14:paraId="45ED751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Cr</w:t>
            </w:r>
          </w:p>
          <w:p w14:paraId="41B2C5BB"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(mmol/l</w:t>
            </w:r>
          </w:p>
        </w:tc>
      </w:tr>
      <w:tr w:rsidR="00C23E0B" w:rsidRPr="00AB6D14" w14:paraId="1DFDEE4F" w14:textId="77777777" w:rsidTr="00D635DB">
        <w:tc>
          <w:tcPr>
            <w:tcW w:w="2070" w:type="dxa"/>
            <w:tcBorders>
              <w:top w:val="single" w:sz="4" w:space="0" w:color="auto"/>
              <w:left w:val="nil"/>
              <w:bottom w:val="nil"/>
              <w:right w:val="nil"/>
            </w:tcBorders>
            <w:hideMark/>
          </w:tcPr>
          <w:p w14:paraId="17949A77"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A (Control)</w:t>
            </w:r>
          </w:p>
        </w:tc>
        <w:tc>
          <w:tcPr>
            <w:tcW w:w="1440" w:type="dxa"/>
            <w:tcBorders>
              <w:top w:val="single" w:sz="4" w:space="0" w:color="auto"/>
              <w:left w:val="nil"/>
              <w:bottom w:val="nil"/>
              <w:right w:val="nil"/>
            </w:tcBorders>
            <w:hideMark/>
          </w:tcPr>
          <w:p w14:paraId="3AF67E2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0.86 ± 0.29</w:t>
            </w:r>
          </w:p>
        </w:tc>
        <w:tc>
          <w:tcPr>
            <w:tcW w:w="1539" w:type="dxa"/>
            <w:tcBorders>
              <w:top w:val="single" w:sz="4" w:space="0" w:color="auto"/>
              <w:left w:val="nil"/>
              <w:bottom w:val="nil"/>
              <w:right w:val="nil"/>
            </w:tcBorders>
            <w:hideMark/>
          </w:tcPr>
          <w:p w14:paraId="1D52947B"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82.88 ± 4.21</w:t>
            </w:r>
          </w:p>
        </w:tc>
        <w:tc>
          <w:tcPr>
            <w:tcW w:w="1474" w:type="dxa"/>
            <w:tcBorders>
              <w:top w:val="single" w:sz="4" w:space="0" w:color="auto"/>
              <w:left w:val="nil"/>
              <w:bottom w:val="nil"/>
              <w:right w:val="nil"/>
            </w:tcBorders>
            <w:hideMark/>
          </w:tcPr>
          <w:p w14:paraId="04170542"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27.97 ± 0.69</w:t>
            </w:r>
          </w:p>
        </w:tc>
        <w:tc>
          <w:tcPr>
            <w:tcW w:w="1577" w:type="dxa"/>
            <w:tcBorders>
              <w:top w:val="single" w:sz="4" w:space="0" w:color="auto"/>
              <w:left w:val="nil"/>
              <w:bottom w:val="nil"/>
              <w:right w:val="nil"/>
            </w:tcBorders>
            <w:hideMark/>
          </w:tcPr>
          <w:p w14:paraId="02316EE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111.91 ± 2.04</w:t>
            </w:r>
          </w:p>
        </w:tc>
        <w:tc>
          <w:tcPr>
            <w:tcW w:w="1440" w:type="dxa"/>
            <w:tcBorders>
              <w:top w:val="single" w:sz="4" w:space="0" w:color="auto"/>
              <w:left w:val="nil"/>
              <w:bottom w:val="nil"/>
              <w:right w:val="nil"/>
            </w:tcBorders>
            <w:hideMark/>
          </w:tcPr>
          <w:p w14:paraId="3D7830B1"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9.42 ± 0.24</w:t>
            </w:r>
          </w:p>
        </w:tc>
        <w:tc>
          <w:tcPr>
            <w:tcW w:w="1530" w:type="dxa"/>
            <w:tcBorders>
              <w:top w:val="single" w:sz="4" w:space="0" w:color="auto"/>
              <w:left w:val="nil"/>
              <w:bottom w:val="nil"/>
              <w:right w:val="nil"/>
            </w:tcBorders>
            <w:hideMark/>
          </w:tcPr>
          <w:p w14:paraId="46F0C68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73.66 ± 1.40</w:t>
            </w:r>
          </w:p>
        </w:tc>
      </w:tr>
      <w:tr w:rsidR="00C23E0B" w:rsidRPr="00AB6D14" w14:paraId="2756AD56" w14:textId="77777777" w:rsidTr="00D635DB">
        <w:tc>
          <w:tcPr>
            <w:tcW w:w="2070" w:type="dxa"/>
            <w:tcBorders>
              <w:top w:val="nil"/>
              <w:left w:val="nil"/>
              <w:bottom w:val="nil"/>
              <w:right w:val="nil"/>
            </w:tcBorders>
            <w:hideMark/>
          </w:tcPr>
          <w:p w14:paraId="31AC136F"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B</w:t>
            </w:r>
            <w:r w:rsidRPr="00C23E0B">
              <w:rPr>
                <w:rFonts w:ascii="Times New Roman" w:hAnsi="Times New Roman"/>
                <w:vertAlign w:val="subscript"/>
              </w:rPr>
              <w:t>1</w:t>
            </w:r>
            <w:r w:rsidRPr="00C23E0B">
              <w:rPr>
                <w:rFonts w:ascii="Times New Roman" w:hAnsi="Times New Roman"/>
              </w:rPr>
              <w:t xml:space="preserve"> (1st line) 15days</w:t>
            </w:r>
          </w:p>
        </w:tc>
        <w:tc>
          <w:tcPr>
            <w:tcW w:w="1440" w:type="dxa"/>
            <w:tcBorders>
              <w:top w:val="nil"/>
              <w:left w:val="nil"/>
              <w:bottom w:val="nil"/>
              <w:right w:val="nil"/>
            </w:tcBorders>
            <w:hideMark/>
          </w:tcPr>
          <w:p w14:paraId="31724EC9"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2.31 ± 0.50</w:t>
            </w:r>
            <w:r w:rsidRPr="00C23E0B">
              <w:rPr>
                <w:rFonts w:ascii="Times New Roman" w:hAnsi="Times New Roman"/>
                <w:vertAlign w:val="superscript"/>
              </w:rPr>
              <w:t>a</w:t>
            </w:r>
          </w:p>
        </w:tc>
        <w:tc>
          <w:tcPr>
            <w:tcW w:w="1539" w:type="dxa"/>
            <w:tcBorders>
              <w:top w:val="nil"/>
              <w:left w:val="nil"/>
              <w:bottom w:val="nil"/>
              <w:right w:val="nil"/>
            </w:tcBorders>
            <w:hideMark/>
          </w:tcPr>
          <w:p w14:paraId="0945371C"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101.14 ± 5.62</w:t>
            </w:r>
          </w:p>
        </w:tc>
        <w:tc>
          <w:tcPr>
            <w:tcW w:w="1474" w:type="dxa"/>
            <w:tcBorders>
              <w:top w:val="nil"/>
              <w:left w:val="nil"/>
              <w:bottom w:val="nil"/>
              <w:right w:val="nil"/>
            </w:tcBorders>
            <w:hideMark/>
          </w:tcPr>
          <w:p w14:paraId="3F5FE897"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29.10 ± 0.35</w:t>
            </w:r>
          </w:p>
        </w:tc>
        <w:tc>
          <w:tcPr>
            <w:tcW w:w="1577" w:type="dxa"/>
            <w:tcBorders>
              <w:top w:val="nil"/>
              <w:left w:val="nil"/>
              <w:bottom w:val="nil"/>
              <w:right w:val="nil"/>
            </w:tcBorders>
            <w:hideMark/>
          </w:tcPr>
          <w:p w14:paraId="5D6AC44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110.98 ± 4.06</w:t>
            </w:r>
          </w:p>
        </w:tc>
        <w:tc>
          <w:tcPr>
            <w:tcW w:w="1440" w:type="dxa"/>
            <w:tcBorders>
              <w:top w:val="nil"/>
              <w:left w:val="nil"/>
              <w:bottom w:val="nil"/>
              <w:right w:val="nil"/>
            </w:tcBorders>
            <w:hideMark/>
          </w:tcPr>
          <w:p w14:paraId="63F8559E"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10.37 ± 0.99</w:t>
            </w:r>
          </w:p>
        </w:tc>
        <w:tc>
          <w:tcPr>
            <w:tcW w:w="1530" w:type="dxa"/>
            <w:tcBorders>
              <w:top w:val="nil"/>
              <w:left w:val="nil"/>
              <w:bottom w:val="nil"/>
              <w:right w:val="nil"/>
            </w:tcBorders>
            <w:hideMark/>
          </w:tcPr>
          <w:p w14:paraId="48F98456"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76.56 ± 3.57</w:t>
            </w:r>
          </w:p>
        </w:tc>
      </w:tr>
      <w:tr w:rsidR="00C23E0B" w:rsidRPr="00AB6D14" w14:paraId="2A24D89D" w14:textId="77777777" w:rsidTr="00D635DB">
        <w:tc>
          <w:tcPr>
            <w:tcW w:w="2070" w:type="dxa"/>
            <w:tcBorders>
              <w:top w:val="nil"/>
              <w:left w:val="nil"/>
              <w:bottom w:val="nil"/>
              <w:right w:val="nil"/>
            </w:tcBorders>
            <w:hideMark/>
          </w:tcPr>
          <w:p w14:paraId="43448AC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B</w:t>
            </w:r>
            <w:r w:rsidRPr="00C23E0B">
              <w:rPr>
                <w:rFonts w:ascii="Times New Roman" w:hAnsi="Times New Roman"/>
                <w:vertAlign w:val="subscript"/>
              </w:rPr>
              <w:t>2</w:t>
            </w:r>
            <w:r w:rsidRPr="00C23E0B">
              <w:rPr>
                <w:rFonts w:ascii="Times New Roman" w:hAnsi="Times New Roman"/>
              </w:rPr>
              <w:t xml:space="preserve"> (2nd line) 30 says</w:t>
            </w:r>
          </w:p>
        </w:tc>
        <w:tc>
          <w:tcPr>
            <w:tcW w:w="1440" w:type="dxa"/>
            <w:tcBorders>
              <w:top w:val="nil"/>
              <w:left w:val="nil"/>
              <w:bottom w:val="nil"/>
              <w:right w:val="nil"/>
            </w:tcBorders>
            <w:hideMark/>
          </w:tcPr>
          <w:p w14:paraId="378C68D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1.81 ± 0.58</w:t>
            </w:r>
          </w:p>
        </w:tc>
        <w:tc>
          <w:tcPr>
            <w:tcW w:w="1539" w:type="dxa"/>
            <w:tcBorders>
              <w:top w:val="nil"/>
              <w:left w:val="nil"/>
              <w:bottom w:val="nil"/>
              <w:right w:val="nil"/>
            </w:tcBorders>
            <w:hideMark/>
          </w:tcPr>
          <w:p w14:paraId="209E6EE0"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95.52 ± 2.29</w:t>
            </w:r>
          </w:p>
        </w:tc>
        <w:tc>
          <w:tcPr>
            <w:tcW w:w="1474" w:type="dxa"/>
            <w:tcBorders>
              <w:top w:val="nil"/>
              <w:left w:val="nil"/>
              <w:bottom w:val="nil"/>
              <w:right w:val="nil"/>
            </w:tcBorders>
            <w:hideMark/>
          </w:tcPr>
          <w:p w14:paraId="79104364"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30.03 ± 0.39</w:t>
            </w:r>
            <w:r w:rsidRPr="00C23E0B">
              <w:rPr>
                <w:rFonts w:ascii="Times New Roman" w:hAnsi="Times New Roman"/>
                <w:vertAlign w:val="superscript"/>
              </w:rPr>
              <w:t>a</w:t>
            </w:r>
          </w:p>
        </w:tc>
        <w:tc>
          <w:tcPr>
            <w:tcW w:w="1577" w:type="dxa"/>
            <w:tcBorders>
              <w:top w:val="nil"/>
              <w:left w:val="nil"/>
              <w:bottom w:val="nil"/>
              <w:right w:val="nil"/>
            </w:tcBorders>
            <w:hideMark/>
          </w:tcPr>
          <w:p w14:paraId="7FF6401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132.69 ± 3.42</w:t>
            </w:r>
            <w:r w:rsidRPr="00C23E0B">
              <w:rPr>
                <w:rFonts w:ascii="Times New Roman" w:hAnsi="Times New Roman"/>
                <w:vertAlign w:val="superscript"/>
              </w:rPr>
              <w:t>ab</w:t>
            </w:r>
          </w:p>
        </w:tc>
        <w:tc>
          <w:tcPr>
            <w:tcW w:w="1440" w:type="dxa"/>
            <w:tcBorders>
              <w:top w:val="nil"/>
              <w:left w:val="nil"/>
              <w:bottom w:val="nil"/>
              <w:right w:val="nil"/>
            </w:tcBorders>
            <w:hideMark/>
          </w:tcPr>
          <w:p w14:paraId="2506DB9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10.48 ± 1.38</w:t>
            </w:r>
          </w:p>
        </w:tc>
        <w:tc>
          <w:tcPr>
            <w:tcW w:w="1530" w:type="dxa"/>
            <w:tcBorders>
              <w:top w:val="nil"/>
              <w:left w:val="nil"/>
              <w:bottom w:val="nil"/>
              <w:right w:val="nil"/>
            </w:tcBorders>
            <w:hideMark/>
          </w:tcPr>
          <w:p w14:paraId="1322690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78.46 ± 3.22</w:t>
            </w:r>
          </w:p>
        </w:tc>
      </w:tr>
      <w:tr w:rsidR="00C23E0B" w:rsidRPr="00AB6D14" w14:paraId="55514562" w14:textId="77777777" w:rsidTr="00D635DB">
        <w:tc>
          <w:tcPr>
            <w:tcW w:w="2070" w:type="dxa"/>
            <w:tcBorders>
              <w:top w:val="nil"/>
              <w:left w:val="nil"/>
              <w:bottom w:val="nil"/>
              <w:right w:val="nil"/>
            </w:tcBorders>
            <w:hideMark/>
          </w:tcPr>
          <w:p w14:paraId="6296BE0C"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w:t>
            </w:r>
            <w:r w:rsidRPr="00C23E0B">
              <w:rPr>
                <w:rFonts w:ascii="Times New Roman" w:hAnsi="Times New Roman"/>
                <w:vertAlign w:val="subscript"/>
              </w:rPr>
              <w:t>1</w:t>
            </w:r>
            <w:r w:rsidRPr="00C23E0B">
              <w:rPr>
                <w:rFonts w:ascii="Times New Roman" w:hAnsi="Times New Roman"/>
              </w:rPr>
              <w:t xml:space="preserve"> (2nd line) 15days</w:t>
            </w:r>
          </w:p>
        </w:tc>
        <w:tc>
          <w:tcPr>
            <w:tcW w:w="1440" w:type="dxa"/>
            <w:tcBorders>
              <w:top w:val="nil"/>
              <w:left w:val="nil"/>
              <w:bottom w:val="nil"/>
              <w:right w:val="nil"/>
            </w:tcBorders>
            <w:hideMark/>
          </w:tcPr>
          <w:p w14:paraId="4C05C95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2.00 ± 0.23</w:t>
            </w:r>
            <w:r w:rsidRPr="00C23E0B">
              <w:rPr>
                <w:rFonts w:ascii="Times New Roman" w:hAnsi="Times New Roman"/>
                <w:vertAlign w:val="superscript"/>
              </w:rPr>
              <w:t>a</w:t>
            </w:r>
          </w:p>
        </w:tc>
        <w:tc>
          <w:tcPr>
            <w:tcW w:w="1539" w:type="dxa"/>
            <w:tcBorders>
              <w:top w:val="nil"/>
              <w:left w:val="nil"/>
              <w:bottom w:val="nil"/>
              <w:right w:val="nil"/>
            </w:tcBorders>
            <w:hideMark/>
          </w:tcPr>
          <w:p w14:paraId="150A1FE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98.33 ± 6.69</w:t>
            </w:r>
          </w:p>
        </w:tc>
        <w:tc>
          <w:tcPr>
            <w:tcW w:w="1474" w:type="dxa"/>
            <w:tcBorders>
              <w:top w:val="nil"/>
              <w:left w:val="nil"/>
              <w:bottom w:val="nil"/>
              <w:right w:val="nil"/>
            </w:tcBorders>
            <w:hideMark/>
          </w:tcPr>
          <w:p w14:paraId="40764F6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28.78 ± 0.77</w:t>
            </w:r>
          </w:p>
        </w:tc>
        <w:tc>
          <w:tcPr>
            <w:tcW w:w="1577" w:type="dxa"/>
            <w:tcBorders>
              <w:top w:val="nil"/>
              <w:left w:val="nil"/>
              <w:bottom w:val="nil"/>
              <w:right w:val="nil"/>
            </w:tcBorders>
            <w:hideMark/>
          </w:tcPr>
          <w:p w14:paraId="15D04F7A"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132.55 ± 6.42</w:t>
            </w:r>
          </w:p>
        </w:tc>
        <w:tc>
          <w:tcPr>
            <w:tcW w:w="1440" w:type="dxa"/>
            <w:tcBorders>
              <w:top w:val="nil"/>
              <w:left w:val="nil"/>
              <w:bottom w:val="nil"/>
              <w:right w:val="nil"/>
            </w:tcBorders>
            <w:hideMark/>
          </w:tcPr>
          <w:p w14:paraId="7385ABD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7.41 ± 0.69</w:t>
            </w:r>
            <w:r w:rsidRPr="00C23E0B">
              <w:rPr>
                <w:rFonts w:ascii="Times New Roman" w:hAnsi="Times New Roman"/>
                <w:vertAlign w:val="superscript"/>
              </w:rPr>
              <w:t>c</w:t>
            </w:r>
          </w:p>
        </w:tc>
        <w:tc>
          <w:tcPr>
            <w:tcW w:w="1530" w:type="dxa"/>
            <w:tcBorders>
              <w:top w:val="nil"/>
              <w:left w:val="nil"/>
              <w:bottom w:val="nil"/>
              <w:right w:val="nil"/>
            </w:tcBorders>
            <w:hideMark/>
          </w:tcPr>
          <w:p w14:paraId="6A1F7ED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80.68 ± 4.82</w:t>
            </w:r>
          </w:p>
        </w:tc>
      </w:tr>
      <w:tr w:rsidR="00C23E0B" w:rsidRPr="00AB6D14" w14:paraId="6010D6F0" w14:textId="77777777" w:rsidTr="00D635DB">
        <w:tc>
          <w:tcPr>
            <w:tcW w:w="2070" w:type="dxa"/>
            <w:tcBorders>
              <w:top w:val="nil"/>
              <w:left w:val="nil"/>
              <w:bottom w:val="nil"/>
              <w:right w:val="nil"/>
            </w:tcBorders>
            <w:hideMark/>
          </w:tcPr>
          <w:p w14:paraId="29DFAD8D"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C</w:t>
            </w:r>
            <w:r w:rsidRPr="00C23E0B">
              <w:rPr>
                <w:rFonts w:ascii="Times New Roman" w:hAnsi="Times New Roman"/>
                <w:vertAlign w:val="subscript"/>
              </w:rPr>
              <w:t>2</w:t>
            </w:r>
            <w:r w:rsidRPr="00C23E0B">
              <w:rPr>
                <w:rFonts w:ascii="Times New Roman" w:hAnsi="Times New Roman"/>
              </w:rPr>
              <w:t xml:space="preserve"> (2nd line) 30 days </w:t>
            </w:r>
          </w:p>
        </w:tc>
        <w:tc>
          <w:tcPr>
            <w:tcW w:w="1440" w:type="dxa"/>
            <w:tcBorders>
              <w:top w:val="nil"/>
              <w:left w:val="nil"/>
              <w:bottom w:val="nil"/>
              <w:right w:val="nil"/>
            </w:tcBorders>
            <w:hideMark/>
          </w:tcPr>
          <w:p w14:paraId="0511B1C0"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1.14 ± 0.17</w:t>
            </w:r>
            <w:r w:rsidRPr="00C23E0B">
              <w:rPr>
                <w:rFonts w:ascii="Times New Roman" w:hAnsi="Times New Roman"/>
                <w:vertAlign w:val="superscript"/>
              </w:rPr>
              <w:t>b</w:t>
            </w:r>
          </w:p>
        </w:tc>
        <w:tc>
          <w:tcPr>
            <w:tcW w:w="1539" w:type="dxa"/>
            <w:tcBorders>
              <w:top w:val="nil"/>
              <w:left w:val="nil"/>
              <w:bottom w:val="nil"/>
              <w:right w:val="nil"/>
            </w:tcBorders>
            <w:hideMark/>
          </w:tcPr>
          <w:p w14:paraId="12DCB6B8"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82.88 ± 9.56</w:t>
            </w:r>
          </w:p>
        </w:tc>
        <w:tc>
          <w:tcPr>
            <w:tcW w:w="1474" w:type="dxa"/>
            <w:tcBorders>
              <w:top w:val="nil"/>
              <w:left w:val="nil"/>
              <w:bottom w:val="nil"/>
              <w:right w:val="nil"/>
            </w:tcBorders>
            <w:hideMark/>
          </w:tcPr>
          <w:p w14:paraId="385A6B8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28.94 ± 1.01</w:t>
            </w:r>
          </w:p>
        </w:tc>
        <w:tc>
          <w:tcPr>
            <w:tcW w:w="1577" w:type="dxa"/>
            <w:tcBorders>
              <w:top w:val="nil"/>
              <w:left w:val="nil"/>
              <w:bottom w:val="nil"/>
              <w:right w:val="nil"/>
            </w:tcBorders>
            <w:hideMark/>
          </w:tcPr>
          <w:p w14:paraId="7FDB630B"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135.00 ± 3.02</w:t>
            </w:r>
            <w:r w:rsidRPr="00C23E0B">
              <w:rPr>
                <w:rFonts w:ascii="Times New Roman" w:hAnsi="Times New Roman"/>
                <w:vertAlign w:val="superscript"/>
              </w:rPr>
              <w:t>ab</w:t>
            </w:r>
          </w:p>
        </w:tc>
        <w:tc>
          <w:tcPr>
            <w:tcW w:w="1440" w:type="dxa"/>
            <w:tcBorders>
              <w:top w:val="nil"/>
              <w:left w:val="nil"/>
              <w:bottom w:val="nil"/>
              <w:right w:val="nil"/>
            </w:tcBorders>
            <w:hideMark/>
          </w:tcPr>
          <w:p w14:paraId="1E7390C3"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8.03 ± 0.41</w:t>
            </w:r>
            <w:r w:rsidRPr="00C23E0B">
              <w:rPr>
                <w:rFonts w:ascii="Times New Roman" w:hAnsi="Times New Roman"/>
                <w:vertAlign w:val="superscript"/>
              </w:rPr>
              <w:t>d</w:t>
            </w:r>
          </w:p>
        </w:tc>
        <w:tc>
          <w:tcPr>
            <w:tcW w:w="1530" w:type="dxa"/>
            <w:tcBorders>
              <w:top w:val="nil"/>
              <w:left w:val="nil"/>
              <w:bottom w:val="nil"/>
              <w:right w:val="nil"/>
            </w:tcBorders>
            <w:hideMark/>
          </w:tcPr>
          <w:p w14:paraId="528554BE"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77.70 ± 5.59</w:t>
            </w:r>
          </w:p>
        </w:tc>
      </w:tr>
      <w:tr w:rsidR="00C23E0B" w:rsidRPr="00AB6D14" w14:paraId="123EFAAB" w14:textId="77777777" w:rsidTr="00D635DB">
        <w:tc>
          <w:tcPr>
            <w:tcW w:w="2070" w:type="dxa"/>
            <w:tcBorders>
              <w:top w:val="nil"/>
              <w:left w:val="nil"/>
              <w:bottom w:val="nil"/>
              <w:right w:val="nil"/>
            </w:tcBorders>
            <w:hideMark/>
          </w:tcPr>
          <w:p w14:paraId="01128DD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D</w:t>
            </w:r>
            <w:r w:rsidRPr="00C23E0B">
              <w:rPr>
                <w:rFonts w:ascii="Times New Roman" w:hAnsi="Times New Roman"/>
                <w:vertAlign w:val="subscript"/>
              </w:rPr>
              <w:t>1</w:t>
            </w:r>
            <w:r w:rsidRPr="00C23E0B">
              <w:rPr>
                <w:rFonts w:ascii="Times New Roman" w:hAnsi="Times New Roman"/>
              </w:rPr>
              <w:t xml:space="preserve"> (B</w:t>
            </w:r>
            <w:r w:rsidRPr="00C23E0B">
              <w:rPr>
                <w:rFonts w:ascii="Times New Roman" w:hAnsi="Times New Roman"/>
                <w:vertAlign w:val="subscript"/>
              </w:rPr>
              <w:t>2</w:t>
            </w:r>
            <w:r w:rsidRPr="00C23E0B">
              <w:rPr>
                <w:rFonts w:ascii="Times New Roman" w:hAnsi="Times New Roman"/>
              </w:rPr>
              <w:t xml:space="preserve"> to c</w:t>
            </w:r>
            <w:r w:rsidRPr="00C23E0B">
              <w:rPr>
                <w:rFonts w:ascii="Times New Roman" w:hAnsi="Times New Roman"/>
                <w:vertAlign w:val="subscript"/>
              </w:rPr>
              <w:t>1</w:t>
            </w:r>
            <w:r w:rsidRPr="00C23E0B">
              <w:rPr>
                <w:rFonts w:ascii="Times New Roman" w:hAnsi="Times New Roman"/>
              </w:rPr>
              <w:t>) 45 days</w:t>
            </w:r>
          </w:p>
        </w:tc>
        <w:tc>
          <w:tcPr>
            <w:tcW w:w="1440" w:type="dxa"/>
            <w:tcBorders>
              <w:top w:val="nil"/>
              <w:left w:val="nil"/>
              <w:bottom w:val="nil"/>
              <w:right w:val="nil"/>
            </w:tcBorders>
            <w:hideMark/>
          </w:tcPr>
          <w:p w14:paraId="3FD7D349"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0.56 ± 0.13</w:t>
            </w:r>
            <w:r w:rsidRPr="00C23E0B">
              <w:rPr>
                <w:rFonts w:ascii="Times New Roman" w:hAnsi="Times New Roman"/>
                <w:vertAlign w:val="superscript"/>
              </w:rPr>
              <w:t>bcd</w:t>
            </w:r>
          </w:p>
        </w:tc>
        <w:tc>
          <w:tcPr>
            <w:tcW w:w="1539" w:type="dxa"/>
            <w:tcBorders>
              <w:top w:val="nil"/>
              <w:left w:val="nil"/>
              <w:bottom w:val="nil"/>
              <w:right w:val="nil"/>
            </w:tcBorders>
            <w:hideMark/>
          </w:tcPr>
          <w:p w14:paraId="55D1661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101.15 ± 9.73</w:t>
            </w:r>
          </w:p>
        </w:tc>
        <w:tc>
          <w:tcPr>
            <w:tcW w:w="1474" w:type="dxa"/>
            <w:tcBorders>
              <w:top w:val="nil"/>
              <w:left w:val="nil"/>
              <w:bottom w:val="nil"/>
              <w:right w:val="nil"/>
            </w:tcBorders>
            <w:hideMark/>
          </w:tcPr>
          <w:p w14:paraId="5D4786F5"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29.60 ± 0.10</w:t>
            </w:r>
          </w:p>
        </w:tc>
        <w:tc>
          <w:tcPr>
            <w:tcW w:w="1577" w:type="dxa"/>
            <w:tcBorders>
              <w:top w:val="nil"/>
              <w:left w:val="nil"/>
              <w:bottom w:val="nil"/>
              <w:right w:val="nil"/>
            </w:tcBorders>
            <w:hideMark/>
          </w:tcPr>
          <w:p w14:paraId="1C113AB9"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132.58 ± 3.98</w:t>
            </w:r>
            <w:r w:rsidRPr="00C23E0B">
              <w:rPr>
                <w:rFonts w:ascii="Times New Roman" w:hAnsi="Times New Roman"/>
                <w:vertAlign w:val="superscript"/>
              </w:rPr>
              <w:t>ab</w:t>
            </w:r>
          </w:p>
        </w:tc>
        <w:tc>
          <w:tcPr>
            <w:tcW w:w="1440" w:type="dxa"/>
            <w:tcBorders>
              <w:top w:val="nil"/>
              <w:left w:val="nil"/>
              <w:bottom w:val="nil"/>
              <w:right w:val="nil"/>
            </w:tcBorders>
            <w:hideMark/>
          </w:tcPr>
          <w:p w14:paraId="5C069D41"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7.43 ± 1.01</w:t>
            </w:r>
            <w:r w:rsidRPr="00C23E0B">
              <w:rPr>
                <w:rFonts w:ascii="Times New Roman" w:hAnsi="Times New Roman"/>
                <w:vertAlign w:val="superscript"/>
              </w:rPr>
              <w:t>bd</w:t>
            </w:r>
          </w:p>
        </w:tc>
        <w:tc>
          <w:tcPr>
            <w:tcW w:w="1530" w:type="dxa"/>
            <w:tcBorders>
              <w:top w:val="nil"/>
              <w:left w:val="nil"/>
              <w:bottom w:val="nil"/>
              <w:right w:val="nil"/>
            </w:tcBorders>
            <w:hideMark/>
          </w:tcPr>
          <w:p w14:paraId="04CB9C7C"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90.45 ± 5.87</w:t>
            </w:r>
            <w:r w:rsidRPr="00C23E0B">
              <w:rPr>
                <w:rFonts w:ascii="Times New Roman" w:hAnsi="Times New Roman"/>
                <w:vertAlign w:val="superscript"/>
              </w:rPr>
              <w:t>abe</w:t>
            </w:r>
          </w:p>
        </w:tc>
      </w:tr>
      <w:tr w:rsidR="00C23E0B" w:rsidRPr="00AB6D14" w14:paraId="104B381F" w14:textId="77777777" w:rsidTr="00D635DB">
        <w:tc>
          <w:tcPr>
            <w:tcW w:w="2070" w:type="dxa"/>
            <w:tcBorders>
              <w:top w:val="nil"/>
              <w:left w:val="nil"/>
              <w:bottom w:val="single" w:sz="4" w:space="0" w:color="auto"/>
              <w:right w:val="nil"/>
            </w:tcBorders>
            <w:hideMark/>
          </w:tcPr>
          <w:p w14:paraId="15233FC0"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D</w:t>
            </w:r>
            <w:r w:rsidRPr="00C23E0B">
              <w:rPr>
                <w:rFonts w:ascii="Times New Roman" w:hAnsi="Times New Roman"/>
              </w:rPr>
              <w:softHyphen/>
            </w:r>
            <w:r w:rsidRPr="00C23E0B">
              <w:rPr>
                <w:rFonts w:ascii="Times New Roman" w:hAnsi="Times New Roman"/>
                <w:vertAlign w:val="subscript"/>
              </w:rPr>
              <w:t>2</w:t>
            </w:r>
            <w:r w:rsidRPr="00C23E0B">
              <w:rPr>
                <w:rFonts w:ascii="Times New Roman" w:hAnsi="Times New Roman"/>
              </w:rPr>
              <w:t>(B</w:t>
            </w:r>
            <w:r w:rsidRPr="00C23E0B">
              <w:rPr>
                <w:rFonts w:ascii="Times New Roman" w:hAnsi="Times New Roman"/>
                <w:vertAlign w:val="subscript"/>
              </w:rPr>
              <w:t>2</w:t>
            </w:r>
            <w:r w:rsidRPr="00C23E0B">
              <w:rPr>
                <w:rFonts w:ascii="Times New Roman" w:hAnsi="Times New Roman"/>
              </w:rPr>
              <w:t xml:space="preserve"> to c</w:t>
            </w:r>
            <w:r w:rsidRPr="00C23E0B">
              <w:rPr>
                <w:rFonts w:ascii="Times New Roman" w:hAnsi="Times New Roman"/>
                <w:vertAlign w:val="subscript"/>
              </w:rPr>
              <w:t>2</w:t>
            </w:r>
            <w:r w:rsidRPr="00C23E0B">
              <w:rPr>
                <w:rFonts w:ascii="Times New Roman" w:hAnsi="Times New Roman"/>
              </w:rPr>
              <w:t>) 60 days</w:t>
            </w:r>
          </w:p>
        </w:tc>
        <w:tc>
          <w:tcPr>
            <w:tcW w:w="1440" w:type="dxa"/>
            <w:tcBorders>
              <w:top w:val="nil"/>
              <w:left w:val="nil"/>
              <w:bottom w:val="single" w:sz="4" w:space="0" w:color="auto"/>
              <w:right w:val="nil"/>
            </w:tcBorders>
            <w:hideMark/>
          </w:tcPr>
          <w:p w14:paraId="04516320"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0.44 ± 021</w:t>
            </w:r>
            <w:r w:rsidRPr="00C23E0B">
              <w:rPr>
                <w:rFonts w:ascii="Times New Roman" w:hAnsi="Times New Roman"/>
                <w:vertAlign w:val="superscript"/>
              </w:rPr>
              <w:t>bcd</w:t>
            </w:r>
          </w:p>
        </w:tc>
        <w:tc>
          <w:tcPr>
            <w:tcW w:w="1539" w:type="dxa"/>
            <w:tcBorders>
              <w:top w:val="nil"/>
              <w:left w:val="nil"/>
              <w:bottom w:val="single" w:sz="4" w:space="0" w:color="auto"/>
              <w:right w:val="nil"/>
            </w:tcBorders>
            <w:hideMark/>
          </w:tcPr>
          <w:p w14:paraId="415462D8"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98.33 ± 11.81</w:t>
            </w:r>
          </w:p>
        </w:tc>
        <w:tc>
          <w:tcPr>
            <w:tcW w:w="1474" w:type="dxa"/>
            <w:tcBorders>
              <w:top w:val="nil"/>
              <w:left w:val="nil"/>
              <w:bottom w:val="single" w:sz="4" w:space="0" w:color="auto"/>
              <w:right w:val="nil"/>
            </w:tcBorders>
            <w:hideMark/>
          </w:tcPr>
          <w:p w14:paraId="5D60D65A" w14:textId="77777777" w:rsidR="004B33F6" w:rsidRPr="00C23E0B" w:rsidRDefault="00C23E0B" w:rsidP="000138CA">
            <w:pPr>
              <w:spacing w:line="360" w:lineRule="auto"/>
              <w:jc w:val="both"/>
              <w:rPr>
                <w:rFonts w:ascii="Times New Roman" w:hAnsi="Times New Roman"/>
                <w:vertAlign w:val="superscript"/>
              </w:rPr>
            </w:pPr>
            <w:r w:rsidRPr="00C23E0B">
              <w:rPr>
                <w:rFonts w:ascii="Times New Roman" w:hAnsi="Times New Roman"/>
              </w:rPr>
              <w:t>30.86±</w:t>
            </w:r>
            <w:r w:rsidR="004B33F6" w:rsidRPr="00C23E0B">
              <w:rPr>
                <w:rFonts w:ascii="Times New Roman" w:hAnsi="Times New Roman"/>
              </w:rPr>
              <w:t>0.33</w:t>
            </w:r>
            <w:r w:rsidR="004B33F6" w:rsidRPr="00C23E0B">
              <w:rPr>
                <w:rFonts w:ascii="Times New Roman" w:hAnsi="Times New Roman"/>
                <w:vertAlign w:val="superscript"/>
              </w:rPr>
              <w:t>abce</w:t>
            </w:r>
          </w:p>
        </w:tc>
        <w:tc>
          <w:tcPr>
            <w:tcW w:w="1577" w:type="dxa"/>
            <w:tcBorders>
              <w:top w:val="nil"/>
              <w:left w:val="nil"/>
              <w:bottom w:val="single" w:sz="4" w:space="0" w:color="auto"/>
              <w:right w:val="nil"/>
            </w:tcBorders>
            <w:hideMark/>
          </w:tcPr>
          <w:p w14:paraId="670C2B63"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122.45 ± 3.37</w:t>
            </w:r>
            <w:r w:rsidRPr="00C23E0B">
              <w:rPr>
                <w:rFonts w:ascii="Times New Roman" w:hAnsi="Times New Roman"/>
                <w:vertAlign w:val="superscript"/>
              </w:rPr>
              <w:t>c</w:t>
            </w:r>
          </w:p>
        </w:tc>
        <w:tc>
          <w:tcPr>
            <w:tcW w:w="1440" w:type="dxa"/>
            <w:tcBorders>
              <w:top w:val="nil"/>
              <w:left w:val="nil"/>
              <w:bottom w:val="single" w:sz="4" w:space="0" w:color="auto"/>
              <w:right w:val="nil"/>
            </w:tcBorders>
            <w:hideMark/>
          </w:tcPr>
          <w:p w14:paraId="58E955FF" w14:textId="77777777" w:rsidR="004B33F6" w:rsidRPr="00C23E0B" w:rsidRDefault="004B33F6" w:rsidP="000138CA">
            <w:pPr>
              <w:spacing w:line="360" w:lineRule="auto"/>
              <w:jc w:val="both"/>
              <w:rPr>
                <w:rFonts w:ascii="Times New Roman" w:hAnsi="Times New Roman"/>
                <w:vertAlign w:val="superscript"/>
              </w:rPr>
            </w:pPr>
            <w:r w:rsidRPr="00C23E0B">
              <w:rPr>
                <w:rFonts w:ascii="Times New Roman" w:hAnsi="Times New Roman"/>
              </w:rPr>
              <w:t>7.81 ± 0.12</w:t>
            </w:r>
            <w:r w:rsidRPr="00C23E0B">
              <w:rPr>
                <w:rFonts w:ascii="Times New Roman" w:hAnsi="Times New Roman"/>
                <w:vertAlign w:val="superscript"/>
              </w:rPr>
              <w:t>bd</w:t>
            </w:r>
          </w:p>
        </w:tc>
        <w:tc>
          <w:tcPr>
            <w:tcW w:w="1530" w:type="dxa"/>
            <w:tcBorders>
              <w:top w:val="nil"/>
              <w:left w:val="nil"/>
              <w:bottom w:val="single" w:sz="4" w:space="0" w:color="auto"/>
              <w:right w:val="nil"/>
            </w:tcBorders>
            <w:hideMark/>
          </w:tcPr>
          <w:p w14:paraId="0A94FA19" w14:textId="77777777" w:rsidR="004B33F6" w:rsidRPr="00C23E0B" w:rsidRDefault="004B33F6" w:rsidP="000138CA">
            <w:pPr>
              <w:spacing w:line="360" w:lineRule="auto"/>
              <w:jc w:val="both"/>
              <w:rPr>
                <w:rFonts w:ascii="Times New Roman" w:hAnsi="Times New Roman"/>
              </w:rPr>
            </w:pPr>
            <w:r w:rsidRPr="00C23E0B">
              <w:rPr>
                <w:rFonts w:ascii="Times New Roman" w:hAnsi="Times New Roman"/>
              </w:rPr>
              <w:t>88.76 ± 2.67</w:t>
            </w:r>
            <w:r w:rsidRPr="00C23E0B">
              <w:rPr>
                <w:rFonts w:ascii="Times New Roman" w:hAnsi="Times New Roman"/>
                <w:vertAlign w:val="superscript"/>
              </w:rPr>
              <w:t>a</w:t>
            </w:r>
          </w:p>
        </w:tc>
      </w:tr>
    </w:tbl>
    <w:p w14:paraId="30B4C917"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Values are presented as Mean ± Standard Error of Mean (SEM).</w:t>
      </w:r>
    </w:p>
    <w:p w14:paraId="22934A4E" w14:textId="77777777" w:rsidR="004B33F6" w:rsidRPr="00D635DB" w:rsidRDefault="004B33F6" w:rsidP="00D635DB">
      <w:pPr>
        <w:spacing w:after="0" w:line="240" w:lineRule="auto"/>
        <w:jc w:val="both"/>
        <w:rPr>
          <w:rFonts w:ascii="Times New Roman" w:eastAsia="Times New Roman" w:hAnsi="Times New Roman" w:cs="Times New Roman"/>
        </w:rPr>
      </w:pPr>
      <w:r w:rsidRPr="00D635DB">
        <w:rPr>
          <w:rFonts w:ascii="Times New Roman" w:eastAsia="Times New Roman" w:hAnsi="Times New Roman" w:cs="Times New Roman"/>
        </w:rPr>
        <w:t>Source: Computed by the researcher from raw data of biochemical analysis (2019).</w:t>
      </w:r>
    </w:p>
    <w:p w14:paraId="079648BD" w14:textId="77777777" w:rsidR="004B33F6" w:rsidRPr="00D635DB" w:rsidRDefault="004B33F6" w:rsidP="00D635DB">
      <w:pPr>
        <w:spacing w:after="0" w:line="240" w:lineRule="auto"/>
        <w:rPr>
          <w:rFonts w:ascii="Times New Roman" w:eastAsia="Times New Roman" w:hAnsi="Times New Roman" w:cs="Times New Roman"/>
        </w:rPr>
      </w:pPr>
    </w:p>
    <w:p w14:paraId="2B712931" w14:textId="77777777" w:rsidR="004B33F6" w:rsidRPr="00D635DB" w:rsidRDefault="004B33F6" w:rsidP="00D635DB">
      <w:pPr>
        <w:spacing w:after="0" w:line="240" w:lineRule="auto"/>
        <w:ind w:left="720" w:hanging="720"/>
        <w:jc w:val="both"/>
        <w:rPr>
          <w:rFonts w:ascii="Times New Roman" w:eastAsia="Times New Roman" w:hAnsi="Times New Roman" w:cs="Times New Roman"/>
        </w:rPr>
      </w:pPr>
      <w:r w:rsidRPr="00D635DB">
        <w:rPr>
          <w:rFonts w:ascii="Times New Roman" w:eastAsia="Times New Roman" w:hAnsi="Times New Roman" w:cs="Times New Roman"/>
        </w:rPr>
        <w:t>Legends: CREAT – Creatinine; Na</w:t>
      </w:r>
      <w:r w:rsidRPr="00D635DB">
        <w:rPr>
          <w:rFonts w:ascii="Times New Roman" w:eastAsia="Times New Roman" w:hAnsi="Times New Roman" w:cs="Times New Roman"/>
          <w:vertAlign w:val="superscript"/>
        </w:rPr>
        <w:t xml:space="preserve">+ </w:t>
      </w:r>
      <w:r w:rsidRPr="00D635DB">
        <w:rPr>
          <w:rFonts w:ascii="Times New Roman" w:eastAsia="Times New Roman" w:hAnsi="Times New Roman" w:cs="Times New Roman"/>
        </w:rPr>
        <w:t>- Sodium; K</w:t>
      </w:r>
      <w:r w:rsidRPr="00D635DB">
        <w:rPr>
          <w:rFonts w:ascii="Times New Roman" w:eastAsia="Times New Roman" w:hAnsi="Times New Roman" w:cs="Times New Roman"/>
          <w:vertAlign w:val="superscript"/>
        </w:rPr>
        <w:t>+</w:t>
      </w:r>
      <w:r w:rsidRPr="00D635DB">
        <w:rPr>
          <w:rFonts w:ascii="Times New Roman" w:eastAsia="Times New Roman" w:hAnsi="Times New Roman" w:cs="Times New Roman"/>
        </w:rPr>
        <w:t>- Potassium; CL</w:t>
      </w:r>
      <w:r w:rsidRPr="00D635DB">
        <w:rPr>
          <w:rFonts w:ascii="Times New Roman" w:eastAsia="Times New Roman" w:hAnsi="Times New Roman" w:cs="Times New Roman"/>
          <w:vertAlign w:val="superscript"/>
        </w:rPr>
        <w:t>-</w:t>
      </w:r>
      <w:r w:rsidRPr="00D635DB">
        <w:rPr>
          <w:rFonts w:ascii="Times New Roman" w:eastAsia="Times New Roman" w:hAnsi="Times New Roman" w:cs="Times New Roman"/>
        </w:rPr>
        <w:t xml:space="preserve"> - Chloride; HCO</w:t>
      </w:r>
      <w:r w:rsidRPr="00D635DB">
        <w:rPr>
          <w:rFonts w:ascii="Times New Roman" w:eastAsia="Times New Roman" w:hAnsi="Times New Roman" w:cs="Times New Roman"/>
          <w:vertAlign w:val="subscript"/>
        </w:rPr>
        <w:t>3</w:t>
      </w:r>
      <w:r w:rsidRPr="00D635DB">
        <w:rPr>
          <w:rFonts w:ascii="Times New Roman" w:eastAsia="Times New Roman" w:hAnsi="Times New Roman" w:cs="Times New Roman"/>
          <w:vertAlign w:val="superscript"/>
        </w:rPr>
        <w:t>-</w:t>
      </w:r>
      <w:r w:rsidRPr="00D635DB">
        <w:rPr>
          <w:rFonts w:ascii="Times New Roman" w:eastAsia="Times New Roman" w:hAnsi="Times New Roman" w:cs="Times New Roman"/>
        </w:rPr>
        <w:t xml:space="preserve"> - Bicarbonate. </w:t>
      </w:r>
      <w:r w:rsidRPr="00D635DB">
        <w:rPr>
          <w:rFonts w:ascii="Times New Roman" w:eastAsia="Times New Roman" w:hAnsi="Times New Roman" w:cs="Times New Roman"/>
          <w:vertAlign w:val="superscript"/>
        </w:rPr>
        <w:t>a</w:t>
      </w:r>
      <w:r w:rsidRPr="00D635DB">
        <w:rPr>
          <w:rFonts w:ascii="Times New Roman" w:eastAsia="Times New Roman" w:hAnsi="Times New Roman" w:cs="Times New Roman"/>
        </w:rPr>
        <w:t xml:space="preserve"> =significantly different when compared to Group A (p&lt;0.05</w:t>
      </w:r>
      <w:proofErr w:type="gramStart"/>
      <w:r w:rsidRPr="00D635DB">
        <w:rPr>
          <w:rFonts w:ascii="Times New Roman" w:eastAsia="Times New Roman" w:hAnsi="Times New Roman" w:cs="Times New Roman"/>
        </w:rPr>
        <w:t>);</w:t>
      </w:r>
      <w:r w:rsidRPr="00D635DB">
        <w:rPr>
          <w:rFonts w:ascii="Times New Roman" w:eastAsia="Times New Roman" w:hAnsi="Times New Roman" w:cs="Times New Roman"/>
          <w:vertAlign w:val="superscript"/>
        </w:rPr>
        <w:t>b</w:t>
      </w:r>
      <w:proofErr w:type="gramEnd"/>
      <w:r w:rsidRPr="00D635DB">
        <w:rPr>
          <w:rFonts w:ascii="Times New Roman" w:eastAsia="Times New Roman" w:hAnsi="Times New Roman" w:cs="Times New Roman"/>
        </w:rPr>
        <w:t xml:space="preserve"> = significantly different when compared to Group B</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c</w:t>
      </w:r>
      <w:r w:rsidRPr="00D635DB">
        <w:rPr>
          <w:rFonts w:ascii="Times New Roman" w:eastAsia="Times New Roman" w:hAnsi="Times New Roman" w:cs="Times New Roman"/>
        </w:rPr>
        <w:t xml:space="preserve"> = significantly different when compared to Group B</w:t>
      </w:r>
      <w:r w:rsidRPr="00D635DB">
        <w:rPr>
          <w:rFonts w:ascii="Times New Roman" w:eastAsia="Times New Roman" w:hAnsi="Times New Roman" w:cs="Times New Roman"/>
          <w:vertAlign w:val="subscript"/>
        </w:rPr>
        <w:t>2</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d</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bscript"/>
        </w:rPr>
        <w:t>1</w:t>
      </w:r>
      <w:r w:rsidRPr="00D635DB">
        <w:rPr>
          <w:rFonts w:ascii="Times New Roman" w:eastAsia="Times New Roman" w:hAnsi="Times New Roman" w:cs="Times New Roman"/>
        </w:rPr>
        <w:t xml:space="preserve"> (p&lt;0.05); </w:t>
      </w:r>
      <w:r w:rsidRPr="00D635DB">
        <w:rPr>
          <w:rFonts w:ascii="Times New Roman" w:eastAsia="Times New Roman" w:hAnsi="Times New Roman" w:cs="Times New Roman"/>
          <w:vertAlign w:val="superscript"/>
        </w:rPr>
        <w:t>e</w:t>
      </w:r>
      <w:r w:rsidRPr="00D635DB">
        <w:rPr>
          <w:rFonts w:ascii="Times New Roman" w:eastAsia="Times New Roman" w:hAnsi="Times New Roman" w:cs="Times New Roman"/>
        </w:rPr>
        <w:t xml:space="preserve"> = significantly different when compared to Group C</w:t>
      </w:r>
      <w:r w:rsidRPr="00D635DB">
        <w:rPr>
          <w:rFonts w:ascii="Times New Roman" w:eastAsia="Times New Roman" w:hAnsi="Times New Roman" w:cs="Times New Roman"/>
          <w:vertAlign w:val="superscript"/>
        </w:rPr>
        <w:t>2</w:t>
      </w:r>
      <w:r w:rsidRPr="00D635DB">
        <w:rPr>
          <w:rFonts w:ascii="Times New Roman" w:eastAsia="Times New Roman" w:hAnsi="Times New Roman" w:cs="Times New Roman"/>
        </w:rPr>
        <w:t xml:space="preserve"> (p&lt;0.05);n = number of animals per group.</w:t>
      </w:r>
    </w:p>
    <w:p w14:paraId="2F460EEC" w14:textId="77777777" w:rsidR="00447759" w:rsidRPr="00AB6D14" w:rsidRDefault="00447759" w:rsidP="00CB4891">
      <w:pPr>
        <w:spacing w:after="0" w:line="360" w:lineRule="auto"/>
        <w:jc w:val="both"/>
        <w:rPr>
          <w:rFonts w:ascii="Times New Roman" w:eastAsia="Times New Roman" w:hAnsi="Times New Roman" w:cs="Times New Roman"/>
          <w:b/>
          <w:sz w:val="24"/>
          <w:szCs w:val="24"/>
        </w:rPr>
      </w:pPr>
    </w:p>
    <w:p w14:paraId="2DB75092" w14:textId="77777777" w:rsidR="00447759" w:rsidRPr="00AB6D14" w:rsidRDefault="00530944" w:rsidP="00CB4891">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CB4891" w:rsidRPr="00AB6D14">
        <w:rPr>
          <w:rFonts w:ascii="Times New Roman" w:eastAsia="Times New Roman" w:hAnsi="Times New Roman" w:cs="Times New Roman"/>
          <w:b/>
          <w:sz w:val="24"/>
          <w:szCs w:val="24"/>
        </w:rPr>
        <w:t>Discussion</w:t>
      </w:r>
    </w:p>
    <w:p w14:paraId="6C9ACCE6" w14:textId="3150C587" w:rsidR="00447759" w:rsidRPr="00AB6D14" w:rsidRDefault="00BA223F" w:rsidP="000138C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The liver is a critical organ and remains the main metabolic hub of the human body. It performs an array of functions that help support metabolism, immunity, digestion, vitamin, storage, detoxification, biotransformation of drugs among other functions</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3</w:t>
      </w:r>
      <w:r w:rsidR="00447759"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The liver is intertwined with nearly every system in the body; hence, it is prone to a variety of pathologies</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62</w:t>
      </w:r>
      <w:r w:rsidR="00447759" w:rsidRPr="00AB6D14">
        <w:rPr>
          <w:rFonts w:ascii="Times New Roman" w:eastAsia="Times New Roman" w:hAnsi="Times New Roman" w:cs="Times New Roman"/>
          <w:sz w:val="24"/>
          <w:szCs w:val="24"/>
        </w:rPr>
        <w:t>)</w:t>
      </w:r>
      <w:r w:rsidR="00447759" w:rsidRPr="00AB6D1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447759" w:rsidRPr="00AB6D14">
        <w:rPr>
          <w:rFonts w:ascii="Times New Roman" w:eastAsia="Times New Roman" w:hAnsi="Times New Roman" w:cs="Times New Roman"/>
          <w:sz w:val="24"/>
          <w:szCs w:val="24"/>
        </w:rPr>
        <w:t>Several enzymes that trigger important chemical reactions in the body are produced an</w:t>
      </w:r>
      <w:r w:rsidR="00FF6576" w:rsidRPr="00AB6D14">
        <w:rPr>
          <w:rFonts w:ascii="Times New Roman" w:eastAsia="Times New Roman" w:hAnsi="Times New Roman" w:cs="Times New Roman"/>
          <w:sz w:val="24"/>
          <w:szCs w:val="24"/>
        </w:rPr>
        <w:t>d</w:t>
      </w:r>
      <w:r w:rsidR="00447759" w:rsidRPr="00AB6D14">
        <w:rPr>
          <w:rFonts w:ascii="Times New Roman" w:eastAsia="Times New Roman" w:hAnsi="Times New Roman" w:cs="Times New Roman"/>
          <w:sz w:val="24"/>
          <w:szCs w:val="24"/>
        </w:rPr>
        <w:t xml:space="preserve"> found within the cells of the liver, however, damage or injury to the liver, can cause elevations in the liver enzyme activities</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51</w:t>
      </w:r>
      <w:r w:rsidR="00447759" w:rsidRPr="00AB6D14">
        <w:rPr>
          <w:rFonts w:ascii="Times New Roman" w:eastAsia="Times New Roman" w:hAnsi="Times New Roman" w:cs="Times New Roman"/>
          <w:sz w:val="24"/>
          <w:szCs w:val="24"/>
        </w:rPr>
        <w:t>). Studies have shown that in patients commencing fixed-dose combination (FDC) antiretroviral drugs, fourteen to twenty p</w:t>
      </w:r>
      <w:r w:rsidR="00BB133A" w:rsidRPr="00AB6D14">
        <w:rPr>
          <w:rFonts w:ascii="Times New Roman" w:eastAsia="Times New Roman" w:hAnsi="Times New Roman" w:cs="Times New Roman"/>
          <w:sz w:val="24"/>
          <w:szCs w:val="24"/>
        </w:rPr>
        <w:t xml:space="preserve">ercent (14-20%) </w:t>
      </w:r>
      <w:r w:rsidR="00447759" w:rsidRPr="00AB6D14">
        <w:rPr>
          <w:rFonts w:ascii="Times New Roman" w:eastAsia="Times New Roman" w:hAnsi="Times New Roman" w:cs="Times New Roman"/>
          <w:sz w:val="24"/>
          <w:szCs w:val="24"/>
        </w:rPr>
        <w:t>will experience elevations in hepatic enzymes (</w:t>
      </w:r>
      <w:r w:rsidR="00FF6576" w:rsidRPr="00AB6D14">
        <w:rPr>
          <w:rFonts w:ascii="Times New Roman" w:eastAsia="Times New Roman" w:hAnsi="Times New Roman" w:cs="Times New Roman"/>
          <w:sz w:val="24"/>
          <w:szCs w:val="24"/>
        </w:rPr>
        <w:t>11, 42, 65</w:t>
      </w:r>
      <w:r w:rsidR="00447759" w:rsidRPr="00AB6D14">
        <w:rPr>
          <w:rFonts w:ascii="Times New Roman" w:eastAsia="Times New Roman" w:hAnsi="Times New Roman" w:cs="Times New Roman"/>
          <w:sz w:val="24"/>
          <w:szCs w:val="24"/>
        </w:rPr>
        <w:t xml:space="preserve">) indicating </w:t>
      </w:r>
      <w:r w:rsidR="00FF6576" w:rsidRPr="00AB6D14">
        <w:rPr>
          <w:rFonts w:ascii="Times New Roman" w:eastAsia="Times New Roman" w:hAnsi="Times New Roman" w:cs="Times New Roman"/>
          <w:sz w:val="24"/>
          <w:szCs w:val="24"/>
        </w:rPr>
        <w:t>hepatic</w:t>
      </w:r>
      <w:r w:rsidR="00447759" w:rsidRPr="00AB6D14">
        <w:rPr>
          <w:rFonts w:ascii="Times New Roman" w:eastAsia="Times New Roman" w:hAnsi="Times New Roman" w:cs="Times New Roman"/>
          <w:sz w:val="24"/>
          <w:szCs w:val="24"/>
        </w:rPr>
        <w:t xml:space="preserve"> injury.</w:t>
      </w:r>
    </w:p>
    <w:p w14:paraId="09B387EC" w14:textId="7A23AE2E" w:rsidR="00447759" w:rsidRPr="00AB6D14" w:rsidRDefault="00BA223F" w:rsidP="000138C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Several studies have associated increase serum activities of transaminases with ARV drug-induced liver injury. Efavirenz (EFV), in isolation has been linked independently with hepatotoxicity in both human and animal studies</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20, 37, 45, 56)</w:t>
      </w:r>
      <w:r w:rsidR="00447759" w:rsidRPr="00AB6D14">
        <w:rPr>
          <w:rFonts w:ascii="Times New Roman" w:eastAsia="Times New Roman" w:hAnsi="Times New Roman" w:cs="Times New Roman"/>
          <w:sz w:val="24"/>
          <w:szCs w:val="24"/>
        </w:rPr>
        <w:t xml:space="preserve">. Increased serum ALT and AST levels in animals treated with EFV are reported in many cases. Other cases have reported hepatotoxicity associated with FDC antiretroviral drugs with hepatotoxicity attributed to </w:t>
      </w:r>
      <w:r w:rsidR="00BE6F8E" w:rsidRPr="00AB6D14">
        <w:rPr>
          <w:rFonts w:ascii="Times New Roman" w:eastAsia="Times New Roman" w:hAnsi="Times New Roman" w:cs="Times New Roman"/>
          <w:sz w:val="24"/>
          <w:szCs w:val="24"/>
        </w:rPr>
        <w:t>EFV component of the agent (</w:t>
      </w:r>
      <w:r w:rsidR="00FF6576" w:rsidRPr="00AB6D14">
        <w:rPr>
          <w:rFonts w:ascii="Times New Roman" w:eastAsia="Times New Roman" w:hAnsi="Times New Roman" w:cs="Times New Roman"/>
          <w:sz w:val="24"/>
          <w:szCs w:val="24"/>
        </w:rPr>
        <w:t>17, 18</w:t>
      </w:r>
      <w:r w:rsidR="00447759" w:rsidRPr="00AB6D14">
        <w:rPr>
          <w:rFonts w:ascii="Times New Roman" w:eastAsia="Times New Roman" w:hAnsi="Times New Roman" w:cs="Times New Roman"/>
          <w:sz w:val="24"/>
          <w:szCs w:val="24"/>
        </w:rPr>
        <w:t xml:space="preserve">). Although the mechanisms involved </w:t>
      </w:r>
      <w:r w:rsidR="00447759" w:rsidRPr="00AB6D14">
        <w:rPr>
          <w:rFonts w:ascii="Times New Roman" w:eastAsia="Times New Roman" w:hAnsi="Times New Roman" w:cs="Times New Roman"/>
          <w:sz w:val="24"/>
          <w:szCs w:val="24"/>
        </w:rPr>
        <w:lastRenderedPageBreak/>
        <w:t>are not clearly stated, EFV associated hepatotoxicity has bee</w:t>
      </w:r>
      <w:r w:rsidR="00FF6576" w:rsidRPr="00AB6D14">
        <w:rPr>
          <w:rFonts w:ascii="Times New Roman" w:eastAsia="Times New Roman" w:hAnsi="Times New Roman" w:cs="Times New Roman"/>
          <w:sz w:val="24"/>
          <w:szCs w:val="24"/>
        </w:rPr>
        <w:t xml:space="preserve">n attributed to the actions of </w:t>
      </w:r>
      <w:proofErr w:type="gramStart"/>
      <w:r w:rsidR="00447759" w:rsidRPr="00AB6D14">
        <w:rPr>
          <w:rFonts w:ascii="Times New Roman" w:eastAsia="Times New Roman" w:hAnsi="Times New Roman" w:cs="Times New Roman"/>
          <w:sz w:val="24"/>
          <w:szCs w:val="24"/>
        </w:rPr>
        <w:t>EFV  and</w:t>
      </w:r>
      <w:proofErr w:type="gramEnd"/>
      <w:r w:rsidR="00447759" w:rsidRPr="00AB6D14">
        <w:rPr>
          <w:rFonts w:ascii="Times New Roman" w:eastAsia="Times New Roman" w:hAnsi="Times New Roman" w:cs="Times New Roman"/>
          <w:sz w:val="24"/>
          <w:szCs w:val="24"/>
        </w:rPr>
        <w:t xml:space="preserve"> its synthetic 8-hydroxy efavirenz (8-OHEFV) metabolite (</w:t>
      </w:r>
      <w:r w:rsidR="00FF6576" w:rsidRPr="00AB6D14">
        <w:rPr>
          <w:rFonts w:ascii="Times New Roman" w:eastAsia="Times New Roman" w:hAnsi="Times New Roman" w:cs="Times New Roman"/>
          <w:sz w:val="24"/>
          <w:szCs w:val="24"/>
        </w:rPr>
        <w:t>7</w:t>
      </w:r>
      <w:r w:rsidR="00447759" w:rsidRPr="00AB6D14">
        <w:rPr>
          <w:rFonts w:ascii="Times New Roman" w:eastAsia="Times New Roman" w:hAnsi="Times New Roman" w:cs="Times New Roman"/>
          <w:sz w:val="24"/>
          <w:szCs w:val="24"/>
        </w:rPr>
        <w:t>); also recent evidence has pointed to a specific mitochondrial action of EFV accompanied by the induction of n endoplasmic reticulum (ER) stress/unfolded protein response in human hepatocytes (</w:t>
      </w:r>
      <w:r w:rsidR="00FF6576" w:rsidRPr="00AB6D14">
        <w:rPr>
          <w:rFonts w:ascii="Times New Roman" w:eastAsia="Times New Roman" w:hAnsi="Times New Roman" w:cs="Times New Roman"/>
          <w:sz w:val="24"/>
          <w:szCs w:val="24"/>
        </w:rPr>
        <w:t>58</w:t>
      </w:r>
      <w:r w:rsidR="00447759" w:rsidRPr="00AB6D14">
        <w:rPr>
          <w:rFonts w:ascii="Times New Roman" w:eastAsia="Times New Roman" w:hAnsi="Times New Roman" w:cs="Times New Roman"/>
          <w:sz w:val="24"/>
          <w:szCs w:val="24"/>
        </w:rPr>
        <w:t xml:space="preserve">). In a case report documented by Patil </w:t>
      </w:r>
      <w:r w:rsidR="00447759" w:rsidRPr="00AB6D14">
        <w:rPr>
          <w:rFonts w:ascii="Times New Roman" w:eastAsia="Times New Roman" w:hAnsi="Times New Roman" w:cs="Times New Roman"/>
          <w:i/>
          <w:sz w:val="24"/>
          <w:szCs w:val="24"/>
        </w:rPr>
        <w:t>et al</w:t>
      </w:r>
      <w:r w:rsidR="00447759" w:rsidRPr="00AB6D14">
        <w:rPr>
          <w:rFonts w:ascii="Times New Roman" w:eastAsia="Times New Roman" w:hAnsi="Times New Roman" w:cs="Times New Roman"/>
          <w:sz w:val="24"/>
          <w:szCs w:val="24"/>
        </w:rPr>
        <w:t>. (2015, EFV component of fixed-dose FTC/TDF/EFV was implicated in hepatotoxicity, with remarkably elevated transaminases.</w:t>
      </w:r>
    </w:p>
    <w:p w14:paraId="47721FA8" w14:textId="480C39B7" w:rsidR="00447759" w:rsidRPr="00AB6D14" w:rsidRDefault="00BA223F" w:rsidP="000138C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 xml:space="preserve">In line with </w:t>
      </w:r>
      <w:proofErr w:type="gramStart"/>
      <w:r w:rsidR="00447759" w:rsidRPr="00AB6D14">
        <w:rPr>
          <w:rFonts w:ascii="Times New Roman" w:eastAsia="Times New Roman" w:hAnsi="Times New Roman" w:cs="Times New Roman"/>
          <w:sz w:val="24"/>
          <w:szCs w:val="24"/>
        </w:rPr>
        <w:t>these documented evidence</w:t>
      </w:r>
      <w:proofErr w:type="gramEnd"/>
      <w:r w:rsidR="00447759" w:rsidRPr="00AB6D14">
        <w:rPr>
          <w:rFonts w:ascii="Times New Roman" w:eastAsia="Times New Roman" w:hAnsi="Times New Roman" w:cs="Times New Roman"/>
          <w:sz w:val="24"/>
          <w:szCs w:val="24"/>
        </w:rPr>
        <w:t>, the elevated activity of serum ALT observed in the present study is likely due to the effect of EFV component of TDF/3TC/EFV (first line anti-HIV regimen) on the liver cells. Serum ALT activity is the most accurate biomarker of hepatotoxicity since by virtue of its location in the liver plays a vital role in amino acid metabolism and gluconeogenesis</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17</w:t>
      </w:r>
      <w:r w:rsidR="00447759"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ALT being hepato-specific (principally found in the cytosol of hepatocytes), its estimation is more specific for liver abnormalities</w:t>
      </w:r>
      <w:r>
        <w:rPr>
          <w:rFonts w:ascii="Times New Roman" w:eastAsia="Times New Roman" w:hAnsi="Times New Roman" w:cs="Times New Roman"/>
          <w:sz w:val="24"/>
          <w:szCs w:val="24"/>
        </w:rPr>
        <w:t>”</w:t>
      </w:r>
      <w:r w:rsidR="00447759"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46</w:t>
      </w:r>
      <w:r w:rsidR="00447759" w:rsidRPr="00AB6D14">
        <w:rPr>
          <w:rFonts w:ascii="Times New Roman" w:eastAsia="Times New Roman" w:hAnsi="Times New Roman" w:cs="Times New Roman"/>
          <w:sz w:val="24"/>
          <w:szCs w:val="24"/>
        </w:rPr>
        <w:t>).</w:t>
      </w:r>
    </w:p>
    <w:p w14:paraId="00354F58" w14:textId="4526D239"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 xml:space="preserve">Equally, zidovudine (ZDV), a component of second line regimen used in this study is implicated in cases of hepatic injury in advanced AIDS patients. In an earlier study by Freidman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(1993), it was reported that patients treated with ZDV developed massive hepatomegaly and micro vesicular steatosis which progressed to fulminant hepatic failure. ZDV-induced hep</w:t>
      </w:r>
      <w:r w:rsidR="00FB53E6">
        <w:rPr>
          <w:rFonts w:ascii="Times New Roman" w:eastAsia="Times New Roman" w:hAnsi="Times New Roman" w:cs="Times New Roman"/>
          <w:sz w:val="24"/>
          <w:szCs w:val="24"/>
        </w:rPr>
        <w:t>a</w:t>
      </w:r>
      <w:r w:rsidRPr="00AB6D14">
        <w:rPr>
          <w:rFonts w:ascii="Times New Roman" w:eastAsia="Times New Roman" w:hAnsi="Times New Roman" w:cs="Times New Roman"/>
          <w:sz w:val="24"/>
          <w:szCs w:val="24"/>
        </w:rPr>
        <w:t>tic damaged was also observed among HIV positive patients on ARV drugs administered as a monotherapy (</w:t>
      </w:r>
      <w:r w:rsidR="00FF6576" w:rsidRPr="00AB6D14">
        <w:rPr>
          <w:rFonts w:ascii="Times New Roman" w:eastAsia="Times New Roman" w:hAnsi="Times New Roman" w:cs="Times New Roman"/>
          <w:sz w:val="24"/>
          <w:szCs w:val="24"/>
        </w:rPr>
        <w:t>52</w:t>
      </w:r>
      <w:r w:rsidRPr="00AB6D14">
        <w:rPr>
          <w:rFonts w:ascii="Times New Roman" w:eastAsia="Times New Roman" w:hAnsi="Times New Roman" w:cs="Times New Roman"/>
          <w:sz w:val="24"/>
          <w:szCs w:val="24"/>
        </w:rPr>
        <w:t xml:space="preserve">). </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ZDV caused acute hepatitis due to hypersensi</w:t>
      </w:r>
      <w:r w:rsidR="00FB53E6">
        <w:rPr>
          <w:rFonts w:ascii="Times New Roman" w:eastAsia="Times New Roman" w:hAnsi="Times New Roman" w:cs="Times New Roman"/>
          <w:sz w:val="24"/>
          <w:szCs w:val="24"/>
        </w:rPr>
        <w:t>ti</w:t>
      </w:r>
      <w:r w:rsidRPr="00AB6D14">
        <w:rPr>
          <w:rFonts w:ascii="Times New Roman" w:eastAsia="Times New Roman" w:hAnsi="Times New Roman" w:cs="Times New Roman"/>
          <w:sz w:val="24"/>
          <w:szCs w:val="24"/>
        </w:rPr>
        <w:t xml:space="preserve">vity, which resolved approximately few days after the therapy was replaced with </w:t>
      </w:r>
      <w:proofErr w:type="spellStart"/>
      <w:r w:rsidRPr="00AB6D14">
        <w:rPr>
          <w:rFonts w:ascii="Times New Roman" w:eastAsia="Times New Roman" w:hAnsi="Times New Roman" w:cs="Times New Roman"/>
          <w:sz w:val="24"/>
          <w:szCs w:val="24"/>
        </w:rPr>
        <w:t>didanosine</w:t>
      </w:r>
      <w:proofErr w:type="spellEnd"/>
      <w:r w:rsidRPr="00AB6D14">
        <w:rPr>
          <w:rFonts w:ascii="Times New Roman" w:eastAsia="Times New Roman" w:hAnsi="Times New Roman" w:cs="Times New Roman"/>
          <w:sz w:val="24"/>
          <w:szCs w:val="24"/>
        </w:rPr>
        <w:t xml:space="preserve"> and </w:t>
      </w:r>
      <w:proofErr w:type="spellStart"/>
      <w:r w:rsidRPr="00AB6D14">
        <w:rPr>
          <w:rFonts w:ascii="Times New Roman" w:eastAsia="Times New Roman" w:hAnsi="Times New Roman" w:cs="Times New Roman"/>
          <w:sz w:val="24"/>
          <w:szCs w:val="24"/>
        </w:rPr>
        <w:t>zalctitabine</w:t>
      </w:r>
      <w:proofErr w:type="spellEnd"/>
      <w:r w:rsidRPr="00AB6D14">
        <w:rPr>
          <w:rFonts w:ascii="Times New Roman" w:eastAsia="Times New Roman" w:hAnsi="Times New Roman" w:cs="Times New Roman"/>
          <w:sz w:val="24"/>
          <w:szCs w:val="24"/>
        </w:rPr>
        <w:t xml:space="preserve"> without recurrence of t</w:t>
      </w:r>
      <w:r w:rsidR="00FF6576" w:rsidRPr="00AB6D14">
        <w:rPr>
          <w:rFonts w:ascii="Times New Roman" w:eastAsia="Times New Roman" w:hAnsi="Times New Roman" w:cs="Times New Roman"/>
          <w:sz w:val="24"/>
          <w:szCs w:val="24"/>
        </w:rPr>
        <w:t>oxicity</w:t>
      </w:r>
      <w:r w:rsidR="00BA223F">
        <w:rPr>
          <w:rFonts w:ascii="Times New Roman" w:eastAsia="Times New Roman" w:hAnsi="Times New Roman" w:cs="Times New Roman"/>
          <w:sz w:val="24"/>
          <w:szCs w:val="24"/>
        </w:rPr>
        <w:t>”</w:t>
      </w:r>
      <w:r w:rsidR="00FF6576" w:rsidRPr="00AB6D14">
        <w:rPr>
          <w:rFonts w:ascii="Times New Roman" w:eastAsia="Times New Roman" w:hAnsi="Times New Roman" w:cs="Times New Roman"/>
          <w:sz w:val="24"/>
          <w:szCs w:val="24"/>
        </w:rPr>
        <w:t xml:space="preserve"> (71</w:t>
      </w:r>
      <w:r w:rsidRPr="00AB6D14">
        <w:rPr>
          <w:rFonts w:ascii="Times New Roman" w:eastAsia="Times New Roman" w:hAnsi="Times New Roman" w:cs="Times New Roman"/>
          <w:sz w:val="24"/>
          <w:szCs w:val="24"/>
        </w:rPr>
        <w:t xml:space="preserve">). Recently, a similar case was reported by Subodh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(2018) in which adverse effect was reversed on replacement of FDC antiretroviral drug containing ZVD/3TC/NPV with TDF/3TC/EFV. According to the report, the adverse effect was attributed to the ZDV component of the drug. High activity of serum AST was observed in Group D</w:t>
      </w:r>
      <w:r w:rsidRPr="00AB6D14">
        <w:rPr>
          <w:rFonts w:ascii="Times New Roman" w:eastAsia="Times New Roman" w:hAnsi="Times New Roman" w:cs="Times New Roman"/>
          <w:sz w:val="24"/>
          <w:szCs w:val="24"/>
          <w:vertAlign w:val="subscript"/>
        </w:rPr>
        <w:t xml:space="preserve">1 </w:t>
      </w:r>
      <w:r w:rsidRPr="00AB6D14">
        <w:rPr>
          <w:rFonts w:ascii="Times New Roman" w:eastAsia="Times New Roman" w:hAnsi="Times New Roman" w:cs="Times New Roman"/>
          <w:sz w:val="24"/>
          <w:szCs w:val="24"/>
        </w:rPr>
        <w:t>(rats treated with first line regimen for 30 days then switched to second line regimen for 15 days). This could be (by inference) due to combine actions of EFV and ZDV from both lines of antiretroviral regimens administered to animal in this group.</w:t>
      </w:r>
    </w:p>
    <w:p w14:paraId="1831983F" w14:textId="2193C377" w:rsidR="00BB133A" w:rsidRPr="00AB6D14" w:rsidRDefault="00BA223F" w:rsidP="000138C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AST is found in the liver and other organs including heart, muscle, brain and kidney. Thus, injury to any of these tissues can cause an elevated activity of this enzyme</w:t>
      </w: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17</w:t>
      </w:r>
      <w:r w:rsidR="00BB133A"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When damage to heart or liver cells occurs, AST being intracellular enzyme is released into the peripheral blood. Though it is considered a less specific biomarker enzyme for hepatocellular injury, its significant activity in the serum could be a sign for hepatocellular necrosis</w:t>
      </w: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51</w:t>
      </w:r>
      <w:r w:rsidR="00BB133A"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However, the ratio of serum AST to ALT can be used to differentiate liver damage from other organ</w:t>
      </w:r>
      <w:r w:rsidR="00FF6576" w:rsidRPr="00AB6D14">
        <w:rPr>
          <w:rFonts w:ascii="Times New Roman" w:eastAsia="Times New Roman" w:hAnsi="Times New Roman" w:cs="Times New Roman"/>
          <w:sz w:val="24"/>
          <w:szCs w:val="24"/>
        </w:rPr>
        <w:t>s</w:t>
      </w:r>
      <w:r w:rsidR="00BB133A" w:rsidRPr="00AB6D14">
        <w:rPr>
          <w:rFonts w:ascii="Times New Roman" w:eastAsia="Times New Roman" w:hAnsi="Times New Roman" w:cs="Times New Roman"/>
          <w:sz w:val="24"/>
          <w:szCs w:val="24"/>
        </w:rPr>
        <w:t xml:space="preserve"> damage</w:t>
      </w: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46</w:t>
      </w:r>
      <w:r w:rsidR="00BB133A" w:rsidRPr="00AB6D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 xml:space="preserve">Thus, the significant increase in activities of transaminases </w:t>
      </w:r>
      <w:r w:rsidR="00BB133A" w:rsidRPr="00AB6D14">
        <w:rPr>
          <w:rFonts w:ascii="Times New Roman" w:eastAsia="Times New Roman" w:hAnsi="Times New Roman" w:cs="Times New Roman"/>
          <w:sz w:val="24"/>
          <w:szCs w:val="24"/>
        </w:rPr>
        <w:lastRenderedPageBreak/>
        <w:t xml:space="preserve">observed in this study may be </w:t>
      </w:r>
      <w:proofErr w:type="gramStart"/>
      <w:r w:rsidR="00BB133A" w:rsidRPr="00AB6D14">
        <w:rPr>
          <w:rFonts w:ascii="Times New Roman" w:eastAsia="Times New Roman" w:hAnsi="Times New Roman" w:cs="Times New Roman"/>
          <w:sz w:val="24"/>
          <w:szCs w:val="24"/>
        </w:rPr>
        <w:t>an evidence of hepatotoxicity</w:t>
      </w:r>
      <w:proofErr w:type="gramEnd"/>
      <w:r w:rsidR="00BB133A" w:rsidRPr="00AB6D14">
        <w:rPr>
          <w:rFonts w:ascii="Times New Roman" w:eastAsia="Times New Roman" w:hAnsi="Times New Roman" w:cs="Times New Roman"/>
          <w:sz w:val="24"/>
          <w:szCs w:val="24"/>
        </w:rPr>
        <w:t xml:space="preserve"> which may be as a result of leakage from the cells through peroxidative damage of membranes and loss of functional integrity of cellular membrane in liver</w:t>
      </w:r>
      <w:r>
        <w:rPr>
          <w:rFonts w:ascii="Times New Roman" w:eastAsia="Times New Roman" w:hAnsi="Times New Roman" w:cs="Times New Roman"/>
          <w:sz w:val="24"/>
          <w:szCs w:val="24"/>
        </w:rPr>
        <w:t>”</w:t>
      </w:r>
      <w:r w:rsidR="00BB133A"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32</w:t>
      </w:r>
      <w:r w:rsidR="00BB133A" w:rsidRPr="00AB6D14">
        <w:rPr>
          <w:rFonts w:ascii="Times New Roman" w:eastAsia="Times New Roman" w:hAnsi="Times New Roman" w:cs="Times New Roman"/>
          <w:sz w:val="24"/>
          <w:szCs w:val="24"/>
        </w:rPr>
        <w:t xml:space="preserve">) </w:t>
      </w:r>
    </w:p>
    <w:p w14:paraId="41AA61FC" w14:textId="77777777" w:rsidR="00BB133A" w:rsidRPr="00AB6D14" w:rsidRDefault="00BB133A"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Conversely, activity of serum ALP observed in this study was statistically insignificant (p&lt;0.05) with low activity in all the treated groups compared to the control. Though some studies have implicated high activity of serum ALP along with ALT and AST in cases of hepatic dysfunction associated with antiretroviral (ARV) drugs, the present findings </w:t>
      </w:r>
      <w:proofErr w:type="gramStart"/>
      <w:r w:rsidRPr="00AB6D14">
        <w:rPr>
          <w:rFonts w:ascii="Times New Roman" w:eastAsia="Times New Roman" w:hAnsi="Times New Roman" w:cs="Times New Roman"/>
          <w:sz w:val="24"/>
          <w:szCs w:val="24"/>
        </w:rPr>
        <w:t>is</w:t>
      </w:r>
      <w:proofErr w:type="gramEnd"/>
      <w:r w:rsidRPr="00AB6D14">
        <w:rPr>
          <w:rFonts w:ascii="Times New Roman" w:eastAsia="Times New Roman" w:hAnsi="Times New Roman" w:cs="Times New Roman"/>
          <w:sz w:val="24"/>
          <w:szCs w:val="24"/>
        </w:rPr>
        <w:t xml:space="preserve"> in consonant with the report documented by Oladipo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(2016), where serum ALP activity was signif</w:t>
      </w:r>
      <w:r w:rsidR="00FF6576" w:rsidRPr="00AB6D14">
        <w:rPr>
          <w:rFonts w:ascii="Times New Roman" w:eastAsia="Times New Roman" w:hAnsi="Times New Roman" w:cs="Times New Roman"/>
          <w:sz w:val="24"/>
          <w:szCs w:val="24"/>
        </w:rPr>
        <w:t>icantly reduced in male albino W</w:t>
      </w:r>
      <w:r w:rsidRPr="00AB6D14">
        <w:rPr>
          <w:rFonts w:ascii="Times New Roman" w:eastAsia="Times New Roman" w:hAnsi="Times New Roman" w:cs="Times New Roman"/>
          <w:sz w:val="24"/>
          <w:szCs w:val="24"/>
        </w:rPr>
        <w:t xml:space="preserve">istar rats treated with ARV drug. While the activities of transaminases were high. </w:t>
      </w:r>
    </w:p>
    <w:p w14:paraId="407DD220" w14:textId="1528F3E6" w:rsidR="00BB133A" w:rsidRPr="00AB6D14" w:rsidRDefault="00BB133A" w:rsidP="000138CA">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 xml:space="preserve">Also, Abubakar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(2014), reported that </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AST and ALT activities of HIV positive patients treated with antiretroviral drugs were significantly higher (p&lt;0.05) compared with non-treated group, while ALP activity was significantly lower (p&lt;0.05) in the same group compared with non-treated group</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Similarly, Goni </w:t>
      </w:r>
      <w:r w:rsidRPr="00AB6D14">
        <w:rPr>
          <w:rFonts w:ascii="Times New Roman" w:eastAsia="Times New Roman" w:hAnsi="Times New Roman" w:cs="Times New Roman"/>
          <w:i/>
          <w:sz w:val="24"/>
          <w:szCs w:val="24"/>
        </w:rPr>
        <w:t xml:space="preserve">et al. </w:t>
      </w:r>
      <w:r w:rsidRPr="00AB6D14">
        <w:rPr>
          <w:rFonts w:ascii="Times New Roman" w:eastAsia="Times New Roman" w:hAnsi="Times New Roman" w:cs="Times New Roman"/>
          <w:sz w:val="24"/>
          <w:szCs w:val="24"/>
        </w:rPr>
        <w:t xml:space="preserve">(2013) observed that </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there was no statistically significant difference between the mean serum activity of ALP enzyme among the study group of HIV/HBV co-infected and HIV mono-infected patients on ARV drugs compared with ALT and AST activities which were significantly high and moderate respectively</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Furthermore Patil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(2015) observed that the activities of transaminases (ALT and AST) were remarkably high while ALP activity was significant, and the patient did not develop signs of hepatic encephalopathy. In earlier study carried out by Cello (1989), unexplained high activity of ALP was observed while the transaminases activities remained insignificant in an ARV drug naïve HIV-positive patient. This raised the suspicion of a co-existing HIV infection, cholecystitis, which was hitherto undetected in the subjects with AIDS. By these findings, ALP was noted as a fruitful maker for identifying more underlying opportunistic infections in HIV-positive patients. According to Burke (2002), high activities of ALT and AS</w:t>
      </w:r>
      <w:r w:rsidR="007005BD" w:rsidRPr="00AB6D14">
        <w:rPr>
          <w:rFonts w:ascii="Times New Roman" w:eastAsia="Times New Roman" w:hAnsi="Times New Roman" w:cs="Times New Roman"/>
          <w:sz w:val="24"/>
          <w:szCs w:val="24"/>
        </w:rPr>
        <w:t>T with lower or normal ALP favo</w:t>
      </w:r>
      <w:r w:rsidRPr="00AB6D14">
        <w:rPr>
          <w:rFonts w:ascii="Times New Roman" w:eastAsia="Times New Roman" w:hAnsi="Times New Roman" w:cs="Times New Roman"/>
          <w:sz w:val="24"/>
          <w:szCs w:val="24"/>
        </w:rPr>
        <w:t xml:space="preserve">rs cell necrosis whereas the reverse points to cholestasis. Also, Travlos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(1996) in </w:t>
      </w:r>
      <w:proofErr w:type="gramStart"/>
      <w:r w:rsidRPr="00AB6D14">
        <w:rPr>
          <w:rFonts w:ascii="Times New Roman" w:eastAsia="Times New Roman" w:hAnsi="Times New Roman" w:cs="Times New Roman"/>
          <w:sz w:val="24"/>
          <w:szCs w:val="24"/>
        </w:rPr>
        <w:t>a research</w:t>
      </w:r>
      <w:proofErr w:type="gramEnd"/>
      <w:r w:rsidRPr="00AB6D14">
        <w:rPr>
          <w:rFonts w:ascii="Times New Roman" w:eastAsia="Times New Roman" w:hAnsi="Times New Roman" w:cs="Times New Roman"/>
          <w:sz w:val="24"/>
          <w:szCs w:val="24"/>
        </w:rPr>
        <w:t xml:space="preserve"> on ALP enzymes in a rat model stated that the major circulating form of ALP in rats is the intestinal rather than the liver isoenzyme, and though total serum ALP activity is commonly measured, it is generally minimally increased in association with intrahepatic cholestasis in rat models.</w:t>
      </w:r>
    </w:p>
    <w:p w14:paraId="35F2EFEA" w14:textId="77777777" w:rsidR="00BB133A" w:rsidRPr="00AB6D14" w:rsidRDefault="00BB133A" w:rsidP="007005BD">
      <w:pPr>
        <w:spacing w:after="0" w:line="360" w:lineRule="auto"/>
        <w:ind w:firstLine="720"/>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Serum albumin observed in this study differed insignificantly (p&lt;0.05) in all the treated groups compared to the control. However, serum total protein was statistically significant (p&lt;0.05) with low concentration observed in Group C</w:t>
      </w:r>
      <w:r w:rsidRPr="00AB6D14">
        <w:rPr>
          <w:rFonts w:ascii="Times New Roman" w:eastAsia="Times New Roman" w:hAnsi="Times New Roman" w:cs="Times New Roman"/>
          <w:sz w:val="24"/>
          <w:szCs w:val="24"/>
          <w:vertAlign w:val="subscript"/>
        </w:rPr>
        <w:t>2</w:t>
      </w:r>
      <w:r w:rsidRPr="00AB6D14">
        <w:rPr>
          <w:rFonts w:ascii="Times New Roman" w:eastAsia="Times New Roman" w:hAnsi="Times New Roman" w:cs="Times New Roman"/>
          <w:sz w:val="24"/>
          <w:szCs w:val="24"/>
        </w:rPr>
        <w:t xml:space="preserve"> (rats treated with second line regimen for 30 days) when compared with control. In line with this, many studies including Umar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(2008) had reported lowered level of albumin and total protein in rats treated with ARV drugs. Albumin is a protein primarily synthesized by the hepatic </w:t>
      </w:r>
      <w:r w:rsidRPr="00AB6D14">
        <w:rPr>
          <w:rFonts w:ascii="Times New Roman" w:eastAsia="Times New Roman" w:hAnsi="Times New Roman" w:cs="Times New Roman"/>
          <w:sz w:val="24"/>
          <w:szCs w:val="24"/>
        </w:rPr>
        <w:lastRenderedPageBreak/>
        <w:t>parenchymal cells. Its primary function is to maintain colloidal osmotic pressure in the vascular and extravascular areas of the body and prevent oedema. Hypoalbuminemia occurs in gastrointestinal (GI) malabsorption, glomerulonephritis, nephritic syndrome, cirrhosis, severe burns, neoplasms, and autoimmune diseases. Additionally, albumin is a carrier transport protein. Serum albumin depends on an adequate supply of amino for its synthesis. Thus, low level of serum protei</w:t>
      </w:r>
      <w:r w:rsidR="007005BD" w:rsidRPr="00AB6D14">
        <w:rPr>
          <w:rFonts w:ascii="Times New Roman" w:eastAsia="Times New Roman" w:hAnsi="Times New Roman" w:cs="Times New Roman"/>
          <w:sz w:val="24"/>
          <w:szCs w:val="24"/>
        </w:rPr>
        <w:t>n slows mRNA synthesis of album</w:t>
      </w:r>
      <w:r w:rsidRPr="00AB6D14">
        <w:rPr>
          <w:rFonts w:ascii="Times New Roman" w:eastAsia="Times New Roman" w:hAnsi="Times New Roman" w:cs="Times New Roman"/>
          <w:sz w:val="24"/>
          <w:szCs w:val="24"/>
        </w:rPr>
        <w:t>in and results in lower or insignificant serum levels of albumin (</w:t>
      </w:r>
      <w:r w:rsidR="00FF6576" w:rsidRPr="00AB6D14">
        <w:rPr>
          <w:rFonts w:ascii="Times New Roman" w:eastAsia="Times New Roman" w:hAnsi="Times New Roman" w:cs="Times New Roman"/>
          <w:sz w:val="24"/>
          <w:szCs w:val="24"/>
        </w:rPr>
        <w:t>26</w:t>
      </w:r>
      <w:r w:rsidRPr="00AB6D14">
        <w:rPr>
          <w:rFonts w:ascii="Times New Roman" w:eastAsia="Times New Roman" w:hAnsi="Times New Roman" w:cs="Times New Roman"/>
          <w:sz w:val="24"/>
          <w:szCs w:val="24"/>
        </w:rPr>
        <w:t>). Protein is primarily synthesized in the liver and consists mainly of albumin and few globulins. Changes in total protein levels are due mostly to changes in albumin concentration (</w:t>
      </w:r>
      <w:r w:rsidR="00FF6576" w:rsidRPr="00AB6D14">
        <w:rPr>
          <w:rFonts w:ascii="Times New Roman" w:eastAsia="Times New Roman" w:hAnsi="Times New Roman" w:cs="Times New Roman"/>
          <w:sz w:val="24"/>
          <w:szCs w:val="24"/>
        </w:rPr>
        <w:t>47</w:t>
      </w:r>
      <w:r w:rsidRPr="00AB6D14">
        <w:rPr>
          <w:rFonts w:ascii="Times New Roman" w:eastAsia="Times New Roman" w:hAnsi="Times New Roman" w:cs="Times New Roman"/>
          <w:sz w:val="24"/>
          <w:szCs w:val="24"/>
        </w:rPr>
        <w:t>). Albumin and total protein concentration are the markers of biosynthetic capacity of the liver (</w:t>
      </w:r>
      <w:r w:rsidR="00FF6576" w:rsidRPr="00AB6D14">
        <w:rPr>
          <w:rFonts w:ascii="Times New Roman" w:eastAsia="Times New Roman" w:hAnsi="Times New Roman" w:cs="Times New Roman"/>
          <w:sz w:val="24"/>
          <w:szCs w:val="24"/>
        </w:rPr>
        <w:t>13</w:t>
      </w:r>
      <w:r w:rsidRPr="00AB6D14">
        <w:rPr>
          <w:rFonts w:ascii="Times New Roman" w:eastAsia="Times New Roman" w:hAnsi="Times New Roman" w:cs="Times New Roman"/>
          <w:sz w:val="24"/>
          <w:szCs w:val="24"/>
        </w:rPr>
        <w:t>). Thus, defect in synthesis of albumin and total protein generally reflects defective metabolic capacity of the liver. Therefore, the observed reduction in albumin and total protein levels in this study may suggest hepatic dysfunction and suppression of the synthesis function of the liver (</w:t>
      </w:r>
      <w:r w:rsidR="00FF6576" w:rsidRPr="00AB6D14">
        <w:rPr>
          <w:rFonts w:ascii="Times New Roman" w:eastAsia="Times New Roman" w:hAnsi="Times New Roman" w:cs="Times New Roman"/>
          <w:sz w:val="24"/>
          <w:szCs w:val="24"/>
        </w:rPr>
        <w:t>48</w:t>
      </w:r>
      <w:r w:rsidRPr="00AB6D14">
        <w:rPr>
          <w:rFonts w:ascii="Times New Roman" w:eastAsia="Times New Roman" w:hAnsi="Times New Roman" w:cs="Times New Roman"/>
          <w:sz w:val="24"/>
          <w:szCs w:val="24"/>
        </w:rPr>
        <w:t>) with regards to these parameters.</w:t>
      </w:r>
    </w:p>
    <w:p w14:paraId="43EAB920" w14:textId="743EF81C"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On the contrary, there was a significant increase (p&lt;0.05) in serum total bilirubin in all the treated groups when compared with the control. This is agreement with other studies which have associated drugs from NNRTLs class (EFV and NPV) with elevated levels of total bilirubin</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69, 70</w:t>
      </w:r>
      <w:r w:rsidRPr="00AB6D14">
        <w:rPr>
          <w:rFonts w:ascii="Times New Roman" w:eastAsia="Times New Roman" w:hAnsi="Times New Roman" w:cs="Times New Roman"/>
          <w:sz w:val="24"/>
          <w:szCs w:val="24"/>
        </w:rPr>
        <w:t xml:space="preserve">). </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Bilirubin is a </w:t>
      </w:r>
      <w:proofErr w:type="spellStart"/>
      <w:r w:rsidRPr="00AB6D14">
        <w:rPr>
          <w:rFonts w:ascii="Times New Roman" w:eastAsia="Times New Roman" w:hAnsi="Times New Roman" w:cs="Times New Roman"/>
          <w:sz w:val="24"/>
          <w:szCs w:val="24"/>
        </w:rPr>
        <w:t>tetrapyrole</w:t>
      </w:r>
      <w:proofErr w:type="spellEnd"/>
      <w:r w:rsidRPr="00AB6D14">
        <w:rPr>
          <w:rFonts w:ascii="Times New Roman" w:eastAsia="Times New Roman" w:hAnsi="Times New Roman" w:cs="Times New Roman"/>
          <w:sz w:val="24"/>
          <w:szCs w:val="24"/>
        </w:rPr>
        <w:t xml:space="preserve"> produced during the normal breakdown of </w:t>
      </w:r>
      <w:proofErr w:type="spellStart"/>
      <w:r w:rsidRPr="00AB6D14">
        <w:rPr>
          <w:rFonts w:ascii="Times New Roman" w:eastAsia="Times New Roman" w:hAnsi="Times New Roman" w:cs="Times New Roman"/>
          <w:sz w:val="24"/>
          <w:szCs w:val="24"/>
        </w:rPr>
        <w:t>haemoglobin</w:t>
      </w:r>
      <w:proofErr w:type="spellEnd"/>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15</w:t>
      </w:r>
      <w:r w:rsidRPr="00AB6D14">
        <w:rPr>
          <w:rFonts w:ascii="Times New Roman" w:eastAsia="Times New Roman" w:hAnsi="Times New Roman" w:cs="Times New Roman"/>
          <w:sz w:val="24"/>
          <w:szCs w:val="24"/>
        </w:rPr>
        <w:t xml:space="preserve">). </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In the liver, uridine diphosphate (UDP)-</w:t>
      </w:r>
      <w:proofErr w:type="spellStart"/>
      <w:r w:rsidRPr="00AB6D14">
        <w:rPr>
          <w:rFonts w:ascii="Times New Roman" w:eastAsia="Times New Roman" w:hAnsi="Times New Roman" w:cs="Times New Roman"/>
          <w:sz w:val="24"/>
          <w:szCs w:val="24"/>
        </w:rPr>
        <w:t>glucuronyl</w:t>
      </w:r>
      <w:proofErr w:type="spellEnd"/>
      <w:r w:rsidRPr="00AB6D14">
        <w:rPr>
          <w:rFonts w:ascii="Times New Roman" w:eastAsia="Times New Roman" w:hAnsi="Times New Roman" w:cs="Times New Roman"/>
          <w:sz w:val="24"/>
          <w:szCs w:val="24"/>
        </w:rPr>
        <w:t xml:space="preserve"> transferase converts bilirubin, to a mixture of monoglucuronides and diglucuronides referred to as conjugated bilirubin, which is then secreted into the bile by an ATP-dependent </w:t>
      </w:r>
      <w:proofErr w:type="gramStart"/>
      <w:r w:rsidRPr="00AB6D14">
        <w:rPr>
          <w:rFonts w:ascii="Times New Roman" w:eastAsia="Times New Roman" w:hAnsi="Times New Roman" w:cs="Times New Roman"/>
          <w:sz w:val="24"/>
          <w:szCs w:val="24"/>
        </w:rPr>
        <w:t>transporter</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w:t>
      </w:r>
      <w:proofErr w:type="gramEnd"/>
      <w:r w:rsidRPr="00AB6D14">
        <w:rPr>
          <w:rFonts w:ascii="Times New Roman" w:eastAsia="Times New Roman" w:hAnsi="Times New Roman" w:cs="Times New Roman"/>
          <w:sz w:val="24"/>
          <w:szCs w:val="24"/>
        </w:rPr>
        <w:t xml:space="preserve">13). </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The bile in turn serves as a means for excretion of bilirubin from the body; thus, bilirubin level serves as a measure of liver and bile tract function. Total bilirubin includes both the conjugated and unconjugated (free) forms of bilirubin and, if elevated, is usually indicative of liver damage or hemolysis</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23</w:t>
      </w:r>
      <w:r w:rsidRPr="00AB6D14">
        <w:rPr>
          <w:rFonts w:ascii="Times New Roman" w:eastAsia="Times New Roman" w:hAnsi="Times New Roman" w:cs="Times New Roman"/>
          <w:sz w:val="24"/>
          <w:szCs w:val="24"/>
        </w:rPr>
        <w:t xml:space="preserve">). </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Accumulation of bilirubin or its conjugates in body tissues results in a disease condition called jaundice, which is characterized by high plasma bilirubin levels and deposition of yellow bilirubin pigments in skin, sclera mucous membranes, and other less visible tissues</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73</w:t>
      </w:r>
      <w:r w:rsidRPr="00AB6D14">
        <w:rPr>
          <w:rFonts w:ascii="Times New Roman" w:eastAsia="Times New Roman" w:hAnsi="Times New Roman" w:cs="Times New Roman"/>
          <w:sz w:val="24"/>
          <w:szCs w:val="24"/>
        </w:rPr>
        <w:t>). Therefore, impaired metabolism of bilirubin indicates compromised excretory capacity of the liver (</w:t>
      </w:r>
      <w:r w:rsidR="00FF6576" w:rsidRPr="00AB6D14">
        <w:rPr>
          <w:rFonts w:ascii="Times New Roman" w:eastAsia="Times New Roman" w:hAnsi="Times New Roman" w:cs="Times New Roman"/>
          <w:sz w:val="24"/>
          <w:szCs w:val="24"/>
        </w:rPr>
        <w:t>44</w:t>
      </w:r>
      <w:r w:rsidRPr="00AB6D14">
        <w:rPr>
          <w:rFonts w:ascii="Times New Roman" w:eastAsia="Times New Roman" w:hAnsi="Times New Roman" w:cs="Times New Roman"/>
          <w:sz w:val="24"/>
          <w:szCs w:val="24"/>
        </w:rPr>
        <w:t>); hence, the significant increase in levels of total bilirubin seen in this study.</w:t>
      </w:r>
    </w:p>
    <w:p w14:paraId="1ECCE7A7" w14:textId="780FB059"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The kidneys play a vital role in the excretion of waste products and toxic such as urea, creatinine and uric acid, regulation of extracellular fluid volume, serum osmolality ad electrolyte balance</w:t>
      </w:r>
      <w:r w:rsidR="00BA223F">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12</w:t>
      </w:r>
      <w:r w:rsidRPr="00AB6D14">
        <w:rPr>
          <w:rFonts w:ascii="Times New Roman" w:eastAsia="Times New Roman" w:hAnsi="Times New Roman" w:cs="Times New Roman"/>
          <w:sz w:val="24"/>
          <w:szCs w:val="24"/>
        </w:rPr>
        <w:t xml:space="preserve">). </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It controls the composition and volume of the body fluids. The regulatory function of the kidneys maintains the stable environment of the cells necessary for them to perform the various activities. The kidneys also function by filtering the plasma and removing substances from the filtrate at variable rates according to the </w:t>
      </w:r>
      <w:r w:rsidRPr="00AB6D14">
        <w:rPr>
          <w:rFonts w:ascii="Times New Roman" w:eastAsia="Times New Roman" w:hAnsi="Times New Roman" w:cs="Times New Roman"/>
          <w:sz w:val="24"/>
          <w:szCs w:val="24"/>
        </w:rPr>
        <w:lastRenderedPageBreak/>
        <w:t>needs of the body</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FF6576" w:rsidRPr="00AB6D14">
        <w:rPr>
          <w:rFonts w:ascii="Times New Roman" w:eastAsia="Times New Roman" w:hAnsi="Times New Roman" w:cs="Times New Roman"/>
          <w:sz w:val="24"/>
          <w:szCs w:val="24"/>
        </w:rPr>
        <w:t>60</w:t>
      </w:r>
      <w:r w:rsidRPr="00AB6D14">
        <w:rPr>
          <w:rFonts w:ascii="Times New Roman" w:eastAsia="Times New Roman" w:hAnsi="Times New Roman" w:cs="Times New Roman"/>
          <w:sz w:val="24"/>
          <w:szCs w:val="24"/>
        </w:rPr>
        <w:t>). Earlier findings had reported that electrolytes deficiencies are prevalent in both treated and HIV-naïve infected populations (</w:t>
      </w:r>
      <w:r w:rsidR="00FF6576" w:rsidRPr="00AB6D14">
        <w:rPr>
          <w:rFonts w:ascii="Times New Roman" w:eastAsia="Times New Roman" w:hAnsi="Times New Roman" w:cs="Times New Roman"/>
          <w:sz w:val="24"/>
          <w:szCs w:val="24"/>
        </w:rPr>
        <w:t>10</w:t>
      </w:r>
      <w:r w:rsidRPr="00AB6D14">
        <w:rPr>
          <w:rFonts w:ascii="Times New Roman" w:eastAsia="Times New Roman" w:hAnsi="Times New Roman" w:cs="Times New Roman"/>
          <w:sz w:val="24"/>
          <w:szCs w:val="24"/>
        </w:rPr>
        <w:t>) and have been associated with accelerated replication of the virus, depletion of CD4</w:t>
      </w:r>
      <w:r w:rsidRPr="00AB6D14">
        <w:rPr>
          <w:rFonts w:ascii="Times New Roman" w:eastAsia="Times New Roman" w:hAnsi="Times New Roman" w:cs="Times New Roman"/>
          <w:sz w:val="24"/>
          <w:szCs w:val="24"/>
          <w:vertAlign w:val="superscript"/>
        </w:rPr>
        <w:t xml:space="preserve">+ </w:t>
      </w:r>
      <w:r w:rsidRPr="00AB6D14">
        <w:rPr>
          <w:rFonts w:ascii="Times New Roman" w:eastAsia="Times New Roman" w:hAnsi="Times New Roman" w:cs="Times New Roman"/>
          <w:sz w:val="24"/>
          <w:szCs w:val="24"/>
        </w:rPr>
        <w:t>T-Cell, impaired immune responses, (</w:t>
      </w:r>
      <w:r w:rsidR="00FF6576" w:rsidRPr="00AB6D14">
        <w:rPr>
          <w:rFonts w:ascii="Times New Roman" w:eastAsia="Times New Roman" w:hAnsi="Times New Roman" w:cs="Times New Roman"/>
          <w:sz w:val="24"/>
          <w:szCs w:val="24"/>
        </w:rPr>
        <w:t>12</w:t>
      </w:r>
      <w:r w:rsidRPr="00AB6D14">
        <w:rPr>
          <w:rFonts w:ascii="Times New Roman" w:eastAsia="Times New Roman" w:hAnsi="Times New Roman" w:cs="Times New Roman"/>
          <w:sz w:val="24"/>
          <w:szCs w:val="24"/>
        </w:rPr>
        <w:t>) frequent opportunistic infections, renal impairment/dysfunction and a greater incidence of HIV- related mortality (</w:t>
      </w:r>
      <w:r w:rsidR="00FF6576" w:rsidRPr="00AB6D14">
        <w:rPr>
          <w:rFonts w:ascii="Times New Roman" w:eastAsia="Times New Roman" w:hAnsi="Times New Roman" w:cs="Times New Roman"/>
          <w:sz w:val="24"/>
          <w:szCs w:val="24"/>
        </w:rPr>
        <w:t>50</w:t>
      </w:r>
      <w:r w:rsidRPr="00AB6D14">
        <w:rPr>
          <w:rFonts w:ascii="Times New Roman" w:eastAsia="Times New Roman" w:hAnsi="Times New Roman" w:cs="Times New Roman"/>
          <w:sz w:val="24"/>
          <w:szCs w:val="24"/>
        </w:rPr>
        <w:t>).</w:t>
      </w:r>
    </w:p>
    <w:p w14:paraId="35DFC224" w14:textId="6C943268"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Use of ARV drugs, especially from NRTIs and PIS have been associated with various kidney syndromes including various electrolyte and acid-base disorders, acute kidney injury (AKI), lactic acidosis, and chronic kidney disease (CKD). These injuries occur via multiple mechanisms, including direct tubular toxicity, allergic reactions, and precipitation of insoluble drug crystals within renal tubular lumens</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2C3546" w:rsidRPr="00AB6D14">
        <w:rPr>
          <w:rFonts w:ascii="Times New Roman" w:eastAsia="Times New Roman" w:hAnsi="Times New Roman" w:cs="Times New Roman"/>
          <w:sz w:val="24"/>
          <w:szCs w:val="24"/>
        </w:rPr>
        <w:t>55</w:t>
      </w:r>
      <w:r w:rsidRPr="00AB6D14">
        <w:rPr>
          <w:rFonts w:ascii="Times New Roman" w:eastAsia="Times New Roman" w:hAnsi="Times New Roman" w:cs="Times New Roman"/>
          <w:sz w:val="24"/>
          <w:szCs w:val="24"/>
        </w:rPr>
        <w:t>).</w:t>
      </w:r>
    </w:p>
    <w:p w14:paraId="6427BC10" w14:textId="23CAF8A8"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Treatment with TDF containing regimen has been implicated in kidney dysfunction and serum electrolytes imbalance in both human and animal studies. Reports from animal studies show that TDF causes mitochondrial DNA (</w:t>
      </w:r>
      <w:proofErr w:type="spellStart"/>
      <w:r w:rsidRPr="00AB6D14">
        <w:rPr>
          <w:rFonts w:ascii="Times New Roman" w:eastAsia="Times New Roman" w:hAnsi="Times New Roman" w:cs="Times New Roman"/>
          <w:sz w:val="24"/>
          <w:szCs w:val="24"/>
        </w:rPr>
        <w:t>mtDNA</w:t>
      </w:r>
      <w:proofErr w:type="spellEnd"/>
      <w:r w:rsidRPr="00AB6D14">
        <w:rPr>
          <w:rFonts w:ascii="Times New Roman" w:eastAsia="Times New Roman" w:hAnsi="Times New Roman" w:cs="Times New Roman"/>
          <w:sz w:val="24"/>
          <w:szCs w:val="24"/>
        </w:rPr>
        <w:t>) depletion and mitochondrial toxicity</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2C3546" w:rsidRPr="00AB6D14">
        <w:rPr>
          <w:rFonts w:ascii="Times New Roman" w:eastAsia="Times New Roman" w:hAnsi="Times New Roman" w:cs="Times New Roman"/>
          <w:sz w:val="24"/>
          <w:szCs w:val="24"/>
        </w:rPr>
        <w:t>2</w:t>
      </w:r>
      <w:r w:rsidRPr="00AB6D14">
        <w:rPr>
          <w:rFonts w:ascii="Times New Roman" w:eastAsia="Times New Roman" w:hAnsi="Times New Roman" w:cs="Times New Roman"/>
          <w:sz w:val="24"/>
          <w:szCs w:val="24"/>
        </w:rPr>
        <w:t xml:space="preserve">). </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Renal proximal tubules from HIV positive transgenic mice exposed to TDF showed ultrastructural mitochondrial abnormalities (irregular shapes with sparse, fragmented cristae) and decreased </w:t>
      </w:r>
      <w:proofErr w:type="spellStart"/>
      <w:r w:rsidRPr="00AB6D14">
        <w:rPr>
          <w:rFonts w:ascii="Times New Roman" w:eastAsia="Times New Roman" w:hAnsi="Times New Roman" w:cs="Times New Roman"/>
          <w:sz w:val="24"/>
          <w:szCs w:val="24"/>
        </w:rPr>
        <w:t>mtDNA</w:t>
      </w:r>
      <w:proofErr w:type="spellEnd"/>
      <w:r w:rsidRPr="00AB6D14">
        <w:rPr>
          <w:rFonts w:ascii="Times New Roman" w:eastAsia="Times New Roman" w:hAnsi="Times New Roman" w:cs="Times New Roman"/>
          <w:sz w:val="24"/>
          <w:szCs w:val="24"/>
        </w:rPr>
        <w:t xml:space="preserve"> levels, which </w:t>
      </w:r>
      <w:proofErr w:type="spellStart"/>
      <w:r w:rsidRPr="00AB6D14">
        <w:rPr>
          <w:rFonts w:ascii="Times New Roman" w:eastAsia="Times New Roman" w:hAnsi="Times New Roman" w:cs="Times New Roman"/>
          <w:sz w:val="24"/>
          <w:szCs w:val="24"/>
        </w:rPr>
        <w:t>paralled</w:t>
      </w:r>
      <w:proofErr w:type="spellEnd"/>
      <w:r w:rsidRPr="00AB6D14">
        <w:rPr>
          <w:rFonts w:ascii="Times New Roman" w:eastAsia="Times New Roman" w:hAnsi="Times New Roman" w:cs="Times New Roman"/>
          <w:sz w:val="24"/>
          <w:szCs w:val="24"/>
        </w:rPr>
        <w:t xml:space="preserve"> the ultrastructural mitochondrial abnormalities</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2C3546" w:rsidRPr="00AB6D14">
        <w:rPr>
          <w:rFonts w:ascii="Times New Roman" w:eastAsia="Times New Roman" w:hAnsi="Times New Roman" w:cs="Times New Roman"/>
          <w:sz w:val="24"/>
          <w:szCs w:val="24"/>
        </w:rPr>
        <w:t>30</w:t>
      </w:r>
      <w:r w:rsidRPr="00AB6D14">
        <w:rPr>
          <w:rFonts w:ascii="Times New Roman" w:eastAsia="Times New Roman" w:hAnsi="Times New Roman" w:cs="Times New Roman"/>
          <w:sz w:val="24"/>
          <w:szCs w:val="24"/>
        </w:rPr>
        <w:t>).</w:t>
      </w:r>
    </w:p>
    <w:p w14:paraId="63669B9C" w14:textId="5F39E20D"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An interaction between lopinavir-ritonavir (LPV/r) combinations therapy and TDF, which manifests as a decrease in the renal clearance of TDF, has been identified</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2C3546" w:rsidRPr="00AB6D14">
        <w:rPr>
          <w:rFonts w:ascii="Times New Roman" w:eastAsia="Times New Roman" w:hAnsi="Times New Roman" w:cs="Times New Roman"/>
          <w:sz w:val="24"/>
          <w:szCs w:val="24"/>
        </w:rPr>
        <w:t>39</w:t>
      </w:r>
      <w:r w:rsidRPr="00AB6D14">
        <w:rPr>
          <w:rFonts w:ascii="Times New Roman" w:eastAsia="Times New Roman" w:hAnsi="Times New Roman" w:cs="Times New Roman"/>
          <w:sz w:val="24"/>
          <w:szCs w:val="24"/>
        </w:rPr>
        <w:t xml:space="preserve">). </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TDF is actively taken up into the proximal tubules and secreted into the lumen via multidrug resistance-associated protein-4, MRP4. Inhibition of MRP4 by LPV/r leads to increased intracellular TDF levels that may increase its nephrotoxicity effects</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2C3546" w:rsidRPr="00AB6D14">
        <w:rPr>
          <w:rFonts w:ascii="Times New Roman" w:eastAsia="Times New Roman" w:hAnsi="Times New Roman" w:cs="Times New Roman"/>
          <w:sz w:val="24"/>
          <w:szCs w:val="24"/>
        </w:rPr>
        <w:t>31</w:t>
      </w:r>
      <w:r w:rsidRPr="00AB6D14">
        <w:rPr>
          <w:rFonts w:ascii="Times New Roman" w:eastAsia="Times New Roman" w:hAnsi="Times New Roman" w:cs="Times New Roman"/>
          <w:sz w:val="24"/>
          <w:szCs w:val="24"/>
        </w:rPr>
        <w:t xml:space="preserve">). Roling, (2006) has also reported involvement of 3TC and </w:t>
      </w:r>
      <w:proofErr w:type="spellStart"/>
      <w:r w:rsidRPr="00AB6D14">
        <w:rPr>
          <w:rFonts w:ascii="Times New Roman" w:eastAsia="Times New Roman" w:hAnsi="Times New Roman" w:cs="Times New Roman"/>
          <w:sz w:val="24"/>
          <w:szCs w:val="24"/>
        </w:rPr>
        <w:t>didanosine</w:t>
      </w:r>
      <w:proofErr w:type="spellEnd"/>
      <w:r w:rsidRPr="00AB6D14">
        <w:rPr>
          <w:rFonts w:ascii="Times New Roman" w:eastAsia="Times New Roman" w:hAnsi="Times New Roman" w:cs="Times New Roman"/>
          <w:sz w:val="24"/>
          <w:szCs w:val="24"/>
        </w:rPr>
        <w:t xml:space="preserve"> as monotherapies with tubular dysfunction.</w:t>
      </w:r>
    </w:p>
    <w:p w14:paraId="726C9BCA" w14:textId="2F9B5958"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 xml:space="preserve">In this study, significant increase in serum urea were observed in animals treated for 15 days with first line and second line regimens (Groups B1 and C1) respectively, whereas creatinine level differed insignificantly in all the treated groups. This is in line with studies conducted by Kateregga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(2018) and other documented cases earlier stated. Serum levels of urea and creatinine are essential </w:t>
      </w:r>
      <w:proofErr w:type="spellStart"/>
      <w:r w:rsidRPr="00AB6D14">
        <w:rPr>
          <w:rFonts w:ascii="Times New Roman" w:eastAsia="Times New Roman" w:hAnsi="Times New Roman" w:cs="Times New Roman"/>
          <w:sz w:val="24"/>
          <w:szCs w:val="24"/>
        </w:rPr>
        <w:t>clininal</w:t>
      </w:r>
      <w:proofErr w:type="spellEnd"/>
      <w:r w:rsidRPr="00AB6D14">
        <w:rPr>
          <w:rFonts w:ascii="Times New Roman" w:eastAsia="Times New Roman" w:hAnsi="Times New Roman" w:cs="Times New Roman"/>
          <w:sz w:val="24"/>
          <w:szCs w:val="24"/>
        </w:rPr>
        <w:t xml:space="preserve"> endpoints for the assessment of renal function (</w:t>
      </w:r>
      <w:r w:rsidR="002C3546" w:rsidRPr="00AB6D14">
        <w:rPr>
          <w:rFonts w:ascii="Times New Roman" w:eastAsia="Times New Roman" w:hAnsi="Times New Roman" w:cs="Times New Roman"/>
          <w:sz w:val="24"/>
          <w:szCs w:val="24"/>
        </w:rPr>
        <w:t>41</w:t>
      </w:r>
      <w:r w:rsidRPr="00AB6D14">
        <w:rPr>
          <w:rFonts w:ascii="Times New Roman" w:eastAsia="Times New Roman" w:hAnsi="Times New Roman" w:cs="Times New Roman"/>
          <w:sz w:val="24"/>
          <w:szCs w:val="24"/>
        </w:rPr>
        <w:t xml:space="preserve">). </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Urea is the major nitrogen-containing metabolic product of protein metabolism. It is the primary vehicle for removing toxic ammonia from the body. Urea is synthesized in the liver from the ammonia produced from the catabolism of amino acids via the hepatic urea cycle. The conversion from ammonia to urea is regulated by N-</w:t>
      </w:r>
      <w:proofErr w:type="spellStart"/>
      <w:r w:rsidRPr="00AB6D14">
        <w:rPr>
          <w:rFonts w:ascii="Times New Roman" w:eastAsia="Times New Roman" w:hAnsi="Times New Roman" w:cs="Times New Roman"/>
          <w:sz w:val="24"/>
          <w:szCs w:val="24"/>
        </w:rPr>
        <w:t>acetylglutamate</w:t>
      </w:r>
      <w:proofErr w:type="spellEnd"/>
      <w:r w:rsidRPr="00AB6D14">
        <w:rPr>
          <w:rFonts w:ascii="Times New Roman" w:eastAsia="Times New Roman" w:hAnsi="Times New Roman" w:cs="Times New Roman"/>
          <w:sz w:val="24"/>
          <w:szCs w:val="24"/>
        </w:rPr>
        <w:t xml:space="preserve"> (NAG), which activates </w:t>
      </w:r>
      <w:proofErr w:type="spellStart"/>
      <w:r w:rsidRPr="00AB6D14">
        <w:rPr>
          <w:rFonts w:ascii="Times New Roman" w:eastAsia="Times New Roman" w:hAnsi="Times New Roman" w:cs="Times New Roman"/>
          <w:sz w:val="24"/>
          <w:szCs w:val="24"/>
        </w:rPr>
        <w:t>carbanoyl</w:t>
      </w:r>
      <w:proofErr w:type="spellEnd"/>
      <w:r w:rsidRPr="00AB6D14">
        <w:rPr>
          <w:rFonts w:ascii="Times New Roman" w:eastAsia="Times New Roman" w:hAnsi="Times New Roman" w:cs="Times New Roman"/>
          <w:sz w:val="24"/>
          <w:szCs w:val="24"/>
        </w:rPr>
        <w:t xml:space="preserve"> phosphate synthetase in the urea cycle. Urea is transported in the blood to the kidneys where it is excreted in the urine. In addition to its role as a carrier of waste nitrogen, urea also has a role in the countercurrent exchange system of the nephrons in which water and ions are reabsorbed from excreted urine</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2C3546" w:rsidRPr="00AB6D14">
        <w:rPr>
          <w:rFonts w:ascii="Times New Roman" w:eastAsia="Times New Roman" w:hAnsi="Times New Roman" w:cs="Times New Roman"/>
          <w:sz w:val="24"/>
          <w:szCs w:val="24"/>
        </w:rPr>
        <w:t>10</w:t>
      </w:r>
      <w:r w:rsidRPr="00AB6D14">
        <w:rPr>
          <w:rFonts w:ascii="Times New Roman" w:eastAsia="Times New Roman" w:hAnsi="Times New Roman" w:cs="Times New Roman"/>
          <w:sz w:val="24"/>
          <w:szCs w:val="24"/>
        </w:rPr>
        <w:t xml:space="preserve">). </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It is </w:t>
      </w:r>
      <w:r w:rsidRPr="00AB6D14">
        <w:rPr>
          <w:rFonts w:ascii="Times New Roman" w:eastAsia="Times New Roman" w:hAnsi="Times New Roman" w:cs="Times New Roman"/>
          <w:sz w:val="24"/>
          <w:szCs w:val="24"/>
        </w:rPr>
        <w:lastRenderedPageBreak/>
        <w:t>freely filtered by the glomeruli and partially passively resorbed as filtrate transverses the renal tubules. Urea reabsorption is inversely proportional to urine flow rate. Consequently, urea concentration depends on protein intake, protein catabolism, and kidney function</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 xml:space="preserve"> (</w:t>
      </w:r>
      <w:r w:rsidR="002C3546" w:rsidRPr="00AB6D14">
        <w:rPr>
          <w:rFonts w:ascii="Times New Roman" w:eastAsia="Times New Roman" w:hAnsi="Times New Roman" w:cs="Times New Roman"/>
          <w:sz w:val="24"/>
          <w:szCs w:val="24"/>
        </w:rPr>
        <w:t>40</w:t>
      </w:r>
      <w:r w:rsidRPr="00AB6D14">
        <w:rPr>
          <w:rFonts w:ascii="Times New Roman" w:eastAsia="Times New Roman" w:hAnsi="Times New Roman" w:cs="Times New Roman"/>
          <w:sz w:val="24"/>
          <w:szCs w:val="24"/>
        </w:rPr>
        <w:t>). Therefore, elevated serum levels of urea could be correlated with impairment in renal function (</w:t>
      </w:r>
      <w:r w:rsidR="002C3546" w:rsidRPr="00AB6D14">
        <w:rPr>
          <w:rFonts w:ascii="Times New Roman" w:eastAsia="Times New Roman" w:hAnsi="Times New Roman" w:cs="Times New Roman"/>
          <w:sz w:val="24"/>
          <w:szCs w:val="24"/>
        </w:rPr>
        <w:t>27</w:t>
      </w:r>
      <w:r w:rsidRPr="00AB6D14">
        <w:rPr>
          <w:rFonts w:ascii="Times New Roman" w:eastAsia="Times New Roman" w:hAnsi="Times New Roman" w:cs="Times New Roman"/>
          <w:sz w:val="24"/>
          <w:szCs w:val="24"/>
        </w:rPr>
        <w:t>) due to mitochondrial toxicity associated with TDF since the rate determining step in urea cycle takes place in the mitochondria.</w:t>
      </w:r>
    </w:p>
    <w:p w14:paraId="4BA198B5" w14:textId="05E630C8"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Creatinine is synthesized primarily in the</w:t>
      </w:r>
      <w:r w:rsidR="00B1423F" w:rsidRPr="00AB6D14">
        <w:rPr>
          <w:rFonts w:ascii="Times New Roman" w:eastAsia="Times New Roman" w:hAnsi="Times New Roman" w:cs="Times New Roman"/>
          <w:sz w:val="24"/>
          <w:szCs w:val="24"/>
        </w:rPr>
        <w:t xml:space="preserve"> l</w:t>
      </w:r>
      <w:r w:rsidRPr="00AB6D14">
        <w:rPr>
          <w:rFonts w:ascii="Times New Roman" w:eastAsia="Times New Roman" w:hAnsi="Times New Roman" w:cs="Times New Roman"/>
          <w:sz w:val="24"/>
          <w:szCs w:val="24"/>
        </w:rPr>
        <w:t xml:space="preserve">iver from the methylation of </w:t>
      </w:r>
      <w:proofErr w:type="spellStart"/>
      <w:r w:rsidRPr="00AB6D14">
        <w:rPr>
          <w:rFonts w:ascii="Times New Roman" w:eastAsia="Times New Roman" w:hAnsi="Times New Roman" w:cs="Times New Roman"/>
          <w:sz w:val="24"/>
          <w:szCs w:val="24"/>
        </w:rPr>
        <w:t>glycoyamine</w:t>
      </w:r>
      <w:proofErr w:type="spellEnd"/>
      <w:r w:rsidRPr="00AB6D14">
        <w:rPr>
          <w:rFonts w:ascii="Times New Roman" w:eastAsia="Times New Roman" w:hAnsi="Times New Roman" w:cs="Times New Roman"/>
          <w:sz w:val="24"/>
          <w:szCs w:val="24"/>
        </w:rPr>
        <w:t xml:space="preserve"> and is removed from the blood, chiefly by the kidneys, through glomerular filtration. According to Cheesbrough (2005) </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creatinine is a better indicator of over-all r</w:t>
      </w:r>
      <w:r w:rsidR="00642C72" w:rsidRPr="00AB6D14">
        <w:rPr>
          <w:rFonts w:ascii="Times New Roman" w:eastAsia="Times New Roman" w:hAnsi="Times New Roman" w:cs="Times New Roman"/>
          <w:sz w:val="24"/>
          <w:szCs w:val="24"/>
        </w:rPr>
        <w:t>enal function (Glomerular</w:t>
      </w:r>
      <w:r w:rsidRPr="00AB6D14">
        <w:rPr>
          <w:rFonts w:ascii="Times New Roman" w:eastAsia="Times New Roman" w:hAnsi="Times New Roman" w:cs="Times New Roman"/>
          <w:sz w:val="24"/>
          <w:szCs w:val="24"/>
        </w:rPr>
        <w:t xml:space="preserve"> filtration rate, GFR) since its levels are less affected than urea levels by age, diet and dehydration. Thus, insignificant level of serum creatinine observed in the current study implies less impaired renal function</w:t>
      </w:r>
      <w:r w:rsidR="00C712BD">
        <w:rPr>
          <w:rFonts w:ascii="Times New Roman" w:eastAsia="Times New Roman" w:hAnsi="Times New Roman" w:cs="Times New Roman"/>
          <w:sz w:val="24"/>
          <w:szCs w:val="24"/>
        </w:rPr>
        <w:t>”</w:t>
      </w:r>
      <w:r w:rsidRPr="00AB6D14">
        <w:rPr>
          <w:rFonts w:ascii="Times New Roman" w:eastAsia="Times New Roman" w:hAnsi="Times New Roman" w:cs="Times New Roman"/>
          <w:sz w:val="24"/>
          <w:szCs w:val="24"/>
        </w:rPr>
        <w:t>.</w:t>
      </w:r>
    </w:p>
    <w:p w14:paraId="116C2934" w14:textId="77777777" w:rsidR="00BB133A" w:rsidRPr="00AB6D14" w:rsidRDefault="00BB133A" w:rsidP="000138CA">
      <w:pPr>
        <w:spacing w:after="0" w:line="360" w:lineRule="auto"/>
        <w:jc w:val="both"/>
        <w:rPr>
          <w:rFonts w:ascii="Times New Roman" w:eastAsia="Times New Roman" w:hAnsi="Times New Roman" w:cs="Times New Roman"/>
          <w:sz w:val="24"/>
          <w:szCs w:val="24"/>
        </w:rPr>
      </w:pPr>
      <w:r w:rsidRPr="00AB6D14">
        <w:rPr>
          <w:rFonts w:ascii="Times New Roman" w:eastAsia="Times New Roman" w:hAnsi="Times New Roman" w:cs="Times New Roman"/>
          <w:sz w:val="24"/>
          <w:szCs w:val="24"/>
        </w:rPr>
        <w:tab/>
        <w:t xml:space="preserve">Serum sodium, chlorine and bicarbonate though significant increased, were observed in the present study not to exceed the normal reference range. Ramamoorthy </w:t>
      </w:r>
      <w:r w:rsidRPr="00AB6D14">
        <w:rPr>
          <w:rFonts w:ascii="Times New Roman" w:eastAsia="Times New Roman" w:hAnsi="Times New Roman" w:cs="Times New Roman"/>
          <w:i/>
          <w:sz w:val="24"/>
          <w:szCs w:val="24"/>
        </w:rPr>
        <w:t>et al.</w:t>
      </w:r>
      <w:r w:rsidRPr="00AB6D14">
        <w:rPr>
          <w:rFonts w:ascii="Times New Roman" w:eastAsia="Times New Roman" w:hAnsi="Times New Roman" w:cs="Times New Roman"/>
          <w:sz w:val="24"/>
          <w:szCs w:val="24"/>
        </w:rPr>
        <w:t xml:space="preserve"> (2012) had treated rats with monotherapy of TDF for 35 days and reported that TDF was associated with metabolic acidosis that occurs due to defective bicarbonate reabsorption in the proximal tubule. Other reported cases of TDF-induced renal toxicity have been characterized by serum electrolytes imbalance (</w:t>
      </w:r>
      <w:r w:rsidR="002C3546" w:rsidRPr="00AB6D14">
        <w:rPr>
          <w:rFonts w:ascii="Times New Roman" w:eastAsia="Times New Roman" w:hAnsi="Times New Roman" w:cs="Times New Roman"/>
          <w:sz w:val="24"/>
          <w:szCs w:val="24"/>
        </w:rPr>
        <w:t>53,66</w:t>
      </w:r>
      <w:r w:rsidRPr="00AB6D14">
        <w:rPr>
          <w:rFonts w:ascii="Times New Roman" w:eastAsia="Times New Roman" w:hAnsi="Times New Roman" w:cs="Times New Roman"/>
          <w:sz w:val="24"/>
          <w:szCs w:val="24"/>
        </w:rPr>
        <w:t>).</w:t>
      </w:r>
    </w:p>
    <w:p w14:paraId="7D75745F" w14:textId="77777777" w:rsidR="00BB133A" w:rsidRPr="00AB6D14" w:rsidRDefault="00BB133A" w:rsidP="000138CA">
      <w:pPr>
        <w:spacing w:after="0" w:line="360" w:lineRule="auto"/>
        <w:ind w:firstLine="720"/>
        <w:jc w:val="both"/>
        <w:rPr>
          <w:rFonts w:ascii="Times New Roman" w:eastAsia="Times New Roman" w:hAnsi="Times New Roman" w:cs="Times New Roman"/>
          <w:sz w:val="24"/>
          <w:szCs w:val="24"/>
        </w:rPr>
      </w:pPr>
    </w:p>
    <w:p w14:paraId="1DFE6177" w14:textId="77777777" w:rsidR="0014641A" w:rsidRPr="00AB6D14" w:rsidRDefault="00530944" w:rsidP="000138CA">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sidR="0014641A" w:rsidRPr="00AB6D14">
        <w:rPr>
          <w:rFonts w:ascii="Times New Roman" w:eastAsia="Times New Roman" w:hAnsi="Times New Roman" w:cs="Times New Roman"/>
          <w:b/>
          <w:sz w:val="24"/>
          <w:szCs w:val="24"/>
        </w:rPr>
        <w:t xml:space="preserve">Conclusion </w:t>
      </w:r>
    </w:p>
    <w:p w14:paraId="42EDDCEF" w14:textId="77777777" w:rsidR="00447759" w:rsidRDefault="0014641A" w:rsidP="000138CA">
      <w:pPr>
        <w:spacing w:after="0" w:line="360" w:lineRule="auto"/>
        <w:ind w:firstLine="720"/>
        <w:jc w:val="both"/>
        <w:rPr>
          <w:rFonts w:ascii="Times New Roman" w:eastAsia="Times New Roman" w:hAnsi="Times New Roman" w:cs="Times New Roman"/>
          <w:sz w:val="24"/>
          <w:szCs w:val="24"/>
        </w:rPr>
      </w:pPr>
      <w:bookmarkStart w:id="8" w:name="_Hlk176021081"/>
      <w:bookmarkStart w:id="9" w:name="_Hlk176128520"/>
      <w:r w:rsidRPr="00AB6D14">
        <w:rPr>
          <w:rFonts w:ascii="Times New Roman" w:eastAsia="Times New Roman" w:hAnsi="Times New Roman" w:cs="Times New Roman"/>
          <w:sz w:val="24"/>
          <w:szCs w:val="24"/>
        </w:rPr>
        <w:t xml:space="preserve">FDC antiretroviral drugs containing TDF/EFV/3TC and 3TC/ZDV + LPV/r were used in this study. These combinations are standard antiretroviral drugs recommended by WHO as preferred first and second line regimens respectively for management and treatment of HIV/AIDS. </w:t>
      </w:r>
      <w:bookmarkStart w:id="10" w:name="_Hlk176021462"/>
      <w:bookmarkEnd w:id="8"/>
      <w:r w:rsidRPr="00AB6D14">
        <w:rPr>
          <w:rFonts w:ascii="Times New Roman" w:eastAsia="Times New Roman" w:hAnsi="Times New Roman" w:cs="Times New Roman"/>
          <w:sz w:val="24"/>
          <w:szCs w:val="24"/>
        </w:rPr>
        <w:t xml:space="preserve">Findings from this study have revealed that the regimens exhibit toxic tendency on hepatic </w:t>
      </w:r>
      <w:r w:rsidR="00001385" w:rsidRPr="00AB6D14">
        <w:rPr>
          <w:rFonts w:ascii="Times New Roman" w:eastAsia="Times New Roman" w:hAnsi="Times New Roman" w:cs="Times New Roman"/>
          <w:sz w:val="24"/>
          <w:szCs w:val="24"/>
        </w:rPr>
        <w:t xml:space="preserve">tissues </w:t>
      </w:r>
      <w:r w:rsidRPr="00AB6D14">
        <w:rPr>
          <w:rFonts w:ascii="Times New Roman" w:eastAsia="Times New Roman" w:hAnsi="Times New Roman" w:cs="Times New Roman"/>
          <w:sz w:val="24"/>
          <w:szCs w:val="24"/>
        </w:rPr>
        <w:t>of the tested animals.</w:t>
      </w:r>
      <w:bookmarkEnd w:id="10"/>
      <w:r w:rsidRPr="00AB6D14">
        <w:rPr>
          <w:rFonts w:ascii="Times New Roman" w:eastAsia="Times New Roman" w:hAnsi="Times New Roman" w:cs="Times New Roman"/>
          <w:sz w:val="24"/>
          <w:szCs w:val="24"/>
        </w:rPr>
        <w:t xml:space="preserve"> </w:t>
      </w:r>
      <w:bookmarkStart w:id="11" w:name="_Hlk176021500"/>
      <w:r w:rsidRPr="00AB6D14">
        <w:rPr>
          <w:rFonts w:ascii="Times New Roman" w:eastAsia="Times New Roman" w:hAnsi="Times New Roman" w:cs="Times New Roman"/>
          <w:sz w:val="24"/>
          <w:szCs w:val="24"/>
        </w:rPr>
        <w:t>However, the regimens showed no deleterious effect on renal function of these animals. This study has also demonstrated that switching from first to second line regimen did not expose the animals to untoward consequences of severe drug effect, but rather there was a weight gain which may rule out toxic effects of the regimens on long term repeated dosage. Thus, the use of these regimens in the management and treatment of HIV/AIDS should be encouraged while hepatic functions of the recipients should be monitored.</w:t>
      </w:r>
    </w:p>
    <w:p w14:paraId="55DF9EFE" w14:textId="776DC46C" w:rsidR="00530944" w:rsidRPr="00AB6D14" w:rsidRDefault="00530944" w:rsidP="00FB53E6">
      <w:pPr>
        <w:pStyle w:val="Default"/>
        <w:spacing w:line="360" w:lineRule="auto"/>
        <w:jc w:val="both"/>
        <w:rPr>
          <w:rFonts w:eastAsia="Times New Roman"/>
        </w:rPr>
      </w:pPr>
    </w:p>
    <w:bookmarkEnd w:id="9"/>
    <w:p w14:paraId="7EE356DB" w14:textId="77777777" w:rsidR="0014641A" w:rsidRPr="00FB53E6" w:rsidRDefault="0014641A" w:rsidP="000138CA">
      <w:pPr>
        <w:spacing w:after="0" w:line="360" w:lineRule="auto"/>
        <w:ind w:firstLine="720"/>
        <w:jc w:val="both"/>
        <w:rPr>
          <w:rFonts w:ascii="Times New Roman" w:eastAsia="Times New Roman" w:hAnsi="Times New Roman" w:cs="Times New Roman"/>
          <w:sz w:val="8"/>
          <w:szCs w:val="24"/>
        </w:rPr>
      </w:pPr>
    </w:p>
    <w:p w14:paraId="72880591" w14:textId="2C07B527" w:rsidR="0014641A" w:rsidRPr="00AB6D14" w:rsidRDefault="00FB53E6" w:rsidP="000138CA">
      <w:pPr>
        <w:pStyle w:val="Default"/>
        <w:spacing w:line="360" w:lineRule="auto"/>
      </w:pPr>
      <w:bookmarkStart w:id="12" w:name="_Hlk176021772"/>
      <w:bookmarkEnd w:id="11"/>
      <w:r>
        <w:rPr>
          <w:b/>
          <w:bCs/>
        </w:rPr>
        <w:t>3.</w:t>
      </w:r>
      <w:r w:rsidR="00804586">
        <w:rPr>
          <w:b/>
          <w:bCs/>
        </w:rPr>
        <w:t>4</w:t>
      </w:r>
      <w:r w:rsidR="00530944">
        <w:rPr>
          <w:b/>
          <w:bCs/>
        </w:rPr>
        <w:t xml:space="preserve"> </w:t>
      </w:r>
      <w:r w:rsidR="0014641A" w:rsidRPr="00AB6D14">
        <w:rPr>
          <w:b/>
          <w:bCs/>
        </w:rPr>
        <w:t xml:space="preserve">ETHICS APPROVAL </w:t>
      </w:r>
    </w:p>
    <w:p w14:paraId="674A8F2C" w14:textId="77777777" w:rsidR="0014641A" w:rsidRPr="00AB6D14" w:rsidRDefault="0014641A" w:rsidP="000138CA">
      <w:pPr>
        <w:pStyle w:val="Default"/>
        <w:spacing w:line="360" w:lineRule="auto"/>
      </w:pPr>
      <w:r w:rsidRPr="00AB6D14">
        <w:t xml:space="preserve">Permission and approval for animal studies were obtained from the College of Health Sciences Animal Ethics Committee, University of </w:t>
      </w:r>
      <w:proofErr w:type="spellStart"/>
      <w:r w:rsidRPr="00AB6D14">
        <w:t>Uyo</w:t>
      </w:r>
      <w:proofErr w:type="spellEnd"/>
      <w:r w:rsidRPr="00AB6D14">
        <w:t>.</w:t>
      </w:r>
    </w:p>
    <w:p w14:paraId="326382CC" w14:textId="6FD93E6B" w:rsidR="0014641A" w:rsidRPr="00AB6D14" w:rsidRDefault="00530944" w:rsidP="000138CA">
      <w:pPr>
        <w:pStyle w:val="Default"/>
        <w:spacing w:line="360" w:lineRule="auto"/>
      </w:pPr>
      <w:r>
        <w:rPr>
          <w:b/>
          <w:bCs/>
        </w:rPr>
        <w:t>3.</w:t>
      </w:r>
      <w:r w:rsidR="00A62EB8">
        <w:rPr>
          <w:b/>
          <w:bCs/>
        </w:rPr>
        <w:t>5</w:t>
      </w:r>
      <w:r>
        <w:rPr>
          <w:b/>
          <w:bCs/>
        </w:rPr>
        <w:t xml:space="preserve"> </w:t>
      </w:r>
      <w:r w:rsidR="0014641A" w:rsidRPr="00AB6D14">
        <w:rPr>
          <w:b/>
          <w:bCs/>
        </w:rPr>
        <w:t xml:space="preserve">HUMAN AND ANIMAL RIGHTS </w:t>
      </w:r>
    </w:p>
    <w:p w14:paraId="2E9D9098" w14:textId="77777777" w:rsidR="0014641A" w:rsidRPr="00AB6D14" w:rsidRDefault="0014641A" w:rsidP="000138CA">
      <w:pPr>
        <w:pStyle w:val="Default"/>
        <w:spacing w:line="360" w:lineRule="auto"/>
        <w:jc w:val="both"/>
      </w:pPr>
      <w:r w:rsidRPr="00AB6D14">
        <w:lastRenderedPageBreak/>
        <w:t>The care and use of animals in this study was in accordance with the National Institute of Health Guide for the Care and Use of laboratory Animals (NIH, 1996).</w:t>
      </w:r>
    </w:p>
    <w:p w14:paraId="6DC0F1CE" w14:textId="3B29E133" w:rsidR="0014641A" w:rsidRPr="00AB6D14" w:rsidRDefault="00FB53E6" w:rsidP="000138CA">
      <w:pPr>
        <w:pStyle w:val="Default"/>
        <w:spacing w:line="360" w:lineRule="auto"/>
      </w:pPr>
      <w:r>
        <w:rPr>
          <w:b/>
          <w:bCs/>
        </w:rPr>
        <w:t>3.</w:t>
      </w:r>
      <w:r w:rsidR="00A62EB8">
        <w:rPr>
          <w:b/>
          <w:bCs/>
        </w:rPr>
        <w:t>6</w:t>
      </w:r>
      <w:r w:rsidR="00530944">
        <w:rPr>
          <w:b/>
          <w:bCs/>
        </w:rPr>
        <w:t xml:space="preserve"> </w:t>
      </w:r>
      <w:r w:rsidR="0014641A" w:rsidRPr="00AB6D14">
        <w:rPr>
          <w:b/>
          <w:bCs/>
        </w:rPr>
        <w:t xml:space="preserve">AVAILABILITY OF DATA AND MATERIALS </w:t>
      </w:r>
    </w:p>
    <w:p w14:paraId="1E095CD5" w14:textId="49155546" w:rsidR="0014641A" w:rsidRDefault="0014641A" w:rsidP="000138CA">
      <w:pPr>
        <w:autoSpaceDE w:val="0"/>
        <w:autoSpaceDN w:val="0"/>
        <w:adjustRightInd w:val="0"/>
        <w:spacing w:after="0" w:line="360" w:lineRule="auto"/>
        <w:jc w:val="both"/>
        <w:rPr>
          <w:rFonts w:ascii="Times New Roman" w:hAnsi="Times New Roman" w:cs="Times New Roman"/>
          <w:sz w:val="24"/>
          <w:szCs w:val="24"/>
        </w:rPr>
      </w:pPr>
      <w:r w:rsidRPr="00AB6D14">
        <w:rPr>
          <w:rFonts w:ascii="Times New Roman" w:hAnsi="Times New Roman" w:cs="Times New Roman"/>
          <w:sz w:val="24"/>
          <w:szCs w:val="24"/>
        </w:rPr>
        <w:t>The authors confirm that the data supporting the findings of this research are available within the article.</w:t>
      </w:r>
    </w:p>
    <w:p w14:paraId="4A6F8EEE" w14:textId="4ED789AB" w:rsidR="005C04B0" w:rsidRPr="005C04B0" w:rsidRDefault="005C04B0" w:rsidP="000138C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3.</w:t>
      </w:r>
      <w:r w:rsidR="00823FC9">
        <w:rPr>
          <w:rFonts w:ascii="Times New Roman" w:hAnsi="Times New Roman" w:cs="Times New Roman"/>
          <w:sz w:val="24"/>
          <w:szCs w:val="24"/>
        </w:rPr>
        <w:t>7</w:t>
      </w:r>
      <w:r>
        <w:rPr>
          <w:rFonts w:ascii="Times New Roman" w:hAnsi="Times New Roman" w:cs="Times New Roman"/>
          <w:sz w:val="24"/>
          <w:szCs w:val="24"/>
        </w:rPr>
        <w:t xml:space="preserve"> </w:t>
      </w:r>
      <w:r w:rsidRPr="005C04B0">
        <w:rPr>
          <w:rFonts w:ascii="Times New Roman" w:hAnsi="Times New Roman" w:cs="Times New Roman"/>
          <w:b/>
          <w:bCs/>
          <w:sz w:val="24"/>
          <w:szCs w:val="24"/>
        </w:rPr>
        <w:t xml:space="preserve">DISCLAIMER (ARTIFICIAL INTELLIGENCE) </w:t>
      </w:r>
    </w:p>
    <w:p w14:paraId="34CB27DD" w14:textId="77777777" w:rsidR="005C04B0" w:rsidRDefault="005C04B0" w:rsidP="000138CA">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Author(s) hereby </w:t>
      </w:r>
      <w:proofErr w:type="gramStart"/>
      <w:r>
        <w:rPr>
          <w:rFonts w:ascii="Times New Roman" w:hAnsi="Times New Roman" w:cs="Times New Roman"/>
          <w:color w:val="000000"/>
          <w:sz w:val="24"/>
          <w:szCs w:val="24"/>
        </w:rPr>
        <w:t>declare</w:t>
      </w:r>
      <w:proofErr w:type="gramEnd"/>
      <w:r>
        <w:rPr>
          <w:rFonts w:ascii="Times New Roman" w:hAnsi="Times New Roman" w:cs="Times New Roman"/>
          <w:color w:val="000000"/>
          <w:sz w:val="24"/>
          <w:szCs w:val="24"/>
        </w:rPr>
        <w:t xml:space="preserve"> that NO generative AI technologies such as Large Language Models (Chat GPT, COPILOT,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 xml:space="preserve">) and text-to-image generators have been used during writing or editing of manuscripts. </w:t>
      </w:r>
    </w:p>
    <w:p w14:paraId="74D24AF2" w14:textId="77777777" w:rsidR="00FB53E6" w:rsidRPr="00AB6D14" w:rsidRDefault="00FB53E6" w:rsidP="004C6476">
      <w:pPr>
        <w:spacing w:after="0" w:line="360" w:lineRule="auto"/>
        <w:jc w:val="both"/>
        <w:rPr>
          <w:rFonts w:ascii="Times New Roman" w:eastAsia="Times New Roman" w:hAnsi="Times New Roman" w:cs="Times New Roman"/>
          <w:sz w:val="24"/>
          <w:szCs w:val="24"/>
        </w:rPr>
      </w:pPr>
    </w:p>
    <w:bookmarkEnd w:id="12"/>
    <w:p w14:paraId="42920A78" w14:textId="77777777" w:rsidR="00FB297B" w:rsidRPr="00AB6D14" w:rsidRDefault="00FB297B" w:rsidP="00FB297B">
      <w:pPr>
        <w:spacing w:after="0" w:line="360" w:lineRule="auto"/>
        <w:jc w:val="both"/>
        <w:rPr>
          <w:rFonts w:ascii="Times New Roman" w:eastAsia="Times New Roman" w:hAnsi="Times New Roman" w:cs="Times New Roman"/>
          <w:sz w:val="24"/>
          <w:szCs w:val="24"/>
        </w:rPr>
      </w:pPr>
    </w:p>
    <w:p w14:paraId="77A86E70" w14:textId="77777777" w:rsidR="00FB297B" w:rsidRPr="00AB6D14" w:rsidRDefault="00FB297B" w:rsidP="00FB297B">
      <w:pPr>
        <w:spacing w:after="0" w:line="360" w:lineRule="auto"/>
        <w:ind w:left="720" w:hanging="720"/>
        <w:jc w:val="both"/>
        <w:rPr>
          <w:rFonts w:ascii="Times New Roman" w:eastAsia="Times New Roman" w:hAnsi="Times New Roman" w:cs="Times New Roman"/>
          <w:b/>
          <w:sz w:val="24"/>
          <w:szCs w:val="24"/>
        </w:rPr>
      </w:pPr>
      <w:bookmarkStart w:id="13" w:name="_Hlk184151744"/>
      <w:r w:rsidRPr="00AB6D14">
        <w:rPr>
          <w:rFonts w:ascii="Times New Roman" w:eastAsia="Times New Roman" w:hAnsi="Times New Roman" w:cs="Times New Roman"/>
          <w:b/>
          <w:sz w:val="24"/>
          <w:szCs w:val="24"/>
        </w:rPr>
        <w:t>REFERENCE</w:t>
      </w:r>
    </w:p>
    <w:p w14:paraId="13A1BE85" w14:textId="77777777" w:rsidR="00FB297B" w:rsidRPr="00AB6D14" w:rsidRDefault="00FB297B" w:rsidP="00FB297B">
      <w:pPr>
        <w:spacing w:after="0" w:line="360" w:lineRule="auto"/>
        <w:ind w:left="720" w:hanging="720"/>
        <w:jc w:val="both"/>
        <w:rPr>
          <w:rFonts w:ascii="Times New Roman" w:eastAsia="Times New Roman" w:hAnsi="Times New Roman" w:cs="Times New Roman"/>
          <w:b/>
          <w:sz w:val="24"/>
          <w:szCs w:val="24"/>
        </w:rPr>
      </w:pPr>
    </w:p>
    <w:p w14:paraId="3F16A34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Abubakar, M. G., Abduljalil, M. M. &amp; Nasiru, Y. I. (2014). Changes in Liver Function Enzymes of HIV/AIDS Patients Treated with Antiretroviral Drugs (ARVS) in Specialist Hospital, Sokoto, Nigeria. </w:t>
      </w:r>
      <w:r w:rsidRPr="00AB6D14">
        <w:rPr>
          <w:rFonts w:ascii="Times New Roman" w:hAnsi="Times New Roman" w:cs="Times New Roman"/>
          <w:i/>
          <w:sz w:val="24"/>
          <w:szCs w:val="24"/>
        </w:rPr>
        <w:t xml:space="preserve">Nigerian Journal of Basic and Applied Science, </w:t>
      </w:r>
      <w:r w:rsidRPr="00AB6D14">
        <w:rPr>
          <w:rFonts w:ascii="Times New Roman" w:hAnsi="Times New Roman" w:cs="Times New Roman"/>
          <w:sz w:val="24"/>
          <w:szCs w:val="24"/>
        </w:rPr>
        <w:t>22(3/4): 85-89.</w:t>
      </w:r>
    </w:p>
    <w:p w14:paraId="6283702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Adikwu, E., Deo, O., Zidafamor J. &amp; Obele. </w:t>
      </w:r>
      <w:r w:rsidRPr="00AB6D14">
        <w:rPr>
          <w:rFonts w:ascii="Times New Roman" w:hAnsi="Times New Roman" w:cs="Times New Roman"/>
          <w:sz w:val="24"/>
          <w:szCs w:val="24"/>
        </w:rPr>
        <w:t xml:space="preserve">R. (2014). Effect of co-administered lopinavir/ritonavir and sulfamethoxazole/ trimethoprim on cardiac function and architecture of albino rats. </w:t>
      </w:r>
      <w:r w:rsidRPr="00AB6D14">
        <w:rPr>
          <w:rFonts w:ascii="Times New Roman" w:hAnsi="Times New Roman" w:cs="Times New Roman"/>
          <w:i/>
          <w:sz w:val="24"/>
          <w:szCs w:val="24"/>
        </w:rPr>
        <w:t>International Journal of Basic and Clinical Pharmacology,</w:t>
      </w:r>
      <w:r w:rsidRPr="00AB6D14">
        <w:rPr>
          <w:rFonts w:ascii="Times New Roman" w:hAnsi="Times New Roman" w:cs="Times New Roman"/>
          <w:sz w:val="24"/>
          <w:szCs w:val="24"/>
        </w:rPr>
        <w:t xml:space="preserve"> 3(5): 817-823.</w:t>
      </w:r>
    </w:p>
    <w:p w14:paraId="677358D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Almazroo</w:t>
      </w:r>
      <w:proofErr w:type="spellEnd"/>
      <w:r w:rsidRPr="00AB6D14">
        <w:rPr>
          <w:rFonts w:ascii="Times New Roman" w:hAnsi="Times New Roman" w:cs="Times New Roman"/>
          <w:sz w:val="24"/>
          <w:szCs w:val="24"/>
        </w:rPr>
        <w:t xml:space="preserve">, O. A., Miah, M. K. &amp; Venkataramanan, R. (2017). Drug metabolism in the liver. </w:t>
      </w:r>
      <w:r w:rsidRPr="00AB6D14">
        <w:rPr>
          <w:rFonts w:ascii="Times New Roman" w:hAnsi="Times New Roman" w:cs="Times New Roman"/>
          <w:i/>
          <w:sz w:val="24"/>
          <w:szCs w:val="24"/>
        </w:rPr>
        <w:t xml:space="preserve">Clinical </w:t>
      </w:r>
      <w:proofErr w:type="spellStart"/>
      <w:r w:rsidRPr="00AB6D14">
        <w:rPr>
          <w:rFonts w:ascii="Times New Roman" w:hAnsi="Times New Roman" w:cs="Times New Roman"/>
          <w:i/>
          <w:sz w:val="24"/>
          <w:szCs w:val="24"/>
        </w:rPr>
        <w:t>Lilver</w:t>
      </w:r>
      <w:proofErr w:type="spellEnd"/>
      <w:r w:rsidRPr="00AB6D14">
        <w:rPr>
          <w:rFonts w:ascii="Times New Roman" w:hAnsi="Times New Roman" w:cs="Times New Roman"/>
          <w:i/>
          <w:sz w:val="24"/>
          <w:szCs w:val="24"/>
        </w:rPr>
        <w:t xml:space="preserve"> Disease,</w:t>
      </w:r>
      <w:r w:rsidRPr="00AB6D14">
        <w:rPr>
          <w:rFonts w:ascii="Times New Roman" w:hAnsi="Times New Roman" w:cs="Times New Roman"/>
          <w:sz w:val="24"/>
          <w:szCs w:val="24"/>
        </w:rPr>
        <w:t xml:space="preserve"> 21(1):1-20</w:t>
      </w:r>
    </w:p>
    <w:p w14:paraId="4F234E6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Atta, M. G., </w:t>
      </w:r>
      <w:proofErr w:type="spellStart"/>
      <w:r w:rsidRPr="00AB6D14">
        <w:rPr>
          <w:rFonts w:ascii="Times New Roman" w:hAnsi="Times New Roman" w:cs="Times New Roman"/>
          <w:sz w:val="24"/>
          <w:szCs w:val="24"/>
        </w:rPr>
        <w:t>Deray</w:t>
      </w:r>
      <w:proofErr w:type="spellEnd"/>
      <w:r w:rsidRPr="00AB6D14">
        <w:rPr>
          <w:rFonts w:ascii="Times New Roman" w:hAnsi="Times New Roman" w:cs="Times New Roman"/>
          <w:sz w:val="24"/>
          <w:szCs w:val="24"/>
        </w:rPr>
        <w:t xml:space="preserve">. G. &amp; Lucas, G. M. (2008). Antiretroviral </w:t>
      </w:r>
      <w:proofErr w:type="spellStart"/>
      <w:r w:rsidRPr="00AB6D14">
        <w:rPr>
          <w:rFonts w:ascii="Times New Roman" w:hAnsi="Times New Roman" w:cs="Times New Roman"/>
          <w:sz w:val="24"/>
          <w:szCs w:val="24"/>
        </w:rPr>
        <w:t>nephrotoxicities</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 xml:space="preserve">Seminars in </w:t>
      </w:r>
      <w:proofErr w:type="spellStart"/>
      <w:r w:rsidRPr="00AB6D14">
        <w:rPr>
          <w:rFonts w:ascii="Times New Roman" w:hAnsi="Times New Roman" w:cs="Times New Roman"/>
          <w:i/>
          <w:sz w:val="24"/>
          <w:szCs w:val="24"/>
        </w:rPr>
        <w:t>Nephrologoy</w:t>
      </w:r>
      <w:proofErr w:type="spellEnd"/>
      <w:r w:rsidRPr="00AB6D14">
        <w:rPr>
          <w:rFonts w:ascii="Times New Roman" w:hAnsi="Times New Roman" w:cs="Times New Roman"/>
          <w:i/>
          <w:sz w:val="24"/>
          <w:szCs w:val="24"/>
        </w:rPr>
        <w:t>,</w:t>
      </w:r>
      <w:r w:rsidRPr="00AB6D14">
        <w:rPr>
          <w:rFonts w:ascii="Times New Roman" w:hAnsi="Times New Roman" w:cs="Times New Roman"/>
          <w:sz w:val="24"/>
          <w:szCs w:val="24"/>
        </w:rPr>
        <w:t xml:space="preserve"> 28(6): 563-575.</w:t>
      </w:r>
    </w:p>
    <w:p w14:paraId="18837E4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Bowers, G. N. &amp; McComb, R. B. (1966). A </w:t>
      </w:r>
      <w:proofErr w:type="spellStart"/>
      <w:r w:rsidRPr="00AB6D14">
        <w:rPr>
          <w:rFonts w:ascii="Times New Roman" w:hAnsi="Times New Roman" w:cs="Times New Roman"/>
          <w:sz w:val="24"/>
          <w:szCs w:val="24"/>
        </w:rPr>
        <w:t>continous</w:t>
      </w:r>
      <w:proofErr w:type="spellEnd"/>
      <w:r w:rsidRPr="00AB6D14">
        <w:rPr>
          <w:rFonts w:ascii="Times New Roman" w:hAnsi="Times New Roman" w:cs="Times New Roman"/>
          <w:sz w:val="24"/>
          <w:szCs w:val="24"/>
        </w:rPr>
        <w:t xml:space="preserve"> spectrophotometric method for measuring the activity of serum alkaline phosphatase. </w:t>
      </w:r>
      <w:r w:rsidRPr="00AB6D14">
        <w:rPr>
          <w:rFonts w:ascii="Times New Roman" w:hAnsi="Times New Roman" w:cs="Times New Roman"/>
          <w:i/>
          <w:sz w:val="24"/>
          <w:szCs w:val="24"/>
        </w:rPr>
        <w:t>Journal of Clinal Chemistry</w:t>
      </w:r>
      <w:r w:rsidRPr="00AB6D14">
        <w:rPr>
          <w:rFonts w:ascii="Times New Roman" w:hAnsi="Times New Roman" w:cs="Times New Roman"/>
          <w:sz w:val="24"/>
          <w:szCs w:val="24"/>
        </w:rPr>
        <w:t>, 12(2): 70-89.</w:t>
      </w:r>
    </w:p>
    <w:p w14:paraId="0790B18E"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Bruno, R., Sacchi, P., Maiocchi, L., Patruno, S. &amp; Filice, G. (2006). Hepatotoxicity and antiretroviral therapy with protease inhibitors: A review. </w:t>
      </w:r>
      <w:r w:rsidRPr="00AB6D14">
        <w:rPr>
          <w:rFonts w:ascii="Times New Roman" w:hAnsi="Times New Roman" w:cs="Times New Roman"/>
          <w:i/>
          <w:sz w:val="24"/>
          <w:szCs w:val="24"/>
        </w:rPr>
        <w:t>Journal of Digestive and Liver Disease,</w:t>
      </w:r>
      <w:r w:rsidRPr="00AB6D14">
        <w:rPr>
          <w:rFonts w:ascii="Times New Roman" w:hAnsi="Times New Roman" w:cs="Times New Roman"/>
          <w:sz w:val="24"/>
          <w:szCs w:val="24"/>
        </w:rPr>
        <w:t xml:space="preserve"> 38(6): 363-373.</w:t>
      </w:r>
    </w:p>
    <w:p w14:paraId="54F851C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Bumpus, N. N. (2011). Efavirenz and 8-hydroxyefavirenz induce cell death via a JNK- and </w:t>
      </w:r>
      <w:proofErr w:type="spellStart"/>
      <w:r w:rsidRPr="00AB6D14">
        <w:rPr>
          <w:rFonts w:ascii="Times New Roman" w:hAnsi="Times New Roman" w:cs="Times New Roman"/>
          <w:sz w:val="24"/>
          <w:szCs w:val="24"/>
        </w:rPr>
        <w:t>BimEl</w:t>
      </w:r>
      <w:proofErr w:type="spellEnd"/>
      <w:r w:rsidRPr="00AB6D14">
        <w:rPr>
          <w:rFonts w:ascii="Times New Roman" w:hAnsi="Times New Roman" w:cs="Times New Roman"/>
          <w:sz w:val="24"/>
          <w:szCs w:val="24"/>
        </w:rPr>
        <w:t xml:space="preserve">- dependent mechanism in primary human hepatocytes. </w:t>
      </w:r>
      <w:r w:rsidRPr="00AB6D14">
        <w:rPr>
          <w:rFonts w:ascii="Times New Roman" w:hAnsi="Times New Roman" w:cs="Times New Roman"/>
          <w:i/>
          <w:sz w:val="24"/>
          <w:szCs w:val="24"/>
        </w:rPr>
        <w:t>Toxicology and Applied Pharmacology,</w:t>
      </w:r>
      <w:r w:rsidRPr="00AB6D14">
        <w:rPr>
          <w:rFonts w:ascii="Times New Roman" w:hAnsi="Times New Roman" w:cs="Times New Roman"/>
          <w:sz w:val="24"/>
          <w:szCs w:val="24"/>
        </w:rPr>
        <w:t xml:space="preserve"> 257(2): 227-234.</w:t>
      </w:r>
    </w:p>
    <w:p w14:paraId="55670EA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Burke, M. D. (2002). Liver function. </w:t>
      </w:r>
      <w:r w:rsidRPr="00AB6D14">
        <w:rPr>
          <w:rFonts w:ascii="Times New Roman" w:hAnsi="Times New Roman" w:cs="Times New Roman"/>
          <w:i/>
          <w:sz w:val="24"/>
          <w:szCs w:val="24"/>
        </w:rPr>
        <w:t>Human Pathology,</w:t>
      </w:r>
      <w:r w:rsidRPr="00AB6D14">
        <w:rPr>
          <w:rFonts w:ascii="Times New Roman" w:hAnsi="Times New Roman" w:cs="Times New Roman"/>
          <w:sz w:val="24"/>
          <w:szCs w:val="24"/>
        </w:rPr>
        <w:t xml:space="preserve"> 6: 237-286.</w:t>
      </w:r>
    </w:p>
    <w:p w14:paraId="6DAAB73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Cello, J. P. (1989) Acquired immune-deficiency syndrome cholangiopathy: spectrum disease. </w:t>
      </w:r>
      <w:r w:rsidRPr="00AB6D14">
        <w:rPr>
          <w:rFonts w:ascii="Times New Roman" w:hAnsi="Times New Roman" w:cs="Times New Roman"/>
          <w:i/>
          <w:sz w:val="24"/>
          <w:szCs w:val="24"/>
        </w:rPr>
        <w:t>American Journal of Medicine,</w:t>
      </w:r>
      <w:r w:rsidRPr="00AB6D14">
        <w:rPr>
          <w:rFonts w:ascii="Times New Roman" w:hAnsi="Times New Roman" w:cs="Times New Roman"/>
          <w:sz w:val="24"/>
          <w:szCs w:val="24"/>
        </w:rPr>
        <w:t xml:space="preserve"> 86: 539-546.</w:t>
      </w:r>
    </w:p>
    <w:p w14:paraId="4943DE4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Cheesbrough, M. (2005). </w:t>
      </w:r>
      <w:r w:rsidRPr="00AB6D14">
        <w:rPr>
          <w:rFonts w:ascii="Times New Roman" w:hAnsi="Times New Roman" w:cs="Times New Roman"/>
          <w:i/>
          <w:sz w:val="24"/>
          <w:szCs w:val="24"/>
        </w:rPr>
        <w:t>District laboratory practice in tropical countries part.</w:t>
      </w:r>
      <w:r w:rsidRPr="00AB6D14">
        <w:rPr>
          <w:rFonts w:ascii="Times New Roman" w:hAnsi="Times New Roman" w:cs="Times New Roman"/>
          <w:sz w:val="24"/>
          <w:szCs w:val="24"/>
        </w:rPr>
        <w:t xml:space="preserve"> (2nd ed.). New York, USA: Cambridge University Press.</w:t>
      </w:r>
    </w:p>
    <w:p w14:paraId="4BB2F1E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Chu, K. M., Boulle, A. M., Ford, N., </w:t>
      </w:r>
      <w:proofErr w:type="spellStart"/>
      <w:r w:rsidRPr="00AB6D14">
        <w:rPr>
          <w:rFonts w:ascii="Times New Roman" w:hAnsi="Times New Roman" w:cs="Times New Roman"/>
          <w:sz w:val="24"/>
          <w:szCs w:val="24"/>
        </w:rPr>
        <w:t>Goemaere</w:t>
      </w:r>
      <w:proofErr w:type="spellEnd"/>
      <w:r w:rsidRPr="00AB6D14">
        <w:rPr>
          <w:rFonts w:ascii="Times New Roman" w:hAnsi="Times New Roman" w:cs="Times New Roman"/>
          <w:sz w:val="24"/>
          <w:szCs w:val="24"/>
        </w:rPr>
        <w:t xml:space="preserve">, E., Asselman, V. &amp; Van, C. G. (2010). Nevirapine-associated early hepatotoxicity: incidence, risk factors, and associated mortality in a primary care ART </w:t>
      </w:r>
      <w:proofErr w:type="spellStart"/>
      <w:r w:rsidRPr="00AB6D14">
        <w:rPr>
          <w:rFonts w:ascii="Times New Roman" w:hAnsi="Times New Roman" w:cs="Times New Roman"/>
          <w:sz w:val="24"/>
          <w:szCs w:val="24"/>
        </w:rPr>
        <w:t>programme</w:t>
      </w:r>
      <w:proofErr w:type="spellEnd"/>
      <w:r w:rsidRPr="00AB6D14">
        <w:rPr>
          <w:rFonts w:ascii="Times New Roman" w:hAnsi="Times New Roman" w:cs="Times New Roman"/>
          <w:sz w:val="24"/>
          <w:szCs w:val="24"/>
        </w:rPr>
        <w:t xml:space="preserve"> in South Africa. </w:t>
      </w:r>
      <w:proofErr w:type="spellStart"/>
      <w:r w:rsidRPr="00AB6D14">
        <w:rPr>
          <w:rFonts w:ascii="Times New Roman" w:hAnsi="Times New Roman" w:cs="Times New Roman"/>
          <w:i/>
          <w:sz w:val="24"/>
          <w:szCs w:val="24"/>
        </w:rPr>
        <w:t>PloS</w:t>
      </w:r>
      <w:proofErr w:type="spellEnd"/>
      <w:r w:rsidRPr="00AB6D14">
        <w:rPr>
          <w:rFonts w:ascii="Times New Roman" w:hAnsi="Times New Roman" w:cs="Times New Roman"/>
          <w:i/>
          <w:sz w:val="24"/>
          <w:szCs w:val="24"/>
        </w:rPr>
        <w:t xml:space="preserve"> one, </w:t>
      </w:r>
      <w:r w:rsidRPr="00AB6D14">
        <w:rPr>
          <w:rFonts w:ascii="Times New Roman" w:hAnsi="Times New Roman" w:cs="Times New Roman"/>
          <w:sz w:val="24"/>
          <w:szCs w:val="24"/>
        </w:rPr>
        <w:t>5(2</w:t>
      </w:r>
      <w:r w:rsidRPr="00AB6D14">
        <w:rPr>
          <w:rFonts w:ascii="Times New Roman" w:hAnsi="Times New Roman" w:cs="Times New Roman"/>
          <w:i/>
          <w:sz w:val="24"/>
          <w:szCs w:val="24"/>
        </w:rPr>
        <w:t>)</w:t>
      </w:r>
      <w:r w:rsidRPr="00AB6D14">
        <w:rPr>
          <w:rFonts w:ascii="Times New Roman" w:hAnsi="Times New Roman" w:cs="Times New Roman"/>
          <w:sz w:val="24"/>
          <w:szCs w:val="24"/>
        </w:rPr>
        <w:t>: 9183-9190.</w:t>
      </w:r>
    </w:p>
    <w:p w14:paraId="2AF6256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Damiatati</w:t>
      </w:r>
      <w:proofErr w:type="spellEnd"/>
      <w:r w:rsidRPr="00AB6D14">
        <w:rPr>
          <w:rFonts w:ascii="Times New Roman" w:hAnsi="Times New Roman" w:cs="Times New Roman"/>
          <w:sz w:val="24"/>
          <w:szCs w:val="24"/>
        </w:rPr>
        <w:t>, S. (2019). A pilot study to assess kidney functions and toxic dimethyl-</w:t>
      </w:r>
      <w:proofErr w:type="spellStart"/>
      <w:r w:rsidRPr="00AB6D14">
        <w:rPr>
          <w:rFonts w:ascii="Times New Roman" w:hAnsi="Times New Roman" w:cs="Times New Roman"/>
          <w:sz w:val="24"/>
          <w:szCs w:val="24"/>
        </w:rPr>
        <w:t>arginines</w:t>
      </w:r>
      <w:proofErr w:type="spellEnd"/>
      <w:r w:rsidRPr="00AB6D14">
        <w:rPr>
          <w:rFonts w:ascii="Times New Roman" w:hAnsi="Times New Roman" w:cs="Times New Roman"/>
          <w:sz w:val="24"/>
          <w:szCs w:val="24"/>
        </w:rPr>
        <w:t xml:space="preserve"> as risk biomarkers in women with low vitamin D levels. </w:t>
      </w:r>
      <w:r w:rsidRPr="00AB6D14">
        <w:rPr>
          <w:rFonts w:ascii="Times New Roman" w:hAnsi="Times New Roman" w:cs="Times New Roman"/>
          <w:i/>
          <w:sz w:val="24"/>
          <w:szCs w:val="24"/>
        </w:rPr>
        <w:t xml:space="preserve"> Journal Medical Biochemistry, </w:t>
      </w:r>
      <w:r w:rsidRPr="00AB6D14">
        <w:rPr>
          <w:rFonts w:ascii="Times New Roman" w:hAnsi="Times New Roman" w:cs="Times New Roman"/>
          <w:sz w:val="24"/>
          <w:szCs w:val="24"/>
        </w:rPr>
        <w:t>38(2): 145-152.</w:t>
      </w:r>
    </w:p>
    <w:p w14:paraId="400579A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Dey, S. K., </w:t>
      </w:r>
      <w:proofErr w:type="spellStart"/>
      <w:r w:rsidRPr="00AB6D14">
        <w:rPr>
          <w:rFonts w:ascii="Times New Roman" w:hAnsi="Times New Roman" w:cs="Times New Roman"/>
          <w:sz w:val="24"/>
          <w:szCs w:val="24"/>
        </w:rPr>
        <w:t>Indranath</w:t>
      </w:r>
      <w:proofErr w:type="spellEnd"/>
      <w:r w:rsidRPr="00AB6D14">
        <w:rPr>
          <w:rFonts w:ascii="Times New Roman" w:hAnsi="Times New Roman" w:cs="Times New Roman"/>
          <w:sz w:val="24"/>
          <w:szCs w:val="24"/>
        </w:rPr>
        <w:t xml:space="preserve">, G., </w:t>
      </w:r>
      <w:proofErr w:type="spellStart"/>
      <w:r w:rsidRPr="00AB6D14">
        <w:rPr>
          <w:rFonts w:ascii="Times New Roman" w:hAnsi="Times New Roman" w:cs="Times New Roman"/>
          <w:sz w:val="24"/>
          <w:szCs w:val="24"/>
        </w:rPr>
        <w:t>Debojyoti</w:t>
      </w:r>
      <w:proofErr w:type="spellEnd"/>
      <w:r w:rsidRPr="00AB6D14">
        <w:rPr>
          <w:rFonts w:ascii="Times New Roman" w:hAnsi="Times New Roman" w:cs="Times New Roman"/>
          <w:sz w:val="24"/>
          <w:szCs w:val="24"/>
        </w:rPr>
        <w:t xml:space="preserve"> B., Praveen, A., Sumanta, J., Anindya, D. &amp; Sukanta K. D. (2013). Liver function profile anomalies in HIV seropositive tuberculosis. </w:t>
      </w:r>
      <w:r w:rsidRPr="00AB6D14">
        <w:rPr>
          <w:rFonts w:ascii="Times New Roman" w:hAnsi="Times New Roman" w:cs="Times New Roman"/>
          <w:i/>
          <w:sz w:val="24"/>
          <w:szCs w:val="24"/>
        </w:rPr>
        <w:t>Journal of Clinical and Diagnostic Research,</w:t>
      </w:r>
      <w:r w:rsidRPr="00AB6D14">
        <w:rPr>
          <w:rFonts w:ascii="Times New Roman" w:hAnsi="Times New Roman" w:cs="Times New Roman"/>
          <w:sz w:val="24"/>
          <w:szCs w:val="24"/>
        </w:rPr>
        <w:t xml:space="preserve"> 7(6): 1068-1072.</w:t>
      </w:r>
    </w:p>
    <w:p w14:paraId="2D19772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lastRenderedPageBreak/>
        <w:t xml:space="preserve">Douek, D. C., Roederer, M. &amp; </w:t>
      </w:r>
      <w:proofErr w:type="spellStart"/>
      <w:r w:rsidRPr="00AB6D14">
        <w:rPr>
          <w:rFonts w:ascii="Times New Roman" w:hAnsi="Times New Roman" w:cs="Times New Roman"/>
          <w:sz w:val="24"/>
          <w:szCs w:val="24"/>
        </w:rPr>
        <w:t>Koup</w:t>
      </w:r>
      <w:proofErr w:type="spellEnd"/>
      <w:r w:rsidRPr="00AB6D14">
        <w:rPr>
          <w:rFonts w:ascii="Times New Roman" w:hAnsi="Times New Roman" w:cs="Times New Roman"/>
          <w:sz w:val="24"/>
          <w:szCs w:val="24"/>
        </w:rPr>
        <w:t xml:space="preserve">, R. A. (2009). Emerging concepts in the immunopathogenesis of Aids. </w:t>
      </w:r>
      <w:r w:rsidRPr="00AB6D14">
        <w:rPr>
          <w:rFonts w:ascii="Times New Roman" w:hAnsi="Times New Roman" w:cs="Times New Roman"/>
          <w:i/>
          <w:sz w:val="24"/>
          <w:szCs w:val="24"/>
        </w:rPr>
        <w:t>Annual Review of Medicine,</w:t>
      </w:r>
      <w:r w:rsidRPr="00AB6D14">
        <w:rPr>
          <w:rFonts w:ascii="Times New Roman" w:hAnsi="Times New Roman" w:cs="Times New Roman"/>
          <w:sz w:val="24"/>
          <w:szCs w:val="24"/>
        </w:rPr>
        <w:t xml:space="preserve"> 60: 471-484.</w:t>
      </w:r>
    </w:p>
    <w:p w14:paraId="44FBF6F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Doumas, B T. &amp; Wu, T. W. (1991). The measurement of bilirubin fractions in serum. </w:t>
      </w:r>
      <w:r w:rsidRPr="00AB6D14">
        <w:rPr>
          <w:rFonts w:ascii="Times New Roman" w:hAnsi="Times New Roman" w:cs="Times New Roman"/>
          <w:i/>
          <w:sz w:val="24"/>
          <w:szCs w:val="24"/>
        </w:rPr>
        <w:t xml:space="preserve">Critical Reviews in Clinical Laboratory Sciences, </w:t>
      </w:r>
      <w:r w:rsidRPr="00AB6D14">
        <w:rPr>
          <w:rFonts w:ascii="Times New Roman" w:hAnsi="Times New Roman" w:cs="Times New Roman"/>
          <w:sz w:val="24"/>
          <w:szCs w:val="24"/>
        </w:rPr>
        <w:t>28(5-6): 415-445.</w:t>
      </w:r>
    </w:p>
    <w:p w14:paraId="113D601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Doumas, B. T., Watson, W. A. &amp; </w:t>
      </w:r>
      <w:proofErr w:type="spellStart"/>
      <w:r w:rsidRPr="00AB6D14">
        <w:rPr>
          <w:rFonts w:ascii="Times New Roman" w:hAnsi="Times New Roman" w:cs="Times New Roman"/>
          <w:sz w:val="24"/>
          <w:szCs w:val="24"/>
        </w:rPr>
        <w:t>Biggas</w:t>
      </w:r>
      <w:proofErr w:type="spellEnd"/>
      <w:r w:rsidRPr="00AB6D14">
        <w:rPr>
          <w:rFonts w:ascii="Times New Roman" w:hAnsi="Times New Roman" w:cs="Times New Roman"/>
          <w:sz w:val="24"/>
          <w:szCs w:val="24"/>
        </w:rPr>
        <w:t xml:space="preserve">, H. G. (1971). Albumin standard and the measurement of serum albumin with bromocresol green. </w:t>
      </w:r>
      <w:r w:rsidRPr="00AB6D14">
        <w:rPr>
          <w:rFonts w:ascii="Times New Roman" w:hAnsi="Times New Roman" w:cs="Times New Roman"/>
          <w:i/>
          <w:sz w:val="24"/>
          <w:szCs w:val="24"/>
        </w:rPr>
        <w:t>International journal of Clinical Chemistry,</w:t>
      </w:r>
      <w:r w:rsidRPr="00AB6D14">
        <w:rPr>
          <w:rFonts w:ascii="Times New Roman" w:hAnsi="Times New Roman" w:cs="Times New Roman"/>
          <w:sz w:val="24"/>
          <w:szCs w:val="24"/>
        </w:rPr>
        <w:t xml:space="preserve"> 31: 87-96.</w:t>
      </w:r>
    </w:p>
    <w:p w14:paraId="7A9CBC8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Dufor</w:t>
      </w:r>
      <w:proofErr w:type="spellEnd"/>
      <w:r w:rsidRPr="00AB6D14">
        <w:rPr>
          <w:rFonts w:ascii="Times New Roman" w:hAnsi="Times New Roman" w:cs="Times New Roman"/>
          <w:sz w:val="24"/>
          <w:szCs w:val="24"/>
        </w:rPr>
        <w:t xml:space="preserve">, D. R., Lott, J. A., Nolte, F. S., Gretch, D. R. &amp; Koff, R. S. (2000a). Diagnosis and monitoring of hepatic injury: II. Recommendations for use of laboratory tests in screening, diagnosis and monitoring. </w:t>
      </w:r>
      <w:r w:rsidRPr="00AB6D14">
        <w:rPr>
          <w:rFonts w:ascii="Times New Roman" w:hAnsi="Times New Roman" w:cs="Times New Roman"/>
          <w:i/>
          <w:sz w:val="24"/>
          <w:szCs w:val="24"/>
        </w:rPr>
        <w:t>Clinical Chemistry,</w:t>
      </w:r>
      <w:r w:rsidRPr="00AB6D14">
        <w:rPr>
          <w:rFonts w:ascii="Times New Roman" w:hAnsi="Times New Roman" w:cs="Times New Roman"/>
          <w:sz w:val="24"/>
          <w:szCs w:val="24"/>
        </w:rPr>
        <w:t xml:space="preserve"> 46(12): 2027-2049.</w:t>
      </w:r>
    </w:p>
    <w:p w14:paraId="69F892C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Echeniqu</w:t>
      </w:r>
      <w:proofErr w:type="spellEnd"/>
      <w:r w:rsidRPr="00AB6D14">
        <w:rPr>
          <w:rFonts w:ascii="Times New Roman" w:hAnsi="Times New Roman" w:cs="Times New Roman"/>
          <w:sz w:val="24"/>
          <w:szCs w:val="24"/>
        </w:rPr>
        <w:t xml:space="preserve">, I. A. &amp; Rich, J. D. (2013). EFV/FTC/TDF-associated hepatotoxicity: A case report and review, </w:t>
      </w:r>
      <w:r w:rsidRPr="00AB6D14">
        <w:rPr>
          <w:rFonts w:ascii="Times New Roman" w:hAnsi="Times New Roman" w:cs="Times New Roman"/>
          <w:i/>
          <w:sz w:val="24"/>
          <w:szCs w:val="24"/>
        </w:rPr>
        <w:t>AIDS Patient Care and STDs,</w:t>
      </w:r>
      <w:r w:rsidRPr="00AB6D14">
        <w:rPr>
          <w:rFonts w:ascii="Times New Roman" w:hAnsi="Times New Roman" w:cs="Times New Roman"/>
          <w:sz w:val="24"/>
          <w:szCs w:val="24"/>
        </w:rPr>
        <w:t xml:space="preserve"> 27(9): 493-497.</w:t>
      </w:r>
    </w:p>
    <w:p w14:paraId="0022D38E"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Edelman, E. J., Gordon, K. &amp; Rodriguez-Barradas, M. C. (2012). Patients-reported symptoms on the antiretroviral regimen efavirenz/emtricitabine/tenofovir,” </w:t>
      </w:r>
      <w:r w:rsidRPr="00AB6D14">
        <w:rPr>
          <w:rFonts w:ascii="Times New Roman" w:hAnsi="Times New Roman" w:cs="Times New Roman"/>
          <w:i/>
          <w:sz w:val="24"/>
          <w:szCs w:val="24"/>
        </w:rPr>
        <w:t>AIDS Patient Care and STD.</w:t>
      </w:r>
      <w:r w:rsidRPr="00AB6D14">
        <w:rPr>
          <w:rFonts w:ascii="Times New Roman" w:hAnsi="Times New Roman" w:cs="Times New Roman"/>
          <w:sz w:val="24"/>
          <w:szCs w:val="24"/>
        </w:rPr>
        <w:t xml:space="preserve"> 26(6): 312-319.  </w:t>
      </w:r>
    </w:p>
    <w:p w14:paraId="531A8F1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Elias, A., Nelson, B., </w:t>
      </w:r>
      <w:proofErr w:type="spellStart"/>
      <w:r w:rsidRPr="00AB6D14">
        <w:rPr>
          <w:rFonts w:ascii="Times New Roman" w:hAnsi="Times New Roman" w:cs="Times New Roman"/>
          <w:sz w:val="24"/>
          <w:szCs w:val="24"/>
        </w:rPr>
        <w:t>Igbans</w:t>
      </w:r>
      <w:proofErr w:type="spellEnd"/>
      <w:r w:rsidRPr="00AB6D14">
        <w:rPr>
          <w:rFonts w:ascii="Times New Roman" w:hAnsi="Times New Roman" w:cs="Times New Roman"/>
          <w:sz w:val="24"/>
          <w:szCs w:val="24"/>
        </w:rPr>
        <w:t xml:space="preserve">, R. O. &amp; </w:t>
      </w:r>
      <w:proofErr w:type="spellStart"/>
      <w:r w:rsidRPr="00AB6D14">
        <w:rPr>
          <w:rFonts w:ascii="Times New Roman" w:hAnsi="Times New Roman" w:cs="Times New Roman"/>
          <w:sz w:val="24"/>
          <w:szCs w:val="24"/>
        </w:rPr>
        <w:t>Onyedenyifa</w:t>
      </w:r>
      <w:proofErr w:type="spellEnd"/>
      <w:r w:rsidRPr="00AB6D14">
        <w:rPr>
          <w:rFonts w:ascii="Times New Roman" w:hAnsi="Times New Roman" w:cs="Times New Roman"/>
          <w:sz w:val="24"/>
          <w:szCs w:val="24"/>
        </w:rPr>
        <w:t xml:space="preserve">, O. J (2015). Hepatotoxic Assessment of co-treatment with isoniazid and efavirenz in albino rats. </w:t>
      </w:r>
      <w:r w:rsidRPr="00AB6D14">
        <w:rPr>
          <w:rFonts w:ascii="Times New Roman" w:hAnsi="Times New Roman" w:cs="Times New Roman"/>
          <w:i/>
          <w:sz w:val="24"/>
          <w:szCs w:val="24"/>
        </w:rPr>
        <w:t>Advances in Pharmacology and Pharmacy</w:t>
      </w:r>
      <w:r w:rsidRPr="00AB6D14">
        <w:rPr>
          <w:rFonts w:ascii="Times New Roman" w:hAnsi="Times New Roman" w:cs="Times New Roman"/>
          <w:sz w:val="24"/>
          <w:szCs w:val="24"/>
        </w:rPr>
        <w:t>, 3(4): 75-81.</w:t>
      </w:r>
    </w:p>
    <w:p w14:paraId="3CF0D23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Fabiny, D. L. </w:t>
      </w:r>
      <w:proofErr w:type="spellStart"/>
      <w:r w:rsidRPr="00AB6D14">
        <w:rPr>
          <w:rFonts w:ascii="Times New Roman" w:hAnsi="Times New Roman" w:cs="Times New Roman"/>
          <w:sz w:val="24"/>
          <w:szCs w:val="24"/>
        </w:rPr>
        <w:t>Rambant</w:t>
      </w:r>
      <w:proofErr w:type="spellEnd"/>
      <w:r w:rsidRPr="00AB6D14">
        <w:rPr>
          <w:rFonts w:ascii="Times New Roman" w:hAnsi="Times New Roman" w:cs="Times New Roman"/>
          <w:sz w:val="24"/>
          <w:szCs w:val="24"/>
        </w:rPr>
        <w:t xml:space="preserve">, A., </w:t>
      </w:r>
      <w:proofErr w:type="spellStart"/>
      <w:r w:rsidRPr="00AB6D14">
        <w:rPr>
          <w:rFonts w:ascii="Times New Roman" w:hAnsi="Times New Roman" w:cs="Times New Roman"/>
          <w:sz w:val="24"/>
          <w:szCs w:val="24"/>
        </w:rPr>
        <w:t>Suchard</w:t>
      </w:r>
      <w:proofErr w:type="spellEnd"/>
      <w:r w:rsidRPr="00AB6D14">
        <w:rPr>
          <w:rFonts w:ascii="Times New Roman" w:hAnsi="Times New Roman" w:cs="Times New Roman"/>
          <w:sz w:val="24"/>
          <w:szCs w:val="24"/>
        </w:rPr>
        <w:t xml:space="preserve">, M. A., Baele, G., Bedfored, T., Ward, M. J., Tatem, A. J., Sousa, J. D., </w:t>
      </w:r>
      <w:proofErr w:type="spellStart"/>
      <w:r w:rsidRPr="00AB6D14">
        <w:rPr>
          <w:rFonts w:ascii="Times New Roman" w:hAnsi="Times New Roman" w:cs="Times New Roman"/>
          <w:sz w:val="24"/>
          <w:szCs w:val="24"/>
        </w:rPr>
        <w:t>Arinaminpathy</w:t>
      </w:r>
      <w:proofErr w:type="spellEnd"/>
      <w:r w:rsidRPr="00AB6D14">
        <w:rPr>
          <w:rFonts w:ascii="Times New Roman" w:hAnsi="Times New Roman" w:cs="Times New Roman"/>
          <w:sz w:val="24"/>
          <w:szCs w:val="24"/>
        </w:rPr>
        <w:t xml:space="preserve">, N., Pepin, J., Posada, D., Peters, M., Pybus, O. &amp; </w:t>
      </w:r>
      <w:proofErr w:type="spellStart"/>
      <w:r w:rsidRPr="00AB6D14">
        <w:rPr>
          <w:rFonts w:ascii="Times New Roman" w:hAnsi="Times New Roman" w:cs="Times New Roman"/>
          <w:sz w:val="24"/>
          <w:szCs w:val="24"/>
        </w:rPr>
        <w:t>Lemey</w:t>
      </w:r>
      <w:proofErr w:type="spellEnd"/>
      <w:r w:rsidRPr="00AB6D14">
        <w:rPr>
          <w:rFonts w:ascii="Times New Roman" w:hAnsi="Times New Roman" w:cs="Times New Roman"/>
          <w:sz w:val="24"/>
          <w:szCs w:val="24"/>
        </w:rPr>
        <w:t xml:space="preserve"> </w:t>
      </w:r>
      <w:proofErr w:type="gramStart"/>
      <w:r w:rsidRPr="00AB6D14">
        <w:rPr>
          <w:rFonts w:ascii="Times New Roman" w:hAnsi="Times New Roman" w:cs="Times New Roman"/>
          <w:sz w:val="24"/>
          <w:szCs w:val="24"/>
        </w:rPr>
        <w:t>P.(</w:t>
      </w:r>
      <w:proofErr w:type="gramEnd"/>
      <w:r w:rsidRPr="00AB6D14">
        <w:rPr>
          <w:rFonts w:ascii="Times New Roman" w:hAnsi="Times New Roman" w:cs="Times New Roman"/>
          <w:sz w:val="24"/>
          <w:szCs w:val="24"/>
        </w:rPr>
        <w:t xml:space="preserve">2014). HIV epidemiology: The early spread and epidemic ignition of HIV in human populations. </w:t>
      </w:r>
      <w:r w:rsidRPr="00AB6D14">
        <w:rPr>
          <w:rFonts w:ascii="Times New Roman" w:hAnsi="Times New Roman" w:cs="Times New Roman"/>
          <w:i/>
          <w:sz w:val="24"/>
          <w:szCs w:val="24"/>
        </w:rPr>
        <w:t>Science,</w:t>
      </w:r>
      <w:r w:rsidRPr="00AB6D14">
        <w:rPr>
          <w:rFonts w:ascii="Times New Roman" w:hAnsi="Times New Roman" w:cs="Times New Roman"/>
          <w:sz w:val="24"/>
          <w:szCs w:val="24"/>
        </w:rPr>
        <w:t xml:space="preserve"> 346: 56-61.</w:t>
      </w:r>
    </w:p>
    <w:p w14:paraId="7DBD037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Faria, N. R., </w:t>
      </w:r>
      <w:proofErr w:type="spellStart"/>
      <w:r w:rsidRPr="00AB6D14">
        <w:rPr>
          <w:rFonts w:ascii="Times New Roman" w:hAnsi="Times New Roman" w:cs="Times New Roman"/>
          <w:sz w:val="24"/>
          <w:szCs w:val="24"/>
        </w:rPr>
        <w:t>Rambant</w:t>
      </w:r>
      <w:proofErr w:type="spellEnd"/>
      <w:r w:rsidRPr="00AB6D14">
        <w:rPr>
          <w:rFonts w:ascii="Times New Roman" w:hAnsi="Times New Roman" w:cs="Times New Roman"/>
          <w:sz w:val="24"/>
          <w:szCs w:val="24"/>
        </w:rPr>
        <w:t xml:space="preserve">, A., </w:t>
      </w:r>
      <w:proofErr w:type="spellStart"/>
      <w:r w:rsidRPr="00AB6D14">
        <w:rPr>
          <w:rFonts w:ascii="Times New Roman" w:hAnsi="Times New Roman" w:cs="Times New Roman"/>
          <w:sz w:val="24"/>
          <w:szCs w:val="24"/>
        </w:rPr>
        <w:t>Suchard</w:t>
      </w:r>
      <w:proofErr w:type="spellEnd"/>
      <w:r w:rsidRPr="00AB6D14">
        <w:rPr>
          <w:rFonts w:ascii="Times New Roman" w:hAnsi="Times New Roman" w:cs="Times New Roman"/>
          <w:sz w:val="24"/>
          <w:szCs w:val="24"/>
        </w:rPr>
        <w:t xml:space="preserve">, M. A., Baele, G., Bedford, T., Ward, M. J., Tatem, A. J., Sousa, J. D., </w:t>
      </w:r>
      <w:proofErr w:type="spellStart"/>
      <w:r w:rsidRPr="00AB6D14">
        <w:rPr>
          <w:rFonts w:ascii="Times New Roman" w:hAnsi="Times New Roman" w:cs="Times New Roman"/>
          <w:sz w:val="24"/>
          <w:szCs w:val="24"/>
        </w:rPr>
        <w:t>Arinaminpathy</w:t>
      </w:r>
      <w:proofErr w:type="spellEnd"/>
      <w:r w:rsidRPr="00AB6D14">
        <w:rPr>
          <w:rFonts w:ascii="Times New Roman" w:hAnsi="Times New Roman" w:cs="Times New Roman"/>
          <w:sz w:val="24"/>
          <w:szCs w:val="24"/>
        </w:rPr>
        <w:t xml:space="preserve">, N., Pepin, J., Posada, D., Peters, M., Pybus, O. &amp; </w:t>
      </w:r>
      <w:proofErr w:type="spellStart"/>
      <w:r w:rsidRPr="00AB6D14">
        <w:rPr>
          <w:rFonts w:ascii="Times New Roman" w:hAnsi="Times New Roman" w:cs="Times New Roman"/>
          <w:sz w:val="24"/>
          <w:szCs w:val="24"/>
        </w:rPr>
        <w:t>Lemey</w:t>
      </w:r>
      <w:proofErr w:type="spellEnd"/>
      <w:r w:rsidRPr="00AB6D14">
        <w:rPr>
          <w:rFonts w:ascii="Times New Roman" w:hAnsi="Times New Roman" w:cs="Times New Roman"/>
          <w:sz w:val="24"/>
          <w:szCs w:val="24"/>
        </w:rPr>
        <w:t xml:space="preserve"> P. (2014). HIV epidemiology: The early spread and epidemic ignition of HIV in human populations. </w:t>
      </w:r>
      <w:r w:rsidRPr="00AB6D14">
        <w:rPr>
          <w:rFonts w:ascii="Times New Roman" w:hAnsi="Times New Roman" w:cs="Times New Roman"/>
          <w:i/>
          <w:sz w:val="24"/>
          <w:szCs w:val="24"/>
        </w:rPr>
        <w:t>Science</w:t>
      </w:r>
      <w:r w:rsidRPr="00AB6D14">
        <w:rPr>
          <w:rFonts w:ascii="Times New Roman" w:hAnsi="Times New Roman" w:cs="Times New Roman"/>
          <w:sz w:val="24"/>
          <w:szCs w:val="24"/>
        </w:rPr>
        <w:t>, 346: 56-61.</w:t>
      </w:r>
    </w:p>
    <w:p w14:paraId="573B89C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Fevery</w:t>
      </w:r>
      <w:proofErr w:type="spellEnd"/>
      <w:r w:rsidRPr="00AB6D14">
        <w:rPr>
          <w:rFonts w:ascii="Times New Roman" w:hAnsi="Times New Roman" w:cs="Times New Roman"/>
          <w:sz w:val="24"/>
          <w:szCs w:val="24"/>
        </w:rPr>
        <w:t xml:space="preserve">, J. (2008). Bilirubin in clinical practice: A review. Liver international: </w:t>
      </w:r>
      <w:r w:rsidRPr="00AB6D14">
        <w:rPr>
          <w:rFonts w:ascii="Times New Roman" w:hAnsi="Times New Roman" w:cs="Times New Roman"/>
          <w:i/>
          <w:sz w:val="24"/>
          <w:szCs w:val="24"/>
        </w:rPr>
        <w:t>Official Journal of the International Association for the study of the Liver,</w:t>
      </w:r>
      <w:r w:rsidRPr="00AB6D14">
        <w:rPr>
          <w:rFonts w:ascii="Times New Roman" w:hAnsi="Times New Roman" w:cs="Times New Roman"/>
          <w:sz w:val="24"/>
          <w:szCs w:val="24"/>
        </w:rPr>
        <w:t xml:space="preserve"> 28(5): 592-605.</w:t>
      </w:r>
    </w:p>
    <w:p w14:paraId="2221A07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Forrester, J. S., Wataji, L. G., Silverman, D. A. &amp; Pierre, K. J. (1976). </w:t>
      </w:r>
      <w:r w:rsidRPr="00AB6D14">
        <w:rPr>
          <w:rFonts w:ascii="Times New Roman" w:hAnsi="Times New Roman" w:cs="Times New Roman"/>
          <w:sz w:val="24"/>
          <w:szCs w:val="24"/>
        </w:rPr>
        <w:t>Enzymatic method for determination of CO</w:t>
      </w:r>
      <w:r w:rsidRPr="00AB6D14">
        <w:rPr>
          <w:rFonts w:ascii="Times New Roman" w:hAnsi="Times New Roman" w:cs="Times New Roman"/>
          <w:sz w:val="24"/>
          <w:szCs w:val="24"/>
          <w:vertAlign w:val="subscript"/>
        </w:rPr>
        <w:t>2</w:t>
      </w:r>
      <w:r w:rsidRPr="00AB6D14">
        <w:rPr>
          <w:rFonts w:ascii="Times New Roman" w:hAnsi="Times New Roman" w:cs="Times New Roman"/>
          <w:sz w:val="24"/>
          <w:szCs w:val="24"/>
        </w:rPr>
        <w:t xml:space="preserve"> in serum. </w:t>
      </w:r>
      <w:r w:rsidRPr="00AB6D14">
        <w:rPr>
          <w:rFonts w:ascii="Times New Roman" w:hAnsi="Times New Roman" w:cs="Times New Roman"/>
          <w:i/>
          <w:sz w:val="24"/>
          <w:szCs w:val="24"/>
        </w:rPr>
        <w:t xml:space="preserve">Journal of Clinical Chemistry, </w:t>
      </w:r>
      <w:r w:rsidRPr="00AB6D14">
        <w:rPr>
          <w:rFonts w:ascii="Times New Roman" w:hAnsi="Times New Roman" w:cs="Times New Roman"/>
          <w:sz w:val="24"/>
          <w:szCs w:val="24"/>
        </w:rPr>
        <w:t>22(2): 243-261.</w:t>
      </w:r>
    </w:p>
    <w:p w14:paraId="7F16A549"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Freidman, J., Helfert, K., Harmrell, M. &amp; Stein, D. (1993). </w:t>
      </w:r>
      <w:r w:rsidRPr="00AB6D14">
        <w:rPr>
          <w:rFonts w:ascii="Times New Roman" w:hAnsi="Times New Roman" w:cs="Times New Roman"/>
          <w:sz w:val="24"/>
          <w:szCs w:val="24"/>
        </w:rPr>
        <w:t xml:space="preserve">Hepatomegaly with sever steatosis in HIV-seropositive patients. </w:t>
      </w:r>
      <w:r w:rsidRPr="00AB6D14">
        <w:rPr>
          <w:rFonts w:ascii="Times New Roman" w:hAnsi="Times New Roman" w:cs="Times New Roman"/>
          <w:i/>
          <w:sz w:val="24"/>
          <w:szCs w:val="24"/>
        </w:rPr>
        <w:t>AIDS</w:t>
      </w:r>
      <w:r w:rsidRPr="00AB6D14">
        <w:rPr>
          <w:rFonts w:ascii="Times New Roman" w:hAnsi="Times New Roman" w:cs="Times New Roman"/>
          <w:sz w:val="24"/>
          <w:szCs w:val="24"/>
        </w:rPr>
        <w:t>, 7: 379-385.</w:t>
      </w:r>
    </w:p>
    <w:p w14:paraId="22CFE57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Friedman, A. &amp; Fedem, S. (2010). Reassessment of albumin as a nutritional marker in kidney disease. </w:t>
      </w:r>
      <w:r w:rsidRPr="00AB6D14">
        <w:rPr>
          <w:rFonts w:ascii="Times New Roman" w:hAnsi="Times New Roman" w:cs="Times New Roman"/>
          <w:i/>
          <w:sz w:val="24"/>
          <w:szCs w:val="24"/>
        </w:rPr>
        <w:t xml:space="preserve">Journal of the American Society of Nephrology, </w:t>
      </w:r>
      <w:r w:rsidRPr="00AB6D14">
        <w:rPr>
          <w:rFonts w:ascii="Times New Roman" w:hAnsi="Times New Roman" w:cs="Times New Roman"/>
          <w:sz w:val="24"/>
          <w:szCs w:val="24"/>
        </w:rPr>
        <w:t>21: 223-230.</w:t>
      </w:r>
    </w:p>
    <w:p w14:paraId="1CA3017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Ganong, W. F. (2009). </w:t>
      </w:r>
      <w:r w:rsidRPr="00AB6D14">
        <w:rPr>
          <w:rFonts w:ascii="Times New Roman" w:hAnsi="Times New Roman" w:cs="Times New Roman"/>
          <w:i/>
          <w:sz w:val="24"/>
          <w:szCs w:val="24"/>
        </w:rPr>
        <w:t>Review of medical physiology.</w:t>
      </w:r>
      <w:r w:rsidRPr="00AB6D14">
        <w:rPr>
          <w:rFonts w:ascii="Times New Roman" w:hAnsi="Times New Roman" w:cs="Times New Roman"/>
          <w:sz w:val="24"/>
          <w:szCs w:val="24"/>
        </w:rPr>
        <w:t xml:space="preserve"> (23rd ed). New York: McGraw Hill.</w:t>
      </w:r>
    </w:p>
    <w:p w14:paraId="347CEA88"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Goni, B. W., </w:t>
      </w:r>
      <w:proofErr w:type="spellStart"/>
      <w:r w:rsidRPr="00AB6D14">
        <w:rPr>
          <w:rFonts w:ascii="Times New Roman" w:hAnsi="Times New Roman" w:cs="Times New Roman"/>
          <w:sz w:val="24"/>
          <w:szCs w:val="24"/>
        </w:rPr>
        <w:t>Yusuph</w:t>
      </w:r>
      <w:proofErr w:type="spellEnd"/>
      <w:r w:rsidRPr="00AB6D14">
        <w:rPr>
          <w:rFonts w:ascii="Times New Roman" w:hAnsi="Times New Roman" w:cs="Times New Roman"/>
          <w:sz w:val="24"/>
          <w:szCs w:val="24"/>
        </w:rPr>
        <w:t xml:space="preserve">, H., Mustapha, S. K., Sahabi, M. A., </w:t>
      </w:r>
      <w:proofErr w:type="spellStart"/>
      <w:r w:rsidRPr="00AB6D14">
        <w:rPr>
          <w:rFonts w:ascii="Times New Roman" w:hAnsi="Times New Roman" w:cs="Times New Roman"/>
          <w:sz w:val="24"/>
          <w:szCs w:val="24"/>
        </w:rPr>
        <w:t>Gwalabe</w:t>
      </w:r>
      <w:proofErr w:type="spellEnd"/>
      <w:r w:rsidRPr="00AB6D14">
        <w:rPr>
          <w:rFonts w:ascii="Times New Roman" w:hAnsi="Times New Roman" w:cs="Times New Roman"/>
          <w:sz w:val="24"/>
          <w:szCs w:val="24"/>
        </w:rPr>
        <w:t xml:space="preserve">, S. A., Tahir, A., Bakki, B. &amp; Kida, I. M. (2013). Hepatic transaminase and alkaline phosphatase enzyme levels in HIV/HBV co-infected and HIV mono-infected patients in Maiduguri, Nigeria. </w:t>
      </w:r>
      <w:r w:rsidRPr="00AB6D14">
        <w:rPr>
          <w:rFonts w:ascii="Times New Roman" w:hAnsi="Times New Roman" w:cs="Times New Roman"/>
          <w:i/>
          <w:sz w:val="24"/>
          <w:szCs w:val="24"/>
        </w:rPr>
        <w:t xml:space="preserve">Nigerian Journal of Clinical Practice, </w:t>
      </w:r>
      <w:r w:rsidRPr="00AB6D14">
        <w:rPr>
          <w:rFonts w:ascii="Times New Roman" w:hAnsi="Times New Roman" w:cs="Times New Roman"/>
          <w:sz w:val="24"/>
          <w:szCs w:val="24"/>
        </w:rPr>
        <w:t>16: 530-534.</w:t>
      </w:r>
    </w:p>
    <w:p w14:paraId="373E403E"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Guha, P. &amp; Sardar, P. (2011). Prevalence of </w:t>
      </w:r>
      <w:proofErr w:type="spellStart"/>
      <w:r w:rsidRPr="00AB6D14">
        <w:rPr>
          <w:rFonts w:ascii="Times New Roman" w:hAnsi="Times New Roman" w:cs="Times New Roman"/>
          <w:sz w:val="24"/>
          <w:szCs w:val="24"/>
        </w:rPr>
        <w:t>paediatric</w:t>
      </w:r>
      <w:proofErr w:type="spellEnd"/>
      <w:r w:rsidRPr="00AB6D14">
        <w:rPr>
          <w:rFonts w:ascii="Times New Roman" w:hAnsi="Times New Roman" w:cs="Times New Roman"/>
          <w:sz w:val="24"/>
          <w:szCs w:val="24"/>
        </w:rPr>
        <w:t xml:space="preserve"> HIV infection in Eastern India-first report. </w:t>
      </w:r>
      <w:r w:rsidRPr="00AB6D14">
        <w:rPr>
          <w:rFonts w:ascii="Times New Roman" w:hAnsi="Times New Roman" w:cs="Times New Roman"/>
          <w:i/>
          <w:sz w:val="24"/>
          <w:szCs w:val="24"/>
        </w:rPr>
        <w:t>Journal of AIDS and Clinical Research,</w:t>
      </w:r>
      <w:r w:rsidRPr="00AB6D14">
        <w:rPr>
          <w:rFonts w:ascii="Times New Roman" w:hAnsi="Times New Roman" w:cs="Times New Roman"/>
          <w:sz w:val="24"/>
          <w:szCs w:val="24"/>
        </w:rPr>
        <w:t xml:space="preserve"> 2: 127-135.</w:t>
      </w:r>
    </w:p>
    <w:p w14:paraId="6A33666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Herlitz, L. C., Mohan, S., Stokes, M. B., Radhakrishnan, J., D’Agati, V. D. &amp; Markowitz, G. S. (2010). </w:t>
      </w:r>
      <w:r w:rsidRPr="00AB6D14">
        <w:rPr>
          <w:rFonts w:ascii="Times New Roman" w:hAnsi="Times New Roman" w:cs="Times New Roman"/>
          <w:sz w:val="24"/>
          <w:szCs w:val="24"/>
        </w:rPr>
        <w:t xml:space="preserve">Tenofovir nephrotoxicity: Acute tubular necrosis with distinctive clinical, pathological, and mitochondrial abnormalities. </w:t>
      </w:r>
      <w:r w:rsidRPr="00AB6D14">
        <w:rPr>
          <w:rFonts w:ascii="Times New Roman" w:hAnsi="Times New Roman" w:cs="Times New Roman"/>
          <w:i/>
          <w:sz w:val="24"/>
          <w:szCs w:val="24"/>
        </w:rPr>
        <w:t>Kidney International,</w:t>
      </w:r>
      <w:r w:rsidRPr="00AB6D14">
        <w:rPr>
          <w:rFonts w:ascii="Times New Roman" w:hAnsi="Times New Roman" w:cs="Times New Roman"/>
          <w:sz w:val="24"/>
          <w:szCs w:val="24"/>
        </w:rPr>
        <w:t xml:space="preserve"> 78: 1171-1177.</w:t>
      </w:r>
    </w:p>
    <w:p w14:paraId="50EBB1F7"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Imoka</w:t>
      </w:r>
      <w:proofErr w:type="spellEnd"/>
      <w:r w:rsidRPr="00AB6D14">
        <w:rPr>
          <w:rFonts w:ascii="Times New Roman" w:hAnsi="Times New Roman" w:cs="Times New Roman"/>
          <w:sz w:val="24"/>
          <w:szCs w:val="24"/>
        </w:rPr>
        <w:t xml:space="preserve">, T., </w:t>
      </w:r>
      <w:proofErr w:type="spellStart"/>
      <w:r w:rsidRPr="00AB6D14">
        <w:rPr>
          <w:rFonts w:ascii="Times New Roman" w:hAnsi="Times New Roman" w:cs="Times New Roman"/>
          <w:sz w:val="24"/>
          <w:szCs w:val="24"/>
        </w:rPr>
        <w:t>Kusuhara</w:t>
      </w:r>
      <w:proofErr w:type="spellEnd"/>
      <w:r w:rsidRPr="00AB6D14">
        <w:rPr>
          <w:rFonts w:ascii="Times New Roman" w:hAnsi="Times New Roman" w:cs="Times New Roman"/>
          <w:sz w:val="24"/>
          <w:szCs w:val="24"/>
        </w:rPr>
        <w:t xml:space="preserve">, H., Adachi, M., </w:t>
      </w:r>
      <w:proofErr w:type="spellStart"/>
      <w:r w:rsidRPr="00AB6D14">
        <w:rPr>
          <w:rFonts w:ascii="Times New Roman" w:hAnsi="Times New Roman" w:cs="Times New Roman"/>
          <w:sz w:val="24"/>
          <w:szCs w:val="24"/>
        </w:rPr>
        <w:t>Schuertz</w:t>
      </w:r>
      <w:proofErr w:type="spellEnd"/>
      <w:r w:rsidRPr="00AB6D14">
        <w:rPr>
          <w:rFonts w:ascii="Times New Roman" w:hAnsi="Times New Roman" w:cs="Times New Roman"/>
          <w:sz w:val="24"/>
          <w:szCs w:val="24"/>
        </w:rPr>
        <w:t xml:space="preserve">, J. D., Takeuchi, K. &amp; Sugiyama, Y. (2007). Functional involvement of multidrug resistance-associated protein 4 (MRP4/ABCC4) in the renal </w:t>
      </w:r>
      <w:r w:rsidRPr="00AB6D14">
        <w:rPr>
          <w:rFonts w:ascii="Times New Roman" w:hAnsi="Times New Roman" w:cs="Times New Roman"/>
          <w:sz w:val="24"/>
          <w:szCs w:val="24"/>
        </w:rPr>
        <w:lastRenderedPageBreak/>
        <w:t xml:space="preserve">eliminating of the antiviral drugs </w:t>
      </w:r>
      <w:proofErr w:type="spellStart"/>
      <w:r w:rsidRPr="00AB6D14">
        <w:rPr>
          <w:rFonts w:ascii="Times New Roman" w:hAnsi="Times New Roman" w:cs="Times New Roman"/>
          <w:sz w:val="24"/>
          <w:szCs w:val="24"/>
        </w:rPr>
        <w:t>adefoviral</w:t>
      </w:r>
      <w:proofErr w:type="spellEnd"/>
      <w:r w:rsidRPr="00AB6D14">
        <w:rPr>
          <w:rFonts w:ascii="Times New Roman" w:hAnsi="Times New Roman" w:cs="Times New Roman"/>
          <w:sz w:val="24"/>
          <w:szCs w:val="24"/>
        </w:rPr>
        <w:t xml:space="preserve"> and tenofovir.  </w:t>
      </w:r>
      <w:r w:rsidRPr="00AB6D14">
        <w:rPr>
          <w:rFonts w:ascii="Times New Roman" w:hAnsi="Times New Roman" w:cs="Times New Roman"/>
          <w:i/>
          <w:sz w:val="24"/>
          <w:szCs w:val="24"/>
        </w:rPr>
        <w:t>Molecular</w:t>
      </w:r>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 xml:space="preserve">Pharmacology, </w:t>
      </w:r>
      <w:r w:rsidRPr="00AB6D14">
        <w:rPr>
          <w:rFonts w:ascii="Times New Roman" w:hAnsi="Times New Roman" w:cs="Times New Roman"/>
          <w:sz w:val="24"/>
          <w:szCs w:val="24"/>
        </w:rPr>
        <w:t>71(2): 619-627.</w:t>
      </w:r>
    </w:p>
    <w:p w14:paraId="7D172DF0"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Iniaghe</w:t>
      </w:r>
      <w:proofErr w:type="spellEnd"/>
      <w:r w:rsidRPr="00AB6D14">
        <w:rPr>
          <w:rFonts w:ascii="Times New Roman" w:hAnsi="Times New Roman" w:cs="Times New Roman"/>
          <w:sz w:val="24"/>
          <w:szCs w:val="24"/>
        </w:rPr>
        <w:t xml:space="preserve">, O. M., </w:t>
      </w:r>
      <w:proofErr w:type="spellStart"/>
      <w:r w:rsidRPr="00AB6D14">
        <w:rPr>
          <w:rFonts w:ascii="Times New Roman" w:hAnsi="Times New Roman" w:cs="Times New Roman"/>
          <w:sz w:val="24"/>
          <w:szCs w:val="24"/>
        </w:rPr>
        <w:t>Malomo</w:t>
      </w:r>
      <w:proofErr w:type="spellEnd"/>
      <w:r w:rsidRPr="00AB6D14">
        <w:rPr>
          <w:rFonts w:ascii="Times New Roman" w:hAnsi="Times New Roman" w:cs="Times New Roman"/>
          <w:sz w:val="24"/>
          <w:szCs w:val="24"/>
        </w:rPr>
        <w:t xml:space="preserve">, S. O. &amp; Adebayo, J. O. (2008). </w:t>
      </w:r>
      <w:proofErr w:type="spellStart"/>
      <w:r w:rsidRPr="00AB6D14">
        <w:rPr>
          <w:rFonts w:ascii="Times New Roman" w:hAnsi="Times New Roman" w:cs="Times New Roman"/>
          <w:sz w:val="24"/>
          <w:szCs w:val="24"/>
        </w:rPr>
        <w:t>Hepatroprotective</w:t>
      </w:r>
      <w:proofErr w:type="spellEnd"/>
      <w:r w:rsidRPr="00AB6D14">
        <w:rPr>
          <w:rFonts w:ascii="Times New Roman" w:hAnsi="Times New Roman" w:cs="Times New Roman"/>
          <w:sz w:val="24"/>
          <w:szCs w:val="24"/>
        </w:rPr>
        <w:t xml:space="preserve"> effect of the aqueous extract of leaves of </w:t>
      </w:r>
      <w:r w:rsidRPr="00AB6D14">
        <w:rPr>
          <w:rFonts w:ascii="Times New Roman" w:hAnsi="Times New Roman" w:cs="Times New Roman"/>
          <w:i/>
          <w:sz w:val="24"/>
          <w:szCs w:val="24"/>
        </w:rPr>
        <w:t>Acalypha racemosa</w:t>
      </w:r>
      <w:r w:rsidRPr="00AB6D14">
        <w:rPr>
          <w:rFonts w:ascii="Times New Roman" w:hAnsi="Times New Roman" w:cs="Times New Roman"/>
          <w:sz w:val="24"/>
          <w:szCs w:val="24"/>
        </w:rPr>
        <w:t xml:space="preserve"> in carbon tetrachloride treated rats. </w:t>
      </w:r>
      <w:r w:rsidRPr="00AB6D14">
        <w:rPr>
          <w:rFonts w:ascii="Times New Roman" w:hAnsi="Times New Roman" w:cs="Times New Roman"/>
          <w:i/>
          <w:sz w:val="24"/>
          <w:szCs w:val="24"/>
        </w:rPr>
        <w:t xml:space="preserve">International Research Journal of Plant Science, </w:t>
      </w:r>
      <w:r w:rsidRPr="00AB6D14">
        <w:rPr>
          <w:rFonts w:ascii="Times New Roman" w:hAnsi="Times New Roman" w:cs="Times New Roman"/>
          <w:sz w:val="24"/>
          <w:szCs w:val="24"/>
        </w:rPr>
        <w:t>2: 301-305.</w:t>
      </w:r>
    </w:p>
    <w:p w14:paraId="7D4A4EE3"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International Federation of Clinical Chemistry, IFCC (1986). Method for the measurement of catalytic concentration of enzymes.</w:t>
      </w:r>
      <w:r w:rsidRPr="00AB6D14">
        <w:rPr>
          <w:rFonts w:ascii="Times New Roman" w:hAnsi="Times New Roman" w:cs="Times New Roman"/>
          <w:i/>
          <w:sz w:val="24"/>
          <w:szCs w:val="24"/>
        </w:rPr>
        <w:t xml:space="preserve"> Journal of Clinical Chemistry and Biochemistry, </w:t>
      </w:r>
      <w:r w:rsidRPr="00AB6D14">
        <w:rPr>
          <w:rFonts w:ascii="Times New Roman" w:hAnsi="Times New Roman" w:cs="Times New Roman"/>
          <w:sz w:val="24"/>
          <w:szCs w:val="24"/>
        </w:rPr>
        <w:t>24: 498-507.</w:t>
      </w:r>
    </w:p>
    <w:p w14:paraId="26C160A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Jendrassik</w:t>
      </w:r>
      <w:proofErr w:type="spellEnd"/>
      <w:r w:rsidRPr="00AB6D14">
        <w:rPr>
          <w:rFonts w:ascii="Times New Roman" w:hAnsi="Times New Roman" w:cs="Times New Roman"/>
          <w:sz w:val="24"/>
          <w:szCs w:val="24"/>
        </w:rPr>
        <w:t xml:space="preserve">, L. &amp; Grof, P. (1938). Estimation of total serum bilirubin level by Spectrophotometrically in serum and plasma. </w:t>
      </w:r>
      <w:r w:rsidRPr="00AB6D14">
        <w:rPr>
          <w:rFonts w:ascii="Times New Roman" w:hAnsi="Times New Roman" w:cs="Times New Roman"/>
          <w:i/>
          <w:sz w:val="24"/>
          <w:szCs w:val="24"/>
        </w:rPr>
        <w:t xml:space="preserve">Biochemistry Journal, </w:t>
      </w:r>
      <w:r w:rsidRPr="00AB6D14">
        <w:rPr>
          <w:rFonts w:ascii="Times New Roman" w:hAnsi="Times New Roman" w:cs="Times New Roman"/>
          <w:sz w:val="24"/>
          <w:szCs w:val="24"/>
        </w:rPr>
        <w:t>297: 82-89.</w:t>
      </w:r>
    </w:p>
    <w:p w14:paraId="63A6198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Kaspar, D. L., </w:t>
      </w:r>
      <w:proofErr w:type="spellStart"/>
      <w:r w:rsidRPr="00AB6D14">
        <w:rPr>
          <w:rFonts w:ascii="Times New Roman" w:hAnsi="Times New Roman" w:cs="Times New Roman"/>
          <w:sz w:val="24"/>
          <w:szCs w:val="24"/>
        </w:rPr>
        <w:t>Brawald</w:t>
      </w:r>
      <w:proofErr w:type="spellEnd"/>
      <w:r w:rsidRPr="00AB6D14">
        <w:rPr>
          <w:rFonts w:ascii="Times New Roman" w:hAnsi="Times New Roman" w:cs="Times New Roman"/>
          <w:sz w:val="24"/>
          <w:szCs w:val="24"/>
        </w:rPr>
        <w:t xml:space="preserve">, E., Farci, A. S., Hauser, S. L., Longo, D. L., Loscalzo, J. &amp; Jameson, J. L. (2017). </w:t>
      </w:r>
      <w:r w:rsidRPr="00AB6D14">
        <w:rPr>
          <w:rFonts w:ascii="Times New Roman" w:hAnsi="Times New Roman" w:cs="Times New Roman"/>
          <w:i/>
          <w:sz w:val="24"/>
          <w:szCs w:val="24"/>
        </w:rPr>
        <w:t xml:space="preserve">Harrison’s principles of internal medicine. </w:t>
      </w:r>
      <w:r w:rsidRPr="00AB6D14">
        <w:rPr>
          <w:rFonts w:ascii="Times New Roman" w:hAnsi="Times New Roman" w:cs="Times New Roman"/>
          <w:sz w:val="24"/>
          <w:szCs w:val="24"/>
        </w:rPr>
        <w:t>(19th ed.). New York: McGraw-Hill, 2770Pp.</w:t>
      </w:r>
    </w:p>
    <w:p w14:paraId="762DF34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Kateregga, J. N., Atuheire, C., Nalunga, J. &amp; James, N. (2018). </w:t>
      </w:r>
      <w:r w:rsidRPr="00AB6D14">
        <w:rPr>
          <w:rFonts w:ascii="Times New Roman" w:hAnsi="Times New Roman" w:cs="Times New Roman"/>
          <w:sz w:val="24"/>
          <w:szCs w:val="24"/>
        </w:rPr>
        <w:t xml:space="preserve">Effect of antiretroviral drugs on the renal function of HIV seropositive patients attending ISS clinic of Mulago Hospital, Uganda. </w:t>
      </w:r>
      <w:r w:rsidRPr="00AB6D14">
        <w:rPr>
          <w:rFonts w:ascii="Times New Roman" w:hAnsi="Times New Roman" w:cs="Times New Roman"/>
          <w:i/>
          <w:sz w:val="24"/>
          <w:szCs w:val="24"/>
        </w:rPr>
        <w:t xml:space="preserve">Annals of Biotechnology, </w:t>
      </w:r>
      <w:r w:rsidRPr="00AB6D14">
        <w:rPr>
          <w:rFonts w:ascii="Times New Roman" w:hAnsi="Times New Roman" w:cs="Times New Roman"/>
          <w:sz w:val="24"/>
          <w:szCs w:val="24"/>
        </w:rPr>
        <w:t>4: 1016-1028.</w:t>
      </w:r>
    </w:p>
    <w:p w14:paraId="5BDA130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Kayode, A. A., Kayode, O. T., Aroyeun, O. A. &amp; Stephen, M. C. (2011). </w:t>
      </w:r>
      <w:proofErr w:type="spellStart"/>
      <w:r w:rsidRPr="00AB6D14">
        <w:rPr>
          <w:rFonts w:ascii="Times New Roman" w:hAnsi="Times New Roman" w:cs="Times New Roman"/>
          <w:sz w:val="24"/>
          <w:szCs w:val="24"/>
        </w:rPr>
        <w:t>Haematologic</w:t>
      </w:r>
      <w:proofErr w:type="spellEnd"/>
      <w:r w:rsidRPr="00AB6D14">
        <w:rPr>
          <w:rFonts w:ascii="Times New Roman" w:hAnsi="Times New Roman" w:cs="Times New Roman"/>
          <w:sz w:val="24"/>
          <w:szCs w:val="24"/>
        </w:rPr>
        <w:t xml:space="preserve"> and hepatic enzymes alterations associated with acute administration of antiretroviral drugs. </w:t>
      </w:r>
      <w:r w:rsidRPr="00AB6D14">
        <w:rPr>
          <w:rFonts w:ascii="Times New Roman" w:hAnsi="Times New Roman" w:cs="Times New Roman"/>
          <w:i/>
          <w:sz w:val="24"/>
          <w:szCs w:val="24"/>
        </w:rPr>
        <w:t xml:space="preserve">Journal of Pharmacology and Toxicology, </w:t>
      </w:r>
      <w:r w:rsidRPr="00AB6D14">
        <w:rPr>
          <w:rFonts w:ascii="Times New Roman" w:hAnsi="Times New Roman" w:cs="Times New Roman"/>
          <w:sz w:val="24"/>
          <w:szCs w:val="24"/>
        </w:rPr>
        <w:t>6: 293-302.</w:t>
      </w:r>
    </w:p>
    <w:p w14:paraId="5819BF19"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Kharsany</w:t>
      </w:r>
      <w:proofErr w:type="spellEnd"/>
      <w:r w:rsidRPr="00AB6D14">
        <w:rPr>
          <w:rFonts w:ascii="Times New Roman" w:hAnsi="Times New Roman" w:cs="Times New Roman"/>
          <w:sz w:val="24"/>
          <w:szCs w:val="24"/>
        </w:rPr>
        <w:t xml:space="preserve">, A. B. M. &amp; Karim, Q. A. (2017). HIV Infection and AIDS in </w:t>
      </w:r>
      <w:proofErr w:type="spellStart"/>
      <w:r w:rsidRPr="00AB6D14">
        <w:rPr>
          <w:rFonts w:ascii="Times New Roman" w:hAnsi="Times New Roman" w:cs="Times New Roman"/>
          <w:sz w:val="24"/>
          <w:szCs w:val="24"/>
        </w:rPr>
        <w:t>sub-saharan</w:t>
      </w:r>
      <w:proofErr w:type="spellEnd"/>
      <w:r w:rsidRPr="00AB6D14">
        <w:rPr>
          <w:rFonts w:ascii="Times New Roman" w:hAnsi="Times New Roman" w:cs="Times New Roman"/>
          <w:sz w:val="24"/>
          <w:szCs w:val="24"/>
        </w:rPr>
        <w:t xml:space="preserve"> African: Current status, challenges and opportunities. </w:t>
      </w:r>
      <w:r w:rsidRPr="00AB6D14">
        <w:rPr>
          <w:rFonts w:ascii="Times New Roman" w:hAnsi="Times New Roman" w:cs="Times New Roman"/>
          <w:i/>
          <w:sz w:val="24"/>
          <w:szCs w:val="24"/>
        </w:rPr>
        <w:t xml:space="preserve">Open AIDS Journal, </w:t>
      </w:r>
      <w:r w:rsidRPr="00AB6D14">
        <w:rPr>
          <w:rFonts w:ascii="Times New Roman" w:hAnsi="Times New Roman" w:cs="Times New Roman"/>
          <w:sz w:val="24"/>
          <w:szCs w:val="24"/>
        </w:rPr>
        <w:t>10: 34-48.</w:t>
      </w:r>
    </w:p>
    <w:p w14:paraId="6EC5191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Kiser, J. J. Carten, M. L. &amp; Aquilante, C. L. (2008). </w:t>
      </w:r>
      <w:r w:rsidRPr="00AB6D14">
        <w:rPr>
          <w:rFonts w:ascii="Times New Roman" w:hAnsi="Times New Roman" w:cs="Times New Roman"/>
          <w:sz w:val="24"/>
          <w:szCs w:val="24"/>
        </w:rPr>
        <w:t xml:space="preserve">The effect of lopinavir/ritonavir on the renal clearance of </w:t>
      </w:r>
      <w:proofErr w:type="spellStart"/>
      <w:r w:rsidRPr="00AB6D14">
        <w:rPr>
          <w:rFonts w:ascii="Times New Roman" w:hAnsi="Times New Roman" w:cs="Times New Roman"/>
          <w:sz w:val="24"/>
          <w:szCs w:val="24"/>
        </w:rPr>
        <w:t>tenorfovir</w:t>
      </w:r>
      <w:proofErr w:type="spellEnd"/>
      <w:r w:rsidRPr="00AB6D14">
        <w:rPr>
          <w:rFonts w:ascii="Times New Roman" w:hAnsi="Times New Roman" w:cs="Times New Roman"/>
          <w:sz w:val="24"/>
          <w:szCs w:val="24"/>
        </w:rPr>
        <w:t xml:space="preserve"> in HIV-infected patients. </w:t>
      </w:r>
      <w:r w:rsidRPr="00AB6D14">
        <w:rPr>
          <w:rFonts w:ascii="Times New Roman" w:hAnsi="Times New Roman" w:cs="Times New Roman"/>
          <w:i/>
          <w:sz w:val="24"/>
          <w:szCs w:val="24"/>
        </w:rPr>
        <w:t>Journal of Clinical Pharmacology and Therapeutics,</w:t>
      </w:r>
      <w:r w:rsidRPr="00AB6D14">
        <w:rPr>
          <w:rFonts w:ascii="Times New Roman" w:hAnsi="Times New Roman" w:cs="Times New Roman"/>
          <w:sz w:val="24"/>
          <w:szCs w:val="24"/>
        </w:rPr>
        <w:t xml:space="preserve"> 83(2): 265-272.</w:t>
      </w:r>
    </w:p>
    <w:p w14:paraId="1A5F8C1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Kohler, J. J., Hosseni, S. H. &amp; Green, E. (2011). </w:t>
      </w:r>
      <w:r w:rsidRPr="00AB6D14">
        <w:rPr>
          <w:rFonts w:ascii="Times New Roman" w:hAnsi="Times New Roman" w:cs="Times New Roman"/>
          <w:sz w:val="24"/>
          <w:szCs w:val="24"/>
        </w:rPr>
        <w:t>Tenofovir renal proximal tubular toxicity is regulated by OATI and MRP4 transporters.</w:t>
      </w:r>
      <w:r w:rsidRPr="00AB6D14">
        <w:rPr>
          <w:rFonts w:ascii="Times New Roman" w:hAnsi="Times New Roman" w:cs="Times New Roman"/>
          <w:i/>
          <w:sz w:val="24"/>
          <w:szCs w:val="24"/>
        </w:rPr>
        <w:t xml:space="preserve"> Laboratory Investigation, </w:t>
      </w:r>
      <w:r w:rsidRPr="00AB6D14">
        <w:rPr>
          <w:rFonts w:ascii="Times New Roman" w:hAnsi="Times New Roman" w:cs="Times New Roman"/>
          <w:sz w:val="24"/>
          <w:szCs w:val="24"/>
        </w:rPr>
        <w:t>91: 852-859.</w:t>
      </w:r>
    </w:p>
    <w:p w14:paraId="5E8E7CB6"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Kumar, R. S., Sivakumar, T., </w:t>
      </w:r>
      <w:proofErr w:type="spellStart"/>
      <w:r w:rsidRPr="00AB6D14">
        <w:rPr>
          <w:rFonts w:ascii="Times New Roman" w:hAnsi="Times New Roman" w:cs="Times New Roman"/>
          <w:sz w:val="24"/>
          <w:szCs w:val="24"/>
        </w:rPr>
        <w:t>Sunderan</w:t>
      </w:r>
      <w:proofErr w:type="spellEnd"/>
      <w:r w:rsidRPr="00AB6D14">
        <w:rPr>
          <w:rFonts w:ascii="Times New Roman" w:hAnsi="Times New Roman" w:cs="Times New Roman"/>
          <w:sz w:val="24"/>
          <w:szCs w:val="24"/>
        </w:rPr>
        <w:t xml:space="preserve">, R. S., Gupta, M., Mazumdar, U. K. &amp; Gomathi, P. (2005). Antioxidant and antimicrobial activities of </w:t>
      </w:r>
      <w:r w:rsidRPr="00AB6D14">
        <w:rPr>
          <w:rFonts w:ascii="Times New Roman" w:hAnsi="Times New Roman" w:cs="Times New Roman"/>
          <w:i/>
          <w:sz w:val="24"/>
          <w:szCs w:val="24"/>
        </w:rPr>
        <w:t>Bauhinia racemosa</w:t>
      </w:r>
      <w:r w:rsidRPr="00AB6D14">
        <w:rPr>
          <w:rFonts w:ascii="Times New Roman" w:hAnsi="Times New Roman" w:cs="Times New Roman"/>
          <w:sz w:val="24"/>
          <w:szCs w:val="24"/>
        </w:rPr>
        <w:t xml:space="preserve"> L. Stem bark. </w:t>
      </w:r>
      <w:r w:rsidRPr="00AB6D14">
        <w:rPr>
          <w:rFonts w:ascii="Times New Roman" w:hAnsi="Times New Roman" w:cs="Times New Roman"/>
          <w:i/>
          <w:sz w:val="24"/>
          <w:szCs w:val="24"/>
        </w:rPr>
        <w:t>Brazilian Journal of Medical and Biological Research,</w:t>
      </w:r>
      <w:r w:rsidRPr="00AB6D14">
        <w:rPr>
          <w:rFonts w:ascii="Times New Roman" w:hAnsi="Times New Roman" w:cs="Times New Roman"/>
          <w:sz w:val="24"/>
          <w:szCs w:val="24"/>
        </w:rPr>
        <w:t xml:space="preserve"> 38: 1015-1024. </w:t>
      </w:r>
    </w:p>
    <w:p w14:paraId="1B5345F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Lucien, K. F. H., Clement, A. N. J., Fon, N. P., </w:t>
      </w:r>
      <w:proofErr w:type="spellStart"/>
      <w:r w:rsidRPr="00AB6D14">
        <w:rPr>
          <w:rFonts w:ascii="Times New Roman" w:hAnsi="Times New Roman" w:cs="Times New Roman"/>
          <w:sz w:val="24"/>
          <w:szCs w:val="24"/>
        </w:rPr>
        <w:t>Weledji</w:t>
      </w:r>
      <w:proofErr w:type="spellEnd"/>
      <w:r w:rsidRPr="00AB6D14">
        <w:rPr>
          <w:rFonts w:ascii="Times New Roman" w:hAnsi="Times New Roman" w:cs="Times New Roman"/>
          <w:sz w:val="24"/>
          <w:szCs w:val="24"/>
        </w:rPr>
        <w:t xml:space="preserve">, P. &amp; </w:t>
      </w:r>
      <w:proofErr w:type="spellStart"/>
      <w:r w:rsidRPr="00AB6D14">
        <w:rPr>
          <w:rFonts w:ascii="Times New Roman" w:hAnsi="Times New Roman" w:cs="Times New Roman"/>
          <w:sz w:val="24"/>
          <w:szCs w:val="24"/>
        </w:rPr>
        <w:t>Ndikvu</w:t>
      </w:r>
      <w:proofErr w:type="spellEnd"/>
      <w:r w:rsidRPr="00AB6D14">
        <w:rPr>
          <w:rFonts w:ascii="Times New Roman" w:hAnsi="Times New Roman" w:cs="Times New Roman"/>
          <w:sz w:val="24"/>
          <w:szCs w:val="24"/>
        </w:rPr>
        <w:t xml:space="preserve">, C. P. (2010). The effects of antiretroviral treatment on liver function enzymes among HIV-infected out patients attending the central hospital of </w:t>
      </w:r>
      <w:proofErr w:type="spellStart"/>
      <w:r w:rsidRPr="00AB6D14">
        <w:rPr>
          <w:rFonts w:ascii="Times New Roman" w:hAnsi="Times New Roman" w:cs="Times New Roman"/>
          <w:sz w:val="24"/>
          <w:szCs w:val="24"/>
        </w:rPr>
        <w:t>Yaounde</w:t>
      </w:r>
      <w:proofErr w:type="spellEnd"/>
      <w:r w:rsidRPr="00AB6D14">
        <w:rPr>
          <w:rFonts w:ascii="Times New Roman" w:hAnsi="Times New Roman" w:cs="Times New Roman"/>
          <w:sz w:val="24"/>
          <w:szCs w:val="24"/>
        </w:rPr>
        <w:t xml:space="preserve">, Cameroon. </w:t>
      </w:r>
      <w:r w:rsidRPr="00AB6D14">
        <w:rPr>
          <w:rFonts w:ascii="Times New Roman" w:hAnsi="Times New Roman" w:cs="Times New Roman"/>
          <w:i/>
          <w:sz w:val="24"/>
          <w:szCs w:val="24"/>
        </w:rPr>
        <w:t>African Journal of Clinical and Experimental Microbiology,</w:t>
      </w:r>
      <w:r w:rsidRPr="00AB6D14">
        <w:rPr>
          <w:rFonts w:ascii="Times New Roman" w:hAnsi="Times New Roman" w:cs="Times New Roman"/>
          <w:sz w:val="24"/>
          <w:szCs w:val="24"/>
        </w:rPr>
        <w:t xml:space="preserve"> 11(3): 174-178.</w:t>
      </w:r>
    </w:p>
    <w:p w14:paraId="64AF9AC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Lundgren, J. D., Babiker, A G., Gordin, F., Emery, S. &amp; Grund, B. (2015). Initiation of antiretroviral therapy in early asymptomatic HIV infection. New England Journal of Medicine, 373: 795-807.</w:t>
      </w:r>
    </w:p>
    <w:p w14:paraId="3FD2794C"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Muchowski, K. E. (2014). Evaluation and treatment of neonatal hyperbilirubinemia. </w:t>
      </w:r>
      <w:r w:rsidRPr="00AB6D14">
        <w:rPr>
          <w:rFonts w:ascii="Times New Roman" w:hAnsi="Times New Roman" w:cs="Times New Roman"/>
          <w:i/>
          <w:sz w:val="24"/>
          <w:szCs w:val="24"/>
        </w:rPr>
        <w:t>American Family Physician,</w:t>
      </w:r>
      <w:r w:rsidRPr="00AB6D14">
        <w:rPr>
          <w:rFonts w:ascii="Times New Roman" w:hAnsi="Times New Roman" w:cs="Times New Roman"/>
          <w:sz w:val="24"/>
          <w:szCs w:val="24"/>
        </w:rPr>
        <w:t xml:space="preserve"> 89(11): 873-878.</w:t>
      </w:r>
    </w:p>
    <w:p w14:paraId="088435C0"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Mugusi, S., Ngaimisi, E., Janabi, M., Minzi, O., Bakari, M. &amp; Riedel, K. D. (2012).  </w:t>
      </w:r>
      <w:r w:rsidRPr="00AB6D14">
        <w:rPr>
          <w:rFonts w:ascii="Times New Roman" w:hAnsi="Times New Roman" w:cs="Times New Roman"/>
          <w:sz w:val="24"/>
          <w:szCs w:val="24"/>
        </w:rPr>
        <w:t xml:space="preserve">Liver enzyme abnormalities and associated risk factors in HIV patients on efavirenz-based HAART with or without tuberculosis co-infection in Tanzania. </w:t>
      </w:r>
      <w:proofErr w:type="spellStart"/>
      <w:r w:rsidRPr="00AB6D14">
        <w:rPr>
          <w:rFonts w:ascii="Times New Roman" w:hAnsi="Times New Roman" w:cs="Times New Roman"/>
          <w:i/>
          <w:sz w:val="24"/>
          <w:szCs w:val="24"/>
        </w:rPr>
        <w:t>Plos</w:t>
      </w:r>
      <w:proofErr w:type="spellEnd"/>
      <w:r w:rsidRPr="00AB6D14">
        <w:rPr>
          <w:rFonts w:ascii="Times New Roman" w:hAnsi="Times New Roman" w:cs="Times New Roman"/>
          <w:i/>
          <w:sz w:val="24"/>
          <w:szCs w:val="24"/>
        </w:rPr>
        <w:t xml:space="preserve"> One, </w:t>
      </w:r>
      <w:r w:rsidRPr="00AB6D14">
        <w:rPr>
          <w:rFonts w:ascii="Times New Roman" w:hAnsi="Times New Roman" w:cs="Times New Roman"/>
          <w:sz w:val="24"/>
          <w:szCs w:val="24"/>
        </w:rPr>
        <w:t>7(7): 40180-40187.</w:t>
      </w:r>
    </w:p>
    <w:p w14:paraId="530EB1C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Nathwani, R. A., Pais, S., Reynolds, T. B. &amp; Kaplowitz, N. (2005). Serum alanine aminotransferase in skeletal muscle diseases. </w:t>
      </w:r>
      <w:r w:rsidRPr="00AB6D14">
        <w:rPr>
          <w:rFonts w:ascii="Times New Roman" w:hAnsi="Times New Roman" w:cs="Times New Roman"/>
          <w:i/>
          <w:sz w:val="24"/>
          <w:szCs w:val="24"/>
        </w:rPr>
        <w:t>Hepatology</w:t>
      </w:r>
      <w:r w:rsidRPr="00AB6D14">
        <w:rPr>
          <w:rFonts w:ascii="Times New Roman" w:hAnsi="Times New Roman" w:cs="Times New Roman"/>
          <w:sz w:val="24"/>
          <w:szCs w:val="24"/>
        </w:rPr>
        <w:t>, 41: 380-382.</w:t>
      </w:r>
    </w:p>
    <w:p w14:paraId="75C6435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O’Connell, T., Horita, T. &amp; Kasravi, B. (2005). Understanding and interpreting serum protein electrophoresis. </w:t>
      </w:r>
      <w:r w:rsidRPr="00AB6D14">
        <w:rPr>
          <w:rFonts w:ascii="Times New Roman" w:hAnsi="Times New Roman" w:cs="Times New Roman"/>
          <w:i/>
          <w:sz w:val="24"/>
          <w:szCs w:val="24"/>
        </w:rPr>
        <w:t>American Family Physician,</w:t>
      </w:r>
      <w:r w:rsidRPr="00AB6D14">
        <w:rPr>
          <w:rFonts w:ascii="Times New Roman" w:hAnsi="Times New Roman" w:cs="Times New Roman"/>
          <w:sz w:val="24"/>
          <w:szCs w:val="24"/>
        </w:rPr>
        <w:t xml:space="preserve"> 71(1): 105-112.</w:t>
      </w:r>
    </w:p>
    <w:p w14:paraId="5212D8C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Ogunro</w:t>
      </w:r>
      <w:proofErr w:type="spellEnd"/>
      <w:r w:rsidRPr="00AB6D14">
        <w:rPr>
          <w:rFonts w:ascii="Times New Roman" w:hAnsi="Times New Roman" w:cs="Times New Roman"/>
          <w:sz w:val="24"/>
          <w:szCs w:val="24"/>
        </w:rPr>
        <w:t xml:space="preserve">, P. S., </w:t>
      </w:r>
      <w:proofErr w:type="spellStart"/>
      <w:r w:rsidRPr="00AB6D14">
        <w:rPr>
          <w:rFonts w:ascii="Times New Roman" w:hAnsi="Times New Roman" w:cs="Times New Roman"/>
          <w:sz w:val="24"/>
          <w:szCs w:val="24"/>
        </w:rPr>
        <w:t>Oparinde</w:t>
      </w:r>
      <w:proofErr w:type="spellEnd"/>
      <w:r w:rsidRPr="00AB6D14">
        <w:rPr>
          <w:rFonts w:ascii="Times New Roman" w:hAnsi="Times New Roman" w:cs="Times New Roman"/>
          <w:sz w:val="24"/>
          <w:szCs w:val="24"/>
        </w:rPr>
        <w:t xml:space="preserve">, D. P. &amp; </w:t>
      </w:r>
      <w:proofErr w:type="spellStart"/>
      <w:r w:rsidRPr="00AB6D14">
        <w:rPr>
          <w:rFonts w:ascii="Times New Roman" w:hAnsi="Times New Roman" w:cs="Times New Roman"/>
          <w:sz w:val="24"/>
          <w:szCs w:val="24"/>
        </w:rPr>
        <w:t>Okesina</w:t>
      </w:r>
      <w:proofErr w:type="spellEnd"/>
      <w:r w:rsidRPr="00AB6D14">
        <w:rPr>
          <w:rFonts w:ascii="Times New Roman" w:hAnsi="Times New Roman" w:cs="Times New Roman"/>
          <w:sz w:val="24"/>
          <w:szCs w:val="24"/>
        </w:rPr>
        <w:t xml:space="preserve">, A. B. (2005). Liver function tests in HIV-I infected asymptomatic patients and HIV-I AIDS patients without hepatomegaly in Lagos, Nigeria. </w:t>
      </w:r>
      <w:r w:rsidRPr="00AB6D14">
        <w:rPr>
          <w:rFonts w:ascii="Times New Roman" w:hAnsi="Times New Roman" w:cs="Times New Roman"/>
          <w:i/>
          <w:sz w:val="24"/>
          <w:szCs w:val="24"/>
        </w:rPr>
        <w:t>African Journal of Clinical and Experimental Microbiology,</w:t>
      </w:r>
      <w:r w:rsidRPr="00AB6D14">
        <w:rPr>
          <w:rFonts w:ascii="Times New Roman" w:hAnsi="Times New Roman" w:cs="Times New Roman"/>
          <w:sz w:val="24"/>
          <w:szCs w:val="24"/>
        </w:rPr>
        <w:t xml:space="preserve"> 6(1): 40-45.</w:t>
      </w:r>
    </w:p>
    <w:p w14:paraId="3812C7D2"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lastRenderedPageBreak/>
        <w:t xml:space="preserve">Oladipo, E. K., Afolabi, A. Y., </w:t>
      </w:r>
      <w:proofErr w:type="spellStart"/>
      <w:r w:rsidRPr="00AB6D14">
        <w:rPr>
          <w:rFonts w:ascii="Times New Roman" w:hAnsi="Times New Roman" w:cs="Times New Roman"/>
          <w:sz w:val="24"/>
          <w:szCs w:val="24"/>
        </w:rPr>
        <w:t>Omomowo</w:t>
      </w:r>
      <w:proofErr w:type="spellEnd"/>
      <w:r w:rsidRPr="00AB6D14">
        <w:rPr>
          <w:rFonts w:ascii="Times New Roman" w:hAnsi="Times New Roman" w:cs="Times New Roman"/>
          <w:sz w:val="24"/>
          <w:szCs w:val="24"/>
        </w:rPr>
        <w:t xml:space="preserve">, I. O., </w:t>
      </w:r>
      <w:proofErr w:type="spellStart"/>
      <w:r w:rsidRPr="00AB6D14">
        <w:rPr>
          <w:rFonts w:ascii="Times New Roman" w:hAnsi="Times New Roman" w:cs="Times New Roman"/>
          <w:sz w:val="24"/>
          <w:szCs w:val="24"/>
        </w:rPr>
        <w:t>Oloke</w:t>
      </w:r>
      <w:proofErr w:type="spellEnd"/>
      <w:r w:rsidRPr="00AB6D14">
        <w:rPr>
          <w:rFonts w:ascii="Times New Roman" w:hAnsi="Times New Roman" w:cs="Times New Roman"/>
          <w:sz w:val="24"/>
          <w:szCs w:val="24"/>
        </w:rPr>
        <w:t xml:space="preserve">, J. K. &amp; </w:t>
      </w:r>
      <w:proofErr w:type="spellStart"/>
      <w:r w:rsidRPr="00AB6D14">
        <w:rPr>
          <w:rFonts w:ascii="Times New Roman" w:hAnsi="Times New Roman" w:cs="Times New Roman"/>
          <w:sz w:val="24"/>
          <w:szCs w:val="24"/>
        </w:rPr>
        <w:t>Awoyelu</w:t>
      </w:r>
      <w:proofErr w:type="spellEnd"/>
      <w:r w:rsidRPr="00AB6D14">
        <w:rPr>
          <w:rFonts w:ascii="Times New Roman" w:hAnsi="Times New Roman" w:cs="Times New Roman"/>
          <w:sz w:val="24"/>
          <w:szCs w:val="24"/>
        </w:rPr>
        <w:t xml:space="preserve">, E. H. (2016). Biochemical markers of the liver of male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on oral administration of nevirapine suspension. </w:t>
      </w:r>
      <w:r w:rsidRPr="00AB6D14">
        <w:rPr>
          <w:rFonts w:ascii="Times New Roman" w:hAnsi="Times New Roman" w:cs="Times New Roman"/>
          <w:i/>
          <w:sz w:val="24"/>
          <w:szCs w:val="24"/>
        </w:rPr>
        <w:t>African Journal of Clinical and Experimental Microbiology,</w:t>
      </w:r>
      <w:r w:rsidRPr="00AB6D14">
        <w:rPr>
          <w:rFonts w:ascii="Times New Roman" w:hAnsi="Times New Roman" w:cs="Times New Roman"/>
          <w:sz w:val="24"/>
          <w:szCs w:val="24"/>
        </w:rPr>
        <w:t xml:space="preserve"> 17(1): 53-61.</w:t>
      </w:r>
    </w:p>
    <w:p w14:paraId="43889D5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Onodugo</w:t>
      </w:r>
      <w:proofErr w:type="spellEnd"/>
      <w:r w:rsidRPr="00AB6D14">
        <w:rPr>
          <w:rFonts w:ascii="Times New Roman" w:hAnsi="Times New Roman" w:cs="Times New Roman"/>
          <w:sz w:val="24"/>
          <w:szCs w:val="24"/>
        </w:rPr>
        <w:t xml:space="preserve">, O. D., Chukwuka, C., </w:t>
      </w:r>
      <w:proofErr w:type="spellStart"/>
      <w:r w:rsidRPr="00AB6D14">
        <w:rPr>
          <w:rFonts w:ascii="Times New Roman" w:hAnsi="Times New Roman" w:cs="Times New Roman"/>
          <w:sz w:val="24"/>
          <w:szCs w:val="24"/>
        </w:rPr>
        <w:t>Onyedum</w:t>
      </w:r>
      <w:proofErr w:type="spellEnd"/>
      <w:r w:rsidRPr="00AB6D14">
        <w:rPr>
          <w:rFonts w:ascii="Times New Roman" w:hAnsi="Times New Roman" w:cs="Times New Roman"/>
          <w:sz w:val="24"/>
          <w:szCs w:val="24"/>
        </w:rPr>
        <w:t xml:space="preserve">, C., Ejim, E., Mbah, A., </w:t>
      </w:r>
      <w:proofErr w:type="spellStart"/>
      <w:r w:rsidRPr="00AB6D14">
        <w:rPr>
          <w:rFonts w:ascii="Times New Roman" w:hAnsi="Times New Roman" w:cs="Times New Roman"/>
          <w:sz w:val="24"/>
          <w:szCs w:val="24"/>
        </w:rPr>
        <w:t>Nkwo</w:t>
      </w:r>
      <w:proofErr w:type="spellEnd"/>
      <w:r w:rsidRPr="00AB6D14">
        <w:rPr>
          <w:rFonts w:ascii="Times New Roman" w:hAnsi="Times New Roman" w:cs="Times New Roman"/>
          <w:sz w:val="24"/>
          <w:szCs w:val="24"/>
        </w:rPr>
        <w:t xml:space="preserve">, P., Ugwu, G., Ukoma, U., Okafor, C., </w:t>
      </w:r>
      <w:proofErr w:type="spellStart"/>
      <w:r w:rsidRPr="00AB6D14">
        <w:rPr>
          <w:rFonts w:ascii="Times New Roman" w:hAnsi="Times New Roman" w:cs="Times New Roman"/>
          <w:sz w:val="24"/>
          <w:szCs w:val="24"/>
        </w:rPr>
        <w:t>Anyene</w:t>
      </w:r>
      <w:proofErr w:type="spellEnd"/>
      <w:r w:rsidRPr="00AB6D14">
        <w:rPr>
          <w:rFonts w:ascii="Times New Roman" w:hAnsi="Times New Roman" w:cs="Times New Roman"/>
          <w:sz w:val="24"/>
          <w:szCs w:val="24"/>
        </w:rPr>
        <w:t xml:space="preserve">, C., Nwabueze, E., Obi, F., Akabueze, J. Uche, I., </w:t>
      </w:r>
      <w:proofErr w:type="spellStart"/>
      <w:r w:rsidRPr="00AB6D14">
        <w:rPr>
          <w:rFonts w:ascii="Times New Roman" w:hAnsi="Times New Roman" w:cs="Times New Roman"/>
          <w:sz w:val="24"/>
          <w:szCs w:val="24"/>
        </w:rPr>
        <w:t>Ekochin</w:t>
      </w:r>
      <w:proofErr w:type="spellEnd"/>
      <w:r w:rsidRPr="00AB6D14">
        <w:rPr>
          <w:rFonts w:ascii="Times New Roman" w:hAnsi="Times New Roman" w:cs="Times New Roman"/>
          <w:sz w:val="24"/>
          <w:szCs w:val="24"/>
        </w:rPr>
        <w:t xml:space="preserve">, F. &amp; </w:t>
      </w:r>
      <w:proofErr w:type="spellStart"/>
      <w:r w:rsidRPr="00AB6D14">
        <w:rPr>
          <w:rFonts w:ascii="Times New Roman" w:hAnsi="Times New Roman" w:cs="Times New Roman"/>
          <w:sz w:val="24"/>
          <w:szCs w:val="24"/>
        </w:rPr>
        <w:t>Nnoruka</w:t>
      </w:r>
      <w:proofErr w:type="spellEnd"/>
      <w:r w:rsidRPr="00AB6D14">
        <w:rPr>
          <w:rFonts w:ascii="Times New Roman" w:hAnsi="Times New Roman" w:cs="Times New Roman"/>
          <w:sz w:val="24"/>
          <w:szCs w:val="24"/>
        </w:rPr>
        <w:t xml:space="preserve">, E. (2014). Baseline in South East Nigeria. </w:t>
      </w:r>
      <w:r w:rsidRPr="00AB6D14">
        <w:rPr>
          <w:rFonts w:ascii="Times New Roman" w:hAnsi="Times New Roman" w:cs="Times New Roman"/>
          <w:i/>
          <w:sz w:val="24"/>
          <w:szCs w:val="24"/>
        </w:rPr>
        <w:t xml:space="preserve">Journal of International Association of Providers of AIDS Care, </w:t>
      </w:r>
      <w:r w:rsidRPr="00AB6D14">
        <w:rPr>
          <w:rFonts w:ascii="Times New Roman" w:hAnsi="Times New Roman" w:cs="Times New Roman"/>
          <w:sz w:val="24"/>
          <w:szCs w:val="24"/>
        </w:rPr>
        <w:t>13(5): 476-480.</w:t>
      </w:r>
    </w:p>
    <w:p w14:paraId="6B096C45"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Ozer, J., Ratner, M., Shaw, M., Bailey, W. &amp; Schomaker, S. (2008). The current state of serum biomarkers of hepato-toxicity. </w:t>
      </w:r>
      <w:r w:rsidRPr="00AB6D14">
        <w:rPr>
          <w:rFonts w:ascii="Times New Roman" w:hAnsi="Times New Roman" w:cs="Times New Roman"/>
          <w:i/>
          <w:sz w:val="24"/>
          <w:szCs w:val="24"/>
        </w:rPr>
        <w:t>Toxicology</w:t>
      </w:r>
      <w:r w:rsidRPr="00AB6D14">
        <w:rPr>
          <w:rFonts w:ascii="Times New Roman" w:hAnsi="Times New Roman" w:cs="Times New Roman"/>
          <w:sz w:val="24"/>
          <w:szCs w:val="24"/>
        </w:rPr>
        <w:t>, 245: 194-205.</w:t>
      </w:r>
    </w:p>
    <w:p w14:paraId="638B867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Pandit, A., Sachdeva, T. &amp; Bafna, P. (2012). Drug-induced hepatotoxicity: A review. </w:t>
      </w:r>
      <w:r w:rsidRPr="00AB6D14">
        <w:rPr>
          <w:rFonts w:ascii="Times New Roman" w:hAnsi="Times New Roman" w:cs="Times New Roman"/>
          <w:i/>
          <w:sz w:val="24"/>
          <w:szCs w:val="24"/>
        </w:rPr>
        <w:t xml:space="preserve">Journal of Applied </w:t>
      </w:r>
      <w:proofErr w:type="spellStart"/>
      <w:r w:rsidRPr="00AB6D14">
        <w:rPr>
          <w:rFonts w:ascii="Times New Roman" w:hAnsi="Times New Roman" w:cs="Times New Roman"/>
          <w:i/>
          <w:sz w:val="24"/>
          <w:szCs w:val="24"/>
        </w:rPr>
        <w:t>Paharmacological</w:t>
      </w:r>
      <w:proofErr w:type="spellEnd"/>
      <w:r w:rsidRPr="00AB6D14">
        <w:rPr>
          <w:rFonts w:ascii="Times New Roman" w:hAnsi="Times New Roman" w:cs="Times New Roman"/>
          <w:i/>
          <w:sz w:val="24"/>
          <w:szCs w:val="24"/>
        </w:rPr>
        <w:t xml:space="preserve"> Science, </w:t>
      </w:r>
      <w:r w:rsidRPr="00AB6D14">
        <w:rPr>
          <w:rFonts w:ascii="Times New Roman" w:hAnsi="Times New Roman" w:cs="Times New Roman"/>
          <w:sz w:val="24"/>
          <w:szCs w:val="24"/>
        </w:rPr>
        <w:t>02(05): 233-243.</w:t>
      </w:r>
    </w:p>
    <w:p w14:paraId="7AB205D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Patel, K., Patel, A. K., Rajan, R. R. &amp; Patel, A. R. (2010). Tenofovir associated renal dysfunction in clinical practice: An observation cohort study. </w:t>
      </w:r>
      <w:r w:rsidRPr="00AB6D14">
        <w:rPr>
          <w:rFonts w:ascii="Times New Roman" w:hAnsi="Times New Roman" w:cs="Times New Roman"/>
          <w:i/>
          <w:sz w:val="24"/>
          <w:szCs w:val="24"/>
        </w:rPr>
        <w:t>Indian Journal of Sexual Transmitted Disease,</w:t>
      </w:r>
      <w:r w:rsidRPr="00AB6D14">
        <w:rPr>
          <w:rFonts w:ascii="Times New Roman" w:hAnsi="Times New Roman" w:cs="Times New Roman"/>
          <w:sz w:val="24"/>
          <w:szCs w:val="24"/>
        </w:rPr>
        <w:t xml:space="preserve"> 31: 30-34.</w:t>
      </w:r>
    </w:p>
    <w:p w14:paraId="1A9763C0"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Patil, R., Mel, A., Ona, P, H., Carey, J., </w:t>
      </w:r>
      <w:proofErr w:type="spellStart"/>
      <w:r w:rsidRPr="00AB6D14">
        <w:rPr>
          <w:rFonts w:ascii="Times New Roman" w:hAnsi="Times New Roman" w:cs="Times New Roman"/>
          <w:sz w:val="24"/>
          <w:szCs w:val="24"/>
        </w:rPr>
        <w:t>Moshenyat</w:t>
      </w:r>
      <w:proofErr w:type="spellEnd"/>
      <w:r w:rsidRPr="00AB6D14">
        <w:rPr>
          <w:rFonts w:ascii="Times New Roman" w:hAnsi="Times New Roman" w:cs="Times New Roman"/>
          <w:sz w:val="24"/>
          <w:szCs w:val="24"/>
        </w:rPr>
        <w:t xml:space="preserve"> Y., Alhaddad, A. &amp; Sury, A. (2015). Acute Liver Toxicity due to Efavirenz/ Emtricitabine/ Tenofovir. </w:t>
      </w:r>
      <w:r w:rsidRPr="00AB6D14">
        <w:rPr>
          <w:rFonts w:ascii="Times New Roman" w:hAnsi="Times New Roman" w:cs="Times New Roman"/>
          <w:i/>
          <w:sz w:val="24"/>
          <w:szCs w:val="24"/>
        </w:rPr>
        <w:t>Case Reports in Hepatology,</w:t>
      </w:r>
      <w:r w:rsidRPr="00AB6D14">
        <w:rPr>
          <w:rFonts w:ascii="Times New Roman" w:hAnsi="Times New Roman" w:cs="Times New Roman"/>
          <w:sz w:val="24"/>
          <w:szCs w:val="24"/>
        </w:rPr>
        <w:t xml:space="preserve"> 2-9.</w:t>
      </w:r>
    </w:p>
    <w:p w14:paraId="3CDA716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Perazalla</w:t>
      </w:r>
      <w:proofErr w:type="spellEnd"/>
      <w:r w:rsidRPr="00AB6D14">
        <w:rPr>
          <w:rFonts w:ascii="Times New Roman" w:hAnsi="Times New Roman" w:cs="Times New Roman"/>
          <w:sz w:val="24"/>
          <w:szCs w:val="24"/>
        </w:rPr>
        <w:t xml:space="preserve">, M. A. (2010). Tenofovir-induced kidney disease: And acquired renal tubular </w:t>
      </w:r>
      <w:proofErr w:type="spellStart"/>
      <w:r w:rsidRPr="00AB6D14">
        <w:rPr>
          <w:rFonts w:ascii="Times New Roman" w:hAnsi="Times New Roman" w:cs="Times New Roman"/>
          <w:sz w:val="24"/>
          <w:szCs w:val="24"/>
        </w:rPr>
        <w:t>mitochondriopathy</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Kidney International,</w:t>
      </w:r>
      <w:r w:rsidRPr="00AB6D14">
        <w:rPr>
          <w:rFonts w:ascii="Times New Roman" w:hAnsi="Times New Roman" w:cs="Times New Roman"/>
          <w:sz w:val="24"/>
          <w:szCs w:val="24"/>
        </w:rPr>
        <w:t xml:space="preserve"> 78(11): 1060-1063.</w:t>
      </w:r>
    </w:p>
    <w:p w14:paraId="233E30AD"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Peter, A. I. &amp; Edagha, I. A. (2016). </w:t>
      </w:r>
      <w:proofErr w:type="spellStart"/>
      <w:r w:rsidRPr="00AB6D14">
        <w:rPr>
          <w:rFonts w:ascii="Times New Roman" w:hAnsi="Times New Roman" w:cs="Times New Roman"/>
          <w:sz w:val="24"/>
          <w:szCs w:val="24"/>
        </w:rPr>
        <w:t>Histoipatahological</w:t>
      </w:r>
      <w:proofErr w:type="spellEnd"/>
      <w:r w:rsidRPr="00AB6D14">
        <w:rPr>
          <w:rFonts w:ascii="Times New Roman" w:hAnsi="Times New Roman" w:cs="Times New Roman"/>
          <w:sz w:val="24"/>
          <w:szCs w:val="24"/>
        </w:rPr>
        <w:t xml:space="preserve"> effect of co-administration of efavirenz and vitamin E on the liver, and biochemical parameter in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w:t>
      </w:r>
      <w:r w:rsidRPr="00AB6D14">
        <w:rPr>
          <w:rFonts w:ascii="Times New Roman" w:hAnsi="Times New Roman" w:cs="Times New Roman"/>
          <w:i/>
          <w:sz w:val="24"/>
          <w:szCs w:val="24"/>
        </w:rPr>
        <w:t>Asian Journal of Medical Sciences,</w:t>
      </w:r>
      <w:r w:rsidRPr="00AB6D14">
        <w:rPr>
          <w:rFonts w:ascii="Times New Roman" w:hAnsi="Times New Roman" w:cs="Times New Roman"/>
          <w:sz w:val="24"/>
          <w:szCs w:val="24"/>
        </w:rPr>
        <w:t xml:space="preserve"> 7: 5-17.</w:t>
      </w:r>
    </w:p>
    <w:p w14:paraId="23DE1AA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Pinola, M., </w:t>
      </w:r>
      <w:proofErr w:type="spellStart"/>
      <w:r w:rsidRPr="00AB6D14">
        <w:rPr>
          <w:rFonts w:ascii="Times New Roman" w:hAnsi="Times New Roman" w:cs="Times New Roman"/>
          <w:sz w:val="24"/>
          <w:szCs w:val="24"/>
        </w:rPr>
        <w:t>Lazzarin</w:t>
      </w:r>
      <w:proofErr w:type="spellEnd"/>
      <w:r w:rsidRPr="00AB6D14">
        <w:rPr>
          <w:rFonts w:ascii="Times New Roman" w:hAnsi="Times New Roman" w:cs="Times New Roman"/>
          <w:sz w:val="24"/>
          <w:szCs w:val="24"/>
        </w:rPr>
        <w:t xml:space="preserve">, A., Antinori, A., Carosi, G. &amp; Di Perri, G. (2010). Lopinavir/ritonavir + tenofovir dual therapy versus lopinavir/ritonavir-based triple therapy in HIV-infected antiretroviral naïve subjects: The </w:t>
      </w:r>
      <w:proofErr w:type="spellStart"/>
      <w:r w:rsidRPr="00AB6D14">
        <w:rPr>
          <w:rFonts w:ascii="Times New Roman" w:hAnsi="Times New Roman" w:cs="Times New Roman"/>
          <w:sz w:val="24"/>
          <w:szCs w:val="24"/>
        </w:rPr>
        <w:t>Kalead</w:t>
      </w:r>
      <w:proofErr w:type="spellEnd"/>
      <w:r w:rsidRPr="00AB6D14">
        <w:rPr>
          <w:rFonts w:ascii="Times New Roman" w:hAnsi="Times New Roman" w:cs="Times New Roman"/>
          <w:sz w:val="24"/>
          <w:szCs w:val="24"/>
        </w:rPr>
        <w:t xml:space="preserve"> study. </w:t>
      </w:r>
      <w:r w:rsidRPr="00AB6D14">
        <w:rPr>
          <w:rFonts w:ascii="Times New Roman" w:hAnsi="Times New Roman" w:cs="Times New Roman"/>
          <w:i/>
          <w:sz w:val="24"/>
          <w:szCs w:val="24"/>
        </w:rPr>
        <w:t>Journal of Antiviral and Antiretroviral,</w:t>
      </w:r>
      <w:r w:rsidRPr="00AB6D14">
        <w:rPr>
          <w:rFonts w:ascii="Times New Roman" w:hAnsi="Times New Roman" w:cs="Times New Roman"/>
          <w:sz w:val="24"/>
          <w:szCs w:val="24"/>
        </w:rPr>
        <w:t xml:space="preserve"> 2: 056-062.</w:t>
      </w:r>
    </w:p>
    <w:p w14:paraId="1AB1BFF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Polo, M., Alegre, F. &amp; Funes H. A. (2015). </w:t>
      </w:r>
      <w:proofErr w:type="spellStart"/>
      <w:r w:rsidRPr="00AB6D14">
        <w:rPr>
          <w:rFonts w:ascii="Times New Roman" w:hAnsi="Times New Roman" w:cs="Times New Roman"/>
          <w:sz w:val="24"/>
          <w:szCs w:val="24"/>
        </w:rPr>
        <w:t>Mitochonddrial</w:t>
      </w:r>
      <w:proofErr w:type="spellEnd"/>
      <w:r w:rsidRPr="00AB6D14">
        <w:rPr>
          <w:rFonts w:ascii="Times New Roman" w:hAnsi="Times New Roman" w:cs="Times New Roman"/>
          <w:sz w:val="24"/>
          <w:szCs w:val="24"/>
        </w:rPr>
        <w:t xml:space="preserve"> (</w:t>
      </w:r>
      <w:proofErr w:type="spellStart"/>
      <w:r w:rsidRPr="00AB6D14">
        <w:rPr>
          <w:rFonts w:ascii="Times New Roman" w:hAnsi="Times New Roman" w:cs="Times New Roman"/>
          <w:sz w:val="24"/>
          <w:szCs w:val="24"/>
        </w:rPr>
        <w:t>dys</w:t>
      </w:r>
      <w:proofErr w:type="spellEnd"/>
      <w:r w:rsidRPr="00AB6D14">
        <w:rPr>
          <w:rFonts w:ascii="Times New Roman" w:hAnsi="Times New Roman" w:cs="Times New Roman"/>
          <w:sz w:val="24"/>
          <w:szCs w:val="24"/>
        </w:rPr>
        <w:t xml:space="preserve">) function - a factor underlying the variability of efavirenz-induced </w:t>
      </w:r>
      <w:proofErr w:type="spellStart"/>
      <w:r w:rsidRPr="00AB6D14">
        <w:rPr>
          <w:rFonts w:ascii="Times New Roman" w:hAnsi="Times New Roman" w:cs="Times New Roman"/>
          <w:sz w:val="24"/>
          <w:szCs w:val="24"/>
        </w:rPr>
        <w:t>heptotoxicy</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British Journal of Pharmacology</w:t>
      </w:r>
      <w:r w:rsidRPr="00AB6D14">
        <w:rPr>
          <w:rFonts w:ascii="Times New Roman" w:hAnsi="Times New Roman" w:cs="Times New Roman"/>
          <w:sz w:val="24"/>
          <w:szCs w:val="24"/>
        </w:rPr>
        <w:t>, 172: 1713-1727.</w:t>
      </w:r>
    </w:p>
    <w:p w14:paraId="301EB9F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proofErr w:type="spellStart"/>
      <w:r w:rsidRPr="00AB6D14">
        <w:rPr>
          <w:rFonts w:ascii="Times New Roman" w:hAnsi="Times New Roman" w:cs="Times New Roman"/>
          <w:sz w:val="24"/>
          <w:szCs w:val="24"/>
        </w:rPr>
        <w:t>Ramamoorth</w:t>
      </w:r>
      <w:proofErr w:type="spellEnd"/>
      <w:r w:rsidRPr="00AB6D14">
        <w:rPr>
          <w:rFonts w:ascii="Times New Roman" w:hAnsi="Times New Roman" w:cs="Times New Roman"/>
          <w:sz w:val="24"/>
          <w:szCs w:val="24"/>
        </w:rPr>
        <w:t xml:space="preserve">, H., Issac B. &amp; Abraham, P. (2012). Evidence for the roles of oxidative stress, nitrosative stress ad </w:t>
      </w:r>
      <w:proofErr w:type="spellStart"/>
      <w:r w:rsidRPr="00AB6D14">
        <w:rPr>
          <w:rFonts w:ascii="Times New Roman" w:hAnsi="Times New Roman" w:cs="Times New Roman"/>
          <w:sz w:val="24"/>
          <w:szCs w:val="24"/>
        </w:rPr>
        <w:t>Nf-Kb</w:t>
      </w:r>
      <w:proofErr w:type="spellEnd"/>
      <w:r w:rsidRPr="00AB6D14">
        <w:rPr>
          <w:rFonts w:ascii="Times New Roman" w:hAnsi="Times New Roman" w:cs="Times New Roman"/>
          <w:sz w:val="24"/>
          <w:szCs w:val="24"/>
        </w:rPr>
        <w:t xml:space="preserve"> activation in </w:t>
      </w:r>
      <w:proofErr w:type="spellStart"/>
      <w:r w:rsidRPr="00AB6D14">
        <w:rPr>
          <w:rFonts w:ascii="Times New Roman" w:hAnsi="Times New Roman" w:cs="Times New Roman"/>
          <w:sz w:val="24"/>
          <w:szCs w:val="24"/>
        </w:rPr>
        <w:t>Tenofover</w:t>
      </w:r>
      <w:proofErr w:type="spellEnd"/>
      <w:r w:rsidRPr="00AB6D14">
        <w:rPr>
          <w:rFonts w:ascii="Times New Roman" w:hAnsi="Times New Roman" w:cs="Times New Roman"/>
          <w:sz w:val="24"/>
          <w:szCs w:val="24"/>
        </w:rPr>
        <w:t xml:space="preserve"> Disoproxil Fumarate (TDF) induced renal damage in rats. </w:t>
      </w:r>
      <w:r w:rsidRPr="00AB6D14">
        <w:rPr>
          <w:rFonts w:ascii="Times New Roman" w:hAnsi="Times New Roman" w:cs="Times New Roman"/>
          <w:i/>
          <w:sz w:val="24"/>
          <w:szCs w:val="24"/>
        </w:rPr>
        <w:t xml:space="preserve">Journal of infectious Disease, </w:t>
      </w:r>
      <w:r w:rsidRPr="00AB6D14">
        <w:rPr>
          <w:rFonts w:ascii="Times New Roman" w:hAnsi="Times New Roman" w:cs="Times New Roman"/>
          <w:sz w:val="24"/>
          <w:szCs w:val="24"/>
        </w:rPr>
        <w:t>12:1-6.</w:t>
      </w:r>
    </w:p>
    <w:p w14:paraId="25D0A134"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Roling, J., Schmid, H., Fischereder, M., Draenert, R. &amp; Goebe, F. D. (2006). </w:t>
      </w:r>
      <w:r w:rsidRPr="00AB6D14">
        <w:rPr>
          <w:rFonts w:ascii="Times New Roman" w:hAnsi="Times New Roman" w:cs="Times New Roman"/>
          <w:sz w:val="24"/>
          <w:szCs w:val="24"/>
        </w:rPr>
        <w:t xml:space="preserve">HIV-associated renal diseases and highly active antiretroviral therapy (HAART)-induced Nephropathy. </w:t>
      </w:r>
      <w:r w:rsidRPr="00AB6D14">
        <w:rPr>
          <w:rFonts w:ascii="Times New Roman" w:hAnsi="Times New Roman" w:cs="Times New Roman"/>
          <w:i/>
          <w:sz w:val="24"/>
          <w:szCs w:val="24"/>
        </w:rPr>
        <w:t>Clinical Infectious Disease,</w:t>
      </w:r>
      <w:r w:rsidRPr="00AB6D14">
        <w:rPr>
          <w:rFonts w:ascii="Times New Roman" w:hAnsi="Times New Roman" w:cs="Times New Roman"/>
          <w:sz w:val="24"/>
          <w:szCs w:val="24"/>
        </w:rPr>
        <w:t xml:space="preserve"> 42: 1488-1495.</w:t>
      </w:r>
    </w:p>
    <w:p w14:paraId="4FC52061"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Samuels, R., </w:t>
      </w:r>
      <w:proofErr w:type="spellStart"/>
      <w:r w:rsidRPr="00AB6D14">
        <w:rPr>
          <w:rFonts w:ascii="Times New Roman" w:hAnsi="Times New Roman" w:cs="Times New Roman"/>
          <w:sz w:val="24"/>
          <w:szCs w:val="24"/>
        </w:rPr>
        <w:t>Bayerri</w:t>
      </w:r>
      <w:proofErr w:type="spellEnd"/>
      <w:r w:rsidRPr="00AB6D14">
        <w:rPr>
          <w:rFonts w:ascii="Times New Roman" w:hAnsi="Times New Roman" w:cs="Times New Roman"/>
          <w:sz w:val="24"/>
          <w:szCs w:val="24"/>
        </w:rPr>
        <w:t xml:space="preserve">, C. R. &amp; Sayer, J. A. (2017). Tenofovir </w:t>
      </w:r>
      <w:proofErr w:type="spellStart"/>
      <w:r w:rsidRPr="00AB6D14">
        <w:rPr>
          <w:rFonts w:ascii="Times New Roman" w:hAnsi="Times New Roman" w:cs="Times New Roman"/>
          <w:sz w:val="24"/>
          <w:szCs w:val="24"/>
        </w:rPr>
        <w:t>disoprocxil</w:t>
      </w:r>
      <w:proofErr w:type="spellEnd"/>
      <w:r w:rsidRPr="00AB6D14">
        <w:rPr>
          <w:rFonts w:ascii="Times New Roman" w:hAnsi="Times New Roman" w:cs="Times New Roman"/>
          <w:sz w:val="24"/>
          <w:szCs w:val="24"/>
        </w:rPr>
        <w:t xml:space="preserve"> fumarate-associated renal tubular dysfunction: Noninvasive assessment of mitochondrial injury. </w:t>
      </w:r>
      <w:r w:rsidRPr="00AB6D14">
        <w:rPr>
          <w:rFonts w:ascii="Times New Roman" w:hAnsi="Times New Roman" w:cs="Times New Roman"/>
          <w:i/>
          <w:sz w:val="24"/>
          <w:szCs w:val="24"/>
        </w:rPr>
        <w:t xml:space="preserve">AIDS, </w:t>
      </w:r>
      <w:r w:rsidRPr="00AB6D14">
        <w:rPr>
          <w:rFonts w:ascii="Times New Roman" w:hAnsi="Times New Roman" w:cs="Times New Roman"/>
          <w:sz w:val="24"/>
          <w:szCs w:val="24"/>
        </w:rPr>
        <w:t>31: 1297-1306.</w:t>
      </w:r>
    </w:p>
    <w:p w14:paraId="587816EF"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Si-Tayeb, K., </w:t>
      </w:r>
      <w:proofErr w:type="spellStart"/>
      <w:r w:rsidRPr="00AB6D14">
        <w:rPr>
          <w:rFonts w:ascii="Times New Roman" w:hAnsi="Times New Roman" w:cs="Times New Roman"/>
          <w:sz w:val="24"/>
          <w:szCs w:val="24"/>
        </w:rPr>
        <w:t>Lemaigre</w:t>
      </w:r>
      <w:proofErr w:type="spellEnd"/>
      <w:r w:rsidRPr="00AB6D14">
        <w:rPr>
          <w:rFonts w:ascii="Times New Roman" w:hAnsi="Times New Roman" w:cs="Times New Roman"/>
          <w:sz w:val="24"/>
          <w:szCs w:val="24"/>
        </w:rPr>
        <w:t xml:space="preserve">, F. P. &amp; Ducan, S. A. (2010). Organogenesis and development of the liver. </w:t>
      </w:r>
      <w:r w:rsidRPr="00AB6D14">
        <w:rPr>
          <w:rFonts w:ascii="Times New Roman" w:hAnsi="Times New Roman" w:cs="Times New Roman"/>
          <w:i/>
          <w:sz w:val="24"/>
          <w:szCs w:val="24"/>
        </w:rPr>
        <w:t>Development Cell,</w:t>
      </w:r>
      <w:r w:rsidRPr="00AB6D14">
        <w:rPr>
          <w:rFonts w:ascii="Times New Roman" w:hAnsi="Times New Roman" w:cs="Times New Roman"/>
          <w:sz w:val="24"/>
          <w:szCs w:val="24"/>
        </w:rPr>
        <w:t xml:space="preserve"> 18(2): 175-89</w:t>
      </w:r>
    </w:p>
    <w:p w14:paraId="1214A5A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Sunderman, F. W. (1958). Studies in serum electrolytes xxii: A rapid, reliable method for serum potassium using </w:t>
      </w:r>
      <w:proofErr w:type="spellStart"/>
      <w:r w:rsidRPr="00AB6D14">
        <w:rPr>
          <w:rFonts w:ascii="Times New Roman" w:hAnsi="Times New Roman" w:cs="Times New Roman"/>
          <w:sz w:val="24"/>
          <w:szCs w:val="24"/>
        </w:rPr>
        <w:t>tetraphenylboron</w:t>
      </w:r>
      <w:proofErr w:type="spellEnd"/>
      <w:r w:rsidRPr="00AB6D14">
        <w:rPr>
          <w:rFonts w:ascii="Times New Roman" w:hAnsi="Times New Roman" w:cs="Times New Roman"/>
          <w:sz w:val="24"/>
          <w:szCs w:val="24"/>
        </w:rPr>
        <w:t xml:space="preserve">. </w:t>
      </w:r>
      <w:r w:rsidRPr="00AB6D14">
        <w:rPr>
          <w:rFonts w:ascii="Times New Roman" w:hAnsi="Times New Roman" w:cs="Times New Roman"/>
          <w:i/>
          <w:sz w:val="24"/>
          <w:szCs w:val="24"/>
        </w:rPr>
        <w:t>American Journal of Clinical Pathology,</w:t>
      </w:r>
      <w:r w:rsidRPr="00AB6D14">
        <w:rPr>
          <w:rFonts w:ascii="Times New Roman" w:hAnsi="Times New Roman" w:cs="Times New Roman"/>
          <w:sz w:val="24"/>
          <w:szCs w:val="24"/>
        </w:rPr>
        <w:t xml:space="preserve"> 2:92-103.</w:t>
      </w:r>
    </w:p>
    <w:p w14:paraId="3D24589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t xml:space="preserve">Talke, H. &amp; Schubert, G. E. (1995). Enzymatic determination of urea using the coupled urease/glutamate dehydrogenase (GLDH) enzyme system. </w:t>
      </w:r>
      <w:r w:rsidRPr="00AB6D14">
        <w:rPr>
          <w:rFonts w:ascii="Times New Roman" w:hAnsi="Times New Roman" w:cs="Times New Roman"/>
          <w:i/>
          <w:sz w:val="24"/>
          <w:szCs w:val="24"/>
        </w:rPr>
        <w:t>Mediators of Inflammation,</w:t>
      </w:r>
      <w:r w:rsidRPr="00AB6D14">
        <w:rPr>
          <w:rFonts w:ascii="Times New Roman" w:hAnsi="Times New Roman" w:cs="Times New Roman"/>
          <w:sz w:val="24"/>
          <w:szCs w:val="24"/>
        </w:rPr>
        <w:t xml:space="preserve"> 43: 174-176.</w:t>
      </w:r>
    </w:p>
    <w:p w14:paraId="3667F0BA"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F64D33">
        <w:rPr>
          <w:rFonts w:ascii="Times New Roman" w:hAnsi="Times New Roman" w:cs="Times New Roman"/>
          <w:sz w:val="24"/>
          <w:szCs w:val="24"/>
          <w:lang w:val="de-DE"/>
        </w:rPr>
        <w:t xml:space="preserve">Teklay, G., Legesse, B. &amp; Legesse, M. (2013). </w:t>
      </w:r>
      <w:r w:rsidRPr="00AB6D14">
        <w:rPr>
          <w:rFonts w:ascii="Times New Roman" w:hAnsi="Times New Roman" w:cs="Times New Roman"/>
          <w:sz w:val="24"/>
          <w:szCs w:val="24"/>
        </w:rPr>
        <w:t xml:space="preserve">Adverse effect and regimen switch among patients on antiretroviral treatment in a resource limited setting in Ethiopia. </w:t>
      </w:r>
      <w:r w:rsidRPr="00AB6D14">
        <w:rPr>
          <w:rFonts w:ascii="Times New Roman" w:hAnsi="Times New Roman" w:cs="Times New Roman"/>
          <w:i/>
          <w:sz w:val="24"/>
          <w:szCs w:val="24"/>
        </w:rPr>
        <w:t>Journal of Pharmaco-Vigilance,</w:t>
      </w:r>
      <w:r w:rsidRPr="00AB6D14">
        <w:rPr>
          <w:rFonts w:ascii="Times New Roman" w:hAnsi="Times New Roman" w:cs="Times New Roman"/>
          <w:sz w:val="24"/>
          <w:szCs w:val="24"/>
        </w:rPr>
        <w:t xml:space="preserve"> 1: 115-128.</w:t>
      </w:r>
    </w:p>
    <w:p w14:paraId="4C8ACECF" w14:textId="77777777" w:rsidR="00FB297B" w:rsidRPr="00AB6D14" w:rsidRDefault="00FB297B" w:rsidP="00FB297B">
      <w:pPr>
        <w:pStyle w:val="ListParagraph"/>
        <w:numPr>
          <w:ilvl w:val="0"/>
          <w:numId w:val="4"/>
        </w:numPr>
        <w:rPr>
          <w:rFonts w:ascii="Times New Roman" w:hAnsi="Times New Roman" w:cs="Times New Roman"/>
          <w:sz w:val="24"/>
          <w:szCs w:val="24"/>
        </w:rPr>
      </w:pPr>
      <w:proofErr w:type="spellStart"/>
      <w:r w:rsidRPr="00AB6D14">
        <w:rPr>
          <w:rFonts w:ascii="Times New Roman" w:hAnsi="Times New Roman" w:cs="Times New Roman"/>
          <w:sz w:val="24"/>
          <w:szCs w:val="24"/>
        </w:rPr>
        <w:t>Tourret</w:t>
      </w:r>
      <w:proofErr w:type="spellEnd"/>
      <w:r w:rsidRPr="00AB6D14">
        <w:rPr>
          <w:rFonts w:ascii="Times New Roman" w:hAnsi="Times New Roman" w:cs="Times New Roman"/>
          <w:sz w:val="24"/>
          <w:szCs w:val="24"/>
        </w:rPr>
        <w:t xml:space="preserve">, J., </w:t>
      </w:r>
      <w:proofErr w:type="spellStart"/>
      <w:r w:rsidRPr="00AB6D14">
        <w:rPr>
          <w:rFonts w:ascii="Times New Roman" w:hAnsi="Times New Roman" w:cs="Times New Roman"/>
          <w:sz w:val="24"/>
          <w:szCs w:val="24"/>
        </w:rPr>
        <w:t>Deray</w:t>
      </w:r>
      <w:proofErr w:type="spellEnd"/>
      <w:r w:rsidRPr="00AB6D14">
        <w:rPr>
          <w:rFonts w:ascii="Times New Roman" w:hAnsi="Times New Roman" w:cs="Times New Roman"/>
          <w:sz w:val="24"/>
          <w:szCs w:val="24"/>
        </w:rPr>
        <w:t>, G. &amp; Isnard-</w:t>
      </w:r>
      <w:proofErr w:type="spellStart"/>
      <w:r w:rsidRPr="00AB6D14">
        <w:rPr>
          <w:rFonts w:ascii="Times New Roman" w:hAnsi="Times New Roman" w:cs="Times New Roman"/>
          <w:sz w:val="24"/>
          <w:szCs w:val="24"/>
        </w:rPr>
        <w:t>Bagnis</w:t>
      </w:r>
      <w:proofErr w:type="spellEnd"/>
      <w:r w:rsidRPr="00AB6D14">
        <w:rPr>
          <w:rFonts w:ascii="Times New Roman" w:hAnsi="Times New Roman" w:cs="Times New Roman"/>
          <w:sz w:val="24"/>
          <w:szCs w:val="24"/>
        </w:rPr>
        <w:t xml:space="preserve">, C. (2013). Tenofovir effect on the kidneys of HIV-infected patients: A </w:t>
      </w:r>
      <w:proofErr w:type="gramStart"/>
      <w:r w:rsidRPr="00AB6D14">
        <w:rPr>
          <w:rFonts w:ascii="Times New Roman" w:hAnsi="Times New Roman" w:cs="Times New Roman"/>
          <w:sz w:val="24"/>
          <w:szCs w:val="24"/>
        </w:rPr>
        <w:t>double edged</w:t>
      </w:r>
      <w:proofErr w:type="gramEnd"/>
      <w:r w:rsidRPr="00AB6D14">
        <w:rPr>
          <w:rFonts w:ascii="Times New Roman" w:hAnsi="Times New Roman" w:cs="Times New Roman"/>
          <w:sz w:val="24"/>
          <w:szCs w:val="24"/>
        </w:rPr>
        <w:t xml:space="preserve"> sword? </w:t>
      </w:r>
      <w:r w:rsidRPr="00AB6D14">
        <w:rPr>
          <w:rFonts w:ascii="Times New Roman" w:hAnsi="Times New Roman" w:cs="Times New Roman"/>
          <w:i/>
          <w:sz w:val="24"/>
          <w:szCs w:val="24"/>
        </w:rPr>
        <w:t>Journal of American Society of Nephrology,</w:t>
      </w:r>
      <w:r w:rsidRPr="00AB6D14">
        <w:rPr>
          <w:rFonts w:ascii="Times New Roman" w:hAnsi="Times New Roman" w:cs="Times New Roman"/>
          <w:sz w:val="24"/>
          <w:szCs w:val="24"/>
        </w:rPr>
        <w:t xml:space="preserve"> 24: 1519-1527</w:t>
      </w:r>
    </w:p>
    <w:p w14:paraId="042CC0BB" w14:textId="77777777" w:rsidR="00FB297B" w:rsidRPr="00AB6D14" w:rsidRDefault="00FB297B" w:rsidP="00FB297B">
      <w:pPr>
        <w:pStyle w:val="ListParagraph"/>
        <w:numPr>
          <w:ilvl w:val="0"/>
          <w:numId w:val="4"/>
        </w:numPr>
        <w:spacing w:after="0" w:line="240" w:lineRule="auto"/>
        <w:jc w:val="both"/>
        <w:rPr>
          <w:rFonts w:ascii="Times New Roman" w:hAnsi="Times New Roman" w:cs="Times New Roman"/>
          <w:sz w:val="24"/>
          <w:szCs w:val="24"/>
        </w:rPr>
      </w:pPr>
      <w:r w:rsidRPr="00AB6D14">
        <w:rPr>
          <w:rFonts w:ascii="Times New Roman" w:hAnsi="Times New Roman" w:cs="Times New Roman"/>
          <w:sz w:val="24"/>
          <w:szCs w:val="24"/>
        </w:rPr>
        <w:lastRenderedPageBreak/>
        <w:t xml:space="preserve">Travlos, G. S., Morris, R. W., Elwell, M. R., Duke, A., Rosenblum, S. &amp; Thompson, M. B. (1996). Frequency and relationships of clinical chemistry and liver and Kidney histopathology findings in 13week toxicity studies in rats. </w:t>
      </w:r>
      <w:r w:rsidRPr="00AB6D14">
        <w:rPr>
          <w:rFonts w:ascii="Times New Roman" w:hAnsi="Times New Roman" w:cs="Times New Roman"/>
          <w:i/>
          <w:sz w:val="24"/>
          <w:szCs w:val="24"/>
        </w:rPr>
        <w:t>Toxicology</w:t>
      </w:r>
      <w:r w:rsidRPr="00AB6D14">
        <w:rPr>
          <w:rFonts w:ascii="Times New Roman" w:hAnsi="Times New Roman" w:cs="Times New Roman"/>
          <w:sz w:val="24"/>
          <w:szCs w:val="24"/>
        </w:rPr>
        <w:t>, 107: 17-29.</w:t>
      </w:r>
    </w:p>
    <w:p w14:paraId="43EA7E21"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Trinder, P. (1951). A rapid method for the determination of sodium in serum. </w:t>
      </w:r>
      <w:r w:rsidRPr="00AB6D14">
        <w:rPr>
          <w:rFonts w:ascii="Times New Roman" w:hAnsi="Times New Roman" w:cs="Times New Roman"/>
          <w:i/>
          <w:sz w:val="24"/>
          <w:szCs w:val="24"/>
        </w:rPr>
        <w:t>Analyst</w:t>
      </w:r>
      <w:r w:rsidRPr="00AB6D14">
        <w:rPr>
          <w:rFonts w:ascii="Times New Roman" w:hAnsi="Times New Roman" w:cs="Times New Roman"/>
          <w:sz w:val="24"/>
          <w:szCs w:val="24"/>
        </w:rPr>
        <w:t>, 76: 596- 599</w:t>
      </w:r>
    </w:p>
    <w:p w14:paraId="15F59AAC"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Umar, R. A. Hassan, S. W., Ladan, M. J., </w:t>
      </w:r>
      <w:proofErr w:type="spellStart"/>
      <w:r w:rsidRPr="00AB6D14">
        <w:rPr>
          <w:rFonts w:ascii="Times New Roman" w:hAnsi="Times New Roman" w:cs="Times New Roman"/>
          <w:sz w:val="24"/>
          <w:szCs w:val="24"/>
        </w:rPr>
        <w:t>Matazu</w:t>
      </w:r>
      <w:proofErr w:type="spellEnd"/>
      <w:r w:rsidRPr="00AB6D14">
        <w:rPr>
          <w:rFonts w:ascii="Times New Roman" w:hAnsi="Times New Roman" w:cs="Times New Roman"/>
          <w:sz w:val="24"/>
          <w:szCs w:val="24"/>
        </w:rPr>
        <w:t xml:space="preserve">, I. K., Shehu, B., Shehu, R, A., Muhammed, L. G. &amp; </w:t>
      </w:r>
      <w:proofErr w:type="spellStart"/>
      <w:r w:rsidRPr="00AB6D14">
        <w:rPr>
          <w:rFonts w:ascii="Times New Roman" w:hAnsi="Times New Roman" w:cs="Times New Roman"/>
          <w:sz w:val="24"/>
          <w:szCs w:val="24"/>
        </w:rPr>
        <w:t>Molabo</w:t>
      </w:r>
      <w:proofErr w:type="spellEnd"/>
      <w:r w:rsidRPr="00AB6D14">
        <w:rPr>
          <w:rFonts w:ascii="Times New Roman" w:hAnsi="Times New Roman" w:cs="Times New Roman"/>
          <w:sz w:val="24"/>
          <w:szCs w:val="24"/>
        </w:rPr>
        <w:t xml:space="preserve">, F. I. (2008). Adverse hepatic effects associated with administration of antiretroviral drugs (nevirapine, lamivudine and stavudine) to albino rats; Implication for management of patients with HIV/AIDS. </w:t>
      </w:r>
      <w:r w:rsidRPr="00AB6D14">
        <w:rPr>
          <w:rFonts w:ascii="Times New Roman" w:hAnsi="Times New Roman" w:cs="Times New Roman"/>
          <w:i/>
          <w:sz w:val="24"/>
          <w:szCs w:val="24"/>
        </w:rPr>
        <w:t>Asian Journal of Biochemical,</w:t>
      </w:r>
      <w:r w:rsidRPr="00AB6D14">
        <w:rPr>
          <w:rFonts w:ascii="Times New Roman" w:hAnsi="Times New Roman" w:cs="Times New Roman"/>
          <w:sz w:val="24"/>
          <w:szCs w:val="24"/>
        </w:rPr>
        <w:t xml:space="preserve"> 3: 19-25.</w:t>
      </w:r>
    </w:p>
    <w:p w14:paraId="0A3B746E"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F64D33">
        <w:rPr>
          <w:rFonts w:ascii="Times New Roman" w:hAnsi="Times New Roman" w:cs="Times New Roman"/>
          <w:sz w:val="24"/>
          <w:szCs w:val="24"/>
          <w:lang w:val="de-DE"/>
        </w:rPr>
        <w:t xml:space="preserve">Umoren, E. B., Obeme, A. O., Odo, M.  </w:t>
      </w:r>
      <w:r w:rsidRPr="00AB6D14">
        <w:rPr>
          <w:rFonts w:ascii="Times New Roman" w:hAnsi="Times New Roman" w:cs="Times New Roman"/>
          <w:sz w:val="24"/>
          <w:szCs w:val="24"/>
        </w:rPr>
        <w:t xml:space="preserve">O. &amp; Osim, E. E. (2014). Effect of nevirapine administration of antiretroviral on biliary secretion/its biochemical composition in </w:t>
      </w:r>
      <w:proofErr w:type="spellStart"/>
      <w:r w:rsidRPr="00AB6D14">
        <w:rPr>
          <w:rFonts w:ascii="Times New Roman" w:hAnsi="Times New Roman" w:cs="Times New Roman"/>
          <w:sz w:val="24"/>
          <w:szCs w:val="24"/>
        </w:rPr>
        <w:t>wistar</w:t>
      </w:r>
      <w:proofErr w:type="spellEnd"/>
      <w:r w:rsidRPr="00AB6D14">
        <w:rPr>
          <w:rFonts w:ascii="Times New Roman" w:hAnsi="Times New Roman" w:cs="Times New Roman"/>
          <w:sz w:val="24"/>
          <w:szCs w:val="24"/>
        </w:rPr>
        <w:t xml:space="preserve"> rats. </w:t>
      </w:r>
      <w:r w:rsidRPr="00AB6D14">
        <w:rPr>
          <w:rFonts w:ascii="Times New Roman" w:hAnsi="Times New Roman" w:cs="Times New Roman"/>
          <w:i/>
          <w:sz w:val="24"/>
          <w:szCs w:val="24"/>
        </w:rPr>
        <w:t xml:space="preserve">Journal of Antivirals and Antiretroviral, </w:t>
      </w:r>
      <w:r w:rsidRPr="00AB6D14">
        <w:rPr>
          <w:rFonts w:ascii="Times New Roman" w:hAnsi="Times New Roman" w:cs="Times New Roman"/>
          <w:sz w:val="24"/>
          <w:szCs w:val="24"/>
        </w:rPr>
        <w:t>6:045-049.</w:t>
      </w:r>
    </w:p>
    <w:p w14:paraId="25EE5F6D"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Wassef, M. &amp; Kelser, P. (1992). Hypersensitivity to </w:t>
      </w:r>
      <w:proofErr w:type="spellStart"/>
      <w:r w:rsidRPr="00AB6D14">
        <w:rPr>
          <w:rFonts w:ascii="Times New Roman" w:hAnsi="Times New Roman" w:cs="Times New Roman"/>
          <w:sz w:val="24"/>
          <w:szCs w:val="24"/>
        </w:rPr>
        <w:t>ziodovudine</w:t>
      </w:r>
      <w:proofErr w:type="spellEnd"/>
      <w:r w:rsidRPr="00AB6D14">
        <w:rPr>
          <w:rFonts w:ascii="Times New Roman" w:hAnsi="Times New Roman" w:cs="Times New Roman"/>
          <w:sz w:val="24"/>
          <w:szCs w:val="24"/>
        </w:rPr>
        <w:t xml:space="preserve">: Report of a case and review of the literature. </w:t>
      </w:r>
      <w:r w:rsidRPr="00AB6D14">
        <w:rPr>
          <w:rFonts w:ascii="Times New Roman" w:hAnsi="Times New Roman" w:cs="Times New Roman"/>
          <w:i/>
          <w:sz w:val="24"/>
          <w:szCs w:val="24"/>
        </w:rPr>
        <w:t>American Journal of Medicine,</w:t>
      </w:r>
      <w:r w:rsidRPr="00AB6D14">
        <w:rPr>
          <w:rFonts w:ascii="Times New Roman" w:hAnsi="Times New Roman" w:cs="Times New Roman"/>
          <w:sz w:val="24"/>
          <w:szCs w:val="24"/>
        </w:rPr>
        <w:t xml:space="preserve"> 93: 94-96.</w:t>
      </w:r>
    </w:p>
    <w:p w14:paraId="44CFACAB"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WHO/ UN AIDS </w:t>
      </w:r>
      <w:proofErr w:type="spellStart"/>
      <w:r w:rsidRPr="00AB6D14">
        <w:rPr>
          <w:rFonts w:ascii="Times New Roman" w:hAnsi="Times New Roman" w:cs="Times New Roman"/>
          <w:sz w:val="24"/>
          <w:szCs w:val="24"/>
        </w:rPr>
        <w:t>Programme</w:t>
      </w:r>
      <w:proofErr w:type="spellEnd"/>
      <w:r w:rsidRPr="00AB6D14">
        <w:rPr>
          <w:rFonts w:ascii="Times New Roman" w:hAnsi="Times New Roman" w:cs="Times New Roman"/>
          <w:sz w:val="24"/>
          <w:szCs w:val="24"/>
        </w:rPr>
        <w:t xml:space="preserve"> (2018). Fact sheet – Latest statistics on the status of AIDS epidemic. www. </w:t>
      </w:r>
      <w:proofErr w:type="spellStart"/>
      <w:r w:rsidRPr="00AB6D14">
        <w:rPr>
          <w:rFonts w:ascii="Times New Roman" w:hAnsi="Times New Roman" w:cs="Times New Roman"/>
          <w:sz w:val="24"/>
          <w:szCs w:val="24"/>
        </w:rPr>
        <w:t>unaids</w:t>
      </w:r>
      <w:proofErr w:type="spellEnd"/>
      <w:r w:rsidRPr="00AB6D14">
        <w:rPr>
          <w:rFonts w:ascii="Times New Roman" w:hAnsi="Times New Roman" w:cs="Times New Roman"/>
          <w:sz w:val="24"/>
          <w:szCs w:val="24"/>
        </w:rPr>
        <w:t>. org. Archived from the original on July 13, 2017. @ htt://www.who.int/medacare/factsheets/fs360/en/ (Retrieved July 21, 2018).</w:t>
      </w:r>
    </w:p>
    <w:p w14:paraId="6E1FEE51"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F64D33">
        <w:rPr>
          <w:rFonts w:ascii="Times New Roman" w:hAnsi="Times New Roman" w:cs="Times New Roman"/>
          <w:sz w:val="24"/>
          <w:szCs w:val="24"/>
          <w:lang w:val="de-DE"/>
        </w:rPr>
        <w:t xml:space="preserve">Wolkoff, A. W. &amp; Berk, P. D. (2012). </w:t>
      </w:r>
      <w:proofErr w:type="spellStart"/>
      <w:r w:rsidRPr="00AB6D14">
        <w:rPr>
          <w:rFonts w:ascii="Times New Roman" w:hAnsi="Times New Roman" w:cs="Times New Roman"/>
          <w:sz w:val="24"/>
          <w:szCs w:val="24"/>
        </w:rPr>
        <w:t>Bilrubin</w:t>
      </w:r>
      <w:proofErr w:type="spellEnd"/>
      <w:r w:rsidRPr="00AB6D14">
        <w:rPr>
          <w:rFonts w:ascii="Times New Roman" w:hAnsi="Times New Roman" w:cs="Times New Roman"/>
          <w:sz w:val="24"/>
          <w:szCs w:val="24"/>
        </w:rPr>
        <w:t xml:space="preserve"> metabolism and jaundice. In E. R. Schiff, W. C. Maddrey, and M. F. Sorrell (Eds). </w:t>
      </w:r>
      <w:proofErr w:type="spellStart"/>
      <w:r w:rsidRPr="00AB6D14">
        <w:rPr>
          <w:rFonts w:ascii="Times New Roman" w:hAnsi="Times New Roman" w:cs="Times New Roman"/>
          <w:i/>
          <w:sz w:val="24"/>
          <w:szCs w:val="24"/>
        </w:rPr>
        <w:t>Schipff’s</w:t>
      </w:r>
      <w:proofErr w:type="spellEnd"/>
      <w:r w:rsidRPr="00AB6D14">
        <w:rPr>
          <w:rFonts w:ascii="Times New Roman" w:hAnsi="Times New Roman" w:cs="Times New Roman"/>
          <w:i/>
          <w:sz w:val="24"/>
          <w:szCs w:val="24"/>
        </w:rPr>
        <w:t xml:space="preserve"> diseases of the liver II.</w:t>
      </w:r>
      <w:r w:rsidRPr="00AB6D14">
        <w:rPr>
          <w:rFonts w:ascii="Times New Roman" w:hAnsi="Times New Roman" w:cs="Times New Roman"/>
          <w:sz w:val="24"/>
          <w:szCs w:val="24"/>
        </w:rPr>
        <w:t xml:space="preserve"> New Jersey, USA: Wiley Publisher, Hoboken, 120-151Pp.</w:t>
      </w:r>
    </w:p>
    <w:p w14:paraId="5A067D3B"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World Health Organization (2015) </w:t>
      </w:r>
      <w:r w:rsidRPr="00AB6D14">
        <w:rPr>
          <w:rFonts w:ascii="Times New Roman" w:hAnsi="Times New Roman" w:cs="Times New Roman"/>
          <w:i/>
          <w:sz w:val="24"/>
          <w:szCs w:val="24"/>
        </w:rPr>
        <w:t>Guideline on when to start antiretroviral therapy and on pre-exposure prophylaxis for HIV.</w:t>
      </w:r>
      <w:r w:rsidRPr="00AB6D14">
        <w:rPr>
          <w:rFonts w:ascii="Times New Roman" w:hAnsi="Times New Roman" w:cs="Times New Roman"/>
          <w:sz w:val="24"/>
          <w:szCs w:val="24"/>
        </w:rPr>
        <w:t xml:space="preserve"> Geneva: WHO.  </w:t>
      </w:r>
    </w:p>
    <w:p w14:paraId="45FF182D"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World Health Organization (2018). New WHO recommendations: Antiretroviral therapy for adults and adolescents. Geneva: WHO.  </w:t>
      </w:r>
    </w:p>
    <w:p w14:paraId="664F44B8" w14:textId="77777777" w:rsidR="00FB297B" w:rsidRPr="00AB6D14" w:rsidRDefault="00FB297B" w:rsidP="00FB297B">
      <w:pPr>
        <w:pStyle w:val="ListParagraph"/>
        <w:numPr>
          <w:ilvl w:val="0"/>
          <w:numId w:val="4"/>
        </w:numPr>
        <w:rPr>
          <w:rFonts w:ascii="Times New Roman" w:hAnsi="Times New Roman" w:cs="Times New Roman"/>
          <w:sz w:val="24"/>
          <w:szCs w:val="24"/>
        </w:rPr>
      </w:pPr>
      <w:r w:rsidRPr="00AB6D14">
        <w:rPr>
          <w:rFonts w:ascii="Times New Roman" w:hAnsi="Times New Roman" w:cs="Times New Roman"/>
          <w:sz w:val="24"/>
          <w:szCs w:val="24"/>
        </w:rPr>
        <w:t xml:space="preserve">Zall, D. M., Donald, F. &amp; Garner, M. Q. (1956). Photometric determination of chloride in water. </w:t>
      </w:r>
      <w:r w:rsidRPr="00AB6D14">
        <w:rPr>
          <w:rFonts w:ascii="Times New Roman" w:hAnsi="Times New Roman" w:cs="Times New Roman"/>
          <w:i/>
          <w:sz w:val="24"/>
          <w:szCs w:val="24"/>
        </w:rPr>
        <w:t>Journal of Analytical Chemistry,</w:t>
      </w:r>
      <w:r w:rsidRPr="00AB6D14">
        <w:rPr>
          <w:rFonts w:ascii="Times New Roman" w:hAnsi="Times New Roman" w:cs="Times New Roman"/>
          <w:sz w:val="24"/>
          <w:szCs w:val="24"/>
        </w:rPr>
        <w:t xml:space="preserve"> 28(11): 1665-1668.</w:t>
      </w:r>
    </w:p>
    <w:bookmarkEnd w:id="13"/>
    <w:p w14:paraId="0A0C46E6" w14:textId="1425BFD4" w:rsidR="00FB297B" w:rsidRDefault="00FB297B" w:rsidP="00FB297B">
      <w:pPr>
        <w:spacing w:after="0" w:line="360" w:lineRule="auto"/>
        <w:ind w:left="720" w:hanging="720"/>
        <w:jc w:val="both"/>
        <w:rPr>
          <w:rFonts w:ascii="Times New Roman" w:eastAsia="Times New Roman" w:hAnsi="Times New Roman" w:cs="Times New Roman"/>
          <w:b/>
          <w:sz w:val="24"/>
          <w:szCs w:val="24"/>
        </w:rPr>
      </w:pPr>
    </w:p>
    <w:p w14:paraId="569A882B" w14:textId="37086E15" w:rsidR="00A36193" w:rsidRPr="00AB6D14" w:rsidRDefault="00A36193" w:rsidP="00FB297B">
      <w:pPr>
        <w:spacing w:after="0" w:line="360" w:lineRule="auto"/>
        <w:ind w:left="720" w:hanging="720"/>
        <w:jc w:val="both"/>
        <w:rPr>
          <w:rFonts w:ascii="Times New Roman" w:eastAsia="Times New Roman" w:hAnsi="Times New Roman" w:cs="Times New Roman"/>
          <w:b/>
          <w:sz w:val="24"/>
          <w:szCs w:val="24"/>
        </w:rPr>
      </w:pPr>
    </w:p>
    <w:sectPr w:rsidR="00A36193" w:rsidRPr="00AB6D14" w:rsidSect="00530944">
      <w:pgSz w:w="12240" w:h="15840"/>
      <w:pgMar w:top="1440" w:right="4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BAD8" w14:textId="77777777" w:rsidR="00CE2111" w:rsidRDefault="00CE2111" w:rsidP="00F64D33">
      <w:pPr>
        <w:spacing w:after="0" w:line="240" w:lineRule="auto"/>
      </w:pPr>
      <w:r>
        <w:separator/>
      </w:r>
    </w:p>
  </w:endnote>
  <w:endnote w:type="continuationSeparator" w:id="0">
    <w:p w14:paraId="6D7C89F7" w14:textId="77777777" w:rsidR="00CE2111" w:rsidRDefault="00CE2111" w:rsidP="00F6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A2FE" w14:textId="77777777" w:rsidR="00F64D33" w:rsidRDefault="00F64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0C3F" w14:textId="77777777" w:rsidR="00F64D33" w:rsidRDefault="00F64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C528" w14:textId="77777777" w:rsidR="00F64D33" w:rsidRDefault="00F6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54E4" w14:textId="77777777" w:rsidR="00CE2111" w:rsidRDefault="00CE2111" w:rsidP="00F64D33">
      <w:pPr>
        <w:spacing w:after="0" w:line="240" w:lineRule="auto"/>
      </w:pPr>
      <w:r>
        <w:separator/>
      </w:r>
    </w:p>
  </w:footnote>
  <w:footnote w:type="continuationSeparator" w:id="0">
    <w:p w14:paraId="2C9D30D0" w14:textId="77777777" w:rsidR="00CE2111" w:rsidRDefault="00CE2111" w:rsidP="00F64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3E6C" w14:textId="7CF0F366" w:rsidR="00F64D33" w:rsidRDefault="00C712BD">
    <w:pPr>
      <w:pStyle w:val="Header"/>
    </w:pPr>
    <w:r>
      <w:rPr>
        <w:noProof/>
      </w:rPr>
      <w:pict w14:anchorId="23472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71282" o:spid="_x0000_s2051" type="#_x0000_t136" style="position:absolute;margin-left:0;margin-top:0;width:614.4pt;height:115.2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EF6C" w14:textId="6FCE28DF" w:rsidR="00F64D33" w:rsidRDefault="00C712BD">
    <w:pPr>
      <w:pStyle w:val="Header"/>
    </w:pPr>
    <w:r>
      <w:rPr>
        <w:noProof/>
      </w:rPr>
      <w:pict w14:anchorId="410B7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71283" o:spid="_x0000_s2050" type="#_x0000_t136" style="position:absolute;margin-left:0;margin-top:0;width:614.4pt;height:115.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2FFB" w14:textId="22D53A48" w:rsidR="00F64D33" w:rsidRDefault="00C712BD">
    <w:pPr>
      <w:pStyle w:val="Header"/>
    </w:pPr>
    <w:r>
      <w:rPr>
        <w:noProof/>
      </w:rPr>
      <w:pict w14:anchorId="1C1D1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471281" o:spid="_x0000_s2049" type="#_x0000_t136" style="position:absolute;margin-left:0;margin-top:0;width:614.4pt;height:115.2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43B"/>
    <w:multiLevelType w:val="multilevel"/>
    <w:tmpl w:val="DCC04A14"/>
    <w:lvl w:ilvl="0">
      <w:start w:val="5"/>
      <w:numFmt w:val="decimal"/>
      <w:lvlText w:val="%1"/>
      <w:lvlJc w:val="left"/>
      <w:pPr>
        <w:ind w:left="360" w:hanging="360"/>
      </w:pPr>
      <w:rPr>
        <w:rFonts w:cs="Times New Roman"/>
      </w:rPr>
    </w:lvl>
    <w:lvl w:ilvl="1">
      <w:start w:val="1"/>
      <w:numFmt w:val="decimal"/>
      <w:lvlText w:val="%1.%2"/>
      <w:lvlJc w:val="left"/>
      <w:pPr>
        <w:ind w:left="720" w:hanging="360"/>
      </w:pPr>
      <w:rPr>
        <w:rFonts w:cs="Times New Roman"/>
        <w:b/>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 w15:restartNumberingAfterBreak="0">
    <w:nsid w:val="2DC239F9"/>
    <w:multiLevelType w:val="multilevel"/>
    <w:tmpl w:val="C28AB52C"/>
    <w:lvl w:ilvl="0">
      <w:start w:val="3"/>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b w:val="0"/>
      </w:rPr>
    </w:lvl>
    <w:lvl w:ilvl="3">
      <w:start w:val="1"/>
      <w:numFmt w:val="decimal"/>
      <w:lvlText w:val="%1.%2.%3.%4"/>
      <w:lvlJc w:val="left"/>
      <w:pPr>
        <w:ind w:left="2160" w:hanging="1080"/>
      </w:pPr>
      <w:rPr>
        <w:rFonts w:cs="Times New Roman"/>
        <w:b w:val="0"/>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2" w15:restartNumberingAfterBreak="0">
    <w:nsid w:val="5A2511B5"/>
    <w:multiLevelType w:val="hybridMultilevel"/>
    <w:tmpl w:val="CAB86C38"/>
    <w:lvl w:ilvl="0" w:tplc="080CEEC4">
      <w:start w:val="1"/>
      <w:numFmt w:val="lowerRoman"/>
      <w:lvlText w:val="%1."/>
      <w:lvlJc w:val="left"/>
      <w:pPr>
        <w:ind w:left="1080" w:hanging="72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766128E5"/>
    <w:multiLevelType w:val="hybridMultilevel"/>
    <w:tmpl w:val="A3DA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9344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561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12216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589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zszQxNzc0MjA1tLBU0lEKTi0uzszPAykwrAUANUybxCwAAAA="/>
  </w:docVars>
  <w:rsids>
    <w:rsidRoot w:val="002E7836"/>
    <w:rsid w:val="00001385"/>
    <w:rsid w:val="000138CA"/>
    <w:rsid w:val="0004770A"/>
    <w:rsid w:val="000C62D5"/>
    <w:rsid w:val="000E08EC"/>
    <w:rsid w:val="0014641A"/>
    <w:rsid w:val="00154C81"/>
    <w:rsid w:val="00193DA4"/>
    <w:rsid w:val="002C3546"/>
    <w:rsid w:val="002C5746"/>
    <w:rsid w:val="002E7836"/>
    <w:rsid w:val="00302BAE"/>
    <w:rsid w:val="00362CB3"/>
    <w:rsid w:val="003729B3"/>
    <w:rsid w:val="003A0EB9"/>
    <w:rsid w:val="003D2680"/>
    <w:rsid w:val="00447759"/>
    <w:rsid w:val="00450809"/>
    <w:rsid w:val="004552BB"/>
    <w:rsid w:val="004944E5"/>
    <w:rsid w:val="004B33F6"/>
    <w:rsid w:val="004C6476"/>
    <w:rsid w:val="004D224B"/>
    <w:rsid w:val="004D40E6"/>
    <w:rsid w:val="004D7B94"/>
    <w:rsid w:val="00530944"/>
    <w:rsid w:val="00580861"/>
    <w:rsid w:val="005C04B0"/>
    <w:rsid w:val="006173E2"/>
    <w:rsid w:val="00642C72"/>
    <w:rsid w:val="006865F7"/>
    <w:rsid w:val="0069153E"/>
    <w:rsid w:val="006D1E59"/>
    <w:rsid w:val="007005BD"/>
    <w:rsid w:val="007460E0"/>
    <w:rsid w:val="00774891"/>
    <w:rsid w:val="007E7E61"/>
    <w:rsid w:val="00804586"/>
    <w:rsid w:val="00820977"/>
    <w:rsid w:val="00823FC9"/>
    <w:rsid w:val="0093606E"/>
    <w:rsid w:val="009533A9"/>
    <w:rsid w:val="00986439"/>
    <w:rsid w:val="00991506"/>
    <w:rsid w:val="009B379D"/>
    <w:rsid w:val="009F0F8F"/>
    <w:rsid w:val="00A01F80"/>
    <w:rsid w:val="00A164EB"/>
    <w:rsid w:val="00A36193"/>
    <w:rsid w:val="00A62EB8"/>
    <w:rsid w:val="00AB6D14"/>
    <w:rsid w:val="00B1423F"/>
    <w:rsid w:val="00B2011A"/>
    <w:rsid w:val="00B7533A"/>
    <w:rsid w:val="00BA223F"/>
    <w:rsid w:val="00BB133A"/>
    <w:rsid w:val="00BC5CB5"/>
    <w:rsid w:val="00BC6943"/>
    <w:rsid w:val="00BE6F8E"/>
    <w:rsid w:val="00C23E0B"/>
    <w:rsid w:val="00C712BD"/>
    <w:rsid w:val="00CB4891"/>
    <w:rsid w:val="00CE2111"/>
    <w:rsid w:val="00D20FA2"/>
    <w:rsid w:val="00D635DB"/>
    <w:rsid w:val="00D903F5"/>
    <w:rsid w:val="00DB6FF7"/>
    <w:rsid w:val="00E1387E"/>
    <w:rsid w:val="00E343B7"/>
    <w:rsid w:val="00E529F8"/>
    <w:rsid w:val="00E844F4"/>
    <w:rsid w:val="00F079C1"/>
    <w:rsid w:val="00F64D33"/>
    <w:rsid w:val="00FB297B"/>
    <w:rsid w:val="00FB53E6"/>
    <w:rsid w:val="00FD0FD0"/>
    <w:rsid w:val="00FF3062"/>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0B132F"/>
  <w15:chartTrackingRefBased/>
  <w15:docId w15:val="{96A0F8D6-436F-4304-991A-3F0E4AA4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22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D22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97B"/>
    <w:pPr>
      <w:ind w:left="720"/>
      <w:contextualSpacing/>
    </w:pPr>
  </w:style>
  <w:style w:type="character" w:styleId="Hyperlink">
    <w:name w:val="Hyperlink"/>
    <w:basedOn w:val="DefaultParagraphFont"/>
    <w:uiPriority w:val="99"/>
    <w:unhideWhenUsed/>
    <w:rsid w:val="00B2011A"/>
    <w:rPr>
      <w:color w:val="0563C1" w:themeColor="hyperlink"/>
      <w:u w:val="single"/>
    </w:rPr>
  </w:style>
  <w:style w:type="character" w:customStyle="1" w:styleId="UnresolvedMention1">
    <w:name w:val="Unresolved Mention1"/>
    <w:basedOn w:val="DefaultParagraphFont"/>
    <w:uiPriority w:val="99"/>
    <w:semiHidden/>
    <w:unhideWhenUsed/>
    <w:rsid w:val="00BC6943"/>
    <w:rPr>
      <w:color w:val="605E5C"/>
      <w:shd w:val="clear" w:color="auto" w:fill="E1DFDD"/>
    </w:rPr>
  </w:style>
  <w:style w:type="paragraph" w:styleId="Header">
    <w:name w:val="header"/>
    <w:basedOn w:val="Normal"/>
    <w:link w:val="HeaderChar"/>
    <w:uiPriority w:val="99"/>
    <w:unhideWhenUsed/>
    <w:rsid w:val="00F6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D33"/>
  </w:style>
  <w:style w:type="paragraph" w:styleId="Footer">
    <w:name w:val="footer"/>
    <w:basedOn w:val="Normal"/>
    <w:link w:val="FooterChar"/>
    <w:uiPriority w:val="99"/>
    <w:unhideWhenUsed/>
    <w:rsid w:val="00F6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8462</Words>
  <Characters>48239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18</cp:revision>
  <dcterms:created xsi:type="dcterms:W3CDTF">2024-12-23T21:17:00Z</dcterms:created>
  <dcterms:modified xsi:type="dcterms:W3CDTF">2024-12-26T07:04:00Z</dcterms:modified>
</cp:coreProperties>
</file>