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rPr>
          <w:rFonts w:ascii="Arial" w:hAnsi="Arial" w:cs="Arial"/>
          <w:bCs/>
          <w:i/>
          <w:iCs/>
          <w:kern w:val="28"/>
          <w:sz w:val="36"/>
          <w:u w:val="single"/>
        </w:rPr>
      </w:pPr>
      <w:r>
        <w:rPr>
          <w:rFonts w:ascii="Arial" w:hAnsi="Arial" w:cs="Arial"/>
          <w:bCs/>
          <w:i/>
          <w:iCs/>
          <w:kern w:val="28"/>
          <w:sz w:val="36"/>
          <w:u w:val="single"/>
        </w:rPr>
        <w:t>Original Research Article</w:t>
      </w:r>
    </w:p>
    <w:p>
      <w:pPr>
        <w:pStyle w:val="11"/>
        <w:spacing w:after="0"/>
        <w:jc w:val="both"/>
        <w:rPr>
          <w:rFonts w:ascii="Arial" w:hAnsi="Arial" w:cs="Arial"/>
        </w:rPr>
      </w:pPr>
      <w:bookmarkStart w:id="0" w:name="_GoBack"/>
      <w:bookmarkEnd w:id="0"/>
    </w:p>
    <w:p>
      <w:pPr>
        <w:pStyle w:val="21"/>
        <w:spacing w:line="240" w:lineRule="auto"/>
        <w:rPr>
          <w:rFonts w:ascii="Arial" w:hAnsi="Arial" w:cs="Arial"/>
          <w:bCs/>
          <w:iCs/>
          <w:color w:val="FF0000"/>
          <w:kern w:val="28"/>
          <w:sz w:val="36"/>
        </w:rPr>
      </w:pPr>
      <w:r>
        <w:rPr>
          <w:rFonts w:ascii="Arial" w:hAnsi="Arial" w:cs="Arial"/>
          <w:bCs/>
          <w:iCs/>
          <w:color w:val="FF0000"/>
          <w:kern w:val="28"/>
          <w:sz w:val="36"/>
        </w:rPr>
        <w:t>Revitalizing an Endangered Language Through Intangible Cultural Heritage: Evidence from the Hezhe Ethnic Group in China</w:t>
      </w:r>
    </w:p>
    <w:p>
      <w:pPr>
        <w:pStyle w:val="21"/>
        <w:spacing w:line="240" w:lineRule="auto"/>
        <w:jc w:val="both"/>
        <w:rPr>
          <w:rFonts w:ascii="Arial" w:hAnsi="Arial" w:cs="Arial"/>
          <w:sz w:val="36"/>
        </w:rPr>
      </w:pPr>
    </w:p>
    <w:p>
      <w:pPr>
        <w:pStyle w:val="22"/>
        <w:wordWrap w:val="0"/>
        <w:spacing w:after="0" w:line="240" w:lineRule="auto"/>
        <w:rPr>
          <w:rFonts w:ascii="Arial" w:hAnsi="Arial" w:cs="Arial"/>
          <w:i/>
          <w:lang w:eastAsia="zh-CN"/>
        </w:rPr>
      </w:pPr>
    </w:p>
    <w:p>
      <w:pPr>
        <w:pStyle w:val="22"/>
        <w:spacing w:after="0" w:line="240" w:lineRule="auto"/>
        <w:jc w:val="both"/>
        <w:rPr>
          <w:rFonts w:ascii="Arial" w:hAnsi="Arial" w:cs="Arial"/>
        </w:rPr>
      </w:pPr>
    </w:p>
    <w:p>
      <w:pPr>
        <w:pStyle w:val="22"/>
        <w:spacing w:after="0" w:line="240" w:lineRule="auto"/>
        <w:jc w:val="both"/>
        <w:rPr>
          <w:rFonts w:ascii="Arial" w:hAnsi="Arial" w:cs="Arial"/>
        </w:rPr>
      </w:pPr>
    </w:p>
    <w:p>
      <w:pPr>
        <w:pStyle w:val="33"/>
        <w:spacing w:after="0" w:line="240" w:lineRule="auto"/>
        <w:jc w:val="both"/>
        <w:rPr>
          <w:rFonts w:ascii="Arial" w:hAnsi="Arial" w:cs="Arial"/>
        </w:rPr>
        <w:sectPr>
          <w:headerReference r:id="rId6" w:type="first"/>
          <w:footerReference r:id="rId9" w:type="first"/>
          <w:headerReference r:id="rId4" w:type="default"/>
          <w:footerReference r:id="rId7" w:type="default"/>
          <w:headerReference r:id="rId5" w:type="even"/>
          <w:footerReference r:id="rId8" w:type="even"/>
          <w:footnotePr>
            <w:numFmt w:val="decimalEnclosedCircleChinese"/>
            <w:numRestart w:val="eachPage"/>
          </w:footnotePr>
          <w:pgSz w:w="12240" w:h="15840"/>
          <w:pgMar w:top="1440" w:right="2016" w:bottom="2016" w:left="2016" w:header="720" w:footer="1296" w:gutter="0"/>
          <w:cols w:space="720" w:num="1"/>
          <w:docGrid w:linePitch="272" w:charSpace="0"/>
        </w:sectPr>
      </w:pPr>
      <w:r>
        <w:rPr>
          <w:rFonts w:ascii="Arial" w:hAnsi="Arial" w:cs="Arial"/>
          <w:lang w:eastAsia="zh-CN"/>
        </w:rPr>
        <mc:AlternateContent>
          <mc:Choice Requires="wps">
            <w:drawing>
              <wp:inline distT="0" distB="0" distL="0" distR="0">
                <wp:extent cx="5303520" cy="0"/>
                <wp:effectExtent l="15240" t="15240" r="15240" b="13335"/>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pt;width:417.6pt;" filled="f" stroked="t" coordsize="21600,21600" o:gfxdata="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CwSEHfPAAAAAgEA&#10;AA8AAAAAAAAAAQAgAAAAOAAAAGRycy9kb3ducmV2LnhtbFBLAQIUABQAAAAIAIdO4kAxwWbM1AEA&#10;ALMDAAAOAAAAAAAAAAEAIAAAADQBAABkcnMvZTJvRG9jLnhtbFBLBQYAAAAABgAGAFkBAAB6BQAA&#10;AAA=&#10;">
                <v:fill on="f" focussize="0,0"/>
                <v:stroke weight="1.5pt" color="#000000" joinstyle="round"/>
                <v:imagedata o:title=""/>
                <o:lock v:ext="edit" aspectratio="f"/>
                <w10:wrap type="none"/>
                <w10:anchorlock/>
              </v:shape>
            </w:pict>
          </mc:Fallback>
        </mc:AlternateContent>
      </w:r>
      <w:r>
        <w:rPr>
          <w:rFonts w:ascii="Arial" w:hAnsi="Arial" w:cs="Arial"/>
        </w:rPr>
        <w:t>.</w:t>
      </w:r>
    </w:p>
    <w:p>
      <w:pPr>
        <w:pStyle w:val="24"/>
        <w:spacing w:after="0"/>
        <w:jc w:val="both"/>
        <w:rPr>
          <w:rFonts w:ascii="Arial" w:hAnsi="Arial" w:cs="Arial"/>
        </w:rPr>
      </w:pPr>
      <w:r>
        <w:rPr>
          <w:rFonts w:ascii="Arial" w:hAnsi="Arial" w:cs="Arial"/>
        </w:rPr>
        <w:t>ABSTRACT</w:t>
      </w:r>
    </w:p>
    <w:p>
      <w:pPr>
        <w:pStyle w:val="24"/>
        <w:spacing w:after="0"/>
        <w:jc w:val="both"/>
        <w:rPr>
          <w:rFonts w:ascii="Arial" w:hAnsi="Arial" w:cs="Arial"/>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tc>
          <w:tcPr>
            <w:tcW w:w="9576" w:type="dxa"/>
            <w:shd w:val="clear" w:color="auto" w:fill="F2F2F2"/>
          </w:tcPr>
          <w:p>
            <w:pPr>
              <w:pStyle w:val="23"/>
              <w:spacing w:after="0"/>
              <w:rPr>
                <w:rFonts w:ascii="Arial" w:hAnsi="Arial" w:eastAsia="Calibri" w:cs="Arial"/>
                <w:b/>
                <w:szCs w:val="22"/>
              </w:rPr>
            </w:pPr>
          </w:p>
          <w:p>
            <w:pPr>
              <w:pStyle w:val="23"/>
              <w:spacing w:after="0"/>
              <w:rPr>
                <w:rFonts w:ascii="Arial" w:hAnsi="Arial" w:eastAsia="Calibri" w:cs="Arial"/>
                <w:color w:val="FF0000"/>
                <w:szCs w:val="22"/>
              </w:rPr>
            </w:pPr>
            <w:r>
              <w:rPr>
                <w:rFonts w:ascii="Arial" w:hAnsi="Arial" w:eastAsia="Calibri" w:cs="Arial"/>
                <w:b/>
                <w:color w:val="FF0000"/>
                <w:szCs w:val="22"/>
              </w:rPr>
              <w:t xml:space="preserve">Aims: </w:t>
            </w:r>
            <w:r>
              <w:rPr>
                <w:rFonts w:ascii="Arial" w:hAnsi="Arial" w:eastAsia="Calibri" w:cs="Arial"/>
                <w:color w:val="FF0000"/>
                <w:szCs w:val="22"/>
              </w:rPr>
              <w:t>The study investigated means for protecting Hezhe endangered language through oral literature.</w:t>
            </w:r>
          </w:p>
          <w:p>
            <w:pPr>
              <w:pStyle w:val="23"/>
              <w:spacing w:after="0"/>
              <w:rPr>
                <w:rFonts w:ascii="Arial" w:hAnsi="Arial" w:eastAsia="Calibri" w:cs="Arial"/>
                <w:color w:val="FF0000"/>
                <w:szCs w:val="22"/>
              </w:rPr>
            </w:pPr>
            <w:r>
              <w:rPr>
                <w:rFonts w:ascii="Arial" w:hAnsi="Arial" w:eastAsia="Calibri" w:cs="Arial"/>
                <w:b/>
                <w:color w:val="FF0000"/>
                <w:szCs w:val="22"/>
              </w:rPr>
              <w:t>Study design:</w:t>
            </w:r>
            <w:r>
              <w:rPr>
                <w:rFonts w:ascii="Arial" w:hAnsi="Arial" w:eastAsia="Calibri" w:cs="Arial"/>
                <w:color w:val="FF0000"/>
                <w:szCs w:val="22"/>
              </w:rPr>
              <w:t xml:space="preserve">  The study was based on Anthropology Linguistics approach.</w:t>
            </w:r>
          </w:p>
          <w:p>
            <w:pPr>
              <w:pStyle w:val="23"/>
              <w:spacing w:after="0"/>
              <w:rPr>
                <w:rFonts w:ascii="Arial" w:hAnsi="Arial" w:eastAsia="Calibri" w:cs="Arial"/>
                <w:color w:val="FF0000"/>
                <w:szCs w:val="22"/>
              </w:rPr>
            </w:pPr>
            <w:r>
              <w:rPr>
                <w:rFonts w:ascii="Arial" w:hAnsi="Arial" w:eastAsia="Calibri" w:cs="Arial"/>
                <w:b/>
                <w:color w:val="FF0000"/>
                <w:szCs w:val="22"/>
              </w:rPr>
              <w:t>Place and Duration of Study:</w:t>
            </w:r>
            <w:r>
              <w:rPr>
                <w:rFonts w:ascii="Arial" w:hAnsi="Arial" w:eastAsia="Calibri" w:cs="Arial"/>
                <w:color w:val="FF0000"/>
                <w:szCs w:val="22"/>
              </w:rPr>
              <w:t xml:space="preserve"> The study was taken place in Heilongjiang Province, China, between May 2023 and July 2024.</w:t>
            </w:r>
          </w:p>
          <w:p>
            <w:pPr>
              <w:pStyle w:val="23"/>
              <w:spacing w:after="0"/>
              <w:rPr>
                <w:rFonts w:ascii="Arial" w:hAnsi="Arial" w:eastAsia="Calibri" w:cs="Arial"/>
                <w:color w:val="FF0000"/>
                <w:szCs w:val="22"/>
              </w:rPr>
            </w:pPr>
            <w:r>
              <w:rPr>
                <w:rFonts w:ascii="Arial" w:hAnsi="Arial" w:eastAsia="Calibri" w:cs="Arial"/>
                <w:b/>
                <w:bCs/>
                <w:color w:val="FF0000"/>
                <w:szCs w:val="22"/>
              </w:rPr>
              <w:t>Methodology:</w:t>
            </w:r>
            <w:r>
              <w:rPr>
                <w:rFonts w:ascii="Arial" w:hAnsi="Arial" w:eastAsia="Calibri" w:cs="Arial"/>
                <w:color w:val="FF0000"/>
                <w:szCs w:val="22"/>
              </w:rPr>
              <w:t xml:space="preserve"> The study is a field investigation study. A total of 115 participants took part in  </w:t>
            </w:r>
            <w:r>
              <w:rPr>
                <w:rFonts w:hint="default" w:ascii="Arial" w:hAnsi="Arial" w:eastAsia="Calibri" w:cs="Arial"/>
                <w:color w:val="FF0000"/>
                <w:szCs w:val="22"/>
                <w:lang w:val="en-US"/>
              </w:rPr>
              <w:t>it</w:t>
            </w:r>
            <w:r>
              <w:rPr>
                <w:rFonts w:ascii="Arial" w:hAnsi="Arial" w:eastAsia="Calibri" w:cs="Arial"/>
                <w:color w:val="FF0000"/>
                <w:szCs w:val="22"/>
              </w:rPr>
              <w:t>. The study employs various research methods, including questionnaire surveys, interviews, and field observations which were analyzed using descriptive statistics</w:t>
            </w:r>
            <w:r>
              <w:rPr>
                <w:rFonts w:ascii="Times New Roman" w:hAnsi="Times New Roman"/>
                <w:snapToGrid w:val="0"/>
                <w:color w:val="FF0000"/>
              </w:rPr>
              <w:t>.</w:t>
            </w:r>
          </w:p>
          <w:p>
            <w:pPr>
              <w:pStyle w:val="23"/>
              <w:spacing w:after="0"/>
              <w:rPr>
                <w:rFonts w:ascii="Arial" w:hAnsi="Arial" w:eastAsia="Calibri" w:cs="Arial"/>
                <w:b/>
                <w:bCs/>
                <w:color w:val="FF0000"/>
                <w:szCs w:val="22"/>
              </w:rPr>
            </w:pPr>
            <w:r>
              <w:rPr>
                <w:rFonts w:ascii="Arial" w:hAnsi="Arial" w:eastAsia="Calibri" w:cs="Arial"/>
                <w:b/>
                <w:bCs/>
                <w:color w:val="FF0000"/>
                <w:szCs w:val="22"/>
              </w:rPr>
              <w:t xml:space="preserve">Results: </w:t>
            </w:r>
            <w:r>
              <w:rPr>
                <w:rFonts w:ascii="Arial" w:hAnsi="Arial" w:eastAsia="Calibri" w:cs="Arial"/>
                <w:bCs/>
                <w:color w:val="FF0000"/>
                <w:szCs w:val="22"/>
              </w:rPr>
              <w:t>T</w:t>
            </w:r>
            <w:r>
              <w:rPr>
                <w:rFonts w:ascii="Arial" w:hAnsi="Arial" w:eastAsia="Calibri" w:cs="Arial"/>
                <w:color w:val="FF0000"/>
                <w:szCs w:val="22"/>
              </w:rPr>
              <w:t>he study reveals that the language proficiency of the Hezhe people has improved. About 28 participants could almost understand Hezhe language and 27 participants could almost speak Hezhe language. In recent years, as Hezhe Imakan and Jialingkuo have been recognized as part of the World Intangible Cultural Heritage List and the National Intangible Cultural Heritage List, various language and culture training centers have been established both online and offline in the Hezhe region. The establishment of cultural ecological protection zones in Hezhe ethnic settlements has provided a supportive environment for the survival and development of their language and culture.</w:t>
            </w:r>
          </w:p>
          <w:p>
            <w:pPr>
              <w:pStyle w:val="23"/>
              <w:spacing w:after="0"/>
              <w:rPr>
                <w:rFonts w:ascii="Arial" w:hAnsi="Arial" w:eastAsia="Calibri" w:cs="Arial"/>
                <w:color w:val="FF0000"/>
                <w:szCs w:val="22"/>
              </w:rPr>
            </w:pPr>
            <w:r>
              <w:rPr>
                <w:rFonts w:ascii="Arial" w:hAnsi="Arial" w:eastAsia="Calibri" w:cs="Arial"/>
                <w:b/>
                <w:bCs/>
                <w:color w:val="FF0000"/>
                <w:szCs w:val="22"/>
              </w:rPr>
              <w:t>Conclusion:</w:t>
            </w:r>
            <w:r>
              <w:rPr>
                <w:rFonts w:ascii="Arial" w:hAnsi="Arial" w:eastAsia="Calibri" w:cs="Arial"/>
                <w:color w:val="FF0000"/>
                <w:szCs w:val="22"/>
              </w:rPr>
              <w:t xml:space="preserve"> The development model that integrates culture and tourism has injected new momentum into the sustainable development of the Hezhe language and culture.</w:t>
            </w:r>
          </w:p>
          <w:p>
            <w:pPr>
              <w:pStyle w:val="23"/>
              <w:spacing w:after="0"/>
              <w:rPr>
                <w:rFonts w:ascii="Arial" w:hAnsi="Arial" w:eastAsia="Calibri" w:cs="Arial"/>
                <w:color w:val="FF0000"/>
                <w:szCs w:val="22"/>
              </w:rPr>
            </w:pPr>
            <w:r>
              <w:rPr>
                <w:b/>
                <w:color w:val="FF0000"/>
                <w:lang w:val="en-GB"/>
              </w:rPr>
              <w:t>Innovative Aspects and Practical Implications of This Study:</w:t>
            </w:r>
            <w:r>
              <w:rPr>
                <w:color w:val="FF0000"/>
                <w:lang w:val="en-GB"/>
              </w:rPr>
              <w:t xml:space="preserve"> The findings in the current delivered a comprehensive model for preserving the </w:t>
            </w:r>
            <w:r>
              <w:rPr>
                <w:rFonts w:hint="default"/>
                <w:color w:val="FF0000"/>
                <w:lang w:val="en-US"/>
              </w:rPr>
              <w:t>endangered</w:t>
            </w:r>
            <w:r>
              <w:rPr>
                <w:color w:val="FF0000"/>
                <w:lang w:val="en-GB"/>
              </w:rPr>
              <w:t xml:space="preserve"> language and culture.</w:t>
            </w:r>
          </w:p>
          <w:p>
            <w:pPr>
              <w:pStyle w:val="23"/>
              <w:spacing w:after="0"/>
              <w:rPr>
                <w:rFonts w:ascii="Arial" w:hAnsi="Arial" w:eastAsia="Calibri" w:cs="Arial"/>
                <w:szCs w:val="22"/>
              </w:rPr>
            </w:pPr>
          </w:p>
        </w:tc>
      </w:tr>
    </w:tbl>
    <w:p>
      <w:pPr>
        <w:pStyle w:val="23"/>
        <w:spacing w:after="0"/>
        <w:rPr>
          <w:rFonts w:ascii="Arial" w:hAnsi="Arial" w:cs="Arial"/>
          <w:i/>
        </w:rPr>
      </w:pPr>
    </w:p>
    <w:p>
      <w:pPr>
        <w:pStyle w:val="23"/>
        <w:spacing w:after="0"/>
        <w:rPr>
          <w:rFonts w:ascii="Arial" w:hAnsi="Arial" w:cs="Arial"/>
          <w:i/>
        </w:rPr>
      </w:pPr>
      <w:r>
        <w:rPr>
          <w:rFonts w:ascii="Arial" w:hAnsi="Arial" w:cs="Arial"/>
          <w:i/>
        </w:rPr>
        <w:t>Keywords: oral literature intangible cultural heritage, endangered languages, Hezhe people, protection and inheritance</w:t>
      </w:r>
    </w:p>
    <w:p>
      <w:pPr>
        <w:pStyle w:val="23"/>
        <w:spacing w:after="0"/>
        <w:rPr>
          <w:rFonts w:ascii="Arial" w:hAnsi="Arial" w:cs="Arial"/>
          <w:i/>
        </w:rPr>
      </w:pPr>
    </w:p>
    <w:p>
      <w:pPr>
        <w:pStyle w:val="23"/>
        <w:spacing w:after="0"/>
        <w:rPr>
          <w:rFonts w:ascii="Arial" w:hAnsi="Arial" w:cs="Arial"/>
          <w:i/>
        </w:rPr>
      </w:pPr>
    </w:p>
    <w:p>
      <w:pPr>
        <w:pStyle w:val="23"/>
        <w:spacing w:after="0"/>
        <w:rPr>
          <w:rFonts w:ascii="Arial" w:hAnsi="Arial" w:cs="Arial"/>
          <w:i/>
        </w:rPr>
      </w:pPr>
    </w:p>
    <w:p>
      <w:pPr>
        <w:pStyle w:val="23"/>
        <w:spacing w:after="0"/>
        <w:rPr>
          <w:rFonts w:ascii="Arial" w:hAnsi="Arial" w:cs="Arial"/>
          <w:i/>
        </w:rPr>
      </w:pPr>
    </w:p>
    <w:p>
      <w:pPr>
        <w:pStyle w:val="23"/>
        <w:spacing w:after="0"/>
        <w:rPr>
          <w:rFonts w:ascii="Arial" w:hAnsi="Arial" w:cs="Arial"/>
          <w:i/>
        </w:rPr>
      </w:pPr>
    </w:p>
    <w:p>
      <w:pPr>
        <w:pStyle w:val="23"/>
        <w:spacing w:after="0"/>
        <w:rPr>
          <w:rFonts w:ascii="Arial" w:hAnsi="Arial" w:cs="Arial"/>
          <w:i/>
        </w:rPr>
      </w:pPr>
    </w:p>
    <w:p>
      <w:pPr>
        <w:pStyle w:val="23"/>
        <w:spacing w:after="0"/>
        <w:rPr>
          <w:rFonts w:ascii="Arial" w:hAnsi="Arial" w:cs="Arial"/>
          <w:i/>
        </w:rPr>
      </w:pPr>
    </w:p>
    <w:p>
      <w:pPr>
        <w:pStyle w:val="23"/>
        <w:spacing w:after="0"/>
        <w:rPr>
          <w:rFonts w:ascii="Arial" w:hAnsi="Arial" w:cs="Arial"/>
          <w:i/>
        </w:rPr>
      </w:pPr>
    </w:p>
    <w:p>
      <w:pPr>
        <w:pStyle w:val="23"/>
        <w:spacing w:after="0"/>
        <w:rPr>
          <w:rFonts w:ascii="Arial" w:hAnsi="Arial" w:cs="Arial"/>
          <w:i/>
        </w:rPr>
      </w:pPr>
    </w:p>
    <w:p>
      <w:pPr>
        <w:pStyle w:val="23"/>
        <w:spacing w:after="0"/>
        <w:rPr>
          <w:rFonts w:ascii="Arial" w:hAnsi="Arial" w:cs="Arial"/>
          <w:i/>
        </w:rPr>
      </w:pPr>
    </w:p>
    <w:p>
      <w:pPr>
        <w:pStyle w:val="24"/>
        <w:spacing w:after="0"/>
        <w:jc w:val="both"/>
        <w:rPr>
          <w:rFonts w:ascii="Arial" w:hAnsi="Arial" w:cs="Arial"/>
        </w:rPr>
      </w:pPr>
      <w:r>
        <w:rPr>
          <w:rFonts w:ascii="Arial" w:hAnsi="Arial" w:cs="Arial"/>
        </w:rPr>
        <w:t xml:space="preserve">1. INTRODUCTION </w:t>
      </w:r>
    </w:p>
    <w:p>
      <w:pPr>
        <w:pStyle w:val="24"/>
        <w:spacing w:after="0"/>
        <w:jc w:val="both"/>
        <w:rPr>
          <w:rFonts w:ascii="Arial" w:hAnsi="Arial" w:cs="Arial"/>
        </w:rPr>
      </w:pPr>
    </w:p>
    <w:p>
      <w:pPr>
        <w:pStyle w:val="23"/>
        <w:rPr>
          <w:rFonts w:ascii="Arial" w:hAnsi="Arial" w:cs="Arial"/>
        </w:rPr>
      </w:pPr>
      <w:r>
        <w:rPr>
          <w:rFonts w:ascii="Arial" w:hAnsi="Arial" w:cs="Arial"/>
        </w:rPr>
        <w:t>Language serves as the vessel of human culture, accumulating and embodying a wealth of cultural phenomena (</w:t>
      </w:r>
      <w:r>
        <w:rPr>
          <w:rFonts w:ascii="Arial" w:hAnsi="Arial" w:cs="Arial"/>
          <w:snapToGrid w:val="0"/>
        </w:rPr>
        <w:t xml:space="preserve">Jones, 2021; </w:t>
      </w:r>
      <w:r>
        <w:rPr>
          <w:rFonts w:ascii="Arial" w:hAnsi="Arial" w:cs="Arial"/>
        </w:rPr>
        <w:t xml:space="preserve">Shah &amp; Brenzinger, 2018). Various forms of oral literature, including stories, myths, legends, fables, poems, lyrics, riddles, and dramas, have developed over thousands of years in diverse languages, relying on language for expression (McIvor, 2020; </w:t>
      </w:r>
      <w:r>
        <w:rPr>
          <w:rFonts w:ascii="Arial" w:hAnsi="Arial" w:cs="Arial"/>
          <w:snapToGrid w:val="0"/>
        </w:rPr>
        <w:t>Mulyawan, 2021</w:t>
      </w:r>
      <w:r>
        <w:rPr>
          <w:rFonts w:ascii="Arial" w:hAnsi="Arial" w:cs="Arial"/>
        </w:rPr>
        <w:t>). The extinction of a language can result in the loss of significant cultural phenomena, representing a substantial loss of human heritage (</w:t>
      </w:r>
      <w:r>
        <w:rPr>
          <w:rFonts w:ascii="Arial" w:hAnsi="Arial" w:cs="Arial"/>
          <w:snapToGrid w:val="0"/>
        </w:rPr>
        <w:t>Chiblow &amp; Meighan, 2021; Flores &amp; Chaparro, 2018</w:t>
      </w:r>
      <w:r>
        <w:rPr>
          <w:rFonts w:ascii="Arial" w:hAnsi="Arial" w:cs="Arial"/>
        </w:rPr>
        <w:t>).</w:t>
      </w:r>
    </w:p>
    <w:p>
      <w:pPr>
        <w:pStyle w:val="23"/>
        <w:rPr>
          <w:rFonts w:ascii="Arial" w:hAnsi="Arial" w:cs="Arial"/>
        </w:rPr>
      </w:pPr>
      <w:r>
        <w:rPr>
          <w:rFonts w:ascii="Arial" w:hAnsi="Arial" w:cs="Arial"/>
        </w:rPr>
        <w:t>The Hezhe people are an ethnic group with a relatively small population in China. According to the sixth national census conducted by the Chinese government, there are 5,354 Hezhe individuals, primarily residing in the Sanjiang Plain, where the Heilongjiang, Songhua, and Wusuli rivers converge, as well as in the remnants of Wanda Mountain. It has long reached a consensus that the Hezhe language is endangered. The Hezhe national epic, Imakan Rap, has been recognized by UNESCO as an intangible cultural heritage in urgent need of protection. The Hezhe folk song, Jialingkuo</w:t>
      </w:r>
      <w:r>
        <w:rPr>
          <w:rStyle w:val="20"/>
          <w:rFonts w:ascii="Arial" w:hAnsi="Arial" w:cs="Arial"/>
        </w:rPr>
        <w:footnoteReference w:id="0"/>
      </w:r>
      <w:r>
        <w:rPr>
          <w:rFonts w:ascii="Arial" w:hAnsi="Arial" w:cs="Arial"/>
        </w:rPr>
        <w:t>, is classified as one of China’s national intangible cultural heritage. In recent years, the international community has increasingly focused on the issue of endangered languages, leading to the implementation of various language and cultural projects aimed at preserving intangible cultural heritage. This study conducted field surveys in the Hezhe area from May to August 2024, selecting five locations in China where the Hezhe people reside: Jiejinkou Hezhe Township, Bacha Hezhe Township, Sipai Hezhe Township, Aoqi Hezhe Village, and Zhuaji Hezhe Village. Additionally, four locations in surrounding areas were included: Raohe Town, Tongjiang City, Fuyuan City, and Jiamusi City, resulting in nine survey points. The research methodology combined questionnaire surveys with in-depth interviews to systematically investigate the current status of the Hezhe language’s inheritance and the intangible cultural heritage of the Hezhe people, as well as the measures and effects of language and cultural protection. From the perspective of safeguarding intangible cultural heritage, the study proposed recommendations for the protection and inheritance of endangered languages.</w:t>
      </w:r>
    </w:p>
    <w:p>
      <w:pPr>
        <w:pStyle w:val="23"/>
        <w:spacing w:after="0"/>
        <w:rPr>
          <w:rFonts w:ascii="Arial" w:hAnsi="Arial" w:cs="Arial"/>
        </w:rPr>
      </w:pPr>
      <w:r>
        <w:rPr>
          <w:rFonts w:ascii="Arial" w:hAnsi="Arial" w:cs="Arial"/>
        </w:rPr>
        <w:t>Exploring the issue of endangered languages and cultures holds significant academic value and social importance (</w:t>
      </w:r>
      <w:r>
        <w:rPr>
          <w:rFonts w:ascii="Arial" w:hAnsi="Arial" w:cs="Arial"/>
          <w:snapToGrid w:val="0"/>
        </w:rPr>
        <w:t>Syam et al., 2024)</w:t>
      </w:r>
      <w:r>
        <w:rPr>
          <w:rFonts w:ascii="Arial" w:hAnsi="Arial" w:cs="Arial"/>
        </w:rPr>
        <w:t>. On one hand, there is limited research on the language and culture of the Hezhe nationality. This study can serve as a valuable case reference for endangered language research. On the other hand, given the current situation in which many languages and cultures worldwide are on the brink of extinction, examining the protective and preservation measures for endangered languages and cultures can offer insights for safeguarding these languages and cultures globally. This, in turn, can inform the development of language policies and planning, thereby helping to maintain the diversity of languages and cultures.</w:t>
      </w:r>
    </w:p>
    <w:p>
      <w:pPr>
        <w:pStyle w:val="23"/>
        <w:spacing w:after="0"/>
        <w:rPr>
          <w:rFonts w:ascii="Arial" w:hAnsi="Arial" w:cs="Arial"/>
        </w:rPr>
      </w:pPr>
    </w:p>
    <w:p>
      <w:pPr>
        <w:pStyle w:val="24"/>
        <w:spacing w:after="0"/>
        <w:jc w:val="both"/>
        <w:rPr>
          <w:rFonts w:ascii="Arial" w:hAnsi="Arial" w:cs="Arial"/>
        </w:rPr>
      </w:pPr>
      <w:r>
        <w:rPr>
          <w:rFonts w:ascii="Arial" w:hAnsi="Arial" w:cs="Arial"/>
        </w:rPr>
        <w:t xml:space="preserve">2. methodology </w:t>
      </w:r>
    </w:p>
    <w:p>
      <w:pPr>
        <w:pStyle w:val="24"/>
        <w:spacing w:after="0"/>
        <w:jc w:val="both"/>
        <w:rPr>
          <w:rFonts w:ascii="Arial" w:hAnsi="Arial" w:cs="Arial"/>
        </w:rPr>
      </w:pPr>
    </w:p>
    <w:p>
      <w:pPr>
        <w:pStyle w:val="23"/>
        <w:rPr>
          <w:rFonts w:ascii="Arial" w:hAnsi="Arial" w:cs="Arial"/>
        </w:rPr>
      </w:pPr>
      <w:r>
        <w:rPr>
          <w:rFonts w:ascii="Arial" w:hAnsi="Arial" w:cs="Arial"/>
        </w:rPr>
        <w:t xml:space="preserve">The study </w:t>
      </w:r>
      <w:r>
        <w:rPr>
          <w:rFonts w:ascii="Arial" w:hAnsi="Arial" w:cs="Arial"/>
          <w:color w:val="FF0000"/>
        </w:rPr>
        <w:t>was</w:t>
      </w:r>
      <w:r>
        <w:rPr>
          <w:rFonts w:ascii="Arial" w:hAnsi="Arial" w:cs="Arial"/>
        </w:rPr>
        <w:t xml:space="preserve"> based on Anthropology Linguistics approach. It collected data from field investigations. Deep descriptive method is used to reveal the investigation results. </w:t>
      </w:r>
    </w:p>
    <w:p>
      <w:pPr>
        <w:pStyle w:val="23"/>
        <w:rPr>
          <w:rFonts w:ascii="Arial" w:hAnsi="Arial" w:cs="Arial"/>
          <w:b/>
          <w:caps/>
          <w:sz w:val="22"/>
        </w:rPr>
      </w:pPr>
      <w:r>
        <w:rPr>
          <w:rFonts w:ascii="Arial" w:hAnsi="Arial" w:cs="Arial"/>
          <w:b/>
          <w:caps/>
          <w:sz w:val="22"/>
        </w:rPr>
        <w:t>2.1 Data collection tools</w:t>
      </w:r>
    </w:p>
    <w:p>
      <w:pPr>
        <w:pStyle w:val="23"/>
        <w:rPr>
          <w:rFonts w:ascii="Arial" w:hAnsi="Arial" w:cs="Arial"/>
        </w:rPr>
      </w:pPr>
      <w:r>
        <w:rPr>
          <w:rFonts w:ascii="Arial" w:hAnsi="Arial" w:cs="Arial"/>
        </w:rPr>
        <w:t xml:space="preserve">The study upon which this article </w:t>
      </w:r>
      <w:r>
        <w:rPr>
          <w:rFonts w:ascii="Arial" w:hAnsi="Arial" w:cs="Arial"/>
          <w:color w:val="FF0000"/>
        </w:rPr>
        <w:t>was</w:t>
      </w:r>
      <w:r>
        <w:rPr>
          <w:rFonts w:ascii="Arial" w:hAnsi="Arial" w:cs="Arial"/>
        </w:rPr>
        <w:t xml:space="preserve"> based involved data collected through questionnaires conducted orally. The questionnaire was composed of six parts: basic information, language acquisition environments, ways of language acquisition, language use, language attitudes, and the intangible cultural heritage of Hezhen ethnic group’s oral literature. During the investigation process, the research team read the questions and possible responses, and then the interviewee indicated his or her responses. In order to avoid omitting potential answers not covered by the options provided, the questionnaire designer left wide margins on the questionnaire, where the interviewers could record any useful information that arose in the process of investigation. For example, a question in the questionnaire asks where there </w:t>
      </w:r>
      <w:r>
        <w:rPr>
          <w:rFonts w:ascii="Arial" w:hAnsi="Arial" w:cs="Arial"/>
          <w:color w:val="FF0000"/>
        </w:rPr>
        <w:t>were</w:t>
      </w:r>
      <w:r>
        <w:rPr>
          <w:rFonts w:ascii="Arial" w:hAnsi="Arial" w:cs="Arial"/>
        </w:rPr>
        <w:t xml:space="preserve"> elementary schools in local area offer classes with different language or languages (such as classes taught in the Hezhe language, Modern Standard Chinese, or English), whether classes </w:t>
      </w:r>
      <w:r>
        <w:rPr>
          <w:rFonts w:ascii="Arial" w:hAnsi="Arial" w:cs="Arial"/>
          <w:color w:val="FF0000"/>
        </w:rPr>
        <w:t>were</w:t>
      </w:r>
      <w:r>
        <w:rPr>
          <w:rFonts w:ascii="Arial" w:hAnsi="Arial" w:cs="Arial"/>
        </w:rPr>
        <w:t xml:space="preserve"> bilingualism or trilingual in nature, and which kind of classes interviewees would prefer their offspring to attend. In the field investigation, some interviewees indicated preferences for Hezhe-Chinese bilingual education or Hezhe-Chinese-English trilingual education. Further, some told the interviewer their preferred teaching types of bilingual/trilingual education, such as the Hezhe immersion teaching type or the Chinese immersion teaching type. There </w:t>
      </w:r>
      <w:r>
        <w:rPr>
          <w:rFonts w:ascii="Arial" w:hAnsi="Arial" w:cs="Arial"/>
          <w:color w:val="FF0000"/>
        </w:rPr>
        <w:t>was</w:t>
      </w:r>
      <w:r>
        <w:rPr>
          <w:rFonts w:ascii="Arial" w:hAnsi="Arial" w:cs="Arial"/>
        </w:rPr>
        <w:t xml:space="preserve"> no question on teaching type in the questionnaire, but this kind of information was deemed very useful to the study. Therefore, the research team recorded the information in the margins of the questionnaire.</w:t>
      </w:r>
    </w:p>
    <w:p>
      <w:pPr>
        <w:pStyle w:val="23"/>
        <w:rPr>
          <w:rFonts w:ascii="Arial" w:hAnsi="Arial" w:cs="Arial"/>
          <w:b/>
          <w:caps/>
          <w:sz w:val="22"/>
        </w:rPr>
      </w:pPr>
      <w:r>
        <w:rPr>
          <w:rFonts w:ascii="Arial" w:hAnsi="Arial" w:cs="Arial"/>
          <w:b/>
          <w:caps/>
          <w:sz w:val="22"/>
        </w:rPr>
        <w:t>2.2 Selection of research subjects</w:t>
      </w:r>
    </w:p>
    <w:p>
      <w:pPr>
        <w:pStyle w:val="23"/>
        <w:rPr>
          <w:rFonts w:ascii="Arial" w:hAnsi="Arial" w:cs="Arial"/>
          <w:color w:val="FF0000"/>
        </w:rPr>
      </w:pPr>
      <w:r>
        <w:rPr>
          <w:rFonts w:ascii="Arial" w:hAnsi="Arial" w:cs="Arial"/>
        </w:rPr>
        <w:t xml:space="preserve">This study was approved by the Committee of Ethnic and Integrity in Research with Humans in Dalian University of Foreign Languages. It investigated the use of Hezhe language and the attitudes toward Hezhe among all Hezhe social groups. Therefore, the research team tried to select roughly comparable numbers of female and male subjects, and attempted to include subjects from different age groups over 18 years old. In the investigation process, the research team invited some Hezhe persons to take part in the investigation based initially on their age and gender, and then asked them their education levels and occupations. Those who meet the requirements of the current study were selected as research subjects, and the research team shared with them the aim and purpose of the investigation. If the research subject accepted the invitation, the research team then proceeded to administer the questionnaire orally. At any time, the research subject was free to withdraw from the investigation. During May to August, 2024, the research team obtained 115 questionnaires at Jiejinkou Hezhe Township, Bacha Hezhe Township, Sipai Hezhe Township, Aoqi Hezhe Village, Zhuaji Hezhe Village, Raohe Town, Tongjiang City, Fuyuan City, and Jiamusi City. </w:t>
      </w:r>
      <w:r>
        <w:rPr>
          <w:rFonts w:ascii="Arial" w:hAnsi="Arial" w:cs="Arial"/>
          <w:color w:val="FF0000"/>
        </w:rPr>
        <w:t>The demographic information about the participants can be seen in table 1.</w:t>
      </w:r>
    </w:p>
    <w:p>
      <w:pPr>
        <w:pStyle w:val="23"/>
        <w:spacing w:after="0"/>
        <w:rPr>
          <w:rFonts w:ascii="Arial" w:hAnsi="Arial" w:cs="Arial"/>
          <w:color w:val="FF0000"/>
        </w:rPr>
      </w:pPr>
      <w:r>
        <w:rPr>
          <w:rFonts w:ascii="Arial" w:hAnsi="Arial" w:cs="Arial"/>
          <w:color w:val="FF0000"/>
        </w:rPr>
        <w:t>Table 1: participants’ information</w:t>
      </w:r>
    </w:p>
    <w:tbl>
      <w:tblPr>
        <w:tblStyle w:val="13"/>
        <w:tblW w:w="0" w:type="auto"/>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5"/>
        <w:gridCol w:w="650"/>
        <w:gridCol w:w="817"/>
        <w:gridCol w:w="899"/>
        <w:gridCol w:w="853"/>
        <w:gridCol w:w="354"/>
        <w:gridCol w:w="352"/>
        <w:gridCol w:w="992"/>
        <w:gridCol w:w="992"/>
        <w:gridCol w:w="1404"/>
      </w:tblGrid>
      <w:tr>
        <w:tc>
          <w:tcPr>
            <w:tcW w:w="0" w:type="auto"/>
            <w:tcBorders>
              <w:bottom w:val="nil"/>
            </w:tcBorders>
            <w:vAlign w:val="center"/>
          </w:tcPr>
          <w:p>
            <w:pPr>
              <w:pStyle w:val="23"/>
              <w:spacing w:after="0"/>
              <w:jc w:val="center"/>
              <w:rPr>
                <w:rFonts w:hint="eastAsia" w:ascii="Arial" w:hAnsi="Arial" w:eastAsia="Calibri" w:cs="Arial"/>
                <w:color w:val="FF0000"/>
                <w:sz w:val="20"/>
                <w:szCs w:val="20"/>
                <w:lang w:eastAsia="zh-CN"/>
              </w:rPr>
            </w:pPr>
          </w:p>
        </w:tc>
        <w:tc>
          <w:tcPr>
            <w:tcW w:w="0" w:type="auto"/>
            <w:gridSpan w:val="2"/>
            <w:tcBorders>
              <w:bottom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g</w:t>
            </w:r>
            <w:r>
              <w:rPr>
                <w:rFonts w:ascii="Arial" w:hAnsi="Arial" w:cs="Arial" w:eastAsiaTheme="minorEastAsia"/>
                <w:color w:val="FF0000"/>
                <w:sz w:val="20"/>
                <w:szCs w:val="20"/>
                <w:lang w:eastAsia="zh-CN"/>
              </w:rPr>
              <w:t>ender</w:t>
            </w:r>
          </w:p>
        </w:tc>
        <w:tc>
          <w:tcPr>
            <w:tcW w:w="0" w:type="auto"/>
            <w:gridSpan w:val="3"/>
            <w:tcBorders>
              <w:bottom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a</w:t>
            </w:r>
            <w:r>
              <w:rPr>
                <w:rFonts w:ascii="Arial" w:hAnsi="Arial" w:cs="Arial" w:eastAsiaTheme="minorEastAsia"/>
                <w:color w:val="FF0000"/>
                <w:sz w:val="20"/>
                <w:szCs w:val="20"/>
                <w:lang w:eastAsia="zh-CN"/>
              </w:rPr>
              <w:t>ge</w:t>
            </w:r>
          </w:p>
        </w:tc>
        <w:tc>
          <w:tcPr>
            <w:tcW w:w="0" w:type="auto"/>
            <w:gridSpan w:val="4"/>
            <w:tcBorders>
              <w:bottom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ascii="Arial" w:hAnsi="Arial" w:cs="Arial" w:eastAsiaTheme="minorEastAsia"/>
                <w:color w:val="FF0000"/>
                <w:sz w:val="20"/>
                <w:szCs w:val="20"/>
                <w:lang w:eastAsia="zh-CN"/>
              </w:rPr>
              <w:t>Education level</w:t>
            </w:r>
          </w:p>
        </w:tc>
      </w:tr>
      <w:tr>
        <w:tc>
          <w:tcPr>
            <w:tcW w:w="0" w:type="auto"/>
            <w:tcBorders>
              <w:top w:val="nil"/>
              <w:bottom w:val="single" w:color="auto" w:sz="4" w:space="0"/>
            </w:tcBorders>
            <w:vAlign w:val="center"/>
          </w:tcPr>
          <w:p>
            <w:pPr>
              <w:pStyle w:val="23"/>
              <w:spacing w:after="0"/>
              <w:jc w:val="center"/>
              <w:rPr>
                <w:rFonts w:hint="eastAsia" w:ascii="Arial" w:hAnsi="Arial" w:eastAsia="Calibri" w:cs="Arial"/>
                <w:color w:val="FF0000"/>
                <w:sz w:val="20"/>
                <w:szCs w:val="20"/>
                <w:lang w:eastAsia="zh-CN"/>
              </w:rPr>
            </w:pPr>
          </w:p>
        </w:tc>
        <w:tc>
          <w:tcPr>
            <w:tcW w:w="0" w:type="auto"/>
            <w:tcBorders>
              <w:top w:val="single" w:color="auto" w:sz="4" w:space="0"/>
              <w:bottom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m</w:t>
            </w:r>
            <w:r>
              <w:rPr>
                <w:rFonts w:ascii="Arial" w:hAnsi="Arial" w:cs="Arial" w:eastAsiaTheme="minorEastAsia"/>
                <w:color w:val="FF0000"/>
                <w:sz w:val="20"/>
                <w:szCs w:val="20"/>
                <w:lang w:eastAsia="zh-CN"/>
              </w:rPr>
              <w:t>ale</w:t>
            </w:r>
          </w:p>
        </w:tc>
        <w:tc>
          <w:tcPr>
            <w:tcW w:w="0" w:type="auto"/>
            <w:tcBorders>
              <w:top w:val="single" w:color="auto" w:sz="4" w:space="0"/>
              <w:bottom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f</w:t>
            </w:r>
            <w:r>
              <w:rPr>
                <w:rFonts w:ascii="Arial" w:hAnsi="Arial" w:cs="Arial" w:eastAsiaTheme="minorEastAsia"/>
                <w:color w:val="FF0000"/>
                <w:sz w:val="20"/>
                <w:szCs w:val="20"/>
                <w:lang w:eastAsia="zh-CN"/>
              </w:rPr>
              <w:t>emale</w:t>
            </w:r>
          </w:p>
        </w:tc>
        <w:tc>
          <w:tcPr>
            <w:tcW w:w="899" w:type="dxa"/>
            <w:tcBorders>
              <w:top w:val="single" w:color="auto" w:sz="4" w:space="0"/>
              <w:bottom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1</w:t>
            </w:r>
            <w:r>
              <w:rPr>
                <w:rFonts w:ascii="Arial" w:hAnsi="Arial" w:cs="Arial" w:eastAsiaTheme="minorEastAsia"/>
                <w:color w:val="FF0000"/>
                <w:sz w:val="20"/>
                <w:szCs w:val="20"/>
                <w:lang w:eastAsia="zh-CN"/>
              </w:rPr>
              <w:t>8</w:t>
            </w:r>
            <w:r>
              <w:rPr>
                <w:rFonts w:hint="eastAsia" w:ascii="Arial" w:hAnsi="Arial" w:cs="Arial" w:eastAsiaTheme="minorEastAsia"/>
                <w:color w:val="FF0000"/>
                <w:sz w:val="20"/>
                <w:szCs w:val="20"/>
                <w:lang w:eastAsia="zh-CN"/>
              </w:rPr>
              <w:t>-</w:t>
            </w:r>
            <w:r>
              <w:rPr>
                <w:rFonts w:ascii="Arial" w:hAnsi="Arial" w:cs="Arial" w:eastAsiaTheme="minorEastAsia"/>
                <w:color w:val="FF0000"/>
                <w:sz w:val="20"/>
                <w:szCs w:val="20"/>
                <w:lang w:eastAsia="zh-CN"/>
              </w:rPr>
              <w:t>45</w:t>
            </w:r>
          </w:p>
        </w:tc>
        <w:tc>
          <w:tcPr>
            <w:tcW w:w="853" w:type="dxa"/>
            <w:tcBorders>
              <w:top w:val="single" w:color="auto" w:sz="4" w:space="0"/>
              <w:bottom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4</w:t>
            </w:r>
            <w:r>
              <w:rPr>
                <w:rFonts w:ascii="Arial" w:hAnsi="Arial" w:cs="Arial" w:eastAsiaTheme="minorEastAsia"/>
                <w:color w:val="FF0000"/>
                <w:sz w:val="20"/>
                <w:szCs w:val="20"/>
                <w:lang w:eastAsia="zh-CN"/>
              </w:rPr>
              <w:t>6-60</w:t>
            </w:r>
          </w:p>
        </w:tc>
        <w:tc>
          <w:tcPr>
            <w:tcW w:w="706" w:type="dxa"/>
            <w:gridSpan w:val="2"/>
            <w:tcBorders>
              <w:top w:val="single" w:color="auto" w:sz="4" w:space="0"/>
              <w:bottom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ascii="Arial" w:hAnsi="Arial" w:cs="Arial" w:eastAsiaTheme="minorEastAsia"/>
                <w:color w:val="FF0000"/>
                <w:sz w:val="20"/>
                <w:szCs w:val="20"/>
                <w:lang w:eastAsia="zh-CN"/>
              </w:rPr>
              <w:t>≥61</w:t>
            </w:r>
          </w:p>
        </w:tc>
        <w:tc>
          <w:tcPr>
            <w:tcW w:w="992" w:type="dxa"/>
            <w:tcBorders>
              <w:top w:val="single" w:color="auto" w:sz="4" w:space="0"/>
              <w:bottom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ascii="Arial" w:hAnsi="Arial" w:cs="Arial" w:eastAsiaTheme="minorEastAsia"/>
                <w:color w:val="FF0000"/>
                <w:sz w:val="20"/>
                <w:szCs w:val="20"/>
                <w:lang w:eastAsia="zh-CN"/>
              </w:rPr>
              <w:t>0-9 years</w:t>
            </w:r>
          </w:p>
        </w:tc>
        <w:tc>
          <w:tcPr>
            <w:tcW w:w="992" w:type="dxa"/>
            <w:tcBorders>
              <w:top w:val="single" w:color="auto" w:sz="4" w:space="0"/>
              <w:bottom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ascii="Arial" w:hAnsi="Arial" w:cs="Arial" w:eastAsiaTheme="minorEastAsia"/>
                <w:color w:val="FF0000"/>
                <w:sz w:val="20"/>
                <w:szCs w:val="20"/>
                <w:lang w:eastAsia="zh-CN"/>
              </w:rPr>
              <w:t>High school</w:t>
            </w:r>
          </w:p>
        </w:tc>
        <w:tc>
          <w:tcPr>
            <w:tcW w:w="1404" w:type="dxa"/>
            <w:tcBorders>
              <w:top w:val="single" w:color="auto" w:sz="4" w:space="0"/>
              <w:bottom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ascii="Arial" w:hAnsi="Arial" w:cs="Arial" w:eastAsiaTheme="minorEastAsia"/>
                <w:color w:val="FF0000"/>
                <w:sz w:val="20"/>
                <w:szCs w:val="20"/>
                <w:lang w:eastAsia="zh-CN"/>
              </w:rPr>
              <w:t>Tertiary education</w:t>
            </w:r>
          </w:p>
        </w:tc>
      </w:tr>
      <w:tr>
        <w:tc>
          <w:tcPr>
            <w:tcW w:w="0" w:type="auto"/>
            <w:tcBorders>
              <w:top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n</w:t>
            </w:r>
            <w:r>
              <w:rPr>
                <w:rFonts w:ascii="Arial" w:hAnsi="Arial" w:cs="Arial" w:eastAsiaTheme="minorEastAsia"/>
                <w:color w:val="FF0000"/>
                <w:sz w:val="20"/>
                <w:szCs w:val="20"/>
                <w:lang w:eastAsia="zh-CN"/>
              </w:rPr>
              <w:t>umber</w:t>
            </w:r>
          </w:p>
        </w:tc>
        <w:tc>
          <w:tcPr>
            <w:tcW w:w="0" w:type="auto"/>
            <w:tcBorders>
              <w:top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5</w:t>
            </w:r>
            <w:r>
              <w:rPr>
                <w:rFonts w:ascii="Arial" w:hAnsi="Arial" w:cs="Arial" w:eastAsiaTheme="minorEastAsia"/>
                <w:color w:val="FF0000"/>
                <w:sz w:val="20"/>
                <w:szCs w:val="20"/>
                <w:lang w:eastAsia="zh-CN"/>
              </w:rPr>
              <w:t>5</w:t>
            </w:r>
          </w:p>
        </w:tc>
        <w:tc>
          <w:tcPr>
            <w:tcW w:w="0" w:type="auto"/>
            <w:tcBorders>
              <w:top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6</w:t>
            </w:r>
            <w:r>
              <w:rPr>
                <w:rFonts w:ascii="Arial" w:hAnsi="Arial" w:cs="Arial" w:eastAsiaTheme="minorEastAsia"/>
                <w:color w:val="FF0000"/>
                <w:sz w:val="20"/>
                <w:szCs w:val="20"/>
                <w:lang w:eastAsia="zh-CN"/>
              </w:rPr>
              <w:t>0</w:t>
            </w:r>
          </w:p>
        </w:tc>
        <w:tc>
          <w:tcPr>
            <w:tcW w:w="899" w:type="dxa"/>
            <w:tcBorders>
              <w:top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3</w:t>
            </w:r>
            <w:r>
              <w:rPr>
                <w:rFonts w:ascii="Arial" w:hAnsi="Arial" w:cs="Arial" w:eastAsiaTheme="minorEastAsia"/>
                <w:color w:val="FF0000"/>
                <w:sz w:val="20"/>
                <w:szCs w:val="20"/>
                <w:lang w:eastAsia="zh-CN"/>
              </w:rPr>
              <w:t>0</w:t>
            </w:r>
          </w:p>
        </w:tc>
        <w:tc>
          <w:tcPr>
            <w:tcW w:w="853" w:type="dxa"/>
            <w:tcBorders>
              <w:top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4</w:t>
            </w:r>
            <w:r>
              <w:rPr>
                <w:rFonts w:ascii="Arial" w:hAnsi="Arial" w:cs="Arial" w:eastAsiaTheme="minorEastAsia"/>
                <w:color w:val="FF0000"/>
                <w:sz w:val="20"/>
                <w:szCs w:val="20"/>
                <w:lang w:eastAsia="zh-CN"/>
              </w:rPr>
              <w:t>9</w:t>
            </w:r>
          </w:p>
        </w:tc>
        <w:tc>
          <w:tcPr>
            <w:tcW w:w="706" w:type="dxa"/>
            <w:gridSpan w:val="2"/>
            <w:tcBorders>
              <w:top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3</w:t>
            </w:r>
            <w:r>
              <w:rPr>
                <w:rFonts w:ascii="Arial" w:hAnsi="Arial" w:cs="Arial" w:eastAsiaTheme="minorEastAsia"/>
                <w:color w:val="FF0000"/>
                <w:sz w:val="20"/>
                <w:szCs w:val="20"/>
                <w:lang w:eastAsia="zh-CN"/>
              </w:rPr>
              <w:t>6</w:t>
            </w:r>
          </w:p>
        </w:tc>
        <w:tc>
          <w:tcPr>
            <w:tcW w:w="992" w:type="dxa"/>
            <w:tcBorders>
              <w:top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6</w:t>
            </w:r>
            <w:r>
              <w:rPr>
                <w:rFonts w:ascii="Arial" w:hAnsi="Arial" w:cs="Arial" w:eastAsiaTheme="minorEastAsia"/>
                <w:color w:val="FF0000"/>
                <w:sz w:val="20"/>
                <w:szCs w:val="20"/>
                <w:lang w:eastAsia="zh-CN"/>
              </w:rPr>
              <w:t>0</w:t>
            </w:r>
          </w:p>
        </w:tc>
        <w:tc>
          <w:tcPr>
            <w:tcW w:w="992" w:type="dxa"/>
            <w:tcBorders>
              <w:top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4</w:t>
            </w:r>
            <w:r>
              <w:rPr>
                <w:rFonts w:ascii="Arial" w:hAnsi="Arial" w:cs="Arial" w:eastAsiaTheme="minorEastAsia"/>
                <w:color w:val="FF0000"/>
                <w:sz w:val="20"/>
                <w:szCs w:val="20"/>
                <w:lang w:eastAsia="zh-CN"/>
              </w:rPr>
              <w:t>3</w:t>
            </w:r>
          </w:p>
        </w:tc>
        <w:tc>
          <w:tcPr>
            <w:tcW w:w="1404" w:type="dxa"/>
            <w:tcBorders>
              <w:top w:val="single" w:color="auto" w:sz="4" w:space="0"/>
            </w:tcBorders>
            <w:vAlign w:val="center"/>
          </w:tcPr>
          <w:p>
            <w:pPr>
              <w:pStyle w:val="23"/>
              <w:spacing w:after="0"/>
              <w:jc w:val="center"/>
              <w:rPr>
                <w:rFonts w:hint="eastAsia" w:ascii="Arial" w:hAnsi="Arial" w:cs="Arial" w:eastAsiaTheme="minorEastAsia"/>
                <w:color w:val="FF0000"/>
                <w:sz w:val="20"/>
                <w:szCs w:val="20"/>
                <w:lang w:eastAsia="zh-CN"/>
              </w:rPr>
            </w:pPr>
            <w:r>
              <w:rPr>
                <w:rFonts w:ascii="Arial" w:hAnsi="Arial" w:cs="Arial" w:eastAsiaTheme="minorEastAsia"/>
                <w:color w:val="FF0000"/>
                <w:sz w:val="20"/>
                <w:szCs w:val="20"/>
                <w:lang w:eastAsia="zh-CN"/>
              </w:rPr>
              <w:t>32</w:t>
            </w:r>
          </w:p>
        </w:tc>
      </w:tr>
      <w:tr>
        <w:tc>
          <w:tcPr>
            <w:tcW w:w="0" w:type="auto"/>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w:t>
            </w:r>
          </w:p>
        </w:tc>
        <w:tc>
          <w:tcPr>
            <w:tcW w:w="0" w:type="auto"/>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4</w:t>
            </w:r>
            <w:r>
              <w:rPr>
                <w:rFonts w:ascii="Arial" w:hAnsi="Arial" w:cs="Arial" w:eastAsiaTheme="minorEastAsia"/>
                <w:color w:val="FF0000"/>
                <w:sz w:val="20"/>
                <w:szCs w:val="20"/>
                <w:lang w:eastAsia="zh-CN"/>
              </w:rPr>
              <w:t>7.8</w:t>
            </w:r>
          </w:p>
        </w:tc>
        <w:tc>
          <w:tcPr>
            <w:tcW w:w="0" w:type="auto"/>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5</w:t>
            </w:r>
            <w:r>
              <w:rPr>
                <w:rFonts w:ascii="Arial" w:hAnsi="Arial" w:cs="Arial" w:eastAsiaTheme="minorEastAsia"/>
                <w:color w:val="FF0000"/>
                <w:sz w:val="20"/>
                <w:szCs w:val="20"/>
                <w:lang w:eastAsia="zh-CN"/>
              </w:rPr>
              <w:t>2.2</w:t>
            </w:r>
          </w:p>
        </w:tc>
        <w:tc>
          <w:tcPr>
            <w:tcW w:w="899" w:type="dxa"/>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2</w:t>
            </w:r>
            <w:r>
              <w:rPr>
                <w:rFonts w:ascii="Arial" w:hAnsi="Arial" w:cs="Arial" w:eastAsiaTheme="minorEastAsia"/>
                <w:color w:val="FF0000"/>
                <w:sz w:val="20"/>
                <w:szCs w:val="20"/>
                <w:lang w:eastAsia="zh-CN"/>
              </w:rPr>
              <w:t>6.1</w:t>
            </w:r>
          </w:p>
        </w:tc>
        <w:tc>
          <w:tcPr>
            <w:tcW w:w="853" w:type="dxa"/>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4</w:t>
            </w:r>
            <w:r>
              <w:rPr>
                <w:rFonts w:ascii="Arial" w:hAnsi="Arial" w:cs="Arial" w:eastAsiaTheme="minorEastAsia"/>
                <w:color w:val="FF0000"/>
                <w:sz w:val="20"/>
                <w:szCs w:val="20"/>
                <w:lang w:eastAsia="zh-CN"/>
              </w:rPr>
              <w:t>2.6</w:t>
            </w:r>
          </w:p>
        </w:tc>
        <w:tc>
          <w:tcPr>
            <w:tcW w:w="706" w:type="dxa"/>
            <w:gridSpan w:val="2"/>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3</w:t>
            </w:r>
            <w:r>
              <w:rPr>
                <w:rFonts w:ascii="Arial" w:hAnsi="Arial" w:cs="Arial" w:eastAsiaTheme="minorEastAsia"/>
                <w:color w:val="FF0000"/>
                <w:sz w:val="20"/>
                <w:szCs w:val="20"/>
                <w:lang w:eastAsia="zh-CN"/>
              </w:rPr>
              <w:t>1.3</w:t>
            </w:r>
          </w:p>
        </w:tc>
        <w:tc>
          <w:tcPr>
            <w:tcW w:w="992" w:type="dxa"/>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5</w:t>
            </w:r>
            <w:r>
              <w:rPr>
                <w:rFonts w:ascii="Arial" w:hAnsi="Arial" w:cs="Arial" w:eastAsiaTheme="minorEastAsia"/>
                <w:color w:val="FF0000"/>
                <w:sz w:val="20"/>
                <w:szCs w:val="20"/>
                <w:lang w:eastAsia="zh-CN"/>
              </w:rPr>
              <w:t>2.2</w:t>
            </w:r>
          </w:p>
        </w:tc>
        <w:tc>
          <w:tcPr>
            <w:tcW w:w="992" w:type="dxa"/>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3</w:t>
            </w:r>
            <w:r>
              <w:rPr>
                <w:rFonts w:ascii="Arial" w:hAnsi="Arial" w:cs="Arial" w:eastAsiaTheme="minorEastAsia"/>
                <w:color w:val="FF0000"/>
                <w:sz w:val="20"/>
                <w:szCs w:val="20"/>
                <w:lang w:eastAsia="zh-CN"/>
              </w:rPr>
              <w:t>7.4</w:t>
            </w:r>
          </w:p>
        </w:tc>
        <w:tc>
          <w:tcPr>
            <w:tcW w:w="1404" w:type="dxa"/>
            <w:vAlign w:val="center"/>
          </w:tcPr>
          <w:p>
            <w:pPr>
              <w:pStyle w:val="23"/>
              <w:spacing w:after="0"/>
              <w:jc w:val="center"/>
              <w:rPr>
                <w:rFonts w:hint="eastAsia" w:ascii="Arial" w:hAnsi="Arial" w:cs="Arial" w:eastAsiaTheme="minorEastAsia"/>
                <w:color w:val="FF0000"/>
                <w:sz w:val="20"/>
                <w:szCs w:val="20"/>
                <w:lang w:eastAsia="zh-CN"/>
              </w:rPr>
            </w:pPr>
            <w:r>
              <w:rPr>
                <w:rFonts w:hint="eastAsia" w:ascii="Arial" w:hAnsi="Arial" w:cs="Arial" w:eastAsiaTheme="minorEastAsia"/>
                <w:color w:val="FF0000"/>
                <w:sz w:val="20"/>
                <w:szCs w:val="20"/>
                <w:lang w:eastAsia="zh-CN"/>
              </w:rPr>
              <w:t>2</w:t>
            </w:r>
            <w:r>
              <w:rPr>
                <w:rFonts w:ascii="Arial" w:hAnsi="Arial" w:cs="Arial" w:eastAsiaTheme="minorEastAsia"/>
                <w:color w:val="FF0000"/>
                <w:sz w:val="20"/>
                <w:szCs w:val="20"/>
                <w:lang w:eastAsia="zh-CN"/>
              </w:rPr>
              <w:t>7.8</w:t>
            </w:r>
          </w:p>
        </w:tc>
      </w:tr>
    </w:tbl>
    <w:p>
      <w:pPr>
        <w:pStyle w:val="23"/>
        <w:rPr>
          <w:rFonts w:ascii="Arial" w:hAnsi="Arial" w:cs="Arial"/>
        </w:rPr>
      </w:pPr>
    </w:p>
    <w:p>
      <w:pPr>
        <w:pStyle w:val="23"/>
        <w:rPr>
          <w:rFonts w:ascii="Arial" w:hAnsi="Arial" w:cs="Arial"/>
          <w:b/>
          <w:caps/>
          <w:sz w:val="22"/>
        </w:rPr>
      </w:pPr>
      <w:r>
        <w:rPr>
          <w:rFonts w:ascii="Arial" w:hAnsi="Arial" w:cs="Arial"/>
          <w:b/>
          <w:caps/>
          <w:sz w:val="22"/>
        </w:rPr>
        <w:t>2.3 Data analysis</w:t>
      </w:r>
    </w:p>
    <w:p>
      <w:pPr>
        <w:pStyle w:val="23"/>
        <w:spacing w:after="0"/>
        <w:rPr>
          <w:rFonts w:ascii="Arial" w:hAnsi="Arial" w:cs="Arial"/>
        </w:rPr>
      </w:pPr>
      <w:r>
        <w:rPr>
          <w:rFonts w:ascii="Arial" w:hAnsi="Arial" w:cs="Arial"/>
        </w:rPr>
        <w:t>The collected data were analyzed with the help of the software SPSS 27.0. The descriptive analysis was used, which revealed the total number and percentage.</w:t>
      </w:r>
    </w:p>
    <w:p>
      <w:pPr>
        <w:pStyle w:val="23"/>
        <w:spacing w:after="0"/>
        <w:rPr>
          <w:rFonts w:ascii="Arial" w:hAnsi="Arial" w:cs="Arial"/>
        </w:rPr>
      </w:pPr>
    </w:p>
    <w:p>
      <w:pPr>
        <w:pStyle w:val="35"/>
        <w:spacing w:after="0"/>
        <w:jc w:val="both"/>
        <w:rPr>
          <w:rFonts w:ascii="Arial" w:hAnsi="Arial" w:cs="Arial"/>
        </w:rPr>
      </w:pPr>
      <w:r>
        <w:rPr>
          <w:rFonts w:ascii="Arial" w:hAnsi="Arial" w:cs="Arial"/>
        </w:rPr>
        <w:t>3. results and discussion</w:t>
      </w:r>
    </w:p>
    <w:p>
      <w:pPr>
        <w:pStyle w:val="35"/>
        <w:spacing w:after="0"/>
        <w:jc w:val="both"/>
        <w:rPr>
          <w:rFonts w:ascii="Arial" w:hAnsi="Arial" w:cs="Arial"/>
        </w:rPr>
      </w:pPr>
    </w:p>
    <w:p>
      <w:pPr>
        <w:pStyle w:val="23"/>
        <w:rPr>
          <w:rFonts w:ascii="Arial" w:hAnsi="Arial" w:cs="Arial"/>
          <w:b/>
          <w:caps/>
          <w:sz w:val="22"/>
        </w:rPr>
      </w:pPr>
      <w:r>
        <w:rPr>
          <w:rFonts w:ascii="Arial" w:hAnsi="Arial" w:cs="Arial"/>
          <w:b/>
          <w:caps/>
          <w:sz w:val="22"/>
        </w:rPr>
        <w:t>3.1 Oral Literature and Endangered Languages</w:t>
      </w:r>
    </w:p>
    <w:p>
      <w:pPr>
        <w:pStyle w:val="23"/>
        <w:rPr>
          <w:rFonts w:ascii="Arial" w:hAnsi="Arial" w:cs="Arial"/>
          <w:b/>
        </w:rPr>
      </w:pPr>
      <w:r>
        <w:rPr>
          <w:rFonts w:ascii="Arial" w:hAnsi="Arial" w:cs="Arial"/>
          <w:b/>
        </w:rPr>
        <w:t>3.1. 1 Language resources from the perspective of intangible cultural heritage</w:t>
      </w:r>
    </w:p>
    <w:p>
      <w:pPr>
        <w:pStyle w:val="23"/>
        <w:rPr>
          <w:rFonts w:ascii="Arial" w:hAnsi="Arial" w:cs="Arial"/>
        </w:rPr>
      </w:pPr>
      <w:r>
        <w:rPr>
          <w:rFonts w:ascii="Arial" w:hAnsi="Arial" w:cs="Arial"/>
        </w:rPr>
        <w:t xml:space="preserve">In the 1980s, the linguistics community began to focus on the issue of endangered languages (Fan, 2006; </w:t>
      </w:r>
      <w:r>
        <w:rPr>
          <w:rFonts w:ascii="Arial" w:hAnsi="Arial" w:cs="Arial"/>
          <w:snapToGrid w:val="0"/>
        </w:rPr>
        <w:t>Sakhiyya &amp; Martin-Anatias, 2020</w:t>
      </w:r>
      <w:r>
        <w:rPr>
          <w:rFonts w:ascii="Arial" w:hAnsi="Arial" w:cs="Arial"/>
        </w:rPr>
        <w:t>). Some linguists reported on the precarious status of these languages, discussed the underlying causes of language endangerment, and proposed countermeasures (</w:t>
      </w:r>
      <w:r>
        <w:rPr>
          <w:rFonts w:ascii="Arial" w:hAnsi="Arial" w:cs="Arial"/>
          <w:snapToGrid w:val="0"/>
          <w:color w:val="FF0000"/>
        </w:rPr>
        <w:t>Armostis,</w:t>
      </w:r>
      <w:r>
        <w:rPr>
          <w:rFonts w:ascii="Arial" w:hAnsi="Arial" w:cs="Arial"/>
          <w:color w:val="FF0000"/>
        </w:rPr>
        <w:t xml:space="preserve"> 2025</w:t>
      </w:r>
      <w:r>
        <w:rPr>
          <w:rFonts w:ascii="Arial" w:hAnsi="Arial" w:cs="Arial"/>
        </w:rPr>
        <w:t>). This growing concern attracted the attention of UNESCO. In 1993, UNESCO designated that year as the Year to Save Endangered Languages (Crystal, 2000). In March 2003, UNESCO convened an international expert meeting on endangered languages in Paris, where they adopted the report titled Language Vitality and Language Endangerment. The 32nd General Conference held later that year. The Convention for the Safeguarding of the Intangible Cultural Heritage claims that oral traditions and their expressions are vital components of intangible cultural heritage, with languages serving as the medium for this heritage (</w:t>
      </w:r>
      <w:r>
        <w:rPr>
          <w:rFonts w:ascii="Arial" w:hAnsi="Arial" w:cs="Arial"/>
          <w:snapToGrid w:val="0"/>
          <w:color w:val="FF0000"/>
        </w:rPr>
        <w:t>Zustiyantoro et al</w:t>
      </w:r>
      <w:r>
        <w:rPr>
          <w:rFonts w:ascii="Arial" w:hAnsi="Arial" w:cs="Arial"/>
          <w:color w:val="FF0000"/>
        </w:rPr>
        <w:t>, 2025</w:t>
      </w:r>
      <w:r>
        <w:rPr>
          <w:rFonts w:ascii="Arial" w:hAnsi="Arial" w:cs="Arial"/>
        </w:rPr>
        <w:t>). China’s Interim Measures for the Application and Assessment of National Intangible Cultural Heritage Masterpieces and the Law of the People’s Republic of China on Intangible Cultural Heritage indicate that the scope of intangible cultural heritage encompasses oral traditions, including languages as cultural carriers, traditional oral literature and languages as their carriers. Both UNESCO and relevant policy documents in China recognize the significance of intangible cultural heritage. However, in practice, the attributes of endangered languages as intangible cultural heritage have been overlooked in efforts to protect them. In China, various initiatives emphasize that language serves as a medium of intangible cultural heritage. There has been no project that directly nominates language as a subject for intangible cultural heritage recognition.</w:t>
      </w:r>
    </w:p>
    <w:p>
      <w:pPr>
        <w:pStyle w:val="23"/>
        <w:rPr>
          <w:rFonts w:ascii="Arial" w:hAnsi="Arial" w:cs="Arial"/>
          <w:b/>
        </w:rPr>
      </w:pPr>
      <w:r>
        <w:rPr>
          <w:rFonts w:ascii="Arial" w:hAnsi="Arial" w:cs="Arial"/>
          <w:b/>
        </w:rPr>
        <w:t>3. 1. 2 The intangible cultural heritage of language</w:t>
      </w:r>
    </w:p>
    <w:p>
      <w:pPr>
        <w:pStyle w:val="23"/>
        <w:rPr>
          <w:rFonts w:ascii="Arial" w:hAnsi="Arial" w:cs="Arial"/>
        </w:rPr>
      </w:pPr>
      <w:r>
        <w:rPr>
          <w:rFonts w:ascii="Arial" w:hAnsi="Arial" w:cs="Arial"/>
        </w:rPr>
        <w:t xml:space="preserve">On one hand, the documents from the United Nations and the Chinese government </w:t>
      </w:r>
      <w:r>
        <w:rPr>
          <w:rFonts w:ascii="Arial" w:hAnsi="Arial" w:cs="Arial"/>
          <w:color w:val="FF0000"/>
        </w:rPr>
        <w:t>emphasized</w:t>
      </w:r>
      <w:r>
        <w:rPr>
          <w:rFonts w:ascii="Arial" w:hAnsi="Arial" w:cs="Arial"/>
        </w:rPr>
        <w:t xml:space="preserve"> the significance of language in relation to intangible cultural heritage. They </w:t>
      </w:r>
      <w:r>
        <w:rPr>
          <w:rFonts w:ascii="Arial" w:hAnsi="Arial" w:cs="Arial"/>
          <w:color w:val="FF0000"/>
        </w:rPr>
        <w:t>regarded</w:t>
      </w:r>
      <w:r>
        <w:rPr>
          <w:rFonts w:ascii="Arial" w:hAnsi="Arial" w:cs="Arial"/>
        </w:rPr>
        <w:t xml:space="preserve"> language, particularly endangered languages, as an integral component of this heritage. On March 10, 2003, Koichiro Matsuura, who was then the Director-General of UNESCO, stated at the International Experts Conference on the Protection of Endangered Languages: Language heritage is also an important part of intangible cultural heritage (as cited in </w:t>
      </w:r>
      <w:r>
        <w:rPr>
          <w:rFonts w:ascii="Arial" w:hAnsi="Arial" w:cs="Arial"/>
          <w:color w:val="FF0000"/>
        </w:rPr>
        <w:t>Chaika et al., 2024</w:t>
      </w:r>
      <w:r>
        <w:rPr>
          <w:rFonts w:ascii="Arial" w:hAnsi="Arial" w:cs="Arial"/>
        </w:rPr>
        <w:t xml:space="preserve">). Currently, intangible cultural heritage has been prioritized in UNESCO’s agenda. Scholars </w:t>
      </w:r>
      <w:r>
        <w:rPr>
          <w:rFonts w:ascii="Arial" w:hAnsi="Arial" w:cs="Arial"/>
          <w:color w:val="FF0000"/>
        </w:rPr>
        <w:t>(</w:t>
      </w:r>
      <w:r>
        <w:rPr>
          <w:rFonts w:ascii="Arial" w:hAnsi="Arial" w:cs="Arial"/>
          <w:snapToGrid w:val="0"/>
          <w:color w:val="FF0000"/>
        </w:rPr>
        <w:t>Armostis,</w:t>
      </w:r>
      <w:r>
        <w:rPr>
          <w:rFonts w:ascii="Arial" w:hAnsi="Arial" w:cs="Arial"/>
          <w:color w:val="FF0000"/>
        </w:rPr>
        <w:t xml:space="preserve"> 2025; </w:t>
      </w:r>
      <w:r>
        <w:rPr>
          <w:color w:val="FF0000"/>
          <w:lang w:val="en-GB"/>
        </w:rPr>
        <w:t>Fenyvesi &amp; Bakrá</w:t>
      </w:r>
      <w:r>
        <w:rPr>
          <w:rFonts w:hint="eastAsia" w:ascii="宋体" w:hAnsi="宋体" w:eastAsia="宋体" w:cs="宋体"/>
          <w:color w:val="FF0000"/>
          <w:lang w:val="en-GB"/>
        </w:rPr>
        <w:t>‐</w:t>
      </w:r>
      <w:r>
        <w:rPr>
          <w:color w:val="FF0000"/>
          <w:lang w:val="en-GB"/>
        </w:rPr>
        <w:t>Nagy, 2025</w:t>
      </w:r>
      <w:r>
        <w:rPr>
          <w:rFonts w:ascii="Arial" w:hAnsi="Arial" w:cs="Arial"/>
          <w:color w:val="FF0000"/>
        </w:rPr>
        <w:t xml:space="preserve">; Rosado Valencia, 2024) </w:t>
      </w:r>
      <w:r>
        <w:rPr>
          <w:rFonts w:ascii="Arial" w:hAnsi="Arial" w:cs="Arial"/>
        </w:rPr>
        <w:t xml:space="preserve">have noted that language is an intangible cultural heritage, and it </w:t>
      </w:r>
      <w:r>
        <w:rPr>
          <w:rFonts w:ascii="Arial" w:hAnsi="Arial" w:cs="Arial"/>
          <w:color w:val="FF0000"/>
        </w:rPr>
        <w:t>was</w:t>
      </w:r>
      <w:r>
        <w:rPr>
          <w:rFonts w:ascii="Arial" w:hAnsi="Arial" w:cs="Arial"/>
        </w:rPr>
        <w:t xml:space="preserve"> one of the most typical and significant forms of intangible cultural heritage. Conversely, endangered languages </w:t>
      </w:r>
      <w:r>
        <w:rPr>
          <w:rFonts w:ascii="Arial" w:hAnsi="Arial" w:cs="Arial"/>
          <w:color w:val="FF0000"/>
        </w:rPr>
        <w:t>exhibited</w:t>
      </w:r>
      <w:r>
        <w:rPr>
          <w:rFonts w:ascii="Arial" w:hAnsi="Arial" w:cs="Arial"/>
        </w:rPr>
        <w:t xml:space="preserve"> both innumerability and vulnerability characteristic of intangible cultural heritage. The Convention mandates that each State Party compile one or more lists to showcase its intangible cultural heritage. In 2010, UNESCO published the World Atlas of Endangered Languages online, providing essential information about endangered languages worldwide.</w:t>
      </w:r>
    </w:p>
    <w:p>
      <w:pPr>
        <w:pStyle w:val="23"/>
        <w:rPr>
          <w:rFonts w:ascii="Arial" w:hAnsi="Arial" w:cs="Arial"/>
        </w:rPr>
      </w:pPr>
      <w:r>
        <w:rPr>
          <w:rFonts w:ascii="Arial" w:hAnsi="Arial" w:cs="Arial"/>
        </w:rPr>
        <w:t>In summary, language is not only a vital component of cultural heritage but also profoundly reflects the integrity and complexity of culture. Some ethnic groups do not possess written language or have an underdeveloped written form. Their oral language serves as a crucial medium for the inheritance and continuation of their unique ethnic culture. When translated into Chinese or recorded in other languages, it risks losing its distinctive cultural connotations and artistic charm. It is evident that language and intangible cultural heritage are inseparable. Discussing the protection of intangible cultural heritage without considering language undermines the necessary foundation and prerequisites for safeguarding most forms of intangible cultural heritage.</w:t>
      </w:r>
    </w:p>
    <w:p>
      <w:pPr>
        <w:pStyle w:val="23"/>
        <w:rPr>
          <w:rFonts w:ascii="Arial" w:hAnsi="Arial" w:cs="Arial"/>
          <w:b/>
          <w:caps/>
          <w:sz w:val="22"/>
        </w:rPr>
      </w:pPr>
      <w:r>
        <w:rPr>
          <w:rFonts w:ascii="Arial" w:hAnsi="Arial" w:cs="Arial"/>
          <w:b/>
          <w:caps/>
          <w:sz w:val="22"/>
        </w:rPr>
        <w:t xml:space="preserve">3. 2. Investigation on Hezhe’s Oral Literature </w:t>
      </w:r>
    </w:p>
    <w:p>
      <w:pPr>
        <w:pStyle w:val="23"/>
        <w:rPr>
          <w:rFonts w:ascii="Arial" w:hAnsi="Arial" w:cs="Arial"/>
        </w:rPr>
      </w:pPr>
      <w:r>
        <w:rPr>
          <w:rFonts w:ascii="Arial" w:hAnsi="Arial" w:cs="Arial"/>
        </w:rPr>
        <w:t>Hezhe language is a representative example of endangered languages in China. Imakan is a traditional form of storytelling among the Hezhe people</w:t>
      </w:r>
      <w:r>
        <w:rPr>
          <w:rStyle w:val="20"/>
          <w:rFonts w:ascii="Arial" w:hAnsi="Arial" w:cs="Arial"/>
        </w:rPr>
        <w:footnoteReference w:id="1"/>
      </w:r>
      <w:r>
        <w:rPr>
          <w:rFonts w:ascii="Arial" w:hAnsi="Arial" w:cs="Arial"/>
        </w:rPr>
        <w:t xml:space="preserve">, while Jialingkuo refers to the folk lyric songs of the Hezhe community. Both Imakan and Jialingkuo are integral components of the Hezhe people’s oral literature and intangible cultural heritage. </w:t>
      </w:r>
    </w:p>
    <w:p>
      <w:pPr>
        <w:pStyle w:val="23"/>
        <w:rPr>
          <w:rFonts w:ascii="Arial" w:hAnsi="Arial" w:cs="Arial"/>
          <w:b/>
        </w:rPr>
      </w:pPr>
      <w:r>
        <w:rPr>
          <w:rFonts w:ascii="Arial" w:hAnsi="Arial" w:cs="Arial"/>
          <w:b/>
        </w:rPr>
        <w:t>3. 2. 1 Imakhan’s rapping ability</w:t>
      </w:r>
    </w:p>
    <w:p>
      <w:pPr>
        <w:pStyle w:val="23"/>
        <w:rPr>
          <w:rFonts w:ascii="Arial" w:hAnsi="Arial" w:cs="Arial"/>
        </w:rPr>
      </w:pPr>
      <w:r>
        <w:rPr>
          <w:rFonts w:ascii="Arial" w:hAnsi="Arial" w:cs="Arial"/>
        </w:rPr>
        <w:t xml:space="preserve">Imakan rap is an oral art of the Hezhe people, characterized by its lack of musical accompaniment. The performance involves singing one paragraph at a time and relies on oral tradition. There are three types of Imakan rap: long, medium, and short pieces. This art form is particularly popular in Hezhe settlements, including Tongjiang City, Raohe, Huachuan, and Fujin City in Heilongjiang Province. It is often referred to as the living fossil of Hezhe culture. Most singers </w:t>
      </w:r>
      <w:r>
        <w:rPr>
          <w:rFonts w:ascii="Arial" w:hAnsi="Arial" w:cs="Arial"/>
          <w:color w:val="FF0000"/>
        </w:rPr>
        <w:t>were</w:t>
      </w:r>
      <w:r>
        <w:rPr>
          <w:rFonts w:ascii="Arial" w:hAnsi="Arial" w:cs="Arial"/>
        </w:rPr>
        <w:t xml:space="preserve"> amateur performers, primarily among Hezhe fishermen and hunters, although some shamans </w:t>
      </w:r>
      <w:r>
        <w:rPr>
          <w:rFonts w:ascii="Arial" w:hAnsi="Arial" w:cs="Arial"/>
          <w:color w:val="FF0000"/>
        </w:rPr>
        <w:t>were</w:t>
      </w:r>
      <w:r>
        <w:rPr>
          <w:rFonts w:ascii="Arial" w:hAnsi="Arial" w:cs="Arial"/>
        </w:rPr>
        <w:t xml:space="preserve"> also known to sing. Long Imakan performances can continue for several days. The most popular pieces </w:t>
      </w:r>
      <w:r>
        <w:rPr>
          <w:rFonts w:ascii="Arial" w:hAnsi="Arial" w:cs="Arial"/>
          <w:color w:val="FF0000"/>
        </w:rPr>
        <w:t>included</w:t>
      </w:r>
      <w:r>
        <w:rPr>
          <w:rFonts w:ascii="Arial" w:hAnsi="Arial" w:cs="Arial"/>
        </w:rPr>
        <w:t xml:space="preserve"> Hilda Rumorigen and Mudu Limorigen. In April 2006, Imakan rap was designated as a national intangible cultural heritage protection project by the Ministry of Culture of China. In November 2011, it was recognized by UNESCO as an intangible cultural heritage protection project in urgent need of safeguarding.</w:t>
      </w:r>
    </w:p>
    <w:p>
      <w:pPr>
        <w:pStyle w:val="23"/>
        <w:rPr>
          <w:rFonts w:ascii="Arial" w:hAnsi="Arial" w:cs="Arial"/>
        </w:rPr>
      </w:pPr>
      <w:r>
        <w:rPr>
          <w:rFonts w:ascii="Arial" w:hAnsi="Arial" w:cs="Arial"/>
        </w:rPr>
        <w:t xml:space="preserve">There </w:t>
      </w:r>
      <w:r>
        <w:rPr>
          <w:rFonts w:ascii="Arial" w:hAnsi="Arial" w:cs="Arial"/>
          <w:color w:val="FF0000"/>
        </w:rPr>
        <w:t>were</w:t>
      </w:r>
      <w:r>
        <w:rPr>
          <w:rFonts w:ascii="Arial" w:hAnsi="Arial" w:cs="Arial"/>
        </w:rPr>
        <w:t xml:space="preserve"> two distinct types of programs and performance styles in Imakan rap: big singing and small singing. Big singing </w:t>
      </w:r>
      <w:r>
        <w:rPr>
          <w:rFonts w:ascii="Arial" w:hAnsi="Arial" w:cs="Arial"/>
          <w:color w:val="FF0000"/>
        </w:rPr>
        <w:t>was</w:t>
      </w:r>
      <w:r>
        <w:rPr>
          <w:rFonts w:ascii="Arial" w:hAnsi="Arial" w:cs="Arial"/>
        </w:rPr>
        <w:t xml:space="preserve"> a performance style centered on spoken word, emphasizing the expression of heroic and legendary narratives, such as the tales of various Morigen (heroes) or the creation myths of the Hezhe people. In contrast, small singing </w:t>
      </w:r>
      <w:r>
        <w:rPr>
          <w:rFonts w:ascii="Arial" w:hAnsi="Arial" w:cs="Arial"/>
          <w:color w:val="FF0000"/>
        </w:rPr>
        <w:t xml:space="preserve">focused </w:t>
      </w:r>
      <w:r>
        <w:rPr>
          <w:rFonts w:ascii="Arial" w:hAnsi="Arial" w:cs="Arial"/>
        </w:rPr>
        <w:t>on vocal performances that feature shorter programs with lyrical content. Since the passing of the last prominent big singing artist, Qimafa Yujinliang, no one has been able to perform big singing. Contemporary practitioners can only sing Imakan content for a maximum of one to two hours (Li, 2015, pp 9-27). Currently, under the guidance of the Heilongjiang Provincial Intangible Cultural Heritage Center, an Imakan training center has been established in the Hezhe region. Inheritors of the national intangible cultural heritage of Imakan have been engaged to teach and preserve the complete Imakan repertoire, as well as to compile educational materials such as Xit Morigen and Shalun Morigen.</w:t>
      </w:r>
    </w:p>
    <w:p>
      <w:pPr>
        <w:pStyle w:val="23"/>
        <w:rPr>
          <w:rFonts w:ascii="Arial" w:hAnsi="Arial" w:cs="Arial"/>
        </w:rPr>
      </w:pPr>
      <w:r>
        <w:rPr>
          <w:rFonts w:ascii="Arial" w:hAnsi="Arial" w:cs="Arial"/>
        </w:rPr>
        <w:t xml:space="preserve">Among the 115 Hezhe survey participants, 47 individuals reported being able to sing the Imakhan chapter Xi Te Mo Ri Gen, 10 could sing Sha Lun Mo Ri Gen, 5 could sing Mu Zhu Lin Mo Ri Gen, 2 could sing other Imakan raps, and 68 indicated no such situation. The number of subjects who mastered the Imakhan chapter Xi Te Mo Ri Gen was the highest, significantly surpassing the other chapters. This </w:t>
      </w:r>
      <w:r>
        <w:rPr>
          <w:rFonts w:ascii="Arial" w:hAnsi="Arial" w:cs="Arial"/>
          <w:color w:val="FF0000"/>
        </w:rPr>
        <w:t>was</w:t>
      </w:r>
      <w:r>
        <w:rPr>
          <w:rFonts w:ascii="Arial" w:hAnsi="Arial" w:cs="Arial"/>
        </w:rPr>
        <w:t xml:space="preserve"> primarily because Xi Te Mo Ri Gen </w:t>
      </w:r>
      <w:r>
        <w:rPr>
          <w:rFonts w:ascii="Arial" w:hAnsi="Arial" w:cs="Arial"/>
          <w:color w:val="FF0000"/>
        </w:rPr>
        <w:t>was</w:t>
      </w:r>
      <w:r>
        <w:rPr>
          <w:rFonts w:ascii="Arial" w:hAnsi="Arial" w:cs="Arial"/>
        </w:rPr>
        <w:t xml:space="preserve"> a standard textbook used in Imakhan training centers. Since the establishment of training centers in 2012, under the unified guidance of the Heilongjiang Provincial Intangible Cultural Heritage Center, students have engaged with and studied the content of this chapter for ten years, resulting in a strong proficiency in singing Xi Te Mo Ri Gen. After 2019, the Provincial Intangible Cultural Heritage Center introduced Sha Lun Mo Ri Gen as a new textbook. While some students have managed to learn portions of this content through self-study, the transition from a unified teaching approach to self-directed learning has resulted in a limited number of individuals mastering it.</w:t>
      </w:r>
    </w:p>
    <w:p>
      <w:pPr>
        <w:pStyle w:val="23"/>
        <w:rPr>
          <w:rFonts w:ascii="Arial" w:hAnsi="Arial" w:cs="Arial"/>
          <w:b/>
        </w:rPr>
      </w:pPr>
      <w:r>
        <w:rPr>
          <w:rFonts w:ascii="Arial" w:hAnsi="Arial" w:cs="Arial"/>
          <w:b/>
        </w:rPr>
        <w:t>3. 2. 2 Jia Lingkuo’s rapping ability</w:t>
      </w:r>
    </w:p>
    <w:p>
      <w:pPr>
        <w:pStyle w:val="23"/>
        <w:rPr>
          <w:rFonts w:ascii="Arial" w:hAnsi="Arial" w:cs="Arial"/>
        </w:rPr>
      </w:pPr>
      <w:r>
        <w:rPr>
          <w:rFonts w:ascii="Arial" w:hAnsi="Arial" w:cs="Arial"/>
        </w:rPr>
        <w:t>Jialingkuo is the general term for the folk songs of the Hezhe people, characterized by its brevity, simplicity, and clarity of content, with tunes that are either bright and lively or soft and lyrical, evoking deep emotions and attracting many learners. In 2007, Jialingkuo was recognized as a provincial intangible cultural heritage of Heilongjiang. In 2021, it received approval from the State Council of the People’s Republic of China to be included in the fifth batch of the national intangible cultural heritage list. A questionnaire survey was designed with two questions to assess the listening and singing abilities related to Jialingkuo among the Hezhe people.</w:t>
      </w:r>
    </w:p>
    <w:p>
      <w:pPr>
        <w:pStyle w:val="23"/>
        <w:rPr>
          <w:rFonts w:ascii="Arial" w:hAnsi="Arial" w:cs="Arial"/>
        </w:rPr>
      </w:pPr>
      <w:r>
        <w:rPr>
          <w:rFonts w:ascii="Arial" w:hAnsi="Arial" w:cs="Arial"/>
        </w:rPr>
        <w:t xml:space="preserve">(1) Which songs of Jialingkuo have you heard? (Multiple selections are allowed). The answers </w:t>
      </w:r>
      <w:r>
        <w:rPr>
          <w:rFonts w:ascii="Arial" w:hAnsi="Arial" w:cs="Arial"/>
          <w:color w:val="FF0000"/>
        </w:rPr>
        <w:t>were</w:t>
      </w:r>
      <w:r>
        <w:rPr>
          <w:rFonts w:ascii="Arial" w:hAnsi="Arial" w:cs="Arial"/>
        </w:rPr>
        <w:t xml:space="preserve"> Wusuli Boat Song (115 people), Wusuli Mangmu (40 people), Lullaby (23 people), Guest Toasting Song (20 people), Dadingzi Mountain was High (14 people), There </w:t>
      </w:r>
      <w:r>
        <w:rPr>
          <w:rFonts w:ascii="Arial" w:hAnsi="Arial" w:cs="Arial"/>
          <w:color w:val="FF0000"/>
        </w:rPr>
        <w:t>was</w:t>
      </w:r>
      <w:r>
        <w:rPr>
          <w:rFonts w:ascii="Arial" w:hAnsi="Arial" w:cs="Arial"/>
        </w:rPr>
        <w:t xml:space="preserve"> a Hezhe Tribe in the East (13 people), and other songs (10 people).</w:t>
      </w:r>
    </w:p>
    <w:p>
      <w:pPr>
        <w:pStyle w:val="23"/>
        <w:rPr>
          <w:rFonts w:ascii="Arial" w:hAnsi="Arial" w:cs="Arial"/>
        </w:rPr>
      </w:pPr>
      <w:r>
        <w:rPr>
          <w:rFonts w:ascii="Arial" w:hAnsi="Arial" w:cs="Arial"/>
        </w:rPr>
        <w:t xml:space="preserve">(2) Which songs can be performed by the Jialingkuo group? (Multiple selections </w:t>
      </w:r>
      <w:r>
        <w:rPr>
          <w:rFonts w:ascii="Arial" w:hAnsi="Arial" w:cs="Arial"/>
          <w:color w:val="FF0000"/>
        </w:rPr>
        <w:t>were</w:t>
      </w:r>
      <w:r>
        <w:rPr>
          <w:rFonts w:ascii="Arial" w:hAnsi="Arial" w:cs="Arial"/>
        </w:rPr>
        <w:t xml:space="preserve"> allowed). The answers </w:t>
      </w:r>
      <w:r>
        <w:rPr>
          <w:rFonts w:ascii="Arial" w:hAnsi="Arial" w:cs="Arial"/>
          <w:color w:val="FF0000"/>
        </w:rPr>
        <w:t>were</w:t>
      </w:r>
      <w:r>
        <w:rPr>
          <w:rFonts w:ascii="Arial" w:hAnsi="Arial" w:cs="Arial"/>
        </w:rPr>
        <w:t xml:space="preserve"> as follows: Wusuli Boat Song (86 participants), Wusuli Mangmu (32 participants), Guest Toasting Song (16 participants), Lullaby (8 participants), There </w:t>
      </w:r>
      <w:r>
        <w:rPr>
          <w:rFonts w:ascii="Arial" w:hAnsi="Arial" w:cs="Arial"/>
          <w:color w:val="FF0000"/>
        </w:rPr>
        <w:t>was</w:t>
      </w:r>
      <w:r>
        <w:rPr>
          <w:rFonts w:ascii="Arial" w:hAnsi="Arial" w:cs="Arial"/>
        </w:rPr>
        <w:t xml:space="preserve"> a Hezhe Tribe in the East (6 participants), The Dadingzi Mountain </w:t>
      </w:r>
      <w:r>
        <w:rPr>
          <w:rFonts w:ascii="Arial" w:hAnsi="Arial" w:cs="Arial"/>
          <w:color w:val="FF0000"/>
        </w:rPr>
        <w:t>was</w:t>
      </w:r>
      <w:r>
        <w:rPr>
          <w:rFonts w:ascii="Arial" w:hAnsi="Arial" w:cs="Arial"/>
        </w:rPr>
        <w:t xml:space="preserve"> So High (4 participants). Additionally, 10 participants selected other songs, and 6 individuals did not sing any of these songs, bringing the total to 115 participants.</w:t>
      </w:r>
    </w:p>
    <w:p>
      <w:pPr>
        <w:pStyle w:val="23"/>
        <w:rPr>
          <w:rFonts w:ascii="Arial" w:hAnsi="Arial" w:cs="Arial"/>
        </w:rPr>
      </w:pPr>
      <w:r>
        <w:rPr>
          <w:rFonts w:ascii="Arial" w:hAnsi="Arial" w:cs="Arial"/>
        </w:rPr>
        <w:t xml:space="preserve">All Hezhe people </w:t>
      </w:r>
      <w:r>
        <w:rPr>
          <w:rFonts w:ascii="Arial" w:hAnsi="Arial" w:cs="Arial"/>
          <w:color w:val="FF0000"/>
        </w:rPr>
        <w:t>were</w:t>
      </w:r>
      <w:r>
        <w:rPr>
          <w:rFonts w:ascii="Arial" w:hAnsi="Arial" w:cs="Arial"/>
        </w:rPr>
        <w:t xml:space="preserve"> familiar with the Wusuli Boat Song, which was composed by the renowned singer Guo Song in the 1960s, drawing inspiration from the melodies of traditional Hezhe folk songs. The lyrics </w:t>
      </w:r>
      <w:r>
        <w:rPr>
          <w:rFonts w:ascii="Arial" w:hAnsi="Arial" w:cs="Arial"/>
          <w:color w:val="FF0000"/>
        </w:rPr>
        <w:t>celebrated</w:t>
      </w:r>
      <w:r>
        <w:rPr>
          <w:rFonts w:ascii="Arial" w:hAnsi="Arial" w:cs="Arial"/>
        </w:rPr>
        <w:t xml:space="preserve"> the Hezhe people’s beautiful living environment and their flourishing production. UNESCO has selected this song as a music teaching resource in the Asia-Pacific region. Additionally, it </w:t>
      </w:r>
      <w:r>
        <w:rPr>
          <w:rFonts w:ascii="Arial" w:hAnsi="Arial" w:cs="Arial"/>
          <w:color w:val="FF0000"/>
        </w:rPr>
        <w:t>was</w:t>
      </w:r>
      <w:r>
        <w:rPr>
          <w:rFonts w:ascii="Arial" w:hAnsi="Arial" w:cs="Arial"/>
        </w:rPr>
        <w:t xml:space="preserve"> performed at various festivals celebrated by the Hezhe people. In the hearts of the Hezhe, the Wusuli Boat Song has become synonymous with their national culture and is widely sung.</w:t>
      </w:r>
    </w:p>
    <w:p>
      <w:pPr>
        <w:pStyle w:val="23"/>
        <w:rPr>
          <w:rFonts w:ascii="Arial" w:hAnsi="Arial" w:cs="Arial"/>
          <w:b/>
          <w:caps/>
          <w:sz w:val="22"/>
        </w:rPr>
      </w:pPr>
      <w:r>
        <w:rPr>
          <w:rFonts w:ascii="Arial" w:hAnsi="Arial" w:cs="Arial"/>
          <w:b/>
          <w:caps/>
          <w:sz w:val="22"/>
        </w:rPr>
        <w:t xml:space="preserve">3.3 Hezhe People’s Listening and Speaking Skills of Hezhe Language </w:t>
      </w:r>
    </w:p>
    <w:p>
      <w:pPr>
        <w:pStyle w:val="23"/>
        <w:rPr>
          <w:rFonts w:ascii="Arial" w:hAnsi="Arial" w:cs="Arial"/>
        </w:rPr>
      </w:pPr>
      <w:r>
        <w:rPr>
          <w:rFonts w:ascii="Arial" w:hAnsi="Arial" w:cs="Arial"/>
        </w:rPr>
        <w:t xml:space="preserve">The Hezhe people possess a spoken language, but do not have a written form. Mastery of the Hezhe language is essential for inheriting and safeguarding the oral literature and other aspects of the Hezhe people’s intangible cultural heritage. Consequently, this section of the survey established six indicators to comprehensively assess the participants’ listening and speaking abilities in the Hezhe language. </w:t>
      </w:r>
    </w:p>
    <w:p>
      <w:pPr>
        <w:pStyle w:val="23"/>
        <w:rPr>
          <w:rFonts w:ascii="Arial" w:hAnsi="Arial" w:cs="Arial"/>
        </w:rPr>
      </w:pPr>
      <w:r>
        <w:rPr>
          <w:rFonts w:ascii="Arial" w:hAnsi="Arial" w:cs="Arial"/>
        </w:rPr>
        <w:t xml:space="preserve">About 28 participants </w:t>
      </w:r>
      <w:r>
        <w:rPr>
          <w:rFonts w:ascii="Arial" w:hAnsi="Arial" w:cs="Arial"/>
          <w:color w:val="FF0000"/>
        </w:rPr>
        <w:t>could</w:t>
      </w:r>
      <w:r>
        <w:rPr>
          <w:rFonts w:ascii="Arial" w:hAnsi="Arial" w:cs="Arial"/>
        </w:rPr>
        <w:t xml:space="preserve"> almost understand Hezhe language (</w:t>
      </w:r>
      <w:r>
        <w:rPr>
          <w:rFonts w:ascii="Arial" w:hAnsi="Arial" w:cs="Arial"/>
          <w:color w:val="FF0000"/>
        </w:rPr>
        <w:t>including those without, with a little, and with difficulties in listening Hezhe language)</w:t>
      </w:r>
      <w:r>
        <w:rPr>
          <w:rFonts w:ascii="Arial" w:hAnsi="Arial" w:cs="Arial"/>
        </w:rPr>
        <w:t xml:space="preserve"> and 27 participants </w:t>
      </w:r>
      <w:r>
        <w:rPr>
          <w:rFonts w:ascii="Arial" w:hAnsi="Arial" w:cs="Arial"/>
          <w:color w:val="FF0000"/>
        </w:rPr>
        <w:t>could</w:t>
      </w:r>
      <w:r>
        <w:rPr>
          <w:rFonts w:ascii="Arial" w:hAnsi="Arial" w:cs="Arial"/>
        </w:rPr>
        <w:t xml:space="preserve"> almost speak Hezhe language (</w:t>
      </w:r>
      <w:r>
        <w:rPr>
          <w:rFonts w:ascii="Arial" w:hAnsi="Arial" w:cs="Arial"/>
          <w:color w:val="FF0000"/>
        </w:rPr>
        <w:t>including those without, with a little, and with difficulties in speaking Hezhe language</w:t>
      </w:r>
      <w:r>
        <w:rPr>
          <w:rFonts w:ascii="Arial" w:hAnsi="Arial" w:cs="Arial"/>
        </w:rPr>
        <w:t xml:space="preserve">). </w:t>
      </w:r>
      <w:r>
        <w:rPr>
          <w:rFonts w:ascii="Arial" w:hAnsi="Arial" w:cs="Arial"/>
          <w:color w:val="FF0000"/>
        </w:rPr>
        <w:t xml:space="preserve">The detailed information of participants’ Hezhe language abilities can be seen in table 2. </w:t>
      </w:r>
      <w:r>
        <w:rPr>
          <w:rFonts w:ascii="Arial" w:hAnsi="Arial" w:cs="Arial"/>
        </w:rPr>
        <w:t xml:space="preserve">Overall, the subjects’ abilities in both input and output of the Hezhe language </w:t>
      </w:r>
      <w:r>
        <w:rPr>
          <w:rFonts w:ascii="Arial" w:hAnsi="Arial" w:cs="Arial"/>
          <w:color w:val="FF0000"/>
        </w:rPr>
        <w:t>were</w:t>
      </w:r>
      <w:r>
        <w:rPr>
          <w:rFonts w:ascii="Arial" w:hAnsi="Arial" w:cs="Arial"/>
        </w:rPr>
        <w:t xml:space="preserve"> essentially equivalent. A total of 28 participants indicated Hezhe language in response to the question “which languages and dialects can you use to communicate with others?” The two sets of data </w:t>
      </w:r>
      <w:r>
        <w:rPr>
          <w:rFonts w:ascii="Arial" w:hAnsi="Arial" w:cs="Arial"/>
          <w:color w:val="FF0000"/>
        </w:rPr>
        <w:t>corroborated</w:t>
      </w:r>
      <w:r>
        <w:rPr>
          <w:rFonts w:ascii="Arial" w:hAnsi="Arial" w:cs="Arial"/>
        </w:rPr>
        <w:t xml:space="preserve"> each other, demonstrating that the subjects’ self-reports </w:t>
      </w:r>
      <w:r>
        <w:rPr>
          <w:rFonts w:ascii="Arial" w:hAnsi="Arial" w:cs="Arial"/>
          <w:color w:val="FF0000"/>
        </w:rPr>
        <w:t>aligned</w:t>
      </w:r>
      <w:r>
        <w:rPr>
          <w:rFonts w:ascii="Arial" w:hAnsi="Arial" w:cs="Arial"/>
        </w:rPr>
        <w:t xml:space="preserve"> with reality. Among those who </w:t>
      </w:r>
      <w:r>
        <w:rPr>
          <w:rFonts w:ascii="Arial" w:hAnsi="Arial" w:cs="Arial"/>
          <w:color w:val="FF0000"/>
        </w:rPr>
        <w:t xml:space="preserve">could </w:t>
      </w:r>
      <w:r>
        <w:rPr>
          <w:rFonts w:ascii="Arial" w:hAnsi="Arial" w:cs="Arial"/>
        </w:rPr>
        <w:t xml:space="preserve">converse in Hezhe, 6 individuals naturally acquired the language through familial influence since childhood, while the remainder learned it through various educational methods. Geographically, the language speakers </w:t>
      </w:r>
      <w:r>
        <w:rPr>
          <w:rFonts w:ascii="Arial" w:hAnsi="Arial" w:cs="Arial"/>
          <w:color w:val="FF0000"/>
        </w:rPr>
        <w:t>were</w:t>
      </w:r>
      <w:r>
        <w:rPr>
          <w:rFonts w:ascii="Arial" w:hAnsi="Arial" w:cs="Arial"/>
        </w:rPr>
        <w:t xml:space="preserve"> primarily concentrated in Jiejinkou Township (9 individuals), Sipai Township (6 individuals), and Bacha Township (8 individuals), with 3 individuals in Aoqi Village and 2 in Zhuaji Village. This distribution </w:t>
      </w:r>
      <w:r>
        <w:rPr>
          <w:rFonts w:ascii="Arial" w:hAnsi="Arial" w:cs="Arial"/>
          <w:color w:val="FF0000"/>
        </w:rPr>
        <w:t>aligned</w:t>
      </w:r>
      <w:r>
        <w:rPr>
          <w:rFonts w:ascii="Arial" w:hAnsi="Arial" w:cs="Arial"/>
        </w:rPr>
        <w:t xml:space="preserve"> with the research expectations established during the pilot survey, indicating that language speakers </w:t>
      </w:r>
      <w:r>
        <w:rPr>
          <w:rFonts w:ascii="Arial" w:hAnsi="Arial" w:cs="Arial"/>
          <w:color w:val="FF0000"/>
        </w:rPr>
        <w:t>were</w:t>
      </w:r>
      <w:r>
        <w:rPr>
          <w:rFonts w:ascii="Arial" w:hAnsi="Arial" w:cs="Arial"/>
        </w:rPr>
        <w:t xml:space="preserve"> predominantly found in the three townships and two villages of the Hezhe ethnic group. Regarding the age distribution of those proficient in the Hezhe language, most subjects </w:t>
      </w:r>
      <w:r>
        <w:rPr>
          <w:rFonts w:ascii="Arial" w:hAnsi="Arial" w:cs="Arial"/>
          <w:color w:val="FF0000"/>
        </w:rPr>
        <w:t xml:space="preserve">were </w:t>
      </w:r>
      <w:r>
        <w:rPr>
          <w:rFonts w:ascii="Arial" w:hAnsi="Arial" w:cs="Arial"/>
        </w:rPr>
        <w:t xml:space="preserve">middle-aged or elderly. This </w:t>
      </w:r>
      <w:r>
        <w:rPr>
          <w:rFonts w:ascii="Arial" w:hAnsi="Arial" w:cs="Arial"/>
          <w:color w:val="FF0000"/>
        </w:rPr>
        <w:t>included</w:t>
      </w:r>
      <w:r>
        <w:rPr>
          <w:rFonts w:ascii="Arial" w:hAnsi="Arial" w:cs="Arial"/>
        </w:rPr>
        <w:t xml:space="preserve"> 12 individuals in the elderly group (11.3%), 7 in the middle-aged group (6.1%), and 3 in the young group (2.6%). Notably, there </w:t>
      </w:r>
      <w:r>
        <w:rPr>
          <w:rFonts w:ascii="Arial" w:hAnsi="Arial" w:cs="Arial"/>
          <w:color w:val="FF0000"/>
        </w:rPr>
        <w:t>were</w:t>
      </w:r>
      <w:r>
        <w:rPr>
          <w:rFonts w:ascii="Arial" w:hAnsi="Arial" w:cs="Arial"/>
        </w:rPr>
        <w:t xml:space="preserve"> no members in the middle-aged or young groups who acquired the Hezhe language naturally. Some individuals learned to speak and understood Hezhe through participation in the Imakan Training Center. One participant who reported proficiency in the Hezhe language stated, “I learned the Hezhe language due to work requirements. There are often performances in the city, and I must sing one or two sections of Imakan. I learned the Hezhe language from a teacher at the training center, and later I was able to sing part of the Imakan content.”</w:t>
      </w:r>
    </w:p>
    <w:p>
      <w:pPr>
        <w:pStyle w:val="67"/>
        <w:kinsoku w:val="0"/>
        <w:topLinePunct/>
        <w:ind w:firstLine="0"/>
        <w:rPr>
          <w:rFonts w:ascii="Arial" w:hAnsi="Arial" w:cs="Arial" w:eastAsiaTheme="minorEastAsia"/>
          <w:color w:val="auto"/>
          <w:w w:val="100"/>
          <w:kern w:val="0"/>
          <w:szCs w:val="20"/>
          <w:shd w:val="clear" w:color="auto" w:fill="auto"/>
          <w:lang w:eastAsia="en-US"/>
        </w:rPr>
      </w:pPr>
      <w:r>
        <w:rPr>
          <w:rFonts w:ascii="Arial" w:hAnsi="Arial" w:cs="Arial" w:eastAsiaTheme="minorEastAsia"/>
          <w:color w:val="auto"/>
          <w:w w:val="100"/>
          <w:kern w:val="0"/>
          <w:szCs w:val="20"/>
          <w:shd w:val="clear" w:color="auto" w:fill="auto"/>
          <w:lang w:eastAsia="en-US"/>
        </w:rPr>
        <w:t>Table 2. Proficiency of Hezhe language (N = 115; person/%)</w:t>
      </w:r>
    </w:p>
    <w:tbl>
      <w:tblPr>
        <w:tblStyle w:val="12"/>
        <w:tblW w:w="5000" w:type="pct"/>
        <w:tblInd w:w="0" w:type="dxa"/>
        <w:tblBorders>
          <w:top w:val="single" w:color="000000" w:sz="6" w:space="0"/>
          <w:left w:val="none" w:color="auto" w:sz="0" w:space="0"/>
          <w:bottom w:val="single" w:color="000000" w:sz="4" w:space="0"/>
          <w:right w:val="none" w:color="auto" w:sz="0" w:space="0"/>
          <w:insideH w:val="single" w:color="000000" w:sz="6" w:space="0"/>
          <w:insideV w:val="none" w:color="auto" w:sz="0" w:space="0"/>
        </w:tblBorders>
        <w:tblLayout w:type="autofit"/>
        <w:tblCellMar>
          <w:top w:w="0" w:type="dxa"/>
          <w:left w:w="0" w:type="dxa"/>
          <w:bottom w:w="0" w:type="dxa"/>
          <w:right w:w="0" w:type="dxa"/>
        </w:tblCellMar>
      </w:tblPr>
      <w:tblGrid>
        <w:gridCol w:w="1239"/>
        <w:gridCol w:w="1305"/>
        <w:gridCol w:w="1305"/>
        <w:gridCol w:w="1305"/>
        <w:gridCol w:w="1595"/>
        <w:gridCol w:w="1479"/>
      </w:tblGrid>
      <w:tr>
        <w:tc>
          <w:tcPr>
            <w:tcW w:w="753" w:type="pct"/>
            <w:shd w:val="clear" w:color="auto" w:fill="auto"/>
            <w:tcMar>
              <w:top w:w="10" w:type="dxa"/>
              <w:left w:w="10" w:type="dxa"/>
              <w:right w:w="10" w:type="dxa"/>
            </w:tcMar>
            <w:vAlign w:val="center"/>
          </w:tcPr>
          <w:p>
            <w:pPr>
              <w:pStyle w:val="69"/>
              <w:widowControl/>
              <w:rPr>
                <w:rFonts w:ascii="Arial" w:hAnsi="Arial" w:cs="Arial"/>
                <w:sz w:val="20"/>
                <w:szCs w:val="20"/>
                <w:lang w:eastAsia="en-US"/>
              </w:rPr>
            </w:pPr>
          </w:p>
        </w:tc>
        <w:tc>
          <w:tcPr>
            <w:tcW w:w="793"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 xml:space="preserve">Without </w:t>
            </w:r>
          </w:p>
          <w:p>
            <w:pPr>
              <w:pStyle w:val="68"/>
              <w:widowControl/>
              <w:rPr>
                <w:rFonts w:ascii="Arial" w:hAnsi="Arial" w:cs="Arial"/>
                <w:sz w:val="20"/>
                <w:szCs w:val="20"/>
                <w:lang w:eastAsia="en-US"/>
              </w:rPr>
            </w:pPr>
            <w:r>
              <w:rPr>
                <w:rFonts w:ascii="Arial" w:hAnsi="Arial" w:cs="Arial"/>
                <w:sz w:val="20"/>
                <w:szCs w:val="20"/>
                <w:lang w:eastAsia="en-US"/>
              </w:rPr>
              <w:t>difficulties</w:t>
            </w:r>
          </w:p>
        </w:tc>
        <w:tc>
          <w:tcPr>
            <w:tcW w:w="793"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 xml:space="preserve">A little </w:t>
            </w:r>
          </w:p>
          <w:p>
            <w:pPr>
              <w:pStyle w:val="68"/>
              <w:widowControl/>
              <w:rPr>
                <w:rFonts w:ascii="Arial" w:hAnsi="Arial" w:cs="Arial"/>
                <w:sz w:val="20"/>
                <w:szCs w:val="20"/>
                <w:lang w:eastAsia="en-US"/>
              </w:rPr>
            </w:pPr>
            <w:r>
              <w:rPr>
                <w:rFonts w:ascii="Arial" w:hAnsi="Arial" w:cs="Arial"/>
                <w:sz w:val="20"/>
                <w:szCs w:val="20"/>
                <w:lang w:eastAsia="en-US"/>
              </w:rPr>
              <w:t>difficulties</w:t>
            </w:r>
          </w:p>
        </w:tc>
        <w:tc>
          <w:tcPr>
            <w:tcW w:w="793"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 xml:space="preserve">with </w:t>
            </w:r>
          </w:p>
          <w:p>
            <w:pPr>
              <w:pStyle w:val="68"/>
              <w:widowControl/>
              <w:rPr>
                <w:rFonts w:ascii="Arial" w:hAnsi="Arial" w:cs="Arial"/>
                <w:sz w:val="20"/>
                <w:szCs w:val="20"/>
                <w:lang w:eastAsia="en-US"/>
              </w:rPr>
            </w:pPr>
            <w:r>
              <w:rPr>
                <w:rFonts w:ascii="Arial" w:hAnsi="Arial" w:cs="Arial"/>
                <w:sz w:val="20"/>
                <w:szCs w:val="20"/>
                <w:lang w:eastAsia="en-US"/>
              </w:rPr>
              <w:t>difficulties</w:t>
            </w:r>
          </w:p>
        </w:tc>
        <w:tc>
          <w:tcPr>
            <w:tcW w:w="969"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 xml:space="preserve">Only </w:t>
            </w:r>
          </w:p>
          <w:p>
            <w:pPr>
              <w:pStyle w:val="68"/>
              <w:widowControl/>
              <w:rPr>
                <w:rFonts w:ascii="Arial" w:hAnsi="Arial" w:cs="Arial"/>
                <w:sz w:val="20"/>
                <w:szCs w:val="20"/>
                <w:lang w:eastAsia="en-US"/>
              </w:rPr>
            </w:pPr>
            <w:r>
              <w:rPr>
                <w:rFonts w:ascii="Arial" w:hAnsi="Arial" w:cs="Arial"/>
                <w:sz w:val="20"/>
                <w:szCs w:val="20"/>
                <w:lang w:eastAsia="en-US"/>
              </w:rPr>
              <w:t>some words</w:t>
            </w:r>
          </w:p>
        </w:tc>
        <w:tc>
          <w:tcPr>
            <w:tcW w:w="900"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Completely</w:t>
            </w:r>
          </w:p>
          <w:p>
            <w:pPr>
              <w:pStyle w:val="68"/>
              <w:widowControl/>
              <w:rPr>
                <w:rFonts w:ascii="Arial" w:hAnsi="Arial" w:cs="Arial"/>
                <w:sz w:val="20"/>
                <w:szCs w:val="20"/>
                <w:lang w:eastAsia="en-US"/>
              </w:rPr>
            </w:pPr>
            <w:r>
              <w:rPr>
                <w:rFonts w:ascii="Arial" w:hAnsi="Arial" w:cs="Arial"/>
                <w:sz w:val="20"/>
                <w:szCs w:val="20"/>
                <w:lang w:eastAsia="en-US"/>
              </w:rPr>
              <w:t>cannot</w:t>
            </w:r>
          </w:p>
        </w:tc>
      </w:tr>
      <w:tr>
        <w:tc>
          <w:tcPr>
            <w:tcW w:w="753"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Listening</w:t>
            </w:r>
          </w:p>
        </w:tc>
        <w:tc>
          <w:tcPr>
            <w:tcW w:w="793"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6/5.2</w:t>
            </w:r>
          </w:p>
        </w:tc>
        <w:tc>
          <w:tcPr>
            <w:tcW w:w="793"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5/4.3</w:t>
            </w:r>
          </w:p>
        </w:tc>
        <w:tc>
          <w:tcPr>
            <w:tcW w:w="793"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17/14.8</w:t>
            </w:r>
          </w:p>
        </w:tc>
        <w:tc>
          <w:tcPr>
            <w:tcW w:w="969"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15/13.0</w:t>
            </w:r>
          </w:p>
        </w:tc>
        <w:tc>
          <w:tcPr>
            <w:tcW w:w="900"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72/62.6</w:t>
            </w:r>
          </w:p>
        </w:tc>
      </w:tr>
      <w:tr>
        <w:tc>
          <w:tcPr>
            <w:tcW w:w="753"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Speaking</w:t>
            </w:r>
          </w:p>
        </w:tc>
        <w:tc>
          <w:tcPr>
            <w:tcW w:w="793"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3/2.6</w:t>
            </w:r>
          </w:p>
        </w:tc>
        <w:tc>
          <w:tcPr>
            <w:tcW w:w="793"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7/6.1</w:t>
            </w:r>
          </w:p>
        </w:tc>
        <w:tc>
          <w:tcPr>
            <w:tcW w:w="793"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17/14.8</w:t>
            </w:r>
          </w:p>
        </w:tc>
        <w:tc>
          <w:tcPr>
            <w:tcW w:w="969"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13/11.3</w:t>
            </w:r>
          </w:p>
        </w:tc>
        <w:tc>
          <w:tcPr>
            <w:tcW w:w="900" w:type="pct"/>
            <w:shd w:val="clear" w:color="auto" w:fill="auto"/>
            <w:tcMar>
              <w:top w:w="10" w:type="dxa"/>
              <w:left w:w="10" w:type="dxa"/>
              <w:right w:w="10" w:type="dxa"/>
            </w:tcMar>
            <w:vAlign w:val="center"/>
          </w:tcPr>
          <w:p>
            <w:pPr>
              <w:pStyle w:val="68"/>
              <w:widowControl/>
              <w:rPr>
                <w:rFonts w:ascii="Arial" w:hAnsi="Arial" w:cs="Arial"/>
                <w:sz w:val="20"/>
                <w:szCs w:val="20"/>
                <w:lang w:eastAsia="en-US"/>
              </w:rPr>
            </w:pPr>
            <w:r>
              <w:rPr>
                <w:rFonts w:ascii="Arial" w:hAnsi="Arial" w:cs="Arial"/>
                <w:sz w:val="20"/>
                <w:szCs w:val="20"/>
                <w:lang w:eastAsia="en-US"/>
              </w:rPr>
              <w:t>85/65.2</w:t>
            </w:r>
          </w:p>
        </w:tc>
      </w:tr>
    </w:tbl>
    <w:p>
      <w:pPr>
        <w:pStyle w:val="23"/>
        <w:rPr>
          <w:rFonts w:ascii="Arial" w:hAnsi="Arial" w:cs="Arial"/>
        </w:rPr>
      </w:pPr>
    </w:p>
    <w:p>
      <w:pPr>
        <w:pStyle w:val="23"/>
        <w:rPr>
          <w:rFonts w:ascii="Arial" w:hAnsi="Arial" w:cs="Arial"/>
        </w:rPr>
      </w:pPr>
      <w:r>
        <w:rPr>
          <w:rFonts w:ascii="Arial" w:hAnsi="Arial" w:cs="Arial"/>
        </w:rPr>
        <w:t xml:space="preserve">From 2001 to 2004, He Xuejuan conducted an investigation into the current status of the Hezhe language within Hezhe-populated areas. Based on the vocabulary acquired, she analyzed vocabulary proficiency, population ratios, and the age structure of Hezhe language users. She noted that the majority of individuals who could speak and understood the Hezhe language </w:t>
      </w:r>
      <w:r>
        <w:rPr>
          <w:rFonts w:ascii="Arial" w:hAnsi="Arial" w:cs="Arial"/>
          <w:color w:val="FF0000"/>
        </w:rPr>
        <w:t>were</w:t>
      </w:r>
      <w:r>
        <w:rPr>
          <w:rFonts w:ascii="Arial" w:hAnsi="Arial" w:cs="Arial"/>
        </w:rPr>
        <w:t xml:space="preserve"> elderly. Fewer than ten individuals </w:t>
      </w:r>
      <w:r>
        <w:rPr>
          <w:rFonts w:ascii="Arial" w:hAnsi="Arial" w:cs="Arial"/>
          <w:color w:val="FF0000"/>
        </w:rPr>
        <w:t>had</w:t>
      </w:r>
      <w:r>
        <w:rPr>
          <w:rFonts w:ascii="Arial" w:hAnsi="Arial" w:cs="Arial"/>
        </w:rPr>
        <w:t xml:space="preserve"> Hezhe as their mother tongue, and all of them </w:t>
      </w:r>
      <w:r>
        <w:rPr>
          <w:rFonts w:ascii="Arial" w:hAnsi="Arial" w:cs="Arial"/>
          <w:color w:val="FF0000"/>
        </w:rPr>
        <w:t>were</w:t>
      </w:r>
      <w:r>
        <w:rPr>
          <w:rFonts w:ascii="Arial" w:hAnsi="Arial" w:cs="Arial"/>
        </w:rPr>
        <w:t xml:space="preserve"> over 80 years old. The number of fluent speakers </w:t>
      </w:r>
      <w:r>
        <w:rPr>
          <w:rFonts w:ascii="Arial" w:hAnsi="Arial" w:cs="Arial"/>
          <w:color w:val="FF0000"/>
        </w:rPr>
        <w:t>was</w:t>
      </w:r>
      <w:r>
        <w:rPr>
          <w:rFonts w:ascii="Arial" w:hAnsi="Arial" w:cs="Arial"/>
        </w:rPr>
        <w:t xml:space="preserve"> exhibiting a trend of significant aging. In their interactions, the Hezhe language </w:t>
      </w:r>
      <w:r>
        <w:rPr>
          <w:rFonts w:ascii="Arial" w:hAnsi="Arial" w:cs="Arial"/>
          <w:color w:val="FF0000"/>
        </w:rPr>
        <w:t>was</w:t>
      </w:r>
      <w:r>
        <w:rPr>
          <w:rFonts w:ascii="Arial" w:hAnsi="Arial" w:cs="Arial"/>
        </w:rPr>
        <w:t xml:space="preserve"> not the primary means of communication. When these elderly speakers </w:t>
      </w:r>
      <w:r>
        <w:rPr>
          <w:rFonts w:ascii="Arial" w:hAnsi="Arial" w:cs="Arial"/>
          <w:color w:val="FF0000"/>
        </w:rPr>
        <w:t>passed</w:t>
      </w:r>
      <w:r>
        <w:rPr>
          <w:rFonts w:ascii="Arial" w:hAnsi="Arial" w:cs="Arial"/>
        </w:rPr>
        <w:t xml:space="preserve"> away, the remaining knowledge of the Hezhe language </w:t>
      </w:r>
      <w:r>
        <w:rPr>
          <w:rFonts w:ascii="Arial" w:hAnsi="Arial" w:cs="Arial"/>
          <w:color w:val="FF0000"/>
        </w:rPr>
        <w:t>would</w:t>
      </w:r>
      <w:r>
        <w:rPr>
          <w:rFonts w:ascii="Arial" w:hAnsi="Arial" w:cs="Arial"/>
        </w:rPr>
        <w:t xml:space="preserve"> consist of only a few words and phrases, placing the language in an extremely endangered state. According to the survey data presented above, the number of individuals proficient in the Hezhe language changed over the past 20 years, encompassing three age groups: elderly, middle-aged, and young. The primary areas of usage </w:t>
      </w:r>
      <w:r>
        <w:rPr>
          <w:rFonts w:ascii="Arial" w:hAnsi="Arial" w:cs="Arial"/>
          <w:color w:val="FF0000"/>
        </w:rPr>
        <w:t>were</w:t>
      </w:r>
      <w:r>
        <w:rPr>
          <w:rFonts w:ascii="Arial" w:hAnsi="Arial" w:cs="Arial"/>
        </w:rPr>
        <w:t xml:space="preserve"> concentrated in non-legacy cultural inheritance activities, such as Imakan and Jialingkuo. The transmission of the Hezhe language was historically interrupted across generations and faced severe endangerment, with fewer than ten individuals proficient in it. However, due to external interventions, such as efforts to preserve intangible cultural heritage, there </w:t>
      </w:r>
      <w:r>
        <w:rPr>
          <w:rFonts w:ascii="Arial" w:hAnsi="Arial" w:cs="Arial"/>
          <w:color w:val="FF0000"/>
        </w:rPr>
        <w:t>were</w:t>
      </w:r>
      <w:r>
        <w:rPr>
          <w:rFonts w:ascii="Arial" w:hAnsi="Arial" w:cs="Arial"/>
        </w:rPr>
        <w:t xml:space="preserve"> a noticeable warming up trend in language proficiency. This trend </w:t>
      </w:r>
      <w:r>
        <w:rPr>
          <w:rFonts w:ascii="Arial" w:hAnsi="Arial" w:cs="Arial"/>
          <w:color w:val="FF0000"/>
        </w:rPr>
        <w:t xml:space="preserve">was </w:t>
      </w:r>
      <w:r>
        <w:rPr>
          <w:rFonts w:ascii="Arial" w:hAnsi="Arial" w:cs="Arial"/>
        </w:rPr>
        <w:t xml:space="preserve">primarily reflected in the increasing number of proficient speakers across all age groups. Despite this progress, the practical use of the language in daily communication </w:t>
      </w:r>
      <w:r>
        <w:rPr>
          <w:rFonts w:ascii="Arial" w:hAnsi="Arial" w:cs="Arial"/>
          <w:color w:val="FF0000"/>
        </w:rPr>
        <w:t>remained</w:t>
      </w:r>
      <w:r>
        <w:rPr>
          <w:rFonts w:ascii="Arial" w:hAnsi="Arial" w:cs="Arial"/>
        </w:rPr>
        <w:t xml:space="preserve"> almost non-existent, while its role in cultural inheritance </w:t>
      </w:r>
      <w:r>
        <w:rPr>
          <w:rFonts w:ascii="Arial" w:hAnsi="Arial" w:cs="Arial"/>
          <w:color w:val="FF0000"/>
        </w:rPr>
        <w:t>became</w:t>
      </w:r>
      <w:r>
        <w:rPr>
          <w:rFonts w:ascii="Arial" w:hAnsi="Arial" w:cs="Arial"/>
        </w:rPr>
        <w:t xml:space="preserve"> increasingly significant.</w:t>
      </w:r>
    </w:p>
    <w:p>
      <w:pPr>
        <w:pStyle w:val="23"/>
        <w:rPr>
          <w:rFonts w:ascii="Arial" w:hAnsi="Arial" w:cs="Arial"/>
          <w:b/>
          <w:caps/>
          <w:sz w:val="22"/>
        </w:rPr>
      </w:pPr>
      <w:r>
        <w:rPr>
          <w:rFonts w:ascii="Arial" w:hAnsi="Arial" w:cs="Arial"/>
          <w:b/>
          <w:caps/>
          <w:sz w:val="22"/>
        </w:rPr>
        <w:t>3. 4 Exploring the Path of Inheriting the Intangible Cultural Heritage and Protecting the Language of the Hezhe People</w:t>
      </w:r>
    </w:p>
    <w:p>
      <w:pPr>
        <w:pStyle w:val="23"/>
        <w:rPr>
          <w:rFonts w:ascii="Arial" w:hAnsi="Arial" w:cs="Arial"/>
        </w:rPr>
      </w:pPr>
      <w:r>
        <w:rPr>
          <w:rFonts w:ascii="Arial" w:hAnsi="Arial" w:cs="Arial"/>
        </w:rPr>
        <w:t xml:space="preserve">In 2006, the China Intangible Cultural Heritage Protection Center was established. This center </w:t>
      </w:r>
      <w:r>
        <w:rPr>
          <w:rFonts w:ascii="Arial" w:hAnsi="Arial" w:cs="Arial"/>
          <w:color w:val="FF0000"/>
        </w:rPr>
        <w:t>was</w:t>
      </w:r>
      <w:r>
        <w:rPr>
          <w:rFonts w:ascii="Arial" w:hAnsi="Arial" w:cs="Arial"/>
        </w:rPr>
        <w:t xml:space="preserve"> responsible for organizing and implementing various initiatives related to the protection of intangible cultural heritage, as well as fulfilling the obligations of the State Party under the UNESCO Convention for the Safeguarding of the Intangible Cultural Heritage. Since its inception, provincial, municipal, and county intangible cultural heritage centers have been established. Cultural departments at all levels, along with cultural workers, intangible cultural heritage inheritors, and citizens, have been organized to collaboratively engage in the excavation, survey, rescue, protection, and transmission of intangible cultural heritage.</w:t>
      </w:r>
    </w:p>
    <w:p>
      <w:pPr>
        <w:pStyle w:val="23"/>
        <w:rPr>
          <w:rFonts w:ascii="Arial" w:hAnsi="Arial" w:cs="Arial"/>
          <w:b/>
        </w:rPr>
      </w:pPr>
      <w:r>
        <w:rPr>
          <w:rFonts w:ascii="Arial" w:hAnsi="Arial" w:cs="Arial"/>
          <w:b/>
        </w:rPr>
        <w:t>3. 4. 1 Strengthening policy support and financial guarantee</w:t>
      </w:r>
    </w:p>
    <w:p>
      <w:pPr>
        <w:pStyle w:val="23"/>
        <w:rPr>
          <w:rFonts w:ascii="Arial" w:hAnsi="Arial" w:cs="Arial"/>
        </w:rPr>
      </w:pPr>
      <w:r>
        <w:rPr>
          <w:rFonts w:ascii="Arial" w:hAnsi="Arial" w:cs="Arial"/>
        </w:rPr>
        <w:t xml:space="preserve">The protection of intangible cultural heritage and the preservation of culture in its original form are critical issues. Unlike material cultural heritage, intangible cultural heritage is characterized by individuality, community, and regionality. This is particularly true for oral traditions, where the inheritors serve as both experiencers and continuators of the intangible cultural heritage’s life. Since the enactment of the Law of the People’s Republic of China on Intangible Cultural Heritage in February 2011, investments in the rescue and protection of intangible cultural heritage have increased, along with support for inheritors and financial assistance for cultural transmission. The promulgation of this law has clarified the direction for the rescue, protection, and inheritance of intangible cultural heritage, as well as the funding guarantees for inheritors. This has enabled more effective solutions to the challenges faced by successors. It is essential to strengthen training and management in areas such as identifying inheritors of intangible cultural heritage, clarifying their responsibilities and obligations, and standardizing management practices. To protect and transmit the Imakan rap, it is crucial to enhance support and management for representative inheritors while fulfilling their responsibilities and obligations. The Heilongjiang Provincial Intangible Cultural Heritage Center developed a series of management systems, including the Management System for the Transmission of Representative Inheritors of the Hezhe Imakan Rap. This system </w:t>
      </w:r>
      <w:r>
        <w:rPr>
          <w:rFonts w:ascii="Arial" w:hAnsi="Arial" w:cs="Arial"/>
          <w:color w:val="FF0000"/>
        </w:rPr>
        <w:t>outlined</w:t>
      </w:r>
      <w:r>
        <w:rPr>
          <w:rFonts w:ascii="Arial" w:hAnsi="Arial" w:cs="Arial"/>
        </w:rPr>
        <w:t xml:space="preserve"> that responsible protection units must provide representative inheritors with venues for cultural transmission and offer appropriate work subsidies. It also </w:t>
      </w:r>
      <w:r>
        <w:rPr>
          <w:rFonts w:ascii="Arial" w:hAnsi="Arial" w:cs="Arial"/>
          <w:color w:val="FF0000"/>
        </w:rPr>
        <w:t>encouraged</w:t>
      </w:r>
      <w:r>
        <w:rPr>
          <w:rFonts w:ascii="Arial" w:hAnsi="Arial" w:cs="Arial"/>
        </w:rPr>
        <w:t xml:space="preserve"> methods such as accepting apprentices and teaching skills to cultivate successors. The goal </w:t>
      </w:r>
      <w:r>
        <w:rPr>
          <w:rFonts w:ascii="Arial" w:hAnsi="Arial" w:cs="Arial"/>
          <w:color w:val="FF0000"/>
        </w:rPr>
        <w:t>was</w:t>
      </w:r>
      <w:r>
        <w:rPr>
          <w:rFonts w:ascii="Arial" w:hAnsi="Arial" w:cs="Arial"/>
        </w:rPr>
        <w:t xml:space="preserve"> to identify and nurture a group of outstanding inheritors, designating 1-3 key new inheritors, and gradually establishing a network of inheritors through leadership and the creation of a scientific and effective inheritance mechanism to ensure the sustainable transmission of the Imakan rap.</w:t>
      </w:r>
    </w:p>
    <w:p>
      <w:pPr>
        <w:pStyle w:val="23"/>
        <w:rPr>
          <w:rFonts w:ascii="Arial" w:hAnsi="Arial" w:cs="Arial"/>
        </w:rPr>
      </w:pPr>
      <w:r>
        <w:rPr>
          <w:rFonts w:ascii="Arial" w:hAnsi="Arial" w:cs="Arial"/>
        </w:rPr>
        <w:t xml:space="preserve">In November 2019, the Tongjiang Intangible Cultural Heritage Protection Center convened a Meeting on the 2020 Target Tasks of Provincial Inheritors’ Inheritance Subsidy Funds at the Comprehensive Cultural and Art Training Center of the Hezhe Nationality Cultural Center. In accordance with the relevant provisions of the Intangible Cultural Heritage and the Protection of Intangible Cultural Heritage of Heilongjiang Province, special funds were allocated for the protection and inheritance of the corresponding projects of the inheritors. These funds were ensured to be reasonably allocated and effectively used. The Intangible Cultural Heritage Center implements a targeted task allocation system for provincial representative inheritors. It </w:t>
      </w:r>
      <w:r>
        <w:rPr>
          <w:rFonts w:ascii="Arial" w:hAnsi="Arial" w:cs="Arial"/>
          <w:color w:val="FF0000"/>
        </w:rPr>
        <w:t>signed</w:t>
      </w:r>
      <w:r>
        <w:rPr>
          <w:rFonts w:ascii="Arial" w:hAnsi="Arial" w:cs="Arial"/>
        </w:rPr>
        <w:t xml:space="preserve"> a letter of responsibility and formulates inheritance tasks based on associated costs, providing full inheritance subsidies to those who successfully complete their tasks. In contrast, individuals who </w:t>
      </w:r>
      <w:r>
        <w:rPr>
          <w:rFonts w:ascii="Arial" w:hAnsi="Arial" w:cs="Arial"/>
          <w:color w:val="FF0000"/>
        </w:rPr>
        <w:t>were</w:t>
      </w:r>
      <w:r>
        <w:rPr>
          <w:rFonts w:ascii="Arial" w:hAnsi="Arial" w:cs="Arial"/>
        </w:rPr>
        <w:t xml:space="preserve"> unable or unwilling to inherit, or who</w:t>
      </w:r>
      <w:r>
        <w:rPr>
          <w:rFonts w:ascii="Arial" w:hAnsi="Arial" w:cs="Arial"/>
          <w:color w:val="FF0000"/>
        </w:rPr>
        <w:t xml:space="preserve"> failed</w:t>
      </w:r>
      <w:r>
        <w:rPr>
          <w:rFonts w:ascii="Arial" w:hAnsi="Arial" w:cs="Arial"/>
        </w:rPr>
        <w:t xml:space="preserve"> to meet their target tasks, </w:t>
      </w:r>
      <w:r>
        <w:rPr>
          <w:rFonts w:ascii="Arial" w:hAnsi="Arial" w:cs="Arial"/>
          <w:color w:val="FF0000"/>
        </w:rPr>
        <w:t>would</w:t>
      </w:r>
      <w:r>
        <w:rPr>
          <w:rFonts w:ascii="Arial" w:hAnsi="Arial" w:cs="Arial"/>
        </w:rPr>
        <w:t xml:space="preserve"> not receive an inheritance subsidy in the following year. The support from the intangible cultural heritage inheritance subsidy funds enhanced the inheritors’ sense of honor and accomplishment. It promoted the enthusiasm and initiative of inheritors at all levels, thereby advancing the protection and transmission of local intangible cultural heritage. This support stimulated the motivation of inheritors to engage in protective and inheritance activities.</w:t>
      </w:r>
    </w:p>
    <w:p>
      <w:pPr>
        <w:pStyle w:val="23"/>
        <w:rPr>
          <w:rFonts w:ascii="Arial" w:hAnsi="Arial" w:cs="Arial"/>
          <w:b/>
        </w:rPr>
      </w:pPr>
      <w:r>
        <w:rPr>
          <w:rFonts w:ascii="Arial" w:hAnsi="Arial" w:cs="Arial"/>
          <w:b/>
        </w:rPr>
        <w:t>3. 4. 2 Establishing a standardized management system for intangible cultural heritage inheritors and projects</w:t>
      </w:r>
    </w:p>
    <w:p>
      <w:pPr>
        <w:pStyle w:val="23"/>
        <w:rPr>
          <w:rFonts w:ascii="Arial" w:hAnsi="Arial" w:cs="Arial"/>
        </w:rPr>
      </w:pPr>
      <w:r>
        <w:rPr>
          <w:rFonts w:ascii="Arial" w:hAnsi="Arial" w:cs="Arial"/>
        </w:rPr>
        <w:t>A fundamental characteristic that distinguishes intangible cultural heritage from tangible cultural heritage is its nature as a living culture, which exists within individuals, groups, or specific regional contexts (</w:t>
      </w:r>
      <w:r>
        <w:rPr>
          <w:rFonts w:ascii="Arial" w:hAnsi="Arial" w:cs="Arial"/>
          <w:color w:val="FF0000"/>
        </w:rPr>
        <w:t>Odularu et al., 2024</w:t>
      </w:r>
      <w:r>
        <w:rPr>
          <w:rFonts w:ascii="Arial" w:hAnsi="Arial" w:cs="Arial"/>
        </w:rPr>
        <w:t xml:space="preserve">). Elements such as oral literature, language, traditional performing arts, handicraft skills, rituals, and festivals are all tied to the activities of individuals or groups, including their display, performance, and transmission. This living preservation is primarily reflected in the practices of the inheritors, who serve as the carriers of this heritage. The existence and development of these inheritors </w:t>
      </w:r>
      <w:r>
        <w:rPr>
          <w:rFonts w:ascii="Arial" w:hAnsi="Arial" w:cs="Arial"/>
          <w:color w:val="FF0000"/>
        </w:rPr>
        <w:t>imbued</w:t>
      </w:r>
      <w:r>
        <w:rPr>
          <w:rFonts w:ascii="Arial" w:hAnsi="Arial" w:cs="Arial"/>
        </w:rPr>
        <w:t xml:space="preserve"> intangible cultural heritage with a vibrant and enduring vitality. The Imakan rap of the Hezhe people </w:t>
      </w:r>
      <w:r>
        <w:rPr>
          <w:rFonts w:ascii="Arial" w:hAnsi="Arial" w:cs="Arial"/>
          <w:color w:val="FF0000"/>
        </w:rPr>
        <w:t>was</w:t>
      </w:r>
      <w:r>
        <w:rPr>
          <w:rFonts w:ascii="Arial" w:hAnsi="Arial" w:cs="Arial"/>
        </w:rPr>
        <w:t xml:space="preserve"> passed down from generation to generation by respected elders and folk artists skilled in singing and dancing. This tradition primarily relies on the inheritors’ auditory perception, emotional connection, and oral transmission. From the early 20th century to the present, three generations of Hezhe Imakan rap inheritors emerged. The first generation spanned from the early 20th century until 1950s; the second generation extended from the 1950s to the late 1990s; and the third generation continued from the late 1990s to the present. Imakan rap artists </w:t>
      </w:r>
      <w:r>
        <w:rPr>
          <w:rFonts w:ascii="Arial" w:hAnsi="Arial" w:cs="Arial"/>
          <w:color w:val="FF0000"/>
        </w:rPr>
        <w:t>served</w:t>
      </w:r>
      <w:r>
        <w:rPr>
          <w:rFonts w:ascii="Arial" w:hAnsi="Arial" w:cs="Arial"/>
        </w:rPr>
        <w:t xml:space="preserve"> not only as custodians of Hezhe culture but also as vital conduits for the transmission of the Hezhe language. Currently, a comprehensive evaluation and recognition system for national, provincial, municipal, and county representative inheritors </w:t>
      </w:r>
      <w:r>
        <w:rPr>
          <w:rFonts w:ascii="Arial" w:hAnsi="Arial" w:cs="Arial"/>
          <w:color w:val="FF0000"/>
        </w:rPr>
        <w:t>was</w:t>
      </w:r>
      <w:r>
        <w:rPr>
          <w:rFonts w:ascii="Arial" w:hAnsi="Arial" w:cs="Arial"/>
        </w:rPr>
        <w:t xml:space="preserve"> established in the Hezhe area to ensure the transmission of intangible cultural heritage. Heilongjiang Province recognized and announced three batches of representative inheritors for provincial intangible cultural heritage projects. Additionally, all cities and counties conducted their own recognition processes for intangible cultural heritage inheritors at their respective levels. Presently, there were 15 national inheritors and 337 provincial inheritors in the province, and the mechanism for inheriting intangible cultural heritage </w:t>
      </w:r>
      <w:r>
        <w:rPr>
          <w:rFonts w:ascii="Arial" w:hAnsi="Arial" w:cs="Arial"/>
          <w:color w:val="FF0000"/>
        </w:rPr>
        <w:t>was</w:t>
      </w:r>
      <w:r>
        <w:rPr>
          <w:rFonts w:ascii="Arial" w:hAnsi="Arial" w:cs="Arial"/>
        </w:rPr>
        <w:t xml:space="preserve"> continuously refined. In 2014, the Provincial Intangible Cultural Heritage Center took the initiative to assess representative inheritors, standardize inheritance activities, and enhance the dynamic management of these inheritors. </w:t>
      </w:r>
    </w:p>
    <w:p>
      <w:pPr>
        <w:pStyle w:val="23"/>
        <w:rPr>
          <w:rFonts w:ascii="Arial" w:hAnsi="Arial" w:cs="Arial"/>
        </w:rPr>
      </w:pPr>
      <w:r>
        <w:rPr>
          <w:rFonts w:ascii="Arial" w:hAnsi="Arial" w:cs="Arial"/>
        </w:rPr>
        <w:t xml:space="preserve">Tongjiang City, located in Heilongjiang Province, </w:t>
      </w:r>
      <w:r>
        <w:rPr>
          <w:rFonts w:ascii="Arial" w:hAnsi="Arial" w:cs="Arial"/>
          <w:color w:val="FF0000"/>
        </w:rPr>
        <w:t>served</w:t>
      </w:r>
      <w:r>
        <w:rPr>
          <w:rFonts w:ascii="Arial" w:hAnsi="Arial" w:cs="Arial"/>
        </w:rPr>
        <w:t xml:space="preserve"> as a concentrated residential area for the Hezhe people. It </w:t>
      </w:r>
      <w:r>
        <w:rPr>
          <w:rFonts w:ascii="Arial" w:hAnsi="Arial" w:cs="Arial"/>
          <w:color w:val="FF0000"/>
        </w:rPr>
        <w:t>encompassed</w:t>
      </w:r>
      <w:r>
        <w:rPr>
          <w:rFonts w:ascii="Arial" w:hAnsi="Arial" w:cs="Arial"/>
        </w:rPr>
        <w:t xml:space="preserve"> two Hezhe townships: Jiejinkou and Bacha. According to the local Intangible Cultural Heritage Center, the Hezhe people </w:t>
      </w:r>
      <w:r>
        <w:rPr>
          <w:rFonts w:ascii="Arial" w:hAnsi="Arial" w:cs="Arial"/>
          <w:color w:val="FF0000"/>
        </w:rPr>
        <w:t>had</w:t>
      </w:r>
      <w:r>
        <w:rPr>
          <w:rFonts w:ascii="Arial" w:hAnsi="Arial" w:cs="Arial"/>
        </w:rPr>
        <w:t xml:space="preserve"> three national-level intangible cultural heritage protection projects, five provincial-level projects in Heilongjiang, six municipal-level projects, and 44 items across nine categories at the county level, all of which fell under the scope of intangible cultural heritage protection. To ensure the implementation of protection and inheritance efforts, the Hezhe Imakan rap training center </w:t>
      </w:r>
      <w:r>
        <w:rPr>
          <w:rFonts w:ascii="Arial" w:hAnsi="Arial" w:cs="Arial"/>
          <w:color w:val="FF0000"/>
        </w:rPr>
        <w:t>was</w:t>
      </w:r>
      <w:r>
        <w:rPr>
          <w:rFonts w:ascii="Arial" w:hAnsi="Arial" w:cs="Arial"/>
        </w:rPr>
        <w:t xml:space="preserve"> established, and inheritance management regulations </w:t>
      </w:r>
      <w:r>
        <w:rPr>
          <w:rFonts w:ascii="Arial" w:hAnsi="Arial" w:cs="Arial"/>
          <w:color w:val="FF0000"/>
        </w:rPr>
        <w:t>were</w:t>
      </w:r>
      <w:r>
        <w:rPr>
          <w:rFonts w:ascii="Arial" w:hAnsi="Arial" w:cs="Arial"/>
        </w:rPr>
        <w:t xml:space="preserve"> formulated. In addition, the Intangible Cultural Heritage Center, which </w:t>
      </w:r>
      <w:r>
        <w:rPr>
          <w:rFonts w:ascii="Arial" w:hAnsi="Arial" w:cs="Arial"/>
          <w:color w:val="FF0000"/>
        </w:rPr>
        <w:t>focused</w:t>
      </w:r>
      <w:r>
        <w:rPr>
          <w:rFonts w:ascii="Arial" w:hAnsi="Arial" w:cs="Arial"/>
        </w:rPr>
        <w:t xml:space="preserve"> on the collection of project materials, compiled 45 episodes of Hezhe long stories and 60 episodes of traditional music, produced four feature films, and established a comprehensive Hezhe Imakan archive. The intangible cultural heritage department planned and organized various projects, collected Hezhe language and cultural materials, and conducted Imakan and Jialingkuo training sessions. The number of language masters increased, and their linguistic abilities </w:t>
      </w:r>
      <w:r>
        <w:rPr>
          <w:rFonts w:ascii="Arial" w:hAnsi="Arial" w:cs="Arial"/>
          <w:color w:val="FF0000"/>
        </w:rPr>
        <w:t>were</w:t>
      </w:r>
      <w:r>
        <w:rPr>
          <w:rFonts w:ascii="Arial" w:hAnsi="Arial" w:cs="Arial"/>
        </w:rPr>
        <w:t xml:space="preserve"> enhanced. The training incorporates assessments, and the supervising unit </w:t>
      </w:r>
      <w:r>
        <w:rPr>
          <w:rFonts w:ascii="Arial" w:hAnsi="Arial" w:cs="Arial"/>
          <w:color w:val="FF0000"/>
        </w:rPr>
        <w:t>evaluated</w:t>
      </w:r>
      <w:r>
        <w:rPr>
          <w:rFonts w:ascii="Arial" w:hAnsi="Arial" w:cs="Arial"/>
        </w:rPr>
        <w:t xml:space="preserve"> the training outcomes, thereby establishing a bidirectional mechanism for language protection and inheritance that </w:t>
      </w:r>
      <w:r>
        <w:rPr>
          <w:rFonts w:ascii="Arial" w:hAnsi="Arial" w:cs="Arial"/>
          <w:color w:val="FF0000"/>
        </w:rPr>
        <w:t>operated</w:t>
      </w:r>
      <w:r>
        <w:rPr>
          <w:rFonts w:ascii="Arial" w:hAnsi="Arial" w:cs="Arial"/>
        </w:rPr>
        <w:t xml:space="preserve"> both from top to bottom and from bottom to top.</w:t>
      </w:r>
    </w:p>
    <w:p>
      <w:pPr>
        <w:pStyle w:val="23"/>
        <w:rPr>
          <w:rFonts w:ascii="Arial" w:hAnsi="Arial" w:cs="Arial"/>
          <w:b/>
        </w:rPr>
      </w:pPr>
      <w:r>
        <w:rPr>
          <w:rFonts w:ascii="Arial" w:hAnsi="Arial" w:cs="Arial"/>
          <w:b/>
        </w:rPr>
        <w:t>3. 4. 3 The establishment of the Imakhan Training Institute</w:t>
      </w:r>
    </w:p>
    <w:p>
      <w:pPr>
        <w:pStyle w:val="23"/>
        <w:rPr>
          <w:rFonts w:ascii="Arial" w:hAnsi="Arial" w:cs="Arial"/>
        </w:rPr>
      </w:pPr>
      <w:r>
        <w:rPr>
          <w:rFonts w:ascii="Arial" w:hAnsi="Arial" w:cs="Arial"/>
        </w:rPr>
        <w:t xml:space="preserve">Imakan is a distinctive rap art of the Hezhe people, combining rap and storytelling to convey long epics. It served as the primary means of transmitting the language, beliefs, and folk customs of the Hezhe community. In 2011, Imakan rap was included in UNESCO’s List of Intangible Cultural Heritage in Need of Urgent Safeguarding. To protect and promote Imakan, the Intangible Cultural Heritage Center established a training center in the Hezhe settlement area. Classes </w:t>
      </w:r>
      <w:r>
        <w:rPr>
          <w:rFonts w:ascii="Arial" w:hAnsi="Arial" w:cs="Arial"/>
          <w:color w:val="FF0000"/>
        </w:rPr>
        <w:t>were</w:t>
      </w:r>
      <w:r>
        <w:rPr>
          <w:rFonts w:ascii="Arial" w:hAnsi="Arial" w:cs="Arial"/>
        </w:rPr>
        <w:t xml:space="preserve"> held twice a week, each lasting 2 to 3 hours. The instructors </w:t>
      </w:r>
      <w:r>
        <w:rPr>
          <w:rFonts w:ascii="Arial" w:hAnsi="Arial" w:cs="Arial"/>
          <w:color w:val="FF0000"/>
        </w:rPr>
        <w:t>were</w:t>
      </w:r>
      <w:r>
        <w:rPr>
          <w:rFonts w:ascii="Arial" w:hAnsi="Arial" w:cs="Arial"/>
        </w:rPr>
        <w:t xml:space="preserve"> recognized national or Heilongjiang provincial Imakan inheritors. From 2013 to 2017, Miss Ge (60 years old, Hezhe), an inheritor of Imakan in Heilongjiang Province, served as a teacher at the Raohe County Training Center. According to her, the provincial intangible cultural heritage center distributed Xitmozhigen as teaching material, which started with the most basic words, then sentences, and paragraph rap. It </w:t>
      </w:r>
      <w:r>
        <w:rPr>
          <w:rFonts w:ascii="Arial" w:hAnsi="Arial" w:cs="Arial"/>
          <w:color w:val="FF0000"/>
        </w:rPr>
        <w:t>was</w:t>
      </w:r>
      <w:r>
        <w:rPr>
          <w:rFonts w:ascii="Arial" w:hAnsi="Arial" w:cs="Arial"/>
        </w:rPr>
        <w:t xml:space="preserve"> too difficult to teach Imakan directly, The Intangible Cultural Heritage Center </w:t>
      </w:r>
      <w:r>
        <w:rPr>
          <w:rFonts w:ascii="Arial" w:hAnsi="Arial" w:cs="Arial"/>
          <w:color w:val="FF0000"/>
        </w:rPr>
        <w:t>encouraged</w:t>
      </w:r>
      <w:r>
        <w:rPr>
          <w:rFonts w:ascii="Arial" w:hAnsi="Arial" w:cs="Arial"/>
        </w:rPr>
        <w:t xml:space="preserve"> participation from all ethnic groups in the learning process. Each class </w:t>
      </w:r>
      <w:r>
        <w:rPr>
          <w:rFonts w:ascii="Arial" w:hAnsi="Arial" w:cs="Arial"/>
          <w:color w:val="FF0000"/>
        </w:rPr>
        <w:t xml:space="preserve">rewarded </w:t>
      </w:r>
      <w:r>
        <w:rPr>
          <w:rFonts w:ascii="Arial" w:hAnsi="Arial" w:cs="Arial"/>
        </w:rPr>
        <w:t xml:space="preserve">teachers with ¥ 200, and students </w:t>
      </w:r>
      <w:r>
        <w:rPr>
          <w:rFonts w:ascii="Arial" w:hAnsi="Arial" w:cs="Arial"/>
          <w:color w:val="FF0000"/>
        </w:rPr>
        <w:t>received</w:t>
      </w:r>
      <w:r>
        <w:rPr>
          <w:rFonts w:ascii="Arial" w:hAnsi="Arial" w:cs="Arial"/>
        </w:rPr>
        <w:t xml:space="preserve"> ¥ 20 as well. Driven by these initiatives, students at the training center increased significantly in numbers. According to the Raohe County Intangible Cultural Heritage Center, since the opening of the Imakan Training Center, a total of 200 training hours </w:t>
      </w:r>
      <w:r>
        <w:rPr>
          <w:rFonts w:ascii="Arial" w:hAnsi="Arial" w:cs="Arial"/>
          <w:color w:val="FF0000"/>
        </w:rPr>
        <w:t>were</w:t>
      </w:r>
      <w:r>
        <w:rPr>
          <w:rFonts w:ascii="Arial" w:hAnsi="Arial" w:cs="Arial"/>
        </w:rPr>
        <w:t xml:space="preserve"> conducted, with more than 450 students participating. Most students </w:t>
      </w:r>
      <w:r>
        <w:rPr>
          <w:rFonts w:ascii="Arial" w:hAnsi="Arial" w:cs="Arial"/>
          <w:color w:val="FF0000"/>
        </w:rPr>
        <w:t>mastered</w:t>
      </w:r>
      <w:r>
        <w:rPr>
          <w:rFonts w:ascii="Arial" w:hAnsi="Arial" w:cs="Arial"/>
        </w:rPr>
        <w:t xml:space="preserve"> 3 to 4 chapters and several outstanding students </w:t>
      </w:r>
      <w:r>
        <w:rPr>
          <w:rFonts w:ascii="Arial" w:hAnsi="Arial" w:cs="Arial"/>
          <w:color w:val="FF0000"/>
        </w:rPr>
        <w:t>could</w:t>
      </w:r>
      <w:r>
        <w:rPr>
          <w:rFonts w:ascii="Arial" w:hAnsi="Arial" w:cs="Arial"/>
        </w:rPr>
        <w:t xml:space="preserve"> sing all 12 chapters.</w:t>
      </w:r>
    </w:p>
    <w:p>
      <w:pPr>
        <w:pStyle w:val="23"/>
        <w:rPr>
          <w:rFonts w:ascii="Arial" w:hAnsi="Arial" w:cs="Arial"/>
          <w:b/>
        </w:rPr>
      </w:pPr>
      <w:r>
        <w:rPr>
          <w:rFonts w:ascii="Arial" w:hAnsi="Arial" w:cs="Arial"/>
          <w:b/>
        </w:rPr>
        <w:t>3. 4. 4 Establishing a marriage training class</w:t>
      </w:r>
    </w:p>
    <w:p>
      <w:pPr>
        <w:pStyle w:val="23"/>
        <w:rPr>
          <w:rFonts w:ascii="Arial" w:hAnsi="Arial" w:cs="Arial"/>
        </w:rPr>
      </w:pPr>
      <w:r>
        <w:rPr>
          <w:rFonts w:ascii="Arial" w:hAnsi="Arial" w:cs="Arial"/>
        </w:rPr>
        <w:t>Jialingkuo is the collective term for Hezhe folk songs, which translates to tunes, songs, calls, children’s songs, and minor melodies. The songs are characterized by their brevity, simplicity, and clarity of content, with tunes that are either bright and lively or soft and lyrical, evoking deep emotions and attracting many learners. In 2007, Jialingkuo was recognized as a provincial intangible cultural heritage in Heilongjiang Province. Following this recognition, the Raohe County Intangible Cultural Heritage Center encouraged local Hezhe cultural inheritors and music enthusiasts to study Jialingkuo together. In 2012, the Intangible Cultural Heritage Center launched a Jialingkuo training program, which included over 100 hours of instructional courses. This initiative trained more than 2,000 students and produced over 500 minutes of video materials. Additionally, the center compiled Singing in Hexiang, Full of Love in Wusu - Raohe Hezhe Jialingkuo Song Collection, which featured, organized, and translated 51 Jialingkuo ditties. The program trained two provincial and municipal Jialingkuo inheritors and 15 Hezhe students. Annually, the center performed more than 20 times locally and organized a total of 150 performances across the country, significantly enhancing the popularity and influence of the Hezhe language and culture.</w:t>
      </w:r>
    </w:p>
    <w:p>
      <w:pPr>
        <w:pStyle w:val="23"/>
        <w:rPr>
          <w:rFonts w:ascii="Arial" w:hAnsi="Arial" w:cs="Arial"/>
          <w:b/>
        </w:rPr>
      </w:pPr>
      <w:r>
        <w:rPr>
          <w:rFonts w:ascii="Arial" w:hAnsi="Arial" w:cs="Arial"/>
          <w:b/>
        </w:rPr>
        <w:t>3. 4. 5 An online learning group for Hezhe language and culture</w:t>
      </w:r>
    </w:p>
    <w:p>
      <w:pPr>
        <w:pStyle w:val="23"/>
        <w:rPr>
          <w:rFonts w:ascii="Arial" w:hAnsi="Arial" w:cs="Arial"/>
        </w:rPr>
      </w:pPr>
      <w:r>
        <w:rPr>
          <w:rFonts w:ascii="Arial" w:hAnsi="Arial" w:cs="Arial"/>
        </w:rPr>
        <w:t xml:space="preserve">Mobile phones have become an indispensable electronic device in the lives of contemporary individuals. From the elderly to kindergarten children, many Hezhe people utilize online communication to facilitate remote education. Online learning emerged as an effective method for transmitting the Hezhe language. Some Hezhe individuals form language and culture learning groups on platforms such as WeChat to conducted Hezhe language instruction. WeChat, a mobile messaging application launched by Tencent in 2011, supports multi-user participation and integrates voice, image, video, and text communication. Users can connect with friends through WeChat. As of August 2024, there </w:t>
      </w:r>
      <w:r>
        <w:rPr>
          <w:rFonts w:ascii="Arial" w:hAnsi="Arial" w:cs="Arial"/>
          <w:color w:val="FF0000"/>
        </w:rPr>
        <w:t>were</w:t>
      </w:r>
      <w:r>
        <w:rPr>
          <w:rFonts w:ascii="Arial" w:hAnsi="Arial" w:cs="Arial"/>
        </w:rPr>
        <w:t xml:space="preserve"> a total of 24 Hezhe language and culture teaching groups, each managed by ethnic cultural elites from across the country. The largest group, known as the United Hezhe Group, </w:t>
      </w:r>
      <w:r>
        <w:rPr>
          <w:rFonts w:ascii="Arial" w:hAnsi="Arial" w:cs="Arial"/>
          <w:color w:val="FF0000"/>
        </w:rPr>
        <w:t>had</w:t>
      </w:r>
      <w:r>
        <w:rPr>
          <w:rFonts w:ascii="Arial" w:hAnsi="Arial" w:cs="Arial"/>
        </w:rPr>
        <w:t xml:space="preserve"> nearly 200 participants and </w:t>
      </w:r>
      <w:r>
        <w:rPr>
          <w:rFonts w:ascii="Arial" w:hAnsi="Arial" w:cs="Arial"/>
          <w:color w:val="FF0000"/>
        </w:rPr>
        <w:t>served</w:t>
      </w:r>
      <w:r>
        <w:rPr>
          <w:rFonts w:ascii="Arial" w:hAnsi="Arial" w:cs="Arial"/>
        </w:rPr>
        <w:t xml:space="preserve"> as a contact group for Hezhe individuals nationwide. According to a survey, Jia, a retired Hezhe teacher residing in Tongjiang, utilized WeChat to establish a Hezhe Language Learning Group. To further enhance students’ independent use of teaching materials and improve learning efficiency, he created an international phonetic learning group with 46 members to support their studies. Statistics indicate that WeChat groups </w:t>
      </w:r>
      <w:r>
        <w:rPr>
          <w:rFonts w:ascii="Arial" w:hAnsi="Arial" w:cs="Arial"/>
          <w:color w:val="FF0000"/>
        </w:rPr>
        <w:t>were</w:t>
      </w:r>
      <w:r>
        <w:rPr>
          <w:rFonts w:ascii="Arial" w:hAnsi="Arial" w:cs="Arial"/>
        </w:rPr>
        <w:t xml:space="preserve"> primarily categorized into two types: language learning groups and Imakan learning groups. Members </w:t>
      </w:r>
      <w:r>
        <w:rPr>
          <w:rFonts w:ascii="Arial" w:hAnsi="Arial" w:cs="Arial"/>
          <w:color w:val="FF0000"/>
        </w:rPr>
        <w:t>consisted</w:t>
      </w:r>
      <w:r>
        <w:rPr>
          <w:rFonts w:ascii="Arial" w:hAnsi="Arial" w:cs="Arial"/>
        </w:rPr>
        <w:t xml:space="preserve"> of students from Imakan training centers in various Hezhe regions, as well as Hezhe language and culture enthusiasts from other areas. The main objectives of these groups </w:t>
      </w:r>
      <w:r>
        <w:rPr>
          <w:rFonts w:ascii="Arial" w:hAnsi="Arial" w:cs="Arial"/>
          <w:color w:val="FF0000"/>
        </w:rPr>
        <w:t>were</w:t>
      </w:r>
      <w:r>
        <w:rPr>
          <w:rFonts w:ascii="Arial" w:hAnsi="Arial" w:cs="Arial"/>
        </w:rPr>
        <w:t xml:space="preserve"> for teachers to share class information, provide updates on language and culture, explain language concepts, and facilitate Q &amp; A sessions. This online teaching method </w:t>
      </w:r>
      <w:r>
        <w:rPr>
          <w:rFonts w:ascii="Arial" w:hAnsi="Arial" w:cs="Arial"/>
          <w:color w:val="FF0000"/>
        </w:rPr>
        <w:t>eliminated</w:t>
      </w:r>
      <w:r>
        <w:rPr>
          <w:rFonts w:ascii="Arial" w:hAnsi="Arial" w:cs="Arial"/>
        </w:rPr>
        <w:t xml:space="preserve"> geographical barriers, allowing teachers to deliver lectures without the need for travel. Students </w:t>
      </w:r>
      <w:r>
        <w:rPr>
          <w:rFonts w:ascii="Arial" w:hAnsi="Arial" w:cs="Arial"/>
          <w:color w:val="FF0000"/>
        </w:rPr>
        <w:t>could</w:t>
      </w:r>
      <w:r>
        <w:rPr>
          <w:rFonts w:ascii="Arial" w:hAnsi="Arial" w:cs="Arial"/>
        </w:rPr>
        <w:t xml:space="preserve"> learn from any location, which greatly </w:t>
      </w:r>
      <w:r>
        <w:rPr>
          <w:rFonts w:ascii="Arial" w:hAnsi="Arial" w:cs="Arial"/>
          <w:color w:val="FF0000"/>
        </w:rPr>
        <w:t>benefited</w:t>
      </w:r>
      <w:r>
        <w:rPr>
          <w:rFonts w:ascii="Arial" w:hAnsi="Arial" w:cs="Arial"/>
        </w:rPr>
        <w:t xml:space="preserve"> those eager to study the Hezhe language and culture. </w:t>
      </w:r>
    </w:p>
    <w:p>
      <w:pPr>
        <w:pStyle w:val="23"/>
        <w:rPr>
          <w:rFonts w:ascii="Arial" w:hAnsi="Arial" w:cs="Arial"/>
          <w:b/>
        </w:rPr>
      </w:pPr>
      <w:r>
        <w:rPr>
          <w:rFonts w:ascii="Arial" w:hAnsi="Arial" w:cs="Arial"/>
          <w:b/>
        </w:rPr>
        <w:t>3. 4. 6 The Hezhe Cultural Ecological Protection Area</w:t>
      </w:r>
    </w:p>
    <w:p>
      <w:pPr>
        <w:pStyle w:val="23"/>
        <w:rPr>
          <w:rFonts w:ascii="Arial" w:hAnsi="Arial" w:cs="Arial"/>
        </w:rPr>
      </w:pPr>
      <w:r>
        <w:rPr>
          <w:rFonts w:ascii="Arial" w:hAnsi="Arial" w:cs="Arial"/>
        </w:rPr>
        <w:t xml:space="preserve">The Cultural Ecological Protection Zone </w:t>
      </w:r>
      <w:r>
        <w:rPr>
          <w:rFonts w:ascii="Arial" w:hAnsi="Arial" w:cs="Arial"/>
          <w:color w:val="FF0000"/>
        </w:rPr>
        <w:t>aimed</w:t>
      </w:r>
      <w:r>
        <w:rPr>
          <w:rFonts w:ascii="Arial" w:hAnsi="Arial" w:cs="Arial"/>
        </w:rPr>
        <w:t xml:space="preserve"> to adhere to the principles of prioritizing protection, ensuring comprehensive conservation, and recognizing the interconnectedness of people, culture, and the environment. This initiative not only </w:t>
      </w:r>
      <w:r>
        <w:rPr>
          <w:rFonts w:ascii="Arial" w:hAnsi="Arial" w:cs="Arial"/>
          <w:color w:val="FF0000"/>
        </w:rPr>
        <w:t>safeguarded</w:t>
      </w:r>
      <w:r>
        <w:rPr>
          <w:rFonts w:ascii="Arial" w:hAnsi="Arial" w:cs="Arial"/>
        </w:rPr>
        <w:t xml:space="preserve"> intangible cultural heritage but also </w:t>
      </w:r>
      <w:r>
        <w:rPr>
          <w:rFonts w:ascii="Arial" w:hAnsi="Arial" w:cs="Arial"/>
          <w:color w:val="FF0000"/>
        </w:rPr>
        <w:t>preserved</w:t>
      </w:r>
      <w:r>
        <w:rPr>
          <w:rFonts w:ascii="Arial" w:hAnsi="Arial" w:cs="Arial"/>
        </w:rPr>
        <w:t xml:space="preserve"> the human and natural environments that </w:t>
      </w:r>
      <w:r>
        <w:rPr>
          <w:rFonts w:ascii="Arial" w:hAnsi="Arial" w:cs="Arial"/>
          <w:color w:val="FF0000"/>
        </w:rPr>
        <w:t xml:space="preserve">fostered and nurtured </w:t>
      </w:r>
      <w:r>
        <w:rPr>
          <w:rFonts w:ascii="Arial" w:hAnsi="Arial" w:cs="Arial"/>
        </w:rPr>
        <w:t xml:space="preserve">this heritage. The goal </w:t>
      </w:r>
      <w:r>
        <w:rPr>
          <w:rFonts w:ascii="Arial" w:hAnsi="Arial" w:cs="Arial"/>
          <w:color w:val="FF0000"/>
        </w:rPr>
        <w:t>was</w:t>
      </w:r>
      <w:r>
        <w:rPr>
          <w:rFonts w:ascii="Arial" w:hAnsi="Arial" w:cs="Arial"/>
        </w:rPr>
        <w:t xml:space="preserve"> to achieve a rich heritage, vibrant atmosphere, distinctive characteristics, and benefits for the community. In accordance with national policy aimed at developing border areas and improving the livelihoods of local residents, Heilongjiang Hezhe Township </w:t>
      </w:r>
      <w:r>
        <w:rPr>
          <w:rFonts w:ascii="Arial" w:hAnsi="Arial" w:cs="Arial"/>
          <w:color w:val="FF0000"/>
        </w:rPr>
        <w:t>integrated</w:t>
      </w:r>
      <w:r>
        <w:rPr>
          <w:rFonts w:ascii="Arial" w:hAnsi="Arial" w:cs="Arial"/>
        </w:rPr>
        <w:t xml:space="preserve"> economic development with the preservation of the cultural and ecological environment of the Hezhe people. The township </w:t>
      </w:r>
      <w:r>
        <w:rPr>
          <w:rFonts w:ascii="Arial" w:hAnsi="Arial" w:cs="Arial"/>
          <w:color w:val="FF0000"/>
        </w:rPr>
        <w:t>strived</w:t>
      </w:r>
      <w:r>
        <w:rPr>
          <w:rFonts w:ascii="Arial" w:hAnsi="Arial" w:cs="Arial"/>
        </w:rPr>
        <w:t xml:space="preserve"> to establish a tourism brand centered on Hezhe Township Characteristic Villages. The material landscape, including houses and buildings, along with the cultural landscape, such as Hezhe songs and Imakan performances, </w:t>
      </w:r>
      <w:r>
        <w:rPr>
          <w:rFonts w:ascii="Arial" w:hAnsi="Arial" w:cs="Arial"/>
          <w:color w:val="FF0000"/>
        </w:rPr>
        <w:t>became</w:t>
      </w:r>
      <w:r>
        <w:rPr>
          <w:rFonts w:ascii="Arial" w:hAnsi="Arial" w:cs="Arial"/>
        </w:rPr>
        <w:t xml:space="preserve"> vital tools for promoting the development of local tourism economy. Taking Jiejinkou Township, which was the first to initiate development, as an example, the local government invested over ¥ 10 million to construct the Jiejinkou Characteristic Folk Street and the Hezhe Characteristic Family Hotel. Local government officials stated that the development of ethnic ecological tourism </w:t>
      </w:r>
      <w:r>
        <w:rPr>
          <w:rFonts w:ascii="Arial" w:hAnsi="Arial" w:cs="Arial"/>
          <w:color w:val="FF0000"/>
        </w:rPr>
        <w:t xml:space="preserve">could </w:t>
      </w:r>
      <w:r>
        <w:rPr>
          <w:rFonts w:ascii="Arial" w:hAnsi="Arial" w:cs="Arial"/>
        </w:rPr>
        <w:t xml:space="preserve">create employment opportunities for labors, thereby improving the living and production conditions of border residents and promoting economic growth. The Tongjiang Intangible Cultural Heritage Center </w:t>
      </w:r>
      <w:r>
        <w:rPr>
          <w:rFonts w:ascii="Arial" w:hAnsi="Arial" w:cs="Arial"/>
          <w:color w:val="FF0000"/>
        </w:rPr>
        <w:t xml:space="preserve">organized and developed </w:t>
      </w:r>
      <w:r>
        <w:rPr>
          <w:rFonts w:ascii="Arial" w:hAnsi="Arial" w:cs="Arial"/>
        </w:rPr>
        <w:t xml:space="preserve">Imakan Theater performance projects, </w:t>
      </w:r>
      <w:r>
        <w:rPr>
          <w:rFonts w:ascii="Arial" w:hAnsi="Arial" w:cs="Arial"/>
          <w:color w:val="FF0000"/>
        </w:rPr>
        <w:t>restored</w:t>
      </w:r>
      <w:r>
        <w:rPr>
          <w:rFonts w:ascii="Arial" w:hAnsi="Arial" w:cs="Arial"/>
        </w:rPr>
        <w:t xml:space="preserve"> the traditional form of Hezhe rap art, actively </w:t>
      </w:r>
      <w:r>
        <w:rPr>
          <w:rFonts w:ascii="Arial" w:hAnsi="Arial" w:cs="Arial"/>
          <w:color w:val="FF0000"/>
        </w:rPr>
        <w:t>constructed</w:t>
      </w:r>
      <w:r>
        <w:rPr>
          <w:rFonts w:ascii="Arial" w:hAnsi="Arial" w:cs="Arial"/>
        </w:rPr>
        <w:t xml:space="preserve"> Hezhe characteristic villages, and </w:t>
      </w:r>
      <w:r>
        <w:rPr>
          <w:rFonts w:ascii="Arial" w:hAnsi="Arial" w:cs="Arial"/>
          <w:color w:val="FF0000"/>
        </w:rPr>
        <w:t xml:space="preserve">created </w:t>
      </w:r>
      <w:r>
        <w:rPr>
          <w:rFonts w:ascii="Arial" w:hAnsi="Arial" w:cs="Arial"/>
        </w:rPr>
        <w:t xml:space="preserve">tourism projects in Hezhe Township, which increasingly </w:t>
      </w:r>
      <w:r>
        <w:rPr>
          <w:rFonts w:ascii="Arial" w:hAnsi="Arial" w:cs="Arial"/>
          <w:color w:val="FF0000"/>
        </w:rPr>
        <w:t>attracted</w:t>
      </w:r>
      <w:r>
        <w:rPr>
          <w:rFonts w:ascii="Arial" w:hAnsi="Arial" w:cs="Arial"/>
        </w:rPr>
        <w:t xml:space="preserve"> visitors. Activities such as visiting the Hezhe Folk Museum, listening to Imakan rap, staying in Hezhe homes, and enjoying the Hezhe Ten Bowls</w:t>
      </w:r>
      <w:r>
        <w:rPr>
          <w:rFonts w:ascii="Arial" w:hAnsi="Arial" w:cs="Arial"/>
          <w:color w:val="FF0000"/>
        </w:rPr>
        <w:t xml:space="preserve"> became </w:t>
      </w:r>
      <w:r>
        <w:rPr>
          <w:rFonts w:ascii="Arial" w:hAnsi="Arial" w:cs="Arial"/>
        </w:rPr>
        <w:t>essential components of local tourism promotion.</w:t>
      </w:r>
    </w:p>
    <w:p>
      <w:pPr>
        <w:pStyle w:val="23"/>
        <w:rPr>
          <w:rFonts w:ascii="Arial" w:hAnsi="Arial" w:cs="Arial"/>
          <w:b/>
        </w:rPr>
      </w:pPr>
      <w:r>
        <w:rPr>
          <w:rFonts w:ascii="Arial" w:hAnsi="Arial" w:cs="Arial"/>
          <w:b/>
        </w:rPr>
        <w:t>3. 4. 7 Driving the sustainable development of the Hezhe language and culture</w:t>
      </w:r>
    </w:p>
    <w:p>
      <w:pPr>
        <w:pStyle w:val="23"/>
        <w:rPr>
          <w:rFonts w:ascii="Arial" w:hAnsi="Arial" w:cs="Arial"/>
        </w:rPr>
      </w:pPr>
      <w:r>
        <w:rPr>
          <w:rFonts w:ascii="Arial" w:hAnsi="Arial" w:cs="Arial"/>
        </w:rPr>
        <w:t>In April 2018, the Hezhe Fish Skin Cultural Industry Base in Tongjiang City was opened to the public free of charge, attracting 15,000 visitors throughout the year. The national project Hezhe Wedding Customs was established in Bacha Hezhe Township, featuring the inaugural act of Competition to Select a Son-in-Law, which premiered at Bacha Wurigong Square in September 2018. Leveraging the intangible cultural heritage resources of the Hezhe people, the Hezhe Township Government enhanced the development of distinctive tourism products, establishing the Tongjiang Jiejinkou Ethnic Customs Tourist Area, the Bacha Hezhe Fishing and Hunting Culture Participation Experience Area, and the Tongjiang Hezhe Intangible Cultural Heritage Exhibition Area. Concurrently, efforts to strengthen international tourism cooperation were initiated, with Tongjiang City collaborating with the tourism departments of Guangzhou, Zhongshan, and Jiangmen in China to promote partnerships between tourism enterprises on both sides. Additionally, Fuyuan City and Daxing’anling City jointly launched a border tourism project and signed a tourism cooperation agreement with the Qinhuangdao Tourism Bureau and the Zhongshan Tourism Bureau.</w:t>
      </w:r>
    </w:p>
    <w:p>
      <w:pPr>
        <w:pStyle w:val="23"/>
        <w:spacing w:after="0"/>
        <w:rPr>
          <w:rFonts w:ascii="Arial" w:hAnsi="Arial" w:cs="Arial"/>
        </w:rPr>
      </w:pPr>
      <w:r>
        <w:rPr>
          <w:rFonts w:ascii="Arial" w:hAnsi="Arial" w:cs="Arial"/>
        </w:rPr>
        <w:t xml:space="preserve">The tourism boom spurred local economic development and enhanced the quality of life for the Hezhe people. Learning greetings and expressions of hospitality in the Hezhe language </w:t>
      </w:r>
      <w:r>
        <w:rPr>
          <w:rFonts w:ascii="Arial" w:hAnsi="Arial" w:cs="Arial"/>
          <w:color w:val="FF0000"/>
        </w:rPr>
        <w:t>became</w:t>
      </w:r>
      <w:r>
        <w:rPr>
          <w:rFonts w:ascii="Arial" w:hAnsi="Arial" w:cs="Arial"/>
        </w:rPr>
        <w:t xml:space="preserve"> a daily practice for local residents. The rise of tourism culture increased the practical value of the Hezhe language and heightened the enthusiasm of local inhabitants to learn it. Many Hezhe individuals came to appreciate the richness of their ethnic culture through tourism, fostering a sense of pride in their heritage and a commitment to preserving and passing on their mother tongue. The Hezhe people </w:t>
      </w:r>
      <w:r>
        <w:rPr>
          <w:rFonts w:ascii="Arial" w:hAnsi="Arial" w:cs="Arial"/>
          <w:color w:val="FF0000"/>
        </w:rPr>
        <w:t>began</w:t>
      </w:r>
      <w:r>
        <w:rPr>
          <w:rFonts w:ascii="Arial" w:hAnsi="Arial" w:cs="Arial"/>
        </w:rPr>
        <w:t xml:space="preserve"> to study their language. Influenced by Hezhe culture over time, other ethnic groups residing in the same townships enrolled in Hezhe language classes. Efforts in ecological protection, along with the development and utilization of intangible cultural heritage resources in the Hezhe region, facilitated the preservation and innovation of Hezhe intangible cultural heritage and language. Consequently, the Hezhe language and culture gained renewed vitality, with public awareness and interest steadily increasing, resulting in a positive cycle of sustainable development.</w:t>
      </w:r>
    </w:p>
    <w:p>
      <w:pPr>
        <w:pStyle w:val="23"/>
        <w:spacing w:after="0"/>
        <w:rPr>
          <w:rFonts w:ascii="Arial" w:hAnsi="Arial" w:cs="Arial"/>
        </w:rPr>
      </w:pPr>
    </w:p>
    <w:p>
      <w:pPr>
        <w:pStyle w:val="28"/>
        <w:spacing w:after="0"/>
        <w:jc w:val="both"/>
        <w:rPr>
          <w:rFonts w:ascii="Arial" w:hAnsi="Arial" w:cs="Arial"/>
        </w:rPr>
      </w:pPr>
      <w:r>
        <w:rPr>
          <w:rFonts w:ascii="Arial" w:hAnsi="Arial" w:cs="Arial"/>
        </w:rPr>
        <w:t>4. Conclusion</w:t>
      </w:r>
    </w:p>
    <w:p>
      <w:pPr>
        <w:pStyle w:val="28"/>
        <w:spacing w:after="0"/>
        <w:jc w:val="both"/>
        <w:rPr>
          <w:rFonts w:ascii="Arial" w:hAnsi="Arial" w:cs="Arial"/>
        </w:rPr>
      </w:pPr>
    </w:p>
    <w:p>
      <w:pPr>
        <w:pStyle w:val="23"/>
        <w:spacing w:after="0"/>
        <w:rPr>
          <w:rFonts w:ascii="Arial" w:hAnsi="Arial" w:cs="Arial"/>
        </w:rPr>
      </w:pPr>
      <w:r>
        <w:rPr>
          <w:rFonts w:ascii="Arial" w:hAnsi="Arial" w:cs="Arial"/>
        </w:rPr>
        <w:t xml:space="preserve">This paper focused on the Hezhe people of China as the subject of research. Through a combination of interviews and questionnaires, first-hand linguistic materials were collected to explore the recent developments of the endangered Hezhe language and culture. The study revealed that the language proficiency of the Hezhe people had improved, specifically evidenced by an increase in the number of individuals who speak the language, a reduction in intergenerational differences in age distribution, and a concentration of language mastery in Imakan and Jialingkuo. In recent years, as Hezhe Imakan and Jialingkuo </w:t>
      </w:r>
      <w:r>
        <w:rPr>
          <w:rFonts w:ascii="Arial" w:hAnsi="Arial" w:cs="Arial"/>
          <w:color w:val="FF0000"/>
        </w:rPr>
        <w:t xml:space="preserve">were </w:t>
      </w:r>
      <w:r>
        <w:rPr>
          <w:rFonts w:ascii="Arial" w:hAnsi="Arial" w:cs="Arial"/>
        </w:rPr>
        <w:t xml:space="preserve">recognized as part of the World Intangible Cultural Heritage List and the National Intangible Cultural Heritage List, various language and culture training centers </w:t>
      </w:r>
      <w:r>
        <w:rPr>
          <w:rFonts w:ascii="Arial" w:hAnsi="Arial" w:cs="Arial"/>
          <w:color w:val="FF0000"/>
        </w:rPr>
        <w:t>were</w:t>
      </w:r>
      <w:r>
        <w:rPr>
          <w:rFonts w:ascii="Arial" w:hAnsi="Arial" w:cs="Arial"/>
        </w:rPr>
        <w:t xml:space="preserve"> established both online and offline in the Hezhe region. This led to an increase in the number of learners and a richer content of language and cultural mastery. The system for inheriting intangible cultural heritage was improved, and the legalization and standardization of development facilitated the preservation of the Hezhe language and its intangible cultural heritage. Additionally, the establishment of cultural ecological protection zones in Hezhe ethnic settlements provided a supportive environment for the survival and development of their language and culture. The development model that integrates culture and tourism injected new momentum into the sustainable development of the Hezhe language and culture.</w:t>
      </w:r>
    </w:p>
    <w:p>
      <w:pPr>
        <w:pStyle w:val="23"/>
        <w:spacing w:after="0"/>
        <w:rPr>
          <w:rFonts w:ascii="Arial" w:hAnsi="Arial" w:cs="Arial"/>
        </w:rPr>
      </w:pPr>
    </w:p>
    <w:p>
      <w:pPr>
        <w:pStyle w:val="23"/>
        <w:spacing w:after="0"/>
        <w:rPr>
          <w:rFonts w:ascii="Arial" w:hAnsi="Arial" w:cs="Arial"/>
          <w:color w:val="FF0000"/>
        </w:rPr>
      </w:pPr>
      <w:r>
        <w:rPr>
          <w:rFonts w:ascii="Arial" w:hAnsi="Arial" w:cs="Arial"/>
          <w:color w:val="FF0000"/>
        </w:rPr>
        <w:t xml:space="preserve">Looking back on the study, we find several limitations. Firstly, the study selected 115 participants from Jiejinkou Hezhe Township, Bacha Hezhe Township, Sipai Hezhe Township, Aoqi Hezhe Village, Zhuaji Hezhe Village, Raohe Town, Tongjiang City, Fuyuan City, and Jiamusi City. Some Hezhe people live in other places. It is better to enlarge the number of participants in the future studies. Secondly, the study revealed the vitality of Hezhe language and culture in one time period. It is better to provide </w:t>
      </w:r>
      <w:r>
        <w:rPr>
          <w:color w:val="FF0000"/>
        </w:rPr>
        <w:t xml:space="preserve">longitudinal data about the </w:t>
      </w:r>
      <w:r>
        <w:rPr>
          <w:rFonts w:ascii="Arial" w:hAnsi="Arial" w:cs="Arial"/>
          <w:color w:val="FF0000"/>
        </w:rPr>
        <w:t>vitality of Hezhe language and culture.</w:t>
      </w:r>
    </w:p>
    <w:p>
      <w:pPr>
        <w:pStyle w:val="23"/>
        <w:spacing w:after="0"/>
        <w:rPr>
          <w:rFonts w:ascii="Arial" w:hAnsi="Arial" w:cs="Arial"/>
        </w:rPr>
      </w:pPr>
    </w:p>
    <w:p>
      <w:pPr>
        <w:pStyle w:val="30"/>
        <w:keepNext w:val="0"/>
        <w:widowControl w:val="0"/>
        <w:spacing w:after="0"/>
        <w:jc w:val="both"/>
        <w:rPr>
          <w:rFonts w:ascii="Arial" w:hAnsi="Arial" w:cs="Arial"/>
          <w:b w:val="0"/>
          <w:caps w:val="0"/>
          <w:sz w:val="20"/>
          <w:lang w:eastAsia="zh-CN"/>
        </w:rPr>
      </w:pPr>
    </w:p>
    <w:p>
      <w:pPr>
        <w:pStyle w:val="30"/>
        <w:spacing w:after="0"/>
        <w:jc w:val="both"/>
        <w:rPr>
          <w:rFonts w:ascii="Arial" w:hAnsi="Arial" w:cs="Arial"/>
          <w:b w:val="0"/>
          <w:caps w:val="0"/>
          <w:sz w:val="20"/>
        </w:rPr>
      </w:pPr>
    </w:p>
    <w:p>
      <w:pPr>
        <w:pStyle w:val="30"/>
        <w:spacing w:after="0"/>
        <w:jc w:val="both"/>
        <w:rPr>
          <w:rFonts w:ascii="Arial" w:hAnsi="Arial" w:cs="Arial"/>
          <w:bCs/>
        </w:rPr>
      </w:pPr>
      <w:r>
        <w:rPr>
          <w:rFonts w:ascii="Arial" w:hAnsi="Arial" w:cs="Arial"/>
          <w:bCs/>
        </w:rPr>
        <w:t>Consent (where ever applicable)</w:t>
      </w:r>
    </w:p>
    <w:p>
      <w:pPr>
        <w:pStyle w:val="30"/>
        <w:spacing w:after="0"/>
        <w:jc w:val="both"/>
        <w:rPr>
          <w:rFonts w:ascii="Arial" w:hAnsi="Arial" w:cs="Arial"/>
          <w:bCs/>
        </w:rPr>
      </w:pPr>
    </w:p>
    <w:p>
      <w:pPr>
        <w:pStyle w:val="30"/>
        <w:spacing w:after="0"/>
        <w:jc w:val="both"/>
        <w:rPr>
          <w:rFonts w:ascii="Arial" w:hAnsi="Arial" w:cs="Arial"/>
          <w:b w:val="0"/>
          <w:caps w:val="0"/>
          <w:sz w:val="20"/>
        </w:rPr>
      </w:pPr>
      <w:r>
        <w:rPr>
          <w:rFonts w:ascii="Arial" w:hAnsi="Arial" w:cs="Arial"/>
          <w:b w:val="0"/>
          <w:caps w:val="0"/>
          <w:sz w:val="20"/>
        </w:rPr>
        <w:t>Informed consent to participate was obtained from all individual participants included in the study.</w:t>
      </w:r>
    </w:p>
    <w:p>
      <w:pPr>
        <w:pStyle w:val="30"/>
        <w:spacing w:after="0"/>
        <w:jc w:val="both"/>
        <w:rPr>
          <w:rFonts w:ascii="Arial" w:hAnsi="Arial" w:cs="Arial"/>
          <w:b w:val="0"/>
          <w:caps w:val="0"/>
          <w:sz w:val="20"/>
        </w:rPr>
      </w:pPr>
    </w:p>
    <w:p>
      <w:pPr>
        <w:pStyle w:val="30"/>
        <w:spacing w:after="0"/>
        <w:jc w:val="both"/>
        <w:rPr>
          <w:rFonts w:ascii="Arial" w:hAnsi="Arial" w:cs="Arial"/>
          <w:bCs/>
        </w:rPr>
      </w:pPr>
      <w:r>
        <w:rPr>
          <w:rFonts w:ascii="Arial" w:hAnsi="Arial" w:cs="Arial"/>
          <w:bCs/>
        </w:rPr>
        <w:t>Ethical approval (where ever applicable)</w:t>
      </w:r>
    </w:p>
    <w:p>
      <w:pPr>
        <w:pStyle w:val="30"/>
        <w:spacing w:after="0"/>
        <w:jc w:val="both"/>
        <w:rPr>
          <w:rFonts w:ascii="Arial" w:hAnsi="Arial" w:cs="Arial"/>
          <w:bCs/>
        </w:rPr>
      </w:pPr>
    </w:p>
    <w:p>
      <w:pPr>
        <w:pStyle w:val="30"/>
        <w:spacing w:after="0"/>
        <w:jc w:val="both"/>
        <w:rPr>
          <w:rFonts w:ascii="Arial" w:hAnsi="Arial" w:cs="Arial"/>
          <w:b w:val="0"/>
          <w:caps w:val="0"/>
          <w:sz w:val="20"/>
        </w:rPr>
      </w:pPr>
      <w:r>
        <w:rPr>
          <w:rFonts w:ascii="Arial" w:hAnsi="Arial" w:cs="Arial"/>
          <w:b w:val="0"/>
          <w:caps w:val="0"/>
          <w:sz w:val="20"/>
        </w:rPr>
        <w:t>The study was carried out in accordance with the guidelines of the Declaration of Helsinki, and the study protocol was approved by the Committee of Ethics and Integrity in Research with Humans Ethics Committee of Dalian University of Foreign Languages (approval number: 2023022).</w:t>
      </w:r>
    </w:p>
    <w:p>
      <w:pPr>
        <w:pStyle w:val="30"/>
        <w:spacing w:after="0"/>
        <w:jc w:val="both"/>
        <w:rPr>
          <w:rFonts w:ascii="Arial" w:hAnsi="Arial" w:cs="Arial"/>
          <w:b w:val="0"/>
          <w:caps w:val="0"/>
          <w:sz w:val="20"/>
        </w:rPr>
      </w:pPr>
    </w:p>
    <w:p>
      <w:pPr>
        <w:pStyle w:val="30"/>
        <w:spacing w:after="0"/>
        <w:jc w:val="both"/>
      </w:pPr>
      <w:r>
        <w:t>Disclaimer (Artificial intelligence)</w:t>
      </w:r>
    </w:p>
    <w:p/>
    <w:p>
      <w:pPr>
        <w:jc w:val="both"/>
        <w:rPr>
          <w:highlight w:val="yellow"/>
        </w:rPr>
      </w:pPr>
      <w:r>
        <w:t>The author hereby declare that NO generative AI technologies such as Large Language Models (ChatGPT, COPILOT, etc.) and text-to-image generators have been used during the writing or editing of this manuscript.</w:t>
      </w:r>
      <w:r>
        <w:rPr>
          <w:highlight w:val="yellow"/>
        </w:rPr>
        <w:t xml:space="preserve"> </w:t>
      </w:r>
    </w:p>
    <w:p>
      <w:pPr>
        <w:pStyle w:val="30"/>
        <w:spacing w:after="0"/>
        <w:jc w:val="both"/>
        <w:rPr>
          <w:rFonts w:ascii="Arial" w:hAnsi="Arial" w:cs="Arial"/>
        </w:rPr>
      </w:pPr>
    </w:p>
    <w:p>
      <w:pPr>
        <w:pStyle w:val="30"/>
        <w:spacing w:after="0"/>
        <w:jc w:val="both"/>
        <w:rPr>
          <w:rFonts w:ascii="Arial" w:hAnsi="Arial" w:cs="Arial"/>
        </w:rPr>
      </w:pPr>
      <w:r>
        <w:rPr>
          <w:rFonts w:ascii="Arial" w:hAnsi="Arial" w:cs="Arial"/>
        </w:rPr>
        <w:t>References</w:t>
      </w:r>
    </w:p>
    <w:p>
      <w:pPr>
        <w:pStyle w:val="65"/>
        <w:kinsoku w:val="0"/>
        <w:wordWrap/>
        <w:autoSpaceDE/>
        <w:autoSpaceDN/>
        <w:spacing w:line="240" w:lineRule="auto"/>
        <w:ind w:left="0" w:firstLine="0"/>
        <w:rPr>
          <w:rFonts w:ascii="Arial" w:hAnsi="Arial" w:cs="Arial" w:eastAsiaTheme="minorEastAsia"/>
          <w:snapToGrid w:val="0"/>
          <w:w w:val="100"/>
          <w:kern w:val="0"/>
          <w:sz w:val="20"/>
          <w:szCs w:val="20"/>
        </w:rPr>
      </w:pPr>
    </w:p>
    <w:p>
      <w:pPr>
        <w:pStyle w:val="65"/>
        <w:kinsoku w:val="0"/>
        <w:wordWrap/>
        <w:autoSpaceDE/>
        <w:autoSpaceDN/>
        <w:spacing w:line="240" w:lineRule="auto"/>
        <w:ind w:left="0" w:firstLine="0"/>
        <w:rPr>
          <w:rFonts w:hint="eastAsia" w:ascii="Arial" w:hAnsi="Arial" w:cs="Arial" w:eastAsiaTheme="minorEastAsia"/>
          <w:snapToGrid w:val="0"/>
          <w:color w:val="FF0000"/>
          <w:w w:val="100"/>
          <w:kern w:val="0"/>
          <w:sz w:val="20"/>
          <w:szCs w:val="20"/>
        </w:rPr>
      </w:pPr>
      <w:r>
        <w:rPr>
          <w:rFonts w:ascii="Arial" w:hAnsi="Arial" w:cs="Arial" w:eastAsiaTheme="minorEastAsia"/>
          <w:snapToGrid w:val="0"/>
          <w:color w:val="FF0000"/>
          <w:w w:val="100"/>
          <w:kern w:val="0"/>
          <w:sz w:val="20"/>
          <w:szCs w:val="20"/>
        </w:rPr>
        <w:t xml:space="preserve">Armostis, S. (2025). Ethical considerations and good practices in linguistic work on endangered languages: the case of a research programme on Cypriot Arabic. Linguistics, 63(2), 429-460. https://doi.org/10.1515/ling-2024-0055  </w:t>
      </w:r>
    </w:p>
    <w:p>
      <w:pPr>
        <w:pStyle w:val="65"/>
        <w:kinsoku w:val="0"/>
        <w:wordWrap/>
        <w:autoSpaceDE/>
        <w:autoSpaceDN/>
        <w:spacing w:line="240" w:lineRule="auto"/>
        <w:ind w:left="0" w:firstLine="0"/>
        <w:rPr>
          <w:rFonts w:ascii="Arial" w:hAnsi="Arial" w:cs="Arial" w:eastAsiaTheme="minorEastAsia"/>
          <w:snapToGrid w:val="0"/>
          <w:color w:val="FF0000"/>
          <w:w w:val="100"/>
          <w:kern w:val="0"/>
          <w:sz w:val="20"/>
          <w:szCs w:val="20"/>
        </w:rPr>
      </w:pPr>
    </w:p>
    <w:p>
      <w:pPr>
        <w:pStyle w:val="65"/>
        <w:kinsoku w:val="0"/>
        <w:wordWrap/>
        <w:autoSpaceDE/>
        <w:autoSpaceDN/>
        <w:spacing w:line="240" w:lineRule="auto"/>
        <w:ind w:left="0" w:firstLine="0"/>
        <w:rPr>
          <w:rFonts w:ascii="Arial" w:hAnsi="Arial" w:cs="Arial" w:eastAsiaTheme="minorEastAsia"/>
          <w:snapToGrid w:val="0"/>
          <w:color w:val="FF0000"/>
          <w:w w:val="100"/>
          <w:kern w:val="0"/>
          <w:sz w:val="20"/>
          <w:szCs w:val="20"/>
        </w:rPr>
      </w:pPr>
      <w:r>
        <w:rPr>
          <w:rFonts w:hint="eastAsia" w:ascii="Arial" w:hAnsi="Arial" w:cs="Arial" w:eastAsiaTheme="minorEastAsia"/>
          <w:snapToGrid w:val="0"/>
          <w:color w:val="FF0000"/>
          <w:w w:val="100"/>
          <w:kern w:val="0"/>
          <w:sz w:val="20"/>
          <w:szCs w:val="20"/>
        </w:rPr>
        <w:t>C</w:t>
      </w:r>
      <w:r>
        <w:rPr>
          <w:rFonts w:ascii="Arial" w:hAnsi="Arial" w:cs="Arial" w:eastAsiaTheme="minorEastAsia"/>
          <w:snapToGrid w:val="0"/>
          <w:color w:val="FF0000"/>
          <w:w w:val="100"/>
          <w:kern w:val="0"/>
          <w:sz w:val="20"/>
          <w:szCs w:val="20"/>
        </w:rPr>
        <w:t>haika, O., Sharmanova, N., Makaruk, O. (2024). Revitalising endangered languages: Challenges, successes, and cultural implications. Futurity of Social Sciences, 2 (2), 38-61. https://doi.org/10.57125/FS.2024.06.20.03</w:t>
      </w:r>
    </w:p>
    <w:p>
      <w:pPr>
        <w:pStyle w:val="65"/>
        <w:kinsoku w:val="0"/>
        <w:wordWrap/>
        <w:autoSpaceDE/>
        <w:autoSpaceDN/>
        <w:spacing w:line="240" w:lineRule="auto"/>
        <w:ind w:left="0" w:firstLine="0"/>
        <w:rPr>
          <w:rFonts w:ascii="Arial" w:hAnsi="Arial" w:cs="Arial"/>
          <w:snapToGrid w:val="0"/>
          <w:color w:val="FF0000"/>
          <w:w w:val="100"/>
          <w:kern w:val="0"/>
          <w:sz w:val="20"/>
          <w:szCs w:val="20"/>
        </w:rPr>
      </w:pPr>
    </w:p>
    <w:p>
      <w:pPr>
        <w:pStyle w:val="65"/>
        <w:kinsoku w:val="0"/>
        <w:wordWrap/>
        <w:autoSpaceDE/>
        <w:autoSpaceDN/>
        <w:spacing w:line="240" w:lineRule="auto"/>
        <w:ind w:left="0" w:firstLine="0"/>
        <w:rPr>
          <w:rFonts w:ascii="Arial" w:hAnsi="Arial" w:cs="Arial"/>
          <w:snapToGrid w:val="0"/>
          <w:color w:val="FF0000"/>
          <w:w w:val="100"/>
          <w:kern w:val="0"/>
          <w:sz w:val="20"/>
          <w:szCs w:val="20"/>
        </w:rPr>
      </w:pPr>
      <w:r>
        <w:rPr>
          <w:rFonts w:ascii="Arial" w:hAnsi="Arial" w:cs="Arial"/>
          <w:snapToGrid w:val="0"/>
          <w:color w:val="FF0000"/>
          <w:w w:val="100"/>
          <w:kern w:val="0"/>
          <w:sz w:val="20"/>
          <w:szCs w:val="20"/>
        </w:rPr>
        <w:t xml:space="preserve">Chiblow, S., &amp; Meighan, P. J. (2021). Language is land, land is language: The importance of Indigenous languages. Human Geography, 15(2), 206-210. https://doi.org/10.1177/19427786211022899 </w:t>
      </w:r>
    </w:p>
    <w:p>
      <w:pPr>
        <w:pStyle w:val="65"/>
        <w:kinsoku w:val="0"/>
        <w:wordWrap/>
        <w:spacing w:line="240" w:lineRule="auto"/>
        <w:ind w:left="0" w:firstLine="0"/>
        <w:rPr>
          <w:rFonts w:ascii="Arial" w:hAnsi="Arial" w:cs="Arial"/>
          <w:snapToGrid w:val="0"/>
          <w:w w:val="100"/>
          <w:kern w:val="0"/>
          <w:sz w:val="20"/>
          <w:szCs w:val="20"/>
        </w:rPr>
      </w:pPr>
    </w:p>
    <w:p>
      <w:pPr>
        <w:pStyle w:val="65"/>
        <w:kinsoku w:val="0"/>
        <w:wordWrap/>
        <w:spacing w:line="240" w:lineRule="auto"/>
        <w:ind w:left="0" w:firstLine="0"/>
        <w:rPr>
          <w:rFonts w:ascii="Arial" w:hAnsi="Arial" w:cs="Arial"/>
          <w:snapToGrid w:val="0"/>
          <w:w w:val="100"/>
          <w:kern w:val="0"/>
          <w:sz w:val="20"/>
          <w:szCs w:val="20"/>
        </w:rPr>
      </w:pPr>
      <w:r>
        <w:rPr>
          <w:rFonts w:ascii="Arial" w:hAnsi="Arial" w:cs="Arial"/>
          <w:snapToGrid w:val="0"/>
          <w:w w:val="100"/>
          <w:kern w:val="0"/>
          <w:sz w:val="20"/>
          <w:szCs w:val="20"/>
        </w:rPr>
        <w:t>Crystal, D. (2000). Language Death. Cambridge: Cambridge University Press. https://doi.org/10.1017/CBO9781139871549</w:t>
      </w:r>
    </w:p>
    <w:p>
      <w:pPr>
        <w:pStyle w:val="65"/>
        <w:kinsoku w:val="0"/>
        <w:wordWrap/>
        <w:autoSpaceDE/>
        <w:autoSpaceDN/>
        <w:spacing w:line="240" w:lineRule="auto"/>
        <w:ind w:left="0" w:firstLine="0"/>
        <w:rPr>
          <w:rFonts w:ascii="Arial" w:hAnsi="Arial" w:cs="Arial"/>
          <w:snapToGrid w:val="0"/>
          <w:w w:val="100"/>
          <w:kern w:val="0"/>
          <w:sz w:val="20"/>
          <w:szCs w:val="20"/>
        </w:rPr>
      </w:pPr>
    </w:p>
    <w:p>
      <w:pPr>
        <w:pStyle w:val="65"/>
        <w:kinsoku w:val="0"/>
        <w:wordWrap/>
        <w:autoSpaceDE/>
        <w:autoSpaceDN/>
        <w:spacing w:line="240" w:lineRule="auto"/>
        <w:ind w:left="0" w:firstLine="0"/>
        <w:rPr>
          <w:rFonts w:ascii="Arial" w:hAnsi="Arial" w:cs="Arial"/>
          <w:snapToGrid w:val="0"/>
          <w:w w:val="100"/>
          <w:kern w:val="0"/>
          <w:sz w:val="20"/>
          <w:szCs w:val="20"/>
        </w:rPr>
      </w:pPr>
      <w:r>
        <w:rPr>
          <w:rFonts w:ascii="Arial" w:hAnsi="Arial" w:cs="Arial"/>
          <w:snapToGrid w:val="0"/>
          <w:w w:val="100"/>
          <w:kern w:val="0"/>
          <w:sz w:val="20"/>
          <w:szCs w:val="20"/>
        </w:rPr>
        <w:t>Fan, J. (2006). Compilation of UNESCO Documents on the Protection of Linguistic and Cultural Diversity. Beijing: Nationalities Publishing House. https://www.shukui.net/book/531242.html</w:t>
      </w:r>
    </w:p>
    <w:p>
      <w:pPr>
        <w:jc w:val="both"/>
        <w:rPr>
          <w:lang w:val="en-GB"/>
        </w:rPr>
      </w:pPr>
    </w:p>
    <w:p>
      <w:pPr>
        <w:jc w:val="both"/>
        <w:rPr>
          <w:color w:val="FF0000"/>
          <w:lang w:val="en-GB"/>
        </w:rPr>
      </w:pPr>
      <w:r>
        <w:rPr>
          <w:color w:val="FF0000"/>
          <w:lang w:val="en-GB"/>
        </w:rPr>
        <w:t>Fenyvesi, A., &amp; Bakrá</w:t>
      </w:r>
      <w:r>
        <w:rPr>
          <w:rFonts w:hint="eastAsia" w:ascii="宋体" w:hAnsi="宋体" w:eastAsia="宋体" w:cs="宋体"/>
          <w:color w:val="FF0000"/>
          <w:lang w:val="en-GB"/>
        </w:rPr>
        <w:t>‐</w:t>
      </w:r>
      <w:r>
        <w:rPr>
          <w:color w:val="FF0000"/>
          <w:lang w:val="en-GB"/>
        </w:rPr>
        <w:t>Nagy, M. (2025). Endangered languages and language revitalization. In C. Fäcke, X. (Andy) Gao, P. Garrett-Rucks (Edts), The Handbook of Plurilingual and Intercultural Language Learning (83-95). John Wiley &amp; Sons Ltd. https://doi.org/10.1002/9781394165957.ch6</w:t>
      </w:r>
    </w:p>
    <w:p>
      <w:pPr>
        <w:pStyle w:val="65"/>
        <w:kinsoku w:val="0"/>
        <w:wordWrap/>
        <w:autoSpaceDE/>
        <w:autoSpaceDN/>
        <w:spacing w:line="240" w:lineRule="auto"/>
        <w:ind w:left="0" w:firstLine="0"/>
        <w:rPr>
          <w:rFonts w:ascii="Arial" w:hAnsi="Arial" w:cs="Arial"/>
          <w:snapToGrid w:val="0"/>
          <w:color w:val="FF0000"/>
          <w:w w:val="100"/>
          <w:kern w:val="0"/>
          <w:sz w:val="20"/>
          <w:szCs w:val="20"/>
        </w:rPr>
      </w:pPr>
    </w:p>
    <w:p>
      <w:pPr>
        <w:pStyle w:val="65"/>
        <w:kinsoku w:val="0"/>
        <w:wordWrap/>
        <w:autoSpaceDE/>
        <w:autoSpaceDN/>
        <w:spacing w:line="240" w:lineRule="auto"/>
        <w:ind w:left="0" w:firstLine="0"/>
        <w:rPr>
          <w:rFonts w:ascii="Arial" w:hAnsi="Arial" w:cs="Arial"/>
          <w:snapToGrid w:val="0"/>
          <w:color w:val="FF0000"/>
          <w:w w:val="100"/>
          <w:kern w:val="0"/>
          <w:sz w:val="20"/>
          <w:szCs w:val="20"/>
        </w:rPr>
      </w:pPr>
      <w:r>
        <w:rPr>
          <w:rFonts w:ascii="Arial" w:hAnsi="Arial" w:cs="Arial"/>
          <w:snapToGrid w:val="0"/>
          <w:color w:val="FF0000"/>
          <w:w w:val="100"/>
          <w:kern w:val="0"/>
          <w:sz w:val="20"/>
          <w:szCs w:val="20"/>
        </w:rPr>
        <w:t>Flores, N., &amp; Chaparro, S. (2018). What counts as language education policy? Developing a materialist Anti-racist approach to language activism. Lang Policy 17, 365–384. https://doi.org/10.1007/s10993-017-9433-7</w:t>
      </w:r>
    </w:p>
    <w:p>
      <w:pPr>
        <w:pStyle w:val="65"/>
        <w:kinsoku w:val="0"/>
        <w:wordWrap/>
        <w:autoSpaceDE/>
        <w:autoSpaceDN/>
        <w:spacing w:line="240" w:lineRule="auto"/>
        <w:ind w:left="0" w:firstLine="0"/>
        <w:rPr>
          <w:rFonts w:ascii="Arial" w:hAnsi="Arial" w:cs="Arial"/>
          <w:snapToGrid w:val="0"/>
          <w:color w:val="FF0000"/>
          <w:w w:val="100"/>
          <w:kern w:val="0"/>
          <w:sz w:val="20"/>
          <w:szCs w:val="20"/>
        </w:rPr>
      </w:pPr>
    </w:p>
    <w:p>
      <w:pPr>
        <w:pStyle w:val="65"/>
        <w:kinsoku w:val="0"/>
        <w:wordWrap/>
        <w:autoSpaceDE/>
        <w:autoSpaceDN/>
        <w:spacing w:line="240" w:lineRule="auto"/>
        <w:ind w:left="0" w:firstLine="0"/>
        <w:rPr>
          <w:rFonts w:ascii="Arial" w:hAnsi="Arial" w:cs="Arial"/>
          <w:snapToGrid w:val="0"/>
          <w:w w:val="100"/>
          <w:kern w:val="0"/>
          <w:sz w:val="20"/>
          <w:szCs w:val="20"/>
        </w:rPr>
      </w:pPr>
      <w:r>
        <w:rPr>
          <w:rFonts w:ascii="Arial" w:hAnsi="Arial" w:cs="Arial"/>
          <w:snapToGrid w:val="0"/>
          <w:color w:val="FF0000"/>
          <w:w w:val="100"/>
          <w:kern w:val="0"/>
          <w:sz w:val="20"/>
          <w:szCs w:val="20"/>
        </w:rPr>
        <w:t>Jones, R. (2021). The Geography of Minority Language Use: From Community to Network. In: Lewis, H., McLeod, W. (eds) Language Revitalisation and Social Transformation. Language and Globalization. Palgrave Macmillan, Cham. https://doi.org/10.1007/978-3-030-80189-2_2</w:t>
      </w:r>
    </w:p>
    <w:p>
      <w:pPr>
        <w:pStyle w:val="65"/>
        <w:kinsoku w:val="0"/>
        <w:wordWrap/>
        <w:autoSpaceDE/>
        <w:autoSpaceDN/>
        <w:spacing w:line="240" w:lineRule="auto"/>
        <w:ind w:left="0" w:firstLine="0"/>
        <w:rPr>
          <w:rFonts w:ascii="Arial" w:hAnsi="Arial" w:cs="Arial"/>
          <w:snapToGrid w:val="0"/>
          <w:w w:val="100"/>
          <w:kern w:val="0"/>
          <w:sz w:val="20"/>
          <w:szCs w:val="20"/>
        </w:rPr>
      </w:pPr>
    </w:p>
    <w:p>
      <w:pPr>
        <w:pStyle w:val="65"/>
        <w:kinsoku w:val="0"/>
        <w:wordWrap/>
        <w:autoSpaceDE/>
        <w:autoSpaceDN/>
        <w:spacing w:line="240" w:lineRule="auto"/>
        <w:ind w:left="0" w:firstLine="0"/>
        <w:rPr>
          <w:rFonts w:ascii="Arial" w:hAnsi="Arial" w:cs="Arial"/>
          <w:snapToGrid w:val="0"/>
          <w:w w:val="100"/>
          <w:kern w:val="0"/>
          <w:sz w:val="20"/>
          <w:szCs w:val="20"/>
        </w:rPr>
      </w:pPr>
      <w:r>
        <w:rPr>
          <w:rFonts w:ascii="Arial" w:hAnsi="Arial" w:cs="Arial"/>
          <w:snapToGrid w:val="0"/>
          <w:w w:val="100"/>
          <w:kern w:val="0"/>
          <w:sz w:val="20"/>
          <w:szCs w:val="20"/>
        </w:rPr>
        <w:t>Li, D. (2015). Imakan Rap of the Hezhe Nationality. Harbin: Heilongjiang Fine Arts Publishing House.</w:t>
      </w:r>
    </w:p>
    <w:p>
      <w:pPr>
        <w:pStyle w:val="65"/>
        <w:kinsoku w:val="0"/>
        <w:wordWrap/>
        <w:autoSpaceDE/>
        <w:autoSpaceDN/>
        <w:spacing w:line="240" w:lineRule="auto"/>
        <w:ind w:left="0" w:firstLine="0"/>
        <w:rPr>
          <w:rFonts w:ascii="Arial" w:hAnsi="Arial" w:cs="Arial"/>
          <w:snapToGrid w:val="0"/>
          <w:w w:val="100"/>
          <w:kern w:val="0"/>
          <w:sz w:val="20"/>
          <w:szCs w:val="20"/>
        </w:rPr>
      </w:pPr>
    </w:p>
    <w:p>
      <w:pPr>
        <w:pStyle w:val="65"/>
        <w:kinsoku w:val="0"/>
        <w:wordWrap/>
        <w:autoSpaceDE/>
        <w:autoSpaceDN/>
        <w:spacing w:line="240" w:lineRule="auto"/>
        <w:ind w:left="0" w:firstLine="0"/>
        <w:rPr>
          <w:rFonts w:ascii="Arial" w:hAnsi="Arial" w:cs="Arial"/>
          <w:snapToGrid w:val="0"/>
          <w:color w:val="FF0000"/>
          <w:w w:val="100"/>
          <w:kern w:val="0"/>
          <w:sz w:val="20"/>
          <w:szCs w:val="20"/>
        </w:rPr>
      </w:pPr>
      <w:r>
        <w:rPr>
          <w:rFonts w:ascii="Arial" w:hAnsi="Arial" w:cs="Arial"/>
          <w:snapToGrid w:val="0"/>
          <w:color w:val="FF0000"/>
          <w:w w:val="100"/>
          <w:kern w:val="0"/>
          <w:sz w:val="20"/>
          <w:szCs w:val="20"/>
        </w:rPr>
        <w:t>McIvor, O. (2020). Indigenous Language Revitalization and Applied Linguistics: Parallel Histories, Shared Futures? Annual Review of Applied Linguistics, 40, 78–96. https://doi.org/10.1017/S0267190520000094</w:t>
      </w:r>
    </w:p>
    <w:p>
      <w:pPr>
        <w:pStyle w:val="65"/>
        <w:kinsoku w:val="0"/>
        <w:wordWrap/>
        <w:autoSpaceDE/>
        <w:autoSpaceDN/>
        <w:spacing w:line="240" w:lineRule="auto"/>
        <w:ind w:left="0" w:firstLine="0"/>
        <w:rPr>
          <w:rFonts w:ascii="Arial" w:hAnsi="Arial" w:cs="Arial"/>
          <w:snapToGrid w:val="0"/>
          <w:color w:val="FF0000"/>
          <w:w w:val="100"/>
          <w:kern w:val="0"/>
          <w:sz w:val="20"/>
          <w:szCs w:val="20"/>
        </w:rPr>
      </w:pPr>
    </w:p>
    <w:p>
      <w:pPr>
        <w:pStyle w:val="65"/>
        <w:kinsoku w:val="0"/>
        <w:wordWrap/>
        <w:autoSpaceDE/>
        <w:autoSpaceDN/>
        <w:spacing w:line="240" w:lineRule="auto"/>
        <w:ind w:left="0" w:firstLine="0"/>
        <w:rPr>
          <w:rFonts w:ascii="Arial" w:hAnsi="Arial" w:cs="Arial"/>
          <w:snapToGrid w:val="0"/>
          <w:color w:val="FF0000"/>
          <w:w w:val="100"/>
          <w:kern w:val="0"/>
          <w:sz w:val="20"/>
          <w:szCs w:val="20"/>
        </w:rPr>
      </w:pPr>
      <w:r>
        <w:rPr>
          <w:rFonts w:ascii="Arial" w:hAnsi="Arial" w:cs="Arial"/>
          <w:snapToGrid w:val="0"/>
          <w:color w:val="FF0000"/>
          <w:w w:val="100"/>
          <w:kern w:val="0"/>
          <w:sz w:val="20"/>
          <w:szCs w:val="20"/>
        </w:rPr>
        <w:t>Mulyawan, I. W. (2021). Maintaining and revitalising Balinese language in public space: A controversial language planning regulation. Indonesia and the Malay World, 49(145), 481–495. https://doi.org/10.1080/13639811.2021.1910356</w:t>
      </w:r>
    </w:p>
    <w:p>
      <w:pPr>
        <w:pStyle w:val="65"/>
        <w:kinsoku w:val="0"/>
        <w:wordWrap/>
        <w:autoSpaceDE/>
        <w:autoSpaceDN/>
        <w:spacing w:line="240" w:lineRule="auto"/>
        <w:ind w:left="0" w:firstLine="0"/>
        <w:rPr>
          <w:rFonts w:ascii="Arial" w:hAnsi="Arial" w:cs="Arial"/>
          <w:color w:val="FF0000"/>
          <w:sz w:val="22"/>
        </w:rPr>
      </w:pPr>
    </w:p>
    <w:p>
      <w:pPr>
        <w:pStyle w:val="65"/>
        <w:kinsoku w:val="0"/>
        <w:wordWrap/>
        <w:autoSpaceDE/>
        <w:autoSpaceDN/>
        <w:spacing w:line="240" w:lineRule="auto"/>
        <w:ind w:left="0" w:firstLine="0"/>
        <w:rPr>
          <w:rFonts w:ascii="Arial" w:hAnsi="Arial" w:cs="Arial" w:eastAsiaTheme="minorEastAsia"/>
          <w:snapToGrid w:val="0"/>
          <w:color w:val="FF0000"/>
          <w:w w:val="100"/>
          <w:kern w:val="0"/>
          <w:sz w:val="20"/>
          <w:szCs w:val="20"/>
        </w:rPr>
      </w:pPr>
      <w:r>
        <w:rPr>
          <w:rFonts w:ascii="Arial" w:hAnsi="Arial" w:cs="Arial"/>
          <w:color w:val="FF0000"/>
          <w:sz w:val="20"/>
          <w:szCs w:val="20"/>
        </w:rPr>
        <w:t xml:space="preserve">Odularu, O., Sone, E., &amp; Puzi, M. (2024). Globalisation perspective of libraries as curators of oral tradition and storytelling activities. </w:t>
      </w:r>
      <w:r>
        <w:rPr>
          <w:rFonts w:ascii="Arial" w:hAnsi="Arial" w:cs="Arial"/>
          <w:iCs/>
          <w:color w:val="FF0000"/>
          <w:sz w:val="20"/>
          <w:szCs w:val="20"/>
        </w:rPr>
        <w:t>Journal of Culture and Values in Education</w:t>
      </w:r>
      <w:r>
        <w:rPr>
          <w:rFonts w:ascii="Arial" w:hAnsi="Arial" w:cs="Arial"/>
          <w:color w:val="FF0000"/>
          <w:sz w:val="20"/>
          <w:szCs w:val="20"/>
        </w:rPr>
        <w:t xml:space="preserve">, </w:t>
      </w:r>
      <w:r>
        <w:rPr>
          <w:rFonts w:ascii="Arial" w:hAnsi="Arial" w:cs="Arial"/>
          <w:iCs/>
          <w:color w:val="FF0000"/>
          <w:sz w:val="20"/>
          <w:szCs w:val="20"/>
        </w:rPr>
        <w:t>7</w:t>
      </w:r>
      <w:r>
        <w:rPr>
          <w:rFonts w:ascii="Arial" w:hAnsi="Arial" w:cs="Arial"/>
          <w:color w:val="FF0000"/>
          <w:sz w:val="20"/>
          <w:szCs w:val="20"/>
        </w:rPr>
        <w:t>(2), 136-156. https://doi.org/10.46303/jcve.2024.16</w:t>
      </w:r>
    </w:p>
    <w:p>
      <w:pPr>
        <w:pStyle w:val="65"/>
        <w:kinsoku w:val="0"/>
        <w:wordWrap/>
        <w:autoSpaceDE/>
        <w:autoSpaceDN/>
        <w:spacing w:line="240" w:lineRule="auto"/>
        <w:ind w:left="0" w:firstLine="0"/>
        <w:rPr>
          <w:rFonts w:ascii="Arial" w:hAnsi="Arial" w:cs="Arial" w:eastAsiaTheme="minorEastAsia"/>
          <w:snapToGrid w:val="0"/>
          <w:color w:val="FF0000"/>
          <w:w w:val="100"/>
          <w:kern w:val="0"/>
          <w:sz w:val="20"/>
          <w:szCs w:val="20"/>
        </w:rPr>
      </w:pPr>
    </w:p>
    <w:p>
      <w:pPr>
        <w:pStyle w:val="65"/>
        <w:kinsoku w:val="0"/>
        <w:wordWrap/>
        <w:autoSpaceDE/>
        <w:autoSpaceDN/>
        <w:spacing w:line="240" w:lineRule="auto"/>
        <w:ind w:left="0" w:firstLine="0"/>
        <w:rPr>
          <w:rFonts w:ascii="Arial" w:hAnsi="Arial" w:cs="Arial" w:eastAsiaTheme="minorEastAsia"/>
          <w:snapToGrid w:val="0"/>
          <w:color w:val="FF0000"/>
          <w:w w:val="100"/>
          <w:kern w:val="0"/>
          <w:sz w:val="20"/>
          <w:szCs w:val="20"/>
        </w:rPr>
      </w:pPr>
      <w:r>
        <w:rPr>
          <w:rFonts w:ascii="Arial" w:hAnsi="Arial" w:cs="Arial" w:eastAsiaTheme="minorEastAsia"/>
          <w:snapToGrid w:val="0"/>
          <w:color w:val="FF0000"/>
          <w:w w:val="100"/>
          <w:kern w:val="0"/>
          <w:sz w:val="20"/>
          <w:szCs w:val="20"/>
        </w:rPr>
        <w:t>Rosado Valencia, E. (2024). Endangered words, threatened worlds: Sapara identity in dialogue with UNESCO. Latin American and Caribbean Ethnic Studies, 20(3), 367–386. https://doi.org/10.1080/17442222.2024.2393510</w:t>
      </w:r>
    </w:p>
    <w:p>
      <w:pPr>
        <w:pStyle w:val="65"/>
        <w:kinsoku w:val="0"/>
        <w:wordWrap/>
        <w:autoSpaceDE/>
        <w:autoSpaceDN/>
        <w:spacing w:line="240" w:lineRule="auto"/>
        <w:ind w:left="0" w:firstLine="0"/>
        <w:rPr>
          <w:rFonts w:ascii="Arial" w:hAnsi="Arial" w:cs="Arial"/>
          <w:snapToGrid w:val="0"/>
          <w:color w:val="FF0000"/>
          <w:w w:val="100"/>
          <w:kern w:val="0"/>
          <w:sz w:val="20"/>
          <w:szCs w:val="20"/>
        </w:rPr>
      </w:pPr>
    </w:p>
    <w:p>
      <w:pPr>
        <w:pStyle w:val="65"/>
        <w:kinsoku w:val="0"/>
        <w:wordWrap/>
        <w:autoSpaceDE/>
        <w:autoSpaceDN/>
        <w:spacing w:line="240" w:lineRule="auto"/>
        <w:ind w:left="0" w:firstLine="0"/>
        <w:rPr>
          <w:rFonts w:ascii="Arial" w:hAnsi="Arial" w:cs="Arial"/>
          <w:snapToGrid w:val="0"/>
          <w:color w:val="FF0000"/>
          <w:w w:val="100"/>
          <w:kern w:val="0"/>
          <w:sz w:val="20"/>
          <w:szCs w:val="20"/>
        </w:rPr>
      </w:pPr>
      <w:r>
        <w:rPr>
          <w:rFonts w:ascii="Arial" w:hAnsi="Arial" w:cs="Arial"/>
          <w:snapToGrid w:val="0"/>
          <w:color w:val="FF0000"/>
          <w:w w:val="100"/>
          <w:kern w:val="0"/>
          <w:sz w:val="20"/>
          <w:szCs w:val="20"/>
        </w:rPr>
        <w:t>Sakhiyya, Z., &amp; Martin-Anatias, N. (2020). Reviving the language at risk: a social semiotic analysis of the linguistic landscape of three cities in Indonesia. International Journal of Multilingualism, 20(2), 290–307. https://doi.org/10.1080/14790718.2020.1850737</w:t>
      </w:r>
    </w:p>
    <w:p>
      <w:pPr>
        <w:pStyle w:val="65"/>
        <w:kinsoku w:val="0"/>
        <w:wordWrap/>
        <w:autoSpaceDE/>
        <w:autoSpaceDN/>
        <w:spacing w:line="240" w:lineRule="auto"/>
        <w:ind w:left="0" w:firstLine="0"/>
        <w:rPr>
          <w:rFonts w:ascii="Arial" w:hAnsi="Arial" w:cs="Arial"/>
          <w:snapToGrid w:val="0"/>
          <w:color w:val="FF0000"/>
          <w:w w:val="100"/>
          <w:kern w:val="0"/>
          <w:sz w:val="20"/>
          <w:szCs w:val="20"/>
        </w:rPr>
      </w:pPr>
    </w:p>
    <w:p>
      <w:pPr>
        <w:pStyle w:val="65"/>
        <w:kinsoku w:val="0"/>
        <w:wordWrap/>
        <w:autoSpaceDE/>
        <w:autoSpaceDN/>
        <w:spacing w:line="240" w:lineRule="auto"/>
        <w:ind w:left="0" w:firstLine="0"/>
        <w:rPr>
          <w:rFonts w:ascii="Arial" w:hAnsi="Arial" w:cs="Arial"/>
          <w:snapToGrid w:val="0"/>
          <w:color w:val="FF0000"/>
          <w:w w:val="100"/>
          <w:kern w:val="0"/>
          <w:sz w:val="20"/>
          <w:szCs w:val="20"/>
        </w:rPr>
      </w:pPr>
      <w:r>
        <w:rPr>
          <w:rFonts w:ascii="Arial" w:hAnsi="Arial" w:cs="Arial"/>
          <w:snapToGrid w:val="0"/>
          <w:color w:val="FF0000"/>
          <w:w w:val="100"/>
          <w:kern w:val="0"/>
          <w:sz w:val="20"/>
          <w:szCs w:val="20"/>
        </w:rPr>
        <w:t>Shah, S., &amp; Brenzinger, M. (2018). The Role of Teaching in Language Revival and Revitalization Movements. Annual Review of Applied Linguistics, 38, 201–208. https://doi.org/10.1017/S0267190518000089</w:t>
      </w:r>
    </w:p>
    <w:p>
      <w:pPr>
        <w:pStyle w:val="65"/>
        <w:kinsoku w:val="0"/>
        <w:wordWrap/>
        <w:autoSpaceDE/>
        <w:autoSpaceDN/>
        <w:spacing w:line="240" w:lineRule="auto"/>
        <w:ind w:left="0" w:firstLine="0"/>
        <w:rPr>
          <w:rFonts w:ascii="Arial" w:hAnsi="Arial" w:cs="Arial"/>
          <w:snapToGrid w:val="0"/>
          <w:color w:val="FF0000"/>
          <w:w w:val="100"/>
          <w:kern w:val="0"/>
          <w:sz w:val="20"/>
          <w:szCs w:val="20"/>
        </w:rPr>
      </w:pPr>
    </w:p>
    <w:p>
      <w:pPr>
        <w:pStyle w:val="65"/>
        <w:kinsoku w:val="0"/>
        <w:wordWrap/>
        <w:autoSpaceDE/>
        <w:autoSpaceDN/>
        <w:spacing w:line="240" w:lineRule="auto"/>
        <w:ind w:left="0" w:firstLine="0"/>
        <w:rPr>
          <w:rFonts w:ascii="Arial" w:hAnsi="Arial" w:cs="Arial"/>
          <w:snapToGrid w:val="0"/>
          <w:color w:val="FF0000"/>
          <w:w w:val="100"/>
          <w:kern w:val="0"/>
          <w:sz w:val="20"/>
          <w:szCs w:val="20"/>
        </w:rPr>
      </w:pPr>
      <w:r>
        <w:rPr>
          <w:rFonts w:ascii="Arial" w:hAnsi="Arial" w:cs="Arial"/>
          <w:snapToGrid w:val="0"/>
          <w:color w:val="FF0000"/>
          <w:w w:val="100"/>
          <w:kern w:val="0"/>
          <w:sz w:val="20"/>
          <w:szCs w:val="20"/>
        </w:rPr>
        <w:t>Syam, C., Olendo, Y. O., Dewantara, J. A., &amp; Rahmani, E. F. (2024). Oral literature and social identity of the Dayak Kanayatn: the extinction of oral literature in the midst of contemporary cultural trends. Cogent Arts &amp; Humanities, 11(1). https://doi.org/10.1080/23311983.2024.2376785</w:t>
      </w:r>
    </w:p>
    <w:p>
      <w:pPr>
        <w:pStyle w:val="65"/>
        <w:kinsoku w:val="0"/>
        <w:wordWrap/>
        <w:autoSpaceDE/>
        <w:autoSpaceDN/>
        <w:spacing w:line="240" w:lineRule="auto"/>
        <w:ind w:left="0" w:firstLine="0"/>
        <w:rPr>
          <w:rFonts w:ascii="Arial" w:hAnsi="Arial" w:cs="Arial" w:eastAsiaTheme="minorEastAsia"/>
          <w:snapToGrid w:val="0"/>
          <w:color w:val="FF0000"/>
          <w:w w:val="100"/>
          <w:kern w:val="0"/>
          <w:sz w:val="20"/>
          <w:szCs w:val="20"/>
        </w:rPr>
      </w:pPr>
    </w:p>
    <w:p>
      <w:pPr>
        <w:pStyle w:val="65"/>
        <w:kinsoku w:val="0"/>
        <w:wordWrap/>
        <w:autoSpaceDE/>
        <w:autoSpaceDN/>
        <w:spacing w:line="240" w:lineRule="auto"/>
        <w:ind w:left="0" w:firstLine="0"/>
        <w:rPr>
          <w:rFonts w:ascii="Arial" w:hAnsi="Arial" w:cs="Arial" w:eastAsiaTheme="minorEastAsia"/>
          <w:snapToGrid w:val="0"/>
          <w:color w:val="FF0000"/>
          <w:w w:val="100"/>
          <w:kern w:val="0"/>
          <w:sz w:val="20"/>
          <w:szCs w:val="20"/>
        </w:rPr>
      </w:pPr>
      <w:r>
        <w:rPr>
          <w:rFonts w:ascii="Arial" w:hAnsi="Arial" w:cs="Arial" w:eastAsiaTheme="minorEastAsia"/>
          <w:snapToGrid w:val="0"/>
          <w:color w:val="FF0000"/>
          <w:w w:val="100"/>
          <w:kern w:val="0"/>
          <w:sz w:val="20"/>
          <w:szCs w:val="20"/>
        </w:rPr>
        <w:t>Zustiyantoro, D., Sakhiyya, Z., Kurniasih, Y., &amp; Aminah, S. (2025). Revitalising an endangered language through grassroots traditional arts communities: the case of Javanese language, Indonesia. International Journal of Multilingualism, 1–17. https://doi.org/10.1080/14790718.2025.2519953</w:t>
      </w:r>
    </w:p>
    <w:sectPr>
      <w:footnotePr>
        <w:numFmt w:val="decimalEnclosedCircleChinese"/>
        <w:numRestart w:val="eachPage"/>
      </w:footnotePr>
      <w:type w:val="continuous"/>
      <w:pgSz w:w="12240" w:h="15840"/>
      <w:pgMar w:top="1440" w:right="2016" w:bottom="2016" w:left="2016" w:header="720" w:footer="1123"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w:panose1 w:val="00000000000000000000"/>
    <w:charset w:val="00"/>
    <w:family w:val="swiss"/>
    <w:pitch w:val="default"/>
    <w:sig w:usb0="E00002FF" w:usb1="5000785B" w:usb2="00000000" w:usb3="00000000" w:csb0="2000019F" w:csb1="4F010000"/>
  </w:font>
  <w:font w:name="Arial">
    <w:panose1 w:val="020B0604020202090204"/>
    <w:charset w:val="00"/>
    <w:family w:val="swiss"/>
    <w:pitch w:val="default"/>
    <w:sig w:usb0="E0000AFF" w:usb1="00007843" w:usb2="00000001" w:usb3="00000000" w:csb0="400001BF" w:csb1="DFF70000"/>
  </w:font>
  <w:font w:name="Tahoma">
    <w:panose1 w:val="020B0604030504040204"/>
    <w:charset w:val="00"/>
    <w:family w:val="swiss"/>
    <w:pitch w:val="default"/>
    <w:sig w:usb0="E1002AFF" w:usb1="C000605B" w:usb2="00000029" w:usb3="00000000" w:csb0="200101FF" w:csb1="20280000"/>
  </w:font>
  <w:font w:name="Calisto MT">
    <w:altName w:val="苹方-简"/>
    <w:panose1 w:val="02040603050505030304"/>
    <w:charset w:val="00"/>
    <w:family w:val="roman"/>
    <w:pitch w:val="default"/>
    <w:sig w:usb0="00000000" w:usb1="00000000" w:usb2="00000000" w:usb3="00000000" w:csb0="00000001" w:csb1="00000000"/>
  </w:font>
  <w:font w:name="KoPub바탕체 Light">
    <w:altName w:val="苹方-简"/>
    <w:panose1 w:val="00000000000000000000"/>
    <w:charset w:val="86"/>
    <w:family w:val="roman"/>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9"/>
        <w:jc w:val="both"/>
        <w:rPr>
          <w:rFonts w:hint="eastAsia"/>
          <w:color w:val="FF0000"/>
          <w:lang w:eastAsia="zh-CN"/>
        </w:rPr>
      </w:pPr>
      <w:r>
        <w:rPr>
          <w:rStyle w:val="20"/>
          <w:color w:val="FF0000"/>
        </w:rPr>
        <w:footnoteRef/>
      </w:r>
      <w:r>
        <w:rPr>
          <w:color w:val="FF0000"/>
        </w:rPr>
        <w:t xml:space="preserve"> Hezhe Jialingkuo is a form of traditional music and one of China's national-level intangible cultural heritages. Hezhe Jialingkuo is a traditional music genre that has been passed down orally in the Hezhe language, evolving over time through social environments and daily life experiences of the Hezhe people. It encapsulates a wide range of emotions such as love, hatred, anger, sorrow, and joy. </w:t>
      </w:r>
    </w:p>
  </w:footnote>
  <w:footnote w:id="1">
    <w:p>
      <w:pPr>
        <w:pStyle w:val="9"/>
        <w:jc w:val="both"/>
        <w:rPr>
          <w:rFonts w:hint="eastAsia"/>
          <w:color w:val="FF0000"/>
          <w:lang w:eastAsia="zh-CN"/>
        </w:rPr>
      </w:pPr>
      <w:r>
        <w:rPr>
          <w:rStyle w:val="20"/>
          <w:color w:val="FF0000"/>
        </w:rPr>
        <w:footnoteRef/>
      </w:r>
      <w:r>
        <w:rPr>
          <w:color w:val="FF0000"/>
        </w:rPr>
        <w:t xml:space="preserve"> Hezhe Yimakan is a form of storytelling and folk art of the Hezhe people. It had taken shape no later than the 1900s and is popular in the Hezhe communities of Heilongjiang Province. The performance of Hezhe Yimakan involves a single person narrating unaccompanied, combining speaking and singing. It is primarily storytelling, supplemented by singing, with no instrumental accompaniment.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76893158" o:spid="_x0000_s2051"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76893157" o:spid="_x0000_s2050"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160"/>
      <w:jc w:val="center"/>
      <w:rPr>
        <w:rFonts w:ascii="Times New Roman" w:hAnsi="Times New Roman" w:eastAsia="Calibri"/>
        <w:i/>
        <w:sz w:val="18"/>
        <w:szCs w:val="22"/>
      </w:rPr>
    </w:pPr>
    <w:r>
      <w:pict>
        <v:shape id="PowerPlusWaterMarkObject76893156" o:spid="_x0000_s204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pPr>
      <w:ind w:left="4320"/>
      <w:rPr>
        <w:rFonts w:ascii="Times New Roman" w:hAnsi="Times New Roman" w:eastAsia="Calibri"/>
        <w:i/>
        <w:sz w:val="18"/>
        <w:szCs w:val="22"/>
      </w:rPr>
    </w:pPr>
    <w:r>
      <w:rPr>
        <w:rFonts w:ascii="Times New Roman" w:hAnsi="Times New Roman" w:eastAsia="Calibri"/>
        <w:i/>
        <w:sz w:val="18"/>
        <w:szCs w:val="22"/>
      </w:rPr>
      <w:t xml:space="preserve">.     </w:t>
    </w:r>
  </w:p>
  <w:p>
    <w:pPr>
      <w:jc w:val="center"/>
      <w:rPr>
        <w:rFonts w:ascii="Times New Roman" w:hAnsi="Times New Roman" w:eastAsia="Calibri"/>
        <w:i/>
        <w:sz w:val="18"/>
        <w:szCs w:val="22"/>
      </w:rPr>
    </w:pPr>
    <w:r>
      <w:rPr>
        <w:rFonts w:ascii="Times New Roman" w:hAnsi="Times New Roman" w:eastAsia="Calibri"/>
        <w:i/>
        <w:sz w:val="18"/>
        <w:szCs w:val="22"/>
      </w:rPr>
      <w:t>.</w:t>
    </w:r>
  </w:p>
  <w:p>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pPr>
      <w:jc w:val="center"/>
      <w:rPr>
        <w:rFonts w:ascii="Times New Roman" w:hAnsi="Times New Roman" w:eastAsia="Calibri"/>
        <w:i/>
        <w:sz w:val="18"/>
        <w:szCs w:val="22"/>
      </w:rPr>
    </w:pPr>
    <w:r>
      <w:rPr>
        <w:rFonts w:ascii="Times New Roman" w:hAnsi="Times New Roman" w:eastAsia="Calibri"/>
        <w:i/>
        <w:sz w:val="18"/>
        <w:szCs w:val="22"/>
      </w:rPr>
      <w:t xml:space="preserve">                     </w:t>
    </w:r>
  </w:p>
  <w:p>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pPr>
      <w:pStyle w:val="7"/>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3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footnotePr>
    <w:numFmt w:val="decimalEnclosedCircleChinese"/>
    <w:numRestart w:val="eachPage"/>
    <w:footnote w:id="4"/>
    <w:footnote w:id="5"/>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06C"/>
    <w:rsid w:val="00000F8F"/>
    <w:rsid w:val="00030174"/>
    <w:rsid w:val="00033EF7"/>
    <w:rsid w:val="00044D22"/>
    <w:rsid w:val="0004579C"/>
    <w:rsid w:val="00064246"/>
    <w:rsid w:val="000772D3"/>
    <w:rsid w:val="000A47FA"/>
    <w:rsid w:val="000A65D3"/>
    <w:rsid w:val="000B1E33"/>
    <w:rsid w:val="000C661F"/>
    <w:rsid w:val="000D689F"/>
    <w:rsid w:val="000E7B7B"/>
    <w:rsid w:val="000E7D62"/>
    <w:rsid w:val="00103357"/>
    <w:rsid w:val="00121E0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0D31"/>
    <w:rsid w:val="0024282C"/>
    <w:rsid w:val="002460DC"/>
    <w:rsid w:val="00250985"/>
    <w:rsid w:val="002556F6"/>
    <w:rsid w:val="0026005F"/>
    <w:rsid w:val="00283105"/>
    <w:rsid w:val="00284C4C"/>
    <w:rsid w:val="00287E68"/>
    <w:rsid w:val="00296529"/>
    <w:rsid w:val="002B27FB"/>
    <w:rsid w:val="002B685A"/>
    <w:rsid w:val="002C57D2"/>
    <w:rsid w:val="002E0D56"/>
    <w:rsid w:val="00315186"/>
    <w:rsid w:val="00332544"/>
    <w:rsid w:val="0033343E"/>
    <w:rsid w:val="00334456"/>
    <w:rsid w:val="003512C2"/>
    <w:rsid w:val="00371FB6"/>
    <w:rsid w:val="003763C1"/>
    <w:rsid w:val="00376BBE"/>
    <w:rsid w:val="003903FB"/>
    <w:rsid w:val="0039224F"/>
    <w:rsid w:val="003A3E55"/>
    <w:rsid w:val="003A43A4"/>
    <w:rsid w:val="003A7E18"/>
    <w:rsid w:val="003B5FEA"/>
    <w:rsid w:val="003C4C86"/>
    <w:rsid w:val="003C6258"/>
    <w:rsid w:val="003E2904"/>
    <w:rsid w:val="00401927"/>
    <w:rsid w:val="0041027F"/>
    <w:rsid w:val="00412475"/>
    <w:rsid w:val="004143CE"/>
    <w:rsid w:val="00423789"/>
    <w:rsid w:val="00440F43"/>
    <w:rsid w:val="00441B6F"/>
    <w:rsid w:val="00446221"/>
    <w:rsid w:val="00450E62"/>
    <w:rsid w:val="004539DB"/>
    <w:rsid w:val="00471A80"/>
    <w:rsid w:val="004A38A8"/>
    <w:rsid w:val="004C5FEC"/>
    <w:rsid w:val="004D305E"/>
    <w:rsid w:val="004D4277"/>
    <w:rsid w:val="004E64AC"/>
    <w:rsid w:val="00502516"/>
    <w:rsid w:val="00505F06"/>
    <w:rsid w:val="00506828"/>
    <w:rsid w:val="0053056E"/>
    <w:rsid w:val="00547017"/>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34E"/>
    <w:rsid w:val="006D6940"/>
    <w:rsid w:val="006F11EC"/>
    <w:rsid w:val="006F44A7"/>
    <w:rsid w:val="0070082C"/>
    <w:rsid w:val="007110EA"/>
    <w:rsid w:val="007369E6"/>
    <w:rsid w:val="00746E59"/>
    <w:rsid w:val="00754C9A"/>
    <w:rsid w:val="0075599A"/>
    <w:rsid w:val="00761D52"/>
    <w:rsid w:val="0077749E"/>
    <w:rsid w:val="007855D6"/>
    <w:rsid w:val="00786D6A"/>
    <w:rsid w:val="00790ADA"/>
    <w:rsid w:val="007D2288"/>
    <w:rsid w:val="007E088F"/>
    <w:rsid w:val="007E2ED0"/>
    <w:rsid w:val="007F7B32"/>
    <w:rsid w:val="00804BC2"/>
    <w:rsid w:val="0081431A"/>
    <w:rsid w:val="00821387"/>
    <w:rsid w:val="0083216F"/>
    <w:rsid w:val="00834275"/>
    <w:rsid w:val="008472F9"/>
    <w:rsid w:val="00860000"/>
    <w:rsid w:val="00863BD3"/>
    <w:rsid w:val="008641ED"/>
    <w:rsid w:val="00866D66"/>
    <w:rsid w:val="008671C6"/>
    <w:rsid w:val="00875803"/>
    <w:rsid w:val="00887BF4"/>
    <w:rsid w:val="008B459E"/>
    <w:rsid w:val="008C29C3"/>
    <w:rsid w:val="008C3DE0"/>
    <w:rsid w:val="008E13AE"/>
    <w:rsid w:val="008E1506"/>
    <w:rsid w:val="008E710C"/>
    <w:rsid w:val="008F69D6"/>
    <w:rsid w:val="00902823"/>
    <w:rsid w:val="00906A04"/>
    <w:rsid w:val="00915CA6"/>
    <w:rsid w:val="00927834"/>
    <w:rsid w:val="009500A6"/>
    <w:rsid w:val="00957C18"/>
    <w:rsid w:val="009659BA"/>
    <w:rsid w:val="00983040"/>
    <w:rsid w:val="009B0FA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89A"/>
    <w:rsid w:val="00A539AD"/>
    <w:rsid w:val="00A66750"/>
    <w:rsid w:val="00A94063"/>
    <w:rsid w:val="00AA6219"/>
    <w:rsid w:val="00AA74E0"/>
    <w:rsid w:val="00AB5755"/>
    <w:rsid w:val="00AB703F"/>
    <w:rsid w:val="00AC6BB8"/>
    <w:rsid w:val="00AE008F"/>
    <w:rsid w:val="00B01FCD"/>
    <w:rsid w:val="00B1776C"/>
    <w:rsid w:val="00B52583"/>
    <w:rsid w:val="00B52896"/>
    <w:rsid w:val="00B95236"/>
    <w:rsid w:val="00B96BD9"/>
    <w:rsid w:val="00BA1B01"/>
    <w:rsid w:val="00BA2641"/>
    <w:rsid w:val="00BA490D"/>
    <w:rsid w:val="00BB37AA"/>
    <w:rsid w:val="00BC53A0"/>
    <w:rsid w:val="00BC7E6A"/>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526C"/>
    <w:rsid w:val="00D173F1"/>
    <w:rsid w:val="00D54D1E"/>
    <w:rsid w:val="00D60C7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3EA"/>
    <w:rsid w:val="00EA012C"/>
    <w:rsid w:val="00EA5B59"/>
    <w:rsid w:val="00EA7868"/>
    <w:rsid w:val="00EC6A55"/>
    <w:rsid w:val="00ED0288"/>
    <w:rsid w:val="00EE4907"/>
    <w:rsid w:val="00EE52CB"/>
    <w:rsid w:val="00EF581D"/>
    <w:rsid w:val="00EF7FD8"/>
    <w:rsid w:val="00F06F59"/>
    <w:rsid w:val="00F17988"/>
    <w:rsid w:val="00F30814"/>
    <w:rsid w:val="00F469F0"/>
    <w:rsid w:val="00F53273"/>
    <w:rsid w:val="00F755E4"/>
    <w:rsid w:val="00F77D02"/>
    <w:rsid w:val="00FB3A86"/>
    <w:rsid w:val="00FC230C"/>
    <w:rsid w:val="00FD36C8"/>
    <w:rsid w:val="2C7ED931"/>
    <w:rsid w:val="5BF16E37"/>
    <w:rsid w:val="D77F8217"/>
    <w:rsid w:val="F5F7E64D"/>
    <w:rsid w:val="F7AF4098"/>
    <w:rsid w:val="FEFFC461"/>
    <w:rsid w:val="FFE787F8"/>
    <w:rsid w:val="FFFF1786"/>
    <w:rsid w:val="FFFF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cs="Times New Roman" w:eastAsiaTheme="minorEastAsia"/>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61"/>
    <w:unhideWhenUsed/>
    <w:uiPriority w:val="99"/>
    <w:rPr>
      <w:rFonts w:ascii="Times New Roman" w:hAnsi="Times New Roman"/>
      <w:lang w:val="nb-NO" w:eastAsia="nb-NO"/>
    </w:rPr>
  </w:style>
  <w:style w:type="paragraph" w:styleId="4">
    <w:name w:val="Body Text 3"/>
    <w:basedOn w:val="1"/>
    <w:link w:val="63"/>
    <w:uiPriority w:val="0"/>
    <w:pPr>
      <w:spacing w:after="120"/>
    </w:pPr>
    <w:rPr>
      <w:sz w:val="16"/>
      <w:szCs w:val="16"/>
    </w:rPr>
  </w:style>
  <w:style w:type="paragraph" w:styleId="5">
    <w:name w:val="Balloon Text"/>
    <w:basedOn w:val="1"/>
    <w:link w:val="62"/>
    <w:uiPriority w:val="0"/>
    <w:rPr>
      <w:rFonts w:ascii="Tahoma" w:hAnsi="Tahoma" w:cs="Tahoma"/>
      <w:sz w:val="16"/>
      <w:szCs w:val="16"/>
    </w:rPr>
  </w:style>
  <w:style w:type="paragraph" w:styleId="6">
    <w:name w:val="footer"/>
    <w:basedOn w:val="1"/>
    <w:uiPriority w:val="0"/>
    <w:pPr>
      <w:tabs>
        <w:tab w:val="center" w:pos="4320"/>
        <w:tab w:val="right" w:pos="8640"/>
      </w:tabs>
    </w:pPr>
  </w:style>
  <w:style w:type="paragraph" w:styleId="7">
    <w:name w:val="header"/>
    <w:basedOn w:val="1"/>
    <w:uiPriority w:val="0"/>
    <w:pPr>
      <w:tabs>
        <w:tab w:val="center" w:pos="4320"/>
        <w:tab w:val="right" w:pos="8640"/>
      </w:tabs>
    </w:pPr>
  </w:style>
  <w:style w:type="paragraph" w:styleId="8">
    <w:name w:val="Signature"/>
    <w:basedOn w:val="1"/>
    <w:uiPriority w:val="0"/>
    <w:pPr>
      <w:ind w:left="4320"/>
    </w:pPr>
  </w:style>
  <w:style w:type="paragraph" w:styleId="9">
    <w:name w:val="footnote text"/>
    <w:basedOn w:val="1"/>
    <w:link w:val="66"/>
    <w:semiHidden/>
    <w:unhideWhenUsed/>
    <w:uiPriority w:val="0"/>
    <w:pPr>
      <w:snapToGrid w:val="0"/>
    </w:pPr>
    <w:rPr>
      <w:sz w:val="18"/>
      <w:szCs w:val="18"/>
    </w:rPr>
  </w:style>
  <w:style w:type="paragraph" w:styleId="10">
    <w:name w:val="Body Text 2"/>
    <w:basedOn w:val="1"/>
    <w:link w:val="60"/>
    <w:uiPriority w:val="0"/>
    <w:pPr>
      <w:spacing w:after="120" w:line="480" w:lineRule="auto"/>
    </w:pPr>
  </w:style>
  <w:style w:type="paragraph" w:styleId="11">
    <w:name w:val="Title"/>
    <w:basedOn w:val="1"/>
    <w:qFormat/>
    <w:uiPriority w:val="0"/>
    <w:pPr>
      <w:spacing w:after="360"/>
      <w:jc w:val="right"/>
    </w:pPr>
    <w:rPr>
      <w:b/>
      <w:kern w:val="28"/>
      <w:sz w:val="36"/>
    </w:rPr>
  </w:style>
  <w:style w:type="table" w:styleId="13">
    <w:name w:val="Table Grid"/>
    <w:basedOn w:val="12"/>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FollowedHyperlink"/>
    <w:basedOn w:val="14"/>
    <w:uiPriority w:val="0"/>
    <w:rPr>
      <w:color w:val="800080"/>
      <w:u w:val="single"/>
    </w:rPr>
  </w:style>
  <w:style w:type="character" w:styleId="16">
    <w:name w:val="Emphasis"/>
    <w:basedOn w:val="14"/>
    <w:qFormat/>
    <w:uiPriority w:val="20"/>
    <w:rPr>
      <w:i/>
      <w:iCs/>
    </w:rPr>
  </w:style>
  <w:style w:type="character" w:styleId="17">
    <w:name w:val="line number"/>
    <w:basedOn w:val="14"/>
    <w:uiPriority w:val="0"/>
  </w:style>
  <w:style w:type="character" w:styleId="18">
    <w:name w:val="Hyperlink"/>
    <w:basedOn w:val="14"/>
    <w:uiPriority w:val="0"/>
    <w:rPr>
      <w:color w:val="FF0080"/>
      <w:u w:val="single"/>
    </w:rPr>
  </w:style>
  <w:style w:type="character" w:styleId="19">
    <w:name w:val="annotation reference"/>
    <w:basedOn w:val="14"/>
    <w:unhideWhenUsed/>
    <w:uiPriority w:val="99"/>
    <w:rPr>
      <w:sz w:val="16"/>
      <w:szCs w:val="16"/>
    </w:rPr>
  </w:style>
  <w:style w:type="character" w:styleId="20">
    <w:name w:val="footnote reference"/>
    <w:basedOn w:val="14"/>
    <w:semiHidden/>
    <w:unhideWhenUsed/>
    <w:uiPriority w:val="0"/>
    <w:rPr>
      <w:vertAlign w:val="superscript"/>
    </w:rPr>
  </w:style>
  <w:style w:type="paragraph" w:customStyle="1" w:styleId="21">
    <w:name w:val="Author"/>
    <w:basedOn w:val="1"/>
    <w:uiPriority w:val="0"/>
    <w:pPr>
      <w:spacing w:line="280" w:lineRule="exact"/>
      <w:jc w:val="right"/>
    </w:pPr>
    <w:rPr>
      <w:b/>
      <w:sz w:val="24"/>
    </w:rPr>
  </w:style>
  <w:style w:type="paragraph" w:customStyle="1" w:styleId="22">
    <w:name w:val="Affiliation"/>
    <w:basedOn w:val="1"/>
    <w:uiPriority w:val="0"/>
    <w:pPr>
      <w:spacing w:after="240" w:line="240" w:lineRule="exact"/>
      <w:jc w:val="right"/>
    </w:pPr>
  </w:style>
  <w:style w:type="paragraph" w:customStyle="1" w:styleId="23">
    <w:name w:val="Body"/>
    <w:basedOn w:val="1"/>
    <w:uiPriority w:val="0"/>
    <w:pPr>
      <w:spacing w:after="240"/>
      <w:jc w:val="both"/>
    </w:pPr>
  </w:style>
  <w:style w:type="paragraph" w:customStyle="1" w:styleId="24">
    <w:name w:val="Abst Head"/>
    <w:basedOn w:val="25"/>
    <w:uiPriority w:val="0"/>
    <w:rPr>
      <w:sz w:val="22"/>
    </w:rPr>
  </w:style>
  <w:style w:type="paragraph" w:customStyle="1" w:styleId="25">
    <w:name w:val="Main Head"/>
    <w:basedOn w:val="1"/>
    <w:uiPriority w:val="0"/>
    <w:pPr>
      <w:keepNext/>
      <w:spacing w:after="240"/>
    </w:pPr>
    <w:rPr>
      <w:b/>
      <w:caps/>
    </w:rPr>
  </w:style>
  <w:style w:type="paragraph" w:customStyle="1" w:styleId="26">
    <w:name w:val="Intro Head"/>
    <w:basedOn w:val="25"/>
    <w:uiPriority w:val="0"/>
    <w:rPr>
      <w:sz w:val="22"/>
    </w:rPr>
  </w:style>
  <w:style w:type="paragraph" w:customStyle="1" w:styleId="27">
    <w:name w:val="Paper Number"/>
    <w:basedOn w:val="1"/>
    <w:uiPriority w:val="0"/>
    <w:pPr>
      <w:spacing w:after="280" w:line="280" w:lineRule="exact"/>
      <w:jc w:val="right"/>
    </w:pPr>
    <w:rPr>
      <w:b/>
      <w:sz w:val="28"/>
    </w:rPr>
  </w:style>
  <w:style w:type="paragraph" w:customStyle="1" w:styleId="28">
    <w:name w:val="Conc Head"/>
    <w:basedOn w:val="25"/>
    <w:uiPriority w:val="0"/>
    <w:rPr>
      <w:sz w:val="22"/>
    </w:rPr>
  </w:style>
  <w:style w:type="paragraph" w:customStyle="1" w:styleId="29">
    <w:name w:val="Ackn Head"/>
    <w:basedOn w:val="25"/>
    <w:uiPriority w:val="0"/>
    <w:rPr>
      <w:sz w:val="22"/>
    </w:rPr>
  </w:style>
  <w:style w:type="paragraph" w:customStyle="1" w:styleId="30">
    <w:name w:val="Refer Head"/>
    <w:basedOn w:val="25"/>
    <w:uiPriority w:val="0"/>
    <w:rPr>
      <w:sz w:val="22"/>
    </w:rPr>
  </w:style>
  <w:style w:type="paragraph" w:customStyle="1" w:styleId="31">
    <w:name w:val="AddSrc Head"/>
    <w:basedOn w:val="25"/>
    <w:uiPriority w:val="0"/>
    <w:rPr>
      <w:sz w:val="22"/>
    </w:rPr>
  </w:style>
  <w:style w:type="paragraph" w:customStyle="1" w:styleId="32">
    <w:name w:val="DefAcrHead"/>
    <w:basedOn w:val="25"/>
    <w:uiPriority w:val="0"/>
    <w:rPr>
      <w:sz w:val="22"/>
    </w:rPr>
  </w:style>
  <w:style w:type="paragraph" w:customStyle="1" w:styleId="33">
    <w:name w:val="Copyright"/>
    <w:basedOn w:val="1"/>
    <w:uiPriority w:val="0"/>
    <w:pPr>
      <w:spacing w:after="960" w:line="200" w:lineRule="exact"/>
    </w:pPr>
    <w:rPr>
      <w:sz w:val="16"/>
    </w:rPr>
  </w:style>
  <w:style w:type="paragraph" w:customStyle="1" w:styleId="34">
    <w:name w:val="Reference"/>
    <w:basedOn w:val="23"/>
    <w:uiPriority w:val="0"/>
    <w:pPr>
      <w:numPr>
        <w:ilvl w:val="0"/>
        <w:numId w:val="1"/>
      </w:numPr>
      <w:spacing w:after="0" w:line="240" w:lineRule="exact"/>
    </w:pPr>
  </w:style>
  <w:style w:type="paragraph" w:customStyle="1" w:styleId="35">
    <w:name w:val="Head1"/>
    <w:basedOn w:val="25"/>
    <w:uiPriority w:val="0"/>
    <w:rPr>
      <w:sz w:val="22"/>
    </w:rPr>
  </w:style>
  <w:style w:type="paragraph" w:customStyle="1" w:styleId="36">
    <w:name w:val="Contact Head"/>
    <w:basedOn w:val="25"/>
    <w:uiPriority w:val="0"/>
    <w:rPr>
      <w:sz w:val="22"/>
    </w:rPr>
  </w:style>
  <w:style w:type="paragraph" w:customStyle="1" w:styleId="37">
    <w:name w:val="Head3"/>
    <w:basedOn w:val="38"/>
    <w:uiPriority w:val="0"/>
    <w:rPr>
      <w:caps w:val="0"/>
      <w:u w:val="single"/>
    </w:rPr>
  </w:style>
  <w:style w:type="paragraph" w:customStyle="1" w:styleId="38">
    <w:name w:val="Head2"/>
    <w:basedOn w:val="1"/>
    <w:next w:val="23"/>
    <w:uiPriority w:val="0"/>
    <w:pPr>
      <w:keepNext/>
      <w:spacing w:after="240"/>
    </w:pPr>
    <w:rPr>
      <w:caps/>
    </w:rPr>
  </w:style>
  <w:style w:type="paragraph" w:customStyle="1" w:styleId="39">
    <w:name w:val="Head4"/>
    <w:basedOn w:val="37"/>
    <w:uiPriority w:val="0"/>
    <w:rPr>
      <w:u w:val="none"/>
    </w:rPr>
  </w:style>
  <w:style w:type="paragraph" w:customStyle="1" w:styleId="40">
    <w:name w:val="Unord List"/>
    <w:basedOn w:val="23"/>
    <w:uiPriority w:val="0"/>
    <w:pPr>
      <w:spacing w:after="0"/>
      <w:ind w:left="360" w:hanging="360"/>
    </w:pPr>
  </w:style>
  <w:style w:type="paragraph" w:customStyle="1" w:styleId="41">
    <w:name w:val="Ord List"/>
    <w:basedOn w:val="40"/>
    <w:uiPriority w:val="0"/>
    <w:pPr>
      <w:jc w:val="left"/>
    </w:pPr>
  </w:style>
  <w:style w:type="paragraph" w:customStyle="1" w:styleId="42">
    <w:name w:val="Appendix"/>
    <w:basedOn w:val="25"/>
    <w:uiPriority w:val="0"/>
    <w:rPr>
      <w:sz w:val="22"/>
    </w:rPr>
  </w:style>
  <w:style w:type="paragraph" w:customStyle="1" w:styleId="43">
    <w:name w:val="Term"/>
    <w:basedOn w:val="23"/>
    <w:uiPriority w:val="0"/>
    <w:pPr>
      <w:spacing w:after="0"/>
    </w:pPr>
    <w:rPr>
      <w:b/>
    </w:rPr>
  </w:style>
  <w:style w:type="paragraph" w:customStyle="1" w:styleId="44">
    <w:name w:val="Definition"/>
    <w:basedOn w:val="23"/>
    <w:uiPriority w:val="0"/>
  </w:style>
  <w:style w:type="character" w:customStyle="1" w:styleId="45">
    <w:name w:val="Bold"/>
    <w:uiPriority w:val="0"/>
    <w:rPr>
      <w:b/>
    </w:rPr>
  </w:style>
  <w:style w:type="character" w:customStyle="1" w:styleId="46">
    <w:name w:val="Italic"/>
    <w:uiPriority w:val="0"/>
    <w:rPr>
      <w:i/>
    </w:rPr>
  </w:style>
  <w:style w:type="character" w:customStyle="1" w:styleId="47">
    <w:name w:val="Underline"/>
    <w:uiPriority w:val="0"/>
    <w:rPr>
      <w:u w:val="single"/>
    </w:rPr>
  </w:style>
  <w:style w:type="paragraph" w:customStyle="1" w:styleId="48">
    <w:name w:val="Equation"/>
    <w:basedOn w:val="23"/>
    <w:uiPriority w:val="0"/>
  </w:style>
  <w:style w:type="paragraph" w:customStyle="1" w:styleId="49">
    <w:name w:val="Figure"/>
    <w:basedOn w:val="33"/>
    <w:uiPriority w:val="0"/>
    <w:pPr>
      <w:spacing w:after="240"/>
    </w:pPr>
    <w:rPr>
      <w:sz w:val="20"/>
    </w:rPr>
  </w:style>
  <w:style w:type="paragraph" w:customStyle="1" w:styleId="50">
    <w:name w:val="Head 4"/>
    <w:basedOn w:val="37"/>
    <w:uiPriority w:val="0"/>
    <w:rPr>
      <w:u w:val="none"/>
    </w:rPr>
  </w:style>
  <w:style w:type="paragraph" w:customStyle="1" w:styleId="51">
    <w:name w:val="Paper"/>
    <w:basedOn w:val="1"/>
    <w:uiPriority w:val="0"/>
    <w:pPr>
      <w:spacing w:after="360" w:line="440" w:lineRule="exact"/>
      <w:jc w:val="right"/>
    </w:pPr>
    <w:rPr>
      <w:b/>
      <w:sz w:val="36"/>
    </w:rPr>
  </w:style>
  <w:style w:type="character" w:customStyle="1" w:styleId="52">
    <w:name w:val="Subscript"/>
    <w:uiPriority w:val="0"/>
    <w:rPr>
      <w:vertAlign w:val="subscript"/>
    </w:rPr>
  </w:style>
  <w:style w:type="character" w:customStyle="1" w:styleId="53">
    <w:name w:val="Superscript"/>
    <w:uiPriority w:val="0"/>
    <w:rPr>
      <w:vertAlign w:val="superscript"/>
    </w:rPr>
  </w:style>
  <w:style w:type="character" w:customStyle="1" w:styleId="54">
    <w:name w:val="Symbol"/>
    <w:uiPriority w:val="0"/>
    <w:rPr>
      <w:rFonts w:ascii="Symbol" w:hAnsi="Symbol"/>
    </w:rPr>
  </w:style>
  <w:style w:type="paragraph" w:customStyle="1" w:styleId="55">
    <w:name w:val="Symbol P"/>
    <w:basedOn w:val="23"/>
    <w:uiPriority w:val="0"/>
    <w:pPr>
      <w:tabs>
        <w:tab w:val="left" w:pos="720"/>
        <w:tab w:val="left" w:pos="3780"/>
      </w:tabs>
      <w:spacing w:after="0"/>
    </w:pPr>
    <w:rPr>
      <w:sz w:val="24"/>
    </w:rPr>
  </w:style>
  <w:style w:type="character" w:customStyle="1" w:styleId="56">
    <w:name w:val="BoldItal"/>
    <w:basedOn w:val="14"/>
    <w:uiPriority w:val="0"/>
    <w:rPr>
      <w:b/>
      <w:i/>
    </w:rPr>
  </w:style>
  <w:style w:type="character" w:customStyle="1" w:styleId="57">
    <w:name w:val="SubItal"/>
    <w:uiPriority w:val="0"/>
    <w:rPr>
      <w:i/>
      <w:vertAlign w:val="subscript"/>
    </w:rPr>
  </w:style>
  <w:style w:type="character" w:customStyle="1" w:styleId="58">
    <w:name w:val="SuperItal"/>
    <w:uiPriority w:val="0"/>
    <w:rPr>
      <w:i/>
      <w:vertAlign w:val="superscript"/>
    </w:rPr>
  </w:style>
  <w:style w:type="character" w:customStyle="1" w:styleId="59">
    <w:name w:val="SymItal"/>
    <w:uiPriority w:val="0"/>
    <w:rPr>
      <w:rFonts w:ascii="Symbol" w:hAnsi="Symbol"/>
      <w:i/>
    </w:rPr>
  </w:style>
  <w:style w:type="character" w:customStyle="1" w:styleId="60">
    <w:name w:val="正文文本 2 Char"/>
    <w:basedOn w:val="14"/>
    <w:link w:val="10"/>
    <w:uiPriority w:val="0"/>
    <w:rPr>
      <w:rFonts w:ascii="Helvetica" w:hAnsi="Helvetica"/>
    </w:rPr>
  </w:style>
  <w:style w:type="character" w:customStyle="1" w:styleId="61">
    <w:name w:val="批注文字 Char"/>
    <w:basedOn w:val="14"/>
    <w:link w:val="3"/>
    <w:uiPriority w:val="99"/>
    <w:rPr>
      <w:lang w:val="nb-NO" w:eastAsia="nb-NO"/>
    </w:rPr>
  </w:style>
  <w:style w:type="character" w:customStyle="1" w:styleId="62">
    <w:name w:val="批注框文本 Char"/>
    <w:basedOn w:val="14"/>
    <w:link w:val="5"/>
    <w:uiPriority w:val="0"/>
    <w:rPr>
      <w:rFonts w:ascii="Tahoma" w:hAnsi="Tahoma" w:cs="Tahoma"/>
      <w:sz w:val="16"/>
      <w:szCs w:val="16"/>
    </w:rPr>
  </w:style>
  <w:style w:type="character" w:customStyle="1" w:styleId="63">
    <w:name w:val="正文文本 3 Char"/>
    <w:basedOn w:val="14"/>
    <w:link w:val="4"/>
    <w:uiPriority w:val="0"/>
    <w:rPr>
      <w:rFonts w:ascii="Helvetica" w:hAnsi="Helvetica"/>
      <w:sz w:val="16"/>
      <w:szCs w:val="16"/>
    </w:rPr>
  </w:style>
  <w:style w:type="character" w:customStyle="1" w:styleId="64">
    <w:name w:val="Unresolved Mention1"/>
    <w:basedOn w:val="14"/>
    <w:semiHidden/>
    <w:unhideWhenUsed/>
    <w:uiPriority w:val="99"/>
    <w:rPr>
      <w:color w:val="605E5C"/>
      <w:shd w:val="clear" w:color="auto" w:fill="E1DFDD"/>
    </w:rPr>
  </w:style>
  <w:style w:type="paragraph" w:customStyle="1" w:styleId="65">
    <w:name w:val="참고문헌"/>
    <w:uiPriority w:val="18"/>
    <w:pPr>
      <w:widowControl w:val="0"/>
      <w:pBdr>
        <w:top w:val="none" w:color="000000" w:sz="0" w:space="0"/>
        <w:left w:val="none" w:color="000000" w:sz="0" w:space="0"/>
        <w:bottom w:val="none" w:color="000000" w:sz="0" w:space="0"/>
        <w:right w:val="none" w:color="000000" w:sz="0" w:space="0"/>
      </w:pBdr>
      <w:wordWrap w:val="0"/>
      <w:autoSpaceDE w:val="0"/>
      <w:autoSpaceDN w:val="0"/>
      <w:snapToGrid w:val="0"/>
      <w:spacing w:line="360" w:lineRule="auto"/>
      <w:ind w:left="200" w:hanging="200"/>
      <w:jc w:val="both"/>
      <w:textAlignment w:val="baseline"/>
    </w:pPr>
    <w:rPr>
      <w:rFonts w:ascii="Calisto MT" w:eastAsia="KoPub바탕체 Light" w:hAnsiTheme="minorHAnsi" w:cstheme="minorBidi"/>
      <w:color w:val="000000"/>
      <w:w w:val="95"/>
      <w:kern w:val="1"/>
      <w:sz w:val="18"/>
      <w:szCs w:val="22"/>
      <w:lang w:val="en-US" w:eastAsia="zh-CN" w:bidi="ar-SA"/>
    </w:rPr>
  </w:style>
  <w:style w:type="character" w:customStyle="1" w:styleId="66">
    <w:name w:val="脚注文本 Char"/>
    <w:basedOn w:val="14"/>
    <w:link w:val="9"/>
    <w:semiHidden/>
    <w:uiPriority w:val="0"/>
    <w:rPr>
      <w:rFonts w:ascii="Helvetica" w:hAnsi="Helvetica"/>
      <w:sz w:val="18"/>
      <w:szCs w:val="18"/>
      <w:lang w:eastAsia="en-US"/>
    </w:rPr>
  </w:style>
  <w:style w:type="paragraph" w:customStyle="1" w:styleId="67">
    <w:name w:val="바탕글1"/>
    <w:uiPriority w:val="14"/>
    <w:pPr>
      <w:widowControl w:val="0"/>
      <w:pBdr>
        <w:top w:val="none" w:color="000000" w:sz="0" w:space="0"/>
        <w:left w:val="none" w:color="000000" w:sz="0" w:space="0"/>
        <w:bottom w:val="none" w:color="000000" w:sz="0" w:space="0"/>
        <w:right w:val="none" w:color="000000" w:sz="0" w:space="0"/>
      </w:pBdr>
      <w:wordWrap w:val="0"/>
      <w:autoSpaceDE w:val="0"/>
      <w:autoSpaceDN w:val="0"/>
      <w:snapToGrid w:val="0"/>
      <w:spacing w:line="360" w:lineRule="auto"/>
      <w:ind w:firstLine="200"/>
      <w:jc w:val="both"/>
      <w:textAlignment w:val="baseline"/>
    </w:pPr>
    <w:rPr>
      <w:rFonts w:ascii="Calisto MT" w:eastAsia="KoPub바탕체 Light" w:hAnsiTheme="minorHAnsi" w:cstheme="minorBidi"/>
      <w:color w:val="000000"/>
      <w:w w:val="95"/>
      <w:kern w:val="1"/>
      <w:szCs w:val="22"/>
      <w:shd w:val="clear" w:color="999999" w:fill="auto"/>
      <w:lang w:val="en-US" w:eastAsia="zh-CN" w:bidi="ar-SA"/>
    </w:rPr>
  </w:style>
  <w:style w:type="paragraph" w:customStyle="1" w:styleId="68">
    <w:name w:val="p17"/>
    <w:basedOn w:val="1"/>
    <w:uiPriority w:val="0"/>
    <w:pPr>
      <w:widowControl w:val="0"/>
      <w:jc w:val="center"/>
    </w:pPr>
    <w:rPr>
      <w:rFonts w:ascii="Times New Roman" w:hAnsi="Times New Roman"/>
      <w:sz w:val="22"/>
      <w:szCs w:val="22"/>
      <w:lang w:eastAsia="zh-CN"/>
    </w:rPr>
  </w:style>
  <w:style w:type="paragraph" w:customStyle="1" w:styleId="69">
    <w:name w:val="p16"/>
    <w:basedOn w:val="1"/>
    <w:uiPriority w:val="0"/>
    <w:pPr>
      <w:widowControl w:val="0"/>
      <w:jc w:val="center"/>
    </w:pPr>
    <w:rPr>
      <w:rFonts w:ascii="Times New Roman" w:hAnsi="Times New Roman"/>
      <w:sz w:val="2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aaaa</Company>
  <Pages>14</Pages>
  <Words>7139</Words>
  <Characters>40695</Characters>
  <Lines>339</Lines>
  <Paragraphs>95</Paragraphs>
  <TotalTime>336</TotalTime>
  <ScaleCrop>false</ScaleCrop>
  <LinksUpToDate>false</LinksUpToDate>
  <CharactersWithSpaces>47739</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2025-11-20T02:02:00Z</dcterms:created>
  <dc:creator>SDI</dc:creator>
  <cp:lastModifiedBy>春颖smile</cp:lastModifiedBy>
  <cp:lastPrinted>1999-07-07T03:00:00Z</cp:lastPrinted>
  <dcterms:modified xsi:type="dcterms:W3CDTF">2025-11-23T15:13:17Z</dcterms:modified>
  <dc:title>Paper Template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98C3D0945CB9290CB9961D695118A17B_42</vt:lpwstr>
  </property>
</Properties>
</file>