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19C3B" w14:textId="7C3C7261" w:rsidR="00754C9A" w:rsidRDefault="00900411" w:rsidP="00441B6F">
      <w:pPr>
        <w:pStyle w:val="Title"/>
        <w:spacing w:after="0"/>
        <w:jc w:val="both"/>
        <w:rPr>
          <w:rFonts w:ascii="Arial" w:hAnsi="Arial" w:cs="Arial"/>
        </w:rPr>
      </w:pPr>
      <w:r w:rsidRPr="00900411">
        <w:rPr>
          <w:rFonts w:ascii="Arial" w:hAnsi="Arial" w:cs="Arial"/>
        </w:rPr>
        <w:t>Original Research Article</w:t>
      </w:r>
    </w:p>
    <w:p w14:paraId="140DB51F" w14:textId="77777777" w:rsidR="00900411" w:rsidRDefault="00900411" w:rsidP="00441B6F">
      <w:pPr>
        <w:pStyle w:val="Title"/>
        <w:spacing w:after="0"/>
        <w:jc w:val="both"/>
        <w:rPr>
          <w:rFonts w:ascii="Arial" w:hAnsi="Arial" w:cs="Arial"/>
        </w:rPr>
      </w:pPr>
    </w:p>
    <w:p w14:paraId="72D36583" w14:textId="02A797E8" w:rsidR="00163BC4" w:rsidRPr="00163BC4" w:rsidRDefault="00FE7445" w:rsidP="00441B6F">
      <w:pPr>
        <w:pStyle w:val="Author"/>
        <w:spacing w:line="240" w:lineRule="auto"/>
        <w:rPr>
          <w:rFonts w:ascii="Arial" w:hAnsi="Arial" w:cs="Arial"/>
          <w:bCs/>
          <w:iCs/>
          <w:kern w:val="28"/>
          <w:sz w:val="36"/>
        </w:rPr>
      </w:pPr>
      <w:r w:rsidRPr="00FE7445">
        <w:rPr>
          <w:rFonts w:ascii="Arial" w:hAnsi="Arial" w:cs="Arial"/>
          <w:bCs/>
          <w:iCs/>
          <w:kern w:val="28"/>
          <w:sz w:val="36"/>
        </w:rPr>
        <w:t>Structure-Based Docking and Interaction Analysis of Indonesian Phytochemicals Targeting SAP2 (1EAG) for Antifungal Drug Discovery</w:t>
      </w:r>
      <w:r w:rsidR="00231920">
        <w:rPr>
          <w:rFonts w:ascii="Arial" w:hAnsi="Arial" w:cs="Arial"/>
          <w:bCs/>
          <w:iCs/>
          <w:kern w:val="28"/>
          <w:sz w:val="36"/>
        </w:rPr>
        <w:t xml:space="preserve"> </w:t>
      </w:r>
    </w:p>
    <w:p w14:paraId="32EA49E0" w14:textId="77777777" w:rsidR="00A258C3" w:rsidRPr="00790ADA" w:rsidRDefault="00A258C3" w:rsidP="00441B6F">
      <w:pPr>
        <w:pStyle w:val="Author"/>
        <w:spacing w:line="240" w:lineRule="auto"/>
        <w:jc w:val="both"/>
        <w:rPr>
          <w:rFonts w:ascii="Arial" w:hAnsi="Arial" w:cs="Arial"/>
          <w:sz w:val="36"/>
        </w:rPr>
      </w:pPr>
    </w:p>
    <w:p w14:paraId="5AEC3B35" w14:textId="77777777" w:rsidR="002C57D2" w:rsidRPr="00FB3A86" w:rsidRDefault="002C57D2" w:rsidP="00441B6F">
      <w:pPr>
        <w:pStyle w:val="Affiliation"/>
        <w:spacing w:after="0" w:line="240" w:lineRule="auto"/>
        <w:jc w:val="both"/>
        <w:rPr>
          <w:rFonts w:ascii="Arial" w:hAnsi="Arial" w:cs="Arial"/>
        </w:rPr>
      </w:pPr>
    </w:p>
    <w:p w14:paraId="33A84C27" w14:textId="6A869683" w:rsidR="00B01FCD" w:rsidRPr="00FB3A86" w:rsidRDefault="00FE7445" w:rsidP="00441B6F">
      <w:pPr>
        <w:pStyle w:val="Copyright"/>
        <w:spacing w:after="0" w:line="240" w:lineRule="auto"/>
        <w:jc w:val="both"/>
        <w:rPr>
          <w:rFonts w:ascii="Arial" w:hAnsi="Arial" w:cs="Arial"/>
        </w:rPr>
        <w:sectPr w:rsidR="00B01FCD" w:rsidRPr="00FB3A86" w:rsidSect="006D75F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8AD0B9E" wp14:editId="769919FB">
                <wp:extent cx="5303520" cy="635"/>
                <wp:effectExtent l="13335" t="16510" r="17145" b="12065"/>
                <wp:docPr id="15721838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4678D1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A7E3D39" w14:textId="6CF0B9A2" w:rsidR="00B01FCD" w:rsidRDefault="00B01FCD" w:rsidP="00441B6F">
      <w:pPr>
        <w:pStyle w:val="AbstHead"/>
        <w:spacing w:after="0"/>
        <w:jc w:val="both"/>
        <w:rPr>
          <w:rFonts w:ascii="Arial" w:hAnsi="Arial" w:cs="Arial"/>
        </w:rPr>
      </w:pPr>
      <w:r w:rsidRPr="00FB3A86">
        <w:rPr>
          <w:rFonts w:ascii="Arial" w:hAnsi="Arial" w:cs="Arial"/>
        </w:rPr>
        <w:t>ABSTRACT</w:t>
      </w:r>
    </w:p>
    <w:p w14:paraId="37FF91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B902D54" w14:textId="77777777" w:rsidTr="001E44FE">
        <w:tc>
          <w:tcPr>
            <w:tcW w:w="9576" w:type="dxa"/>
            <w:shd w:val="clear" w:color="auto" w:fill="F2F2F2"/>
          </w:tcPr>
          <w:p w14:paraId="5295639D" w14:textId="130ECDCE" w:rsidR="002F3E83" w:rsidRPr="003039F0" w:rsidRDefault="003039F0" w:rsidP="003039F0">
            <w:pPr>
              <w:pStyle w:val="Body"/>
              <w:spacing w:after="0"/>
              <w:rPr>
                <w:rFonts w:ascii="Arial" w:eastAsia="Calibri" w:hAnsi="Arial" w:cs="Arial"/>
                <w:szCs w:val="22"/>
                <w:lang w:val="en-ID"/>
              </w:rPr>
            </w:pPr>
            <w:r w:rsidRPr="003039F0">
              <w:rPr>
                <w:rFonts w:ascii="Arial" w:eastAsia="Calibri" w:hAnsi="Arial" w:cs="Arial"/>
                <w:b/>
                <w:bCs/>
                <w:szCs w:val="22"/>
                <w:lang w:val="en-ID"/>
              </w:rPr>
              <w:t>Aims:</w:t>
            </w:r>
            <w:r w:rsidR="002F3E83">
              <w:rPr>
                <w:rFonts w:ascii="Arial" w:eastAsia="Calibri" w:hAnsi="Arial" w:cs="Arial"/>
                <w:b/>
                <w:bCs/>
                <w:szCs w:val="22"/>
                <w:lang w:val="en-ID"/>
              </w:rPr>
              <w:t xml:space="preserve"> </w:t>
            </w:r>
            <w:r w:rsidR="002F3E83" w:rsidRPr="002F3E83">
              <w:rPr>
                <w:rFonts w:ascii="Arial" w:eastAsia="Calibri" w:hAnsi="Arial" w:cs="Arial"/>
                <w:szCs w:val="22"/>
              </w:rPr>
              <w:t>To evaluate the inhibitory potential of twenty Indonesian phytochemicals against Candida albicans Secreted Aspartic Protease 2 (SAP2; PDB ID: 1EAG) </w:t>
            </w:r>
            <w:r w:rsidR="002F3E83" w:rsidRPr="002F3E83">
              <w:rPr>
                <w:rFonts w:ascii="Arial" w:eastAsia="Calibri" w:hAnsi="Arial" w:cs="Arial"/>
                <w:b/>
                <w:bCs/>
                <w:szCs w:val="22"/>
              </w:rPr>
              <w:t>with the biological rationale of inhibiting SAP2-mediated virulence in C. albicans</w:t>
            </w:r>
            <w:r w:rsidR="002F3E83" w:rsidRPr="002F3E83">
              <w:rPr>
                <w:rFonts w:ascii="Arial" w:eastAsia="Calibri" w:hAnsi="Arial" w:cs="Arial"/>
                <w:szCs w:val="22"/>
              </w:rPr>
              <w:t>, as this enzyme is essential for fungal tissue invasion and pathogenicity.</w:t>
            </w:r>
          </w:p>
          <w:p w14:paraId="623F46EE" w14:textId="021BB6F6" w:rsidR="003039F0" w:rsidRPr="003039F0" w:rsidRDefault="003039F0" w:rsidP="003039F0">
            <w:pPr>
              <w:pStyle w:val="Body"/>
              <w:spacing w:after="0"/>
              <w:rPr>
                <w:rFonts w:ascii="Arial" w:eastAsia="Calibri" w:hAnsi="Arial" w:cs="Arial"/>
                <w:szCs w:val="22"/>
                <w:lang w:val="en-ID"/>
              </w:rPr>
            </w:pPr>
            <w:r w:rsidRPr="003039F0">
              <w:rPr>
                <w:rFonts w:ascii="Arial" w:eastAsia="Calibri" w:hAnsi="Arial" w:cs="Arial"/>
                <w:b/>
                <w:bCs/>
                <w:szCs w:val="22"/>
                <w:lang w:val="en-ID"/>
              </w:rPr>
              <w:t>Study Design:</w:t>
            </w:r>
            <w:r>
              <w:rPr>
                <w:rFonts w:ascii="Arial" w:eastAsia="Calibri" w:hAnsi="Arial" w:cs="Arial"/>
                <w:szCs w:val="22"/>
                <w:lang w:val="en-ID"/>
              </w:rPr>
              <w:t xml:space="preserve"> </w:t>
            </w:r>
            <w:r w:rsidRPr="003039F0">
              <w:rPr>
                <w:rFonts w:ascii="Arial" w:eastAsia="Calibri" w:hAnsi="Arial" w:cs="Arial"/>
                <w:szCs w:val="22"/>
                <w:lang w:val="en-ID"/>
              </w:rPr>
              <w:t>An in silico, structure-based molecular docking study employing a validated flexible-pocket docking model focused on the catalytic Asp32–Asp218 dyad of SAP2.</w:t>
            </w:r>
          </w:p>
          <w:p w14:paraId="3091026A" w14:textId="5731DDA5" w:rsidR="003039F0" w:rsidRPr="003039F0" w:rsidRDefault="003039F0" w:rsidP="003039F0">
            <w:pPr>
              <w:pStyle w:val="Body"/>
              <w:spacing w:after="0"/>
              <w:rPr>
                <w:rFonts w:ascii="Arial" w:eastAsia="Calibri" w:hAnsi="Arial" w:cs="Arial"/>
                <w:szCs w:val="22"/>
                <w:lang w:val="en-ID"/>
              </w:rPr>
            </w:pPr>
            <w:r w:rsidRPr="003039F0">
              <w:rPr>
                <w:rFonts w:ascii="Arial" w:eastAsia="Calibri" w:hAnsi="Arial" w:cs="Arial"/>
                <w:szCs w:val="22"/>
                <w:lang w:val="en-ID"/>
              </w:rPr>
              <w:t>Place and Duration of Study:</w:t>
            </w:r>
            <w:r>
              <w:rPr>
                <w:rFonts w:ascii="Arial" w:eastAsia="Calibri" w:hAnsi="Arial" w:cs="Arial"/>
                <w:szCs w:val="22"/>
                <w:lang w:val="en-ID"/>
              </w:rPr>
              <w:t xml:space="preserve"> </w:t>
            </w:r>
            <w:r w:rsidRPr="003039F0">
              <w:rPr>
                <w:rFonts w:ascii="Arial" w:eastAsia="Calibri" w:hAnsi="Arial" w:cs="Arial"/>
                <w:szCs w:val="22"/>
                <w:lang w:val="en-ID"/>
              </w:rPr>
              <w:t>Computational analyses were performed at the Department of Physics Education, Universitas Kristen Indonesia, Jakarta, between January and October 2025.</w:t>
            </w:r>
          </w:p>
          <w:p w14:paraId="461660D8" w14:textId="613BE593" w:rsidR="003039F0" w:rsidRPr="003039F0" w:rsidRDefault="003039F0" w:rsidP="003039F0">
            <w:pPr>
              <w:pStyle w:val="Body"/>
              <w:spacing w:after="0"/>
              <w:rPr>
                <w:rFonts w:ascii="Arial" w:eastAsia="Calibri" w:hAnsi="Arial" w:cs="Arial"/>
                <w:szCs w:val="22"/>
                <w:lang w:val="en-ID"/>
              </w:rPr>
            </w:pPr>
            <w:r w:rsidRPr="003039F0">
              <w:rPr>
                <w:rFonts w:ascii="Arial" w:eastAsia="Calibri" w:hAnsi="Arial" w:cs="Arial"/>
                <w:b/>
                <w:bCs/>
                <w:szCs w:val="22"/>
                <w:lang w:val="en-ID"/>
              </w:rPr>
              <w:t>Methodology:</w:t>
            </w:r>
            <w:r>
              <w:rPr>
                <w:rFonts w:ascii="Arial" w:eastAsia="Calibri" w:hAnsi="Arial" w:cs="Arial"/>
                <w:szCs w:val="22"/>
                <w:lang w:val="en-ID"/>
              </w:rPr>
              <w:t xml:space="preserve"> </w:t>
            </w:r>
            <w:r w:rsidRPr="003039F0">
              <w:rPr>
                <w:rFonts w:ascii="Arial" w:eastAsia="Calibri" w:hAnsi="Arial" w:cs="Arial"/>
                <w:szCs w:val="22"/>
                <w:lang w:val="en-ID"/>
              </w:rPr>
              <w:t xml:space="preserve">Twenty phytochemicals from Indonesian medicinal plants were prepared using </w:t>
            </w:r>
            <w:proofErr w:type="spellStart"/>
            <w:r w:rsidRPr="003039F0">
              <w:rPr>
                <w:rFonts w:ascii="Arial" w:eastAsia="Calibri" w:hAnsi="Arial" w:cs="Arial"/>
                <w:szCs w:val="22"/>
                <w:lang w:val="en-ID"/>
              </w:rPr>
              <w:t>ADFRsuite</w:t>
            </w:r>
            <w:proofErr w:type="spellEnd"/>
            <w:r w:rsidRPr="003039F0">
              <w:rPr>
                <w:rFonts w:ascii="Arial" w:eastAsia="Calibri" w:hAnsi="Arial" w:cs="Arial"/>
                <w:szCs w:val="22"/>
                <w:lang w:val="en-ID"/>
              </w:rPr>
              <w:t xml:space="preserve"> 1.0 and docked to SAP2 </w:t>
            </w:r>
            <w:r w:rsidR="00EB6B89">
              <w:rPr>
                <w:rFonts w:ascii="Arial" w:eastAsia="Calibri" w:hAnsi="Arial" w:cs="Arial"/>
                <w:szCs w:val="22"/>
                <w:lang w:val="en-ID"/>
              </w:rPr>
              <w:t>using</w:t>
            </w:r>
            <w:r w:rsidRPr="003039F0">
              <w:rPr>
                <w:rFonts w:ascii="Arial" w:eastAsia="Calibri" w:hAnsi="Arial" w:cs="Arial"/>
                <w:szCs w:val="22"/>
                <w:lang w:val="en-ID"/>
              </w:rPr>
              <w:t xml:space="preserve"> </w:t>
            </w:r>
            <w:proofErr w:type="spellStart"/>
            <w:r w:rsidRPr="003039F0">
              <w:rPr>
                <w:rFonts w:ascii="Arial" w:eastAsia="Calibri" w:hAnsi="Arial" w:cs="Arial"/>
                <w:szCs w:val="22"/>
                <w:lang w:val="en-ID"/>
              </w:rPr>
              <w:t>AutoDock</w:t>
            </w:r>
            <w:proofErr w:type="spellEnd"/>
            <w:r w:rsidRPr="003039F0">
              <w:rPr>
                <w:rFonts w:ascii="Arial" w:eastAsia="Calibri" w:hAnsi="Arial" w:cs="Arial"/>
                <w:szCs w:val="22"/>
                <w:lang w:val="en-ID"/>
              </w:rPr>
              <w:t xml:space="preserve"> Vina (version 1.2.3). Each ligand underwent five independent docking replicates using a flexible-pocket model encompassing the catalytic and anchoring residues (Asp32, Asp218, Ser282, Leu297, Arg312). Binding free energies (ΔG, kcal mol</w:t>
            </w:r>
            <w:r w:rsidRPr="003039F0">
              <w:rPr>
                <w:rFonts w:ascii="Cambria Math" w:eastAsia="Calibri" w:hAnsi="Cambria Math" w:cs="Cambria Math"/>
                <w:szCs w:val="22"/>
                <w:lang w:val="en-ID"/>
              </w:rPr>
              <w:t>⁻</w:t>
            </w:r>
            <w:r w:rsidRPr="003039F0">
              <w:rPr>
                <w:rFonts w:ascii="Arial" w:eastAsia="Calibri" w:hAnsi="Arial" w:cs="Arial"/>
                <w:szCs w:val="22"/>
                <w:lang w:val="en-ID"/>
              </w:rPr>
              <w:t xml:space="preserve">¹) were evaluated, and protein–ligand interactions were visualized using </w:t>
            </w:r>
            <w:proofErr w:type="spellStart"/>
            <w:r w:rsidRPr="003039F0">
              <w:rPr>
                <w:rFonts w:ascii="Arial" w:eastAsia="Calibri" w:hAnsi="Arial" w:cs="Arial"/>
                <w:szCs w:val="22"/>
                <w:lang w:val="en-ID"/>
              </w:rPr>
              <w:t>PyMOL</w:t>
            </w:r>
            <w:proofErr w:type="spellEnd"/>
            <w:r w:rsidRPr="003039F0">
              <w:rPr>
                <w:rFonts w:ascii="Arial" w:eastAsia="Calibri" w:hAnsi="Arial" w:cs="Arial"/>
                <w:szCs w:val="22"/>
                <w:lang w:val="en-ID"/>
              </w:rPr>
              <w:t xml:space="preserve"> and BIOVIA Discovery Studio Visualizer to identify hydrogen bonds and hydrophobic contacts.</w:t>
            </w:r>
          </w:p>
          <w:p w14:paraId="638E0B1E" w14:textId="7C9907FD" w:rsidR="003039F0" w:rsidRPr="003039F0" w:rsidRDefault="003039F0" w:rsidP="003039F0">
            <w:pPr>
              <w:pStyle w:val="Body"/>
              <w:spacing w:after="0"/>
              <w:rPr>
                <w:rFonts w:ascii="Arial" w:eastAsia="Calibri" w:hAnsi="Arial" w:cs="Arial"/>
                <w:szCs w:val="22"/>
                <w:lang w:val="en-ID"/>
              </w:rPr>
            </w:pPr>
            <w:r w:rsidRPr="003039F0">
              <w:rPr>
                <w:rFonts w:ascii="Arial" w:eastAsia="Calibri" w:hAnsi="Arial" w:cs="Arial"/>
                <w:b/>
                <w:bCs/>
                <w:szCs w:val="22"/>
                <w:lang w:val="en-ID"/>
              </w:rPr>
              <w:t>Results:</w:t>
            </w:r>
            <w:r>
              <w:rPr>
                <w:rFonts w:ascii="Arial" w:eastAsia="Calibri" w:hAnsi="Arial" w:cs="Arial"/>
                <w:szCs w:val="22"/>
                <w:lang w:val="en-ID"/>
              </w:rPr>
              <w:t xml:space="preserve"> </w:t>
            </w:r>
            <w:r w:rsidRPr="003039F0">
              <w:rPr>
                <w:rFonts w:ascii="Arial" w:eastAsia="Calibri" w:hAnsi="Arial" w:cs="Arial"/>
                <w:szCs w:val="22"/>
                <w:lang w:val="en-ID"/>
              </w:rPr>
              <w:t>All ligands exhibited reproducible binding profiles (SD ≤ 0.25 kcal mol</w:t>
            </w:r>
            <w:r w:rsidRPr="003039F0">
              <w:rPr>
                <w:rFonts w:ascii="Cambria Math" w:eastAsia="Calibri" w:hAnsi="Cambria Math" w:cs="Cambria Math"/>
                <w:szCs w:val="22"/>
                <w:lang w:val="en-ID"/>
              </w:rPr>
              <w:t>⁻</w:t>
            </w:r>
            <w:r w:rsidRPr="003039F0">
              <w:rPr>
                <w:rFonts w:ascii="Arial" w:eastAsia="Calibri" w:hAnsi="Arial" w:cs="Arial"/>
                <w:szCs w:val="22"/>
                <w:lang w:val="en-ID"/>
              </w:rPr>
              <w:t>¹), with ΔG values ranging from −4.1 to −6.0 kcal mol</w:t>
            </w:r>
            <w:r w:rsidRPr="003039F0">
              <w:rPr>
                <w:rFonts w:ascii="Cambria Math" w:eastAsia="Calibri" w:hAnsi="Cambria Math" w:cs="Cambria Math"/>
                <w:szCs w:val="22"/>
                <w:lang w:val="en-ID"/>
              </w:rPr>
              <w:t>⁻</w:t>
            </w:r>
            <w:r w:rsidRPr="003039F0">
              <w:rPr>
                <w:rFonts w:ascii="Arial" w:eastAsia="Calibri" w:hAnsi="Arial" w:cs="Arial"/>
                <w:szCs w:val="22"/>
                <w:lang w:val="en-ID"/>
              </w:rPr>
              <w:t xml:space="preserve">¹. </w:t>
            </w:r>
            <w:proofErr w:type="spellStart"/>
            <w:r w:rsidRPr="003039F0">
              <w:rPr>
                <w:rFonts w:ascii="Arial" w:eastAsia="Calibri" w:hAnsi="Arial" w:cs="Arial"/>
                <w:szCs w:val="22"/>
                <w:lang w:val="en-ID"/>
              </w:rPr>
              <w:t>Demethoxycurcumin</w:t>
            </w:r>
            <w:proofErr w:type="spellEnd"/>
            <w:r w:rsidRPr="003039F0">
              <w:rPr>
                <w:rFonts w:ascii="Arial" w:eastAsia="Calibri" w:hAnsi="Arial" w:cs="Arial"/>
                <w:szCs w:val="22"/>
                <w:lang w:val="en-ID"/>
              </w:rPr>
              <w:t xml:space="preserve"> (−5.98 ± 0.04 kcal mol</w:t>
            </w:r>
            <w:r w:rsidRPr="003039F0">
              <w:rPr>
                <w:rFonts w:ascii="Cambria Math" w:eastAsia="Calibri" w:hAnsi="Cambria Math" w:cs="Cambria Math"/>
                <w:szCs w:val="22"/>
                <w:lang w:val="en-ID"/>
              </w:rPr>
              <w:t>⁻</w:t>
            </w:r>
            <w:r w:rsidRPr="003039F0">
              <w:rPr>
                <w:rFonts w:ascii="Arial" w:eastAsia="Calibri" w:hAnsi="Arial" w:cs="Arial"/>
                <w:szCs w:val="22"/>
                <w:lang w:val="en-ID"/>
              </w:rPr>
              <w:t>¹), curcumin (−5.90 ± 0.06 kcal mol</w:t>
            </w:r>
            <w:r w:rsidRPr="003039F0">
              <w:rPr>
                <w:rFonts w:ascii="Cambria Math" w:eastAsia="Calibri" w:hAnsi="Cambria Math" w:cs="Cambria Math"/>
                <w:szCs w:val="22"/>
                <w:lang w:val="en-ID"/>
              </w:rPr>
              <w:t>⁻</w:t>
            </w:r>
            <w:r w:rsidRPr="003039F0">
              <w:rPr>
                <w:rFonts w:ascii="Arial" w:eastAsia="Calibri" w:hAnsi="Arial" w:cs="Arial"/>
                <w:szCs w:val="22"/>
                <w:lang w:val="en-ID"/>
              </w:rPr>
              <w:t>¹), and bisdemethoxycurcumin (−5.60 ± 0.06 kcal mol</w:t>
            </w:r>
            <w:r w:rsidRPr="003039F0">
              <w:rPr>
                <w:rFonts w:ascii="Cambria Math" w:eastAsia="Calibri" w:hAnsi="Cambria Math" w:cs="Cambria Math"/>
                <w:szCs w:val="22"/>
                <w:lang w:val="en-ID"/>
              </w:rPr>
              <w:t>⁻</w:t>
            </w:r>
            <w:r w:rsidRPr="003039F0">
              <w:rPr>
                <w:rFonts w:ascii="Arial" w:eastAsia="Calibri" w:hAnsi="Arial" w:cs="Arial"/>
                <w:szCs w:val="22"/>
                <w:lang w:val="en-ID"/>
              </w:rPr>
              <w:t xml:space="preserve">¹) showed the strongest affinities through hydrogen bonds with Ser282, Glu278, and Arg312 near the catalytic dyad. Sesquiterpenoids such as </w:t>
            </w:r>
            <w:proofErr w:type="spellStart"/>
            <w:r w:rsidRPr="003039F0">
              <w:rPr>
                <w:rFonts w:ascii="Arial" w:eastAsia="Calibri" w:hAnsi="Arial" w:cs="Arial"/>
                <w:szCs w:val="22"/>
                <w:lang w:val="en-ID"/>
              </w:rPr>
              <w:t>germacrone</w:t>
            </w:r>
            <w:proofErr w:type="spellEnd"/>
            <w:r w:rsidRPr="003039F0">
              <w:rPr>
                <w:rFonts w:ascii="Arial" w:eastAsia="Calibri" w:hAnsi="Arial" w:cs="Arial"/>
                <w:szCs w:val="22"/>
                <w:lang w:val="en-ID"/>
              </w:rPr>
              <w:t xml:space="preserve"> and β-</w:t>
            </w:r>
            <w:proofErr w:type="spellStart"/>
            <w:r w:rsidRPr="003039F0">
              <w:rPr>
                <w:rFonts w:ascii="Arial" w:eastAsia="Calibri" w:hAnsi="Arial" w:cs="Arial"/>
                <w:szCs w:val="22"/>
                <w:lang w:val="en-ID"/>
              </w:rPr>
              <w:t>bisabolene</w:t>
            </w:r>
            <w:proofErr w:type="spellEnd"/>
            <w:r w:rsidRPr="003039F0">
              <w:rPr>
                <w:rFonts w:ascii="Arial" w:eastAsia="Calibri" w:hAnsi="Arial" w:cs="Arial"/>
                <w:szCs w:val="22"/>
                <w:lang w:val="en-ID"/>
              </w:rPr>
              <w:t xml:space="preserve"> bound stably through compact hydrophobic interactions, while smaller ligands like 6-shogaol and </w:t>
            </w:r>
            <w:proofErr w:type="spellStart"/>
            <w:r w:rsidRPr="003039F0">
              <w:rPr>
                <w:rFonts w:ascii="Arial" w:eastAsia="Calibri" w:hAnsi="Arial" w:cs="Arial"/>
                <w:szCs w:val="22"/>
                <w:lang w:val="en-ID"/>
              </w:rPr>
              <w:t>citral</w:t>
            </w:r>
            <w:proofErr w:type="spellEnd"/>
            <w:r w:rsidRPr="003039F0">
              <w:rPr>
                <w:rFonts w:ascii="Arial" w:eastAsia="Calibri" w:hAnsi="Arial" w:cs="Arial"/>
                <w:szCs w:val="22"/>
                <w:lang w:val="en-ID"/>
              </w:rPr>
              <w:t xml:space="preserve"> localized in a peripheral sub-pocket, suggesting a potential allosteric site.</w:t>
            </w:r>
          </w:p>
          <w:p w14:paraId="5B4D7722" w14:textId="4258650D" w:rsidR="003039F0" w:rsidRPr="003039F0" w:rsidRDefault="003039F0" w:rsidP="003039F0">
            <w:pPr>
              <w:pStyle w:val="Body"/>
              <w:spacing w:after="0"/>
              <w:rPr>
                <w:rFonts w:ascii="Arial" w:eastAsia="Calibri" w:hAnsi="Arial" w:cs="Arial"/>
                <w:szCs w:val="22"/>
                <w:lang w:val="en-ID"/>
              </w:rPr>
            </w:pPr>
            <w:r w:rsidRPr="003039F0">
              <w:rPr>
                <w:rFonts w:ascii="Arial" w:eastAsia="Calibri" w:hAnsi="Arial" w:cs="Arial"/>
                <w:b/>
                <w:bCs/>
                <w:szCs w:val="22"/>
                <w:lang w:val="en-ID"/>
              </w:rPr>
              <w:t>Conclusion:</w:t>
            </w:r>
            <w:r>
              <w:rPr>
                <w:rFonts w:ascii="Arial" w:eastAsia="Calibri" w:hAnsi="Arial" w:cs="Arial"/>
                <w:szCs w:val="22"/>
                <w:lang w:val="en-ID"/>
              </w:rPr>
              <w:t xml:space="preserve"> </w:t>
            </w:r>
            <w:r w:rsidRPr="003039F0">
              <w:rPr>
                <w:rFonts w:ascii="Arial" w:eastAsia="Calibri" w:hAnsi="Arial" w:cs="Arial"/>
                <w:szCs w:val="22"/>
                <w:lang w:val="en-ID"/>
              </w:rPr>
              <w:t>Curcuma-derived curcuminoids and Zingiber-derived terpenoids are promising natural SAP2 inhibitors. The flexible-pocket docking strategy enhances reproducibility and establishes a robust computational foundation for subsequent molecular dynamics and in vitro antifungal validation.</w:t>
            </w:r>
            <w:r w:rsidR="002F3E83">
              <w:rPr>
                <w:rFonts w:ascii="Arial" w:eastAsia="Calibri" w:hAnsi="Arial" w:cs="Arial"/>
                <w:szCs w:val="22"/>
                <w:lang w:val="en-ID"/>
              </w:rPr>
              <w:t xml:space="preserve"> </w:t>
            </w:r>
            <w:r w:rsidR="002F3E83" w:rsidRPr="002F3E83">
              <w:rPr>
                <w:rFonts w:ascii="Arial" w:eastAsia="Calibri" w:hAnsi="Arial" w:cs="Arial"/>
                <w:b/>
                <w:bCs/>
                <w:szCs w:val="22"/>
              </w:rPr>
              <w:t>These findings highlight the potential of identified compounds for lead optimization in future antifungal drug development</w:t>
            </w:r>
            <w:r w:rsidR="002F3E83">
              <w:rPr>
                <w:rFonts w:ascii="Arial" w:eastAsia="Calibri" w:hAnsi="Arial" w:cs="Arial"/>
                <w:b/>
                <w:bCs/>
                <w:szCs w:val="22"/>
              </w:rPr>
              <w:t>.</w:t>
            </w:r>
          </w:p>
          <w:p w14:paraId="1F4A9704" w14:textId="22557AB3" w:rsidR="00505F06" w:rsidRPr="00BA1B01" w:rsidRDefault="00505F06" w:rsidP="00A071AC">
            <w:pPr>
              <w:pStyle w:val="Body"/>
              <w:spacing w:after="0"/>
              <w:rPr>
                <w:rFonts w:ascii="Arial" w:eastAsia="Calibri" w:hAnsi="Arial" w:cs="Arial"/>
                <w:szCs w:val="22"/>
              </w:rPr>
            </w:pPr>
          </w:p>
        </w:tc>
      </w:tr>
    </w:tbl>
    <w:p w14:paraId="35279DD3" w14:textId="77777777" w:rsidR="00636EB2" w:rsidRDefault="00636EB2" w:rsidP="00441B6F">
      <w:pPr>
        <w:pStyle w:val="Body"/>
        <w:spacing w:after="0"/>
        <w:rPr>
          <w:rFonts w:ascii="Arial" w:hAnsi="Arial" w:cs="Arial"/>
          <w:i/>
        </w:rPr>
      </w:pPr>
    </w:p>
    <w:p w14:paraId="7A7E8864" w14:textId="19C1E28D" w:rsidR="0024282C" w:rsidRDefault="00A24E7E" w:rsidP="00441B6F">
      <w:pPr>
        <w:pStyle w:val="Body"/>
        <w:spacing w:after="0"/>
        <w:rPr>
          <w:rFonts w:ascii="Arial" w:hAnsi="Arial" w:cs="Arial"/>
          <w:i/>
        </w:rPr>
      </w:pPr>
      <w:r>
        <w:rPr>
          <w:rFonts w:ascii="Arial" w:hAnsi="Arial" w:cs="Arial"/>
          <w:i/>
        </w:rPr>
        <w:t xml:space="preserve">Keywords: </w:t>
      </w:r>
      <w:r w:rsidR="003039F0" w:rsidRPr="003039F0">
        <w:rPr>
          <w:rFonts w:ascii="Arial" w:hAnsi="Arial" w:cs="Arial"/>
          <w:i/>
          <w:iCs/>
        </w:rPr>
        <w:t>Candida albicans</w:t>
      </w:r>
      <w:r w:rsidR="003039F0" w:rsidRPr="003039F0">
        <w:rPr>
          <w:rFonts w:ascii="Arial" w:hAnsi="Arial" w:cs="Arial"/>
          <w:i/>
        </w:rPr>
        <w:t xml:space="preserve">, SAP2, molecular docking, phytochemicals, </w:t>
      </w:r>
      <w:r w:rsidR="003039F0" w:rsidRPr="003039F0">
        <w:rPr>
          <w:rFonts w:ascii="Arial" w:hAnsi="Arial" w:cs="Arial"/>
          <w:i/>
          <w:iCs/>
        </w:rPr>
        <w:t>Curcuma longa</w:t>
      </w:r>
      <w:r w:rsidR="003039F0" w:rsidRPr="003039F0">
        <w:rPr>
          <w:rFonts w:ascii="Arial" w:hAnsi="Arial" w:cs="Arial"/>
          <w:i/>
        </w:rPr>
        <w:t xml:space="preserve">, antifungal agents </w:t>
      </w:r>
    </w:p>
    <w:p w14:paraId="3E1D02DB" w14:textId="77777777" w:rsidR="006D75FF" w:rsidRPr="003039F0" w:rsidRDefault="006D75FF" w:rsidP="00441B6F">
      <w:pPr>
        <w:pStyle w:val="Body"/>
        <w:spacing w:after="0"/>
        <w:rPr>
          <w:rFonts w:ascii="Arial" w:hAnsi="Arial" w:cs="Arial"/>
          <w:i/>
        </w:rPr>
      </w:pPr>
    </w:p>
    <w:p w14:paraId="28C2A631" w14:textId="1106259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E6E7DC4" w14:textId="77777777" w:rsidR="00790ADA" w:rsidRPr="00FB3A86" w:rsidRDefault="00790ADA" w:rsidP="00441B6F">
      <w:pPr>
        <w:pStyle w:val="AbstHead"/>
        <w:spacing w:after="0"/>
        <w:jc w:val="both"/>
        <w:rPr>
          <w:rFonts w:ascii="Arial" w:hAnsi="Arial" w:cs="Arial"/>
        </w:rPr>
      </w:pPr>
    </w:p>
    <w:p w14:paraId="307A6E4F" w14:textId="6FD9FCFA" w:rsidR="003039F0" w:rsidRPr="003039F0" w:rsidRDefault="003039F0" w:rsidP="003039F0">
      <w:pPr>
        <w:pStyle w:val="Body"/>
        <w:spacing w:after="0"/>
        <w:rPr>
          <w:rFonts w:ascii="Arial" w:hAnsi="Arial" w:cs="Arial"/>
        </w:rPr>
      </w:pPr>
      <w:r w:rsidRPr="003039F0">
        <w:rPr>
          <w:rFonts w:ascii="Arial" w:hAnsi="Arial" w:cs="Arial"/>
        </w:rPr>
        <w:t>Fungal infections, particularly those caused by Candida albicans, remain a major global health challenge due to their rising incidence, increasing antifungal resistance, and association with high morbidity and mortality among immunocompromised patients</w:t>
      </w:r>
      <w:r w:rsidR="008F167F" w:rsidRPr="008F167F">
        <w:rPr>
          <w:rFonts w:ascii="Arial" w:hAnsi="Arial" w:cs="Arial"/>
        </w:rPr>
        <w:t>.</w:t>
      </w:r>
      <w:r w:rsidRPr="003039F0">
        <w:rPr>
          <w:rFonts w:ascii="Arial" w:hAnsi="Arial" w:cs="Arial"/>
        </w:rPr>
        <w:t xml:space="preserve"> This opportunistic yeast exhibits morphological plasticity, biofilm formation, and secretion of virulence-associated enzymes, including secreted aspartic proteases (SAPs), which facilitate host tissue invasion and immune evasion. SAP family enzymes, including SAP2, play essential roles in Candida virulence and host-pathogen interactions</w:t>
      </w:r>
      <w:r w:rsidR="008A47AD">
        <w:rPr>
          <w:rFonts w:ascii="Arial" w:hAnsi="Arial" w:cs="Arial"/>
        </w:rPr>
        <w:t xml:space="preserve">. </w:t>
      </w:r>
      <w:r w:rsidRPr="003039F0">
        <w:rPr>
          <w:rFonts w:ascii="Arial" w:hAnsi="Arial" w:cs="Arial"/>
        </w:rPr>
        <w:t xml:space="preserve">Among them, </w:t>
      </w:r>
      <w:r w:rsidRPr="003039F0">
        <w:rPr>
          <w:rFonts w:ascii="Arial" w:hAnsi="Arial" w:cs="Arial"/>
        </w:rPr>
        <w:lastRenderedPageBreak/>
        <w:t>SAP2 is a key isoenzyme involved in host protein degradation and nutrient acquisition, making it a central determinant of pathogenicity</w:t>
      </w:r>
      <w:r w:rsidR="008A47AD" w:rsidRPr="008A47AD">
        <w:rPr>
          <w:rFonts w:ascii="Arial" w:hAnsi="Arial" w:cs="Arial"/>
        </w:rPr>
        <w:t xml:space="preserve">. </w:t>
      </w:r>
      <w:r w:rsidRPr="003039F0">
        <w:rPr>
          <w:rFonts w:ascii="Arial" w:hAnsi="Arial" w:cs="Arial"/>
        </w:rPr>
        <w:t>SAP2 catalyzes peptide bond hydrolysis through a conserved Asp32–Asp218 catalytic dyad, a hallmark feature of fungal aspartic proteases.</w:t>
      </w:r>
    </w:p>
    <w:p w14:paraId="63E6874B" w14:textId="7C13902C" w:rsidR="003039F0" w:rsidRPr="003039F0" w:rsidRDefault="008A47AD" w:rsidP="003039F0">
      <w:pPr>
        <w:pStyle w:val="Body"/>
        <w:rPr>
          <w:rFonts w:ascii="Arial" w:hAnsi="Arial" w:cs="Arial"/>
        </w:rPr>
      </w:pPr>
      <w:r w:rsidRPr="008A47AD">
        <w:rPr>
          <w:rFonts w:ascii="Arial" w:hAnsi="Arial" w:cs="Arial"/>
        </w:rPr>
        <w:t>Given these therapeutic challenges, natural products—particularly phytochemicals derived from medicinal plants—offer a promising resource for antifungal drug discovery due to their structural diversity and favorable safety profiles (</w:t>
      </w:r>
      <w:proofErr w:type="spellStart"/>
      <w:r w:rsidRPr="008A47AD">
        <w:rPr>
          <w:rFonts w:ascii="Arial" w:hAnsi="Arial" w:cs="Arial"/>
        </w:rPr>
        <w:t>Khwaza</w:t>
      </w:r>
      <w:proofErr w:type="spellEnd"/>
      <w:r w:rsidRPr="008A47AD">
        <w:rPr>
          <w:rFonts w:ascii="Arial" w:hAnsi="Arial" w:cs="Arial"/>
        </w:rPr>
        <w:t xml:space="preserve"> &amp; </w:t>
      </w:r>
      <w:proofErr w:type="spellStart"/>
      <w:r w:rsidRPr="008A47AD">
        <w:rPr>
          <w:rFonts w:ascii="Arial" w:hAnsi="Arial" w:cs="Arial"/>
        </w:rPr>
        <w:t>Aderibigbe</w:t>
      </w:r>
      <w:proofErr w:type="spellEnd"/>
      <w:r w:rsidRPr="008A47AD">
        <w:rPr>
          <w:rFonts w:ascii="Arial" w:hAnsi="Arial" w:cs="Arial"/>
        </w:rPr>
        <w:t>, 2023).</w:t>
      </w:r>
      <w:r w:rsidR="003039F0" w:rsidRPr="003039F0">
        <w:rPr>
          <w:rFonts w:ascii="Arial" w:hAnsi="Arial" w:cs="Arial"/>
        </w:rPr>
        <w:t xml:space="preserve"> Recent evidence indicates that terpenoids, alkaloids, and phenolics can inhibit fungal virulence enzymes such as proteases and lipases (</w:t>
      </w:r>
      <w:r w:rsidR="00771EDB" w:rsidRPr="00771EDB">
        <w:rPr>
          <w:rFonts w:ascii="Arial" w:hAnsi="Arial" w:cs="Arial"/>
        </w:rPr>
        <w:t>Zhou et al.</w:t>
      </w:r>
      <w:r w:rsidR="00771EDB">
        <w:rPr>
          <w:rFonts w:ascii="Arial" w:hAnsi="Arial" w:cs="Arial"/>
        </w:rPr>
        <w:t xml:space="preserve">, </w:t>
      </w:r>
      <w:r w:rsidR="00771EDB" w:rsidRPr="00771EDB">
        <w:rPr>
          <w:rFonts w:ascii="Arial" w:hAnsi="Arial" w:cs="Arial"/>
        </w:rPr>
        <w:t>2023</w:t>
      </w:r>
      <w:r w:rsidR="00771EDB">
        <w:rPr>
          <w:rFonts w:ascii="Arial" w:hAnsi="Arial" w:cs="Arial"/>
        </w:rPr>
        <w:t xml:space="preserve">), </w:t>
      </w:r>
      <w:r w:rsidR="003039F0" w:rsidRPr="003039F0">
        <w:rPr>
          <w:rFonts w:ascii="Arial" w:hAnsi="Arial" w:cs="Arial"/>
        </w:rPr>
        <w:t>highlighting the untapped potential of tropical flora, including Indonesia’s rich phytochemical diversity.</w:t>
      </w:r>
    </w:p>
    <w:p w14:paraId="1DE123BC" w14:textId="16AB8FEA" w:rsidR="003039F0" w:rsidRPr="003039F0" w:rsidRDefault="003039F0" w:rsidP="003039F0">
      <w:pPr>
        <w:pStyle w:val="Body"/>
        <w:rPr>
          <w:rFonts w:ascii="Arial" w:hAnsi="Arial" w:cs="Arial"/>
        </w:rPr>
      </w:pPr>
      <w:r w:rsidRPr="003039F0">
        <w:rPr>
          <w:rFonts w:ascii="Arial" w:hAnsi="Arial" w:cs="Arial"/>
        </w:rPr>
        <w:t>Structure-based molecular docking has become an essential tool in early-stage drug discovery, enabling prediction of protein–ligand interactions and estimation of binding affinities before experimental validation</w:t>
      </w:r>
      <w:r w:rsidR="00C6364D" w:rsidRPr="00C6364D">
        <w:rPr>
          <w:rFonts w:ascii="Arial" w:hAnsi="Arial" w:cs="Arial"/>
        </w:rPr>
        <w:t>.</w:t>
      </w:r>
      <w:r w:rsidRPr="003039F0">
        <w:rPr>
          <w:rFonts w:ascii="Arial" w:hAnsi="Arial" w:cs="Arial"/>
        </w:rPr>
        <w:t xml:space="preserve"> Its application to fungal virulence enzymes such as SAP2 facilitates identification of inhibitors that may attenuate pathogenicity, supporting rational antifungal drug design </w:t>
      </w:r>
      <w:r w:rsidR="008F167F" w:rsidRPr="008F167F">
        <w:rPr>
          <w:rFonts w:ascii="Arial" w:hAnsi="Arial" w:cs="Arial"/>
        </w:rPr>
        <w:t>(Li et al., 2020).</w:t>
      </w:r>
      <w:r w:rsidR="00771EDB">
        <w:rPr>
          <w:rFonts w:ascii="Arial" w:hAnsi="Arial" w:cs="Arial"/>
        </w:rPr>
        <w:t xml:space="preserve"> </w:t>
      </w:r>
      <w:r w:rsidRPr="003039F0">
        <w:rPr>
          <w:rFonts w:ascii="Arial" w:hAnsi="Arial" w:cs="Arial"/>
        </w:rPr>
        <w:t>However, most previous docking studies relied on rigid-grid approaches or generic compound libraries, which often yielded low reproducibility and limited biological relevance, underscoring the need for flexible-pocket validation and context-specific screening</w:t>
      </w:r>
      <w:r w:rsidR="004776AE">
        <w:rPr>
          <w:rFonts w:ascii="Arial" w:hAnsi="Arial" w:cs="Arial"/>
        </w:rPr>
        <w:t xml:space="preserve"> [9,10]</w:t>
      </w:r>
      <w:bookmarkStart w:id="0" w:name="_GoBack"/>
      <w:bookmarkEnd w:id="0"/>
      <w:r w:rsidRPr="003039F0">
        <w:rPr>
          <w:rFonts w:ascii="Arial" w:hAnsi="Arial" w:cs="Arial"/>
        </w:rPr>
        <w:t>.</w:t>
      </w:r>
    </w:p>
    <w:p w14:paraId="6124B4D1" w14:textId="77777777" w:rsidR="003039F0" w:rsidRPr="003039F0" w:rsidRDefault="003039F0" w:rsidP="003039F0">
      <w:pPr>
        <w:pStyle w:val="Body"/>
        <w:rPr>
          <w:rFonts w:ascii="Arial" w:hAnsi="Arial" w:cs="Arial"/>
        </w:rPr>
      </w:pPr>
      <w:r w:rsidRPr="003039F0">
        <w:rPr>
          <w:rFonts w:ascii="Arial" w:hAnsi="Arial" w:cs="Arial"/>
        </w:rPr>
        <w:t>While the SAP2 structure (PDB ID: 1EAG) has been used as a reliable docking model in several global studies, its application for regional phytochemical datasets—particularly those derived from Indonesian medicinal plants—remains underexplored. Moreover, prior research rarely included residue-level interaction mapping, which is critical for understanding key binding determinants and optimizing ligand scaffolds. Hence, a clear research gap exists in integrating Indonesian phytochemical diversity with validated flexible-pocket docking and detailed interaction analyses.</w:t>
      </w:r>
    </w:p>
    <w:p w14:paraId="43C604BC" w14:textId="5839A7BE" w:rsidR="00B01FCD" w:rsidRDefault="003039F0" w:rsidP="003039F0">
      <w:pPr>
        <w:pStyle w:val="Body"/>
        <w:spacing w:after="0"/>
        <w:rPr>
          <w:rFonts w:ascii="Arial" w:hAnsi="Arial" w:cs="Arial"/>
        </w:rPr>
      </w:pPr>
      <w:r w:rsidRPr="003039F0">
        <w:rPr>
          <w:rFonts w:ascii="Arial" w:hAnsi="Arial" w:cs="Arial"/>
        </w:rPr>
        <w:t>To address this, the present study performs a structure-based molecular docking and interaction analysis of selected Indonesian phytochemicals targeting the validated active site of SAP2 (PDB ID: 1EAG). The novelty of this work lies in its use of region-specific natural compounds combined with a flexible-pocket docking framework centered on the Asp32–Asp218 catalytic dyad and secondary anchoring residues (Ser282, Leu297, Arg312). Furthermore, five independent docking replicates were conducted to ensure high reproducibility, providing a robust computational foundation for future in vitro and in vivo validation of promising antifungal candidates derived from Indonesian natural products.</w:t>
      </w:r>
    </w:p>
    <w:p w14:paraId="1EB0775E" w14:textId="77777777" w:rsidR="00790ADA" w:rsidRPr="00FB3A86" w:rsidRDefault="00790ADA" w:rsidP="00441B6F">
      <w:pPr>
        <w:pStyle w:val="Body"/>
        <w:spacing w:after="0"/>
        <w:rPr>
          <w:rFonts w:ascii="Arial" w:hAnsi="Arial" w:cs="Arial"/>
        </w:rPr>
      </w:pPr>
    </w:p>
    <w:p w14:paraId="72E0072B" w14:textId="25861A6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BBF3986" w14:textId="77777777" w:rsidR="0003623B" w:rsidRDefault="0003623B" w:rsidP="00441B6F">
      <w:pPr>
        <w:pStyle w:val="AbstHead"/>
        <w:spacing w:after="0"/>
        <w:jc w:val="both"/>
        <w:rPr>
          <w:rFonts w:ascii="Arial" w:hAnsi="Arial" w:cs="Arial"/>
        </w:rPr>
      </w:pPr>
    </w:p>
    <w:p w14:paraId="6327CDFA" w14:textId="121C5303" w:rsidR="00AA74E0" w:rsidRDefault="00AA74E0" w:rsidP="00441B6F">
      <w:pPr>
        <w:pStyle w:val="Body"/>
        <w:spacing w:after="0"/>
        <w:rPr>
          <w:rFonts w:ascii="Arial" w:hAnsi="Arial" w:cs="Arial"/>
        </w:rPr>
      </w:pPr>
      <w:r w:rsidRPr="00C30A0F">
        <w:rPr>
          <w:rFonts w:ascii="Arial" w:hAnsi="Arial" w:cs="Arial"/>
          <w:b/>
          <w:caps/>
          <w:sz w:val="22"/>
        </w:rPr>
        <w:t xml:space="preserve">2.1 </w:t>
      </w:r>
      <w:r w:rsidR="0003623B" w:rsidRPr="0003623B">
        <w:rPr>
          <w:rFonts w:ascii="Arial" w:hAnsi="Arial" w:cs="Arial"/>
          <w:b/>
          <w:sz w:val="22"/>
        </w:rPr>
        <w:t>Study Design</w:t>
      </w:r>
      <w:r w:rsidRPr="00FB3A86">
        <w:rPr>
          <w:rFonts w:ascii="Arial" w:hAnsi="Arial" w:cs="Arial"/>
        </w:rPr>
        <w:t xml:space="preserve"> </w:t>
      </w:r>
    </w:p>
    <w:p w14:paraId="64399DD3" w14:textId="31F9B5D8" w:rsidR="0003623B" w:rsidRPr="0003623B" w:rsidRDefault="0003623B" w:rsidP="0003623B">
      <w:pPr>
        <w:pStyle w:val="Body"/>
        <w:rPr>
          <w:rFonts w:ascii="Arial" w:hAnsi="Arial" w:cs="Arial"/>
        </w:rPr>
      </w:pPr>
      <w:r w:rsidRPr="0003623B">
        <w:rPr>
          <w:rFonts w:ascii="Arial" w:hAnsi="Arial" w:cs="Arial"/>
        </w:rPr>
        <w:t>This study employed a structure-based in silico screening approach to evaluate the inhibitory potential of selected Indonesian phytochemicals against Candida albicans Secreted Aspartic Protease 2 (SAP2; PDB ID: 1EAG). SAP2 was chosen as the molecular target due to its critical role in fungal virulence, mediating host protein degradation and tissue invasion through its conserved Asp32–Asp218 catalytic dyad, which is essential for proteolytic activity</w:t>
      </w:r>
      <w:r w:rsidR="008A47AD">
        <w:rPr>
          <w:rFonts w:ascii="Arial" w:hAnsi="Arial" w:cs="Arial"/>
        </w:rPr>
        <w:t>.</w:t>
      </w:r>
    </w:p>
    <w:p w14:paraId="1168956D" w14:textId="77777777" w:rsidR="0003623B" w:rsidRPr="0003623B" w:rsidRDefault="0003623B" w:rsidP="0003623B">
      <w:pPr>
        <w:pStyle w:val="Body"/>
        <w:rPr>
          <w:rFonts w:ascii="Arial" w:hAnsi="Arial" w:cs="Arial"/>
        </w:rPr>
      </w:pPr>
      <w:r w:rsidRPr="0003623B">
        <w:rPr>
          <w:rFonts w:ascii="Arial" w:hAnsi="Arial" w:cs="Arial"/>
        </w:rPr>
        <w:t>The overall computational workflow consisted of five main stages: (</w:t>
      </w:r>
      <w:proofErr w:type="spellStart"/>
      <w:r w:rsidRPr="0003623B">
        <w:rPr>
          <w:rFonts w:ascii="Arial" w:hAnsi="Arial" w:cs="Arial"/>
        </w:rPr>
        <w:t>i</w:t>
      </w:r>
      <w:proofErr w:type="spellEnd"/>
      <w:r w:rsidRPr="0003623B">
        <w:rPr>
          <w:rFonts w:ascii="Arial" w:hAnsi="Arial" w:cs="Arial"/>
        </w:rPr>
        <w:t xml:space="preserve">) ligand selection and preparation, (ii) receptor preparation, (iii) molecular docking simulations, (iv) interaction analysis, and (v) interpretation of results. </w:t>
      </w:r>
    </w:p>
    <w:p w14:paraId="636B93E6" w14:textId="74392E0B" w:rsidR="0003623B" w:rsidRDefault="0003623B" w:rsidP="0003623B">
      <w:pPr>
        <w:pStyle w:val="Body"/>
        <w:spacing w:after="0"/>
        <w:rPr>
          <w:rFonts w:ascii="Arial" w:hAnsi="Arial" w:cs="Arial"/>
        </w:rPr>
      </w:pPr>
      <w:r w:rsidRPr="0003623B">
        <w:rPr>
          <w:rFonts w:ascii="Arial" w:hAnsi="Arial" w:cs="Arial"/>
        </w:rPr>
        <w:t>All procedures were conducted using validated open-source and proprietary computational tools to ensure reproducibility, accuracy, and methodological consistency throughout the workflow. The flexible-pocket model employed in this work had been previously validated in our earlier study, ensuring a reliable and biologically relevant docking environment for SAP2. Details of the flexible-pocket validation procedure are provided in our previous study (Malau., in press, 2025).</w:t>
      </w:r>
    </w:p>
    <w:p w14:paraId="624608D5" w14:textId="77777777" w:rsidR="0003623B" w:rsidRDefault="0003623B" w:rsidP="00441B6F">
      <w:pPr>
        <w:pStyle w:val="Body"/>
        <w:spacing w:after="0"/>
        <w:rPr>
          <w:rFonts w:ascii="Arial" w:hAnsi="Arial" w:cs="Arial"/>
        </w:rPr>
      </w:pPr>
    </w:p>
    <w:p w14:paraId="436505F0" w14:textId="160A3B5E" w:rsidR="0003623B" w:rsidRPr="0003623B" w:rsidRDefault="0003623B" w:rsidP="00441B6F">
      <w:pPr>
        <w:pStyle w:val="Body"/>
        <w:spacing w:after="0"/>
        <w:rPr>
          <w:rFonts w:ascii="Arial" w:hAnsi="Arial" w:cs="Arial"/>
          <w:b/>
          <w:bCs/>
        </w:rPr>
      </w:pPr>
      <w:r w:rsidRPr="0003623B">
        <w:rPr>
          <w:rFonts w:ascii="Arial" w:hAnsi="Arial" w:cs="Arial"/>
          <w:b/>
          <w:bCs/>
        </w:rPr>
        <w:t>2.2 Ligand Selection and Preparation</w:t>
      </w:r>
    </w:p>
    <w:p w14:paraId="1E87ABF3" w14:textId="29A8B669" w:rsidR="0003623B" w:rsidRPr="0003623B" w:rsidRDefault="0003623B" w:rsidP="0003623B">
      <w:pPr>
        <w:pStyle w:val="Body"/>
        <w:rPr>
          <w:rFonts w:ascii="Arial" w:hAnsi="Arial" w:cs="Arial"/>
        </w:rPr>
      </w:pPr>
      <w:r w:rsidRPr="0003623B">
        <w:rPr>
          <w:rFonts w:ascii="Arial" w:hAnsi="Arial" w:cs="Arial"/>
        </w:rPr>
        <w:t xml:space="preserve">A total of twenty phytochemical compounds were selected from Indonesian medicinal plants based on their reported antifungal or antimicrobial properties. Chemical data and 3D structures were retrieved from the PubChem, ZINC, and </w:t>
      </w:r>
      <w:proofErr w:type="spellStart"/>
      <w:r w:rsidRPr="0003623B">
        <w:rPr>
          <w:rFonts w:ascii="Arial" w:hAnsi="Arial" w:cs="Arial"/>
        </w:rPr>
        <w:t>ChEMBL</w:t>
      </w:r>
      <w:proofErr w:type="spellEnd"/>
      <w:r w:rsidRPr="0003623B">
        <w:rPr>
          <w:rFonts w:ascii="Arial" w:hAnsi="Arial" w:cs="Arial"/>
        </w:rPr>
        <w:t xml:space="preserve"> databases.</w:t>
      </w:r>
    </w:p>
    <w:p w14:paraId="55DC5EEB" w14:textId="638E755D" w:rsidR="0003623B" w:rsidRPr="0003623B" w:rsidRDefault="0003623B" w:rsidP="0003623B">
      <w:pPr>
        <w:pStyle w:val="Body"/>
        <w:rPr>
          <w:rFonts w:ascii="Arial" w:hAnsi="Arial" w:cs="Arial"/>
        </w:rPr>
      </w:pPr>
      <w:r w:rsidRPr="0003623B">
        <w:rPr>
          <w:rFonts w:ascii="Arial" w:hAnsi="Arial" w:cs="Arial"/>
        </w:rPr>
        <w:t xml:space="preserve">The ligands included gingerol derivatives (6-, 8-, and 10-gingerol) and 6-shogaol from red ginger (Zingiber officinale var. rubrum); </w:t>
      </w:r>
      <w:proofErr w:type="spellStart"/>
      <w:r w:rsidRPr="0003623B">
        <w:rPr>
          <w:rFonts w:ascii="Arial" w:hAnsi="Arial" w:cs="Arial"/>
        </w:rPr>
        <w:t>xanthorrhizol</w:t>
      </w:r>
      <w:proofErr w:type="spellEnd"/>
      <w:r w:rsidRPr="0003623B">
        <w:rPr>
          <w:rFonts w:ascii="Arial" w:hAnsi="Arial" w:cs="Arial"/>
        </w:rPr>
        <w:t xml:space="preserve">, </w:t>
      </w:r>
      <w:proofErr w:type="spellStart"/>
      <w:r w:rsidRPr="0003623B">
        <w:rPr>
          <w:rFonts w:ascii="Arial" w:hAnsi="Arial" w:cs="Arial"/>
        </w:rPr>
        <w:t>germacrone</w:t>
      </w:r>
      <w:proofErr w:type="spellEnd"/>
      <w:r w:rsidRPr="0003623B">
        <w:rPr>
          <w:rFonts w:ascii="Arial" w:hAnsi="Arial" w:cs="Arial"/>
        </w:rPr>
        <w:t xml:space="preserve">, </w:t>
      </w:r>
      <w:proofErr w:type="spellStart"/>
      <w:r w:rsidRPr="0003623B">
        <w:rPr>
          <w:rFonts w:ascii="Arial" w:hAnsi="Arial" w:cs="Arial"/>
        </w:rPr>
        <w:t>curdione</w:t>
      </w:r>
      <w:proofErr w:type="spellEnd"/>
      <w:r w:rsidRPr="0003623B">
        <w:rPr>
          <w:rFonts w:ascii="Arial" w:hAnsi="Arial" w:cs="Arial"/>
        </w:rPr>
        <w:t xml:space="preserve">, and </w:t>
      </w:r>
      <w:proofErr w:type="spellStart"/>
      <w:r w:rsidRPr="0003623B">
        <w:rPr>
          <w:rFonts w:ascii="Arial" w:hAnsi="Arial" w:cs="Arial"/>
        </w:rPr>
        <w:t>ar</w:t>
      </w:r>
      <w:proofErr w:type="spellEnd"/>
      <w:r w:rsidRPr="0003623B">
        <w:rPr>
          <w:rFonts w:ascii="Arial" w:hAnsi="Arial" w:cs="Arial"/>
        </w:rPr>
        <w:t xml:space="preserve">-turmerone from Curcuma </w:t>
      </w:r>
      <w:proofErr w:type="spellStart"/>
      <w:r w:rsidRPr="0003623B">
        <w:rPr>
          <w:rFonts w:ascii="Arial" w:hAnsi="Arial" w:cs="Arial"/>
        </w:rPr>
        <w:t>xanthorrhiza</w:t>
      </w:r>
      <w:proofErr w:type="spellEnd"/>
      <w:r w:rsidRPr="0003623B">
        <w:rPr>
          <w:rFonts w:ascii="Arial" w:hAnsi="Arial" w:cs="Arial"/>
        </w:rPr>
        <w:t xml:space="preserve"> and Curcuma aeruginosa; and </w:t>
      </w:r>
      <w:proofErr w:type="spellStart"/>
      <w:r w:rsidRPr="0003623B">
        <w:rPr>
          <w:rFonts w:ascii="Arial" w:hAnsi="Arial" w:cs="Arial"/>
        </w:rPr>
        <w:t>citral</w:t>
      </w:r>
      <w:proofErr w:type="spellEnd"/>
      <w:r w:rsidRPr="0003623B">
        <w:rPr>
          <w:rFonts w:ascii="Arial" w:hAnsi="Arial" w:cs="Arial"/>
        </w:rPr>
        <w:t xml:space="preserve"> (geranial and </w:t>
      </w:r>
      <w:proofErr w:type="spellStart"/>
      <w:r w:rsidRPr="0003623B">
        <w:rPr>
          <w:rFonts w:ascii="Arial" w:hAnsi="Arial" w:cs="Arial"/>
        </w:rPr>
        <w:t>neral</w:t>
      </w:r>
      <w:proofErr w:type="spellEnd"/>
      <w:r w:rsidRPr="0003623B">
        <w:rPr>
          <w:rFonts w:ascii="Arial" w:hAnsi="Arial" w:cs="Arial"/>
        </w:rPr>
        <w:t xml:space="preserve">), geraniol, and terpineol from lemongrass (Cymbopogon </w:t>
      </w:r>
      <w:proofErr w:type="spellStart"/>
      <w:r w:rsidRPr="0003623B">
        <w:rPr>
          <w:rFonts w:ascii="Arial" w:hAnsi="Arial" w:cs="Arial"/>
        </w:rPr>
        <w:t>citratus</w:t>
      </w:r>
      <w:proofErr w:type="spellEnd"/>
      <w:r w:rsidRPr="0003623B">
        <w:rPr>
          <w:rFonts w:ascii="Arial" w:hAnsi="Arial" w:cs="Arial"/>
        </w:rPr>
        <w:t xml:space="preserve">). Additionally, curcumin, </w:t>
      </w:r>
      <w:proofErr w:type="spellStart"/>
      <w:r w:rsidRPr="0003623B">
        <w:rPr>
          <w:rFonts w:ascii="Arial" w:hAnsi="Arial" w:cs="Arial"/>
        </w:rPr>
        <w:t>demethoxycurcumin</w:t>
      </w:r>
      <w:proofErr w:type="spellEnd"/>
      <w:r w:rsidRPr="0003623B">
        <w:rPr>
          <w:rFonts w:ascii="Arial" w:hAnsi="Arial" w:cs="Arial"/>
        </w:rPr>
        <w:t xml:space="preserve">, and bisdemethoxycurcumin from Curcuma longa, as well as eugenol from </w:t>
      </w:r>
      <w:proofErr w:type="spellStart"/>
      <w:r w:rsidRPr="0003623B">
        <w:rPr>
          <w:rFonts w:ascii="Arial" w:hAnsi="Arial" w:cs="Arial"/>
        </w:rPr>
        <w:t>Syzygium</w:t>
      </w:r>
      <w:proofErr w:type="spellEnd"/>
      <w:r w:rsidRPr="0003623B">
        <w:rPr>
          <w:rFonts w:ascii="Arial" w:hAnsi="Arial" w:cs="Arial"/>
        </w:rPr>
        <w:t xml:space="preserve"> </w:t>
      </w:r>
      <w:proofErr w:type="spellStart"/>
      <w:r w:rsidRPr="0003623B">
        <w:rPr>
          <w:rFonts w:ascii="Arial" w:hAnsi="Arial" w:cs="Arial"/>
        </w:rPr>
        <w:t>aromaticum</w:t>
      </w:r>
      <w:proofErr w:type="spellEnd"/>
      <w:r w:rsidRPr="0003623B">
        <w:rPr>
          <w:rFonts w:ascii="Arial" w:hAnsi="Arial" w:cs="Arial"/>
        </w:rPr>
        <w:t xml:space="preserve"> and cinnamaldehyde from </w:t>
      </w:r>
      <w:proofErr w:type="spellStart"/>
      <w:r w:rsidRPr="0003623B">
        <w:rPr>
          <w:rFonts w:ascii="Arial" w:hAnsi="Arial" w:cs="Arial"/>
        </w:rPr>
        <w:t>Cinnamomum</w:t>
      </w:r>
      <w:proofErr w:type="spellEnd"/>
      <w:r w:rsidRPr="0003623B">
        <w:rPr>
          <w:rFonts w:ascii="Arial" w:hAnsi="Arial" w:cs="Arial"/>
        </w:rPr>
        <w:t xml:space="preserve"> </w:t>
      </w:r>
      <w:proofErr w:type="spellStart"/>
      <w:r w:rsidRPr="0003623B">
        <w:rPr>
          <w:rFonts w:ascii="Arial" w:hAnsi="Arial" w:cs="Arial"/>
        </w:rPr>
        <w:t>burmannii</w:t>
      </w:r>
      <w:proofErr w:type="spellEnd"/>
      <w:r w:rsidRPr="0003623B">
        <w:rPr>
          <w:rFonts w:ascii="Arial" w:hAnsi="Arial" w:cs="Arial"/>
        </w:rPr>
        <w:t>, were included as reference antifungal compounds (</w:t>
      </w:r>
      <w:r w:rsidR="008164F7">
        <w:rPr>
          <w:rFonts w:ascii="Arial" w:hAnsi="Arial" w:cs="Arial"/>
        </w:rPr>
        <w:t>Nisar</w:t>
      </w:r>
      <w:r w:rsidRPr="0003623B">
        <w:rPr>
          <w:rFonts w:ascii="Arial" w:hAnsi="Arial" w:cs="Arial"/>
        </w:rPr>
        <w:t xml:space="preserve"> et al., 2021).</w:t>
      </w:r>
    </w:p>
    <w:p w14:paraId="02324ED1" w14:textId="77777777" w:rsidR="0003623B" w:rsidRPr="0003623B" w:rsidRDefault="0003623B" w:rsidP="0003623B">
      <w:pPr>
        <w:pStyle w:val="Body"/>
        <w:rPr>
          <w:rFonts w:ascii="Arial" w:hAnsi="Arial" w:cs="Arial"/>
        </w:rPr>
      </w:pPr>
      <w:r w:rsidRPr="0003623B">
        <w:rPr>
          <w:rFonts w:ascii="Arial" w:hAnsi="Arial" w:cs="Arial"/>
        </w:rPr>
        <w:t xml:space="preserve">Ligand structures were downloaded in SDF format, converted into PDB, and subsequently prepared as PDBQT files using </w:t>
      </w:r>
      <w:proofErr w:type="spellStart"/>
      <w:r w:rsidRPr="0003623B">
        <w:rPr>
          <w:rFonts w:ascii="Arial" w:hAnsi="Arial" w:cs="Arial"/>
        </w:rPr>
        <w:t>ADFRsuite</w:t>
      </w:r>
      <w:proofErr w:type="spellEnd"/>
      <w:r w:rsidRPr="0003623B">
        <w:rPr>
          <w:rFonts w:ascii="Arial" w:hAnsi="Arial" w:cs="Arial"/>
        </w:rPr>
        <w:t xml:space="preserve"> 1.0 (</w:t>
      </w:r>
      <w:proofErr w:type="spellStart"/>
      <w:r w:rsidRPr="0003623B">
        <w:rPr>
          <w:rFonts w:ascii="Arial" w:hAnsi="Arial" w:cs="Arial"/>
        </w:rPr>
        <w:t>AutoDockToolsFR</w:t>
      </w:r>
      <w:proofErr w:type="spellEnd"/>
      <w:r w:rsidRPr="0003623B">
        <w:rPr>
          <w:rFonts w:ascii="Arial" w:hAnsi="Arial" w:cs="Arial"/>
        </w:rPr>
        <w:t xml:space="preserve">). Each ligand was assigned Gasteiger partial charges, hydrogen bond donors and acceptors were defined, and all rotatable bonds were specified according to </w:t>
      </w:r>
      <w:proofErr w:type="spellStart"/>
      <w:r w:rsidRPr="0003623B">
        <w:rPr>
          <w:rFonts w:ascii="Arial" w:hAnsi="Arial" w:cs="Arial"/>
        </w:rPr>
        <w:t>AutoDock</w:t>
      </w:r>
      <w:proofErr w:type="spellEnd"/>
      <w:r w:rsidRPr="0003623B">
        <w:rPr>
          <w:rFonts w:ascii="Arial" w:hAnsi="Arial" w:cs="Arial"/>
        </w:rPr>
        <w:t xml:space="preserve"> Vina requirements.</w:t>
      </w:r>
    </w:p>
    <w:p w14:paraId="213205CC" w14:textId="5F065B8D" w:rsidR="0003623B" w:rsidRDefault="0003623B" w:rsidP="0003623B">
      <w:pPr>
        <w:pStyle w:val="Body"/>
        <w:spacing w:after="0"/>
        <w:rPr>
          <w:rFonts w:ascii="Arial" w:hAnsi="Arial" w:cs="Arial"/>
        </w:rPr>
      </w:pPr>
      <w:r w:rsidRPr="0003623B">
        <w:rPr>
          <w:rFonts w:ascii="Arial" w:hAnsi="Arial" w:cs="Arial"/>
        </w:rPr>
        <w:lastRenderedPageBreak/>
        <w:t xml:space="preserve">No additional energy minimization was performed, as the ligand geometries were pre-optimized in the database and suitable for docking. All structures were visually inspected using </w:t>
      </w:r>
      <w:proofErr w:type="spellStart"/>
      <w:r w:rsidRPr="0003623B">
        <w:rPr>
          <w:rFonts w:ascii="Arial" w:hAnsi="Arial" w:cs="Arial"/>
        </w:rPr>
        <w:t>PyMOL</w:t>
      </w:r>
      <w:proofErr w:type="spellEnd"/>
      <w:r w:rsidRPr="0003623B">
        <w:rPr>
          <w:rFonts w:ascii="Arial" w:hAnsi="Arial" w:cs="Arial"/>
        </w:rPr>
        <w:t xml:space="preserve"> v2.5 to verify valence integrity, atom connectivity, and completeness of hydrogen atoms. This compound selection reflects the chemical diversity of Indonesian phytochemicals with known antifungal or antimicrobial activity.</w:t>
      </w:r>
    </w:p>
    <w:p w14:paraId="10B68386" w14:textId="77777777" w:rsidR="0003623B" w:rsidRDefault="0003623B" w:rsidP="00441B6F">
      <w:pPr>
        <w:pStyle w:val="Body"/>
        <w:spacing w:after="0"/>
        <w:rPr>
          <w:rFonts w:ascii="Arial" w:hAnsi="Arial" w:cs="Arial"/>
        </w:rPr>
      </w:pPr>
    </w:p>
    <w:p w14:paraId="26264408" w14:textId="30528C06" w:rsidR="0003623B" w:rsidRPr="0003623B" w:rsidRDefault="0003623B" w:rsidP="00441B6F">
      <w:pPr>
        <w:pStyle w:val="Body"/>
        <w:spacing w:after="0"/>
        <w:rPr>
          <w:rFonts w:ascii="Arial" w:hAnsi="Arial" w:cs="Arial"/>
          <w:b/>
          <w:bCs/>
        </w:rPr>
      </w:pPr>
      <w:r w:rsidRPr="0003623B">
        <w:rPr>
          <w:rFonts w:ascii="Arial" w:hAnsi="Arial" w:cs="Arial"/>
          <w:b/>
          <w:bCs/>
        </w:rPr>
        <w:t>2.3 Receptor Preparation</w:t>
      </w:r>
    </w:p>
    <w:p w14:paraId="168407CD" w14:textId="77777777" w:rsidR="0003623B" w:rsidRPr="0003623B" w:rsidRDefault="0003623B" w:rsidP="0003623B">
      <w:pPr>
        <w:pStyle w:val="Body"/>
        <w:rPr>
          <w:rFonts w:ascii="Arial" w:hAnsi="Arial" w:cs="Arial"/>
        </w:rPr>
      </w:pPr>
      <w:r w:rsidRPr="0003623B">
        <w:rPr>
          <w:rFonts w:ascii="Arial" w:hAnsi="Arial" w:cs="Arial"/>
        </w:rPr>
        <w:t xml:space="preserve">The crystal structure of SAP2 (PDB ID: 1EAG) was retrieved from the Protein Data Bank (PDB). Non-essential water molecules, co-crystallized ligands, and heteroatoms were removed to obtain a clean receptor model. The receptor was prepared using the prepare_receptor4.py script from </w:t>
      </w:r>
      <w:proofErr w:type="spellStart"/>
      <w:r w:rsidRPr="0003623B">
        <w:rPr>
          <w:rFonts w:ascii="Arial" w:hAnsi="Arial" w:cs="Arial"/>
        </w:rPr>
        <w:t>AutoDockTools</w:t>
      </w:r>
      <w:proofErr w:type="spellEnd"/>
      <w:r w:rsidRPr="0003623B">
        <w:rPr>
          <w:rFonts w:ascii="Arial" w:hAnsi="Arial" w:cs="Arial"/>
        </w:rPr>
        <w:t xml:space="preserve"> (ADT) within </w:t>
      </w:r>
      <w:proofErr w:type="spellStart"/>
      <w:r w:rsidRPr="0003623B">
        <w:rPr>
          <w:rFonts w:ascii="Arial" w:hAnsi="Arial" w:cs="Arial"/>
        </w:rPr>
        <w:t>ADFRsuite</w:t>
      </w:r>
      <w:proofErr w:type="spellEnd"/>
      <w:r w:rsidRPr="0003623B">
        <w:rPr>
          <w:rFonts w:ascii="Arial" w:hAnsi="Arial" w:cs="Arial"/>
        </w:rPr>
        <w:t xml:space="preserve"> 1.0, which added polar hydrogens, assigned Gasteiger charges, and exported the structure in PDBQT format.</w:t>
      </w:r>
    </w:p>
    <w:p w14:paraId="3448E94C" w14:textId="250B2D4F" w:rsidR="0003623B" w:rsidRDefault="0003623B" w:rsidP="00441B6F">
      <w:pPr>
        <w:pStyle w:val="Body"/>
        <w:spacing w:after="0"/>
        <w:rPr>
          <w:rFonts w:ascii="Arial" w:hAnsi="Arial" w:cs="Arial"/>
        </w:rPr>
      </w:pPr>
      <w:r w:rsidRPr="0003623B">
        <w:rPr>
          <w:rFonts w:ascii="Arial" w:hAnsi="Arial" w:cs="Arial"/>
        </w:rPr>
        <w:t>No energy minimization was performed because the crystallographic conformation was already stable and appropriate for docking. The validated flexible-pocket model used in this study was derived from the authors’ previous refinement of the SAP2 active site, which corrected the low RMSD (&gt;4 Å) observed in direct redocking trials. This model focused on the Asp32–Asp218 catalytic dyad and three secondary anchoring residues (Ser282, Leu297, and Arg312), identified as essential for ligand stabilization near the catalytic cleft. This refined pocket provided an accurate representation of the catalytic groove geometry, enabling reliable and reproducible docking outcomes.</w:t>
      </w:r>
    </w:p>
    <w:p w14:paraId="763023BB" w14:textId="5EFBEA34" w:rsidR="0003623B" w:rsidRPr="0003623B" w:rsidRDefault="0003623B" w:rsidP="00441B6F">
      <w:pPr>
        <w:pStyle w:val="Body"/>
        <w:spacing w:after="0"/>
        <w:rPr>
          <w:rFonts w:ascii="Arial" w:hAnsi="Arial" w:cs="Arial"/>
          <w:b/>
          <w:bCs/>
        </w:rPr>
      </w:pPr>
      <w:r w:rsidRPr="0003623B">
        <w:rPr>
          <w:rFonts w:ascii="Arial" w:hAnsi="Arial" w:cs="Arial"/>
          <w:b/>
          <w:bCs/>
        </w:rPr>
        <w:t>2.4 Molecular Docking Procedure</w:t>
      </w:r>
    </w:p>
    <w:p w14:paraId="4768D5FB" w14:textId="1D309A84" w:rsidR="0003623B" w:rsidRPr="0003623B" w:rsidRDefault="0003623B" w:rsidP="0003623B">
      <w:pPr>
        <w:pStyle w:val="Body"/>
        <w:rPr>
          <w:rFonts w:ascii="Arial" w:hAnsi="Arial" w:cs="Arial"/>
        </w:rPr>
      </w:pPr>
      <w:r w:rsidRPr="0003623B">
        <w:rPr>
          <w:rFonts w:ascii="Arial" w:hAnsi="Arial" w:cs="Arial"/>
        </w:rPr>
        <w:t xml:space="preserve">Docking simulations were carried out using </w:t>
      </w:r>
      <w:proofErr w:type="spellStart"/>
      <w:r w:rsidRPr="0003623B">
        <w:rPr>
          <w:rFonts w:ascii="Arial" w:hAnsi="Arial" w:cs="Arial"/>
        </w:rPr>
        <w:t>AutoDock</w:t>
      </w:r>
      <w:proofErr w:type="spellEnd"/>
      <w:r w:rsidRPr="0003623B">
        <w:rPr>
          <w:rFonts w:ascii="Arial" w:hAnsi="Arial" w:cs="Arial"/>
        </w:rPr>
        <w:t xml:space="preserve"> Vina (version 1.2.3) executed via command-line interface. Each ligand was docked into the validated flexible pocket of SAP2 using standardized grid parameters. The docking grid was centered at coordinates x = 45.6, y = 12.8, z = 28.9, with a box size of 22 × 22 × 22 Å³, fully encompassing the catalytic dyad and its adjacent residues.</w:t>
      </w:r>
      <w:r>
        <w:rPr>
          <w:rFonts w:ascii="Arial" w:hAnsi="Arial" w:cs="Arial"/>
        </w:rPr>
        <w:t xml:space="preserve"> </w:t>
      </w:r>
      <w:r w:rsidRPr="0003623B">
        <w:rPr>
          <w:rFonts w:ascii="Arial" w:hAnsi="Arial" w:cs="Arial"/>
        </w:rPr>
        <w:t>Each docking experiment was independently repeated five times to ensure statistical reproducibility and minimize random variation in binding orientations.</w:t>
      </w:r>
    </w:p>
    <w:p w14:paraId="75956A34" w14:textId="1BE5E00B" w:rsidR="0003623B" w:rsidRDefault="0003623B" w:rsidP="0003623B">
      <w:pPr>
        <w:pStyle w:val="Body"/>
        <w:spacing w:after="0"/>
        <w:rPr>
          <w:rFonts w:ascii="Arial" w:hAnsi="Arial" w:cs="Arial"/>
        </w:rPr>
      </w:pPr>
      <w:r w:rsidRPr="0003623B">
        <w:rPr>
          <w:rFonts w:ascii="Arial" w:hAnsi="Arial" w:cs="Arial"/>
        </w:rPr>
        <w:t>For each run, the binding free energy (ΔG, kcal mol</w:t>
      </w:r>
      <w:r w:rsidRPr="0003623B">
        <w:rPr>
          <w:rFonts w:ascii="Cambria Math" w:hAnsi="Cambria Math" w:cs="Cambria Math"/>
        </w:rPr>
        <w:t>⁻</w:t>
      </w:r>
      <w:r w:rsidRPr="0003623B">
        <w:rPr>
          <w:rFonts w:ascii="Arial" w:hAnsi="Arial" w:cs="Arial"/>
        </w:rPr>
        <w:t>¹) was recorded, and the lowest-energy conformation was considered the most stable binding mode. The mean ΔG ± SD values were calculated from five independent runs for each ligand. To verify pose consistency, convergence was confirmed when the top-ranked docking poses across replicates exhibited RMSD values ≤ 2.0 Å. The five ligands with the strongest mean ΔG values were selected for further interaction profiling and structural analysis.</w:t>
      </w:r>
    </w:p>
    <w:p w14:paraId="1020A23A" w14:textId="77777777" w:rsidR="0003623B" w:rsidRDefault="0003623B" w:rsidP="00441B6F">
      <w:pPr>
        <w:pStyle w:val="Body"/>
        <w:spacing w:after="0"/>
        <w:rPr>
          <w:rFonts w:ascii="Arial" w:hAnsi="Arial" w:cs="Arial"/>
        </w:rPr>
      </w:pPr>
    </w:p>
    <w:p w14:paraId="3C72D50C" w14:textId="17020B7F" w:rsidR="0003623B" w:rsidRPr="0003623B" w:rsidRDefault="0003623B" w:rsidP="00441B6F">
      <w:pPr>
        <w:pStyle w:val="Body"/>
        <w:spacing w:after="0"/>
        <w:rPr>
          <w:rFonts w:ascii="Arial" w:hAnsi="Arial" w:cs="Arial"/>
          <w:b/>
          <w:bCs/>
        </w:rPr>
      </w:pPr>
      <w:r w:rsidRPr="0003623B">
        <w:rPr>
          <w:rFonts w:ascii="Arial" w:hAnsi="Arial" w:cs="Arial"/>
          <w:b/>
          <w:bCs/>
        </w:rPr>
        <w:t>2.5 Interaction Analysis and Visualization</w:t>
      </w:r>
    </w:p>
    <w:p w14:paraId="5673BE0D" w14:textId="36D426DE" w:rsidR="0003623B" w:rsidRPr="0003623B" w:rsidRDefault="0003623B" w:rsidP="0003623B">
      <w:pPr>
        <w:pStyle w:val="Body"/>
        <w:rPr>
          <w:rFonts w:ascii="Arial" w:hAnsi="Arial" w:cs="Arial"/>
        </w:rPr>
      </w:pPr>
      <w:r w:rsidRPr="0003623B">
        <w:rPr>
          <w:rFonts w:ascii="Arial" w:hAnsi="Arial" w:cs="Arial"/>
        </w:rPr>
        <w:t xml:space="preserve">The resulting receptor–ligand complexes were analyzed using </w:t>
      </w:r>
      <w:proofErr w:type="spellStart"/>
      <w:r w:rsidRPr="0003623B">
        <w:rPr>
          <w:rFonts w:ascii="Arial" w:hAnsi="Arial" w:cs="Arial"/>
        </w:rPr>
        <w:t>PyMOL</w:t>
      </w:r>
      <w:proofErr w:type="spellEnd"/>
      <w:r w:rsidRPr="0003623B">
        <w:rPr>
          <w:rFonts w:ascii="Arial" w:hAnsi="Arial" w:cs="Arial"/>
        </w:rPr>
        <w:t xml:space="preserve"> v2.5 and BIOVIA Discovery Studio Visualizer 2021 to assess ligand orientation, conformational stability, and residue-level interactions within the SAP2 active site. Hydrogen bonds were considered significant when the donor–acceptor distance was ≤ 3.5 Å, while hydrophobic and π-type interactions (π–π stacking and π–alkyl) were identified through 2D interaction mapping in Discovery Studio and confirmed by distance measurements in </w:t>
      </w:r>
      <w:proofErr w:type="spellStart"/>
      <w:r w:rsidRPr="0003623B">
        <w:rPr>
          <w:rFonts w:ascii="Arial" w:hAnsi="Arial" w:cs="Arial"/>
        </w:rPr>
        <w:t>PyMOL</w:t>
      </w:r>
      <w:proofErr w:type="spellEnd"/>
      <w:r w:rsidRPr="0003623B">
        <w:rPr>
          <w:rFonts w:ascii="Arial" w:hAnsi="Arial" w:cs="Arial"/>
        </w:rPr>
        <w:t>.</w:t>
      </w:r>
      <w:r>
        <w:rPr>
          <w:rFonts w:ascii="Arial" w:hAnsi="Arial" w:cs="Arial"/>
        </w:rPr>
        <w:t xml:space="preserve"> </w:t>
      </w:r>
      <w:r w:rsidRPr="0003623B">
        <w:rPr>
          <w:rFonts w:ascii="Arial" w:hAnsi="Arial" w:cs="Arial"/>
        </w:rPr>
        <w:t>This dual-software approach ensured accurate residue contact identification and enhanced the reliability of interaction interpretation.</w:t>
      </w:r>
    </w:p>
    <w:p w14:paraId="7D1B71FB" w14:textId="742D2484" w:rsidR="0003623B" w:rsidRDefault="0003623B" w:rsidP="0003623B">
      <w:pPr>
        <w:pStyle w:val="Body"/>
        <w:spacing w:after="0"/>
        <w:rPr>
          <w:rFonts w:ascii="Arial" w:hAnsi="Arial" w:cs="Arial"/>
        </w:rPr>
      </w:pPr>
      <w:r w:rsidRPr="0003623B">
        <w:rPr>
          <w:rFonts w:ascii="Arial" w:hAnsi="Arial" w:cs="Arial"/>
        </w:rPr>
        <w:t xml:space="preserve">The lowest-energy pose (most negative ΔG) of each ligand was visualized in both 2D and 3D to highlight hydrogen-bonding networks and hydrophobic contacts within the Asp32–Asp218 catalytic dyad and its secondary anchoring residues (Ser282, Leu297, Arg312). All docking parameters, input files, and output data were systematically archived to guarantee reproducibility, transparency, and traceability of the computational workflow. All 2D interaction maps and 3D visualizations were exported at 600 dpi resolution for publication-quality representation. All analyses were performed on a Windows 11 x64 workstation using </w:t>
      </w:r>
      <w:proofErr w:type="spellStart"/>
      <w:r w:rsidRPr="0003623B">
        <w:rPr>
          <w:rFonts w:ascii="Arial" w:hAnsi="Arial" w:cs="Arial"/>
        </w:rPr>
        <w:t>AutoDock</w:t>
      </w:r>
      <w:proofErr w:type="spellEnd"/>
      <w:r w:rsidRPr="0003623B">
        <w:rPr>
          <w:rFonts w:ascii="Arial" w:hAnsi="Arial" w:cs="Arial"/>
        </w:rPr>
        <w:t xml:space="preserve"> Vina </w:t>
      </w:r>
      <w:r w:rsidR="00EB6B89" w:rsidRPr="00EB6B89">
        <w:rPr>
          <w:rFonts w:ascii="Arial" w:hAnsi="Arial" w:cs="Arial"/>
        </w:rPr>
        <w:t>(version 1.2.3</w:t>
      </w:r>
      <w:proofErr w:type="gramStart"/>
      <w:r w:rsidR="00EB6B89" w:rsidRPr="00EB6B89">
        <w:rPr>
          <w:rFonts w:ascii="Arial" w:hAnsi="Arial" w:cs="Arial"/>
        </w:rPr>
        <w:t>) </w:t>
      </w:r>
      <w:r w:rsidRPr="0003623B">
        <w:rPr>
          <w:rFonts w:ascii="Arial" w:hAnsi="Arial" w:cs="Arial"/>
        </w:rPr>
        <w:t>,</w:t>
      </w:r>
      <w:proofErr w:type="gramEnd"/>
      <w:r w:rsidRPr="0003623B">
        <w:rPr>
          <w:rFonts w:ascii="Arial" w:hAnsi="Arial" w:cs="Arial"/>
        </w:rPr>
        <w:t xml:space="preserve"> </w:t>
      </w:r>
      <w:proofErr w:type="spellStart"/>
      <w:r w:rsidRPr="0003623B">
        <w:rPr>
          <w:rFonts w:ascii="Arial" w:hAnsi="Arial" w:cs="Arial"/>
        </w:rPr>
        <w:t>PyMOL</w:t>
      </w:r>
      <w:proofErr w:type="spellEnd"/>
      <w:r w:rsidRPr="0003623B">
        <w:rPr>
          <w:rFonts w:ascii="Arial" w:hAnsi="Arial" w:cs="Arial"/>
        </w:rPr>
        <w:t xml:space="preserve"> 2.5.0, and BIOVIA Discovery Studio Visualizer 2021.</w:t>
      </w:r>
    </w:p>
    <w:p w14:paraId="5DCB90AF" w14:textId="77777777" w:rsidR="00790ADA" w:rsidRPr="00FB3A86" w:rsidRDefault="00790ADA" w:rsidP="00441B6F">
      <w:pPr>
        <w:pStyle w:val="Body"/>
        <w:spacing w:after="0"/>
        <w:rPr>
          <w:rFonts w:ascii="Arial" w:hAnsi="Arial" w:cs="Arial"/>
        </w:rPr>
      </w:pPr>
    </w:p>
    <w:p w14:paraId="657A78B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6750674" w14:textId="77777777" w:rsidR="00790ADA" w:rsidRDefault="00790ADA" w:rsidP="00441B6F">
      <w:pPr>
        <w:pStyle w:val="Head1"/>
        <w:spacing w:after="0"/>
        <w:jc w:val="both"/>
        <w:rPr>
          <w:rFonts w:ascii="Arial" w:hAnsi="Arial" w:cs="Arial"/>
        </w:rPr>
      </w:pPr>
    </w:p>
    <w:p w14:paraId="459D3B2A" w14:textId="3A638577" w:rsidR="0003623B" w:rsidRPr="0003623B" w:rsidRDefault="00765998" w:rsidP="00441B6F">
      <w:pPr>
        <w:pStyle w:val="Head1"/>
        <w:spacing w:after="0"/>
        <w:jc w:val="both"/>
        <w:rPr>
          <w:rFonts w:ascii="Arial" w:hAnsi="Arial" w:cs="Arial"/>
          <w:sz w:val="20"/>
        </w:rPr>
      </w:pPr>
      <w:r>
        <w:rPr>
          <w:rFonts w:ascii="Arial" w:hAnsi="Arial" w:cs="Arial"/>
          <w:caps w:val="0"/>
          <w:sz w:val="20"/>
        </w:rPr>
        <w:t xml:space="preserve">3.1 </w:t>
      </w:r>
      <w:r w:rsidRPr="00765998">
        <w:rPr>
          <w:rFonts w:ascii="Arial" w:hAnsi="Arial" w:cs="Arial"/>
          <w:caps w:val="0"/>
          <w:sz w:val="20"/>
        </w:rPr>
        <w:t>Reproducibility and Binding Energy Overview</w:t>
      </w:r>
      <w:r w:rsidR="0003623B" w:rsidRPr="0003623B">
        <w:rPr>
          <w:rFonts w:ascii="Arial" w:hAnsi="Arial" w:cs="Arial"/>
          <w:caps w:val="0"/>
          <w:sz w:val="20"/>
        </w:rPr>
        <w:t xml:space="preserve"> </w:t>
      </w:r>
    </w:p>
    <w:p w14:paraId="7F606900" w14:textId="77777777" w:rsidR="00114E8D" w:rsidRDefault="00114E8D" w:rsidP="00441B6F">
      <w:pPr>
        <w:pStyle w:val="Body"/>
        <w:spacing w:after="0"/>
        <w:rPr>
          <w:rFonts w:ascii="Arial" w:hAnsi="Arial" w:cs="Arial"/>
        </w:rPr>
      </w:pPr>
    </w:p>
    <w:p w14:paraId="040DC945" w14:textId="143EB762" w:rsidR="00114E8D" w:rsidRPr="00114E8D" w:rsidRDefault="00114E8D" w:rsidP="00114E8D">
      <w:pPr>
        <w:pStyle w:val="Body"/>
        <w:rPr>
          <w:rFonts w:ascii="Arial" w:hAnsi="Arial" w:cs="Arial"/>
        </w:rPr>
      </w:pPr>
      <w:r w:rsidRPr="00114E8D">
        <w:rPr>
          <w:rFonts w:ascii="Arial" w:hAnsi="Arial" w:cs="Arial"/>
        </w:rPr>
        <w:t xml:space="preserve">All twenty phytochemicals were successfully docked into the validated flexible pocket of Candida albicans Secreted Aspartic Protease 2 (SAP2; PDB ID: 1EAG) using </w:t>
      </w:r>
      <w:proofErr w:type="spellStart"/>
      <w:r w:rsidRPr="00114E8D">
        <w:rPr>
          <w:rFonts w:ascii="Arial" w:hAnsi="Arial" w:cs="Arial"/>
        </w:rPr>
        <w:t>AutoDock</w:t>
      </w:r>
      <w:proofErr w:type="spellEnd"/>
      <w:r w:rsidRPr="00114E8D">
        <w:rPr>
          <w:rFonts w:ascii="Arial" w:hAnsi="Arial" w:cs="Arial"/>
        </w:rPr>
        <w:t xml:space="preserve"> Vina</w:t>
      </w:r>
      <w:r w:rsidR="00696512">
        <w:rPr>
          <w:rFonts w:ascii="Arial" w:hAnsi="Arial" w:cs="Arial"/>
        </w:rPr>
        <w:t xml:space="preserve"> (</w:t>
      </w:r>
      <w:r w:rsidR="00696512" w:rsidRPr="00696512">
        <w:rPr>
          <w:rFonts w:ascii="Arial" w:hAnsi="Arial" w:cs="Arial"/>
        </w:rPr>
        <w:t>Trott &amp; Olson, 2010)</w:t>
      </w:r>
      <w:r w:rsidRPr="00114E8D">
        <w:rPr>
          <w:rFonts w:ascii="Arial" w:hAnsi="Arial" w:cs="Arial"/>
        </w:rPr>
        <w:t>. Each simulation was independently repeated five times to ensure statistical reliability and eliminate stochastic bias</w:t>
      </w:r>
      <w:r w:rsidR="00696512">
        <w:rPr>
          <w:rFonts w:ascii="Arial" w:hAnsi="Arial" w:cs="Arial"/>
        </w:rPr>
        <w:t xml:space="preserve"> (</w:t>
      </w:r>
      <w:r w:rsidR="00696512" w:rsidRPr="00696512">
        <w:rPr>
          <w:rFonts w:ascii="Arial" w:hAnsi="Arial" w:cs="Arial"/>
        </w:rPr>
        <w:t>Forli</w:t>
      </w:r>
      <w:r w:rsidR="00696512">
        <w:rPr>
          <w:rFonts w:ascii="Arial" w:hAnsi="Arial" w:cs="Arial"/>
        </w:rPr>
        <w:t xml:space="preserve"> </w:t>
      </w:r>
      <w:r w:rsidR="00696512" w:rsidRPr="00696512">
        <w:rPr>
          <w:rFonts w:ascii="Arial" w:hAnsi="Arial" w:cs="Arial"/>
        </w:rPr>
        <w:t>et al.</w:t>
      </w:r>
      <w:r w:rsidR="00696512">
        <w:rPr>
          <w:rFonts w:ascii="Arial" w:hAnsi="Arial" w:cs="Arial"/>
        </w:rPr>
        <w:t xml:space="preserve">, </w:t>
      </w:r>
      <w:r w:rsidR="00696512" w:rsidRPr="00696512">
        <w:rPr>
          <w:rFonts w:ascii="Arial" w:hAnsi="Arial" w:cs="Arial"/>
        </w:rPr>
        <w:t>2016)</w:t>
      </w:r>
      <w:r w:rsidRPr="00114E8D">
        <w:rPr>
          <w:rFonts w:ascii="Arial" w:hAnsi="Arial" w:cs="Arial"/>
        </w:rPr>
        <w:t>. The mean binding free energies (ΔG, kcal mol</w:t>
      </w:r>
      <w:r w:rsidRPr="00114E8D">
        <w:rPr>
          <w:rFonts w:ascii="Cambria Math" w:hAnsi="Cambria Math" w:cs="Cambria Math"/>
        </w:rPr>
        <w:t>⁻</w:t>
      </w:r>
      <w:r w:rsidRPr="00114E8D">
        <w:rPr>
          <w:rFonts w:ascii="Arial" w:hAnsi="Arial" w:cs="Arial"/>
        </w:rPr>
        <w:t>¹) and corresponding standard deviations (SD) obtained across these replicates are summarized in Table 1. The consistently low SD values (≤ 0.25 kcal mol</w:t>
      </w:r>
      <w:r w:rsidRPr="00114E8D">
        <w:rPr>
          <w:rFonts w:ascii="Cambria Math" w:hAnsi="Cambria Math" w:cs="Cambria Math"/>
        </w:rPr>
        <w:t>⁻</w:t>
      </w:r>
      <w:r w:rsidRPr="00114E8D">
        <w:rPr>
          <w:rFonts w:ascii="Arial" w:hAnsi="Arial" w:cs="Arial"/>
        </w:rPr>
        <w:t>¹) confirm high reproducibility and methodological robustness of the docking protocol.</w:t>
      </w:r>
    </w:p>
    <w:p w14:paraId="1FEF1E61" w14:textId="77777777" w:rsidR="00114E8D" w:rsidRPr="00114E8D" w:rsidRDefault="00114E8D" w:rsidP="00114E8D">
      <w:pPr>
        <w:pStyle w:val="Body"/>
        <w:rPr>
          <w:rFonts w:ascii="Arial" w:hAnsi="Arial" w:cs="Arial"/>
        </w:rPr>
      </w:pPr>
      <w:r w:rsidRPr="00114E8D">
        <w:rPr>
          <w:rFonts w:ascii="Arial" w:hAnsi="Arial" w:cs="Arial"/>
        </w:rPr>
        <w:t>The mean ΔG values ranged from −4.10 to −5.98 kcal mol</w:t>
      </w:r>
      <w:r w:rsidRPr="00114E8D">
        <w:rPr>
          <w:rFonts w:ascii="Cambria Math" w:hAnsi="Cambria Math" w:cs="Cambria Math"/>
        </w:rPr>
        <w:t>⁻</w:t>
      </w:r>
      <w:r w:rsidRPr="00114E8D">
        <w:rPr>
          <w:rFonts w:ascii="Arial" w:hAnsi="Arial" w:cs="Arial"/>
        </w:rPr>
        <w:t xml:space="preserve">¹, indicating moderate-to-strong ligand–protein interactions. Among all compounds, </w:t>
      </w:r>
      <w:proofErr w:type="spellStart"/>
      <w:r w:rsidRPr="00114E8D">
        <w:rPr>
          <w:rFonts w:ascii="Arial" w:hAnsi="Arial" w:cs="Arial"/>
        </w:rPr>
        <w:t>demethoxycurcumin</w:t>
      </w:r>
      <w:proofErr w:type="spellEnd"/>
      <w:r w:rsidRPr="00114E8D">
        <w:rPr>
          <w:rFonts w:ascii="Arial" w:hAnsi="Arial" w:cs="Arial"/>
        </w:rPr>
        <w:t xml:space="preserve"> (−5.98 ± 0.04 kcal mol</w:t>
      </w:r>
      <w:r w:rsidRPr="00114E8D">
        <w:rPr>
          <w:rFonts w:ascii="Cambria Math" w:hAnsi="Cambria Math" w:cs="Cambria Math"/>
        </w:rPr>
        <w:t>⁻</w:t>
      </w:r>
      <w:r w:rsidRPr="00114E8D">
        <w:rPr>
          <w:rFonts w:ascii="Arial" w:hAnsi="Arial" w:cs="Arial"/>
        </w:rPr>
        <w:t>¹) and curcumin (−5.90 ± 0.06 kcal mol</w:t>
      </w:r>
      <w:r w:rsidRPr="00114E8D">
        <w:rPr>
          <w:rFonts w:ascii="Cambria Math" w:hAnsi="Cambria Math" w:cs="Cambria Math"/>
        </w:rPr>
        <w:t>⁻</w:t>
      </w:r>
      <w:r w:rsidRPr="00114E8D">
        <w:rPr>
          <w:rFonts w:ascii="Arial" w:hAnsi="Arial" w:cs="Arial"/>
        </w:rPr>
        <w:t>¹) exhibited the strongest affinities, followed by bisdemethoxycurcumin (−5.60 ± 0.06 kcal mol</w:t>
      </w:r>
      <w:r w:rsidRPr="00114E8D">
        <w:rPr>
          <w:rFonts w:ascii="Cambria Math" w:hAnsi="Cambria Math" w:cs="Cambria Math"/>
        </w:rPr>
        <w:t>⁻</w:t>
      </w:r>
      <w:r w:rsidRPr="00114E8D">
        <w:rPr>
          <w:rFonts w:ascii="Arial" w:hAnsi="Arial" w:cs="Arial"/>
        </w:rPr>
        <w:t>¹), β-bisabolene (−5.60 ± &lt; 0.01 kcal mol</w:t>
      </w:r>
      <w:r w:rsidRPr="00114E8D">
        <w:rPr>
          <w:rFonts w:ascii="Cambria Math" w:hAnsi="Cambria Math" w:cs="Cambria Math"/>
        </w:rPr>
        <w:t>⁻</w:t>
      </w:r>
      <w:r w:rsidRPr="00114E8D">
        <w:rPr>
          <w:rFonts w:ascii="Arial" w:hAnsi="Arial" w:cs="Arial"/>
        </w:rPr>
        <w:t xml:space="preserve">¹), </w:t>
      </w:r>
      <w:proofErr w:type="spellStart"/>
      <w:r w:rsidRPr="00114E8D">
        <w:rPr>
          <w:rFonts w:ascii="Arial" w:hAnsi="Arial" w:cs="Arial"/>
        </w:rPr>
        <w:t>germacrone</w:t>
      </w:r>
      <w:proofErr w:type="spellEnd"/>
      <w:r w:rsidRPr="00114E8D">
        <w:rPr>
          <w:rFonts w:ascii="Arial" w:hAnsi="Arial" w:cs="Arial"/>
        </w:rPr>
        <w:t xml:space="preserve"> (−5.60 ± &lt; 0.01 kcal mol</w:t>
      </w:r>
      <w:r w:rsidRPr="00114E8D">
        <w:rPr>
          <w:rFonts w:ascii="Cambria Math" w:hAnsi="Cambria Math" w:cs="Cambria Math"/>
        </w:rPr>
        <w:t>⁻</w:t>
      </w:r>
      <w:r w:rsidRPr="00114E8D">
        <w:rPr>
          <w:rFonts w:ascii="Arial" w:hAnsi="Arial" w:cs="Arial"/>
        </w:rPr>
        <w:t xml:space="preserve">¹), and </w:t>
      </w:r>
      <w:proofErr w:type="spellStart"/>
      <w:r w:rsidRPr="00114E8D">
        <w:rPr>
          <w:rFonts w:ascii="Arial" w:hAnsi="Arial" w:cs="Arial"/>
        </w:rPr>
        <w:t>ar</w:t>
      </w:r>
      <w:proofErr w:type="spellEnd"/>
      <w:r w:rsidRPr="00114E8D">
        <w:rPr>
          <w:rFonts w:ascii="Arial" w:hAnsi="Arial" w:cs="Arial"/>
        </w:rPr>
        <w:t>-turmerone (−5.32 ± 0.04 kcal mol</w:t>
      </w:r>
      <w:r w:rsidRPr="00114E8D">
        <w:rPr>
          <w:rFonts w:ascii="Cambria Math" w:hAnsi="Cambria Math" w:cs="Cambria Math"/>
        </w:rPr>
        <w:t>⁻</w:t>
      </w:r>
      <w:r w:rsidRPr="00114E8D">
        <w:rPr>
          <w:rFonts w:ascii="Arial" w:hAnsi="Arial" w:cs="Arial"/>
        </w:rPr>
        <w:t>¹).</w:t>
      </w:r>
    </w:p>
    <w:p w14:paraId="336D3F90" w14:textId="77777777" w:rsidR="00114E8D" w:rsidRPr="00114E8D" w:rsidRDefault="00114E8D" w:rsidP="00114E8D">
      <w:pPr>
        <w:pStyle w:val="Body"/>
        <w:rPr>
          <w:rFonts w:ascii="Arial" w:hAnsi="Arial" w:cs="Arial"/>
        </w:rPr>
      </w:pPr>
      <w:r w:rsidRPr="00114E8D">
        <w:rPr>
          <w:rFonts w:ascii="Arial" w:hAnsi="Arial" w:cs="Arial"/>
        </w:rPr>
        <w:lastRenderedPageBreak/>
        <w:t>These ligands outperformed most other phytochemicals and displayed binding energies comparable to curcumin, while substantially exceeding cinnamaldehyde.</w:t>
      </w:r>
    </w:p>
    <w:p w14:paraId="3AE0A52E" w14:textId="61EF8C86" w:rsidR="00231920" w:rsidRDefault="00114E8D" w:rsidP="00114E8D">
      <w:pPr>
        <w:pStyle w:val="Body"/>
        <w:spacing w:after="0"/>
        <w:rPr>
          <w:rFonts w:ascii="Arial" w:hAnsi="Arial" w:cs="Arial"/>
        </w:rPr>
      </w:pPr>
      <w:r w:rsidRPr="00114E8D">
        <w:rPr>
          <w:rFonts w:ascii="Arial" w:hAnsi="Arial" w:cs="Arial"/>
        </w:rPr>
        <w:t>Across all replicates, the top poses converged within RMSD ≤ 2.0 Å, confirming consistent ligand orientation within the flexible pocket. Such convergence demonstrates that the validated flexible-pocket model provides a stable and biologically relevant docking environment, effectively compensating for the limitations of rigid-grid redocking. Therefore, the observed ΔG profiles reflect genuine molecular complementarity rather than random sampling.</w:t>
      </w:r>
      <w:r w:rsidR="00863BD3">
        <w:rPr>
          <w:rFonts w:ascii="Arial" w:hAnsi="Arial" w:cs="Arial"/>
        </w:rPr>
        <w:t xml:space="preserve"> </w:t>
      </w:r>
    </w:p>
    <w:p w14:paraId="572DB5C5" w14:textId="77777777" w:rsidR="00790ADA" w:rsidRDefault="00790ADA" w:rsidP="00441B6F">
      <w:pPr>
        <w:pStyle w:val="Body"/>
        <w:spacing w:after="0"/>
        <w:rPr>
          <w:rFonts w:ascii="Arial" w:hAnsi="Arial" w:cs="Arial"/>
        </w:rPr>
      </w:pPr>
    </w:p>
    <w:p w14:paraId="0FA31B2A" w14:textId="725448AF"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114E8D" w:rsidRPr="00114E8D">
        <w:rPr>
          <w:rFonts w:ascii="Arial" w:hAnsi="Arial"/>
          <w:b/>
        </w:rPr>
        <w:t>Binding free energies (ΔG, kcal mol</w:t>
      </w:r>
      <w:r w:rsidR="00114E8D" w:rsidRPr="00114E8D">
        <w:rPr>
          <w:rFonts w:ascii="Cambria Math" w:hAnsi="Cambria Math" w:cs="Cambria Math"/>
          <w:b/>
        </w:rPr>
        <w:t>⁻</w:t>
      </w:r>
      <w:r w:rsidR="00114E8D" w:rsidRPr="00114E8D">
        <w:rPr>
          <w:rFonts w:ascii="Arial" w:hAnsi="Arial" w:cs="Arial"/>
          <w:b/>
        </w:rPr>
        <w:t>¹</w:t>
      </w:r>
      <w:r w:rsidR="00114E8D" w:rsidRPr="00114E8D">
        <w:rPr>
          <w:rFonts w:ascii="Arial" w:hAnsi="Arial"/>
          <w:b/>
        </w:rPr>
        <w:t>) of Indonesian phytochemicals docked to SAP2 (1EAG) in five independent runs.</w:t>
      </w:r>
    </w:p>
    <w:p w14:paraId="62643C0A" w14:textId="77777777" w:rsidR="00114E8D" w:rsidRDefault="00114E8D" w:rsidP="00441B6F">
      <w:pPr>
        <w:tabs>
          <w:tab w:val="left" w:pos="1080"/>
        </w:tabs>
        <w:jc w:val="both"/>
        <w:rPr>
          <w:rFonts w:ascii="Arial" w:hAnsi="Arial"/>
          <w:b/>
        </w:rPr>
      </w:pPr>
    </w:p>
    <w:tbl>
      <w:tblPr>
        <w:tblStyle w:val="TableGrid"/>
        <w:tblW w:w="8642" w:type="dxa"/>
        <w:tblLayout w:type="fixed"/>
        <w:tblLook w:val="04A0" w:firstRow="1" w:lastRow="0" w:firstColumn="1" w:lastColumn="0" w:noHBand="0" w:noVBand="1"/>
      </w:tblPr>
      <w:tblGrid>
        <w:gridCol w:w="562"/>
        <w:gridCol w:w="1418"/>
        <w:gridCol w:w="1417"/>
        <w:gridCol w:w="851"/>
        <w:gridCol w:w="850"/>
        <w:gridCol w:w="851"/>
        <w:gridCol w:w="850"/>
        <w:gridCol w:w="851"/>
        <w:gridCol w:w="992"/>
      </w:tblGrid>
      <w:tr w:rsidR="00114E8D" w:rsidRPr="00114E8D" w14:paraId="015B8C5B" w14:textId="77777777" w:rsidTr="00145808">
        <w:tc>
          <w:tcPr>
            <w:tcW w:w="562" w:type="dxa"/>
            <w:hideMark/>
          </w:tcPr>
          <w:p w14:paraId="718863A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No.</w:t>
            </w:r>
          </w:p>
        </w:tc>
        <w:tc>
          <w:tcPr>
            <w:tcW w:w="1418" w:type="dxa"/>
            <w:hideMark/>
          </w:tcPr>
          <w:p w14:paraId="1863C04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Compound</w:t>
            </w:r>
          </w:p>
        </w:tc>
        <w:tc>
          <w:tcPr>
            <w:tcW w:w="1417" w:type="dxa"/>
            <w:hideMark/>
          </w:tcPr>
          <w:p w14:paraId="45D4501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Source Plant (Latin name)</w:t>
            </w:r>
          </w:p>
        </w:tc>
        <w:tc>
          <w:tcPr>
            <w:tcW w:w="851" w:type="dxa"/>
            <w:hideMark/>
          </w:tcPr>
          <w:p w14:paraId="7D1061B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Run 1</w:t>
            </w:r>
          </w:p>
        </w:tc>
        <w:tc>
          <w:tcPr>
            <w:tcW w:w="850" w:type="dxa"/>
            <w:hideMark/>
          </w:tcPr>
          <w:p w14:paraId="78814C2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Run 2</w:t>
            </w:r>
          </w:p>
        </w:tc>
        <w:tc>
          <w:tcPr>
            <w:tcW w:w="851" w:type="dxa"/>
            <w:hideMark/>
          </w:tcPr>
          <w:p w14:paraId="135411B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Run 3</w:t>
            </w:r>
          </w:p>
        </w:tc>
        <w:tc>
          <w:tcPr>
            <w:tcW w:w="850" w:type="dxa"/>
            <w:hideMark/>
          </w:tcPr>
          <w:p w14:paraId="1B38A2A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Run 4</w:t>
            </w:r>
          </w:p>
        </w:tc>
        <w:tc>
          <w:tcPr>
            <w:tcW w:w="851" w:type="dxa"/>
            <w:hideMark/>
          </w:tcPr>
          <w:p w14:paraId="66C590B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Run 5</w:t>
            </w:r>
          </w:p>
        </w:tc>
        <w:tc>
          <w:tcPr>
            <w:tcW w:w="992" w:type="dxa"/>
            <w:hideMark/>
          </w:tcPr>
          <w:p w14:paraId="444E0D2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Mean ΔG ± SD (kcal</w:t>
            </w:r>
            <w:r w:rsidRPr="00114E8D">
              <w:rPr>
                <w:rFonts w:ascii="Arial" w:eastAsia="Times New Roman" w:hAnsi="Arial" w:cs="Arial"/>
                <w:sz w:val="20"/>
                <w:szCs w:val="20"/>
                <w:lang w:val="en-ID" w:eastAsia="en-ID"/>
              </w:rPr>
              <w:t xml:space="preserve"> </w:t>
            </w:r>
            <w:r w:rsidRPr="009E7EE2">
              <w:rPr>
                <w:rFonts w:ascii="Arial" w:eastAsia="Times New Roman" w:hAnsi="Arial" w:cs="Arial"/>
                <w:sz w:val="20"/>
                <w:szCs w:val="20"/>
                <w:lang w:val="en-ID" w:eastAsia="en-ID"/>
              </w:rPr>
              <w:t>mol</w:t>
            </w:r>
            <w:r w:rsidRPr="009E7EE2">
              <w:rPr>
                <w:rFonts w:ascii="Cambria Math" w:eastAsia="Times New Roman" w:hAnsi="Cambria Math" w:cs="Cambria Math"/>
                <w:sz w:val="20"/>
                <w:szCs w:val="20"/>
                <w:lang w:val="en-ID" w:eastAsia="en-ID"/>
              </w:rPr>
              <w:t>⁻</w:t>
            </w:r>
            <w:r w:rsidRPr="009E7EE2">
              <w:rPr>
                <w:rFonts w:ascii="Arial" w:eastAsia="Times New Roman" w:hAnsi="Arial" w:cs="Arial"/>
                <w:sz w:val="20"/>
                <w:szCs w:val="20"/>
                <w:lang w:val="en-ID" w:eastAsia="en-ID"/>
              </w:rPr>
              <w:t>¹)</w:t>
            </w:r>
          </w:p>
        </w:tc>
      </w:tr>
      <w:tr w:rsidR="00114E8D" w:rsidRPr="00114E8D" w14:paraId="4AF86C85" w14:textId="77777777" w:rsidTr="00145808">
        <w:tc>
          <w:tcPr>
            <w:tcW w:w="562" w:type="dxa"/>
            <w:hideMark/>
          </w:tcPr>
          <w:p w14:paraId="302423D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w:t>
            </w:r>
          </w:p>
        </w:tc>
        <w:tc>
          <w:tcPr>
            <w:tcW w:w="1418" w:type="dxa"/>
            <w:hideMark/>
          </w:tcPr>
          <w:p w14:paraId="75801CC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6-Gingerol</w:t>
            </w:r>
          </w:p>
        </w:tc>
        <w:tc>
          <w:tcPr>
            <w:tcW w:w="1417" w:type="dxa"/>
            <w:hideMark/>
          </w:tcPr>
          <w:p w14:paraId="4EDD585F"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Zingiber officinale</w:t>
            </w:r>
            <w:r w:rsidRPr="009E7EE2">
              <w:rPr>
                <w:rFonts w:ascii="Arial" w:eastAsia="Times New Roman" w:hAnsi="Arial" w:cs="Arial"/>
                <w:sz w:val="20"/>
                <w:szCs w:val="20"/>
                <w:lang w:val="en-ID" w:eastAsia="en-ID"/>
              </w:rPr>
              <w:t xml:space="preserve"> var. </w:t>
            </w:r>
            <w:r w:rsidRPr="009E7EE2">
              <w:rPr>
                <w:rFonts w:ascii="Arial" w:eastAsia="Times New Roman" w:hAnsi="Arial" w:cs="Arial"/>
                <w:i/>
                <w:iCs/>
                <w:sz w:val="20"/>
                <w:szCs w:val="20"/>
                <w:lang w:val="en-ID" w:eastAsia="en-ID"/>
              </w:rPr>
              <w:t>rubrum</w:t>
            </w:r>
          </w:p>
        </w:tc>
        <w:tc>
          <w:tcPr>
            <w:tcW w:w="851" w:type="dxa"/>
            <w:hideMark/>
          </w:tcPr>
          <w:p w14:paraId="1C9414C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−4.9</w:t>
            </w:r>
          </w:p>
        </w:tc>
        <w:tc>
          <w:tcPr>
            <w:tcW w:w="850" w:type="dxa"/>
            <w:hideMark/>
          </w:tcPr>
          <w:p w14:paraId="77EE993E"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1779D62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0" w:type="dxa"/>
            <w:hideMark/>
          </w:tcPr>
          <w:p w14:paraId="3818C4DF"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−4.9</w:t>
            </w:r>
          </w:p>
        </w:tc>
        <w:tc>
          <w:tcPr>
            <w:tcW w:w="851" w:type="dxa"/>
            <w:hideMark/>
          </w:tcPr>
          <w:p w14:paraId="294575C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−4.9</w:t>
            </w:r>
          </w:p>
        </w:tc>
        <w:tc>
          <w:tcPr>
            <w:tcW w:w="992" w:type="dxa"/>
            <w:hideMark/>
          </w:tcPr>
          <w:p w14:paraId="68C43A2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−4.80 ± 0.16</w:t>
            </w:r>
          </w:p>
        </w:tc>
      </w:tr>
      <w:tr w:rsidR="00114E8D" w:rsidRPr="00114E8D" w14:paraId="0686AC1F" w14:textId="77777777" w:rsidTr="00145808">
        <w:tc>
          <w:tcPr>
            <w:tcW w:w="562" w:type="dxa"/>
            <w:hideMark/>
          </w:tcPr>
          <w:p w14:paraId="37680F8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2</w:t>
            </w:r>
          </w:p>
        </w:tc>
        <w:tc>
          <w:tcPr>
            <w:tcW w:w="1418" w:type="dxa"/>
            <w:hideMark/>
          </w:tcPr>
          <w:p w14:paraId="2E29308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6-Shogaol</w:t>
            </w:r>
          </w:p>
        </w:tc>
        <w:tc>
          <w:tcPr>
            <w:tcW w:w="1417" w:type="dxa"/>
            <w:hideMark/>
          </w:tcPr>
          <w:p w14:paraId="7D3837A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Z. officinale</w:t>
            </w:r>
            <w:r w:rsidRPr="009E7EE2">
              <w:rPr>
                <w:rFonts w:ascii="Arial" w:eastAsia="Times New Roman" w:hAnsi="Arial" w:cs="Arial"/>
                <w:sz w:val="20"/>
                <w:szCs w:val="20"/>
                <w:lang w:val="en-ID" w:eastAsia="en-ID"/>
              </w:rPr>
              <w:t xml:space="preserve"> var. </w:t>
            </w:r>
            <w:r w:rsidRPr="009E7EE2">
              <w:rPr>
                <w:rFonts w:ascii="Arial" w:eastAsia="Times New Roman" w:hAnsi="Arial" w:cs="Arial"/>
                <w:i/>
                <w:iCs/>
                <w:sz w:val="20"/>
                <w:szCs w:val="20"/>
                <w:lang w:val="en-ID" w:eastAsia="en-ID"/>
              </w:rPr>
              <w:t>rubrum</w:t>
            </w:r>
          </w:p>
        </w:tc>
        <w:tc>
          <w:tcPr>
            <w:tcW w:w="851" w:type="dxa"/>
            <w:hideMark/>
          </w:tcPr>
          <w:p w14:paraId="70BC2F3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0" w:type="dxa"/>
            <w:hideMark/>
          </w:tcPr>
          <w:p w14:paraId="7E6BAB7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039CE7E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3578E79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7A58D2C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992" w:type="dxa"/>
            <w:hideMark/>
          </w:tcPr>
          <w:p w14:paraId="3C9A4CF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−4.64 ± 0.14</w:t>
            </w:r>
          </w:p>
        </w:tc>
      </w:tr>
      <w:tr w:rsidR="00114E8D" w:rsidRPr="00114E8D" w14:paraId="1A5E13CE" w14:textId="77777777" w:rsidTr="00145808">
        <w:tc>
          <w:tcPr>
            <w:tcW w:w="562" w:type="dxa"/>
            <w:hideMark/>
          </w:tcPr>
          <w:p w14:paraId="7785CA5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3</w:t>
            </w:r>
          </w:p>
        </w:tc>
        <w:tc>
          <w:tcPr>
            <w:tcW w:w="1418" w:type="dxa"/>
            <w:hideMark/>
          </w:tcPr>
          <w:p w14:paraId="62AF9A4E"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8-Gingerol</w:t>
            </w:r>
          </w:p>
        </w:tc>
        <w:tc>
          <w:tcPr>
            <w:tcW w:w="1417" w:type="dxa"/>
            <w:hideMark/>
          </w:tcPr>
          <w:p w14:paraId="05BF9F8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Z. officinale</w:t>
            </w:r>
            <w:r w:rsidRPr="009E7EE2">
              <w:rPr>
                <w:rFonts w:ascii="Arial" w:eastAsia="Times New Roman" w:hAnsi="Arial" w:cs="Arial"/>
                <w:sz w:val="20"/>
                <w:szCs w:val="20"/>
                <w:lang w:val="en-ID" w:eastAsia="en-ID"/>
              </w:rPr>
              <w:t xml:space="preserve"> var. </w:t>
            </w:r>
            <w:r w:rsidRPr="009E7EE2">
              <w:rPr>
                <w:rFonts w:ascii="Arial" w:eastAsia="Times New Roman" w:hAnsi="Arial" w:cs="Arial"/>
                <w:i/>
                <w:iCs/>
                <w:sz w:val="20"/>
                <w:szCs w:val="20"/>
                <w:lang w:val="en-ID" w:eastAsia="en-ID"/>
              </w:rPr>
              <w:t>rubrum</w:t>
            </w:r>
          </w:p>
        </w:tc>
        <w:tc>
          <w:tcPr>
            <w:tcW w:w="851" w:type="dxa"/>
            <w:hideMark/>
          </w:tcPr>
          <w:p w14:paraId="23585EF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−5.0</w:t>
            </w:r>
          </w:p>
        </w:tc>
        <w:tc>
          <w:tcPr>
            <w:tcW w:w="850" w:type="dxa"/>
            <w:hideMark/>
          </w:tcPr>
          <w:p w14:paraId="1040819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1" w:type="dxa"/>
            <w:hideMark/>
          </w:tcPr>
          <w:p w14:paraId="15B8B03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694BE09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1" w:type="dxa"/>
            <w:hideMark/>
          </w:tcPr>
          <w:p w14:paraId="1EF4528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992" w:type="dxa"/>
            <w:hideMark/>
          </w:tcPr>
          <w:p w14:paraId="1E0E018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−4.64 ± 0.19</w:t>
            </w:r>
          </w:p>
        </w:tc>
      </w:tr>
      <w:tr w:rsidR="00114E8D" w:rsidRPr="00114E8D" w14:paraId="74B2DCE0" w14:textId="77777777" w:rsidTr="00145808">
        <w:tc>
          <w:tcPr>
            <w:tcW w:w="562" w:type="dxa"/>
            <w:hideMark/>
          </w:tcPr>
          <w:p w14:paraId="262A854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w:t>
            </w:r>
          </w:p>
        </w:tc>
        <w:tc>
          <w:tcPr>
            <w:tcW w:w="1418" w:type="dxa"/>
            <w:hideMark/>
          </w:tcPr>
          <w:p w14:paraId="4848AF0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10-Gingerol</w:t>
            </w:r>
          </w:p>
        </w:tc>
        <w:tc>
          <w:tcPr>
            <w:tcW w:w="1417" w:type="dxa"/>
            <w:hideMark/>
          </w:tcPr>
          <w:p w14:paraId="27700B3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Z. officinale</w:t>
            </w:r>
            <w:r w:rsidRPr="009E7EE2">
              <w:rPr>
                <w:rFonts w:ascii="Arial" w:eastAsia="Times New Roman" w:hAnsi="Arial" w:cs="Arial"/>
                <w:sz w:val="20"/>
                <w:szCs w:val="20"/>
                <w:lang w:val="en-ID" w:eastAsia="en-ID"/>
              </w:rPr>
              <w:t xml:space="preserve"> var. </w:t>
            </w:r>
            <w:r w:rsidRPr="009E7EE2">
              <w:rPr>
                <w:rFonts w:ascii="Arial" w:eastAsia="Times New Roman" w:hAnsi="Arial" w:cs="Arial"/>
                <w:i/>
                <w:iCs/>
                <w:sz w:val="20"/>
                <w:szCs w:val="20"/>
                <w:lang w:val="en-ID" w:eastAsia="en-ID"/>
              </w:rPr>
              <w:t>rubrum</w:t>
            </w:r>
          </w:p>
        </w:tc>
        <w:tc>
          <w:tcPr>
            <w:tcW w:w="851" w:type="dxa"/>
            <w:hideMark/>
          </w:tcPr>
          <w:p w14:paraId="106A3A9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5657240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1" w:type="dxa"/>
            <w:hideMark/>
          </w:tcPr>
          <w:p w14:paraId="680ED51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−5.0</w:t>
            </w:r>
          </w:p>
        </w:tc>
        <w:tc>
          <w:tcPr>
            <w:tcW w:w="850" w:type="dxa"/>
            <w:hideMark/>
          </w:tcPr>
          <w:p w14:paraId="1C11F9C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1" w:type="dxa"/>
            <w:hideMark/>
          </w:tcPr>
          <w:p w14:paraId="78A7E4A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−4.9</w:t>
            </w:r>
          </w:p>
        </w:tc>
        <w:tc>
          <w:tcPr>
            <w:tcW w:w="992" w:type="dxa"/>
            <w:hideMark/>
          </w:tcPr>
          <w:p w14:paraId="5BFC2F6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−4.68 ± 0.25</w:t>
            </w:r>
          </w:p>
        </w:tc>
      </w:tr>
      <w:tr w:rsidR="00114E8D" w:rsidRPr="00114E8D" w14:paraId="181BC7F9" w14:textId="77777777" w:rsidTr="00145808">
        <w:tc>
          <w:tcPr>
            <w:tcW w:w="562" w:type="dxa"/>
            <w:hideMark/>
          </w:tcPr>
          <w:p w14:paraId="0CD07D8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w:t>
            </w:r>
          </w:p>
        </w:tc>
        <w:tc>
          <w:tcPr>
            <w:tcW w:w="1418" w:type="dxa"/>
            <w:hideMark/>
          </w:tcPr>
          <w:p w14:paraId="356B88B8"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sz w:val="20"/>
                <w:szCs w:val="20"/>
                <w:lang w:val="en-ID" w:eastAsia="en-ID"/>
              </w:rPr>
              <w:t>Ar</w:t>
            </w:r>
            <w:proofErr w:type="spellEnd"/>
            <w:r w:rsidRPr="009E7EE2">
              <w:rPr>
                <w:rFonts w:ascii="Arial" w:eastAsia="Times New Roman" w:hAnsi="Arial" w:cs="Arial"/>
                <w:sz w:val="20"/>
                <w:szCs w:val="20"/>
                <w:lang w:val="en-ID" w:eastAsia="en-ID"/>
              </w:rPr>
              <w:t>-Turmerone</w:t>
            </w:r>
          </w:p>
        </w:tc>
        <w:tc>
          <w:tcPr>
            <w:tcW w:w="1417" w:type="dxa"/>
            <w:hideMark/>
          </w:tcPr>
          <w:p w14:paraId="7968BFE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Curcuma longa</w:t>
            </w:r>
          </w:p>
        </w:tc>
        <w:tc>
          <w:tcPr>
            <w:tcW w:w="851" w:type="dxa"/>
            <w:hideMark/>
          </w:tcPr>
          <w:p w14:paraId="4297D31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−5.3</w:t>
            </w:r>
          </w:p>
        </w:tc>
        <w:tc>
          <w:tcPr>
            <w:tcW w:w="850" w:type="dxa"/>
            <w:hideMark/>
          </w:tcPr>
          <w:p w14:paraId="558929A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−5.4</w:t>
            </w:r>
          </w:p>
        </w:tc>
        <w:tc>
          <w:tcPr>
            <w:tcW w:w="851" w:type="dxa"/>
            <w:hideMark/>
          </w:tcPr>
          <w:p w14:paraId="0A0F32B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−5.3</w:t>
            </w:r>
          </w:p>
        </w:tc>
        <w:tc>
          <w:tcPr>
            <w:tcW w:w="850" w:type="dxa"/>
            <w:hideMark/>
          </w:tcPr>
          <w:p w14:paraId="0419BB4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−5.3</w:t>
            </w:r>
          </w:p>
        </w:tc>
        <w:tc>
          <w:tcPr>
            <w:tcW w:w="851" w:type="dxa"/>
            <w:hideMark/>
          </w:tcPr>
          <w:p w14:paraId="6A314A2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−5.3</w:t>
            </w:r>
          </w:p>
        </w:tc>
        <w:tc>
          <w:tcPr>
            <w:tcW w:w="992" w:type="dxa"/>
            <w:hideMark/>
          </w:tcPr>
          <w:p w14:paraId="7FF5E9E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−5.32 ± 0.04</w:t>
            </w:r>
          </w:p>
        </w:tc>
      </w:tr>
      <w:tr w:rsidR="00114E8D" w:rsidRPr="00114E8D" w14:paraId="38AF095D" w14:textId="77777777" w:rsidTr="00145808">
        <w:tc>
          <w:tcPr>
            <w:tcW w:w="562" w:type="dxa"/>
            <w:hideMark/>
          </w:tcPr>
          <w:p w14:paraId="7CD348A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w:t>
            </w:r>
          </w:p>
        </w:tc>
        <w:tc>
          <w:tcPr>
            <w:tcW w:w="1418" w:type="dxa"/>
            <w:hideMark/>
          </w:tcPr>
          <w:p w14:paraId="5096835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β-Bisabolene</w:t>
            </w:r>
          </w:p>
        </w:tc>
        <w:tc>
          <w:tcPr>
            <w:tcW w:w="1417" w:type="dxa"/>
            <w:hideMark/>
          </w:tcPr>
          <w:p w14:paraId="393A3AD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Cymbopogon </w:t>
            </w:r>
            <w:proofErr w:type="spellStart"/>
            <w:r w:rsidRPr="009E7EE2">
              <w:rPr>
                <w:rFonts w:ascii="Arial" w:eastAsia="Times New Roman" w:hAnsi="Arial" w:cs="Arial"/>
                <w:i/>
                <w:iCs/>
                <w:sz w:val="20"/>
                <w:szCs w:val="20"/>
                <w:lang w:val="en-ID" w:eastAsia="en-ID"/>
              </w:rPr>
              <w:t>citratus</w:t>
            </w:r>
            <w:proofErr w:type="spellEnd"/>
          </w:p>
        </w:tc>
        <w:tc>
          <w:tcPr>
            <w:tcW w:w="851" w:type="dxa"/>
            <w:hideMark/>
          </w:tcPr>
          <w:p w14:paraId="09F0ECF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0" w:type="dxa"/>
            <w:hideMark/>
          </w:tcPr>
          <w:p w14:paraId="7AC0119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1" w:type="dxa"/>
            <w:hideMark/>
          </w:tcPr>
          <w:p w14:paraId="3570388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0" w:type="dxa"/>
            <w:hideMark/>
          </w:tcPr>
          <w:p w14:paraId="2D358F5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1" w:type="dxa"/>
            <w:hideMark/>
          </w:tcPr>
          <w:p w14:paraId="7AC9304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992" w:type="dxa"/>
            <w:hideMark/>
          </w:tcPr>
          <w:p w14:paraId="134E2A07" w14:textId="50B5EE5F"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 xml:space="preserve">−5.60 </w:t>
            </w:r>
            <w:proofErr w:type="gramStart"/>
            <w:r w:rsidRPr="009E7EE2">
              <w:rPr>
                <w:rFonts w:ascii="Arial" w:eastAsia="Times New Roman" w:hAnsi="Arial" w:cs="Arial"/>
                <w:sz w:val="20"/>
                <w:szCs w:val="20"/>
                <w:lang w:val="en-ID" w:eastAsia="en-ID"/>
              </w:rPr>
              <w:t>±  0</w:t>
            </w:r>
            <w:proofErr w:type="gramEnd"/>
            <w:r w:rsidRPr="009E7EE2">
              <w:rPr>
                <w:rFonts w:ascii="Arial" w:eastAsia="Times New Roman" w:hAnsi="Arial" w:cs="Arial"/>
                <w:sz w:val="20"/>
                <w:szCs w:val="20"/>
                <w:lang w:val="en-ID" w:eastAsia="en-ID"/>
              </w:rPr>
              <w:t>.01</w:t>
            </w:r>
          </w:p>
        </w:tc>
      </w:tr>
      <w:tr w:rsidR="00114E8D" w:rsidRPr="00114E8D" w14:paraId="02F5F07E" w14:textId="77777777" w:rsidTr="00145808">
        <w:tc>
          <w:tcPr>
            <w:tcW w:w="562" w:type="dxa"/>
            <w:hideMark/>
          </w:tcPr>
          <w:p w14:paraId="2E06FED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7</w:t>
            </w:r>
          </w:p>
        </w:tc>
        <w:tc>
          <w:tcPr>
            <w:tcW w:w="1418" w:type="dxa"/>
            <w:hideMark/>
          </w:tcPr>
          <w:p w14:paraId="5D6A5D1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Bisdemethoxycurcumin</w:t>
            </w:r>
          </w:p>
        </w:tc>
        <w:tc>
          <w:tcPr>
            <w:tcW w:w="1417" w:type="dxa"/>
            <w:hideMark/>
          </w:tcPr>
          <w:p w14:paraId="5481E19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Curcuma longa</w:t>
            </w:r>
          </w:p>
        </w:tc>
        <w:tc>
          <w:tcPr>
            <w:tcW w:w="851" w:type="dxa"/>
            <w:hideMark/>
          </w:tcPr>
          <w:p w14:paraId="15B769F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−5.5</w:t>
            </w:r>
          </w:p>
        </w:tc>
        <w:tc>
          <w:tcPr>
            <w:tcW w:w="850" w:type="dxa"/>
            <w:hideMark/>
          </w:tcPr>
          <w:p w14:paraId="38681C77"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1" w:type="dxa"/>
            <w:hideMark/>
          </w:tcPr>
          <w:p w14:paraId="0D18D9E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0" w:type="dxa"/>
            <w:hideMark/>
          </w:tcPr>
          <w:p w14:paraId="0D6B154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−5.7</w:t>
            </w:r>
          </w:p>
        </w:tc>
        <w:tc>
          <w:tcPr>
            <w:tcW w:w="851" w:type="dxa"/>
            <w:hideMark/>
          </w:tcPr>
          <w:p w14:paraId="601C39C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992" w:type="dxa"/>
            <w:hideMark/>
          </w:tcPr>
          <w:p w14:paraId="35E08FB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−5.60 ± 0.06</w:t>
            </w:r>
          </w:p>
        </w:tc>
      </w:tr>
      <w:tr w:rsidR="00114E8D" w:rsidRPr="00114E8D" w14:paraId="2630E843" w14:textId="77777777" w:rsidTr="00145808">
        <w:tc>
          <w:tcPr>
            <w:tcW w:w="562" w:type="dxa"/>
            <w:hideMark/>
          </w:tcPr>
          <w:p w14:paraId="3017CE2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8</w:t>
            </w:r>
          </w:p>
        </w:tc>
        <w:tc>
          <w:tcPr>
            <w:tcW w:w="1418" w:type="dxa"/>
            <w:hideMark/>
          </w:tcPr>
          <w:p w14:paraId="1C4D0A8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Cinnamaldehyde</w:t>
            </w:r>
          </w:p>
        </w:tc>
        <w:tc>
          <w:tcPr>
            <w:tcW w:w="1417" w:type="dxa"/>
            <w:hideMark/>
          </w:tcPr>
          <w:p w14:paraId="5299FC1D"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i/>
                <w:iCs/>
                <w:sz w:val="20"/>
                <w:szCs w:val="20"/>
                <w:lang w:val="en-ID" w:eastAsia="en-ID"/>
              </w:rPr>
              <w:t>Cinnamomum</w:t>
            </w:r>
            <w:proofErr w:type="spellEnd"/>
            <w:r w:rsidRPr="009E7EE2">
              <w:rPr>
                <w:rFonts w:ascii="Arial" w:eastAsia="Times New Roman" w:hAnsi="Arial" w:cs="Arial"/>
                <w:i/>
                <w:iCs/>
                <w:sz w:val="20"/>
                <w:szCs w:val="20"/>
                <w:lang w:val="en-ID" w:eastAsia="en-ID"/>
              </w:rPr>
              <w:t xml:space="preserve"> </w:t>
            </w:r>
            <w:proofErr w:type="spellStart"/>
            <w:r w:rsidRPr="009E7EE2">
              <w:rPr>
                <w:rFonts w:ascii="Arial" w:eastAsia="Times New Roman" w:hAnsi="Arial" w:cs="Arial"/>
                <w:i/>
                <w:iCs/>
                <w:sz w:val="20"/>
                <w:szCs w:val="20"/>
                <w:lang w:val="en-ID" w:eastAsia="en-ID"/>
              </w:rPr>
              <w:t>burmannii</w:t>
            </w:r>
            <w:proofErr w:type="spellEnd"/>
          </w:p>
        </w:tc>
        <w:tc>
          <w:tcPr>
            <w:tcW w:w="851" w:type="dxa"/>
            <w:hideMark/>
          </w:tcPr>
          <w:p w14:paraId="7869D64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0" w:type="dxa"/>
            <w:hideMark/>
          </w:tcPr>
          <w:p w14:paraId="0F4E314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1" w:type="dxa"/>
            <w:hideMark/>
          </w:tcPr>
          <w:p w14:paraId="45C5D97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0" w:type="dxa"/>
            <w:hideMark/>
          </w:tcPr>
          <w:p w14:paraId="5233C407"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1" w:type="dxa"/>
            <w:hideMark/>
          </w:tcPr>
          <w:p w14:paraId="26F423A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992" w:type="dxa"/>
            <w:hideMark/>
          </w:tcPr>
          <w:p w14:paraId="7F09633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−4.30 ± 0.00</w:t>
            </w:r>
          </w:p>
        </w:tc>
      </w:tr>
      <w:tr w:rsidR="00114E8D" w:rsidRPr="00114E8D" w14:paraId="0C9CA919" w14:textId="77777777" w:rsidTr="00145808">
        <w:tc>
          <w:tcPr>
            <w:tcW w:w="562" w:type="dxa"/>
            <w:hideMark/>
          </w:tcPr>
          <w:p w14:paraId="3D4B28B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9</w:t>
            </w:r>
          </w:p>
        </w:tc>
        <w:tc>
          <w:tcPr>
            <w:tcW w:w="1418" w:type="dxa"/>
            <w:hideMark/>
          </w:tcPr>
          <w:p w14:paraId="07667856"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sz w:val="20"/>
                <w:szCs w:val="20"/>
                <w:lang w:val="en-ID" w:eastAsia="en-ID"/>
              </w:rPr>
              <w:t>Citral</w:t>
            </w:r>
            <w:proofErr w:type="spellEnd"/>
            <w:r w:rsidRPr="009E7EE2">
              <w:rPr>
                <w:rFonts w:ascii="Arial" w:eastAsia="Times New Roman" w:hAnsi="Arial" w:cs="Arial"/>
                <w:sz w:val="20"/>
                <w:szCs w:val="20"/>
                <w:lang w:val="en-ID" w:eastAsia="en-ID"/>
              </w:rPr>
              <w:t xml:space="preserve"> (Geranial + </w:t>
            </w:r>
            <w:proofErr w:type="spellStart"/>
            <w:r w:rsidRPr="009E7EE2">
              <w:rPr>
                <w:rFonts w:ascii="Arial" w:eastAsia="Times New Roman" w:hAnsi="Arial" w:cs="Arial"/>
                <w:sz w:val="20"/>
                <w:szCs w:val="20"/>
                <w:lang w:val="en-ID" w:eastAsia="en-ID"/>
              </w:rPr>
              <w:t>Neral</w:t>
            </w:r>
            <w:proofErr w:type="spellEnd"/>
            <w:r w:rsidRPr="009E7EE2">
              <w:rPr>
                <w:rFonts w:ascii="Arial" w:eastAsia="Times New Roman" w:hAnsi="Arial" w:cs="Arial"/>
                <w:sz w:val="20"/>
                <w:szCs w:val="20"/>
                <w:lang w:val="en-ID" w:eastAsia="en-ID"/>
              </w:rPr>
              <w:t>)</w:t>
            </w:r>
          </w:p>
        </w:tc>
        <w:tc>
          <w:tcPr>
            <w:tcW w:w="1417" w:type="dxa"/>
            <w:hideMark/>
          </w:tcPr>
          <w:p w14:paraId="01232C0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Cymbopogon </w:t>
            </w:r>
            <w:proofErr w:type="spellStart"/>
            <w:r w:rsidRPr="009E7EE2">
              <w:rPr>
                <w:rFonts w:ascii="Arial" w:eastAsia="Times New Roman" w:hAnsi="Arial" w:cs="Arial"/>
                <w:i/>
                <w:iCs/>
                <w:sz w:val="20"/>
                <w:szCs w:val="20"/>
                <w:lang w:val="en-ID" w:eastAsia="en-ID"/>
              </w:rPr>
              <w:t>citratus</w:t>
            </w:r>
            <w:proofErr w:type="spellEnd"/>
          </w:p>
        </w:tc>
        <w:tc>
          <w:tcPr>
            <w:tcW w:w="851" w:type="dxa"/>
            <w:hideMark/>
          </w:tcPr>
          <w:p w14:paraId="3D5C9F2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0" w:type="dxa"/>
            <w:hideMark/>
          </w:tcPr>
          <w:p w14:paraId="25532F4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1" w:type="dxa"/>
            <w:hideMark/>
          </w:tcPr>
          <w:p w14:paraId="0349A95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0" w:type="dxa"/>
            <w:hideMark/>
          </w:tcPr>
          <w:p w14:paraId="3BF2FDD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851" w:type="dxa"/>
            <w:hideMark/>
          </w:tcPr>
          <w:p w14:paraId="740135F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992" w:type="dxa"/>
            <w:hideMark/>
          </w:tcPr>
          <w:p w14:paraId="6D8118A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−4.38 ± 0.08</w:t>
            </w:r>
          </w:p>
        </w:tc>
      </w:tr>
      <w:tr w:rsidR="00114E8D" w:rsidRPr="00114E8D" w14:paraId="6CF6E70C" w14:textId="77777777" w:rsidTr="00145808">
        <w:tc>
          <w:tcPr>
            <w:tcW w:w="562" w:type="dxa"/>
            <w:hideMark/>
          </w:tcPr>
          <w:p w14:paraId="710FEE7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10</w:t>
            </w:r>
          </w:p>
        </w:tc>
        <w:tc>
          <w:tcPr>
            <w:tcW w:w="1418" w:type="dxa"/>
            <w:hideMark/>
          </w:tcPr>
          <w:p w14:paraId="0B3CF30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Curcumin</w:t>
            </w:r>
          </w:p>
        </w:tc>
        <w:tc>
          <w:tcPr>
            <w:tcW w:w="1417" w:type="dxa"/>
            <w:hideMark/>
          </w:tcPr>
          <w:p w14:paraId="3C44F1B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Curcuma longa</w:t>
            </w:r>
          </w:p>
        </w:tc>
        <w:tc>
          <w:tcPr>
            <w:tcW w:w="851" w:type="dxa"/>
            <w:hideMark/>
          </w:tcPr>
          <w:p w14:paraId="3BF9077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−6.0</w:t>
            </w:r>
          </w:p>
        </w:tc>
        <w:tc>
          <w:tcPr>
            <w:tcW w:w="850" w:type="dxa"/>
            <w:hideMark/>
          </w:tcPr>
          <w:p w14:paraId="5B9F425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−5.9</w:t>
            </w:r>
          </w:p>
        </w:tc>
        <w:tc>
          <w:tcPr>
            <w:tcW w:w="851" w:type="dxa"/>
            <w:hideMark/>
          </w:tcPr>
          <w:p w14:paraId="07C181C4"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−5.8</w:t>
            </w:r>
          </w:p>
        </w:tc>
        <w:tc>
          <w:tcPr>
            <w:tcW w:w="850" w:type="dxa"/>
            <w:hideMark/>
          </w:tcPr>
          <w:p w14:paraId="259BF47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−5.9</w:t>
            </w:r>
          </w:p>
        </w:tc>
        <w:tc>
          <w:tcPr>
            <w:tcW w:w="851" w:type="dxa"/>
            <w:hideMark/>
          </w:tcPr>
          <w:p w14:paraId="6AFEAF9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−5.9</w:t>
            </w:r>
          </w:p>
        </w:tc>
        <w:tc>
          <w:tcPr>
            <w:tcW w:w="992" w:type="dxa"/>
            <w:hideMark/>
          </w:tcPr>
          <w:p w14:paraId="47A3AB7E"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−5.90 ± 0.06</w:t>
            </w:r>
          </w:p>
        </w:tc>
      </w:tr>
      <w:tr w:rsidR="00114E8D" w:rsidRPr="00114E8D" w14:paraId="114D4EB3" w14:textId="77777777" w:rsidTr="00145808">
        <w:tc>
          <w:tcPr>
            <w:tcW w:w="562" w:type="dxa"/>
            <w:hideMark/>
          </w:tcPr>
          <w:p w14:paraId="570AB53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11</w:t>
            </w:r>
          </w:p>
        </w:tc>
        <w:tc>
          <w:tcPr>
            <w:tcW w:w="1418" w:type="dxa"/>
            <w:hideMark/>
          </w:tcPr>
          <w:p w14:paraId="50D7C4FE"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sz w:val="20"/>
                <w:szCs w:val="20"/>
                <w:lang w:val="en-ID" w:eastAsia="en-ID"/>
              </w:rPr>
              <w:t>Curdione</w:t>
            </w:r>
            <w:proofErr w:type="spellEnd"/>
          </w:p>
        </w:tc>
        <w:tc>
          <w:tcPr>
            <w:tcW w:w="1417" w:type="dxa"/>
            <w:hideMark/>
          </w:tcPr>
          <w:p w14:paraId="00AD2A54"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Curcuma </w:t>
            </w:r>
            <w:proofErr w:type="spellStart"/>
            <w:r w:rsidRPr="009E7EE2">
              <w:rPr>
                <w:rFonts w:ascii="Arial" w:eastAsia="Times New Roman" w:hAnsi="Arial" w:cs="Arial"/>
                <w:i/>
                <w:iCs/>
                <w:sz w:val="20"/>
                <w:szCs w:val="20"/>
                <w:lang w:val="en-ID" w:eastAsia="en-ID"/>
              </w:rPr>
              <w:t>zedoaria</w:t>
            </w:r>
            <w:proofErr w:type="spellEnd"/>
          </w:p>
        </w:tc>
        <w:tc>
          <w:tcPr>
            <w:tcW w:w="851" w:type="dxa"/>
            <w:hideMark/>
          </w:tcPr>
          <w:p w14:paraId="0E3D9B2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−5.2</w:t>
            </w:r>
          </w:p>
        </w:tc>
        <w:tc>
          <w:tcPr>
            <w:tcW w:w="850" w:type="dxa"/>
            <w:hideMark/>
          </w:tcPr>
          <w:p w14:paraId="6C7506D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−5.2</w:t>
            </w:r>
          </w:p>
        </w:tc>
        <w:tc>
          <w:tcPr>
            <w:tcW w:w="851" w:type="dxa"/>
            <w:hideMark/>
          </w:tcPr>
          <w:p w14:paraId="609396B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−5.2</w:t>
            </w:r>
          </w:p>
        </w:tc>
        <w:tc>
          <w:tcPr>
            <w:tcW w:w="850" w:type="dxa"/>
            <w:hideMark/>
          </w:tcPr>
          <w:p w14:paraId="1909ECC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−5.2</w:t>
            </w:r>
          </w:p>
        </w:tc>
        <w:tc>
          <w:tcPr>
            <w:tcW w:w="851" w:type="dxa"/>
            <w:hideMark/>
          </w:tcPr>
          <w:p w14:paraId="2CCD89A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−5.2</w:t>
            </w:r>
          </w:p>
        </w:tc>
        <w:tc>
          <w:tcPr>
            <w:tcW w:w="992" w:type="dxa"/>
            <w:hideMark/>
          </w:tcPr>
          <w:p w14:paraId="64259836" w14:textId="25A9CF11"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−5.20 ± 0.01</w:t>
            </w:r>
          </w:p>
        </w:tc>
      </w:tr>
      <w:tr w:rsidR="00114E8D" w:rsidRPr="00114E8D" w14:paraId="1563C749" w14:textId="77777777" w:rsidTr="00145808">
        <w:tc>
          <w:tcPr>
            <w:tcW w:w="562" w:type="dxa"/>
            <w:hideMark/>
          </w:tcPr>
          <w:p w14:paraId="5DD0DEE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12</w:t>
            </w:r>
          </w:p>
        </w:tc>
        <w:tc>
          <w:tcPr>
            <w:tcW w:w="1418" w:type="dxa"/>
            <w:hideMark/>
          </w:tcPr>
          <w:p w14:paraId="31040E66"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sz w:val="20"/>
                <w:szCs w:val="20"/>
                <w:lang w:val="en-ID" w:eastAsia="en-ID"/>
              </w:rPr>
              <w:t>Demethoxycurcumin</w:t>
            </w:r>
            <w:proofErr w:type="spellEnd"/>
          </w:p>
        </w:tc>
        <w:tc>
          <w:tcPr>
            <w:tcW w:w="1417" w:type="dxa"/>
            <w:hideMark/>
          </w:tcPr>
          <w:p w14:paraId="03A927A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Curcuma longa</w:t>
            </w:r>
          </w:p>
        </w:tc>
        <w:tc>
          <w:tcPr>
            <w:tcW w:w="851" w:type="dxa"/>
            <w:hideMark/>
          </w:tcPr>
          <w:p w14:paraId="0B63589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−6.0</w:t>
            </w:r>
          </w:p>
        </w:tc>
        <w:tc>
          <w:tcPr>
            <w:tcW w:w="850" w:type="dxa"/>
            <w:hideMark/>
          </w:tcPr>
          <w:p w14:paraId="7D4B26D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−6.0</w:t>
            </w:r>
          </w:p>
        </w:tc>
        <w:tc>
          <w:tcPr>
            <w:tcW w:w="851" w:type="dxa"/>
            <w:hideMark/>
          </w:tcPr>
          <w:p w14:paraId="471D317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−5.9</w:t>
            </w:r>
          </w:p>
        </w:tc>
        <w:tc>
          <w:tcPr>
            <w:tcW w:w="850" w:type="dxa"/>
            <w:hideMark/>
          </w:tcPr>
          <w:p w14:paraId="45FE65F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−6.0</w:t>
            </w:r>
          </w:p>
        </w:tc>
        <w:tc>
          <w:tcPr>
            <w:tcW w:w="851" w:type="dxa"/>
            <w:hideMark/>
          </w:tcPr>
          <w:p w14:paraId="4B99704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−6.0</w:t>
            </w:r>
          </w:p>
        </w:tc>
        <w:tc>
          <w:tcPr>
            <w:tcW w:w="992" w:type="dxa"/>
            <w:hideMark/>
          </w:tcPr>
          <w:p w14:paraId="5874D6D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−5.98 ± 0.04</w:t>
            </w:r>
          </w:p>
        </w:tc>
      </w:tr>
      <w:tr w:rsidR="00114E8D" w:rsidRPr="00114E8D" w14:paraId="3F85A7AB" w14:textId="77777777" w:rsidTr="00145808">
        <w:tc>
          <w:tcPr>
            <w:tcW w:w="562" w:type="dxa"/>
            <w:hideMark/>
          </w:tcPr>
          <w:p w14:paraId="2FE0FDAF"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13</w:t>
            </w:r>
          </w:p>
        </w:tc>
        <w:tc>
          <w:tcPr>
            <w:tcW w:w="1418" w:type="dxa"/>
            <w:hideMark/>
          </w:tcPr>
          <w:p w14:paraId="6570E4F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Eugenol</w:t>
            </w:r>
          </w:p>
        </w:tc>
        <w:tc>
          <w:tcPr>
            <w:tcW w:w="1417" w:type="dxa"/>
            <w:hideMark/>
          </w:tcPr>
          <w:p w14:paraId="370C88A9"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i/>
                <w:iCs/>
                <w:sz w:val="20"/>
                <w:szCs w:val="20"/>
                <w:lang w:val="en-ID" w:eastAsia="en-ID"/>
              </w:rPr>
              <w:t>Syzygium</w:t>
            </w:r>
            <w:proofErr w:type="spellEnd"/>
            <w:r w:rsidRPr="009E7EE2">
              <w:rPr>
                <w:rFonts w:ascii="Arial" w:eastAsia="Times New Roman" w:hAnsi="Arial" w:cs="Arial"/>
                <w:i/>
                <w:iCs/>
                <w:sz w:val="20"/>
                <w:szCs w:val="20"/>
                <w:lang w:val="en-ID" w:eastAsia="en-ID"/>
              </w:rPr>
              <w:t xml:space="preserve"> </w:t>
            </w:r>
            <w:proofErr w:type="spellStart"/>
            <w:r w:rsidRPr="009E7EE2">
              <w:rPr>
                <w:rFonts w:ascii="Arial" w:eastAsia="Times New Roman" w:hAnsi="Arial" w:cs="Arial"/>
                <w:i/>
                <w:iCs/>
                <w:sz w:val="20"/>
                <w:szCs w:val="20"/>
                <w:lang w:val="en-ID" w:eastAsia="en-ID"/>
              </w:rPr>
              <w:t>aromaticum</w:t>
            </w:r>
            <w:proofErr w:type="spellEnd"/>
          </w:p>
        </w:tc>
        <w:tc>
          <w:tcPr>
            <w:tcW w:w="851" w:type="dxa"/>
            <w:hideMark/>
          </w:tcPr>
          <w:p w14:paraId="76E3865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850" w:type="dxa"/>
            <w:hideMark/>
          </w:tcPr>
          <w:p w14:paraId="11A4EA3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851" w:type="dxa"/>
            <w:hideMark/>
          </w:tcPr>
          <w:p w14:paraId="7EB9B4D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850" w:type="dxa"/>
            <w:hideMark/>
          </w:tcPr>
          <w:p w14:paraId="355A8D4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851" w:type="dxa"/>
            <w:hideMark/>
          </w:tcPr>
          <w:p w14:paraId="6DEB484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992" w:type="dxa"/>
            <w:hideMark/>
          </w:tcPr>
          <w:p w14:paraId="76413B1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−4.40 ± 0.00</w:t>
            </w:r>
          </w:p>
        </w:tc>
      </w:tr>
      <w:tr w:rsidR="00114E8D" w:rsidRPr="00114E8D" w14:paraId="229EE5F7" w14:textId="77777777" w:rsidTr="00145808">
        <w:tc>
          <w:tcPr>
            <w:tcW w:w="562" w:type="dxa"/>
            <w:hideMark/>
          </w:tcPr>
          <w:p w14:paraId="057E26C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14</w:t>
            </w:r>
          </w:p>
        </w:tc>
        <w:tc>
          <w:tcPr>
            <w:tcW w:w="1418" w:type="dxa"/>
            <w:hideMark/>
          </w:tcPr>
          <w:p w14:paraId="53A1BFEF"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Geraniol</w:t>
            </w:r>
          </w:p>
        </w:tc>
        <w:tc>
          <w:tcPr>
            <w:tcW w:w="1417" w:type="dxa"/>
            <w:hideMark/>
          </w:tcPr>
          <w:p w14:paraId="7F4D1D6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Cymbopogon </w:t>
            </w:r>
            <w:proofErr w:type="spellStart"/>
            <w:r w:rsidRPr="009E7EE2">
              <w:rPr>
                <w:rFonts w:ascii="Arial" w:eastAsia="Times New Roman" w:hAnsi="Arial" w:cs="Arial"/>
                <w:i/>
                <w:iCs/>
                <w:sz w:val="20"/>
                <w:szCs w:val="20"/>
                <w:lang w:val="en-ID" w:eastAsia="en-ID"/>
              </w:rPr>
              <w:t>citratus</w:t>
            </w:r>
            <w:proofErr w:type="spellEnd"/>
          </w:p>
        </w:tc>
        <w:tc>
          <w:tcPr>
            <w:tcW w:w="851" w:type="dxa"/>
            <w:hideMark/>
          </w:tcPr>
          <w:p w14:paraId="4C6DA94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0" w:type="dxa"/>
            <w:hideMark/>
          </w:tcPr>
          <w:p w14:paraId="2603A664"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1" w:type="dxa"/>
            <w:hideMark/>
          </w:tcPr>
          <w:p w14:paraId="75131A8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0" w:type="dxa"/>
            <w:hideMark/>
          </w:tcPr>
          <w:p w14:paraId="78EC87F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1" w:type="dxa"/>
            <w:hideMark/>
          </w:tcPr>
          <w:p w14:paraId="252955D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992" w:type="dxa"/>
            <w:hideMark/>
          </w:tcPr>
          <w:p w14:paraId="3DCDFE3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−4.50 ± 0.00</w:t>
            </w:r>
          </w:p>
        </w:tc>
      </w:tr>
      <w:tr w:rsidR="00114E8D" w:rsidRPr="00114E8D" w14:paraId="7769AF7F" w14:textId="77777777" w:rsidTr="00145808">
        <w:tc>
          <w:tcPr>
            <w:tcW w:w="562" w:type="dxa"/>
            <w:hideMark/>
          </w:tcPr>
          <w:p w14:paraId="44E907F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15</w:t>
            </w:r>
          </w:p>
        </w:tc>
        <w:tc>
          <w:tcPr>
            <w:tcW w:w="1418" w:type="dxa"/>
            <w:hideMark/>
          </w:tcPr>
          <w:p w14:paraId="3AE3D418"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sz w:val="20"/>
                <w:szCs w:val="20"/>
                <w:lang w:val="en-ID" w:eastAsia="en-ID"/>
              </w:rPr>
              <w:t>Germacrone</w:t>
            </w:r>
            <w:proofErr w:type="spellEnd"/>
          </w:p>
        </w:tc>
        <w:tc>
          <w:tcPr>
            <w:tcW w:w="1417" w:type="dxa"/>
            <w:hideMark/>
          </w:tcPr>
          <w:p w14:paraId="514C612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Curcuma </w:t>
            </w:r>
            <w:proofErr w:type="spellStart"/>
            <w:r w:rsidRPr="009E7EE2">
              <w:rPr>
                <w:rFonts w:ascii="Arial" w:eastAsia="Times New Roman" w:hAnsi="Arial" w:cs="Arial"/>
                <w:i/>
                <w:iCs/>
                <w:sz w:val="20"/>
                <w:szCs w:val="20"/>
                <w:lang w:val="en-ID" w:eastAsia="en-ID"/>
              </w:rPr>
              <w:t>xanthorrhiza</w:t>
            </w:r>
            <w:proofErr w:type="spellEnd"/>
          </w:p>
        </w:tc>
        <w:tc>
          <w:tcPr>
            <w:tcW w:w="851" w:type="dxa"/>
            <w:hideMark/>
          </w:tcPr>
          <w:p w14:paraId="7A37029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0" w:type="dxa"/>
            <w:hideMark/>
          </w:tcPr>
          <w:p w14:paraId="2B6BE96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1" w:type="dxa"/>
            <w:hideMark/>
          </w:tcPr>
          <w:p w14:paraId="65E6AA7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0" w:type="dxa"/>
            <w:hideMark/>
          </w:tcPr>
          <w:p w14:paraId="5D26E6C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1" w:type="dxa"/>
            <w:hideMark/>
          </w:tcPr>
          <w:p w14:paraId="3870660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992" w:type="dxa"/>
            <w:hideMark/>
          </w:tcPr>
          <w:p w14:paraId="4B07703D" w14:textId="7E79860E"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 xml:space="preserve">−5.60 </w:t>
            </w:r>
            <w:proofErr w:type="gramStart"/>
            <w:r w:rsidRPr="009E7EE2">
              <w:rPr>
                <w:rFonts w:ascii="Arial" w:eastAsia="Times New Roman" w:hAnsi="Arial" w:cs="Arial"/>
                <w:sz w:val="20"/>
                <w:szCs w:val="20"/>
                <w:lang w:val="en-ID" w:eastAsia="en-ID"/>
              </w:rPr>
              <w:t>±  0</w:t>
            </w:r>
            <w:proofErr w:type="gramEnd"/>
            <w:r w:rsidRPr="009E7EE2">
              <w:rPr>
                <w:rFonts w:ascii="Arial" w:eastAsia="Times New Roman" w:hAnsi="Arial" w:cs="Arial"/>
                <w:sz w:val="20"/>
                <w:szCs w:val="20"/>
                <w:lang w:val="en-ID" w:eastAsia="en-ID"/>
              </w:rPr>
              <w:t>.01</w:t>
            </w:r>
          </w:p>
        </w:tc>
      </w:tr>
      <w:tr w:rsidR="00114E8D" w:rsidRPr="00114E8D" w14:paraId="3B2EB8C2" w14:textId="77777777" w:rsidTr="00145808">
        <w:tc>
          <w:tcPr>
            <w:tcW w:w="562" w:type="dxa"/>
            <w:hideMark/>
          </w:tcPr>
          <w:p w14:paraId="2C7E851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16</w:t>
            </w:r>
          </w:p>
        </w:tc>
        <w:tc>
          <w:tcPr>
            <w:tcW w:w="1418" w:type="dxa"/>
            <w:hideMark/>
          </w:tcPr>
          <w:p w14:paraId="0CC470D7"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Linalool</w:t>
            </w:r>
          </w:p>
        </w:tc>
        <w:tc>
          <w:tcPr>
            <w:tcW w:w="1417" w:type="dxa"/>
            <w:hideMark/>
          </w:tcPr>
          <w:p w14:paraId="6729A56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Myrtus communis</w:t>
            </w:r>
          </w:p>
        </w:tc>
        <w:tc>
          <w:tcPr>
            <w:tcW w:w="851" w:type="dxa"/>
            <w:hideMark/>
          </w:tcPr>
          <w:p w14:paraId="43BB03D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−4.1</w:t>
            </w:r>
          </w:p>
        </w:tc>
        <w:tc>
          <w:tcPr>
            <w:tcW w:w="850" w:type="dxa"/>
            <w:hideMark/>
          </w:tcPr>
          <w:p w14:paraId="788FE58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−4.1</w:t>
            </w:r>
          </w:p>
        </w:tc>
        <w:tc>
          <w:tcPr>
            <w:tcW w:w="851" w:type="dxa"/>
            <w:hideMark/>
          </w:tcPr>
          <w:p w14:paraId="4365B81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−4.1</w:t>
            </w:r>
          </w:p>
        </w:tc>
        <w:tc>
          <w:tcPr>
            <w:tcW w:w="850" w:type="dxa"/>
            <w:hideMark/>
          </w:tcPr>
          <w:p w14:paraId="30537BC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−4.1</w:t>
            </w:r>
          </w:p>
        </w:tc>
        <w:tc>
          <w:tcPr>
            <w:tcW w:w="851" w:type="dxa"/>
            <w:hideMark/>
          </w:tcPr>
          <w:p w14:paraId="0DBF869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−4.1</w:t>
            </w:r>
          </w:p>
        </w:tc>
        <w:tc>
          <w:tcPr>
            <w:tcW w:w="992" w:type="dxa"/>
            <w:hideMark/>
          </w:tcPr>
          <w:p w14:paraId="079A07E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−4.10 ± 0.00</w:t>
            </w:r>
          </w:p>
        </w:tc>
      </w:tr>
      <w:tr w:rsidR="00114E8D" w:rsidRPr="00114E8D" w14:paraId="0D98D67C" w14:textId="77777777" w:rsidTr="00145808">
        <w:tc>
          <w:tcPr>
            <w:tcW w:w="562" w:type="dxa"/>
            <w:hideMark/>
          </w:tcPr>
          <w:p w14:paraId="0A72C40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17</w:t>
            </w:r>
          </w:p>
        </w:tc>
        <w:tc>
          <w:tcPr>
            <w:tcW w:w="1418" w:type="dxa"/>
            <w:hideMark/>
          </w:tcPr>
          <w:p w14:paraId="6FD6A99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Terpineol</w:t>
            </w:r>
          </w:p>
        </w:tc>
        <w:tc>
          <w:tcPr>
            <w:tcW w:w="1417" w:type="dxa"/>
            <w:hideMark/>
          </w:tcPr>
          <w:p w14:paraId="1935D5E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Cymbopogon </w:t>
            </w:r>
            <w:proofErr w:type="spellStart"/>
            <w:r w:rsidRPr="009E7EE2">
              <w:rPr>
                <w:rFonts w:ascii="Arial" w:eastAsia="Times New Roman" w:hAnsi="Arial" w:cs="Arial"/>
                <w:i/>
                <w:iCs/>
                <w:sz w:val="20"/>
                <w:szCs w:val="20"/>
                <w:lang w:val="en-ID" w:eastAsia="en-ID"/>
              </w:rPr>
              <w:t>citratus</w:t>
            </w:r>
            <w:proofErr w:type="spellEnd"/>
          </w:p>
        </w:tc>
        <w:tc>
          <w:tcPr>
            <w:tcW w:w="851" w:type="dxa"/>
            <w:hideMark/>
          </w:tcPr>
          <w:p w14:paraId="415C187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0522AE3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1" w:type="dxa"/>
            <w:hideMark/>
          </w:tcPr>
          <w:p w14:paraId="1E828E4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119853BE"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1" w:type="dxa"/>
            <w:hideMark/>
          </w:tcPr>
          <w:p w14:paraId="1BD16AB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992" w:type="dxa"/>
            <w:hideMark/>
          </w:tcPr>
          <w:p w14:paraId="4BF83F1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−4.60 ± 0.00</w:t>
            </w:r>
          </w:p>
        </w:tc>
      </w:tr>
      <w:tr w:rsidR="00114E8D" w:rsidRPr="00114E8D" w14:paraId="4E787512" w14:textId="77777777" w:rsidTr="00145808">
        <w:tc>
          <w:tcPr>
            <w:tcW w:w="562" w:type="dxa"/>
            <w:hideMark/>
          </w:tcPr>
          <w:p w14:paraId="3B68FBF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18</w:t>
            </w:r>
          </w:p>
        </w:tc>
        <w:tc>
          <w:tcPr>
            <w:tcW w:w="1418" w:type="dxa"/>
            <w:hideMark/>
          </w:tcPr>
          <w:p w14:paraId="4596C69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Thymol</w:t>
            </w:r>
          </w:p>
        </w:tc>
        <w:tc>
          <w:tcPr>
            <w:tcW w:w="1417" w:type="dxa"/>
            <w:hideMark/>
          </w:tcPr>
          <w:p w14:paraId="444D478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Thymus vulgaris</w:t>
            </w:r>
          </w:p>
        </w:tc>
        <w:tc>
          <w:tcPr>
            <w:tcW w:w="851" w:type="dxa"/>
            <w:hideMark/>
          </w:tcPr>
          <w:p w14:paraId="63BCDFA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5FDBED1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1" w:type="dxa"/>
            <w:hideMark/>
          </w:tcPr>
          <w:p w14:paraId="13228D4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2F91B58E"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1" w:type="dxa"/>
            <w:hideMark/>
          </w:tcPr>
          <w:p w14:paraId="03EED23F"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992" w:type="dxa"/>
            <w:hideMark/>
          </w:tcPr>
          <w:p w14:paraId="7C045D3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−4.60 ± 0.00</w:t>
            </w:r>
          </w:p>
        </w:tc>
      </w:tr>
      <w:tr w:rsidR="00114E8D" w:rsidRPr="00114E8D" w14:paraId="55C26C5A" w14:textId="77777777" w:rsidTr="00145808">
        <w:tc>
          <w:tcPr>
            <w:tcW w:w="562" w:type="dxa"/>
            <w:hideMark/>
          </w:tcPr>
          <w:p w14:paraId="7E30240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19</w:t>
            </w:r>
          </w:p>
        </w:tc>
        <w:tc>
          <w:tcPr>
            <w:tcW w:w="1418" w:type="dxa"/>
            <w:hideMark/>
          </w:tcPr>
          <w:p w14:paraId="17E22CDB"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sz w:val="20"/>
                <w:szCs w:val="20"/>
                <w:lang w:val="en-ID" w:eastAsia="en-ID"/>
              </w:rPr>
              <w:t>Xanthorrhizol</w:t>
            </w:r>
            <w:proofErr w:type="spellEnd"/>
          </w:p>
        </w:tc>
        <w:tc>
          <w:tcPr>
            <w:tcW w:w="1417" w:type="dxa"/>
            <w:hideMark/>
          </w:tcPr>
          <w:p w14:paraId="5ADF960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Curcuma </w:t>
            </w:r>
            <w:proofErr w:type="spellStart"/>
            <w:r w:rsidRPr="009E7EE2">
              <w:rPr>
                <w:rFonts w:ascii="Arial" w:eastAsia="Times New Roman" w:hAnsi="Arial" w:cs="Arial"/>
                <w:i/>
                <w:iCs/>
                <w:sz w:val="20"/>
                <w:szCs w:val="20"/>
                <w:lang w:val="en-ID" w:eastAsia="en-ID"/>
              </w:rPr>
              <w:t>xanthorrhiza</w:t>
            </w:r>
            <w:proofErr w:type="spellEnd"/>
          </w:p>
        </w:tc>
        <w:tc>
          <w:tcPr>
            <w:tcW w:w="851" w:type="dxa"/>
            <w:hideMark/>
          </w:tcPr>
          <w:p w14:paraId="4E8AE3B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0" w:type="dxa"/>
            <w:hideMark/>
          </w:tcPr>
          <w:p w14:paraId="414F535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1B3C818E"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−5.7</w:t>
            </w:r>
          </w:p>
        </w:tc>
        <w:tc>
          <w:tcPr>
            <w:tcW w:w="850" w:type="dxa"/>
            <w:hideMark/>
          </w:tcPr>
          <w:p w14:paraId="7B42D55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4E003424"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992" w:type="dxa"/>
            <w:hideMark/>
          </w:tcPr>
          <w:p w14:paraId="78DD1D8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−4.98 ± 0.36</w:t>
            </w:r>
          </w:p>
        </w:tc>
      </w:tr>
      <w:tr w:rsidR="00114E8D" w:rsidRPr="00114E8D" w14:paraId="283EFAD5" w14:textId="77777777" w:rsidTr="00145808">
        <w:tc>
          <w:tcPr>
            <w:tcW w:w="562" w:type="dxa"/>
            <w:hideMark/>
          </w:tcPr>
          <w:p w14:paraId="1EC3AE6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20</w:t>
            </w:r>
          </w:p>
        </w:tc>
        <w:tc>
          <w:tcPr>
            <w:tcW w:w="1418" w:type="dxa"/>
            <w:hideMark/>
          </w:tcPr>
          <w:p w14:paraId="5406B35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Zingerone</w:t>
            </w:r>
          </w:p>
        </w:tc>
        <w:tc>
          <w:tcPr>
            <w:tcW w:w="1417" w:type="dxa"/>
            <w:hideMark/>
          </w:tcPr>
          <w:p w14:paraId="201A9EC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Zingiber officinale</w:t>
            </w:r>
          </w:p>
        </w:tc>
        <w:tc>
          <w:tcPr>
            <w:tcW w:w="851" w:type="dxa"/>
            <w:hideMark/>
          </w:tcPr>
          <w:p w14:paraId="3849ABB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0" w:type="dxa"/>
            <w:hideMark/>
          </w:tcPr>
          <w:p w14:paraId="7D4D04CF"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0EBE730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0" w:type="dxa"/>
            <w:hideMark/>
          </w:tcPr>
          <w:p w14:paraId="3B4FE13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028080C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992" w:type="dxa"/>
            <w:hideMark/>
          </w:tcPr>
          <w:p w14:paraId="16D9452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−4.80 ± 0.00</w:t>
            </w:r>
          </w:p>
        </w:tc>
      </w:tr>
    </w:tbl>
    <w:p w14:paraId="36A3CBD5" w14:textId="50F9F438" w:rsidR="00114E8D" w:rsidRDefault="00114E8D" w:rsidP="00441B6F">
      <w:pPr>
        <w:tabs>
          <w:tab w:val="left" w:pos="1080"/>
        </w:tabs>
        <w:jc w:val="both"/>
        <w:rPr>
          <w:rFonts w:ascii="Arial" w:hAnsi="Arial"/>
          <w:b/>
        </w:rPr>
      </w:pPr>
    </w:p>
    <w:p w14:paraId="37D09847" w14:textId="77777777" w:rsidR="00D710C6" w:rsidRDefault="00D710C6" w:rsidP="00D710C6">
      <w:pPr>
        <w:jc w:val="both"/>
        <w:rPr>
          <w:rFonts w:ascii="Arial" w:hAnsi="Arial" w:cs="Arial"/>
          <w:b/>
          <w:bCs/>
          <w:lang w:val="en-ID" w:eastAsia="en-ID"/>
        </w:rPr>
      </w:pPr>
      <w:r w:rsidRPr="00D710C6">
        <w:rPr>
          <w:rFonts w:ascii="Arial" w:hAnsi="Arial" w:cs="Arial"/>
          <w:b/>
          <w:bCs/>
          <w:lang w:val="en-ID" w:eastAsia="en-ID"/>
        </w:rPr>
        <w:t>3.2. Affinity Ranking and Ligand Binding Analysis</w:t>
      </w:r>
    </w:p>
    <w:p w14:paraId="7A794E0D" w14:textId="77777777" w:rsidR="00D710C6" w:rsidRPr="00D710C6" w:rsidRDefault="00D710C6" w:rsidP="00D710C6">
      <w:pPr>
        <w:jc w:val="both"/>
        <w:rPr>
          <w:rFonts w:ascii="Arial" w:hAnsi="Arial" w:cs="Arial"/>
          <w:b/>
          <w:bCs/>
          <w:lang w:val="en-ID" w:eastAsia="en-ID"/>
        </w:rPr>
      </w:pPr>
    </w:p>
    <w:p w14:paraId="586EAA3E" w14:textId="6BC72C46" w:rsidR="00D710C6" w:rsidRDefault="00D710C6" w:rsidP="00D710C6">
      <w:pPr>
        <w:jc w:val="both"/>
        <w:rPr>
          <w:rFonts w:ascii="Arial" w:hAnsi="Arial" w:cs="Arial"/>
          <w:lang w:eastAsia="en-ID"/>
        </w:rPr>
      </w:pPr>
      <w:r w:rsidRPr="00D710C6">
        <w:rPr>
          <w:rFonts w:ascii="Arial" w:hAnsi="Arial" w:cs="Arial"/>
          <w:lang w:val="en-ID" w:eastAsia="en-ID"/>
        </w:rPr>
        <w:t>The mean binding energies across five replicates exhibited strong convergence (SD &lt; 0.3 kcal mol</w:t>
      </w:r>
      <w:r w:rsidRPr="00D710C6">
        <w:rPr>
          <w:rFonts w:ascii="Cambria Math" w:hAnsi="Cambria Math" w:cs="Cambria Math"/>
          <w:lang w:val="en-ID" w:eastAsia="en-ID"/>
        </w:rPr>
        <w:t>⁻</w:t>
      </w:r>
      <w:r w:rsidRPr="00D710C6">
        <w:rPr>
          <w:rFonts w:ascii="Arial" w:hAnsi="Arial" w:cs="Arial"/>
          <w:lang w:val="en-ID" w:eastAsia="en-ID"/>
        </w:rPr>
        <w:t>¹) and consistent ligand orientations within the SAP2 binding pocket.</w:t>
      </w:r>
      <w:r>
        <w:rPr>
          <w:rFonts w:ascii="Arial" w:hAnsi="Arial" w:cs="Arial"/>
          <w:lang w:val="en-ID" w:eastAsia="en-ID"/>
        </w:rPr>
        <w:t xml:space="preserve"> </w:t>
      </w:r>
      <w:r w:rsidRPr="00D710C6">
        <w:rPr>
          <w:rFonts w:ascii="Arial" w:hAnsi="Arial" w:cs="Arial"/>
          <w:lang w:val="en-ID" w:eastAsia="en-ID"/>
        </w:rPr>
        <w:t>The overall energies ranged between −4.1 and −6.0 kcal mol</w:t>
      </w:r>
      <w:r w:rsidRPr="00D710C6">
        <w:rPr>
          <w:rFonts w:ascii="Cambria Math" w:hAnsi="Cambria Math" w:cs="Cambria Math"/>
          <w:lang w:val="en-ID" w:eastAsia="en-ID"/>
        </w:rPr>
        <w:t>⁻</w:t>
      </w:r>
      <w:r w:rsidRPr="00D710C6">
        <w:rPr>
          <w:rFonts w:ascii="Arial" w:hAnsi="Arial" w:cs="Arial"/>
          <w:lang w:val="en-ID" w:eastAsia="en-ID"/>
        </w:rPr>
        <w:t xml:space="preserve">¹. </w:t>
      </w:r>
      <w:r w:rsidRPr="00D710C6">
        <w:rPr>
          <w:rFonts w:ascii="Arial" w:hAnsi="Arial" w:cs="Arial"/>
          <w:lang w:eastAsia="en-ID"/>
        </w:rPr>
        <w:t>The five top-ranked phytochemicals—</w:t>
      </w:r>
      <w:proofErr w:type="spellStart"/>
      <w:r w:rsidRPr="00D710C6">
        <w:rPr>
          <w:rFonts w:ascii="Arial" w:hAnsi="Arial" w:cs="Arial"/>
          <w:lang w:eastAsia="en-ID"/>
        </w:rPr>
        <w:t>demethoxycurcumin</w:t>
      </w:r>
      <w:proofErr w:type="spellEnd"/>
      <w:r w:rsidRPr="00D710C6">
        <w:rPr>
          <w:rFonts w:ascii="Arial" w:hAnsi="Arial" w:cs="Arial"/>
          <w:lang w:eastAsia="en-ID"/>
        </w:rPr>
        <w:t xml:space="preserve">, curcumin, bisdemethoxycurcumin, </w:t>
      </w:r>
      <w:proofErr w:type="spellStart"/>
      <w:r w:rsidRPr="00D710C6">
        <w:rPr>
          <w:rFonts w:ascii="Arial" w:hAnsi="Arial" w:cs="Arial"/>
          <w:lang w:eastAsia="en-ID"/>
        </w:rPr>
        <w:t>germacrone</w:t>
      </w:r>
      <w:proofErr w:type="spellEnd"/>
      <w:r w:rsidRPr="00D710C6">
        <w:rPr>
          <w:rFonts w:ascii="Arial" w:hAnsi="Arial" w:cs="Arial"/>
          <w:lang w:eastAsia="en-ID"/>
        </w:rPr>
        <w:t>, and β-bisabolene—showed the most favorable interactions.</w:t>
      </w:r>
    </w:p>
    <w:p w14:paraId="3A571589" w14:textId="5AD604C8" w:rsidR="00D710C6" w:rsidRPr="00D710C6" w:rsidRDefault="00D710C6" w:rsidP="00D710C6">
      <w:pPr>
        <w:jc w:val="both"/>
        <w:rPr>
          <w:rFonts w:ascii="Arial" w:hAnsi="Arial" w:cs="Arial"/>
          <w:lang w:val="en-ID" w:eastAsia="en-ID"/>
        </w:rPr>
      </w:pPr>
    </w:p>
    <w:p w14:paraId="2885ED2F" w14:textId="6816C6B0" w:rsidR="00D710C6" w:rsidRDefault="00D710C6" w:rsidP="00D710C6">
      <w:pPr>
        <w:jc w:val="both"/>
        <w:rPr>
          <w:rFonts w:ascii="Arial" w:hAnsi="Arial" w:cs="Arial"/>
          <w:lang w:val="en-ID" w:eastAsia="en-ID"/>
        </w:rPr>
      </w:pPr>
      <w:r w:rsidRPr="00D710C6">
        <w:rPr>
          <w:rFonts w:ascii="Arial" w:hAnsi="Arial" w:cs="Arial"/>
          <w:lang w:val="en-ID" w:eastAsia="en-ID"/>
        </w:rPr>
        <w:t>Curcuminoids (</w:t>
      </w:r>
      <w:proofErr w:type="spellStart"/>
      <w:r w:rsidRPr="00D710C6">
        <w:rPr>
          <w:rFonts w:ascii="Arial" w:hAnsi="Arial" w:cs="Arial"/>
          <w:i/>
          <w:iCs/>
          <w:lang w:val="en-ID" w:eastAsia="en-ID"/>
        </w:rPr>
        <w:t>demethoxycurcumin</w:t>
      </w:r>
      <w:proofErr w:type="spellEnd"/>
      <w:r w:rsidRPr="00D710C6">
        <w:rPr>
          <w:rFonts w:ascii="Arial" w:hAnsi="Arial" w:cs="Arial"/>
          <w:i/>
          <w:iCs/>
          <w:lang w:val="en-ID" w:eastAsia="en-ID"/>
        </w:rPr>
        <w:t>, curcumin,</w:t>
      </w:r>
      <w:r w:rsidRPr="00D710C6">
        <w:rPr>
          <w:rFonts w:ascii="Arial" w:hAnsi="Arial" w:cs="Arial"/>
          <w:lang w:val="en-ID" w:eastAsia="en-ID"/>
        </w:rPr>
        <w:t xml:space="preserve"> and </w:t>
      </w:r>
      <w:r w:rsidRPr="00D710C6">
        <w:rPr>
          <w:rFonts w:ascii="Arial" w:hAnsi="Arial" w:cs="Arial"/>
          <w:i/>
          <w:iCs/>
          <w:lang w:val="en-ID" w:eastAsia="en-ID"/>
        </w:rPr>
        <w:t>bisdemethoxycurcumin</w:t>
      </w:r>
      <w:r w:rsidRPr="00D710C6">
        <w:rPr>
          <w:rFonts w:ascii="Arial" w:hAnsi="Arial" w:cs="Arial"/>
          <w:lang w:val="en-ID" w:eastAsia="en-ID"/>
        </w:rPr>
        <w:t>) share a β-diketone linker and extended aromatic π-systems that enable multiple hydrogen bonds and π–π or π–alkyl contacts near the Asp32–Asp218 catalytic dyad. These dual polar–hydrophobic interactions enhance electrostatic complementarity and explain their superior affinities, consistent with previous reports of curcuminoid-mediated protease inhibition</w:t>
      </w:r>
      <w:r w:rsidR="00696512">
        <w:rPr>
          <w:rFonts w:ascii="Arial" w:hAnsi="Arial" w:cs="Arial"/>
          <w:lang w:val="en-ID" w:eastAsia="en-ID"/>
        </w:rPr>
        <w:t xml:space="preserve"> </w:t>
      </w:r>
      <w:proofErr w:type="gramStart"/>
      <w:r w:rsidR="00696512">
        <w:rPr>
          <w:rFonts w:ascii="Arial" w:hAnsi="Arial" w:cs="Arial"/>
          <w:lang w:val="en-ID" w:eastAsia="en-ID"/>
        </w:rPr>
        <w:t xml:space="preserve">( </w:t>
      </w:r>
      <w:r w:rsidR="00696512" w:rsidRPr="00696512">
        <w:rPr>
          <w:rFonts w:ascii="Arial" w:hAnsi="Arial" w:cs="Arial"/>
          <w:lang w:eastAsia="en-ID"/>
        </w:rPr>
        <w:t>Priyadarsini</w:t>
      </w:r>
      <w:proofErr w:type="gramEnd"/>
      <w:r w:rsidR="00696512" w:rsidRPr="00696512">
        <w:rPr>
          <w:rFonts w:ascii="Arial" w:hAnsi="Arial" w:cs="Arial"/>
          <w:lang w:eastAsia="en-ID"/>
        </w:rPr>
        <w:t>,</w:t>
      </w:r>
      <w:r w:rsidR="00696512">
        <w:rPr>
          <w:rFonts w:ascii="Arial" w:hAnsi="Arial" w:cs="Arial"/>
          <w:lang w:eastAsia="en-ID"/>
        </w:rPr>
        <w:t xml:space="preserve"> </w:t>
      </w:r>
      <w:r w:rsidR="00696512" w:rsidRPr="00696512">
        <w:rPr>
          <w:rFonts w:ascii="Arial" w:hAnsi="Arial" w:cs="Arial"/>
          <w:lang w:eastAsia="en-ID"/>
        </w:rPr>
        <w:t>2014)</w:t>
      </w:r>
      <w:r w:rsidRPr="00D710C6">
        <w:rPr>
          <w:rFonts w:ascii="Arial" w:hAnsi="Arial" w:cs="Arial"/>
          <w:lang w:val="en-ID" w:eastAsia="en-ID"/>
        </w:rPr>
        <w:t>.</w:t>
      </w:r>
    </w:p>
    <w:p w14:paraId="0501C13B" w14:textId="77777777" w:rsidR="00D710C6" w:rsidRPr="00D710C6" w:rsidRDefault="00D710C6" w:rsidP="00D710C6">
      <w:pPr>
        <w:jc w:val="both"/>
        <w:rPr>
          <w:rFonts w:ascii="Arial" w:hAnsi="Arial" w:cs="Arial"/>
          <w:lang w:val="en-ID" w:eastAsia="en-ID"/>
        </w:rPr>
      </w:pPr>
    </w:p>
    <w:p w14:paraId="34E8E3B0" w14:textId="7179EBBE" w:rsidR="00D710C6" w:rsidRDefault="00D710C6" w:rsidP="00D710C6">
      <w:pPr>
        <w:jc w:val="both"/>
        <w:rPr>
          <w:rFonts w:ascii="Arial" w:hAnsi="Arial" w:cs="Arial"/>
          <w:lang w:val="en-ID" w:eastAsia="en-ID"/>
        </w:rPr>
      </w:pPr>
      <w:r w:rsidRPr="00D710C6">
        <w:rPr>
          <w:rFonts w:ascii="Arial" w:hAnsi="Arial" w:cs="Arial"/>
          <w:lang w:val="en-ID" w:eastAsia="en-ID"/>
        </w:rPr>
        <w:t xml:space="preserve">In contrast, the sesquiterpenoids </w:t>
      </w:r>
      <w:proofErr w:type="spellStart"/>
      <w:r w:rsidRPr="00D710C6">
        <w:rPr>
          <w:rFonts w:ascii="Arial" w:hAnsi="Arial" w:cs="Arial"/>
          <w:i/>
          <w:iCs/>
          <w:lang w:val="en-ID" w:eastAsia="en-ID"/>
        </w:rPr>
        <w:t>germacrone</w:t>
      </w:r>
      <w:proofErr w:type="spellEnd"/>
      <w:r w:rsidRPr="00D710C6">
        <w:rPr>
          <w:rFonts w:ascii="Arial" w:hAnsi="Arial" w:cs="Arial"/>
          <w:lang w:val="en-ID" w:eastAsia="en-ID"/>
        </w:rPr>
        <w:t xml:space="preserve"> and </w:t>
      </w:r>
      <w:r w:rsidRPr="00D710C6">
        <w:rPr>
          <w:rFonts w:ascii="Arial" w:hAnsi="Arial" w:cs="Arial"/>
          <w:i/>
          <w:iCs/>
          <w:lang w:val="en-ID" w:eastAsia="en-ID"/>
        </w:rPr>
        <w:t>β-</w:t>
      </w:r>
      <w:proofErr w:type="spellStart"/>
      <w:r w:rsidRPr="00D710C6">
        <w:rPr>
          <w:rFonts w:ascii="Arial" w:hAnsi="Arial" w:cs="Arial"/>
          <w:i/>
          <w:iCs/>
          <w:lang w:val="en-ID" w:eastAsia="en-ID"/>
        </w:rPr>
        <w:t>bisabolene</w:t>
      </w:r>
      <w:proofErr w:type="spellEnd"/>
      <w:r w:rsidRPr="00D710C6">
        <w:rPr>
          <w:rFonts w:ascii="Arial" w:hAnsi="Arial" w:cs="Arial"/>
          <w:lang w:val="en-ID" w:eastAsia="en-ID"/>
        </w:rPr>
        <w:t xml:space="preserve"> exhibited predominantly hydrophobic anchoring stabilized by van der Waals (</w:t>
      </w:r>
      <w:proofErr w:type="spellStart"/>
      <w:r w:rsidRPr="00D710C6">
        <w:rPr>
          <w:rFonts w:ascii="Arial" w:hAnsi="Arial" w:cs="Arial"/>
          <w:lang w:val="en-ID" w:eastAsia="en-ID"/>
        </w:rPr>
        <w:t>vdW</w:t>
      </w:r>
      <w:proofErr w:type="spellEnd"/>
      <w:r w:rsidRPr="00D710C6">
        <w:rPr>
          <w:rFonts w:ascii="Arial" w:hAnsi="Arial" w:cs="Arial"/>
          <w:lang w:val="en-ID" w:eastAsia="en-ID"/>
        </w:rPr>
        <w:t>) contacts with Leu297, Pro162, and Ile223, yielding reproducible binding energies (~ −5.6 kcal mol</w:t>
      </w:r>
      <w:r w:rsidRPr="00D710C6">
        <w:rPr>
          <w:rFonts w:ascii="Cambria Math" w:hAnsi="Cambria Math" w:cs="Cambria Math"/>
          <w:lang w:val="en-ID" w:eastAsia="en-ID"/>
        </w:rPr>
        <w:t>⁻</w:t>
      </w:r>
      <w:r w:rsidRPr="00D710C6">
        <w:rPr>
          <w:rFonts w:ascii="Arial" w:hAnsi="Arial" w:cs="Arial"/>
          <w:lang w:val="en-ID" w:eastAsia="en-ID"/>
        </w:rPr>
        <w:t xml:space="preserve">¹; SD &lt; 0.1). Smaller and less polar molecules such as </w:t>
      </w:r>
      <w:proofErr w:type="spellStart"/>
      <w:r w:rsidRPr="00D710C6">
        <w:rPr>
          <w:rFonts w:ascii="Arial" w:hAnsi="Arial" w:cs="Arial"/>
          <w:i/>
          <w:iCs/>
          <w:lang w:val="en-ID" w:eastAsia="en-ID"/>
        </w:rPr>
        <w:t>citral</w:t>
      </w:r>
      <w:proofErr w:type="spellEnd"/>
      <w:r w:rsidRPr="00D710C6">
        <w:rPr>
          <w:rFonts w:ascii="Arial" w:hAnsi="Arial" w:cs="Arial"/>
          <w:lang w:val="en-ID" w:eastAsia="en-ID"/>
        </w:rPr>
        <w:t xml:space="preserve"> and </w:t>
      </w:r>
      <w:r w:rsidRPr="00D710C6">
        <w:rPr>
          <w:rFonts w:ascii="Arial" w:hAnsi="Arial" w:cs="Arial"/>
          <w:i/>
          <w:iCs/>
          <w:lang w:val="en-ID" w:eastAsia="en-ID"/>
        </w:rPr>
        <w:t>eugenol</w:t>
      </w:r>
      <w:r w:rsidRPr="00D710C6">
        <w:rPr>
          <w:rFonts w:ascii="Arial" w:hAnsi="Arial" w:cs="Arial"/>
          <w:lang w:val="en-ID" w:eastAsia="en-ID"/>
        </w:rPr>
        <w:t xml:space="preserve"> showed moderate affinities (~ −4.4 kcal mol</w:t>
      </w:r>
      <w:r w:rsidRPr="00D710C6">
        <w:rPr>
          <w:rFonts w:ascii="Cambria Math" w:hAnsi="Cambria Math" w:cs="Cambria Math"/>
          <w:lang w:val="en-ID" w:eastAsia="en-ID"/>
        </w:rPr>
        <w:t>⁻</w:t>
      </w:r>
      <w:r w:rsidRPr="00D710C6">
        <w:rPr>
          <w:rFonts w:ascii="Arial" w:hAnsi="Arial" w:cs="Arial"/>
          <w:lang w:val="en-ID" w:eastAsia="en-ID"/>
        </w:rPr>
        <w:t>¹), consistent with antifungal mechanisms dominated by membrane perturbation rather than enzymatic inhibition.</w:t>
      </w:r>
    </w:p>
    <w:p w14:paraId="35B529AB" w14:textId="4B6A5CB7" w:rsidR="00D710C6" w:rsidRPr="00D710C6" w:rsidRDefault="00D710C6" w:rsidP="00D710C6">
      <w:pPr>
        <w:jc w:val="both"/>
        <w:rPr>
          <w:rFonts w:ascii="Arial" w:hAnsi="Arial" w:cs="Arial"/>
          <w:lang w:val="en-ID" w:eastAsia="en-ID"/>
        </w:rPr>
      </w:pPr>
    </w:p>
    <w:p w14:paraId="6573B8F1" w14:textId="37E05A98" w:rsidR="00D710C6" w:rsidRPr="00D710C6" w:rsidRDefault="00D710C6" w:rsidP="00D710C6">
      <w:pPr>
        <w:jc w:val="both"/>
        <w:rPr>
          <w:rFonts w:ascii="Arial" w:hAnsi="Arial" w:cs="Arial"/>
          <w:lang w:val="en-ID" w:eastAsia="en-ID"/>
        </w:rPr>
      </w:pPr>
      <w:r w:rsidRPr="00D710C6">
        <w:rPr>
          <w:rFonts w:ascii="Arial" w:hAnsi="Arial" w:cs="Arial"/>
          <w:lang w:val="en-ID" w:eastAsia="en-ID"/>
        </w:rPr>
        <w:t>Ligands with ΔG ≤ −5.0 kcal mol</w:t>
      </w:r>
      <w:r w:rsidRPr="00D710C6">
        <w:rPr>
          <w:rFonts w:ascii="Cambria Math" w:hAnsi="Cambria Math" w:cs="Cambria Math"/>
          <w:lang w:val="en-ID" w:eastAsia="en-ID"/>
        </w:rPr>
        <w:t>⁻</w:t>
      </w:r>
      <w:r w:rsidRPr="00D710C6">
        <w:rPr>
          <w:rFonts w:ascii="Arial" w:hAnsi="Arial" w:cs="Arial"/>
          <w:lang w:val="en-ID" w:eastAsia="en-ID"/>
        </w:rPr>
        <w:t xml:space="preserve">¹ were thus classified as biologically relevant SAP2 binders, particularly </w:t>
      </w:r>
      <w:r w:rsidRPr="00D710C6">
        <w:rPr>
          <w:rFonts w:ascii="Arial" w:hAnsi="Arial" w:cs="Arial"/>
          <w:i/>
          <w:iCs/>
          <w:lang w:val="en-ID" w:eastAsia="en-ID"/>
        </w:rPr>
        <w:t>Curcuma</w:t>
      </w:r>
      <w:r w:rsidRPr="00D710C6">
        <w:rPr>
          <w:rFonts w:ascii="Arial" w:hAnsi="Arial" w:cs="Arial"/>
          <w:lang w:val="en-ID" w:eastAsia="en-ID"/>
        </w:rPr>
        <w:t xml:space="preserve">-derived curcuminoids and </w:t>
      </w:r>
      <w:proofErr w:type="spellStart"/>
      <w:r w:rsidRPr="00D710C6">
        <w:rPr>
          <w:rFonts w:ascii="Arial" w:hAnsi="Arial" w:cs="Arial"/>
          <w:i/>
          <w:iCs/>
          <w:lang w:val="en-ID" w:eastAsia="en-ID"/>
        </w:rPr>
        <w:t>Zingiberaceae</w:t>
      </w:r>
      <w:proofErr w:type="spellEnd"/>
      <w:r w:rsidRPr="00D710C6">
        <w:rPr>
          <w:rFonts w:ascii="Arial" w:hAnsi="Arial" w:cs="Arial"/>
          <w:lang w:val="en-ID" w:eastAsia="en-ID"/>
        </w:rPr>
        <w:t>-derived sesquiterpenoids exhibiting strong catalytic-site complementarity.</w:t>
      </w:r>
    </w:p>
    <w:p w14:paraId="238AE5DF" w14:textId="77777777" w:rsidR="00D710C6" w:rsidRPr="00D710C6" w:rsidRDefault="00D710C6" w:rsidP="00D710C6">
      <w:pPr>
        <w:jc w:val="both"/>
        <w:rPr>
          <w:rFonts w:ascii="Arial" w:hAnsi="Arial" w:cs="Arial"/>
          <w:lang w:val="en-ID" w:eastAsia="en-ID"/>
        </w:rPr>
      </w:pPr>
    </w:p>
    <w:p w14:paraId="22A15A34" w14:textId="4C84EFAE" w:rsidR="00D710C6" w:rsidRPr="00D710C6" w:rsidRDefault="00D710C6" w:rsidP="00D710C6">
      <w:pPr>
        <w:jc w:val="both"/>
        <w:rPr>
          <w:rFonts w:ascii="Arial" w:hAnsi="Arial" w:cs="Arial"/>
          <w:b/>
          <w:bCs/>
          <w:lang w:val="en-ID" w:eastAsia="en-ID"/>
        </w:rPr>
      </w:pPr>
      <w:r w:rsidRPr="00D710C6">
        <w:rPr>
          <w:rFonts w:ascii="Arial" w:hAnsi="Arial" w:cs="Arial"/>
          <w:b/>
          <w:bCs/>
          <w:lang w:val="en-ID" w:eastAsia="en-ID"/>
        </w:rPr>
        <w:t>3.3. Interaction Profiles and Key Residues</w:t>
      </w:r>
    </w:p>
    <w:p w14:paraId="230E4D97" w14:textId="2A31501A" w:rsidR="00D710C6" w:rsidRDefault="00D710C6" w:rsidP="00D710C6">
      <w:pPr>
        <w:jc w:val="both"/>
        <w:rPr>
          <w:rFonts w:ascii="Arial" w:hAnsi="Arial" w:cs="Arial"/>
          <w:lang w:val="en-ID" w:eastAsia="en-ID"/>
        </w:rPr>
      </w:pPr>
      <w:r w:rsidRPr="00D710C6">
        <w:rPr>
          <w:rFonts w:ascii="Arial" w:hAnsi="Arial" w:cs="Arial"/>
          <w:lang w:val="en-ID" w:eastAsia="en-ID"/>
        </w:rPr>
        <w:t xml:space="preserve">Residue-level interaction mapping performed using BIOVIA Discovery Studio Visualizer and validated in </w:t>
      </w:r>
      <w:proofErr w:type="spellStart"/>
      <w:r w:rsidRPr="00D710C6">
        <w:rPr>
          <w:rFonts w:ascii="Arial" w:hAnsi="Arial" w:cs="Arial"/>
          <w:lang w:val="en-ID" w:eastAsia="en-ID"/>
        </w:rPr>
        <w:t>PyMOL</w:t>
      </w:r>
      <w:proofErr w:type="spellEnd"/>
      <w:r w:rsidRPr="00D710C6">
        <w:rPr>
          <w:rFonts w:ascii="Arial" w:hAnsi="Arial" w:cs="Arial"/>
          <w:lang w:val="en-ID" w:eastAsia="en-ID"/>
        </w:rPr>
        <w:t xml:space="preserve"> confirmed that all top-ranked ligands localized near the Asp32–Asp218 catalytic dyad within the validated flexible pocket. Consistent hydrogen-bonding and hydrophobic contacts were observed with Ser282, Leu297, Arg312, Pro162, and Ala281, forming a polar–hydrophobic interface contiguous with the catalytic groove.</w:t>
      </w:r>
    </w:p>
    <w:p w14:paraId="2447E997" w14:textId="4A73BDDC" w:rsidR="00BC4A86" w:rsidRDefault="00BC4A86" w:rsidP="00D710C6">
      <w:pPr>
        <w:jc w:val="both"/>
        <w:rPr>
          <w:rFonts w:ascii="Arial" w:hAnsi="Arial" w:cs="Arial"/>
          <w:lang w:val="en-ID" w:eastAsia="en-ID"/>
        </w:rPr>
      </w:pPr>
      <w:r>
        <w:rPr>
          <w:rFonts w:ascii="Arial" w:hAnsi="Arial" w:cs="Arial"/>
          <w:noProof/>
          <w:lang w:val="en-ID" w:eastAsia="en-ID"/>
        </w:rPr>
        <w:drawing>
          <wp:anchor distT="0" distB="0" distL="114300" distR="114300" simplePos="0" relativeHeight="251658240" behindDoc="0" locked="0" layoutInCell="1" allowOverlap="1" wp14:anchorId="589410FC" wp14:editId="15897079">
            <wp:simplePos x="0" y="0"/>
            <wp:positionH relativeFrom="column">
              <wp:posOffset>1393190</wp:posOffset>
            </wp:positionH>
            <wp:positionV relativeFrom="paragraph">
              <wp:posOffset>24130</wp:posOffset>
            </wp:positionV>
            <wp:extent cx="1774290" cy="1555750"/>
            <wp:effectExtent l="0" t="0" r="0" b="6350"/>
            <wp:wrapNone/>
            <wp:docPr id="15952452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4290" cy="155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904F0E" w14:textId="61CC9BF7" w:rsidR="00BC4A86" w:rsidRDefault="00BC4A86" w:rsidP="00D710C6">
      <w:pPr>
        <w:jc w:val="both"/>
        <w:rPr>
          <w:rFonts w:ascii="Arial" w:hAnsi="Arial" w:cs="Arial"/>
          <w:lang w:val="en-ID" w:eastAsia="en-ID"/>
        </w:rPr>
      </w:pPr>
    </w:p>
    <w:p w14:paraId="5984E54A" w14:textId="77777777" w:rsidR="00BC4A86" w:rsidRDefault="00BC4A86" w:rsidP="00D710C6">
      <w:pPr>
        <w:jc w:val="both"/>
        <w:rPr>
          <w:rFonts w:ascii="Arial" w:hAnsi="Arial" w:cs="Arial"/>
          <w:lang w:val="en-ID" w:eastAsia="en-ID"/>
        </w:rPr>
      </w:pPr>
    </w:p>
    <w:p w14:paraId="43D7B160" w14:textId="77777777" w:rsidR="00BC4A86" w:rsidRDefault="00BC4A86" w:rsidP="00D710C6">
      <w:pPr>
        <w:jc w:val="both"/>
        <w:rPr>
          <w:rFonts w:ascii="Arial" w:hAnsi="Arial" w:cs="Arial"/>
          <w:lang w:val="en-ID" w:eastAsia="en-ID"/>
        </w:rPr>
      </w:pPr>
    </w:p>
    <w:p w14:paraId="11B0EF7F" w14:textId="77777777" w:rsidR="00BC4A86" w:rsidRDefault="00BC4A86" w:rsidP="00D710C6">
      <w:pPr>
        <w:jc w:val="both"/>
        <w:rPr>
          <w:rFonts w:ascii="Arial" w:hAnsi="Arial" w:cs="Arial"/>
          <w:lang w:val="en-ID" w:eastAsia="en-ID"/>
        </w:rPr>
      </w:pPr>
    </w:p>
    <w:p w14:paraId="04978300" w14:textId="77777777" w:rsidR="00BC4A86" w:rsidRDefault="00BC4A86" w:rsidP="00D710C6">
      <w:pPr>
        <w:jc w:val="both"/>
        <w:rPr>
          <w:rFonts w:ascii="Arial" w:hAnsi="Arial" w:cs="Arial"/>
          <w:lang w:val="en-ID" w:eastAsia="en-ID"/>
        </w:rPr>
      </w:pPr>
    </w:p>
    <w:p w14:paraId="03239135" w14:textId="77777777" w:rsidR="00BC4A86" w:rsidRDefault="00BC4A86" w:rsidP="00D710C6">
      <w:pPr>
        <w:jc w:val="both"/>
        <w:rPr>
          <w:rFonts w:ascii="Arial" w:hAnsi="Arial" w:cs="Arial"/>
          <w:lang w:val="en-ID" w:eastAsia="en-ID"/>
        </w:rPr>
      </w:pPr>
    </w:p>
    <w:p w14:paraId="67B59EBB" w14:textId="77777777" w:rsidR="00BC4A86" w:rsidRDefault="00BC4A86" w:rsidP="00D710C6">
      <w:pPr>
        <w:jc w:val="both"/>
        <w:rPr>
          <w:rFonts w:ascii="Arial" w:hAnsi="Arial" w:cs="Arial"/>
          <w:lang w:val="en-ID" w:eastAsia="en-ID"/>
        </w:rPr>
      </w:pPr>
    </w:p>
    <w:p w14:paraId="7102BF93" w14:textId="0EC54A86" w:rsidR="00BC4A86" w:rsidRDefault="00BC4A86" w:rsidP="00D710C6">
      <w:pPr>
        <w:jc w:val="both"/>
        <w:rPr>
          <w:rFonts w:ascii="Arial" w:hAnsi="Arial" w:cs="Arial"/>
          <w:lang w:val="en-ID" w:eastAsia="en-ID"/>
        </w:rPr>
      </w:pPr>
    </w:p>
    <w:p w14:paraId="6DE4648A" w14:textId="77777777" w:rsidR="00BC4A86" w:rsidRDefault="00BC4A86" w:rsidP="00D710C6">
      <w:pPr>
        <w:jc w:val="both"/>
        <w:rPr>
          <w:rFonts w:ascii="Arial" w:hAnsi="Arial" w:cs="Arial"/>
          <w:lang w:val="en-ID" w:eastAsia="en-ID"/>
        </w:rPr>
      </w:pPr>
    </w:p>
    <w:p w14:paraId="73684794" w14:textId="77777777" w:rsidR="00BC4A86" w:rsidRDefault="00BC4A86" w:rsidP="00D710C6">
      <w:pPr>
        <w:jc w:val="both"/>
        <w:rPr>
          <w:rFonts w:ascii="Arial" w:hAnsi="Arial" w:cs="Arial"/>
          <w:lang w:val="en-ID" w:eastAsia="en-ID"/>
        </w:rPr>
      </w:pPr>
    </w:p>
    <w:p w14:paraId="60625015" w14:textId="67114E73" w:rsidR="00BC4A86" w:rsidRDefault="00BC4A86" w:rsidP="00D710C6">
      <w:pPr>
        <w:jc w:val="both"/>
        <w:rPr>
          <w:rFonts w:ascii="Arial" w:hAnsi="Arial" w:cs="Arial"/>
          <w:lang w:val="en-ID" w:eastAsia="en-ID"/>
        </w:rPr>
      </w:pPr>
      <w:r w:rsidRPr="00BC4A86">
        <w:rPr>
          <w:rFonts w:ascii="Arial" w:hAnsi="Arial" w:cs="Arial"/>
          <w:lang w:eastAsia="en-ID"/>
        </w:rPr>
        <w:t xml:space="preserve">Figure </w:t>
      </w:r>
      <w:r w:rsidR="009A0521">
        <w:rPr>
          <w:rFonts w:ascii="Arial" w:hAnsi="Arial" w:cs="Arial"/>
          <w:lang w:eastAsia="en-ID"/>
        </w:rPr>
        <w:t>1</w:t>
      </w:r>
      <w:r w:rsidRPr="00BC4A86">
        <w:rPr>
          <w:rFonts w:ascii="Arial" w:hAnsi="Arial" w:cs="Arial"/>
          <w:lang w:eastAsia="en-ID"/>
        </w:rPr>
        <w:t>. Three-dimensional binding mode of the top-ranked ligand within the SAP2 (1EAG) catalytic pocket.</w:t>
      </w:r>
    </w:p>
    <w:p w14:paraId="426AFBDE" w14:textId="53EC9941" w:rsidR="00BC4A86" w:rsidRPr="00D710C6" w:rsidRDefault="00BC4A86" w:rsidP="00D710C6">
      <w:pPr>
        <w:jc w:val="both"/>
        <w:rPr>
          <w:rFonts w:ascii="Arial" w:hAnsi="Arial" w:cs="Arial"/>
          <w:lang w:val="en-ID" w:eastAsia="en-ID"/>
        </w:rPr>
      </w:pPr>
      <w:r w:rsidRPr="00BC4A86">
        <w:rPr>
          <w:rFonts w:ascii="Arial" w:hAnsi="Arial" w:cs="Arial"/>
          <w:lang w:eastAsia="en-ID"/>
        </w:rPr>
        <w:t xml:space="preserve">The flexible-pocket docking model shows the ligand (green) positioned adjacent to the catalytic dyad (Asp32–Asp218, red) and </w:t>
      </w:r>
      <w:proofErr w:type="spellStart"/>
      <w:r w:rsidRPr="00BC4A86">
        <w:rPr>
          <w:rFonts w:ascii="Arial" w:hAnsi="Arial" w:cs="Arial"/>
          <w:lang w:eastAsia="en-ID"/>
        </w:rPr>
        <w:t>stabilised</w:t>
      </w:r>
      <w:proofErr w:type="spellEnd"/>
      <w:r w:rsidRPr="00BC4A86">
        <w:rPr>
          <w:rFonts w:ascii="Arial" w:hAnsi="Arial" w:cs="Arial"/>
          <w:lang w:eastAsia="en-ID"/>
        </w:rPr>
        <w:t xml:space="preserve"> by interactions with key anchoring residues (pink), including Ser282, Leu297 and Arg312. The SAP2 receptor is represented as a semi-transparent grey surface with a cartoon backbone overlay for clarity. The binding orientation highlights strong molecular complementarity between the ligand and the catalytic groove, supporting its predicted inhibitory activity.</w:t>
      </w:r>
    </w:p>
    <w:p w14:paraId="76C36561" w14:textId="77777777" w:rsidR="00D710C6" w:rsidRPr="00D710C6" w:rsidRDefault="00D710C6" w:rsidP="00D710C6">
      <w:pPr>
        <w:jc w:val="both"/>
        <w:rPr>
          <w:rFonts w:ascii="Arial" w:hAnsi="Arial" w:cs="Arial"/>
          <w:lang w:val="en-ID" w:eastAsia="en-ID"/>
        </w:rPr>
      </w:pPr>
    </w:p>
    <w:p w14:paraId="41153E0A" w14:textId="77777777" w:rsidR="00D710C6" w:rsidRPr="00D710C6" w:rsidRDefault="00D710C6" w:rsidP="00D710C6">
      <w:pPr>
        <w:jc w:val="center"/>
        <w:rPr>
          <w:rFonts w:ascii="Arial" w:hAnsi="Arial" w:cs="Arial"/>
          <w:b/>
          <w:bCs/>
          <w:lang w:val="en-ID" w:eastAsia="en-ID"/>
        </w:rPr>
      </w:pPr>
      <w:r w:rsidRPr="00D710C6">
        <w:rPr>
          <w:rFonts w:ascii="Arial" w:hAnsi="Arial" w:cs="Arial"/>
          <w:b/>
          <w:bCs/>
          <w:lang w:val="en-ID" w:eastAsia="en-ID"/>
        </w:rPr>
        <w:t>Table 2. Key receptor–ligand interactions between SAP2 (1EAG) and top-ranked phytochemicals.</w:t>
      </w:r>
    </w:p>
    <w:p w14:paraId="78F377EE" w14:textId="77777777" w:rsidR="00D710C6" w:rsidRPr="00D710C6" w:rsidRDefault="00D710C6" w:rsidP="00D710C6">
      <w:pPr>
        <w:jc w:val="center"/>
        <w:rPr>
          <w:rFonts w:ascii="Arial" w:hAnsi="Arial" w:cs="Arial"/>
          <w:lang w:val="en-ID" w:eastAsia="en-ID"/>
        </w:rPr>
      </w:pPr>
    </w:p>
    <w:tbl>
      <w:tblPr>
        <w:tblStyle w:val="TableGrid"/>
        <w:tblW w:w="8075" w:type="dxa"/>
        <w:tblLayout w:type="fixed"/>
        <w:tblLook w:val="04A0" w:firstRow="1" w:lastRow="0" w:firstColumn="1" w:lastColumn="0" w:noHBand="0" w:noVBand="1"/>
      </w:tblPr>
      <w:tblGrid>
        <w:gridCol w:w="567"/>
        <w:gridCol w:w="1271"/>
        <w:gridCol w:w="1843"/>
        <w:gridCol w:w="1276"/>
        <w:gridCol w:w="1275"/>
        <w:gridCol w:w="1843"/>
      </w:tblGrid>
      <w:tr w:rsidR="00D710C6" w:rsidRPr="00D710C6" w14:paraId="1D3C0424" w14:textId="77777777" w:rsidTr="00D710C6">
        <w:tc>
          <w:tcPr>
            <w:tcW w:w="567" w:type="dxa"/>
            <w:hideMark/>
          </w:tcPr>
          <w:p w14:paraId="66F9CC96" w14:textId="77777777" w:rsidR="00D710C6" w:rsidRPr="00D710C6" w:rsidRDefault="00D710C6" w:rsidP="00264CCC">
            <w:pPr>
              <w:jc w:val="both"/>
              <w:rPr>
                <w:rFonts w:ascii="Arial" w:eastAsia="Times New Roman" w:hAnsi="Arial" w:cs="Arial"/>
                <w:b/>
                <w:bCs/>
                <w:sz w:val="20"/>
                <w:szCs w:val="20"/>
                <w:lang w:val="en-ID" w:eastAsia="en-ID"/>
              </w:rPr>
            </w:pPr>
            <w:r w:rsidRPr="00D710C6">
              <w:rPr>
                <w:rFonts w:ascii="Arial" w:eastAsia="Times New Roman" w:hAnsi="Arial" w:cs="Arial"/>
                <w:b/>
                <w:bCs/>
                <w:sz w:val="20"/>
                <w:szCs w:val="20"/>
                <w:lang w:val="en-ID" w:eastAsia="en-ID"/>
              </w:rPr>
              <w:t>No.</w:t>
            </w:r>
          </w:p>
        </w:tc>
        <w:tc>
          <w:tcPr>
            <w:tcW w:w="1271" w:type="dxa"/>
            <w:hideMark/>
          </w:tcPr>
          <w:p w14:paraId="182A9739" w14:textId="77777777" w:rsidR="00D710C6" w:rsidRPr="00D710C6" w:rsidRDefault="00D710C6" w:rsidP="00264CCC">
            <w:pPr>
              <w:jc w:val="both"/>
              <w:rPr>
                <w:rFonts w:ascii="Arial" w:eastAsia="Times New Roman" w:hAnsi="Arial" w:cs="Arial"/>
                <w:b/>
                <w:bCs/>
                <w:sz w:val="20"/>
                <w:szCs w:val="20"/>
                <w:lang w:val="en-ID" w:eastAsia="en-ID"/>
              </w:rPr>
            </w:pPr>
            <w:r w:rsidRPr="00D710C6">
              <w:rPr>
                <w:rFonts w:ascii="Arial" w:eastAsia="Times New Roman" w:hAnsi="Arial" w:cs="Arial"/>
                <w:b/>
                <w:bCs/>
                <w:sz w:val="20"/>
                <w:szCs w:val="20"/>
                <w:lang w:val="en-ID" w:eastAsia="en-ID"/>
              </w:rPr>
              <w:t>Ligand</w:t>
            </w:r>
          </w:p>
        </w:tc>
        <w:tc>
          <w:tcPr>
            <w:tcW w:w="1843" w:type="dxa"/>
            <w:hideMark/>
          </w:tcPr>
          <w:p w14:paraId="34F81B6E" w14:textId="77777777" w:rsidR="00D710C6" w:rsidRPr="00D710C6" w:rsidRDefault="00D710C6" w:rsidP="00264CCC">
            <w:pPr>
              <w:jc w:val="both"/>
              <w:rPr>
                <w:rFonts w:ascii="Arial" w:eastAsia="Times New Roman" w:hAnsi="Arial" w:cs="Arial"/>
                <w:b/>
                <w:bCs/>
                <w:sz w:val="20"/>
                <w:szCs w:val="20"/>
                <w:lang w:val="en-ID" w:eastAsia="en-ID"/>
              </w:rPr>
            </w:pPr>
            <w:r w:rsidRPr="00D710C6">
              <w:rPr>
                <w:rFonts w:ascii="Arial" w:eastAsia="Times New Roman" w:hAnsi="Arial" w:cs="Arial"/>
                <w:b/>
                <w:bCs/>
                <w:sz w:val="20"/>
                <w:szCs w:val="20"/>
                <w:lang w:val="en-ID" w:eastAsia="en-ID"/>
              </w:rPr>
              <w:t>Catalytic Region</w:t>
            </w:r>
          </w:p>
        </w:tc>
        <w:tc>
          <w:tcPr>
            <w:tcW w:w="1276" w:type="dxa"/>
            <w:hideMark/>
          </w:tcPr>
          <w:p w14:paraId="2D412DDE" w14:textId="77777777" w:rsidR="00D710C6" w:rsidRPr="00D710C6" w:rsidRDefault="00D710C6" w:rsidP="00264CCC">
            <w:pPr>
              <w:jc w:val="both"/>
              <w:rPr>
                <w:rFonts w:ascii="Arial" w:eastAsia="Times New Roman" w:hAnsi="Arial" w:cs="Arial"/>
                <w:b/>
                <w:bCs/>
                <w:sz w:val="20"/>
                <w:szCs w:val="20"/>
                <w:lang w:val="en-ID" w:eastAsia="en-ID"/>
              </w:rPr>
            </w:pPr>
            <w:r w:rsidRPr="00D710C6">
              <w:rPr>
                <w:rFonts w:ascii="Arial" w:eastAsia="Times New Roman" w:hAnsi="Arial" w:cs="Arial"/>
                <w:b/>
                <w:bCs/>
                <w:sz w:val="20"/>
                <w:szCs w:val="20"/>
                <w:lang w:val="en-ID" w:eastAsia="en-ID"/>
              </w:rPr>
              <w:t>Interaction Type</w:t>
            </w:r>
          </w:p>
        </w:tc>
        <w:tc>
          <w:tcPr>
            <w:tcW w:w="1275" w:type="dxa"/>
            <w:hideMark/>
          </w:tcPr>
          <w:p w14:paraId="38896E7F" w14:textId="77777777" w:rsidR="00D710C6" w:rsidRPr="00D710C6" w:rsidRDefault="00D710C6" w:rsidP="00264CCC">
            <w:pPr>
              <w:jc w:val="both"/>
              <w:rPr>
                <w:rFonts w:ascii="Arial" w:eastAsia="Times New Roman" w:hAnsi="Arial" w:cs="Arial"/>
                <w:b/>
                <w:bCs/>
                <w:sz w:val="20"/>
                <w:szCs w:val="20"/>
                <w:lang w:val="en-ID" w:eastAsia="en-ID"/>
              </w:rPr>
            </w:pPr>
            <w:r w:rsidRPr="00D710C6">
              <w:rPr>
                <w:rFonts w:ascii="Arial" w:eastAsia="Times New Roman" w:hAnsi="Arial" w:cs="Arial"/>
                <w:b/>
                <w:bCs/>
                <w:sz w:val="20"/>
                <w:szCs w:val="20"/>
                <w:lang w:val="en-ID" w:eastAsia="en-ID"/>
              </w:rPr>
              <w:t>Interacting Residues</w:t>
            </w:r>
          </w:p>
        </w:tc>
        <w:tc>
          <w:tcPr>
            <w:tcW w:w="1843" w:type="dxa"/>
            <w:hideMark/>
          </w:tcPr>
          <w:p w14:paraId="0B60D79B" w14:textId="77777777" w:rsidR="00D710C6" w:rsidRPr="00D710C6" w:rsidRDefault="00D710C6" w:rsidP="00264CCC">
            <w:pPr>
              <w:jc w:val="both"/>
              <w:rPr>
                <w:rFonts w:ascii="Arial" w:eastAsia="Times New Roman" w:hAnsi="Arial" w:cs="Arial"/>
                <w:b/>
                <w:bCs/>
                <w:sz w:val="20"/>
                <w:szCs w:val="20"/>
                <w:lang w:val="en-ID" w:eastAsia="en-ID"/>
              </w:rPr>
            </w:pPr>
            <w:r w:rsidRPr="00D710C6">
              <w:rPr>
                <w:rFonts w:ascii="Arial" w:eastAsia="Times New Roman" w:hAnsi="Arial" w:cs="Arial"/>
                <w:b/>
                <w:bCs/>
                <w:sz w:val="20"/>
                <w:szCs w:val="20"/>
                <w:lang w:val="en-ID" w:eastAsia="en-ID"/>
              </w:rPr>
              <w:t>Description</w:t>
            </w:r>
          </w:p>
        </w:tc>
      </w:tr>
      <w:tr w:rsidR="00D710C6" w:rsidRPr="00D710C6" w14:paraId="2E470BBD" w14:textId="77777777" w:rsidTr="00D710C6">
        <w:tc>
          <w:tcPr>
            <w:tcW w:w="567" w:type="dxa"/>
            <w:hideMark/>
          </w:tcPr>
          <w:p w14:paraId="2277A0B6"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1</w:t>
            </w:r>
          </w:p>
        </w:tc>
        <w:tc>
          <w:tcPr>
            <w:tcW w:w="1271" w:type="dxa"/>
            <w:hideMark/>
          </w:tcPr>
          <w:p w14:paraId="625D3278" w14:textId="77777777" w:rsidR="00D710C6" w:rsidRPr="00D710C6" w:rsidRDefault="00D710C6" w:rsidP="00264CCC">
            <w:pPr>
              <w:jc w:val="both"/>
              <w:rPr>
                <w:rFonts w:ascii="Arial" w:eastAsia="Times New Roman" w:hAnsi="Arial" w:cs="Arial"/>
                <w:sz w:val="20"/>
                <w:szCs w:val="20"/>
                <w:lang w:val="en-ID" w:eastAsia="en-ID"/>
              </w:rPr>
            </w:pPr>
            <w:proofErr w:type="spellStart"/>
            <w:r w:rsidRPr="00D710C6">
              <w:rPr>
                <w:rFonts w:ascii="Arial" w:eastAsia="Times New Roman" w:hAnsi="Arial" w:cs="Arial"/>
                <w:sz w:val="20"/>
                <w:szCs w:val="20"/>
                <w:lang w:val="en-ID" w:eastAsia="en-ID"/>
              </w:rPr>
              <w:t>Demethoxycurcumin</w:t>
            </w:r>
            <w:proofErr w:type="spellEnd"/>
          </w:p>
        </w:tc>
        <w:tc>
          <w:tcPr>
            <w:tcW w:w="1843" w:type="dxa"/>
            <w:hideMark/>
          </w:tcPr>
          <w:p w14:paraId="2C6602F5"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Catalytic cleft near Asp32–Asp218</w:t>
            </w:r>
          </w:p>
        </w:tc>
        <w:tc>
          <w:tcPr>
            <w:tcW w:w="1276" w:type="dxa"/>
            <w:hideMark/>
          </w:tcPr>
          <w:p w14:paraId="608C30E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Hydrogen bonds</w:t>
            </w:r>
          </w:p>
        </w:tc>
        <w:tc>
          <w:tcPr>
            <w:tcW w:w="1275" w:type="dxa"/>
            <w:hideMark/>
          </w:tcPr>
          <w:p w14:paraId="7D3D7EE2"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Ser282, Glu278</w:t>
            </w:r>
          </w:p>
        </w:tc>
        <w:tc>
          <w:tcPr>
            <w:tcW w:w="1843" w:type="dxa"/>
            <w:hideMark/>
          </w:tcPr>
          <w:p w14:paraId="3B39AA4C"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Two strong H-bonds anchor the ligand in the polar sub-pocket.</w:t>
            </w:r>
          </w:p>
        </w:tc>
      </w:tr>
      <w:tr w:rsidR="00D710C6" w:rsidRPr="00D710C6" w14:paraId="4FC33DBF" w14:textId="77777777" w:rsidTr="00D710C6">
        <w:tc>
          <w:tcPr>
            <w:tcW w:w="567" w:type="dxa"/>
            <w:hideMark/>
          </w:tcPr>
          <w:p w14:paraId="769A1B3D" w14:textId="77777777" w:rsidR="00D710C6" w:rsidRPr="00D710C6" w:rsidRDefault="00D710C6" w:rsidP="00264CCC">
            <w:pPr>
              <w:jc w:val="both"/>
              <w:rPr>
                <w:rFonts w:ascii="Arial" w:eastAsia="Times New Roman" w:hAnsi="Arial" w:cs="Arial"/>
                <w:sz w:val="20"/>
                <w:szCs w:val="20"/>
                <w:lang w:val="en-ID" w:eastAsia="en-ID"/>
              </w:rPr>
            </w:pPr>
          </w:p>
        </w:tc>
        <w:tc>
          <w:tcPr>
            <w:tcW w:w="1271" w:type="dxa"/>
            <w:hideMark/>
          </w:tcPr>
          <w:p w14:paraId="1113DB3D" w14:textId="77777777" w:rsidR="00D710C6" w:rsidRPr="00D710C6" w:rsidRDefault="00D710C6" w:rsidP="00264CCC">
            <w:pPr>
              <w:jc w:val="both"/>
              <w:rPr>
                <w:rFonts w:ascii="Arial" w:eastAsia="Times New Roman" w:hAnsi="Arial" w:cs="Arial"/>
                <w:sz w:val="20"/>
                <w:szCs w:val="20"/>
                <w:lang w:val="en-ID" w:eastAsia="en-ID"/>
              </w:rPr>
            </w:pPr>
          </w:p>
        </w:tc>
        <w:tc>
          <w:tcPr>
            <w:tcW w:w="1843" w:type="dxa"/>
            <w:hideMark/>
          </w:tcPr>
          <w:p w14:paraId="41CE722D" w14:textId="77777777" w:rsidR="00D710C6" w:rsidRPr="00D710C6" w:rsidRDefault="00D710C6" w:rsidP="00264CCC">
            <w:pPr>
              <w:jc w:val="both"/>
              <w:rPr>
                <w:rFonts w:ascii="Arial" w:eastAsia="Times New Roman" w:hAnsi="Arial" w:cs="Arial"/>
                <w:sz w:val="20"/>
                <w:szCs w:val="20"/>
                <w:lang w:val="en-ID" w:eastAsia="en-ID"/>
              </w:rPr>
            </w:pPr>
          </w:p>
        </w:tc>
        <w:tc>
          <w:tcPr>
            <w:tcW w:w="1276" w:type="dxa"/>
            <w:hideMark/>
          </w:tcPr>
          <w:p w14:paraId="27FEF8F9"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 xml:space="preserve">Hydrophobic / </w:t>
            </w:r>
            <w:proofErr w:type="spellStart"/>
            <w:r w:rsidRPr="00D710C6">
              <w:rPr>
                <w:rFonts w:ascii="Arial" w:eastAsia="Times New Roman" w:hAnsi="Arial" w:cs="Arial"/>
                <w:sz w:val="20"/>
                <w:szCs w:val="20"/>
                <w:lang w:val="en-ID" w:eastAsia="en-ID"/>
              </w:rPr>
              <w:t>vdW</w:t>
            </w:r>
            <w:proofErr w:type="spellEnd"/>
          </w:p>
        </w:tc>
        <w:tc>
          <w:tcPr>
            <w:tcW w:w="1275" w:type="dxa"/>
            <w:hideMark/>
          </w:tcPr>
          <w:p w14:paraId="7BA22D03"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Ala280, Ala281, Leu297</w:t>
            </w:r>
          </w:p>
        </w:tc>
        <w:tc>
          <w:tcPr>
            <w:tcW w:w="1843" w:type="dxa"/>
            <w:hideMark/>
          </w:tcPr>
          <w:p w14:paraId="17A5D403"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Stabilizes the aromatic backbone.</w:t>
            </w:r>
          </w:p>
        </w:tc>
      </w:tr>
      <w:tr w:rsidR="00D710C6" w:rsidRPr="00D710C6" w14:paraId="3042569E" w14:textId="77777777" w:rsidTr="00D710C6">
        <w:tc>
          <w:tcPr>
            <w:tcW w:w="567" w:type="dxa"/>
            <w:hideMark/>
          </w:tcPr>
          <w:p w14:paraId="1024AD3E"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2</w:t>
            </w:r>
          </w:p>
        </w:tc>
        <w:tc>
          <w:tcPr>
            <w:tcW w:w="1271" w:type="dxa"/>
            <w:hideMark/>
          </w:tcPr>
          <w:p w14:paraId="6A16E9B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Curcumin</w:t>
            </w:r>
          </w:p>
        </w:tc>
        <w:tc>
          <w:tcPr>
            <w:tcW w:w="1843" w:type="dxa"/>
            <w:hideMark/>
          </w:tcPr>
          <w:p w14:paraId="0C118C58"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Catalytic cleft near Asp32–Asp218</w:t>
            </w:r>
          </w:p>
        </w:tc>
        <w:tc>
          <w:tcPr>
            <w:tcW w:w="1276" w:type="dxa"/>
            <w:hideMark/>
          </w:tcPr>
          <w:p w14:paraId="1841C48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Hydrogen bonds</w:t>
            </w:r>
          </w:p>
        </w:tc>
        <w:tc>
          <w:tcPr>
            <w:tcW w:w="1275" w:type="dxa"/>
            <w:hideMark/>
          </w:tcPr>
          <w:p w14:paraId="2E1DC14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Ser282, Arg312</w:t>
            </w:r>
          </w:p>
        </w:tc>
        <w:tc>
          <w:tcPr>
            <w:tcW w:w="1843" w:type="dxa"/>
            <w:hideMark/>
          </w:tcPr>
          <w:p w14:paraId="468D27F2"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Dual polar contacts stabilize the aromatic scaffold.</w:t>
            </w:r>
          </w:p>
        </w:tc>
      </w:tr>
      <w:tr w:rsidR="00D710C6" w:rsidRPr="00D710C6" w14:paraId="35762D88" w14:textId="77777777" w:rsidTr="00D710C6">
        <w:tc>
          <w:tcPr>
            <w:tcW w:w="567" w:type="dxa"/>
            <w:hideMark/>
          </w:tcPr>
          <w:p w14:paraId="7C01ADDB" w14:textId="77777777" w:rsidR="00D710C6" w:rsidRPr="00D710C6" w:rsidRDefault="00D710C6" w:rsidP="00264CCC">
            <w:pPr>
              <w:jc w:val="both"/>
              <w:rPr>
                <w:rFonts w:ascii="Arial" w:eastAsia="Times New Roman" w:hAnsi="Arial" w:cs="Arial"/>
                <w:sz w:val="20"/>
                <w:szCs w:val="20"/>
                <w:lang w:val="en-ID" w:eastAsia="en-ID"/>
              </w:rPr>
            </w:pPr>
          </w:p>
        </w:tc>
        <w:tc>
          <w:tcPr>
            <w:tcW w:w="1271" w:type="dxa"/>
            <w:hideMark/>
          </w:tcPr>
          <w:p w14:paraId="6777AF2E" w14:textId="77777777" w:rsidR="00D710C6" w:rsidRPr="00D710C6" w:rsidRDefault="00D710C6" w:rsidP="00264CCC">
            <w:pPr>
              <w:jc w:val="both"/>
              <w:rPr>
                <w:rFonts w:ascii="Arial" w:eastAsia="Times New Roman" w:hAnsi="Arial" w:cs="Arial"/>
                <w:sz w:val="20"/>
                <w:szCs w:val="20"/>
                <w:lang w:val="en-ID" w:eastAsia="en-ID"/>
              </w:rPr>
            </w:pPr>
          </w:p>
        </w:tc>
        <w:tc>
          <w:tcPr>
            <w:tcW w:w="1843" w:type="dxa"/>
            <w:hideMark/>
          </w:tcPr>
          <w:p w14:paraId="75886507" w14:textId="77777777" w:rsidR="00D710C6" w:rsidRPr="00D710C6" w:rsidRDefault="00D710C6" w:rsidP="00264CCC">
            <w:pPr>
              <w:jc w:val="both"/>
              <w:rPr>
                <w:rFonts w:ascii="Arial" w:eastAsia="Times New Roman" w:hAnsi="Arial" w:cs="Arial"/>
                <w:sz w:val="20"/>
                <w:szCs w:val="20"/>
                <w:lang w:val="en-ID" w:eastAsia="en-ID"/>
              </w:rPr>
            </w:pPr>
          </w:p>
        </w:tc>
        <w:tc>
          <w:tcPr>
            <w:tcW w:w="1276" w:type="dxa"/>
            <w:hideMark/>
          </w:tcPr>
          <w:p w14:paraId="0C98BE46"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π–alkyl</w:t>
            </w:r>
          </w:p>
        </w:tc>
        <w:tc>
          <w:tcPr>
            <w:tcW w:w="1275" w:type="dxa"/>
            <w:hideMark/>
          </w:tcPr>
          <w:p w14:paraId="5AC8394D"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Pro162</w:t>
            </w:r>
          </w:p>
        </w:tc>
        <w:tc>
          <w:tcPr>
            <w:tcW w:w="1843" w:type="dxa"/>
            <w:hideMark/>
          </w:tcPr>
          <w:p w14:paraId="4E4B2FD0"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 xml:space="preserve">Hydrophobic ring interaction </w:t>
            </w:r>
            <w:r w:rsidRPr="00D710C6">
              <w:rPr>
                <w:rFonts w:ascii="Arial" w:eastAsia="Times New Roman" w:hAnsi="Arial" w:cs="Arial"/>
                <w:sz w:val="20"/>
                <w:szCs w:val="20"/>
                <w:lang w:val="en-ID" w:eastAsia="en-ID"/>
              </w:rPr>
              <w:lastRenderedPageBreak/>
              <w:t>enhances binding stability.</w:t>
            </w:r>
          </w:p>
        </w:tc>
      </w:tr>
      <w:tr w:rsidR="00D710C6" w:rsidRPr="00D710C6" w14:paraId="0FEC732C" w14:textId="77777777" w:rsidTr="00D710C6">
        <w:tc>
          <w:tcPr>
            <w:tcW w:w="567" w:type="dxa"/>
            <w:hideMark/>
          </w:tcPr>
          <w:p w14:paraId="11BD94A0"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lastRenderedPageBreak/>
              <w:t>3</w:t>
            </w:r>
          </w:p>
        </w:tc>
        <w:tc>
          <w:tcPr>
            <w:tcW w:w="1271" w:type="dxa"/>
            <w:hideMark/>
          </w:tcPr>
          <w:p w14:paraId="30FB65EA"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Bisdemethoxycurcumin</w:t>
            </w:r>
          </w:p>
        </w:tc>
        <w:tc>
          <w:tcPr>
            <w:tcW w:w="1843" w:type="dxa"/>
            <w:hideMark/>
          </w:tcPr>
          <w:p w14:paraId="378186C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Catalytic periphery</w:t>
            </w:r>
          </w:p>
        </w:tc>
        <w:tc>
          <w:tcPr>
            <w:tcW w:w="1276" w:type="dxa"/>
            <w:hideMark/>
          </w:tcPr>
          <w:p w14:paraId="7F1CE9D7"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Hydrogen bonds</w:t>
            </w:r>
          </w:p>
        </w:tc>
        <w:tc>
          <w:tcPr>
            <w:tcW w:w="1275" w:type="dxa"/>
            <w:hideMark/>
          </w:tcPr>
          <w:p w14:paraId="1343E3F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Ser282, Asn9, Gln11</w:t>
            </w:r>
          </w:p>
        </w:tc>
        <w:tc>
          <w:tcPr>
            <w:tcW w:w="1843" w:type="dxa"/>
            <w:hideMark/>
          </w:tcPr>
          <w:p w14:paraId="2E8DC5DD"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Multiple H-bonds at the catalytic rim.</w:t>
            </w:r>
          </w:p>
        </w:tc>
      </w:tr>
      <w:tr w:rsidR="00D710C6" w:rsidRPr="00D710C6" w14:paraId="6DB7628F" w14:textId="77777777" w:rsidTr="00D710C6">
        <w:tc>
          <w:tcPr>
            <w:tcW w:w="567" w:type="dxa"/>
            <w:hideMark/>
          </w:tcPr>
          <w:p w14:paraId="7D0B2830" w14:textId="77777777" w:rsidR="00D710C6" w:rsidRPr="00D710C6" w:rsidRDefault="00D710C6" w:rsidP="00264CCC">
            <w:pPr>
              <w:jc w:val="both"/>
              <w:rPr>
                <w:rFonts w:ascii="Arial" w:eastAsia="Times New Roman" w:hAnsi="Arial" w:cs="Arial"/>
                <w:sz w:val="20"/>
                <w:szCs w:val="20"/>
                <w:lang w:val="en-ID" w:eastAsia="en-ID"/>
              </w:rPr>
            </w:pPr>
          </w:p>
        </w:tc>
        <w:tc>
          <w:tcPr>
            <w:tcW w:w="1271" w:type="dxa"/>
            <w:hideMark/>
          </w:tcPr>
          <w:p w14:paraId="3011A509" w14:textId="77777777" w:rsidR="00D710C6" w:rsidRPr="00D710C6" w:rsidRDefault="00D710C6" w:rsidP="00264CCC">
            <w:pPr>
              <w:jc w:val="both"/>
              <w:rPr>
                <w:rFonts w:ascii="Arial" w:eastAsia="Times New Roman" w:hAnsi="Arial" w:cs="Arial"/>
                <w:sz w:val="20"/>
                <w:szCs w:val="20"/>
                <w:lang w:val="en-ID" w:eastAsia="en-ID"/>
              </w:rPr>
            </w:pPr>
          </w:p>
        </w:tc>
        <w:tc>
          <w:tcPr>
            <w:tcW w:w="1843" w:type="dxa"/>
            <w:hideMark/>
          </w:tcPr>
          <w:p w14:paraId="2FF51DD1" w14:textId="77777777" w:rsidR="00D710C6" w:rsidRPr="00D710C6" w:rsidRDefault="00D710C6" w:rsidP="00264CCC">
            <w:pPr>
              <w:jc w:val="both"/>
              <w:rPr>
                <w:rFonts w:ascii="Arial" w:eastAsia="Times New Roman" w:hAnsi="Arial" w:cs="Arial"/>
                <w:sz w:val="20"/>
                <w:szCs w:val="20"/>
                <w:lang w:val="en-ID" w:eastAsia="en-ID"/>
              </w:rPr>
            </w:pPr>
          </w:p>
        </w:tc>
        <w:tc>
          <w:tcPr>
            <w:tcW w:w="1276" w:type="dxa"/>
            <w:hideMark/>
          </w:tcPr>
          <w:p w14:paraId="6985A2B4"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π–sigma / π–alkyl</w:t>
            </w:r>
          </w:p>
        </w:tc>
        <w:tc>
          <w:tcPr>
            <w:tcW w:w="1275" w:type="dxa"/>
            <w:hideMark/>
          </w:tcPr>
          <w:p w14:paraId="46BFD40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Leu297, Pro162</w:t>
            </w:r>
          </w:p>
        </w:tc>
        <w:tc>
          <w:tcPr>
            <w:tcW w:w="1843" w:type="dxa"/>
            <w:hideMark/>
          </w:tcPr>
          <w:p w14:paraId="48367F1D"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Mixed aromatic–hydrophobic anchoring.</w:t>
            </w:r>
          </w:p>
        </w:tc>
      </w:tr>
      <w:tr w:rsidR="00D710C6" w:rsidRPr="00D710C6" w14:paraId="28E63690" w14:textId="77777777" w:rsidTr="00D710C6">
        <w:tc>
          <w:tcPr>
            <w:tcW w:w="567" w:type="dxa"/>
            <w:hideMark/>
          </w:tcPr>
          <w:p w14:paraId="2F4CFEC9"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4</w:t>
            </w:r>
          </w:p>
        </w:tc>
        <w:tc>
          <w:tcPr>
            <w:tcW w:w="1271" w:type="dxa"/>
            <w:hideMark/>
          </w:tcPr>
          <w:p w14:paraId="37D74228" w14:textId="77777777" w:rsidR="00D710C6" w:rsidRPr="00D710C6" w:rsidRDefault="00D710C6" w:rsidP="00264CCC">
            <w:pPr>
              <w:jc w:val="both"/>
              <w:rPr>
                <w:rFonts w:ascii="Arial" w:eastAsia="Times New Roman" w:hAnsi="Arial" w:cs="Arial"/>
                <w:sz w:val="20"/>
                <w:szCs w:val="20"/>
                <w:lang w:val="en-ID" w:eastAsia="en-ID"/>
              </w:rPr>
            </w:pPr>
            <w:proofErr w:type="spellStart"/>
            <w:r w:rsidRPr="00D710C6">
              <w:rPr>
                <w:rFonts w:ascii="Arial" w:eastAsia="Times New Roman" w:hAnsi="Arial" w:cs="Arial"/>
                <w:sz w:val="20"/>
                <w:szCs w:val="20"/>
                <w:lang w:val="en-ID" w:eastAsia="en-ID"/>
              </w:rPr>
              <w:t>Germacrone</w:t>
            </w:r>
            <w:proofErr w:type="spellEnd"/>
          </w:p>
        </w:tc>
        <w:tc>
          <w:tcPr>
            <w:tcW w:w="1843" w:type="dxa"/>
            <w:hideMark/>
          </w:tcPr>
          <w:p w14:paraId="5811C9E7"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Hydrophobic groove adjacent to Asp218</w:t>
            </w:r>
          </w:p>
        </w:tc>
        <w:tc>
          <w:tcPr>
            <w:tcW w:w="1276" w:type="dxa"/>
            <w:hideMark/>
          </w:tcPr>
          <w:p w14:paraId="3D7B86CC"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Hydrogen bond</w:t>
            </w:r>
          </w:p>
        </w:tc>
        <w:tc>
          <w:tcPr>
            <w:tcW w:w="1275" w:type="dxa"/>
            <w:hideMark/>
          </w:tcPr>
          <w:p w14:paraId="46EF1ED2"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Arg312</w:t>
            </w:r>
          </w:p>
        </w:tc>
        <w:tc>
          <w:tcPr>
            <w:tcW w:w="1843" w:type="dxa"/>
            <w:hideMark/>
          </w:tcPr>
          <w:p w14:paraId="5E7E288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Single polar contact defining ligand orientation.</w:t>
            </w:r>
          </w:p>
        </w:tc>
      </w:tr>
      <w:tr w:rsidR="00D710C6" w:rsidRPr="00D710C6" w14:paraId="1512836F" w14:textId="77777777" w:rsidTr="00D710C6">
        <w:tc>
          <w:tcPr>
            <w:tcW w:w="567" w:type="dxa"/>
            <w:hideMark/>
          </w:tcPr>
          <w:p w14:paraId="22C7F287" w14:textId="77777777" w:rsidR="00D710C6" w:rsidRPr="00D710C6" w:rsidRDefault="00D710C6" w:rsidP="00264CCC">
            <w:pPr>
              <w:jc w:val="both"/>
              <w:rPr>
                <w:rFonts w:ascii="Arial" w:eastAsia="Times New Roman" w:hAnsi="Arial" w:cs="Arial"/>
                <w:sz w:val="20"/>
                <w:szCs w:val="20"/>
                <w:lang w:val="en-ID" w:eastAsia="en-ID"/>
              </w:rPr>
            </w:pPr>
          </w:p>
        </w:tc>
        <w:tc>
          <w:tcPr>
            <w:tcW w:w="1271" w:type="dxa"/>
            <w:hideMark/>
          </w:tcPr>
          <w:p w14:paraId="6BAFF211" w14:textId="77777777" w:rsidR="00D710C6" w:rsidRPr="00D710C6" w:rsidRDefault="00D710C6" w:rsidP="00264CCC">
            <w:pPr>
              <w:jc w:val="both"/>
              <w:rPr>
                <w:rFonts w:ascii="Arial" w:eastAsia="Times New Roman" w:hAnsi="Arial" w:cs="Arial"/>
                <w:sz w:val="20"/>
                <w:szCs w:val="20"/>
                <w:lang w:val="en-ID" w:eastAsia="en-ID"/>
              </w:rPr>
            </w:pPr>
          </w:p>
        </w:tc>
        <w:tc>
          <w:tcPr>
            <w:tcW w:w="1843" w:type="dxa"/>
            <w:hideMark/>
          </w:tcPr>
          <w:p w14:paraId="57E66BE3" w14:textId="77777777" w:rsidR="00D710C6" w:rsidRPr="00D710C6" w:rsidRDefault="00D710C6" w:rsidP="00264CCC">
            <w:pPr>
              <w:jc w:val="both"/>
              <w:rPr>
                <w:rFonts w:ascii="Arial" w:eastAsia="Times New Roman" w:hAnsi="Arial" w:cs="Arial"/>
                <w:sz w:val="20"/>
                <w:szCs w:val="20"/>
                <w:lang w:val="en-ID" w:eastAsia="en-ID"/>
              </w:rPr>
            </w:pPr>
          </w:p>
        </w:tc>
        <w:tc>
          <w:tcPr>
            <w:tcW w:w="1276" w:type="dxa"/>
            <w:hideMark/>
          </w:tcPr>
          <w:p w14:paraId="3DC5CB17"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 xml:space="preserve">Alkyl / </w:t>
            </w:r>
            <w:proofErr w:type="spellStart"/>
            <w:r w:rsidRPr="00D710C6">
              <w:rPr>
                <w:rFonts w:ascii="Arial" w:eastAsia="Times New Roman" w:hAnsi="Arial" w:cs="Arial"/>
                <w:sz w:val="20"/>
                <w:szCs w:val="20"/>
                <w:lang w:val="en-ID" w:eastAsia="en-ID"/>
              </w:rPr>
              <w:t>vdW</w:t>
            </w:r>
            <w:proofErr w:type="spellEnd"/>
          </w:p>
        </w:tc>
        <w:tc>
          <w:tcPr>
            <w:tcW w:w="1275" w:type="dxa"/>
            <w:hideMark/>
          </w:tcPr>
          <w:p w14:paraId="680D1336"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Leu297, Ile223, Pro162</w:t>
            </w:r>
          </w:p>
        </w:tc>
        <w:tc>
          <w:tcPr>
            <w:tcW w:w="1843" w:type="dxa"/>
            <w:hideMark/>
          </w:tcPr>
          <w:p w14:paraId="58A6E0FF"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Strong hydrophobic packing stabilizes the ligand.</w:t>
            </w:r>
          </w:p>
        </w:tc>
      </w:tr>
      <w:tr w:rsidR="00D710C6" w:rsidRPr="00D710C6" w14:paraId="2F2B2136" w14:textId="77777777" w:rsidTr="00D710C6">
        <w:tc>
          <w:tcPr>
            <w:tcW w:w="567" w:type="dxa"/>
            <w:hideMark/>
          </w:tcPr>
          <w:p w14:paraId="02490947"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5</w:t>
            </w:r>
          </w:p>
        </w:tc>
        <w:tc>
          <w:tcPr>
            <w:tcW w:w="1271" w:type="dxa"/>
            <w:hideMark/>
          </w:tcPr>
          <w:p w14:paraId="46F59500"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β-Bisabolene</w:t>
            </w:r>
          </w:p>
        </w:tc>
        <w:tc>
          <w:tcPr>
            <w:tcW w:w="1843" w:type="dxa"/>
            <w:hideMark/>
          </w:tcPr>
          <w:p w14:paraId="56620149"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Hydrophobic groove adjacent to Asp218</w:t>
            </w:r>
          </w:p>
        </w:tc>
        <w:tc>
          <w:tcPr>
            <w:tcW w:w="1276" w:type="dxa"/>
            <w:hideMark/>
          </w:tcPr>
          <w:p w14:paraId="08D827A9"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Hydrogen bond</w:t>
            </w:r>
          </w:p>
        </w:tc>
        <w:tc>
          <w:tcPr>
            <w:tcW w:w="1275" w:type="dxa"/>
            <w:hideMark/>
          </w:tcPr>
          <w:p w14:paraId="67764593"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Arg312</w:t>
            </w:r>
          </w:p>
        </w:tc>
        <w:tc>
          <w:tcPr>
            <w:tcW w:w="1843" w:type="dxa"/>
            <w:hideMark/>
          </w:tcPr>
          <w:p w14:paraId="3F5807AC"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Anchoring at the pocket rim.</w:t>
            </w:r>
          </w:p>
        </w:tc>
      </w:tr>
      <w:tr w:rsidR="00D710C6" w:rsidRPr="00D710C6" w14:paraId="6A152798" w14:textId="77777777" w:rsidTr="00D710C6">
        <w:tc>
          <w:tcPr>
            <w:tcW w:w="567" w:type="dxa"/>
            <w:hideMark/>
          </w:tcPr>
          <w:p w14:paraId="24A5D249" w14:textId="77777777" w:rsidR="00D710C6" w:rsidRPr="00D710C6" w:rsidRDefault="00D710C6" w:rsidP="00264CCC">
            <w:pPr>
              <w:jc w:val="both"/>
              <w:rPr>
                <w:rFonts w:ascii="Arial" w:eastAsia="Times New Roman" w:hAnsi="Arial" w:cs="Arial"/>
                <w:sz w:val="20"/>
                <w:szCs w:val="20"/>
                <w:lang w:val="en-ID" w:eastAsia="en-ID"/>
              </w:rPr>
            </w:pPr>
          </w:p>
        </w:tc>
        <w:tc>
          <w:tcPr>
            <w:tcW w:w="1271" w:type="dxa"/>
            <w:hideMark/>
          </w:tcPr>
          <w:p w14:paraId="088100CE" w14:textId="77777777" w:rsidR="00D710C6" w:rsidRPr="00D710C6" w:rsidRDefault="00D710C6" w:rsidP="00264CCC">
            <w:pPr>
              <w:jc w:val="both"/>
              <w:rPr>
                <w:rFonts w:ascii="Arial" w:eastAsia="Times New Roman" w:hAnsi="Arial" w:cs="Arial"/>
                <w:sz w:val="20"/>
                <w:szCs w:val="20"/>
                <w:lang w:val="en-ID" w:eastAsia="en-ID"/>
              </w:rPr>
            </w:pPr>
          </w:p>
        </w:tc>
        <w:tc>
          <w:tcPr>
            <w:tcW w:w="1843" w:type="dxa"/>
            <w:hideMark/>
          </w:tcPr>
          <w:p w14:paraId="5808A0D9" w14:textId="77777777" w:rsidR="00D710C6" w:rsidRPr="00D710C6" w:rsidRDefault="00D710C6" w:rsidP="00264CCC">
            <w:pPr>
              <w:jc w:val="both"/>
              <w:rPr>
                <w:rFonts w:ascii="Arial" w:eastAsia="Times New Roman" w:hAnsi="Arial" w:cs="Arial"/>
                <w:sz w:val="20"/>
                <w:szCs w:val="20"/>
                <w:lang w:val="en-ID" w:eastAsia="en-ID"/>
              </w:rPr>
            </w:pPr>
          </w:p>
        </w:tc>
        <w:tc>
          <w:tcPr>
            <w:tcW w:w="1276" w:type="dxa"/>
            <w:hideMark/>
          </w:tcPr>
          <w:p w14:paraId="5E0F7FA5"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Alkyl / π–sigma</w:t>
            </w:r>
          </w:p>
        </w:tc>
        <w:tc>
          <w:tcPr>
            <w:tcW w:w="1275" w:type="dxa"/>
            <w:hideMark/>
          </w:tcPr>
          <w:p w14:paraId="13A0BC7A"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Pro162, Ala281, Leu297</w:t>
            </w:r>
          </w:p>
        </w:tc>
        <w:tc>
          <w:tcPr>
            <w:tcW w:w="1843" w:type="dxa"/>
            <w:hideMark/>
          </w:tcPr>
          <w:p w14:paraId="186B5E81"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Reinforces hydrophobic complementarity.</w:t>
            </w:r>
          </w:p>
        </w:tc>
      </w:tr>
    </w:tbl>
    <w:p w14:paraId="489CDCEB" w14:textId="77777777" w:rsidR="00D710C6" w:rsidRPr="00D710C6" w:rsidRDefault="00D710C6" w:rsidP="00D710C6">
      <w:pPr>
        <w:jc w:val="both"/>
        <w:rPr>
          <w:rFonts w:ascii="Arial" w:hAnsi="Arial" w:cs="Arial"/>
          <w:lang w:val="en-ID" w:eastAsia="en-ID"/>
        </w:rPr>
      </w:pPr>
    </w:p>
    <w:p w14:paraId="44D3F006" w14:textId="77777777" w:rsidR="00D710C6" w:rsidRPr="00D710C6" w:rsidRDefault="00D710C6" w:rsidP="00D710C6">
      <w:pPr>
        <w:jc w:val="both"/>
        <w:rPr>
          <w:rFonts w:ascii="Arial" w:hAnsi="Arial" w:cs="Arial"/>
          <w:lang w:val="en-ID" w:eastAsia="en-ID"/>
        </w:rPr>
      </w:pPr>
      <w:r w:rsidRPr="00D710C6">
        <w:rPr>
          <w:rFonts w:ascii="Arial" w:hAnsi="Arial" w:cs="Arial"/>
          <w:lang w:val="en-ID" w:eastAsia="en-ID"/>
        </w:rPr>
        <w:t xml:space="preserve">The recurrent participation of Ser282, Leu297, and Arg312 across all complexes indicates that these residues act as secondary anchoring points adjacent to the catalytic dyad, enhancing overall pocket stability. Curcuminoids exhibit balanced polar–hydrophobic complementarity consistent with competitive inhibition at the catalytic cleft, whereas sesquiterpenoids rely primarily on non-polar clustering, suggesting potential allosteric or mixed-mode inhibition near the flap region. These residue-level interactions were consistently observed in both Discovery Studio 2D mapping and </w:t>
      </w:r>
      <w:proofErr w:type="spellStart"/>
      <w:r w:rsidRPr="00D710C6">
        <w:rPr>
          <w:rFonts w:ascii="Arial" w:hAnsi="Arial" w:cs="Arial"/>
          <w:lang w:val="en-ID" w:eastAsia="en-ID"/>
        </w:rPr>
        <w:t>PyMOL</w:t>
      </w:r>
      <w:proofErr w:type="spellEnd"/>
      <w:r w:rsidRPr="00D710C6">
        <w:rPr>
          <w:rFonts w:ascii="Arial" w:hAnsi="Arial" w:cs="Arial"/>
          <w:lang w:val="en-ID" w:eastAsia="en-ID"/>
        </w:rPr>
        <w:t xml:space="preserve"> distance validation, confirming the robustness of the binding models.</w:t>
      </w:r>
    </w:p>
    <w:p w14:paraId="11ABE90E" w14:textId="77777777" w:rsidR="00D710C6" w:rsidRPr="00D710C6" w:rsidRDefault="00D710C6" w:rsidP="00D710C6">
      <w:pPr>
        <w:jc w:val="both"/>
        <w:rPr>
          <w:rFonts w:ascii="Arial" w:hAnsi="Arial" w:cs="Arial"/>
          <w:lang w:val="en-ID" w:eastAsia="en-ID"/>
        </w:rPr>
      </w:pPr>
    </w:p>
    <w:p w14:paraId="0B186D85" w14:textId="77777777" w:rsidR="00D710C6" w:rsidRDefault="00D710C6" w:rsidP="00D710C6">
      <w:pPr>
        <w:jc w:val="both"/>
        <w:rPr>
          <w:rFonts w:ascii="Arial" w:hAnsi="Arial" w:cs="Arial"/>
          <w:b/>
          <w:bCs/>
          <w:lang w:val="en-ID" w:eastAsia="en-ID"/>
        </w:rPr>
      </w:pPr>
      <w:r w:rsidRPr="00D710C6">
        <w:rPr>
          <w:rFonts w:ascii="Arial" w:hAnsi="Arial" w:cs="Arial"/>
          <w:b/>
          <w:bCs/>
          <w:lang w:val="en-ID" w:eastAsia="en-ID"/>
        </w:rPr>
        <w:t>3.4. Comparative Discussion and Biological Implications</w:t>
      </w:r>
    </w:p>
    <w:p w14:paraId="2EA8C949" w14:textId="77777777" w:rsidR="00D710C6" w:rsidRPr="00D710C6" w:rsidRDefault="00D710C6" w:rsidP="00D710C6">
      <w:pPr>
        <w:jc w:val="both"/>
        <w:rPr>
          <w:rFonts w:ascii="Arial" w:hAnsi="Arial" w:cs="Arial"/>
          <w:b/>
          <w:bCs/>
          <w:lang w:val="en-ID" w:eastAsia="en-ID"/>
        </w:rPr>
      </w:pPr>
    </w:p>
    <w:p w14:paraId="432E39F8" w14:textId="034DB26B" w:rsidR="00D710C6" w:rsidRDefault="00D710C6" w:rsidP="00D710C6">
      <w:pPr>
        <w:jc w:val="both"/>
        <w:rPr>
          <w:rFonts w:ascii="Arial" w:hAnsi="Arial" w:cs="Arial"/>
          <w:lang w:val="en-ID" w:eastAsia="en-ID"/>
        </w:rPr>
      </w:pPr>
      <w:r w:rsidRPr="00D710C6">
        <w:rPr>
          <w:rFonts w:ascii="Arial" w:hAnsi="Arial" w:cs="Arial"/>
          <w:lang w:val="en-ID" w:eastAsia="en-ID"/>
        </w:rPr>
        <w:t>Compared with previous SAP2 docking studies employing rigid-binding models, the flexible-pocket approach used here achieved greater reproducibility (SD &lt; 0.3 kcal mol</w:t>
      </w:r>
      <w:r w:rsidRPr="00D710C6">
        <w:rPr>
          <w:rFonts w:ascii="Cambria Math" w:hAnsi="Cambria Math" w:cs="Cambria Math"/>
          <w:lang w:val="en-ID" w:eastAsia="en-ID"/>
        </w:rPr>
        <w:t>⁻</w:t>
      </w:r>
      <w:r w:rsidRPr="00D710C6">
        <w:rPr>
          <w:rFonts w:ascii="Arial" w:hAnsi="Arial" w:cs="Arial"/>
          <w:lang w:val="en-ID" w:eastAsia="en-ID"/>
        </w:rPr>
        <w:t>¹) and identified additional stabilizing residues (Ser282, Leu297, Arg312) not emphasized in earlier rigid-grid analyses. The top ligands—</w:t>
      </w:r>
      <w:proofErr w:type="spellStart"/>
      <w:r w:rsidRPr="00D710C6">
        <w:rPr>
          <w:rFonts w:ascii="Arial" w:hAnsi="Arial" w:cs="Arial"/>
          <w:lang w:val="en-ID" w:eastAsia="en-ID"/>
        </w:rPr>
        <w:t>demethoxycurcumin</w:t>
      </w:r>
      <w:proofErr w:type="spellEnd"/>
      <w:r w:rsidRPr="00D710C6">
        <w:rPr>
          <w:rFonts w:ascii="Arial" w:hAnsi="Arial" w:cs="Arial"/>
          <w:lang w:val="en-ID" w:eastAsia="en-ID"/>
        </w:rPr>
        <w:t>, curcumin, and bisdemethoxycurcumin—showed stronger binding energies (≈ −6 kcal mol</w:t>
      </w:r>
      <w:r w:rsidRPr="00D710C6">
        <w:rPr>
          <w:rFonts w:ascii="Cambria Math" w:hAnsi="Cambria Math" w:cs="Cambria Math"/>
          <w:lang w:val="en-ID" w:eastAsia="en-ID"/>
        </w:rPr>
        <w:t>⁻</w:t>
      </w:r>
      <w:r w:rsidRPr="00D710C6">
        <w:rPr>
          <w:rFonts w:ascii="Arial" w:hAnsi="Arial" w:cs="Arial"/>
          <w:lang w:val="en-ID" w:eastAsia="en-ID"/>
        </w:rPr>
        <w:t xml:space="preserve">¹) and denser hydrogen-bond networks than previously reported inhibitors such as </w:t>
      </w:r>
      <w:proofErr w:type="spellStart"/>
      <w:r w:rsidRPr="00D710C6">
        <w:rPr>
          <w:rFonts w:ascii="Arial" w:hAnsi="Arial" w:cs="Arial"/>
          <w:lang w:val="en-ID" w:eastAsia="en-ID"/>
        </w:rPr>
        <w:t>xanthorrhizol</w:t>
      </w:r>
      <w:proofErr w:type="spellEnd"/>
      <w:r w:rsidRPr="00D710C6">
        <w:rPr>
          <w:rFonts w:ascii="Arial" w:hAnsi="Arial" w:cs="Arial"/>
          <w:lang w:val="en-ID" w:eastAsia="en-ID"/>
        </w:rPr>
        <w:t xml:space="preserve"> and eugenol.</w:t>
      </w:r>
    </w:p>
    <w:p w14:paraId="0FE57E8B" w14:textId="77777777" w:rsidR="00D710C6" w:rsidRPr="00D710C6" w:rsidRDefault="00D710C6" w:rsidP="00D710C6">
      <w:pPr>
        <w:jc w:val="both"/>
        <w:rPr>
          <w:rFonts w:ascii="Arial" w:hAnsi="Arial" w:cs="Arial"/>
          <w:lang w:val="en-ID" w:eastAsia="en-ID"/>
        </w:rPr>
      </w:pPr>
    </w:p>
    <w:p w14:paraId="5F72B0D7" w14:textId="77777777" w:rsidR="00D710C6" w:rsidRDefault="00D710C6" w:rsidP="00D710C6">
      <w:pPr>
        <w:jc w:val="both"/>
        <w:rPr>
          <w:rFonts w:ascii="Arial" w:hAnsi="Arial" w:cs="Arial"/>
          <w:lang w:val="en-ID" w:eastAsia="en-ID"/>
        </w:rPr>
      </w:pPr>
      <w:r w:rsidRPr="00D710C6">
        <w:rPr>
          <w:rFonts w:ascii="Arial" w:hAnsi="Arial" w:cs="Arial"/>
          <w:lang w:val="en-ID" w:eastAsia="en-ID"/>
        </w:rPr>
        <w:t>The conjugated β-diketone and phenolic hydroxyl groups of curcuminoids enable dual stabilization via hydrogen bonding and π-type interactions, supporting a competitive inhibitory mechanism within the catalytic groove. Conversely, sesquiterpenoids (</w:t>
      </w:r>
      <w:proofErr w:type="spellStart"/>
      <w:r w:rsidRPr="00D710C6">
        <w:rPr>
          <w:rFonts w:ascii="Arial" w:hAnsi="Arial" w:cs="Arial"/>
          <w:i/>
          <w:iCs/>
          <w:lang w:val="en-ID" w:eastAsia="en-ID"/>
        </w:rPr>
        <w:t>germacrone</w:t>
      </w:r>
      <w:proofErr w:type="spellEnd"/>
      <w:r w:rsidRPr="00D710C6">
        <w:rPr>
          <w:rFonts w:ascii="Arial" w:hAnsi="Arial" w:cs="Arial"/>
          <w:lang w:val="en-ID" w:eastAsia="en-ID"/>
        </w:rPr>
        <w:t xml:space="preserve">, </w:t>
      </w:r>
      <w:r w:rsidRPr="00D710C6">
        <w:rPr>
          <w:rFonts w:ascii="Arial" w:hAnsi="Arial" w:cs="Arial"/>
          <w:i/>
          <w:iCs/>
          <w:lang w:val="en-ID" w:eastAsia="en-ID"/>
        </w:rPr>
        <w:t>β-</w:t>
      </w:r>
      <w:proofErr w:type="spellStart"/>
      <w:r w:rsidRPr="00D710C6">
        <w:rPr>
          <w:rFonts w:ascii="Arial" w:hAnsi="Arial" w:cs="Arial"/>
          <w:i/>
          <w:iCs/>
          <w:lang w:val="en-ID" w:eastAsia="en-ID"/>
        </w:rPr>
        <w:t>bisabolene</w:t>
      </w:r>
      <w:proofErr w:type="spellEnd"/>
      <w:r w:rsidRPr="00D710C6">
        <w:rPr>
          <w:rFonts w:ascii="Arial" w:hAnsi="Arial" w:cs="Arial"/>
          <w:lang w:val="en-ID" w:eastAsia="en-ID"/>
        </w:rPr>
        <w:t>) interact mainly through hydrophobic clustering around Leu297–Ile223–Pro162, potentially restricting flap flexibility and substrate entry—an allosteric modulation pathway consistent with terpenoid–protease interaction models.</w:t>
      </w:r>
    </w:p>
    <w:p w14:paraId="5FE593FF" w14:textId="77777777" w:rsidR="00D710C6" w:rsidRPr="00D710C6" w:rsidRDefault="00D710C6" w:rsidP="00D710C6">
      <w:pPr>
        <w:jc w:val="both"/>
        <w:rPr>
          <w:rFonts w:ascii="Arial" w:hAnsi="Arial" w:cs="Arial"/>
          <w:lang w:val="en-ID" w:eastAsia="en-ID"/>
        </w:rPr>
      </w:pPr>
    </w:p>
    <w:p w14:paraId="4DF70876" w14:textId="77777777" w:rsidR="00D710C6" w:rsidRDefault="00D710C6" w:rsidP="00D710C6">
      <w:pPr>
        <w:jc w:val="both"/>
        <w:rPr>
          <w:rFonts w:ascii="Arial" w:hAnsi="Arial" w:cs="Arial"/>
          <w:lang w:val="en-ID" w:eastAsia="en-ID"/>
        </w:rPr>
      </w:pPr>
      <w:r w:rsidRPr="00D710C6">
        <w:rPr>
          <w:rFonts w:ascii="Arial" w:hAnsi="Arial" w:cs="Arial"/>
          <w:lang w:val="en-ID" w:eastAsia="en-ID"/>
        </w:rPr>
        <w:t xml:space="preserve">Smaller ligands such as </w:t>
      </w:r>
      <w:r w:rsidRPr="00D710C6">
        <w:rPr>
          <w:rFonts w:ascii="Arial" w:hAnsi="Arial" w:cs="Arial"/>
          <w:i/>
          <w:iCs/>
          <w:lang w:val="en-ID" w:eastAsia="en-ID"/>
        </w:rPr>
        <w:t>6-shogaol</w:t>
      </w:r>
      <w:r w:rsidRPr="00D710C6">
        <w:rPr>
          <w:rFonts w:ascii="Arial" w:hAnsi="Arial" w:cs="Arial"/>
          <w:lang w:val="en-ID" w:eastAsia="en-ID"/>
        </w:rPr>
        <w:t xml:space="preserve"> and </w:t>
      </w:r>
      <w:proofErr w:type="spellStart"/>
      <w:r w:rsidRPr="00D710C6">
        <w:rPr>
          <w:rFonts w:ascii="Arial" w:hAnsi="Arial" w:cs="Arial"/>
          <w:i/>
          <w:iCs/>
          <w:lang w:val="en-ID" w:eastAsia="en-ID"/>
        </w:rPr>
        <w:t>citral</w:t>
      </w:r>
      <w:proofErr w:type="spellEnd"/>
      <w:r w:rsidRPr="00D710C6">
        <w:rPr>
          <w:rFonts w:ascii="Arial" w:hAnsi="Arial" w:cs="Arial"/>
          <w:lang w:val="en-ID" w:eastAsia="en-ID"/>
        </w:rPr>
        <w:t xml:space="preserve"> consistently occupied a putative peripheral binding pocket adjacent to the flap region, showing moderate affinities (−4.3 to −4.6 kcal mol</w:t>
      </w:r>
      <w:r w:rsidRPr="00D710C6">
        <w:rPr>
          <w:rFonts w:ascii="Cambria Math" w:hAnsi="Cambria Math" w:cs="Cambria Math"/>
          <w:lang w:val="en-ID" w:eastAsia="en-ID"/>
        </w:rPr>
        <w:t>⁻</w:t>
      </w:r>
      <w:r w:rsidRPr="00D710C6">
        <w:rPr>
          <w:rFonts w:ascii="Arial" w:hAnsi="Arial" w:cs="Arial"/>
          <w:lang w:val="en-ID" w:eastAsia="en-ID"/>
        </w:rPr>
        <w:t>¹). This secondary pocket may represent an allosteric site capable of influencing SAP2 dynamics, offering opportunities for dual-site inhibitor design integrating catalytic and regulatory targeting.</w:t>
      </w:r>
    </w:p>
    <w:p w14:paraId="350759DF" w14:textId="77777777" w:rsidR="00D710C6" w:rsidRPr="00D710C6" w:rsidRDefault="00D710C6" w:rsidP="00D710C6">
      <w:pPr>
        <w:jc w:val="both"/>
        <w:rPr>
          <w:rFonts w:ascii="Arial" w:hAnsi="Arial" w:cs="Arial"/>
          <w:lang w:val="en-ID" w:eastAsia="en-ID"/>
        </w:rPr>
      </w:pPr>
    </w:p>
    <w:p w14:paraId="190C8756" w14:textId="77777777" w:rsidR="00D710C6" w:rsidRPr="00D710C6" w:rsidRDefault="00D710C6" w:rsidP="00D710C6">
      <w:pPr>
        <w:jc w:val="both"/>
        <w:rPr>
          <w:rFonts w:ascii="Arial" w:hAnsi="Arial" w:cs="Arial"/>
          <w:lang w:val="en-ID" w:eastAsia="en-ID"/>
        </w:rPr>
      </w:pPr>
      <w:r w:rsidRPr="00D710C6">
        <w:rPr>
          <w:rFonts w:ascii="Arial" w:hAnsi="Arial" w:cs="Arial"/>
          <w:lang w:val="en-ID" w:eastAsia="en-ID"/>
        </w:rPr>
        <w:t xml:space="preserve">Overall, the integration of flexible-pocket validation, multi-replicate docking, and residue-level interaction analysis provides a reproducible computational framework for rational antifungal drug discovery. These findings highlight </w:t>
      </w:r>
      <w:r w:rsidRPr="00D710C6">
        <w:rPr>
          <w:rFonts w:ascii="Arial" w:hAnsi="Arial" w:cs="Arial"/>
          <w:i/>
          <w:iCs/>
          <w:lang w:val="en-ID" w:eastAsia="en-ID"/>
        </w:rPr>
        <w:t>Curcuma</w:t>
      </w:r>
      <w:r w:rsidRPr="00D710C6">
        <w:rPr>
          <w:rFonts w:ascii="Arial" w:hAnsi="Arial" w:cs="Arial"/>
          <w:lang w:val="en-ID" w:eastAsia="en-ID"/>
        </w:rPr>
        <w:t xml:space="preserve">-derived curcuminoids and </w:t>
      </w:r>
      <w:r w:rsidRPr="00D710C6">
        <w:rPr>
          <w:rFonts w:ascii="Arial" w:hAnsi="Arial" w:cs="Arial"/>
          <w:i/>
          <w:iCs/>
          <w:lang w:val="en-ID" w:eastAsia="en-ID"/>
        </w:rPr>
        <w:t>Zingiber</w:t>
      </w:r>
      <w:r w:rsidRPr="00D710C6">
        <w:rPr>
          <w:rFonts w:ascii="Arial" w:hAnsi="Arial" w:cs="Arial"/>
          <w:lang w:val="en-ID" w:eastAsia="en-ID"/>
        </w:rPr>
        <w:t>-derived terpenoids as promising SAP2 inhibitors, offering mechanistic insights for the design of novel antifungal therapeutics and establishing a foundation for subsequent molecular-dynamics and in vitro validation studies.</w:t>
      </w:r>
    </w:p>
    <w:p w14:paraId="23642F00" w14:textId="77777777" w:rsidR="00790ADA" w:rsidRPr="00FB3A86" w:rsidRDefault="00790ADA" w:rsidP="00441B6F">
      <w:pPr>
        <w:pStyle w:val="Body"/>
        <w:spacing w:after="0"/>
        <w:rPr>
          <w:rFonts w:ascii="Arial" w:hAnsi="Arial" w:cs="Arial"/>
        </w:rPr>
      </w:pPr>
    </w:p>
    <w:p w14:paraId="556BC85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2F1E4C3" w14:textId="77777777" w:rsidR="00790ADA" w:rsidRPr="00FB3A86" w:rsidRDefault="00790ADA" w:rsidP="00441B6F">
      <w:pPr>
        <w:pStyle w:val="ConcHead"/>
        <w:spacing w:after="0"/>
        <w:jc w:val="both"/>
        <w:rPr>
          <w:rFonts w:ascii="Arial" w:hAnsi="Arial" w:cs="Arial"/>
        </w:rPr>
      </w:pPr>
    </w:p>
    <w:p w14:paraId="34050D71" w14:textId="77777777" w:rsidR="00D710C6" w:rsidRPr="00D710C6" w:rsidRDefault="00D710C6" w:rsidP="00D710C6">
      <w:pPr>
        <w:pStyle w:val="Body"/>
        <w:rPr>
          <w:rFonts w:ascii="Arial" w:hAnsi="Arial" w:cs="Arial"/>
        </w:rPr>
      </w:pPr>
      <w:r w:rsidRPr="00D710C6">
        <w:rPr>
          <w:rFonts w:ascii="Arial" w:hAnsi="Arial" w:cs="Arial"/>
        </w:rPr>
        <w:t xml:space="preserve">This study presents a comprehensive structure-based molecular docking and interaction analysis of twenty Indonesian phytochemicals targeting Candida albicans Secreted Aspartic Protease 2 (SAP2; PDB ID: 1EAG), a virulence-associated enzyme essential for fungal pathogenicity. Using a validated flexible-pocket docking framework and five independent </w:t>
      </w:r>
      <w:r w:rsidRPr="00D710C6">
        <w:rPr>
          <w:rFonts w:ascii="Arial" w:hAnsi="Arial" w:cs="Arial"/>
        </w:rPr>
        <w:lastRenderedPageBreak/>
        <w:t>simulation replicates per ligand, the results demonstrated high reproducibility (SD &lt; 0.3 kcal mol</w:t>
      </w:r>
      <w:r w:rsidRPr="00D710C6">
        <w:rPr>
          <w:rFonts w:ascii="Cambria Math" w:hAnsi="Cambria Math" w:cs="Cambria Math"/>
        </w:rPr>
        <w:t>⁻</w:t>
      </w:r>
      <w:r w:rsidRPr="00D710C6">
        <w:rPr>
          <w:rFonts w:ascii="Arial" w:hAnsi="Arial" w:cs="Arial"/>
        </w:rPr>
        <w:t>¹) and biologically consistent binding conformations.</w:t>
      </w:r>
    </w:p>
    <w:p w14:paraId="5559410D" w14:textId="40E16D5C" w:rsidR="00790ADA" w:rsidRDefault="00D710C6" w:rsidP="00D710C6">
      <w:pPr>
        <w:pStyle w:val="Body"/>
        <w:spacing w:after="0"/>
        <w:rPr>
          <w:rFonts w:ascii="Arial" w:hAnsi="Arial" w:cs="Arial"/>
        </w:rPr>
      </w:pPr>
      <w:r w:rsidRPr="00D710C6">
        <w:rPr>
          <w:rFonts w:ascii="Arial" w:hAnsi="Arial" w:cs="Arial"/>
        </w:rPr>
        <w:t xml:space="preserve">Among the screened compounds, </w:t>
      </w:r>
      <w:proofErr w:type="spellStart"/>
      <w:r w:rsidRPr="00D710C6">
        <w:rPr>
          <w:rFonts w:ascii="Arial" w:hAnsi="Arial" w:cs="Arial"/>
        </w:rPr>
        <w:t>demethoxycurcumin</w:t>
      </w:r>
      <w:proofErr w:type="spellEnd"/>
      <w:r w:rsidRPr="00D710C6">
        <w:rPr>
          <w:rFonts w:ascii="Arial" w:hAnsi="Arial" w:cs="Arial"/>
        </w:rPr>
        <w:t>, curcumin, and bisdemethoxycurcumin exhibited the strongest binding affinities (ΔG ≈ −5.9 to −6.0 kcal mol</w:t>
      </w:r>
      <w:r w:rsidRPr="00D710C6">
        <w:rPr>
          <w:rFonts w:ascii="Cambria Math" w:hAnsi="Cambria Math" w:cs="Cambria Math"/>
        </w:rPr>
        <w:t>⁻</w:t>
      </w:r>
      <w:r w:rsidRPr="00D710C6">
        <w:rPr>
          <w:rFonts w:ascii="Arial" w:hAnsi="Arial" w:cs="Arial"/>
        </w:rPr>
        <w:t xml:space="preserve">¹) and stable hydrogen-bond interactions with key residues Ser282, Glu278, and Arg312, located near the catalytic dyad Asp32–Asp218. These curcuminoids demonstrated balanced polar–hydrophobic complementarity, suggesting their potential as competitive inhibitors that occupy the catalytic cleft. Meanwhile, sesquiterpenoid ligands such as </w:t>
      </w:r>
      <w:proofErr w:type="spellStart"/>
      <w:r w:rsidRPr="00D710C6">
        <w:rPr>
          <w:rFonts w:ascii="Arial" w:hAnsi="Arial" w:cs="Arial"/>
        </w:rPr>
        <w:t>germacrone</w:t>
      </w:r>
      <w:proofErr w:type="spellEnd"/>
      <w:r w:rsidRPr="00D710C6">
        <w:rPr>
          <w:rFonts w:ascii="Arial" w:hAnsi="Arial" w:cs="Arial"/>
        </w:rPr>
        <w:t xml:space="preserve"> and β-</w:t>
      </w:r>
      <w:proofErr w:type="spellStart"/>
      <w:r w:rsidRPr="00D710C6">
        <w:rPr>
          <w:rFonts w:ascii="Arial" w:hAnsi="Arial" w:cs="Arial"/>
        </w:rPr>
        <w:t>bisabolene</w:t>
      </w:r>
      <w:proofErr w:type="spellEnd"/>
      <w:r w:rsidRPr="00D710C6">
        <w:rPr>
          <w:rFonts w:ascii="Arial" w:hAnsi="Arial" w:cs="Arial"/>
        </w:rPr>
        <w:t xml:space="preserve"> achieved comparable affinities through compact hydrophobic interactions with Leu297, Pro162, and Ile223, indicating a possible noncompetitive or allosteric inhibition mechanism. Collectively, these findings highlight Curcuma-derived curcuminoids and Zingiber-derived terpenoids as promising natural SAP2 inhibitors, establishing a reproducible computational framework for antifungal drug discovery and rational lead optimization.</w:t>
      </w:r>
    </w:p>
    <w:p w14:paraId="09FC1B56" w14:textId="77777777" w:rsidR="00D710C6" w:rsidRPr="00FB3A86" w:rsidRDefault="00D710C6" w:rsidP="00D710C6">
      <w:pPr>
        <w:pStyle w:val="Body"/>
        <w:spacing w:after="0"/>
        <w:rPr>
          <w:rFonts w:ascii="Arial" w:hAnsi="Arial" w:cs="Arial"/>
        </w:rPr>
      </w:pPr>
    </w:p>
    <w:p w14:paraId="74BD43B8" w14:textId="77777777" w:rsidR="00BF67E6" w:rsidRPr="00740879" w:rsidRDefault="00BF67E6" w:rsidP="00BF67E6">
      <w:pPr>
        <w:rPr>
          <w:highlight w:val="yellow"/>
        </w:rPr>
      </w:pPr>
      <w:r w:rsidRPr="00740879">
        <w:rPr>
          <w:highlight w:val="yellow"/>
        </w:rPr>
        <w:t>Disclaimer (Artificial intelligence)</w:t>
      </w:r>
    </w:p>
    <w:p w14:paraId="37A62AC3" w14:textId="45AD4E31" w:rsidR="00696512" w:rsidRPr="00696512" w:rsidRDefault="00696512" w:rsidP="00696512">
      <w:pPr>
        <w:pStyle w:val="ReferHead"/>
        <w:spacing w:after="0"/>
        <w:jc w:val="both"/>
        <w:rPr>
          <w:b w:val="0"/>
          <w:sz w:val="20"/>
          <w:highlight w:val="yellow"/>
          <w:lang w:val="en-ID"/>
        </w:rPr>
      </w:pPr>
      <w:r w:rsidRPr="00696512">
        <w:rPr>
          <w:b w:val="0"/>
          <w:caps w:val="0"/>
          <w:sz w:val="20"/>
          <w:highlight w:val="yellow"/>
          <w:lang w:val="en-ID"/>
        </w:rPr>
        <w:t>The Authors Declare That Generative Ai Technology (</w:t>
      </w:r>
      <w:proofErr w:type="spellStart"/>
      <w:r w:rsidRPr="00696512">
        <w:rPr>
          <w:b w:val="0"/>
          <w:caps w:val="0"/>
          <w:sz w:val="20"/>
          <w:highlight w:val="yellow"/>
          <w:lang w:val="en-ID"/>
        </w:rPr>
        <w:t>Chatgpt</w:t>
      </w:r>
      <w:proofErr w:type="spellEnd"/>
      <w:r w:rsidRPr="00696512">
        <w:rPr>
          <w:b w:val="0"/>
          <w:caps w:val="0"/>
          <w:sz w:val="20"/>
          <w:highlight w:val="yellow"/>
          <w:lang w:val="en-ID"/>
        </w:rPr>
        <w:t xml:space="preserve">, Gpt-5.1, </w:t>
      </w:r>
      <w:proofErr w:type="spellStart"/>
      <w:r w:rsidRPr="00696512">
        <w:rPr>
          <w:b w:val="0"/>
          <w:caps w:val="0"/>
          <w:sz w:val="20"/>
          <w:highlight w:val="yellow"/>
          <w:lang w:val="en-ID"/>
        </w:rPr>
        <w:t>Openai</w:t>
      </w:r>
      <w:proofErr w:type="spellEnd"/>
      <w:r w:rsidRPr="00696512">
        <w:rPr>
          <w:b w:val="0"/>
          <w:caps w:val="0"/>
          <w:sz w:val="20"/>
          <w:highlight w:val="yellow"/>
          <w:lang w:val="en-ID"/>
        </w:rPr>
        <w:t xml:space="preserve">) Was Used Only </w:t>
      </w:r>
      <w:proofErr w:type="gramStart"/>
      <w:r w:rsidRPr="00696512">
        <w:rPr>
          <w:b w:val="0"/>
          <w:caps w:val="0"/>
          <w:sz w:val="20"/>
          <w:highlight w:val="yellow"/>
          <w:lang w:val="en-ID"/>
        </w:rPr>
        <w:t>To</w:t>
      </w:r>
      <w:proofErr w:type="gramEnd"/>
      <w:r w:rsidRPr="00696512">
        <w:rPr>
          <w:b w:val="0"/>
          <w:caps w:val="0"/>
          <w:sz w:val="20"/>
          <w:highlight w:val="yellow"/>
          <w:lang w:val="en-ID"/>
        </w:rPr>
        <w:t xml:space="preserve"> Assist In Formatting Bibliographic References And Citation Styles.</w:t>
      </w:r>
    </w:p>
    <w:p w14:paraId="6D506301" w14:textId="77777777" w:rsidR="006D75FF" w:rsidRDefault="006D75FF" w:rsidP="00441B6F">
      <w:pPr>
        <w:pStyle w:val="ReferHead"/>
        <w:spacing w:after="0"/>
        <w:jc w:val="both"/>
        <w:rPr>
          <w:rFonts w:ascii="Arial" w:hAnsi="Arial" w:cs="Arial"/>
        </w:rPr>
      </w:pPr>
    </w:p>
    <w:p w14:paraId="49C2830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2952F9" w14:textId="77777777" w:rsidR="00790ADA" w:rsidRPr="00FB3A86" w:rsidRDefault="00790ADA" w:rsidP="00441B6F">
      <w:pPr>
        <w:pStyle w:val="ReferHead"/>
        <w:spacing w:after="0"/>
        <w:jc w:val="both"/>
        <w:rPr>
          <w:rFonts w:ascii="Arial" w:hAnsi="Arial" w:cs="Arial"/>
        </w:rPr>
      </w:pPr>
    </w:p>
    <w:p w14:paraId="72468A21" w14:textId="65E7ABC3" w:rsidR="004F35D1" w:rsidRDefault="004F35D1" w:rsidP="00A84E87">
      <w:pPr>
        <w:pStyle w:val="Body"/>
        <w:numPr>
          <w:ilvl w:val="0"/>
          <w:numId w:val="32"/>
        </w:numPr>
      </w:pPr>
      <w:r>
        <w:t>3.</w:t>
      </w:r>
      <w:r>
        <w:tab/>
      </w:r>
      <w:r w:rsidRPr="004F35D1">
        <w:t xml:space="preserve">Forli, S., et al. (2016). Computational protein–ligand docking and virtual drug screening with the </w:t>
      </w:r>
      <w:proofErr w:type="spellStart"/>
      <w:r w:rsidRPr="004F35D1">
        <w:t>AutoDock</w:t>
      </w:r>
      <w:proofErr w:type="spellEnd"/>
      <w:r w:rsidRPr="004F35D1">
        <w:t xml:space="preserve"> suite. Nature Protocols, 11(5), 905–919. https://doi.org/10.1038/nprot.2016.051</w:t>
      </w:r>
    </w:p>
    <w:p w14:paraId="260AB080" w14:textId="6021FFA1" w:rsidR="00771EDB" w:rsidRDefault="004F35D1" w:rsidP="00A84E87">
      <w:pPr>
        <w:pStyle w:val="Body"/>
        <w:numPr>
          <w:ilvl w:val="0"/>
          <w:numId w:val="32"/>
        </w:numPr>
      </w:pPr>
      <w:r>
        <w:t>5</w:t>
      </w:r>
      <w:r w:rsidR="00771EDB" w:rsidRPr="00771EDB">
        <w:t>.</w:t>
      </w:r>
      <w:r w:rsidR="00771EDB" w:rsidRPr="00771EDB">
        <w:tab/>
      </w:r>
      <w:proofErr w:type="spellStart"/>
      <w:r w:rsidR="00771EDB" w:rsidRPr="00771EDB">
        <w:t>Khwaza</w:t>
      </w:r>
      <w:proofErr w:type="spellEnd"/>
      <w:r w:rsidR="00771EDB" w:rsidRPr="00771EDB">
        <w:t>, V., &amp; Aderibigbe, B. A. (2023). Antifungal activities of natural products and their hybrid molecules. Pharmaceutics, 15(12), 2673.</w:t>
      </w:r>
    </w:p>
    <w:p w14:paraId="7F673AED" w14:textId="24F8E700" w:rsidR="00771EDB" w:rsidRDefault="004F35D1" w:rsidP="00A84E87">
      <w:pPr>
        <w:pStyle w:val="Body"/>
        <w:numPr>
          <w:ilvl w:val="0"/>
          <w:numId w:val="32"/>
        </w:numPr>
      </w:pPr>
      <w:r>
        <w:t>7</w:t>
      </w:r>
      <w:r w:rsidR="00771EDB">
        <w:t>.</w:t>
      </w:r>
      <w:r w:rsidR="00771EDB">
        <w:tab/>
        <w:t>Li, C., Liu, Y., Wu, S., Han, G., Tu, J., Dong, G., Liu, N., &amp; Sheng, C. (2020). Targeting fungal virulence factor by small molecules: Structure-based discovery of novel secreted aspartic protease 2 (SAP2) inhibitors. European Journal of Medicinal Chemistry, 201, 112515.</w:t>
      </w:r>
    </w:p>
    <w:p w14:paraId="2EF36624" w14:textId="7551D3F6" w:rsidR="00771EDB" w:rsidRDefault="004F35D1" w:rsidP="00A84E87">
      <w:pPr>
        <w:pStyle w:val="Body"/>
        <w:numPr>
          <w:ilvl w:val="0"/>
          <w:numId w:val="32"/>
        </w:numPr>
      </w:pPr>
      <w:r>
        <w:t>8</w:t>
      </w:r>
      <w:r w:rsidR="00771EDB">
        <w:t>.</w:t>
      </w:r>
      <w:r w:rsidR="00771EDB">
        <w:tab/>
        <w:t>Malau, (in press) 2025. Enhancing docking accuracy through flexible pocket-based validation: A case study on 1EAG.  International Journal of Progressive Sciences and Technologies. (in press)</w:t>
      </w:r>
    </w:p>
    <w:p w14:paraId="7023C313" w14:textId="5613A6C9" w:rsidR="00771EDB" w:rsidRDefault="004F35D1" w:rsidP="00A84E87">
      <w:pPr>
        <w:pStyle w:val="Body"/>
        <w:numPr>
          <w:ilvl w:val="0"/>
          <w:numId w:val="32"/>
        </w:numPr>
      </w:pPr>
      <w:r>
        <w:t>9</w:t>
      </w:r>
      <w:r w:rsidR="00771EDB">
        <w:t>.</w:t>
      </w:r>
      <w:r w:rsidR="00771EDB">
        <w:tab/>
      </w:r>
      <w:r w:rsidR="00771EDB" w:rsidRPr="00771EDB">
        <w:t>Nisar, M. F., Khadim, M., Rafiq, M., Chen, J., Yang, Y., &amp; Wan, C. C. (2021). Pharmacological properties and health benefits of eugenol: A comprehensive review. Oxidative Medicine and Cellular Longevity, 2021, 1–14.</w:t>
      </w:r>
      <w:r w:rsidR="00771EDB">
        <w:t xml:space="preserve"> </w:t>
      </w:r>
    </w:p>
    <w:p w14:paraId="684BFA0A" w14:textId="78877715" w:rsidR="004F35D1" w:rsidRDefault="004F35D1" w:rsidP="00A84E87">
      <w:pPr>
        <w:pStyle w:val="Body"/>
        <w:numPr>
          <w:ilvl w:val="0"/>
          <w:numId w:val="32"/>
        </w:numPr>
        <w:rPr>
          <w:rFonts w:cs="Helvetica"/>
        </w:rPr>
      </w:pPr>
      <w:r>
        <w:rPr>
          <w:rFonts w:cs="Helvetica"/>
        </w:rPr>
        <w:t>11.</w:t>
      </w:r>
      <w:r>
        <w:rPr>
          <w:rFonts w:cs="Helvetica"/>
        </w:rPr>
        <w:tab/>
      </w:r>
      <w:r w:rsidRPr="004F35D1">
        <w:rPr>
          <w:rFonts w:cs="Helvetica"/>
        </w:rPr>
        <w:t xml:space="preserve">Priyadarsini, K. I. (2014). The chemistry of curcumin: From extraction to therapeutic agent. Molecules, 19(12), 20091–20112. </w:t>
      </w:r>
      <w:hyperlink r:id="rId15" w:history="1">
        <w:r w:rsidRPr="008D4BA1">
          <w:rPr>
            <w:rStyle w:val="Hyperlink"/>
            <w:rFonts w:cs="Helvetica"/>
          </w:rPr>
          <w:t>https://doi.org/10.3390/molecules191220091</w:t>
        </w:r>
      </w:hyperlink>
    </w:p>
    <w:p w14:paraId="15C12E06" w14:textId="7B1883BB" w:rsidR="004F35D1" w:rsidRPr="00771EDB" w:rsidRDefault="004F35D1" w:rsidP="00A84E87">
      <w:pPr>
        <w:pStyle w:val="Body"/>
        <w:numPr>
          <w:ilvl w:val="0"/>
          <w:numId w:val="32"/>
        </w:numPr>
        <w:rPr>
          <w:rFonts w:cs="Helvetica"/>
        </w:rPr>
      </w:pPr>
      <w:r>
        <w:rPr>
          <w:rFonts w:cs="Helvetica"/>
        </w:rPr>
        <w:t>12.</w:t>
      </w:r>
      <w:r>
        <w:rPr>
          <w:rFonts w:cs="Helvetica"/>
        </w:rPr>
        <w:tab/>
      </w:r>
      <w:r w:rsidRPr="004F35D1">
        <w:rPr>
          <w:rFonts w:cs="Helvetica"/>
        </w:rPr>
        <w:t xml:space="preserve">Trott, O., &amp; Olson, A. J. (2010). </w:t>
      </w:r>
      <w:proofErr w:type="spellStart"/>
      <w:r w:rsidRPr="004F35D1">
        <w:rPr>
          <w:rFonts w:cs="Helvetica"/>
        </w:rPr>
        <w:t>AutoDock</w:t>
      </w:r>
      <w:proofErr w:type="spellEnd"/>
      <w:r w:rsidRPr="004F35D1">
        <w:rPr>
          <w:rFonts w:cs="Helvetica"/>
        </w:rPr>
        <w:t xml:space="preserve"> Vina: Improving the speed and accuracy of docking with a new scoring function, efficient optimization, and multithreading. Journal of Computational Chemistry, 31(2), 455–461. https://doi.org/10.1002/jcc.21334</w:t>
      </w:r>
    </w:p>
    <w:p w14:paraId="16D15469" w14:textId="569DB708" w:rsidR="00BE1E47" w:rsidRDefault="00771EDB" w:rsidP="00A84E87">
      <w:pPr>
        <w:pStyle w:val="Body"/>
        <w:numPr>
          <w:ilvl w:val="0"/>
          <w:numId w:val="32"/>
        </w:numPr>
        <w:spacing w:after="0"/>
        <w:rPr>
          <w:rFonts w:cs="Helvetica"/>
        </w:rPr>
      </w:pPr>
      <w:r w:rsidRPr="00771EDB">
        <w:rPr>
          <w:rFonts w:cs="Helvetica"/>
        </w:rPr>
        <w:t>1</w:t>
      </w:r>
      <w:r w:rsidR="004F35D1">
        <w:rPr>
          <w:rFonts w:cs="Helvetica"/>
        </w:rPr>
        <w:t>3</w:t>
      </w:r>
      <w:r w:rsidRPr="00771EDB">
        <w:rPr>
          <w:rFonts w:cs="Helvetica"/>
        </w:rPr>
        <w:t>.</w:t>
      </w:r>
      <w:r w:rsidRPr="00771EDB">
        <w:rPr>
          <w:rFonts w:cs="Helvetica"/>
        </w:rPr>
        <w:tab/>
        <w:t>Zhou, X., Liu, Y., Yang, R., Huang, Y., Chen, G., &amp; Wu, W. (2023). The potential role of plant secondary metabolites on antifungal and immunomodulatory effect. Frontiers in Microbiology, 14, 1132329.</w:t>
      </w:r>
    </w:p>
    <w:p w14:paraId="7B83A484" w14:textId="6A357E38" w:rsidR="00A84E87" w:rsidRPr="00A84E87" w:rsidRDefault="00A84E87" w:rsidP="00A84E87">
      <w:pPr>
        <w:pStyle w:val="Body"/>
        <w:numPr>
          <w:ilvl w:val="0"/>
          <w:numId w:val="32"/>
        </w:numPr>
        <w:spacing w:after="0"/>
        <w:rPr>
          <w:rFonts w:cs="Helvetica"/>
        </w:rPr>
      </w:pPr>
      <w:proofErr w:type="spellStart"/>
      <w:r>
        <w:rPr>
          <w:rFonts w:ascii="Arial" w:hAnsi="Arial" w:cs="Arial"/>
          <w:color w:val="222222"/>
          <w:shd w:val="clear" w:color="auto" w:fill="FFFFFF"/>
        </w:rPr>
        <w:t>Meylani</w:t>
      </w:r>
      <w:proofErr w:type="spellEnd"/>
      <w:r>
        <w:rPr>
          <w:rFonts w:ascii="Arial" w:hAnsi="Arial" w:cs="Arial"/>
          <w:color w:val="222222"/>
          <w:shd w:val="clear" w:color="auto" w:fill="FFFFFF"/>
        </w:rPr>
        <w:t xml:space="preserve">, V., Putra, R. R., </w:t>
      </w:r>
      <w:proofErr w:type="spellStart"/>
      <w:r>
        <w:rPr>
          <w:rFonts w:ascii="Arial" w:hAnsi="Arial" w:cs="Arial"/>
          <w:color w:val="222222"/>
          <w:shd w:val="clear" w:color="auto" w:fill="FFFFFF"/>
        </w:rPr>
        <w:t>Miftahussurur</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Sukardiman</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Hermanto</w:t>
      </w:r>
      <w:proofErr w:type="spellEnd"/>
      <w:r>
        <w:rPr>
          <w:rFonts w:ascii="Arial" w:hAnsi="Arial" w:cs="Arial"/>
          <w:color w:val="222222"/>
          <w:shd w:val="clear" w:color="auto" w:fill="FFFFFF"/>
        </w:rPr>
        <w:t xml:space="preserve">, F. E., &amp; Abdullah, A. (2023). Molecular docking analysis of </w:t>
      </w:r>
      <w:proofErr w:type="spellStart"/>
      <w:r>
        <w:rPr>
          <w:rFonts w:ascii="Arial" w:hAnsi="Arial" w:cs="Arial"/>
          <w:color w:val="222222"/>
          <w:shd w:val="clear" w:color="auto" w:fill="FFFFFF"/>
        </w:rPr>
        <w:t>Cinnamomum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zeylanicum</w:t>
      </w:r>
      <w:proofErr w:type="spellEnd"/>
      <w:r>
        <w:rPr>
          <w:rFonts w:ascii="Arial" w:hAnsi="Arial" w:cs="Arial"/>
          <w:color w:val="222222"/>
          <w:shd w:val="clear" w:color="auto" w:fill="FFFFFF"/>
        </w:rPr>
        <w:t xml:space="preserve"> phytochemicals against Secreted Aspartyl Proteinase 4–6 of Candida albicans as anti-candidiasis oral. </w:t>
      </w:r>
      <w:r>
        <w:rPr>
          <w:rFonts w:ascii="Arial" w:hAnsi="Arial" w:cs="Arial"/>
          <w:i/>
          <w:iCs/>
          <w:color w:val="222222"/>
          <w:shd w:val="clear" w:color="auto" w:fill="FFFFFF"/>
        </w:rPr>
        <w:t>Results in Chemistry</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100721.</w:t>
      </w:r>
    </w:p>
    <w:p w14:paraId="213820D8" w14:textId="1AA8EDCC" w:rsidR="00A84E87" w:rsidRPr="00771EDB" w:rsidRDefault="00A84E87" w:rsidP="00A84E87">
      <w:pPr>
        <w:pStyle w:val="Body"/>
        <w:numPr>
          <w:ilvl w:val="0"/>
          <w:numId w:val="32"/>
        </w:numPr>
        <w:spacing w:after="0"/>
        <w:rPr>
          <w:rFonts w:cs="Helvetica"/>
        </w:rPr>
      </w:pPr>
      <w:proofErr w:type="spellStart"/>
      <w:r>
        <w:rPr>
          <w:rFonts w:ascii="Arial" w:hAnsi="Arial" w:cs="Arial"/>
          <w:color w:val="222222"/>
          <w:shd w:val="clear" w:color="auto" w:fill="FFFFFF"/>
        </w:rPr>
        <w:t>Gholam</w:t>
      </w:r>
      <w:proofErr w:type="spellEnd"/>
      <w:r>
        <w:rPr>
          <w:rFonts w:ascii="Arial" w:hAnsi="Arial" w:cs="Arial"/>
          <w:color w:val="222222"/>
          <w:shd w:val="clear" w:color="auto" w:fill="FFFFFF"/>
        </w:rPr>
        <w:t xml:space="preserve">, G. M. (2022). Molecular docking of the bioactive compound </w:t>
      </w:r>
      <w:proofErr w:type="spellStart"/>
      <w:r>
        <w:rPr>
          <w:rFonts w:ascii="Arial" w:hAnsi="Arial" w:cs="Arial"/>
          <w:color w:val="222222"/>
          <w:shd w:val="clear" w:color="auto" w:fill="FFFFFF"/>
        </w:rPr>
        <w:t>Ocimum</w:t>
      </w:r>
      <w:proofErr w:type="spellEnd"/>
      <w:r>
        <w:rPr>
          <w:rFonts w:ascii="Arial" w:hAnsi="Arial" w:cs="Arial"/>
          <w:color w:val="222222"/>
          <w:shd w:val="clear" w:color="auto" w:fill="FFFFFF"/>
        </w:rPr>
        <w:t xml:space="preserve"> sanctum as an inhibitor of Sap 1 Candida albicans. </w:t>
      </w:r>
      <w:proofErr w:type="spellStart"/>
      <w:r>
        <w:rPr>
          <w:rFonts w:ascii="Arial" w:hAnsi="Arial" w:cs="Arial"/>
          <w:i/>
          <w:iCs/>
          <w:color w:val="222222"/>
          <w:shd w:val="clear" w:color="auto" w:fill="FFFFFF"/>
        </w:rPr>
        <w:t>Sasambo</w:t>
      </w:r>
      <w:proofErr w:type="spellEnd"/>
      <w:r>
        <w:rPr>
          <w:rFonts w:ascii="Arial" w:hAnsi="Arial" w:cs="Arial"/>
          <w:i/>
          <w:iCs/>
          <w:color w:val="222222"/>
          <w:shd w:val="clear" w:color="auto" w:fill="FFFFFF"/>
        </w:rPr>
        <w:t xml:space="preserve"> Journal of Pharmacy</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(1), 18-24.</w:t>
      </w:r>
    </w:p>
    <w:p w14:paraId="16CED50F" w14:textId="77777777" w:rsidR="00771EDB" w:rsidRPr="00771EDB" w:rsidRDefault="00771EDB" w:rsidP="00A84E87">
      <w:pPr>
        <w:pStyle w:val="Body"/>
        <w:spacing w:after="0"/>
        <w:rPr>
          <w:rFonts w:cs="Helvetica"/>
        </w:rPr>
      </w:pPr>
    </w:p>
    <w:p w14:paraId="60F66C7E" w14:textId="77777777" w:rsidR="00B01FCD" w:rsidRPr="00FB3A86" w:rsidRDefault="00B01FCD" w:rsidP="00A84E87">
      <w:pPr>
        <w:pStyle w:val="Appendix"/>
        <w:spacing w:after="0"/>
        <w:jc w:val="both"/>
        <w:rPr>
          <w:rFonts w:ascii="Arial" w:hAnsi="Arial" w:cs="Arial"/>
          <w:b w:val="0"/>
        </w:rPr>
      </w:pPr>
    </w:p>
    <w:sectPr w:rsidR="00B01FCD" w:rsidRPr="00FB3A86" w:rsidSect="006D75FF">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9E881" w14:textId="77777777" w:rsidR="00A623DB" w:rsidRDefault="00A623DB" w:rsidP="00C37E61">
      <w:r>
        <w:separator/>
      </w:r>
    </w:p>
  </w:endnote>
  <w:endnote w:type="continuationSeparator" w:id="0">
    <w:p w14:paraId="05D90983" w14:textId="77777777" w:rsidR="00A623DB" w:rsidRDefault="00A623D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9BFCC" w14:textId="77777777" w:rsidR="006D75FF" w:rsidRDefault="006D7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5BBE8" w14:textId="77777777" w:rsidR="006D75FF" w:rsidRDefault="006D7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22AF8" w14:textId="06E2465E" w:rsidR="00754C9A" w:rsidRPr="006527E0" w:rsidRDefault="00754C9A" w:rsidP="006527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E438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EE2A4" w14:textId="77777777" w:rsidR="00A623DB" w:rsidRDefault="00A623DB" w:rsidP="00C37E61">
      <w:r>
        <w:separator/>
      </w:r>
    </w:p>
  </w:footnote>
  <w:footnote w:type="continuationSeparator" w:id="0">
    <w:p w14:paraId="53CD1B74" w14:textId="77777777" w:rsidR="00A623DB" w:rsidRDefault="00A623D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541E9" w14:textId="5C47F2B0" w:rsidR="006D75FF" w:rsidRDefault="004776AE">
    <w:pPr>
      <w:pStyle w:val="Header"/>
    </w:pPr>
    <w:r>
      <w:rPr>
        <w:noProof/>
      </w:rPr>
      <w:pict w14:anchorId="3588C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3BB93" w14:textId="6A53A4A4" w:rsidR="006D75FF" w:rsidRDefault="004776AE">
    <w:pPr>
      <w:pStyle w:val="Header"/>
    </w:pPr>
    <w:r>
      <w:rPr>
        <w:noProof/>
      </w:rPr>
      <w:pict w14:anchorId="6D04C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C7C8C" w14:textId="772B28B8" w:rsidR="00296529" w:rsidRPr="00296529" w:rsidRDefault="004776AE" w:rsidP="00296529">
    <w:pPr>
      <w:ind w:left="2160"/>
      <w:jc w:val="center"/>
      <w:rPr>
        <w:rFonts w:ascii="Times New Roman" w:eastAsia="Calibri" w:hAnsi="Times New Roman"/>
        <w:i/>
        <w:sz w:val="18"/>
        <w:szCs w:val="22"/>
      </w:rPr>
    </w:pPr>
    <w:r>
      <w:rPr>
        <w:noProof/>
      </w:rPr>
      <w:pict w14:anchorId="3582D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282DF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BF470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14AE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72D37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26B83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7532B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5DD6" w14:textId="208CFD26" w:rsidR="006D75FF" w:rsidRDefault="004776AE">
    <w:pPr>
      <w:pStyle w:val="Header"/>
    </w:pPr>
    <w:r>
      <w:rPr>
        <w:noProof/>
      </w:rPr>
      <w:pict w14:anchorId="5EF60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3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91839" w14:textId="4C4F73F7" w:rsidR="006D75FF" w:rsidRDefault="004776AE">
    <w:pPr>
      <w:pStyle w:val="Header"/>
    </w:pPr>
    <w:r>
      <w:rPr>
        <w:noProof/>
      </w:rPr>
      <w:pict w14:anchorId="7A027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3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28981" w14:textId="7DD7E72A" w:rsidR="006D75FF" w:rsidRDefault="004776AE">
    <w:pPr>
      <w:pStyle w:val="Header"/>
    </w:pPr>
    <w:r>
      <w:rPr>
        <w:noProof/>
      </w:rPr>
      <w:pict w14:anchorId="15808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3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84173D"/>
    <w:multiLevelType w:val="hybridMultilevel"/>
    <w:tmpl w:val="55E22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2663FCE"/>
    <w:multiLevelType w:val="hybridMultilevel"/>
    <w:tmpl w:val="ECA8A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1MTS2MLIwMDcxMzNQ0lEKTi0uzszPAykwrAUAcU88VSwAAAA="/>
  </w:docVars>
  <w:rsids>
    <w:rsidRoot w:val="00AA6219"/>
    <w:rsid w:val="00000F8F"/>
    <w:rsid w:val="000010B1"/>
    <w:rsid w:val="00030174"/>
    <w:rsid w:val="0003623B"/>
    <w:rsid w:val="0004579C"/>
    <w:rsid w:val="00095C70"/>
    <w:rsid w:val="000A0883"/>
    <w:rsid w:val="000A47FA"/>
    <w:rsid w:val="000A65D3"/>
    <w:rsid w:val="000B1E33"/>
    <w:rsid w:val="000D689F"/>
    <w:rsid w:val="000E3BF4"/>
    <w:rsid w:val="000E7B7B"/>
    <w:rsid w:val="000E7D62"/>
    <w:rsid w:val="00103357"/>
    <w:rsid w:val="00114E8D"/>
    <w:rsid w:val="00123C9F"/>
    <w:rsid w:val="00126190"/>
    <w:rsid w:val="00130F17"/>
    <w:rsid w:val="001320BF"/>
    <w:rsid w:val="00145808"/>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3E83"/>
    <w:rsid w:val="003039F0"/>
    <w:rsid w:val="00315186"/>
    <w:rsid w:val="0033343E"/>
    <w:rsid w:val="003512C2"/>
    <w:rsid w:val="00371FB6"/>
    <w:rsid w:val="003763C1"/>
    <w:rsid w:val="00376BBE"/>
    <w:rsid w:val="0039224F"/>
    <w:rsid w:val="00394847"/>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76AE"/>
    <w:rsid w:val="004D305E"/>
    <w:rsid w:val="004D4277"/>
    <w:rsid w:val="004D7244"/>
    <w:rsid w:val="004F35D1"/>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27E0"/>
    <w:rsid w:val="0066510A"/>
    <w:rsid w:val="00673F9F"/>
    <w:rsid w:val="00686953"/>
    <w:rsid w:val="00687DEA"/>
    <w:rsid w:val="00687E67"/>
    <w:rsid w:val="00696512"/>
    <w:rsid w:val="006967F7"/>
    <w:rsid w:val="006A250C"/>
    <w:rsid w:val="006B21D3"/>
    <w:rsid w:val="006B57D0"/>
    <w:rsid w:val="006D30FF"/>
    <w:rsid w:val="006D6940"/>
    <w:rsid w:val="006D75FF"/>
    <w:rsid w:val="006F00D9"/>
    <w:rsid w:val="006F11EC"/>
    <w:rsid w:val="0070082C"/>
    <w:rsid w:val="007369E6"/>
    <w:rsid w:val="00746E59"/>
    <w:rsid w:val="00754C9A"/>
    <w:rsid w:val="0075599A"/>
    <w:rsid w:val="00761D52"/>
    <w:rsid w:val="00765998"/>
    <w:rsid w:val="00771EDB"/>
    <w:rsid w:val="0077749E"/>
    <w:rsid w:val="00790ADA"/>
    <w:rsid w:val="007D2288"/>
    <w:rsid w:val="007E088F"/>
    <w:rsid w:val="007F25DB"/>
    <w:rsid w:val="007F7B32"/>
    <w:rsid w:val="00804BC2"/>
    <w:rsid w:val="0081431A"/>
    <w:rsid w:val="008164F7"/>
    <w:rsid w:val="0083216F"/>
    <w:rsid w:val="008357D9"/>
    <w:rsid w:val="00860000"/>
    <w:rsid w:val="00863BD3"/>
    <w:rsid w:val="008641ED"/>
    <w:rsid w:val="00866D66"/>
    <w:rsid w:val="008671C6"/>
    <w:rsid w:val="00875803"/>
    <w:rsid w:val="008A47AD"/>
    <w:rsid w:val="008B459E"/>
    <w:rsid w:val="008E13AE"/>
    <w:rsid w:val="008E1506"/>
    <w:rsid w:val="008E710C"/>
    <w:rsid w:val="008F0D98"/>
    <w:rsid w:val="008F167F"/>
    <w:rsid w:val="008F69D6"/>
    <w:rsid w:val="00900411"/>
    <w:rsid w:val="00902823"/>
    <w:rsid w:val="00915CA6"/>
    <w:rsid w:val="00927834"/>
    <w:rsid w:val="009500A6"/>
    <w:rsid w:val="00957C18"/>
    <w:rsid w:val="009659BA"/>
    <w:rsid w:val="00983040"/>
    <w:rsid w:val="009A0521"/>
    <w:rsid w:val="009B3FB9"/>
    <w:rsid w:val="009C2465"/>
    <w:rsid w:val="009C744E"/>
    <w:rsid w:val="009D35A0"/>
    <w:rsid w:val="009D7EB7"/>
    <w:rsid w:val="009E048A"/>
    <w:rsid w:val="009E08E9"/>
    <w:rsid w:val="009E3DB9"/>
    <w:rsid w:val="009E6E35"/>
    <w:rsid w:val="009F0EDA"/>
    <w:rsid w:val="00A03B96"/>
    <w:rsid w:val="00A05B19"/>
    <w:rsid w:val="00A071AC"/>
    <w:rsid w:val="00A1134E"/>
    <w:rsid w:val="00A24E7E"/>
    <w:rsid w:val="00A258C3"/>
    <w:rsid w:val="00A347C0"/>
    <w:rsid w:val="00A51431"/>
    <w:rsid w:val="00A539AD"/>
    <w:rsid w:val="00A623DB"/>
    <w:rsid w:val="00A84E87"/>
    <w:rsid w:val="00A94063"/>
    <w:rsid w:val="00AA6219"/>
    <w:rsid w:val="00AA74E0"/>
    <w:rsid w:val="00AB703F"/>
    <w:rsid w:val="00AC6BB8"/>
    <w:rsid w:val="00AE008F"/>
    <w:rsid w:val="00B01FCD"/>
    <w:rsid w:val="00B1776C"/>
    <w:rsid w:val="00B52583"/>
    <w:rsid w:val="00B52896"/>
    <w:rsid w:val="00B95236"/>
    <w:rsid w:val="00B96BD9"/>
    <w:rsid w:val="00B978E3"/>
    <w:rsid w:val="00BA1B01"/>
    <w:rsid w:val="00BA2641"/>
    <w:rsid w:val="00BB37AA"/>
    <w:rsid w:val="00BC4A86"/>
    <w:rsid w:val="00BC53A0"/>
    <w:rsid w:val="00BE1E47"/>
    <w:rsid w:val="00BE62AD"/>
    <w:rsid w:val="00BF121F"/>
    <w:rsid w:val="00BF1F80"/>
    <w:rsid w:val="00BF67E6"/>
    <w:rsid w:val="00C166EF"/>
    <w:rsid w:val="00C17EB0"/>
    <w:rsid w:val="00C27F5F"/>
    <w:rsid w:val="00C30A0F"/>
    <w:rsid w:val="00C37E61"/>
    <w:rsid w:val="00C55134"/>
    <w:rsid w:val="00C6364D"/>
    <w:rsid w:val="00C70F1B"/>
    <w:rsid w:val="00C71A47"/>
    <w:rsid w:val="00C7464C"/>
    <w:rsid w:val="00C85588"/>
    <w:rsid w:val="00C86E88"/>
    <w:rsid w:val="00CB1FB7"/>
    <w:rsid w:val="00CD6755"/>
    <w:rsid w:val="00CD6856"/>
    <w:rsid w:val="00CE0089"/>
    <w:rsid w:val="00CE793C"/>
    <w:rsid w:val="00CF193C"/>
    <w:rsid w:val="00D173F1"/>
    <w:rsid w:val="00D710C6"/>
    <w:rsid w:val="00D74CB0"/>
    <w:rsid w:val="00D8295D"/>
    <w:rsid w:val="00DC2A65"/>
    <w:rsid w:val="00DE15F0"/>
    <w:rsid w:val="00DE5663"/>
    <w:rsid w:val="00DE71FF"/>
    <w:rsid w:val="00DE78AA"/>
    <w:rsid w:val="00E053D0"/>
    <w:rsid w:val="00E15994"/>
    <w:rsid w:val="00E3114E"/>
    <w:rsid w:val="00E31A70"/>
    <w:rsid w:val="00E35B02"/>
    <w:rsid w:val="00E66496"/>
    <w:rsid w:val="00E66B35"/>
    <w:rsid w:val="00E66E10"/>
    <w:rsid w:val="00E769F6"/>
    <w:rsid w:val="00E8407C"/>
    <w:rsid w:val="00E84F3C"/>
    <w:rsid w:val="00EA012C"/>
    <w:rsid w:val="00EB6B89"/>
    <w:rsid w:val="00EC6A55"/>
    <w:rsid w:val="00ED0288"/>
    <w:rsid w:val="00EE52CB"/>
    <w:rsid w:val="00EF1280"/>
    <w:rsid w:val="00EF581D"/>
    <w:rsid w:val="00EF7FD8"/>
    <w:rsid w:val="00F06F59"/>
    <w:rsid w:val="00F17988"/>
    <w:rsid w:val="00F469F0"/>
    <w:rsid w:val="00F53273"/>
    <w:rsid w:val="00F755E4"/>
    <w:rsid w:val="00F77D02"/>
    <w:rsid w:val="00FB3A86"/>
    <w:rsid w:val="00FB4A35"/>
    <w:rsid w:val="00FD36C8"/>
    <w:rsid w:val="00FE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8CDA5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9651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69651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molecules191220091"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D1EE0-695B-47ED-BB42-E4D608041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469</TotalTime>
  <Pages>7</Pages>
  <Words>3495</Words>
  <Characters>22567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29</cp:revision>
  <cp:lastPrinted>1999-07-06T11:00:00Z</cp:lastPrinted>
  <dcterms:created xsi:type="dcterms:W3CDTF">2025-11-06T09:01:00Z</dcterms:created>
  <dcterms:modified xsi:type="dcterms:W3CDTF">2025-11-25T10:52:00Z</dcterms:modified>
</cp:coreProperties>
</file>